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765BA" w14:textId="77777777" w:rsidR="00E4530D" w:rsidRPr="00F47ED3" w:rsidRDefault="00E4530D" w:rsidP="00E4530D">
      <w:pPr>
        <w:tabs>
          <w:tab w:val="left" w:pos="0"/>
        </w:tabs>
        <w:spacing w:before="120" w:after="0" w:line="240" w:lineRule="auto"/>
        <w:jc w:val="center"/>
        <w:outlineLvl w:val="2"/>
        <w:rPr>
          <w:rFonts w:ascii="Times New Roman" w:eastAsia="Times New Roman" w:hAnsi="Times New Roman"/>
          <w:smallCaps/>
          <w:sz w:val="24"/>
          <w:szCs w:val="20"/>
          <w:lang w:val="en-US"/>
        </w:rPr>
      </w:pPr>
      <w:r w:rsidRPr="00F47ED3">
        <w:rPr>
          <w:rFonts w:ascii="Times New Roman" w:eastAsia="Times New Roman" w:hAnsi="Times New Roman"/>
          <w:smallCaps/>
          <w:sz w:val="24"/>
          <w:szCs w:val="20"/>
          <w:lang w:val="en-US"/>
        </w:rPr>
        <w:t>Inter-American Development Bank Document</w:t>
      </w:r>
    </w:p>
    <w:p w14:paraId="6B467E30" w14:textId="77777777" w:rsidR="00E4530D" w:rsidRPr="00F47ED3" w:rsidRDefault="003728B5" w:rsidP="003728B5">
      <w:pPr>
        <w:pStyle w:val="ListParagraph"/>
        <w:tabs>
          <w:tab w:val="left" w:pos="1710"/>
        </w:tabs>
        <w:spacing w:before="120" w:after="0" w:line="360" w:lineRule="auto"/>
        <w:ind w:left="567" w:hanging="567"/>
        <w:rPr>
          <w:rFonts w:ascii="Times New Roman" w:hAnsi="Times New Roman"/>
          <w:b/>
          <w:sz w:val="24"/>
          <w:szCs w:val="24"/>
          <w:lang w:val="en-US"/>
        </w:rPr>
      </w:pPr>
      <w:r w:rsidRPr="00F47ED3">
        <w:rPr>
          <w:rFonts w:ascii="Times New Roman" w:hAnsi="Times New Roman"/>
          <w:b/>
          <w:sz w:val="24"/>
          <w:szCs w:val="24"/>
          <w:lang w:val="en-US"/>
        </w:rPr>
        <w:tab/>
      </w:r>
      <w:r w:rsidRPr="00F47ED3">
        <w:rPr>
          <w:rFonts w:ascii="Times New Roman" w:hAnsi="Times New Roman"/>
          <w:b/>
          <w:sz w:val="24"/>
          <w:szCs w:val="24"/>
          <w:lang w:val="en-US"/>
        </w:rPr>
        <w:tab/>
      </w:r>
    </w:p>
    <w:p w14:paraId="0A63EDAE" w14:textId="77777777" w:rsidR="00E4530D" w:rsidRDefault="00E4530D" w:rsidP="00E4530D">
      <w:pPr>
        <w:tabs>
          <w:tab w:val="left" w:pos="1440"/>
          <w:tab w:val="left" w:pos="3060"/>
        </w:tabs>
        <w:ind w:left="567" w:hanging="567"/>
        <w:jc w:val="center"/>
        <w:rPr>
          <w:rFonts w:ascii="Times New Roman" w:hAnsi="Times New Roman"/>
          <w:b/>
          <w:smallCaps/>
          <w:sz w:val="24"/>
          <w:szCs w:val="24"/>
          <w:lang w:val="en-US"/>
        </w:rPr>
      </w:pPr>
    </w:p>
    <w:p w14:paraId="21E30964" w14:textId="77777777" w:rsidR="008A0CBC" w:rsidRDefault="008A0CBC" w:rsidP="00E4530D">
      <w:pPr>
        <w:tabs>
          <w:tab w:val="left" w:pos="1440"/>
          <w:tab w:val="left" w:pos="3060"/>
        </w:tabs>
        <w:ind w:left="567" w:hanging="567"/>
        <w:jc w:val="center"/>
        <w:rPr>
          <w:rFonts w:ascii="Times New Roman" w:hAnsi="Times New Roman"/>
          <w:b/>
          <w:smallCaps/>
          <w:sz w:val="24"/>
          <w:szCs w:val="24"/>
          <w:lang w:val="en-US"/>
        </w:rPr>
      </w:pPr>
    </w:p>
    <w:p w14:paraId="1DEBF854" w14:textId="77777777" w:rsidR="008A0CBC" w:rsidRPr="00F47ED3" w:rsidRDefault="008A0CBC" w:rsidP="00E4530D">
      <w:pPr>
        <w:tabs>
          <w:tab w:val="left" w:pos="1440"/>
          <w:tab w:val="left" w:pos="3060"/>
        </w:tabs>
        <w:ind w:left="567" w:hanging="567"/>
        <w:jc w:val="center"/>
        <w:rPr>
          <w:rFonts w:ascii="Times New Roman" w:hAnsi="Times New Roman"/>
          <w:b/>
          <w:smallCaps/>
          <w:sz w:val="24"/>
          <w:szCs w:val="24"/>
          <w:lang w:val="en-US"/>
        </w:rPr>
      </w:pPr>
    </w:p>
    <w:p w14:paraId="36A1D19A" w14:textId="77777777" w:rsidR="00E4530D" w:rsidRPr="00F47ED3" w:rsidRDefault="00E4530D" w:rsidP="00E4530D">
      <w:pPr>
        <w:tabs>
          <w:tab w:val="left" w:pos="1440"/>
          <w:tab w:val="left" w:pos="3060"/>
        </w:tabs>
        <w:ind w:left="567" w:hanging="567"/>
        <w:jc w:val="center"/>
        <w:rPr>
          <w:rFonts w:ascii="Times New Roman" w:hAnsi="Times New Roman"/>
          <w:b/>
          <w:smallCaps/>
          <w:sz w:val="24"/>
          <w:szCs w:val="24"/>
          <w:lang w:val="en-US"/>
        </w:rPr>
      </w:pPr>
    </w:p>
    <w:p w14:paraId="78F2CCEB" w14:textId="77777777" w:rsidR="00E4530D" w:rsidRPr="00F47ED3" w:rsidRDefault="00607A92" w:rsidP="00E4530D">
      <w:pPr>
        <w:tabs>
          <w:tab w:val="left" w:pos="1440"/>
          <w:tab w:val="left" w:pos="3060"/>
        </w:tabs>
        <w:ind w:left="567" w:hanging="567"/>
        <w:jc w:val="center"/>
        <w:rPr>
          <w:rFonts w:ascii="Times New Roman" w:hAnsi="Times New Roman"/>
          <w:b/>
          <w:smallCaps/>
          <w:sz w:val="36"/>
          <w:szCs w:val="36"/>
          <w:highlight w:val="lightGray"/>
          <w:lang w:val="en-US"/>
        </w:rPr>
      </w:pPr>
      <w:r w:rsidRPr="00F47ED3">
        <w:rPr>
          <w:rFonts w:ascii="Times New Roman" w:hAnsi="Times New Roman"/>
          <w:b/>
          <w:smallCaps/>
          <w:sz w:val="36"/>
          <w:szCs w:val="36"/>
          <w:highlight w:val="lightGray"/>
          <w:lang w:val="en-US"/>
        </w:rPr>
        <w:t>Trinidad and Tobago</w:t>
      </w:r>
    </w:p>
    <w:p w14:paraId="15AC5A9F" w14:textId="77777777" w:rsidR="00E4530D" w:rsidRPr="00F47ED3" w:rsidRDefault="00E4530D" w:rsidP="00E4530D">
      <w:pPr>
        <w:tabs>
          <w:tab w:val="left" w:pos="1440"/>
          <w:tab w:val="left" w:pos="3060"/>
        </w:tabs>
        <w:ind w:left="567" w:hanging="567"/>
        <w:jc w:val="center"/>
        <w:rPr>
          <w:rFonts w:ascii="Times New Roman" w:hAnsi="Times New Roman"/>
          <w:b/>
          <w:smallCaps/>
          <w:sz w:val="24"/>
          <w:szCs w:val="24"/>
          <w:highlight w:val="lightGray"/>
          <w:lang w:val="en-US"/>
        </w:rPr>
      </w:pPr>
    </w:p>
    <w:p w14:paraId="101D33FF" w14:textId="77777777" w:rsidR="00E4530D" w:rsidRPr="00F47ED3" w:rsidRDefault="00E4530D" w:rsidP="00E4530D">
      <w:pPr>
        <w:tabs>
          <w:tab w:val="left" w:pos="1440"/>
          <w:tab w:val="left" w:pos="3060"/>
        </w:tabs>
        <w:ind w:left="567" w:hanging="567"/>
        <w:jc w:val="center"/>
        <w:rPr>
          <w:rFonts w:ascii="Times New Roman" w:hAnsi="Times New Roman"/>
          <w:b/>
          <w:smallCaps/>
          <w:sz w:val="24"/>
          <w:szCs w:val="24"/>
          <w:highlight w:val="lightGray"/>
          <w:lang w:val="en-US"/>
        </w:rPr>
      </w:pPr>
    </w:p>
    <w:p w14:paraId="4B6073E2" w14:textId="77777777" w:rsidR="003728B5" w:rsidRPr="00F47ED3" w:rsidRDefault="006A44B9" w:rsidP="006A44B9">
      <w:pPr>
        <w:tabs>
          <w:tab w:val="left" w:pos="3060"/>
        </w:tabs>
        <w:spacing w:after="0" w:line="240" w:lineRule="auto"/>
        <w:jc w:val="center"/>
        <w:rPr>
          <w:rFonts w:ascii="Times New Roman" w:eastAsia="Times New Roman" w:hAnsi="Times New Roman"/>
          <w:caps/>
          <w:smallCaps/>
          <w:sz w:val="24"/>
          <w:szCs w:val="20"/>
          <w:lang w:val="en-US"/>
        </w:rPr>
      </w:pPr>
      <w:r w:rsidRPr="00F47ED3">
        <w:rPr>
          <w:rFonts w:ascii="Times New Roman" w:eastAsia="Times New Roman" w:hAnsi="Times New Roman"/>
          <w:b/>
          <w:smallCaps/>
          <w:sz w:val="32"/>
          <w:szCs w:val="20"/>
          <w:lang w:val="en-US"/>
        </w:rPr>
        <w:t>Support to Strengthen Trinidad and Tobago’s Public Financial</w:t>
      </w:r>
      <w:r w:rsidR="00CE4DCE" w:rsidRPr="00F47ED3">
        <w:rPr>
          <w:rFonts w:ascii="Times New Roman" w:eastAsia="Times New Roman" w:hAnsi="Times New Roman"/>
          <w:b/>
          <w:smallCaps/>
          <w:sz w:val="32"/>
          <w:szCs w:val="20"/>
          <w:lang w:val="en-US"/>
        </w:rPr>
        <w:t xml:space="preserve"> </w:t>
      </w:r>
      <w:r w:rsidRPr="00F47ED3">
        <w:rPr>
          <w:rFonts w:ascii="Times New Roman" w:eastAsia="Times New Roman" w:hAnsi="Times New Roman"/>
          <w:b/>
          <w:smallCaps/>
          <w:sz w:val="32"/>
          <w:szCs w:val="20"/>
          <w:lang w:val="en-US"/>
        </w:rPr>
        <w:t>Management System</w:t>
      </w:r>
      <w:r w:rsidR="0099142B" w:rsidRPr="00F47ED3">
        <w:rPr>
          <w:rFonts w:ascii="Times New Roman" w:eastAsia="Times New Roman" w:hAnsi="Times New Roman"/>
          <w:b/>
          <w:smallCaps/>
          <w:sz w:val="32"/>
          <w:szCs w:val="20"/>
          <w:lang w:val="en-US"/>
        </w:rPr>
        <w:t xml:space="preserve"> </w:t>
      </w:r>
    </w:p>
    <w:p w14:paraId="4E4A926C" w14:textId="77777777" w:rsidR="003728B5" w:rsidRPr="00F47ED3" w:rsidRDefault="003728B5" w:rsidP="003728B5">
      <w:pPr>
        <w:tabs>
          <w:tab w:val="left" w:pos="1440"/>
          <w:tab w:val="left" w:pos="3060"/>
        </w:tabs>
        <w:spacing w:after="0" w:line="240" w:lineRule="auto"/>
        <w:jc w:val="center"/>
        <w:rPr>
          <w:rFonts w:ascii="Times New Roman" w:eastAsia="Times New Roman" w:hAnsi="Times New Roman"/>
          <w:b/>
          <w:smallCaps/>
          <w:sz w:val="24"/>
          <w:szCs w:val="20"/>
          <w:lang w:val="en-US"/>
        </w:rPr>
      </w:pPr>
      <w:r w:rsidRPr="00F47ED3">
        <w:rPr>
          <w:rFonts w:ascii="Times New Roman" w:eastAsia="Times New Roman" w:hAnsi="Times New Roman"/>
          <w:b/>
          <w:smallCaps/>
          <w:sz w:val="24"/>
          <w:szCs w:val="20"/>
          <w:lang w:val="en-US"/>
        </w:rPr>
        <w:t>(</w:t>
      </w:r>
      <w:r w:rsidR="006A44B9" w:rsidRPr="00F47ED3">
        <w:rPr>
          <w:rFonts w:ascii="Times New Roman" w:eastAsia="Times New Roman" w:hAnsi="Times New Roman"/>
          <w:b/>
          <w:smallCaps/>
          <w:sz w:val="24"/>
          <w:szCs w:val="20"/>
          <w:lang w:val="en-US"/>
        </w:rPr>
        <w:t>TT</w:t>
      </w:r>
      <w:r w:rsidRPr="00F47ED3">
        <w:rPr>
          <w:rFonts w:ascii="Times New Roman" w:eastAsia="Times New Roman" w:hAnsi="Times New Roman"/>
          <w:b/>
          <w:smallCaps/>
          <w:sz w:val="24"/>
          <w:szCs w:val="20"/>
          <w:lang w:val="en-US"/>
        </w:rPr>
        <w:t>-L104</w:t>
      </w:r>
      <w:r w:rsidR="006A44B9" w:rsidRPr="00F47ED3">
        <w:rPr>
          <w:rFonts w:ascii="Times New Roman" w:eastAsia="Times New Roman" w:hAnsi="Times New Roman"/>
          <w:b/>
          <w:smallCaps/>
          <w:sz w:val="24"/>
          <w:szCs w:val="20"/>
          <w:lang w:val="en-US"/>
        </w:rPr>
        <w:t>2</w:t>
      </w:r>
      <w:r w:rsidRPr="00F47ED3">
        <w:rPr>
          <w:rFonts w:ascii="Times New Roman" w:eastAsia="Times New Roman" w:hAnsi="Times New Roman"/>
          <w:b/>
          <w:smallCaps/>
          <w:sz w:val="24"/>
          <w:szCs w:val="20"/>
          <w:lang w:val="en-US"/>
        </w:rPr>
        <w:t>)</w:t>
      </w:r>
    </w:p>
    <w:p w14:paraId="1DE0139A" w14:textId="77777777" w:rsidR="003728B5" w:rsidRPr="00F47ED3" w:rsidRDefault="003728B5" w:rsidP="003728B5">
      <w:pPr>
        <w:tabs>
          <w:tab w:val="left" w:pos="1440"/>
          <w:tab w:val="left" w:pos="3060"/>
        </w:tabs>
        <w:spacing w:after="0" w:line="240" w:lineRule="auto"/>
        <w:jc w:val="center"/>
        <w:rPr>
          <w:rFonts w:ascii="Times New Roman" w:eastAsia="Times New Roman" w:hAnsi="Times New Roman"/>
          <w:b/>
          <w:smallCaps/>
          <w:sz w:val="24"/>
          <w:szCs w:val="20"/>
          <w:lang w:val="en-US"/>
        </w:rPr>
      </w:pPr>
    </w:p>
    <w:p w14:paraId="385CB0AB" w14:textId="77777777" w:rsidR="003728B5" w:rsidRPr="00F47ED3" w:rsidRDefault="003728B5" w:rsidP="003728B5">
      <w:pPr>
        <w:tabs>
          <w:tab w:val="left" w:pos="1440"/>
          <w:tab w:val="left" w:pos="3060"/>
        </w:tabs>
        <w:spacing w:after="0" w:line="240" w:lineRule="auto"/>
        <w:jc w:val="center"/>
        <w:rPr>
          <w:rFonts w:ascii="Times New Roman" w:eastAsia="Times New Roman" w:hAnsi="Times New Roman"/>
          <w:smallCaps/>
          <w:sz w:val="24"/>
          <w:szCs w:val="20"/>
          <w:lang w:val="en-US"/>
        </w:rPr>
      </w:pPr>
    </w:p>
    <w:p w14:paraId="56F27306" w14:textId="77777777" w:rsidR="00E4530D" w:rsidRPr="00F47ED3" w:rsidRDefault="00E4530D" w:rsidP="00E4530D">
      <w:pPr>
        <w:pStyle w:val="Newpage"/>
        <w:ind w:left="567" w:hanging="567"/>
        <w:rPr>
          <w:rFonts w:cs="Times New Roman"/>
          <w:b w:val="0"/>
          <w:caps/>
          <w:smallCaps w:val="0"/>
          <w:szCs w:val="24"/>
          <w:lang w:val="en-US"/>
        </w:rPr>
      </w:pPr>
    </w:p>
    <w:p w14:paraId="2E33A464" w14:textId="77777777" w:rsidR="008458C2" w:rsidRPr="00F47ED3" w:rsidRDefault="008458C2" w:rsidP="00E4530D">
      <w:pPr>
        <w:pStyle w:val="Newpage"/>
        <w:ind w:left="567" w:hanging="567"/>
        <w:rPr>
          <w:rFonts w:cs="Times New Roman"/>
          <w:b w:val="0"/>
          <w:caps/>
          <w:smallCaps w:val="0"/>
          <w:szCs w:val="24"/>
          <w:lang w:val="en-US"/>
        </w:rPr>
      </w:pPr>
    </w:p>
    <w:p w14:paraId="0E3669CC" w14:textId="77777777" w:rsidR="008458C2" w:rsidRPr="00F47ED3" w:rsidRDefault="008458C2" w:rsidP="00E4530D">
      <w:pPr>
        <w:pStyle w:val="Newpage"/>
        <w:ind w:left="567" w:hanging="567"/>
        <w:rPr>
          <w:rFonts w:cs="Times New Roman"/>
          <w:b w:val="0"/>
          <w:caps/>
          <w:smallCaps w:val="0"/>
          <w:szCs w:val="24"/>
          <w:lang w:val="en-US"/>
        </w:rPr>
      </w:pPr>
    </w:p>
    <w:p w14:paraId="588565F0" w14:textId="77777777" w:rsidR="00E4530D" w:rsidRPr="00F47ED3" w:rsidRDefault="00E4530D" w:rsidP="00E4530D">
      <w:pPr>
        <w:tabs>
          <w:tab w:val="left" w:pos="1440"/>
          <w:tab w:val="left" w:pos="3060"/>
        </w:tabs>
        <w:ind w:left="567" w:hanging="567"/>
        <w:jc w:val="center"/>
        <w:rPr>
          <w:rFonts w:ascii="Times New Roman" w:hAnsi="Times New Roman"/>
          <w:smallCaps/>
          <w:sz w:val="24"/>
          <w:szCs w:val="24"/>
          <w:lang w:val="en-US"/>
        </w:rPr>
      </w:pPr>
    </w:p>
    <w:p w14:paraId="10A4962F" w14:textId="77777777" w:rsidR="00E4530D" w:rsidRPr="00F47ED3" w:rsidRDefault="004F6DF3" w:rsidP="00E4530D">
      <w:pPr>
        <w:tabs>
          <w:tab w:val="left" w:pos="1440"/>
          <w:tab w:val="left" w:pos="3060"/>
        </w:tabs>
        <w:ind w:left="567" w:hanging="567"/>
        <w:jc w:val="center"/>
        <w:outlineLvl w:val="0"/>
        <w:rPr>
          <w:rFonts w:ascii="Times New Roman" w:hAnsi="Times New Roman"/>
          <w:b/>
          <w:smallCaps/>
          <w:sz w:val="24"/>
          <w:szCs w:val="24"/>
          <w:lang w:val="en-US"/>
        </w:rPr>
      </w:pPr>
      <w:r w:rsidRPr="00F47ED3">
        <w:rPr>
          <w:rFonts w:ascii="Times New Roman" w:hAnsi="Times New Roman"/>
          <w:b/>
          <w:smallCaps/>
          <w:sz w:val="24"/>
          <w:szCs w:val="24"/>
          <w:lang w:val="en-US"/>
        </w:rPr>
        <w:t xml:space="preserve">Financial </w:t>
      </w:r>
      <w:r w:rsidR="003728B5" w:rsidRPr="00F47ED3">
        <w:rPr>
          <w:rFonts w:ascii="Times New Roman" w:hAnsi="Times New Roman"/>
          <w:b/>
          <w:smallCaps/>
          <w:sz w:val="24"/>
          <w:szCs w:val="24"/>
          <w:lang w:val="en-US"/>
        </w:rPr>
        <w:t>Analysis</w:t>
      </w:r>
    </w:p>
    <w:p w14:paraId="1522556E" w14:textId="77777777" w:rsidR="00E4530D" w:rsidRPr="00F47ED3" w:rsidRDefault="00E4530D" w:rsidP="00E4530D">
      <w:pPr>
        <w:tabs>
          <w:tab w:val="left" w:pos="1440"/>
          <w:tab w:val="left" w:pos="3060"/>
        </w:tabs>
        <w:ind w:left="567" w:hanging="567"/>
        <w:jc w:val="center"/>
        <w:outlineLvl w:val="0"/>
        <w:rPr>
          <w:rFonts w:ascii="Times New Roman" w:hAnsi="Times New Roman"/>
          <w:b/>
          <w:smallCaps/>
          <w:sz w:val="24"/>
          <w:szCs w:val="24"/>
          <w:lang w:val="en-US"/>
        </w:rPr>
      </w:pPr>
    </w:p>
    <w:p w14:paraId="613413F5" w14:textId="77777777" w:rsidR="00E4530D" w:rsidRPr="00F47ED3" w:rsidRDefault="00E4530D" w:rsidP="00E4530D">
      <w:pPr>
        <w:pStyle w:val="ListParagraph"/>
        <w:spacing w:before="120" w:after="0" w:line="360" w:lineRule="auto"/>
        <w:ind w:left="567" w:hanging="567"/>
        <w:jc w:val="center"/>
        <w:rPr>
          <w:rFonts w:ascii="Times New Roman" w:hAnsi="Times New Roman"/>
          <w:b/>
          <w:sz w:val="24"/>
          <w:szCs w:val="24"/>
          <w:lang w:val="en-US"/>
        </w:rPr>
      </w:pPr>
    </w:p>
    <w:p w14:paraId="25EE8448" w14:textId="77777777" w:rsidR="00E4530D" w:rsidRPr="00F47ED3" w:rsidRDefault="00E4530D" w:rsidP="00E4530D">
      <w:pPr>
        <w:pStyle w:val="ListParagraph"/>
        <w:spacing w:before="120" w:after="0" w:line="360" w:lineRule="auto"/>
        <w:ind w:left="567" w:hanging="567"/>
        <w:jc w:val="center"/>
        <w:rPr>
          <w:rFonts w:ascii="Times New Roman" w:hAnsi="Times New Roman"/>
          <w:b/>
          <w:sz w:val="24"/>
          <w:szCs w:val="24"/>
          <w:lang w:val="en-US"/>
        </w:rPr>
      </w:pPr>
    </w:p>
    <w:p w14:paraId="4A5595AC" w14:textId="77777777" w:rsidR="00E4530D" w:rsidRPr="00F47ED3" w:rsidRDefault="00E4530D" w:rsidP="00E4530D">
      <w:pPr>
        <w:pStyle w:val="ListParagraph"/>
        <w:spacing w:before="120" w:after="0" w:line="360" w:lineRule="auto"/>
        <w:ind w:left="567" w:hanging="567"/>
        <w:jc w:val="center"/>
        <w:rPr>
          <w:rFonts w:ascii="Times New Roman" w:hAnsi="Times New Roman"/>
          <w:b/>
          <w:sz w:val="24"/>
          <w:szCs w:val="24"/>
          <w:lang w:val="en-US"/>
        </w:rPr>
      </w:pPr>
    </w:p>
    <w:p w14:paraId="505BC751" w14:textId="77777777" w:rsidR="00E4530D" w:rsidRPr="00F47ED3" w:rsidRDefault="00E4530D" w:rsidP="00E4530D">
      <w:pPr>
        <w:pStyle w:val="ListParagraph"/>
        <w:spacing w:before="120" w:after="0" w:line="360" w:lineRule="auto"/>
        <w:ind w:left="567" w:hanging="567"/>
        <w:jc w:val="both"/>
        <w:rPr>
          <w:rFonts w:ascii="Times New Roman" w:hAnsi="Times New Roman"/>
          <w:b/>
          <w:sz w:val="24"/>
          <w:szCs w:val="24"/>
          <w:lang w:val="en-US"/>
        </w:rPr>
      </w:pPr>
    </w:p>
    <w:p w14:paraId="6BFA547A" w14:textId="77777777" w:rsidR="00E4530D" w:rsidRPr="00F47ED3" w:rsidRDefault="00E4530D" w:rsidP="00E4530D">
      <w:pPr>
        <w:pStyle w:val="ListParagraph"/>
        <w:spacing w:before="120" w:after="0" w:line="360" w:lineRule="auto"/>
        <w:ind w:left="567" w:hanging="567"/>
        <w:jc w:val="both"/>
        <w:rPr>
          <w:rFonts w:ascii="Times New Roman" w:hAnsi="Times New Roman"/>
          <w:b/>
          <w:sz w:val="24"/>
          <w:szCs w:val="24"/>
          <w:lang w:val="en-US"/>
        </w:rPr>
      </w:pPr>
    </w:p>
    <w:p w14:paraId="2BEF151F" w14:textId="77777777" w:rsidR="00E4530D" w:rsidRPr="00F47ED3" w:rsidRDefault="00E4530D" w:rsidP="00E4530D">
      <w:pPr>
        <w:pStyle w:val="ListParagraph"/>
        <w:spacing w:before="120" w:after="0" w:line="360" w:lineRule="auto"/>
        <w:ind w:left="567" w:hanging="567"/>
        <w:jc w:val="both"/>
        <w:rPr>
          <w:rFonts w:ascii="Times New Roman" w:hAnsi="Times New Roman"/>
          <w:b/>
          <w:sz w:val="24"/>
          <w:szCs w:val="24"/>
          <w:lang w:val="en-US"/>
        </w:rPr>
      </w:pPr>
    </w:p>
    <w:p w14:paraId="0E0A1FCE" w14:textId="77777777" w:rsidR="00E4530D" w:rsidRPr="00F47ED3" w:rsidRDefault="00E4530D" w:rsidP="00E4530D">
      <w:pPr>
        <w:pStyle w:val="ListParagraph"/>
        <w:spacing w:before="120" w:after="0" w:line="360" w:lineRule="auto"/>
        <w:ind w:left="567" w:hanging="567"/>
        <w:jc w:val="both"/>
        <w:rPr>
          <w:rFonts w:ascii="Times New Roman" w:hAnsi="Times New Roman"/>
          <w:b/>
          <w:sz w:val="24"/>
          <w:szCs w:val="24"/>
          <w:lang w:val="en-US"/>
        </w:rPr>
      </w:pPr>
    </w:p>
    <w:p w14:paraId="3572D7A3" w14:textId="77777777" w:rsidR="00E4530D" w:rsidRPr="00F47ED3" w:rsidRDefault="00E4530D" w:rsidP="00E4530D">
      <w:pPr>
        <w:tabs>
          <w:tab w:val="left" w:pos="1440"/>
          <w:tab w:val="left" w:pos="3060"/>
        </w:tabs>
        <w:ind w:left="567" w:hanging="567"/>
        <w:jc w:val="both"/>
        <w:rPr>
          <w:rFonts w:ascii="Times New Roman" w:hAnsi="Times New Roman"/>
          <w:sz w:val="24"/>
          <w:szCs w:val="24"/>
          <w:lang w:val="en-US"/>
        </w:rPr>
      </w:pPr>
    </w:p>
    <w:p w14:paraId="11C74BBA" w14:textId="77777777" w:rsidR="003728B5" w:rsidRPr="00F47ED3" w:rsidRDefault="003728B5" w:rsidP="003728B5">
      <w:pPr>
        <w:tabs>
          <w:tab w:val="left" w:pos="1440"/>
          <w:tab w:val="left" w:pos="3060"/>
        </w:tabs>
        <w:jc w:val="center"/>
        <w:rPr>
          <w:highlight w:val="yellow"/>
          <w:lang w:val="en-US"/>
        </w:rPr>
      </w:pPr>
    </w:p>
    <w:p w14:paraId="25B0EB4C" w14:textId="66357B67" w:rsidR="003728B5" w:rsidRPr="00F47ED3" w:rsidRDefault="007E7182" w:rsidP="003728B5">
      <w:pPr>
        <w:pStyle w:val="BodyText"/>
        <w:pBdr>
          <w:top w:val="single" w:sz="4" w:space="1" w:color="auto"/>
          <w:left w:val="single" w:sz="4" w:space="4" w:color="auto"/>
          <w:bottom w:val="single" w:sz="4" w:space="1" w:color="auto"/>
          <w:right w:val="single" w:sz="4" w:space="4" w:color="auto"/>
        </w:pBdr>
        <w:tabs>
          <w:tab w:val="left" w:pos="1440"/>
        </w:tabs>
        <w:jc w:val="both"/>
        <w:rPr>
          <w:sz w:val="22"/>
          <w:szCs w:val="22"/>
          <w:lang w:val="en-US"/>
        </w:rPr>
      </w:pPr>
      <w:r w:rsidRPr="00F47ED3">
        <w:rPr>
          <w:sz w:val="22"/>
          <w:lang w:val="en-US"/>
        </w:rPr>
        <w:t>This document was prepared</w:t>
      </w:r>
      <w:r w:rsidR="003728B5" w:rsidRPr="00F47ED3">
        <w:rPr>
          <w:sz w:val="22"/>
          <w:lang w:val="en-US"/>
        </w:rPr>
        <w:t xml:space="preserve"> by Martin Rossi </w:t>
      </w:r>
      <w:r w:rsidRPr="00F47ED3">
        <w:rPr>
          <w:sz w:val="22"/>
          <w:lang w:val="en-US"/>
        </w:rPr>
        <w:t>(c</w:t>
      </w:r>
      <w:r w:rsidR="003728B5" w:rsidRPr="00F47ED3">
        <w:rPr>
          <w:sz w:val="22"/>
          <w:lang w:val="en-US"/>
        </w:rPr>
        <w:t>onsultant)</w:t>
      </w:r>
      <w:r w:rsidR="00F16F8B" w:rsidRPr="00F47ED3">
        <w:rPr>
          <w:sz w:val="22"/>
          <w:lang w:val="en-US"/>
        </w:rPr>
        <w:t xml:space="preserve"> </w:t>
      </w:r>
      <w:r w:rsidR="00DA1B33">
        <w:rPr>
          <w:sz w:val="22"/>
          <w:lang w:val="en-US"/>
        </w:rPr>
        <w:t xml:space="preserve">and </w:t>
      </w:r>
      <w:proofErr w:type="spellStart"/>
      <w:r w:rsidR="00DA1B33">
        <w:rPr>
          <w:sz w:val="22"/>
          <w:lang w:val="en-US"/>
        </w:rPr>
        <w:t>Marcio</w:t>
      </w:r>
      <w:proofErr w:type="spellEnd"/>
      <w:r w:rsidR="00DA1B33">
        <w:rPr>
          <w:sz w:val="22"/>
          <w:lang w:val="en-US"/>
        </w:rPr>
        <w:t xml:space="preserve"> </w:t>
      </w:r>
      <w:proofErr w:type="spellStart"/>
      <w:r w:rsidR="00DA1B33">
        <w:rPr>
          <w:sz w:val="22"/>
          <w:lang w:val="en-US"/>
        </w:rPr>
        <w:t>Cracel</w:t>
      </w:r>
      <w:proofErr w:type="spellEnd"/>
      <w:r w:rsidR="00DA1B33">
        <w:rPr>
          <w:sz w:val="22"/>
          <w:lang w:val="en-US"/>
        </w:rPr>
        <w:t xml:space="preserve"> (consultant)</w:t>
      </w:r>
    </w:p>
    <w:p w14:paraId="0F3F9C74" w14:textId="77777777" w:rsidR="00E4530D" w:rsidRPr="00F47ED3" w:rsidRDefault="00E4530D" w:rsidP="00E4530D">
      <w:pPr>
        <w:spacing w:line="240" w:lineRule="auto"/>
        <w:ind w:left="567" w:hanging="567"/>
        <w:jc w:val="both"/>
        <w:rPr>
          <w:rFonts w:ascii="Times New Roman" w:hAnsi="Times New Roman"/>
          <w:b/>
          <w:i/>
          <w:sz w:val="24"/>
          <w:szCs w:val="24"/>
          <w:lang w:val="en-US"/>
        </w:rPr>
      </w:pPr>
      <w:r w:rsidRPr="00F47ED3">
        <w:rPr>
          <w:rFonts w:ascii="Times New Roman" w:hAnsi="Times New Roman"/>
          <w:b/>
          <w:sz w:val="24"/>
          <w:szCs w:val="24"/>
          <w:lang w:val="en-US"/>
        </w:rPr>
        <w:br w:type="page"/>
      </w:r>
    </w:p>
    <w:p w14:paraId="1661B974" w14:textId="77777777" w:rsidR="006F41BC" w:rsidRPr="00F47ED3" w:rsidRDefault="006F41BC" w:rsidP="00B304CD">
      <w:pPr>
        <w:numPr>
          <w:ilvl w:val="0"/>
          <w:numId w:val="1"/>
        </w:numPr>
        <w:spacing w:before="120" w:after="120" w:line="240" w:lineRule="auto"/>
        <w:ind w:left="567" w:hanging="567"/>
        <w:jc w:val="both"/>
        <w:rPr>
          <w:rFonts w:ascii="Times New Roman" w:hAnsi="Times New Roman"/>
          <w:b/>
          <w:sz w:val="24"/>
          <w:szCs w:val="24"/>
          <w:lang w:val="en-US"/>
        </w:rPr>
      </w:pPr>
      <w:r w:rsidRPr="00F47ED3">
        <w:rPr>
          <w:rFonts w:ascii="Times New Roman" w:hAnsi="Times New Roman"/>
          <w:b/>
          <w:sz w:val="24"/>
          <w:szCs w:val="24"/>
          <w:lang w:val="en-US"/>
        </w:rPr>
        <w:lastRenderedPageBreak/>
        <w:t>Executive Summary</w:t>
      </w:r>
    </w:p>
    <w:p w14:paraId="3E144A2B" w14:textId="483993E8" w:rsidR="006F41BC" w:rsidRPr="00F47ED3" w:rsidRDefault="006F41BC" w:rsidP="00C133DA">
      <w:pPr>
        <w:pStyle w:val="ListParagraph"/>
        <w:numPr>
          <w:ilvl w:val="1"/>
          <w:numId w:val="1"/>
        </w:numPr>
        <w:spacing w:before="120" w:after="120" w:line="240" w:lineRule="auto"/>
        <w:contextualSpacing w:val="0"/>
        <w:jc w:val="both"/>
        <w:rPr>
          <w:rFonts w:ascii="Times New Roman" w:hAnsi="Times New Roman"/>
          <w:sz w:val="24"/>
          <w:szCs w:val="24"/>
          <w:lang w:val="en-US"/>
        </w:rPr>
      </w:pPr>
      <w:r w:rsidRPr="00F47ED3">
        <w:rPr>
          <w:rFonts w:ascii="Times New Roman" w:hAnsi="Times New Roman"/>
          <w:sz w:val="24"/>
          <w:szCs w:val="24"/>
          <w:lang w:val="en-US"/>
        </w:rPr>
        <w:t xml:space="preserve">The present study was prepared to estimate the financial benefits to be generated by strengthening </w:t>
      </w:r>
      <w:r w:rsidR="00CE4DCE" w:rsidRPr="00F47ED3">
        <w:rPr>
          <w:rFonts w:ascii="Times New Roman" w:hAnsi="Times New Roman"/>
          <w:sz w:val="24"/>
          <w:szCs w:val="24"/>
          <w:lang w:val="en-US"/>
        </w:rPr>
        <w:t>Public Financial M</w:t>
      </w:r>
      <w:r w:rsidRPr="00F47ED3">
        <w:rPr>
          <w:rFonts w:ascii="Times New Roman" w:hAnsi="Times New Roman"/>
          <w:sz w:val="24"/>
          <w:szCs w:val="24"/>
          <w:lang w:val="en-US"/>
        </w:rPr>
        <w:t xml:space="preserve">anagement in Trinidad and Tobago. In this context, through a </w:t>
      </w:r>
      <w:r w:rsidR="00693139" w:rsidRPr="00F47ED3">
        <w:rPr>
          <w:rFonts w:ascii="Times New Roman" w:hAnsi="Times New Roman"/>
          <w:sz w:val="24"/>
          <w:szCs w:val="24"/>
          <w:lang w:val="en-US"/>
        </w:rPr>
        <w:t>Financial</w:t>
      </w:r>
      <w:r w:rsidRPr="00F47ED3">
        <w:rPr>
          <w:rFonts w:ascii="Times New Roman" w:hAnsi="Times New Roman"/>
          <w:sz w:val="24"/>
          <w:szCs w:val="24"/>
          <w:lang w:val="en-US"/>
        </w:rPr>
        <w:t xml:space="preserve"> </w:t>
      </w:r>
      <w:r w:rsidR="00A461AC" w:rsidRPr="00F47ED3">
        <w:rPr>
          <w:rFonts w:ascii="Times New Roman" w:hAnsi="Times New Roman"/>
          <w:sz w:val="24"/>
          <w:szCs w:val="24"/>
          <w:lang w:val="en-US"/>
        </w:rPr>
        <w:t>Appraisal</w:t>
      </w:r>
      <w:r w:rsidRPr="00F47ED3">
        <w:rPr>
          <w:rFonts w:ascii="Times New Roman" w:hAnsi="Times New Roman"/>
          <w:sz w:val="24"/>
          <w:szCs w:val="24"/>
          <w:lang w:val="en-US"/>
        </w:rPr>
        <w:t xml:space="preserve"> methodology, </w:t>
      </w:r>
      <w:r w:rsidR="00C133DA" w:rsidRPr="00F47ED3">
        <w:rPr>
          <w:rFonts w:ascii="Times New Roman" w:hAnsi="Times New Roman"/>
          <w:sz w:val="24"/>
          <w:szCs w:val="24"/>
          <w:lang w:val="en-US"/>
        </w:rPr>
        <w:t>one of the</w:t>
      </w:r>
      <w:r w:rsidRPr="00F47ED3">
        <w:rPr>
          <w:rFonts w:ascii="Times New Roman" w:hAnsi="Times New Roman"/>
          <w:sz w:val="24"/>
          <w:szCs w:val="24"/>
          <w:lang w:val="en-US"/>
        </w:rPr>
        <w:t xml:space="preserve"> expected </w:t>
      </w:r>
      <w:r w:rsidR="00C133DA" w:rsidRPr="00F47ED3">
        <w:rPr>
          <w:rFonts w:ascii="Times New Roman" w:hAnsi="Times New Roman"/>
          <w:sz w:val="24"/>
          <w:szCs w:val="24"/>
          <w:lang w:val="en-US"/>
        </w:rPr>
        <w:t>results</w:t>
      </w:r>
      <w:r w:rsidRPr="00F47ED3">
        <w:rPr>
          <w:rFonts w:ascii="Times New Roman" w:hAnsi="Times New Roman"/>
          <w:sz w:val="24"/>
          <w:szCs w:val="24"/>
          <w:lang w:val="en-US"/>
        </w:rPr>
        <w:t xml:space="preserve"> of the </w:t>
      </w:r>
      <w:r w:rsidR="00157B9C" w:rsidRPr="00F47ED3">
        <w:rPr>
          <w:rFonts w:ascii="Times New Roman" w:hAnsi="Times New Roman"/>
          <w:sz w:val="24"/>
          <w:szCs w:val="24"/>
          <w:lang w:val="en-US"/>
        </w:rPr>
        <w:t>Pro</w:t>
      </w:r>
      <w:r w:rsidR="00157B9C">
        <w:rPr>
          <w:rFonts w:ascii="Times New Roman" w:hAnsi="Times New Roman"/>
          <w:sz w:val="24"/>
          <w:szCs w:val="24"/>
          <w:lang w:val="en-US"/>
        </w:rPr>
        <w:t>ject</w:t>
      </w:r>
      <w:r w:rsidR="00157B9C" w:rsidRPr="00F47ED3">
        <w:rPr>
          <w:rFonts w:ascii="Times New Roman" w:hAnsi="Times New Roman"/>
          <w:sz w:val="24"/>
          <w:szCs w:val="24"/>
          <w:lang w:val="en-US"/>
        </w:rPr>
        <w:t xml:space="preserve"> </w:t>
      </w:r>
      <w:r w:rsidRPr="00F47ED3">
        <w:rPr>
          <w:rFonts w:ascii="Times New Roman" w:hAnsi="Times New Roman"/>
          <w:sz w:val="24"/>
          <w:szCs w:val="24"/>
          <w:lang w:val="en-US"/>
        </w:rPr>
        <w:t>is evaluated</w:t>
      </w:r>
      <w:r w:rsidR="00C133DA" w:rsidRPr="00F47ED3">
        <w:rPr>
          <w:rFonts w:ascii="Times New Roman" w:hAnsi="Times New Roman"/>
          <w:sz w:val="24"/>
          <w:szCs w:val="24"/>
          <w:lang w:val="en-US"/>
        </w:rPr>
        <w:t xml:space="preserve"> (Decrease from TT$ </w:t>
      </w:r>
      <w:r w:rsidR="004058E3">
        <w:rPr>
          <w:rFonts w:ascii="Times New Roman" w:hAnsi="Times New Roman"/>
          <w:sz w:val="24"/>
          <w:szCs w:val="24"/>
          <w:lang w:val="en-US"/>
        </w:rPr>
        <w:t>6.241</w:t>
      </w:r>
      <w:r w:rsidR="008C5A1F" w:rsidRPr="00F47ED3">
        <w:rPr>
          <w:rFonts w:ascii="Times New Roman" w:hAnsi="Times New Roman"/>
          <w:sz w:val="24"/>
          <w:szCs w:val="24"/>
          <w:lang w:val="en-US"/>
        </w:rPr>
        <w:t xml:space="preserve"> </w:t>
      </w:r>
      <w:r w:rsidR="00C133DA" w:rsidRPr="00F47ED3">
        <w:rPr>
          <w:rFonts w:ascii="Times New Roman" w:hAnsi="Times New Roman"/>
          <w:sz w:val="24"/>
          <w:szCs w:val="24"/>
          <w:lang w:val="en-US"/>
        </w:rPr>
        <w:t xml:space="preserve">billion to TT$ </w:t>
      </w:r>
      <w:r w:rsidR="00E12BAF" w:rsidRPr="00F47ED3">
        <w:rPr>
          <w:rFonts w:ascii="Times New Roman" w:hAnsi="Times New Roman"/>
          <w:sz w:val="24"/>
          <w:szCs w:val="24"/>
          <w:lang w:val="en-US"/>
        </w:rPr>
        <w:t>0.0</w:t>
      </w:r>
      <w:r w:rsidR="00C133DA" w:rsidRPr="00F47ED3">
        <w:rPr>
          <w:rFonts w:ascii="Times New Roman" w:hAnsi="Times New Roman"/>
          <w:sz w:val="24"/>
          <w:szCs w:val="24"/>
          <w:lang w:val="en-US"/>
        </w:rPr>
        <w:t xml:space="preserve"> billion </w:t>
      </w:r>
      <w:r w:rsidR="00D87D82" w:rsidRPr="00F47ED3">
        <w:rPr>
          <w:rFonts w:ascii="Times New Roman" w:eastAsia="Times New Roman" w:hAnsi="Times New Roman"/>
          <w:sz w:val="24"/>
          <w:szCs w:val="24"/>
          <w:lang w:val="en-US"/>
        </w:rPr>
        <w:t>-</w:t>
      </w:r>
      <w:r w:rsidR="004058E3">
        <w:rPr>
          <w:rFonts w:ascii="Times New Roman" w:eastAsia="Times New Roman" w:hAnsi="Times New Roman"/>
          <w:sz w:val="24"/>
          <w:szCs w:val="24"/>
          <w:lang w:val="en-US"/>
        </w:rPr>
        <w:t xml:space="preserve"> </w:t>
      </w:r>
      <w:r w:rsidR="00C133DA" w:rsidRPr="00F47ED3">
        <w:rPr>
          <w:rFonts w:ascii="Times New Roman" w:eastAsia="Times New Roman" w:hAnsi="Times New Roman"/>
          <w:sz w:val="24"/>
          <w:szCs w:val="24"/>
          <w:lang w:val="en-US"/>
        </w:rPr>
        <w:t>average</w:t>
      </w:r>
      <w:r w:rsidR="008C5A1F" w:rsidRPr="00F47ED3">
        <w:rPr>
          <w:rFonts w:ascii="Times New Roman" w:eastAsia="Times New Roman" w:hAnsi="Times New Roman"/>
          <w:sz w:val="24"/>
          <w:szCs w:val="24"/>
          <w:lang w:val="en-US"/>
        </w:rPr>
        <w:t xml:space="preserve"> </w:t>
      </w:r>
      <w:r w:rsidR="00DA1B33">
        <w:rPr>
          <w:rFonts w:ascii="Times New Roman" w:eastAsia="Times New Roman" w:hAnsi="Times New Roman"/>
          <w:sz w:val="24"/>
          <w:szCs w:val="24"/>
          <w:lang w:val="en-US"/>
        </w:rPr>
        <w:t xml:space="preserve">balance </w:t>
      </w:r>
      <w:r w:rsidR="008C5A1F" w:rsidRPr="00F47ED3">
        <w:rPr>
          <w:rFonts w:ascii="Times New Roman" w:eastAsia="Times New Roman" w:hAnsi="Times New Roman"/>
          <w:sz w:val="24"/>
          <w:szCs w:val="24"/>
          <w:lang w:val="en-US"/>
        </w:rPr>
        <w:t>in constant price</w:t>
      </w:r>
      <w:r w:rsidR="003F0E9F" w:rsidRPr="00F47ED3">
        <w:rPr>
          <w:rFonts w:ascii="Times New Roman" w:eastAsia="Times New Roman" w:hAnsi="Times New Roman"/>
          <w:sz w:val="24"/>
          <w:szCs w:val="24"/>
          <w:lang w:val="en-US"/>
        </w:rPr>
        <w:t>s</w:t>
      </w:r>
      <w:r w:rsidR="00C133DA" w:rsidRPr="00F47ED3">
        <w:rPr>
          <w:rFonts w:ascii="Times New Roman" w:eastAsia="Times New Roman" w:hAnsi="Times New Roman"/>
          <w:sz w:val="24"/>
          <w:szCs w:val="24"/>
          <w:lang w:val="en-US"/>
        </w:rPr>
        <w:t xml:space="preserve"> of the Suspense Account</w:t>
      </w:r>
      <w:r w:rsidR="00DA1B33">
        <w:rPr>
          <w:rStyle w:val="FootnoteReference"/>
          <w:rFonts w:ascii="Times New Roman" w:eastAsia="Times New Roman" w:hAnsi="Times New Roman"/>
          <w:sz w:val="24"/>
          <w:szCs w:val="24"/>
          <w:lang w:val="en-US"/>
        </w:rPr>
        <w:footnoteReference w:id="1"/>
      </w:r>
      <w:r w:rsidR="00C133DA" w:rsidRPr="00F47ED3">
        <w:rPr>
          <w:rFonts w:ascii="Times New Roman" w:eastAsia="Times New Roman" w:hAnsi="Times New Roman"/>
          <w:sz w:val="24"/>
          <w:szCs w:val="24"/>
          <w:lang w:val="en-US"/>
        </w:rPr>
        <w:t>)</w:t>
      </w:r>
      <w:r w:rsidRPr="00F47ED3">
        <w:rPr>
          <w:rFonts w:ascii="Times New Roman" w:hAnsi="Times New Roman"/>
          <w:sz w:val="24"/>
          <w:szCs w:val="24"/>
          <w:lang w:val="en-US"/>
        </w:rPr>
        <w:t xml:space="preserve">. </w:t>
      </w:r>
      <w:r w:rsidR="00305359" w:rsidRPr="00F47ED3">
        <w:rPr>
          <w:rFonts w:ascii="Times New Roman" w:hAnsi="Times New Roman"/>
          <w:sz w:val="24"/>
          <w:szCs w:val="24"/>
          <w:lang w:val="en-US"/>
        </w:rPr>
        <w:t>The Pro</w:t>
      </w:r>
      <w:r w:rsidR="00D87D82" w:rsidRPr="00F47ED3">
        <w:rPr>
          <w:rFonts w:ascii="Times New Roman" w:hAnsi="Times New Roman"/>
          <w:sz w:val="24"/>
          <w:szCs w:val="24"/>
          <w:lang w:val="en-US"/>
        </w:rPr>
        <w:t xml:space="preserve">gram </w:t>
      </w:r>
      <w:r w:rsidRPr="00F47ED3">
        <w:rPr>
          <w:rFonts w:ascii="Times New Roman" w:hAnsi="Times New Roman"/>
          <w:sz w:val="24"/>
          <w:szCs w:val="24"/>
          <w:lang w:val="en-US"/>
        </w:rPr>
        <w:t>aim</w:t>
      </w:r>
      <w:r w:rsidR="00F16F8B" w:rsidRPr="00F47ED3">
        <w:rPr>
          <w:rFonts w:ascii="Times New Roman" w:hAnsi="Times New Roman"/>
          <w:sz w:val="24"/>
          <w:szCs w:val="24"/>
          <w:lang w:val="en-US"/>
        </w:rPr>
        <w:t>s</w:t>
      </w:r>
      <w:r w:rsidRPr="00F47ED3">
        <w:rPr>
          <w:rFonts w:ascii="Times New Roman" w:hAnsi="Times New Roman"/>
          <w:sz w:val="24"/>
          <w:szCs w:val="24"/>
          <w:lang w:val="en-US"/>
        </w:rPr>
        <w:t xml:space="preserve"> </w:t>
      </w:r>
      <w:r w:rsidR="00C133DA" w:rsidRPr="00F47ED3">
        <w:rPr>
          <w:rFonts w:ascii="Times New Roman" w:hAnsi="Times New Roman"/>
          <w:sz w:val="24"/>
          <w:szCs w:val="24"/>
          <w:lang w:val="en-US"/>
        </w:rPr>
        <w:t xml:space="preserve">to improve the efficiency and effectiveness of the Government of the Republic of Trinidad and Tobago </w:t>
      </w:r>
      <w:r w:rsidR="00157B9C">
        <w:rPr>
          <w:rFonts w:ascii="Times New Roman" w:hAnsi="Times New Roman"/>
          <w:sz w:val="24"/>
          <w:szCs w:val="24"/>
          <w:lang w:val="en-US"/>
        </w:rPr>
        <w:t>(</w:t>
      </w:r>
      <w:proofErr w:type="spellStart"/>
      <w:r w:rsidR="00157B9C">
        <w:rPr>
          <w:rFonts w:ascii="Times New Roman" w:hAnsi="Times New Roman"/>
          <w:sz w:val="24"/>
          <w:szCs w:val="24"/>
          <w:lang w:val="en-US"/>
        </w:rPr>
        <w:t>GoRTT</w:t>
      </w:r>
      <w:proofErr w:type="spellEnd"/>
      <w:r w:rsidR="00157B9C">
        <w:rPr>
          <w:rFonts w:ascii="Times New Roman" w:hAnsi="Times New Roman"/>
          <w:sz w:val="24"/>
          <w:szCs w:val="24"/>
          <w:lang w:val="en-US"/>
        </w:rPr>
        <w:t xml:space="preserve">) </w:t>
      </w:r>
      <w:r w:rsidR="00C133DA" w:rsidRPr="00F47ED3">
        <w:rPr>
          <w:rFonts w:ascii="Times New Roman" w:hAnsi="Times New Roman"/>
          <w:sz w:val="24"/>
          <w:szCs w:val="24"/>
          <w:lang w:val="en-US"/>
        </w:rPr>
        <w:t>to allocate public resources for public service delivery</w:t>
      </w:r>
      <w:r w:rsidRPr="00F47ED3">
        <w:rPr>
          <w:rFonts w:ascii="Times New Roman" w:hAnsi="Times New Roman"/>
          <w:sz w:val="24"/>
          <w:szCs w:val="24"/>
          <w:lang w:val="en-US"/>
        </w:rPr>
        <w:t xml:space="preserve">. </w:t>
      </w:r>
    </w:p>
    <w:p w14:paraId="2B6E21D9" w14:textId="7457993D" w:rsidR="004E597C" w:rsidRPr="005874C2" w:rsidRDefault="004E597C" w:rsidP="006F41BC">
      <w:pPr>
        <w:pStyle w:val="ListParagraph"/>
        <w:numPr>
          <w:ilvl w:val="1"/>
          <w:numId w:val="1"/>
        </w:numPr>
        <w:spacing w:before="120" w:after="120" w:line="240" w:lineRule="auto"/>
        <w:contextualSpacing w:val="0"/>
        <w:jc w:val="both"/>
        <w:rPr>
          <w:rFonts w:ascii="Times New Roman" w:hAnsi="Times New Roman"/>
          <w:sz w:val="24"/>
          <w:szCs w:val="24"/>
          <w:lang w:val="en-US"/>
        </w:rPr>
      </w:pPr>
      <w:r w:rsidRPr="00F47ED3">
        <w:rPr>
          <w:rFonts w:ascii="Times New Roman" w:hAnsi="Times New Roman"/>
          <w:b/>
          <w:i/>
          <w:sz w:val="24"/>
          <w:szCs w:val="24"/>
          <w:lang w:val="en-US"/>
        </w:rPr>
        <w:t>Assumption. On a conservative basis, it is estimated that the implementation of the Integrated Financial Management System (IFMIS) cashiering module at revenue collection offices will generate a financial benefit of US$</w:t>
      </w:r>
      <w:r w:rsidR="006C6C61">
        <w:rPr>
          <w:rFonts w:ascii="Times New Roman" w:hAnsi="Times New Roman"/>
          <w:b/>
          <w:i/>
          <w:sz w:val="24"/>
          <w:szCs w:val="24"/>
          <w:lang w:val="en-US"/>
        </w:rPr>
        <w:t xml:space="preserve"> </w:t>
      </w:r>
      <w:r w:rsidR="004058E3">
        <w:rPr>
          <w:rFonts w:ascii="Times New Roman" w:hAnsi="Times New Roman"/>
          <w:b/>
          <w:i/>
          <w:sz w:val="24"/>
          <w:szCs w:val="24"/>
          <w:lang w:val="en-US"/>
        </w:rPr>
        <w:t>4.78</w:t>
      </w:r>
      <w:r w:rsidR="006C6C61">
        <w:rPr>
          <w:rFonts w:ascii="Times New Roman" w:hAnsi="Times New Roman"/>
          <w:b/>
          <w:i/>
          <w:sz w:val="24"/>
          <w:szCs w:val="24"/>
          <w:lang w:val="en-US"/>
        </w:rPr>
        <w:t xml:space="preserve"> </w:t>
      </w:r>
      <w:r w:rsidRPr="00F47ED3">
        <w:rPr>
          <w:rFonts w:ascii="Times New Roman" w:hAnsi="Times New Roman"/>
          <w:b/>
          <w:i/>
          <w:sz w:val="24"/>
          <w:szCs w:val="24"/>
          <w:lang w:val="en-US"/>
        </w:rPr>
        <w:t xml:space="preserve">million, </w:t>
      </w:r>
      <w:r w:rsidR="00AB1B61">
        <w:rPr>
          <w:rFonts w:ascii="Times New Roman" w:hAnsi="Times New Roman"/>
          <w:b/>
          <w:i/>
          <w:sz w:val="24"/>
          <w:szCs w:val="24"/>
          <w:lang w:val="en-US"/>
        </w:rPr>
        <w:t xml:space="preserve">to be </w:t>
      </w:r>
      <w:r w:rsidRPr="00F47ED3">
        <w:rPr>
          <w:rFonts w:ascii="Times New Roman" w:hAnsi="Times New Roman"/>
          <w:b/>
          <w:i/>
          <w:sz w:val="24"/>
          <w:szCs w:val="24"/>
          <w:lang w:val="en-US"/>
        </w:rPr>
        <w:t>accrued in 2018</w:t>
      </w:r>
      <w:r w:rsidR="00AB1B61">
        <w:rPr>
          <w:rFonts w:ascii="Times New Roman" w:hAnsi="Times New Roman"/>
          <w:b/>
          <w:i/>
          <w:sz w:val="24"/>
          <w:szCs w:val="24"/>
          <w:lang w:val="en-US"/>
        </w:rPr>
        <w:t>. This financial benefit is</w:t>
      </w:r>
      <w:r w:rsidR="00CE4DCE" w:rsidRPr="00F47ED3">
        <w:rPr>
          <w:rFonts w:ascii="Times New Roman" w:hAnsi="Times New Roman"/>
          <w:b/>
          <w:i/>
          <w:sz w:val="24"/>
          <w:szCs w:val="24"/>
          <w:lang w:val="en-US"/>
        </w:rPr>
        <w:t xml:space="preserve"> a</w:t>
      </w:r>
      <w:r w:rsidRPr="00F47ED3">
        <w:rPr>
          <w:rFonts w:ascii="Times New Roman" w:hAnsi="Times New Roman"/>
          <w:b/>
          <w:i/>
          <w:sz w:val="24"/>
          <w:szCs w:val="24"/>
          <w:lang w:val="en-US"/>
        </w:rPr>
        <w:t xml:space="preserve"> result of </w:t>
      </w:r>
      <w:r w:rsidR="00AB1B61">
        <w:rPr>
          <w:rFonts w:ascii="Times New Roman" w:hAnsi="Times New Roman"/>
          <w:b/>
          <w:i/>
          <w:sz w:val="24"/>
          <w:szCs w:val="24"/>
          <w:lang w:val="en-US"/>
        </w:rPr>
        <w:t xml:space="preserve">calculating </w:t>
      </w:r>
      <w:r w:rsidRPr="00F47ED3">
        <w:rPr>
          <w:rFonts w:ascii="Times New Roman" w:hAnsi="Times New Roman"/>
          <w:b/>
          <w:i/>
          <w:sz w:val="24"/>
          <w:szCs w:val="24"/>
          <w:lang w:val="en-US"/>
        </w:rPr>
        <w:t>the opportunity cost</w:t>
      </w:r>
      <w:r w:rsidRPr="00F47ED3">
        <w:rPr>
          <w:rStyle w:val="FootnoteReference"/>
          <w:rFonts w:ascii="Times New Roman" w:hAnsi="Times New Roman"/>
          <w:b/>
          <w:i/>
          <w:sz w:val="24"/>
          <w:szCs w:val="24"/>
          <w:lang w:val="en-US"/>
        </w:rPr>
        <w:footnoteReference w:id="2"/>
      </w:r>
      <w:r w:rsidRPr="00F47ED3">
        <w:rPr>
          <w:rFonts w:ascii="Times New Roman" w:hAnsi="Times New Roman"/>
          <w:b/>
          <w:i/>
          <w:sz w:val="24"/>
          <w:szCs w:val="24"/>
          <w:lang w:val="en-US"/>
        </w:rPr>
        <w:t xml:space="preserve"> of </w:t>
      </w:r>
      <w:r w:rsidR="00AB1B61">
        <w:rPr>
          <w:rFonts w:ascii="Times New Roman" w:hAnsi="Times New Roman"/>
          <w:b/>
          <w:i/>
          <w:sz w:val="24"/>
          <w:szCs w:val="24"/>
          <w:lang w:val="en-US"/>
        </w:rPr>
        <w:t xml:space="preserve">promptly releasing </w:t>
      </w:r>
      <w:r w:rsidRPr="00F47ED3">
        <w:rPr>
          <w:rFonts w:ascii="Times New Roman" w:hAnsi="Times New Roman"/>
          <w:b/>
          <w:i/>
          <w:sz w:val="24"/>
          <w:szCs w:val="24"/>
          <w:lang w:val="en-US"/>
        </w:rPr>
        <w:t xml:space="preserve">the funds from the </w:t>
      </w:r>
      <w:r w:rsidR="006A53CD">
        <w:rPr>
          <w:rFonts w:ascii="Times New Roman" w:hAnsi="Times New Roman"/>
          <w:b/>
          <w:i/>
          <w:sz w:val="24"/>
          <w:szCs w:val="24"/>
          <w:lang w:val="en-US"/>
        </w:rPr>
        <w:t xml:space="preserve">Treasury </w:t>
      </w:r>
      <w:r w:rsidR="00D41EE6">
        <w:rPr>
          <w:rFonts w:ascii="Times New Roman" w:hAnsi="Times New Roman"/>
          <w:b/>
          <w:i/>
          <w:sz w:val="24"/>
          <w:szCs w:val="24"/>
          <w:lang w:val="en-US"/>
        </w:rPr>
        <w:t>S</w:t>
      </w:r>
      <w:r w:rsidRPr="00F47ED3">
        <w:rPr>
          <w:rFonts w:ascii="Times New Roman" w:hAnsi="Times New Roman"/>
          <w:b/>
          <w:i/>
          <w:sz w:val="24"/>
          <w:szCs w:val="24"/>
          <w:lang w:val="en-US"/>
        </w:rPr>
        <w:t xml:space="preserve">uspense </w:t>
      </w:r>
      <w:r w:rsidR="00D41EE6">
        <w:rPr>
          <w:rFonts w:ascii="Times New Roman" w:hAnsi="Times New Roman"/>
          <w:b/>
          <w:i/>
          <w:sz w:val="24"/>
          <w:szCs w:val="24"/>
          <w:lang w:val="en-US"/>
        </w:rPr>
        <w:t>A</w:t>
      </w:r>
      <w:r w:rsidRPr="00F47ED3">
        <w:rPr>
          <w:rFonts w:ascii="Times New Roman" w:hAnsi="Times New Roman"/>
          <w:b/>
          <w:i/>
          <w:sz w:val="24"/>
          <w:szCs w:val="24"/>
          <w:lang w:val="en-US"/>
        </w:rPr>
        <w:t>ccount</w:t>
      </w:r>
      <w:r w:rsidR="00CE4DCE" w:rsidRPr="00F47ED3">
        <w:rPr>
          <w:rFonts w:ascii="Times New Roman" w:hAnsi="Times New Roman"/>
          <w:b/>
          <w:i/>
          <w:sz w:val="24"/>
          <w:szCs w:val="24"/>
          <w:lang w:val="en-US"/>
        </w:rPr>
        <w:t>.</w:t>
      </w:r>
      <w:r w:rsidRPr="00F47ED3">
        <w:rPr>
          <w:rStyle w:val="FootnoteReference"/>
          <w:rFonts w:ascii="Times New Roman" w:hAnsi="Times New Roman"/>
          <w:b/>
          <w:i/>
          <w:sz w:val="24"/>
          <w:szCs w:val="24"/>
          <w:lang w:val="en-US"/>
        </w:rPr>
        <w:footnoteReference w:id="3"/>
      </w:r>
      <w:r w:rsidRPr="00F47ED3">
        <w:rPr>
          <w:rFonts w:ascii="Times New Roman" w:hAnsi="Times New Roman"/>
          <w:sz w:val="24"/>
          <w:szCs w:val="24"/>
          <w:lang w:val="en-US"/>
        </w:rPr>
        <w:t xml:space="preserve">  </w:t>
      </w:r>
      <w:r w:rsidR="00AB1B61">
        <w:rPr>
          <w:rFonts w:ascii="Times New Roman" w:hAnsi="Times New Roman"/>
          <w:b/>
          <w:i/>
          <w:sz w:val="24"/>
          <w:szCs w:val="24"/>
          <w:lang w:val="en-US"/>
        </w:rPr>
        <w:t>T</w:t>
      </w:r>
      <w:r w:rsidR="0095233F">
        <w:rPr>
          <w:rFonts w:ascii="Times New Roman" w:hAnsi="Times New Roman"/>
          <w:b/>
          <w:i/>
          <w:sz w:val="24"/>
          <w:szCs w:val="24"/>
          <w:lang w:val="en-US"/>
        </w:rPr>
        <w:t xml:space="preserve">he </w:t>
      </w:r>
      <w:r w:rsidR="00AB1B61">
        <w:rPr>
          <w:rFonts w:ascii="Times New Roman" w:hAnsi="Times New Roman"/>
          <w:b/>
          <w:i/>
          <w:sz w:val="24"/>
          <w:szCs w:val="24"/>
          <w:lang w:val="en-US"/>
        </w:rPr>
        <w:t xml:space="preserve">project </w:t>
      </w:r>
      <w:r w:rsidR="0095233F">
        <w:rPr>
          <w:rFonts w:ascii="Times New Roman" w:hAnsi="Times New Roman"/>
          <w:b/>
          <w:i/>
          <w:sz w:val="24"/>
          <w:szCs w:val="24"/>
          <w:lang w:val="en-US"/>
        </w:rPr>
        <w:t xml:space="preserve">benefit is </w:t>
      </w:r>
      <w:r w:rsidR="00AB1B61">
        <w:rPr>
          <w:rFonts w:ascii="Times New Roman" w:hAnsi="Times New Roman"/>
          <w:b/>
          <w:i/>
          <w:sz w:val="24"/>
          <w:szCs w:val="24"/>
          <w:lang w:val="en-US"/>
        </w:rPr>
        <w:t xml:space="preserve">estimated by </w:t>
      </w:r>
      <w:r w:rsidR="0095233F">
        <w:rPr>
          <w:rFonts w:ascii="Times New Roman" w:hAnsi="Times New Roman"/>
          <w:b/>
          <w:i/>
          <w:sz w:val="24"/>
          <w:szCs w:val="24"/>
          <w:lang w:val="en-US"/>
        </w:rPr>
        <w:t>calculat</w:t>
      </w:r>
      <w:r w:rsidR="00AB1B61">
        <w:rPr>
          <w:rFonts w:ascii="Times New Roman" w:hAnsi="Times New Roman"/>
          <w:b/>
          <w:i/>
          <w:sz w:val="24"/>
          <w:szCs w:val="24"/>
          <w:lang w:val="en-US"/>
        </w:rPr>
        <w:t>ing</w:t>
      </w:r>
      <w:r w:rsidR="0095233F">
        <w:rPr>
          <w:rFonts w:ascii="Times New Roman" w:hAnsi="Times New Roman"/>
          <w:b/>
          <w:i/>
          <w:sz w:val="24"/>
          <w:szCs w:val="24"/>
          <w:lang w:val="en-US"/>
        </w:rPr>
        <w:t xml:space="preserve"> </w:t>
      </w:r>
      <w:r w:rsidR="00AB1B61">
        <w:rPr>
          <w:rFonts w:ascii="Times New Roman" w:hAnsi="Times New Roman"/>
          <w:b/>
          <w:i/>
          <w:sz w:val="24"/>
          <w:szCs w:val="24"/>
          <w:lang w:val="en-US"/>
        </w:rPr>
        <w:t>(</w:t>
      </w:r>
      <w:proofErr w:type="spellStart"/>
      <w:r w:rsidR="00AB1B61">
        <w:rPr>
          <w:rFonts w:ascii="Times New Roman" w:hAnsi="Times New Roman"/>
          <w:b/>
          <w:i/>
          <w:sz w:val="24"/>
          <w:szCs w:val="24"/>
          <w:lang w:val="en-US"/>
        </w:rPr>
        <w:t>i</w:t>
      </w:r>
      <w:proofErr w:type="spellEnd"/>
      <w:r w:rsidR="00AB1B61">
        <w:rPr>
          <w:rFonts w:ascii="Times New Roman" w:hAnsi="Times New Roman"/>
          <w:b/>
          <w:i/>
          <w:sz w:val="24"/>
          <w:szCs w:val="24"/>
          <w:lang w:val="en-US"/>
        </w:rPr>
        <w:t>)</w:t>
      </w:r>
      <w:r w:rsidR="0095233F">
        <w:rPr>
          <w:rFonts w:ascii="Times New Roman" w:hAnsi="Times New Roman"/>
          <w:b/>
          <w:i/>
          <w:sz w:val="24"/>
          <w:szCs w:val="24"/>
          <w:lang w:val="en-US"/>
        </w:rPr>
        <w:t xml:space="preserve"> the </w:t>
      </w:r>
      <w:r w:rsidR="00AB1B61">
        <w:rPr>
          <w:rFonts w:ascii="Times New Roman" w:hAnsi="Times New Roman"/>
          <w:b/>
          <w:i/>
          <w:sz w:val="24"/>
          <w:szCs w:val="24"/>
          <w:lang w:val="en-US"/>
        </w:rPr>
        <w:t xml:space="preserve">30-day investment </w:t>
      </w:r>
      <w:r w:rsidR="0095233F">
        <w:rPr>
          <w:rFonts w:ascii="Times New Roman" w:hAnsi="Times New Roman"/>
          <w:b/>
          <w:i/>
          <w:sz w:val="24"/>
          <w:szCs w:val="24"/>
          <w:lang w:val="en-US"/>
        </w:rPr>
        <w:t xml:space="preserve">return </w:t>
      </w:r>
      <w:r w:rsidR="00AB1B61">
        <w:rPr>
          <w:rFonts w:ascii="Times New Roman" w:hAnsi="Times New Roman"/>
          <w:b/>
          <w:i/>
          <w:sz w:val="24"/>
          <w:szCs w:val="24"/>
          <w:lang w:val="en-US"/>
        </w:rPr>
        <w:t xml:space="preserve">of depositing </w:t>
      </w:r>
      <w:r w:rsidR="0095233F">
        <w:rPr>
          <w:rFonts w:ascii="Times New Roman" w:hAnsi="Times New Roman"/>
          <w:b/>
          <w:i/>
          <w:sz w:val="24"/>
          <w:szCs w:val="24"/>
          <w:lang w:val="en-US"/>
        </w:rPr>
        <w:t>the annual average amount</w:t>
      </w:r>
      <w:r w:rsidR="00AB1B61">
        <w:rPr>
          <w:rFonts w:ascii="Times New Roman" w:hAnsi="Times New Roman"/>
          <w:b/>
          <w:i/>
          <w:sz w:val="24"/>
          <w:szCs w:val="24"/>
          <w:lang w:val="en-US"/>
        </w:rPr>
        <w:t xml:space="preserve"> held</w:t>
      </w:r>
      <w:r w:rsidR="0095233F">
        <w:rPr>
          <w:rFonts w:ascii="Times New Roman" w:hAnsi="Times New Roman"/>
          <w:b/>
          <w:i/>
          <w:sz w:val="24"/>
          <w:szCs w:val="24"/>
          <w:lang w:val="en-US"/>
        </w:rPr>
        <w:t xml:space="preserve"> idle in the </w:t>
      </w:r>
      <w:r w:rsidR="006A53CD">
        <w:rPr>
          <w:rFonts w:ascii="Times New Roman" w:hAnsi="Times New Roman"/>
          <w:b/>
          <w:i/>
          <w:sz w:val="24"/>
          <w:szCs w:val="24"/>
          <w:lang w:val="en-US"/>
        </w:rPr>
        <w:t xml:space="preserve">Treasury </w:t>
      </w:r>
      <w:r w:rsidR="00D41EE6">
        <w:rPr>
          <w:rFonts w:ascii="Times New Roman" w:hAnsi="Times New Roman"/>
          <w:b/>
          <w:i/>
          <w:sz w:val="24"/>
          <w:szCs w:val="24"/>
          <w:lang w:val="en-US"/>
        </w:rPr>
        <w:t>S</w:t>
      </w:r>
      <w:r w:rsidR="0095233F">
        <w:rPr>
          <w:rFonts w:ascii="Times New Roman" w:hAnsi="Times New Roman"/>
          <w:b/>
          <w:i/>
          <w:sz w:val="24"/>
          <w:szCs w:val="24"/>
          <w:lang w:val="en-US"/>
        </w:rPr>
        <w:t xml:space="preserve">uspense </w:t>
      </w:r>
      <w:r w:rsidR="00D41EE6">
        <w:rPr>
          <w:rFonts w:ascii="Times New Roman" w:hAnsi="Times New Roman"/>
          <w:b/>
          <w:i/>
          <w:sz w:val="24"/>
          <w:szCs w:val="24"/>
          <w:lang w:val="en-US"/>
        </w:rPr>
        <w:t>A</w:t>
      </w:r>
      <w:r w:rsidR="0095233F">
        <w:rPr>
          <w:rFonts w:ascii="Times New Roman" w:hAnsi="Times New Roman"/>
          <w:b/>
          <w:i/>
          <w:sz w:val="24"/>
          <w:szCs w:val="24"/>
          <w:lang w:val="en-US"/>
        </w:rPr>
        <w:t>ccount</w:t>
      </w:r>
      <w:r w:rsidR="00AB1B61">
        <w:rPr>
          <w:rFonts w:ascii="Times New Roman" w:hAnsi="Times New Roman"/>
          <w:b/>
          <w:i/>
          <w:sz w:val="24"/>
          <w:szCs w:val="24"/>
          <w:lang w:val="en-US"/>
        </w:rPr>
        <w:t xml:space="preserve"> in a commercial bank account and (ii)</w:t>
      </w:r>
      <w:r w:rsidR="0095233F">
        <w:rPr>
          <w:rFonts w:ascii="Times New Roman" w:hAnsi="Times New Roman"/>
          <w:b/>
          <w:i/>
          <w:sz w:val="24"/>
          <w:szCs w:val="24"/>
          <w:lang w:val="en-US"/>
        </w:rPr>
        <w:t xml:space="preserve"> the </w:t>
      </w:r>
      <w:r w:rsidR="00797A80">
        <w:rPr>
          <w:rFonts w:ascii="Times New Roman" w:hAnsi="Times New Roman"/>
          <w:b/>
          <w:i/>
          <w:sz w:val="24"/>
          <w:szCs w:val="24"/>
          <w:lang w:val="en-US"/>
        </w:rPr>
        <w:t>benefit</w:t>
      </w:r>
      <w:r w:rsidR="0095233F">
        <w:rPr>
          <w:rFonts w:ascii="Times New Roman" w:hAnsi="Times New Roman"/>
          <w:b/>
          <w:i/>
          <w:sz w:val="24"/>
          <w:szCs w:val="24"/>
          <w:lang w:val="en-US"/>
        </w:rPr>
        <w:t xml:space="preserve"> from the use </w:t>
      </w:r>
      <w:r w:rsidR="00797A80">
        <w:rPr>
          <w:rFonts w:ascii="Times New Roman" w:hAnsi="Times New Roman"/>
          <w:b/>
          <w:i/>
          <w:sz w:val="24"/>
          <w:szCs w:val="24"/>
          <w:lang w:val="en-US"/>
        </w:rPr>
        <w:t xml:space="preserve">of </w:t>
      </w:r>
      <w:r w:rsidR="00AB1B61">
        <w:rPr>
          <w:rFonts w:ascii="Times New Roman" w:hAnsi="Times New Roman"/>
          <w:b/>
          <w:i/>
          <w:sz w:val="24"/>
          <w:szCs w:val="24"/>
          <w:lang w:val="en-US"/>
        </w:rPr>
        <w:t xml:space="preserve">such </w:t>
      </w:r>
      <w:r w:rsidR="00797A80">
        <w:rPr>
          <w:rFonts w:ascii="Times New Roman" w:hAnsi="Times New Roman"/>
          <w:b/>
          <w:i/>
          <w:sz w:val="24"/>
          <w:szCs w:val="24"/>
          <w:lang w:val="en-US"/>
        </w:rPr>
        <w:t>return investment</w:t>
      </w:r>
      <w:r w:rsidR="0095233F">
        <w:rPr>
          <w:rFonts w:ascii="Times New Roman" w:hAnsi="Times New Roman"/>
          <w:b/>
          <w:i/>
          <w:sz w:val="24"/>
          <w:szCs w:val="24"/>
          <w:lang w:val="en-US"/>
        </w:rPr>
        <w:t xml:space="preserve"> to amortize the public debt. </w:t>
      </w:r>
    </w:p>
    <w:p w14:paraId="3B154D96" w14:textId="66714553" w:rsidR="0095233F" w:rsidRDefault="001A3349" w:rsidP="006F41BC">
      <w:pPr>
        <w:pStyle w:val="ListParagraph"/>
        <w:numPr>
          <w:ilvl w:val="1"/>
          <w:numId w:val="1"/>
        </w:numPr>
        <w:spacing w:before="120" w:after="120" w:line="240" w:lineRule="auto"/>
        <w:contextualSpacing w:val="0"/>
        <w:jc w:val="both"/>
        <w:rPr>
          <w:rFonts w:ascii="Times New Roman" w:hAnsi="Times New Roman"/>
          <w:sz w:val="24"/>
          <w:szCs w:val="24"/>
          <w:lang w:val="en-US"/>
        </w:rPr>
      </w:pPr>
      <w:r>
        <w:rPr>
          <w:rFonts w:ascii="Times New Roman" w:hAnsi="Times New Roman"/>
          <w:sz w:val="24"/>
          <w:szCs w:val="24"/>
          <w:lang w:val="en-US"/>
        </w:rPr>
        <w:t>To calculate the benefit over the 20-year period, the project team assumed a constant interest rate over that period. This assumption is more conservative than interest rate estimations</w:t>
      </w:r>
      <w:r w:rsidR="00E3590B">
        <w:rPr>
          <w:rFonts w:ascii="Times New Roman" w:hAnsi="Times New Roman"/>
          <w:sz w:val="24"/>
          <w:szCs w:val="24"/>
          <w:lang w:val="en-US"/>
        </w:rPr>
        <w:t xml:space="preserve"> from the IMF</w:t>
      </w:r>
      <w:r>
        <w:rPr>
          <w:rFonts w:ascii="Times New Roman" w:hAnsi="Times New Roman"/>
          <w:sz w:val="24"/>
          <w:szCs w:val="24"/>
          <w:lang w:val="en-US"/>
        </w:rPr>
        <w:t xml:space="preserve">, which projects an ascendant trajectory of interest rates for years 2014-2019 (8.6% to 10.4%) when estimating </w:t>
      </w:r>
      <w:r w:rsidR="00E3590B">
        <w:rPr>
          <w:rFonts w:ascii="Times New Roman" w:hAnsi="Times New Roman"/>
          <w:sz w:val="24"/>
          <w:szCs w:val="24"/>
          <w:lang w:val="en-US"/>
        </w:rPr>
        <w:t xml:space="preserve">the effective interest rates </w:t>
      </w:r>
      <w:r>
        <w:rPr>
          <w:rFonts w:ascii="Times New Roman" w:hAnsi="Times New Roman"/>
          <w:sz w:val="24"/>
          <w:szCs w:val="24"/>
          <w:lang w:val="en-US"/>
        </w:rPr>
        <w:t xml:space="preserve">to be </w:t>
      </w:r>
      <w:r w:rsidR="00E3590B">
        <w:rPr>
          <w:rFonts w:ascii="Times New Roman" w:hAnsi="Times New Roman"/>
          <w:sz w:val="24"/>
          <w:szCs w:val="24"/>
          <w:lang w:val="en-US"/>
        </w:rPr>
        <w:t>paid by the Government on the public debt</w:t>
      </w:r>
      <w:r>
        <w:rPr>
          <w:rFonts w:ascii="Times New Roman" w:hAnsi="Times New Roman"/>
          <w:sz w:val="24"/>
          <w:szCs w:val="24"/>
          <w:lang w:val="en-US"/>
        </w:rPr>
        <w:t>.</w:t>
      </w:r>
      <w:r w:rsidR="00E3590B">
        <w:rPr>
          <w:rFonts w:ascii="Times New Roman" w:hAnsi="Times New Roman"/>
          <w:sz w:val="24"/>
          <w:szCs w:val="24"/>
          <w:lang w:val="en-US"/>
        </w:rPr>
        <w:t xml:space="preserve"> </w:t>
      </w:r>
      <w:r w:rsidR="0095233F">
        <w:rPr>
          <w:rFonts w:ascii="Times New Roman" w:hAnsi="Times New Roman"/>
          <w:sz w:val="24"/>
          <w:szCs w:val="24"/>
          <w:lang w:val="en-US"/>
        </w:rPr>
        <w:t xml:space="preserve"> </w:t>
      </w:r>
    </w:p>
    <w:p w14:paraId="3B4E3F78" w14:textId="77777777" w:rsidR="00E3590B" w:rsidRDefault="00E3590B" w:rsidP="005874C2">
      <w:pPr>
        <w:pStyle w:val="ListParagraph"/>
        <w:spacing w:before="120" w:after="120" w:line="240" w:lineRule="auto"/>
        <w:ind w:left="180"/>
        <w:contextualSpacing w:val="0"/>
        <w:jc w:val="both"/>
        <w:rPr>
          <w:rFonts w:ascii="Times New Roman" w:hAnsi="Times New Roman"/>
          <w:sz w:val="24"/>
          <w:szCs w:val="24"/>
          <w:lang w:val="en-US"/>
        </w:rPr>
      </w:pPr>
      <w:r>
        <w:rPr>
          <w:noProof/>
          <w:lang w:val="en-US"/>
        </w:rPr>
        <w:drawing>
          <wp:inline distT="0" distB="0" distL="0" distR="0" wp14:anchorId="1770D7F6" wp14:editId="5F19AEB0">
            <wp:extent cx="5613400" cy="1912620"/>
            <wp:effectExtent l="19050" t="19050" r="2540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3400" cy="1912620"/>
                    </a:xfrm>
                    <a:prstGeom prst="rect">
                      <a:avLst/>
                    </a:prstGeom>
                    <a:ln w="25400">
                      <a:solidFill>
                        <a:schemeClr val="accent1"/>
                      </a:solidFill>
                    </a:ln>
                  </pic:spPr>
                </pic:pic>
              </a:graphicData>
            </a:graphic>
          </wp:inline>
        </w:drawing>
      </w:r>
    </w:p>
    <w:p w14:paraId="43E5BF7A" w14:textId="77777777" w:rsidR="006F437A" w:rsidRPr="008E70B0" w:rsidRDefault="006F437A" w:rsidP="005874C2">
      <w:pPr>
        <w:pStyle w:val="ListParagraph"/>
        <w:spacing w:before="120" w:after="120" w:line="240" w:lineRule="auto"/>
        <w:ind w:left="180"/>
        <w:contextualSpacing w:val="0"/>
        <w:jc w:val="both"/>
        <w:rPr>
          <w:rFonts w:ascii="Times New Roman" w:hAnsi="Times New Roman"/>
          <w:sz w:val="20"/>
          <w:szCs w:val="24"/>
          <w:lang w:val="en-US"/>
        </w:rPr>
      </w:pPr>
      <w:r w:rsidRPr="008E70B0">
        <w:rPr>
          <w:rFonts w:ascii="Times New Roman" w:hAnsi="Times New Roman"/>
          <w:sz w:val="20"/>
          <w:szCs w:val="24"/>
          <w:lang w:val="en-US"/>
        </w:rPr>
        <w:t>Source: International Monetary Fund, Article IV for Trinidad and Tobago, Country Report No. 14/271, September 2014, Washington, DC, USA.</w:t>
      </w:r>
    </w:p>
    <w:p w14:paraId="5FEF7FD6" w14:textId="77E076F7" w:rsidR="006F41BC" w:rsidRPr="00F47ED3" w:rsidRDefault="006F41BC" w:rsidP="006F41BC">
      <w:pPr>
        <w:pStyle w:val="ListParagraph"/>
        <w:numPr>
          <w:ilvl w:val="1"/>
          <w:numId w:val="1"/>
        </w:numPr>
        <w:spacing w:before="120" w:after="120" w:line="240" w:lineRule="auto"/>
        <w:contextualSpacing w:val="0"/>
        <w:jc w:val="both"/>
        <w:rPr>
          <w:rFonts w:ascii="Times New Roman" w:hAnsi="Times New Roman"/>
          <w:sz w:val="24"/>
          <w:szCs w:val="24"/>
          <w:lang w:val="en-US"/>
        </w:rPr>
      </w:pPr>
      <w:r w:rsidRPr="00F47ED3">
        <w:rPr>
          <w:rFonts w:ascii="Times New Roman" w:hAnsi="Times New Roman"/>
          <w:sz w:val="24"/>
          <w:szCs w:val="24"/>
          <w:lang w:val="en-US"/>
        </w:rPr>
        <w:t xml:space="preserve">The </w:t>
      </w:r>
      <w:r w:rsidR="001A3349" w:rsidRPr="00F47ED3">
        <w:rPr>
          <w:rFonts w:ascii="Times New Roman" w:hAnsi="Times New Roman"/>
          <w:sz w:val="24"/>
          <w:szCs w:val="24"/>
          <w:lang w:val="en-US"/>
        </w:rPr>
        <w:t>pro</w:t>
      </w:r>
      <w:r w:rsidR="001A3349">
        <w:rPr>
          <w:rFonts w:ascii="Times New Roman" w:hAnsi="Times New Roman"/>
          <w:sz w:val="24"/>
          <w:szCs w:val="24"/>
          <w:lang w:val="en-US"/>
        </w:rPr>
        <w:t>ject</w:t>
      </w:r>
      <w:r w:rsidR="001A3349" w:rsidRPr="00F47ED3">
        <w:rPr>
          <w:rFonts w:ascii="Times New Roman" w:hAnsi="Times New Roman"/>
          <w:sz w:val="24"/>
          <w:szCs w:val="24"/>
          <w:lang w:val="en-US"/>
        </w:rPr>
        <w:t xml:space="preserve">’s </w:t>
      </w:r>
      <w:r w:rsidR="001D48F0" w:rsidRPr="00F47ED3">
        <w:rPr>
          <w:rFonts w:ascii="Times New Roman" w:hAnsi="Times New Roman"/>
          <w:sz w:val="24"/>
          <w:szCs w:val="24"/>
          <w:lang w:val="en-US"/>
        </w:rPr>
        <w:t xml:space="preserve">financial analysis </w:t>
      </w:r>
      <w:r w:rsidRPr="00F47ED3">
        <w:rPr>
          <w:rFonts w:ascii="Times New Roman" w:hAnsi="Times New Roman"/>
          <w:sz w:val="24"/>
          <w:szCs w:val="24"/>
          <w:lang w:val="en-US"/>
        </w:rPr>
        <w:t xml:space="preserve">presents an Internal Rate of Return (IRR) of </w:t>
      </w:r>
      <w:r w:rsidR="007A60EB">
        <w:rPr>
          <w:rFonts w:ascii="Times New Roman" w:hAnsi="Times New Roman"/>
          <w:sz w:val="24"/>
          <w:szCs w:val="24"/>
          <w:lang w:val="en-US"/>
        </w:rPr>
        <w:t>5</w:t>
      </w:r>
      <w:r w:rsidRPr="00F47ED3">
        <w:rPr>
          <w:rFonts w:ascii="Times New Roman" w:hAnsi="Times New Roman"/>
          <w:sz w:val="24"/>
          <w:szCs w:val="24"/>
          <w:lang w:val="en-US"/>
        </w:rPr>
        <w:t>% with a Net Present Value of US$</w:t>
      </w:r>
      <w:r w:rsidR="00632CAA">
        <w:rPr>
          <w:rFonts w:ascii="Times New Roman" w:hAnsi="Times New Roman"/>
          <w:sz w:val="24"/>
          <w:szCs w:val="24"/>
          <w:lang w:val="en-US"/>
        </w:rPr>
        <w:t xml:space="preserve"> 2</w:t>
      </w:r>
      <w:r w:rsidR="00FF431B">
        <w:rPr>
          <w:rFonts w:ascii="Times New Roman" w:hAnsi="Times New Roman"/>
          <w:sz w:val="24"/>
          <w:szCs w:val="24"/>
          <w:lang w:val="en-US"/>
        </w:rPr>
        <w:t>1</w:t>
      </w:r>
      <w:r w:rsidR="00632CAA">
        <w:rPr>
          <w:rFonts w:ascii="Times New Roman" w:hAnsi="Times New Roman"/>
          <w:sz w:val="24"/>
          <w:szCs w:val="24"/>
          <w:lang w:val="en-US"/>
        </w:rPr>
        <w:t>.</w:t>
      </w:r>
      <w:r w:rsidR="00716592">
        <w:rPr>
          <w:rFonts w:ascii="Times New Roman" w:hAnsi="Times New Roman"/>
          <w:sz w:val="24"/>
          <w:szCs w:val="24"/>
          <w:lang w:val="en-US"/>
        </w:rPr>
        <w:t>57</w:t>
      </w:r>
      <w:r w:rsidR="00C133DA" w:rsidRPr="00F47ED3">
        <w:rPr>
          <w:rFonts w:ascii="Times New Roman" w:hAnsi="Times New Roman"/>
          <w:sz w:val="24"/>
          <w:szCs w:val="24"/>
          <w:lang w:val="en-US"/>
        </w:rPr>
        <w:t xml:space="preserve"> million in 20</w:t>
      </w:r>
      <w:r w:rsidR="00D74A59">
        <w:rPr>
          <w:rFonts w:ascii="Times New Roman" w:hAnsi="Times New Roman"/>
          <w:sz w:val="24"/>
          <w:szCs w:val="24"/>
          <w:lang w:val="en-US"/>
        </w:rPr>
        <w:t>3</w:t>
      </w:r>
      <w:r w:rsidR="00FF431B">
        <w:rPr>
          <w:rFonts w:ascii="Times New Roman" w:hAnsi="Times New Roman"/>
          <w:sz w:val="24"/>
          <w:szCs w:val="24"/>
          <w:lang w:val="en-US"/>
        </w:rPr>
        <w:t>5</w:t>
      </w:r>
      <w:r w:rsidR="00C5747A" w:rsidRPr="00F47ED3">
        <w:rPr>
          <w:rFonts w:ascii="Times New Roman" w:hAnsi="Times New Roman"/>
          <w:sz w:val="24"/>
          <w:szCs w:val="24"/>
          <w:lang w:val="en-US"/>
        </w:rPr>
        <w:t xml:space="preserve"> (20 years)</w:t>
      </w:r>
      <w:r w:rsidRPr="00F47ED3">
        <w:rPr>
          <w:rFonts w:ascii="Times New Roman" w:hAnsi="Times New Roman"/>
          <w:sz w:val="24"/>
          <w:szCs w:val="24"/>
          <w:lang w:val="en-US"/>
        </w:rPr>
        <w:t>. This justifies the US$</w:t>
      </w:r>
      <w:r w:rsidR="00BE7039" w:rsidRPr="00F47ED3">
        <w:rPr>
          <w:rFonts w:ascii="Times New Roman" w:hAnsi="Times New Roman"/>
          <w:sz w:val="24"/>
          <w:szCs w:val="24"/>
          <w:lang w:val="en-US"/>
        </w:rPr>
        <w:t>40</w:t>
      </w:r>
      <w:r w:rsidRPr="00F47ED3">
        <w:rPr>
          <w:rFonts w:ascii="Times New Roman" w:hAnsi="Times New Roman"/>
          <w:sz w:val="24"/>
          <w:szCs w:val="24"/>
          <w:lang w:val="en-US"/>
        </w:rPr>
        <w:t xml:space="preserve"> million investment by the Inter-American Development Bank (IDB). </w:t>
      </w:r>
      <w:r w:rsidR="009C1ADE" w:rsidRPr="00F47ED3">
        <w:rPr>
          <w:rFonts w:ascii="Times New Roman" w:hAnsi="Times New Roman"/>
          <w:sz w:val="24"/>
          <w:szCs w:val="24"/>
          <w:lang w:val="en-US"/>
        </w:rPr>
        <w:t>A</w:t>
      </w:r>
      <w:r w:rsidRPr="00F47ED3">
        <w:rPr>
          <w:rFonts w:ascii="Times New Roman" w:hAnsi="Times New Roman"/>
          <w:sz w:val="24"/>
          <w:szCs w:val="24"/>
          <w:lang w:val="en-US"/>
        </w:rPr>
        <w:t xml:space="preserve">dditional </w:t>
      </w:r>
      <w:r w:rsidR="00BE7039" w:rsidRPr="00F47ED3">
        <w:rPr>
          <w:rFonts w:ascii="Times New Roman" w:hAnsi="Times New Roman"/>
          <w:sz w:val="24"/>
          <w:szCs w:val="24"/>
          <w:lang w:val="en-US"/>
        </w:rPr>
        <w:t>costs associated with IT infrastructure were</w:t>
      </w:r>
      <w:r w:rsidRPr="00F47ED3">
        <w:rPr>
          <w:rFonts w:ascii="Times New Roman" w:hAnsi="Times New Roman"/>
          <w:sz w:val="24"/>
          <w:szCs w:val="24"/>
          <w:lang w:val="en-US"/>
        </w:rPr>
        <w:t xml:space="preserve"> </w:t>
      </w:r>
      <w:r w:rsidR="00D87D82" w:rsidRPr="00F47ED3">
        <w:rPr>
          <w:rFonts w:ascii="Times New Roman" w:hAnsi="Times New Roman"/>
          <w:sz w:val="24"/>
          <w:szCs w:val="24"/>
          <w:lang w:val="en-US"/>
        </w:rPr>
        <w:t xml:space="preserve">also </w:t>
      </w:r>
      <w:r w:rsidRPr="00F47ED3">
        <w:rPr>
          <w:rFonts w:ascii="Times New Roman" w:hAnsi="Times New Roman"/>
          <w:sz w:val="24"/>
          <w:szCs w:val="24"/>
          <w:lang w:val="en-US"/>
        </w:rPr>
        <w:t>taken into consideration.</w:t>
      </w:r>
      <w:r w:rsidR="00305359" w:rsidRPr="00F47ED3">
        <w:rPr>
          <w:rFonts w:ascii="Times New Roman" w:hAnsi="Times New Roman"/>
          <w:sz w:val="24"/>
          <w:szCs w:val="24"/>
          <w:lang w:val="en-US"/>
        </w:rPr>
        <w:t xml:space="preserve"> </w:t>
      </w:r>
      <w:r w:rsidR="00305359" w:rsidRPr="00F47ED3">
        <w:rPr>
          <w:rFonts w:ascii="Times New Roman" w:hAnsi="Times New Roman"/>
          <w:sz w:val="24"/>
          <w:szCs w:val="24"/>
          <w:lang w:val="en-US"/>
        </w:rPr>
        <w:lastRenderedPageBreak/>
        <w:t>From 201</w:t>
      </w:r>
      <w:r w:rsidR="009C1ADE" w:rsidRPr="00F47ED3">
        <w:rPr>
          <w:rFonts w:ascii="Times New Roman" w:hAnsi="Times New Roman"/>
          <w:sz w:val="24"/>
          <w:szCs w:val="24"/>
          <w:lang w:val="en-US"/>
        </w:rPr>
        <w:t>8</w:t>
      </w:r>
      <w:r w:rsidR="00305359" w:rsidRPr="00F47ED3">
        <w:rPr>
          <w:rFonts w:ascii="Times New Roman" w:hAnsi="Times New Roman"/>
          <w:sz w:val="24"/>
          <w:szCs w:val="24"/>
          <w:lang w:val="en-US"/>
        </w:rPr>
        <w:t xml:space="preserve"> onwards, a maintenance cost </w:t>
      </w:r>
      <w:r w:rsidR="00CE4DCE" w:rsidRPr="00F47ED3">
        <w:rPr>
          <w:rFonts w:ascii="Times New Roman" w:hAnsi="Times New Roman"/>
          <w:sz w:val="24"/>
          <w:szCs w:val="24"/>
          <w:lang w:val="en-US"/>
        </w:rPr>
        <w:t xml:space="preserve">will be included </w:t>
      </w:r>
      <w:r w:rsidR="00305359" w:rsidRPr="00F47ED3">
        <w:rPr>
          <w:rFonts w:ascii="Times New Roman" w:hAnsi="Times New Roman"/>
          <w:sz w:val="24"/>
          <w:szCs w:val="24"/>
          <w:lang w:val="en-US"/>
        </w:rPr>
        <w:t xml:space="preserve">(licenses, upgrades, and program management). It is estimated that those costs are a </w:t>
      </w:r>
      <w:r w:rsidR="009C1ADE" w:rsidRPr="00F47ED3">
        <w:rPr>
          <w:rFonts w:ascii="Times New Roman" w:hAnsi="Times New Roman"/>
          <w:sz w:val="24"/>
          <w:szCs w:val="24"/>
          <w:lang w:val="en-US"/>
        </w:rPr>
        <w:t>5</w:t>
      </w:r>
      <w:r w:rsidR="00305359" w:rsidRPr="00F47ED3">
        <w:rPr>
          <w:rFonts w:ascii="Times New Roman" w:hAnsi="Times New Roman"/>
          <w:sz w:val="24"/>
          <w:szCs w:val="24"/>
          <w:lang w:val="en-US"/>
        </w:rPr>
        <w:t>%</w:t>
      </w:r>
      <w:r w:rsidR="00CE4DCE" w:rsidRPr="00F47ED3">
        <w:rPr>
          <w:rFonts w:ascii="Times New Roman" w:hAnsi="Times New Roman"/>
          <w:sz w:val="24"/>
          <w:szCs w:val="24"/>
          <w:lang w:val="en-US"/>
        </w:rPr>
        <w:t xml:space="preserve"> of the total cost of component </w:t>
      </w:r>
      <w:r w:rsidR="00305359" w:rsidRPr="00F47ED3">
        <w:rPr>
          <w:rFonts w:ascii="Times New Roman" w:hAnsi="Times New Roman"/>
          <w:sz w:val="24"/>
          <w:szCs w:val="24"/>
          <w:lang w:val="en-US"/>
        </w:rPr>
        <w:t xml:space="preserve">2 (representing </w:t>
      </w:r>
      <w:r w:rsidR="00790BBF">
        <w:rPr>
          <w:rFonts w:ascii="Times New Roman" w:hAnsi="Times New Roman"/>
          <w:sz w:val="24"/>
          <w:szCs w:val="24"/>
          <w:lang w:val="en-US"/>
        </w:rPr>
        <w:t xml:space="preserve">approximately </w:t>
      </w:r>
      <w:r w:rsidR="00305359" w:rsidRPr="00F47ED3">
        <w:rPr>
          <w:rFonts w:ascii="Times New Roman" w:hAnsi="Times New Roman"/>
          <w:sz w:val="24"/>
          <w:szCs w:val="24"/>
          <w:lang w:val="en-US"/>
        </w:rPr>
        <w:t>US</w:t>
      </w:r>
      <w:r w:rsidR="00CE4DCE" w:rsidRPr="00F47ED3">
        <w:rPr>
          <w:rFonts w:ascii="Times New Roman" w:hAnsi="Times New Roman"/>
          <w:sz w:val="24"/>
          <w:szCs w:val="24"/>
          <w:lang w:val="en-US"/>
        </w:rPr>
        <w:t>$</w:t>
      </w:r>
      <w:r w:rsidR="009C1ADE" w:rsidRPr="00F47ED3">
        <w:rPr>
          <w:rFonts w:ascii="Times New Roman" w:hAnsi="Times New Roman"/>
          <w:sz w:val="24"/>
          <w:szCs w:val="24"/>
          <w:lang w:val="en-US"/>
        </w:rPr>
        <w:t>1.</w:t>
      </w:r>
      <w:r w:rsidR="00042C30">
        <w:rPr>
          <w:rFonts w:ascii="Times New Roman" w:hAnsi="Times New Roman"/>
          <w:sz w:val="24"/>
          <w:szCs w:val="24"/>
          <w:lang w:val="en-US"/>
        </w:rPr>
        <w:t>2</w:t>
      </w:r>
      <w:r w:rsidR="00305359" w:rsidRPr="00F47ED3">
        <w:rPr>
          <w:rFonts w:ascii="Times New Roman" w:hAnsi="Times New Roman"/>
          <w:sz w:val="24"/>
          <w:szCs w:val="24"/>
          <w:lang w:val="en-US"/>
        </w:rPr>
        <w:t xml:space="preserve"> million).</w:t>
      </w:r>
    </w:p>
    <w:p w14:paraId="020830C1" w14:textId="69393FE4" w:rsidR="006F41BC" w:rsidRPr="00F47ED3" w:rsidRDefault="006F41BC" w:rsidP="00305359">
      <w:pPr>
        <w:pStyle w:val="Paragraph"/>
        <w:numPr>
          <w:ilvl w:val="1"/>
          <w:numId w:val="1"/>
        </w:numPr>
        <w:rPr>
          <w:b/>
          <w:szCs w:val="24"/>
          <w:lang w:val="en-US"/>
        </w:rPr>
      </w:pPr>
      <w:r w:rsidRPr="00F47ED3">
        <w:rPr>
          <w:szCs w:val="24"/>
          <w:lang w:val="en-US"/>
        </w:rPr>
        <w:t xml:space="preserve">Based on this </w:t>
      </w:r>
      <w:r w:rsidR="00281037" w:rsidRPr="00F47ED3">
        <w:rPr>
          <w:szCs w:val="24"/>
          <w:lang w:val="en-US"/>
        </w:rPr>
        <w:t xml:space="preserve">financial </w:t>
      </w:r>
      <w:r w:rsidR="001D48F0" w:rsidRPr="00F47ED3">
        <w:rPr>
          <w:szCs w:val="24"/>
          <w:lang w:val="en-US"/>
        </w:rPr>
        <w:t>app</w:t>
      </w:r>
      <w:r w:rsidR="00A461AC" w:rsidRPr="00F47ED3">
        <w:rPr>
          <w:szCs w:val="24"/>
          <w:lang w:val="en-US"/>
        </w:rPr>
        <w:t>raisal</w:t>
      </w:r>
      <w:r w:rsidRPr="00F47ED3">
        <w:rPr>
          <w:szCs w:val="24"/>
          <w:lang w:val="en-US"/>
        </w:rPr>
        <w:t xml:space="preserve">, it is recommended to continue with the financial and technical support from the Bank, through the implementation of the Performance Monitoring and Public Financial Management Reform under the operation </w:t>
      </w:r>
      <w:r w:rsidR="00BE7039" w:rsidRPr="00F47ED3">
        <w:rPr>
          <w:szCs w:val="24"/>
          <w:lang w:val="en-US"/>
        </w:rPr>
        <w:t>TT-L1042</w:t>
      </w:r>
      <w:r w:rsidRPr="00F47ED3">
        <w:rPr>
          <w:szCs w:val="24"/>
          <w:lang w:val="en-US"/>
        </w:rPr>
        <w:t>.</w:t>
      </w:r>
    </w:p>
    <w:p w14:paraId="0F4300D5" w14:textId="77777777" w:rsidR="00E4530D" w:rsidRPr="00F47ED3" w:rsidRDefault="00E675ED" w:rsidP="00B304CD">
      <w:pPr>
        <w:numPr>
          <w:ilvl w:val="0"/>
          <w:numId w:val="1"/>
        </w:numPr>
        <w:spacing w:before="120" w:after="120" w:line="240" w:lineRule="auto"/>
        <w:ind w:left="567" w:hanging="567"/>
        <w:jc w:val="both"/>
        <w:rPr>
          <w:rFonts w:ascii="Times New Roman" w:hAnsi="Times New Roman"/>
          <w:b/>
          <w:sz w:val="24"/>
          <w:szCs w:val="24"/>
          <w:lang w:val="en-US"/>
        </w:rPr>
      </w:pPr>
      <w:r w:rsidRPr="00F47ED3">
        <w:rPr>
          <w:rFonts w:ascii="Times New Roman" w:hAnsi="Times New Roman"/>
          <w:b/>
          <w:sz w:val="24"/>
          <w:szCs w:val="24"/>
          <w:lang w:val="en-US"/>
        </w:rPr>
        <w:t>Introduction</w:t>
      </w:r>
    </w:p>
    <w:p w14:paraId="18839F02" w14:textId="7DC8B145" w:rsidR="00E4530D" w:rsidRPr="00F47ED3" w:rsidRDefault="00E675ED" w:rsidP="00B304CD">
      <w:pPr>
        <w:pStyle w:val="Paragraph"/>
        <w:numPr>
          <w:ilvl w:val="1"/>
          <w:numId w:val="1"/>
        </w:numPr>
        <w:rPr>
          <w:kern w:val="28"/>
          <w:lang w:val="en-US"/>
        </w:rPr>
      </w:pPr>
      <w:r w:rsidRPr="00F47ED3">
        <w:rPr>
          <w:kern w:val="28"/>
          <w:lang w:val="en-US"/>
        </w:rPr>
        <w:t>Thi</w:t>
      </w:r>
      <w:r w:rsidR="00897CB2" w:rsidRPr="00F47ED3">
        <w:rPr>
          <w:kern w:val="28"/>
          <w:lang w:val="en-US"/>
        </w:rPr>
        <w:t>s document presents the</w:t>
      </w:r>
      <w:r w:rsidR="00E4530D" w:rsidRPr="00F47ED3">
        <w:rPr>
          <w:kern w:val="28"/>
          <w:lang w:val="en-US"/>
        </w:rPr>
        <w:t xml:space="preserve"> ex-ante</w:t>
      </w:r>
      <w:r w:rsidR="00897CB2" w:rsidRPr="00F47ED3">
        <w:rPr>
          <w:kern w:val="28"/>
          <w:lang w:val="en-US"/>
        </w:rPr>
        <w:t xml:space="preserve"> </w:t>
      </w:r>
      <w:r w:rsidR="004F6DF3" w:rsidRPr="00F47ED3">
        <w:rPr>
          <w:kern w:val="28"/>
          <w:lang w:val="en-US"/>
        </w:rPr>
        <w:t xml:space="preserve">financial </w:t>
      </w:r>
      <w:r w:rsidR="00612725" w:rsidRPr="00F47ED3">
        <w:rPr>
          <w:kern w:val="28"/>
          <w:lang w:val="en-US"/>
        </w:rPr>
        <w:t xml:space="preserve">analysis of the </w:t>
      </w:r>
      <w:r w:rsidR="00D47F83" w:rsidRPr="00F47ED3">
        <w:rPr>
          <w:kern w:val="28"/>
          <w:lang w:val="en-US"/>
        </w:rPr>
        <w:t>Support to Strengthen Trinidad and Tobago’s Public Financial Management System</w:t>
      </w:r>
      <w:r w:rsidR="00612725" w:rsidRPr="00F47ED3">
        <w:rPr>
          <w:kern w:val="28"/>
          <w:lang w:val="en-US"/>
        </w:rPr>
        <w:t xml:space="preserve"> (</w:t>
      </w:r>
      <w:r w:rsidR="00D47F83" w:rsidRPr="00F47ED3">
        <w:rPr>
          <w:kern w:val="28"/>
          <w:lang w:val="en-US"/>
        </w:rPr>
        <w:t>TT</w:t>
      </w:r>
      <w:r w:rsidR="00612725" w:rsidRPr="00F47ED3">
        <w:rPr>
          <w:kern w:val="28"/>
          <w:lang w:val="en-US"/>
        </w:rPr>
        <w:t>-L104</w:t>
      </w:r>
      <w:r w:rsidR="00D47F83" w:rsidRPr="00F47ED3">
        <w:rPr>
          <w:kern w:val="28"/>
          <w:lang w:val="en-US"/>
        </w:rPr>
        <w:t>2</w:t>
      </w:r>
      <w:r w:rsidR="00117CFF" w:rsidRPr="00F47ED3">
        <w:rPr>
          <w:kern w:val="28"/>
          <w:lang w:val="en-US"/>
        </w:rPr>
        <w:t xml:space="preserve">, “the </w:t>
      </w:r>
      <w:r w:rsidR="00274F65" w:rsidRPr="00F47ED3">
        <w:rPr>
          <w:kern w:val="28"/>
          <w:lang w:val="en-US"/>
        </w:rPr>
        <w:t>Project</w:t>
      </w:r>
      <w:r w:rsidR="00117CFF" w:rsidRPr="00F47ED3">
        <w:rPr>
          <w:kern w:val="28"/>
          <w:lang w:val="en-US"/>
        </w:rPr>
        <w:t>”</w:t>
      </w:r>
      <w:r w:rsidR="00612725" w:rsidRPr="00F47ED3">
        <w:rPr>
          <w:kern w:val="28"/>
          <w:lang w:val="en-US"/>
        </w:rPr>
        <w:t xml:space="preserve">), </w:t>
      </w:r>
      <w:r w:rsidR="00297B97" w:rsidRPr="00F47ED3">
        <w:rPr>
          <w:kern w:val="28"/>
          <w:lang w:val="en-US"/>
        </w:rPr>
        <w:t xml:space="preserve">which will be implemented over the </w:t>
      </w:r>
      <w:r w:rsidR="00E4530D" w:rsidRPr="00F47ED3">
        <w:rPr>
          <w:kern w:val="28"/>
          <w:lang w:val="en-US"/>
        </w:rPr>
        <w:t>201</w:t>
      </w:r>
      <w:r w:rsidR="00D47F83" w:rsidRPr="00F47ED3">
        <w:rPr>
          <w:kern w:val="28"/>
          <w:lang w:val="en-US"/>
        </w:rPr>
        <w:t>5</w:t>
      </w:r>
      <w:r w:rsidR="00E4530D" w:rsidRPr="00F47ED3">
        <w:rPr>
          <w:kern w:val="28"/>
          <w:lang w:val="en-US"/>
        </w:rPr>
        <w:t>-201</w:t>
      </w:r>
      <w:r w:rsidR="00D47F83" w:rsidRPr="00F47ED3">
        <w:rPr>
          <w:kern w:val="28"/>
          <w:lang w:val="en-US"/>
        </w:rPr>
        <w:t>9</w:t>
      </w:r>
      <w:r w:rsidR="00297B97" w:rsidRPr="00F47ED3">
        <w:rPr>
          <w:kern w:val="28"/>
          <w:lang w:val="en-US"/>
        </w:rPr>
        <w:t xml:space="preserve"> period</w:t>
      </w:r>
      <w:r w:rsidR="00612725" w:rsidRPr="00F47ED3">
        <w:rPr>
          <w:kern w:val="28"/>
          <w:lang w:val="en-US"/>
        </w:rPr>
        <w:t xml:space="preserve">. </w:t>
      </w:r>
      <w:r w:rsidR="004F6DF3" w:rsidRPr="00F47ED3">
        <w:rPr>
          <w:kern w:val="28"/>
          <w:lang w:val="en-US"/>
        </w:rPr>
        <w:t xml:space="preserve">The study calculates the financial benefit generated </w:t>
      </w:r>
      <w:r w:rsidR="00CE4DCE" w:rsidRPr="00F47ED3">
        <w:rPr>
          <w:kern w:val="28"/>
          <w:lang w:val="en-US"/>
        </w:rPr>
        <w:t>by</w:t>
      </w:r>
      <w:r w:rsidR="004F6DF3" w:rsidRPr="00F47ED3">
        <w:rPr>
          <w:kern w:val="28"/>
          <w:lang w:val="en-US"/>
        </w:rPr>
        <w:t xml:space="preserve"> the reduction of govern</w:t>
      </w:r>
      <w:r w:rsidR="00613DB2" w:rsidRPr="00F47ED3">
        <w:rPr>
          <w:kern w:val="28"/>
          <w:lang w:val="en-US"/>
        </w:rPr>
        <w:t>ment</w:t>
      </w:r>
      <w:r w:rsidR="004F6DF3" w:rsidRPr="00F47ED3">
        <w:rPr>
          <w:kern w:val="28"/>
          <w:lang w:val="en-US"/>
        </w:rPr>
        <w:t xml:space="preserve"> amounts inactive in a temporary Treasury account denominated </w:t>
      </w:r>
      <w:r w:rsidR="00517DB6">
        <w:rPr>
          <w:kern w:val="28"/>
          <w:lang w:val="en-US"/>
        </w:rPr>
        <w:t xml:space="preserve">Treasury </w:t>
      </w:r>
      <w:r w:rsidR="00D41EE6">
        <w:rPr>
          <w:kern w:val="28"/>
          <w:lang w:val="en-US"/>
        </w:rPr>
        <w:t>S</w:t>
      </w:r>
      <w:r w:rsidR="004F6DF3" w:rsidRPr="00F47ED3">
        <w:rPr>
          <w:kern w:val="28"/>
          <w:lang w:val="en-US"/>
        </w:rPr>
        <w:t xml:space="preserve">uspense </w:t>
      </w:r>
      <w:r w:rsidR="00D41EE6">
        <w:rPr>
          <w:kern w:val="28"/>
          <w:lang w:val="en-US"/>
        </w:rPr>
        <w:t>A</w:t>
      </w:r>
      <w:r w:rsidR="004F6DF3" w:rsidRPr="00F47ED3">
        <w:rPr>
          <w:kern w:val="28"/>
          <w:lang w:val="en-US"/>
        </w:rPr>
        <w:t xml:space="preserve">ccount, waiting for the identification of their income sources, and then transferred to the </w:t>
      </w:r>
      <w:r w:rsidR="00A461AC" w:rsidRPr="00F47ED3">
        <w:rPr>
          <w:kern w:val="28"/>
          <w:lang w:val="en-US"/>
        </w:rPr>
        <w:t>E</w:t>
      </w:r>
      <w:r w:rsidR="004F6DF3" w:rsidRPr="00F47ED3">
        <w:rPr>
          <w:kern w:val="28"/>
          <w:lang w:val="en-US"/>
        </w:rPr>
        <w:t>xchequer Treasury account (consolidated Treasury account)</w:t>
      </w:r>
      <w:r w:rsidR="003E6B41" w:rsidRPr="00F47ED3">
        <w:rPr>
          <w:kern w:val="28"/>
          <w:lang w:val="en-US"/>
        </w:rPr>
        <w:t xml:space="preserve"> for payment purpose</w:t>
      </w:r>
      <w:r w:rsidR="00613DB2" w:rsidRPr="00F47ED3">
        <w:rPr>
          <w:kern w:val="28"/>
          <w:lang w:val="en-US"/>
        </w:rPr>
        <w:t>s</w:t>
      </w:r>
      <w:r w:rsidR="004F6DF3" w:rsidRPr="00F47ED3">
        <w:rPr>
          <w:kern w:val="28"/>
          <w:lang w:val="en-US"/>
        </w:rPr>
        <w:t xml:space="preserve">.    </w:t>
      </w:r>
    </w:p>
    <w:p w14:paraId="0C77DFFA" w14:textId="281EE517" w:rsidR="001974CB" w:rsidRPr="00F47ED3" w:rsidRDefault="00A91B9A" w:rsidP="00A91B9A">
      <w:pPr>
        <w:pStyle w:val="Paragraph"/>
        <w:numPr>
          <w:ilvl w:val="1"/>
          <w:numId w:val="1"/>
        </w:numPr>
        <w:rPr>
          <w:b/>
          <w:lang w:val="en-US"/>
        </w:rPr>
      </w:pPr>
      <w:r w:rsidRPr="00A91B9A">
        <w:rPr>
          <w:kern w:val="28"/>
          <w:lang w:val="en-US"/>
        </w:rPr>
        <w:t>The general objective of this project is to improve the efficiency and effectiveness of the Government of the Republic of Trinidad and Tobago to allocate public resources for public service delivery. The project’s specific objectives are improved: (</w:t>
      </w:r>
      <w:proofErr w:type="spellStart"/>
      <w:r w:rsidRPr="00A91B9A">
        <w:rPr>
          <w:kern w:val="28"/>
          <w:lang w:val="en-US"/>
        </w:rPr>
        <w:t>i</w:t>
      </w:r>
      <w:proofErr w:type="spellEnd"/>
      <w:r w:rsidRPr="00A91B9A">
        <w:rPr>
          <w:kern w:val="28"/>
          <w:lang w:val="en-US"/>
        </w:rPr>
        <w:t>)</w:t>
      </w:r>
      <w:r w:rsidR="008A0CBC">
        <w:rPr>
          <w:kern w:val="28"/>
          <w:lang w:val="en-US"/>
        </w:rPr>
        <w:t> </w:t>
      </w:r>
      <w:r w:rsidRPr="00A91B9A">
        <w:rPr>
          <w:kern w:val="28"/>
          <w:lang w:val="en-US"/>
        </w:rPr>
        <w:t>strategic allocation of public resources; (ii) independence in the control and stewardship of public resources; and (iii) information management</w:t>
      </w:r>
      <w:r w:rsidR="00EC6B9E">
        <w:rPr>
          <w:kern w:val="28"/>
          <w:lang w:val="en-GB"/>
        </w:rPr>
        <w:t xml:space="preserve">. </w:t>
      </w:r>
      <w:r w:rsidR="004D2FB6" w:rsidRPr="00F47ED3">
        <w:rPr>
          <w:lang w:val="en-US"/>
        </w:rPr>
        <w:t xml:space="preserve">The </w:t>
      </w:r>
      <w:r w:rsidR="00D37DBA" w:rsidRPr="00F47ED3">
        <w:rPr>
          <w:lang w:val="en-US"/>
        </w:rPr>
        <w:t>Pro</w:t>
      </w:r>
      <w:r w:rsidR="00274F65" w:rsidRPr="00F47ED3">
        <w:rPr>
          <w:lang w:val="en-US"/>
        </w:rPr>
        <w:t xml:space="preserve">ject </w:t>
      </w:r>
      <w:r w:rsidR="004D2FB6" w:rsidRPr="00F47ED3">
        <w:rPr>
          <w:lang w:val="en-US"/>
        </w:rPr>
        <w:t xml:space="preserve">will finance the following activities, grouped in </w:t>
      </w:r>
      <w:r w:rsidR="0067396B" w:rsidRPr="00F47ED3">
        <w:rPr>
          <w:lang w:val="en-US"/>
        </w:rPr>
        <w:t>two</w:t>
      </w:r>
      <w:r w:rsidR="004D2FB6" w:rsidRPr="00F47ED3">
        <w:rPr>
          <w:lang w:val="en-US"/>
        </w:rPr>
        <w:t xml:space="preserve"> components: </w:t>
      </w:r>
    </w:p>
    <w:p w14:paraId="6DD841E6" w14:textId="77777777" w:rsidR="00732A84" w:rsidRPr="00F47ED3" w:rsidRDefault="001974CB" w:rsidP="00305359">
      <w:pPr>
        <w:pStyle w:val="Paragraph"/>
        <w:numPr>
          <w:ilvl w:val="1"/>
          <w:numId w:val="1"/>
        </w:numPr>
        <w:rPr>
          <w:lang w:val="en-US"/>
        </w:rPr>
      </w:pPr>
      <w:r w:rsidRPr="00F47ED3">
        <w:rPr>
          <w:b/>
          <w:lang w:val="en-US"/>
        </w:rPr>
        <w:t xml:space="preserve">Component 1: </w:t>
      </w:r>
      <w:r w:rsidR="00130E56" w:rsidRPr="00F47ED3">
        <w:rPr>
          <w:b/>
          <w:lang w:val="en-US"/>
        </w:rPr>
        <w:t>Support for PFM Modernization (US$</w:t>
      </w:r>
      <w:r w:rsidR="00050C2F" w:rsidRPr="00F47ED3">
        <w:rPr>
          <w:b/>
          <w:lang w:val="en-US"/>
        </w:rPr>
        <w:t>8,506,000</w:t>
      </w:r>
      <w:r w:rsidR="00130E56" w:rsidRPr="00F47ED3">
        <w:rPr>
          <w:b/>
          <w:lang w:val="en-US"/>
        </w:rPr>
        <w:t>)</w:t>
      </w:r>
      <w:r w:rsidRPr="00F47ED3">
        <w:rPr>
          <w:b/>
          <w:lang w:val="en-US"/>
        </w:rPr>
        <w:t xml:space="preserve">. </w:t>
      </w:r>
      <w:r w:rsidR="00732A84" w:rsidRPr="00F47ED3">
        <w:rPr>
          <w:lang w:val="en-US"/>
        </w:rPr>
        <w:t xml:space="preserve">This component seeks to </w:t>
      </w:r>
      <w:r w:rsidR="00732A84" w:rsidRPr="00F47ED3">
        <w:rPr>
          <w:kern w:val="28"/>
          <w:lang w:val="en-US"/>
        </w:rPr>
        <w:t>contribute</w:t>
      </w:r>
      <w:r w:rsidR="00732A84" w:rsidRPr="00F47ED3">
        <w:rPr>
          <w:lang w:val="en-US"/>
        </w:rPr>
        <w:t xml:space="preserve"> to the modernization of PFM procedural and legal frameworks for budget preparation and execution. To do so, the component will finance the following products:</w:t>
      </w:r>
    </w:p>
    <w:p w14:paraId="1C650AB8" w14:textId="444771BB" w:rsidR="00732A84" w:rsidRPr="00F47ED3" w:rsidRDefault="00732A84" w:rsidP="00B304CD">
      <w:pPr>
        <w:pStyle w:val="Paragraph"/>
        <w:numPr>
          <w:ilvl w:val="0"/>
          <w:numId w:val="0"/>
        </w:numPr>
        <w:ind w:left="1170" w:hanging="450"/>
        <w:rPr>
          <w:lang w:val="en-US"/>
        </w:rPr>
      </w:pPr>
      <w:r w:rsidRPr="00F47ED3">
        <w:rPr>
          <w:lang w:val="en-US"/>
        </w:rPr>
        <w:t>a.</w:t>
      </w:r>
      <w:r w:rsidRPr="00F47ED3">
        <w:rPr>
          <w:lang w:val="en-US"/>
        </w:rPr>
        <w:tab/>
        <w:t>Development and implementation of a new budget classification based on a GFS-compliant Chart of Accounts. This will include: (</w:t>
      </w:r>
      <w:proofErr w:type="spellStart"/>
      <w:r w:rsidRPr="00F47ED3">
        <w:rPr>
          <w:lang w:val="en-US"/>
        </w:rPr>
        <w:t>i</w:t>
      </w:r>
      <w:proofErr w:type="spellEnd"/>
      <w:r w:rsidRPr="00F47ED3">
        <w:rPr>
          <w:lang w:val="en-US"/>
        </w:rPr>
        <w:t xml:space="preserve">) support for the implementation of the new Chart of Accounts and budget classification system, including training </w:t>
      </w:r>
      <w:proofErr w:type="spellStart"/>
      <w:r w:rsidRPr="00F47ED3">
        <w:rPr>
          <w:lang w:val="en-US"/>
        </w:rPr>
        <w:t>MoFE</w:t>
      </w:r>
      <w:proofErr w:type="spellEnd"/>
      <w:r w:rsidRPr="00F47ED3">
        <w:rPr>
          <w:lang w:val="en-US"/>
        </w:rPr>
        <w:t xml:space="preserve"> staff on its use; and (ii) preparation of an IPSAS</w:t>
      </w:r>
      <w:r w:rsidR="008A0CBC">
        <w:rPr>
          <w:lang w:val="en-US"/>
        </w:rPr>
        <w:noBreakHyphen/>
      </w:r>
      <w:r w:rsidRPr="00F47ED3">
        <w:rPr>
          <w:lang w:val="en-US"/>
        </w:rPr>
        <w:t>compliant Treasury accounting framework to operate with the new concepts introduced by the new Chart of</w:t>
      </w:r>
      <w:r w:rsidR="00613DB2" w:rsidRPr="00F47ED3">
        <w:rPr>
          <w:lang w:val="en-US"/>
        </w:rPr>
        <w:t xml:space="preserve"> Accounts, including update of a</w:t>
      </w:r>
      <w:r w:rsidRPr="00F47ED3">
        <w:rPr>
          <w:lang w:val="en-US"/>
        </w:rPr>
        <w:t xml:space="preserve">ccounting manuals as well as delivery of training courses on the new accounting framework and bookkeeping. </w:t>
      </w:r>
    </w:p>
    <w:p w14:paraId="6B58F98D" w14:textId="77777777" w:rsidR="00732A84" w:rsidRPr="00F47ED3" w:rsidRDefault="00732A84" w:rsidP="00B304CD">
      <w:pPr>
        <w:pStyle w:val="Paragraph"/>
        <w:numPr>
          <w:ilvl w:val="0"/>
          <w:numId w:val="0"/>
        </w:numPr>
        <w:ind w:left="1170" w:hanging="450"/>
        <w:rPr>
          <w:lang w:val="en-US"/>
        </w:rPr>
      </w:pPr>
      <w:r w:rsidRPr="00F47ED3">
        <w:rPr>
          <w:lang w:val="en-US"/>
        </w:rPr>
        <w:t>b.</w:t>
      </w:r>
      <w:r w:rsidRPr="00F47ED3">
        <w:rPr>
          <w:lang w:val="en-US"/>
        </w:rPr>
        <w:tab/>
        <w:t>Development and implementation of institutional instruments to sustain PFM modernization efforts. This will include: (</w:t>
      </w:r>
      <w:proofErr w:type="spellStart"/>
      <w:r w:rsidRPr="00F47ED3">
        <w:rPr>
          <w:lang w:val="en-US"/>
        </w:rPr>
        <w:t>i</w:t>
      </w:r>
      <w:proofErr w:type="spellEnd"/>
      <w:r w:rsidRPr="00F47ED3">
        <w:rPr>
          <w:lang w:val="en-US"/>
        </w:rPr>
        <w:t>) development and implementation of a Sustainability Strategy for PFM continual improvement; (ii) development and  impleme</w:t>
      </w:r>
      <w:r w:rsidR="00613DB2" w:rsidRPr="00F47ED3">
        <w:rPr>
          <w:lang w:val="en-US"/>
        </w:rPr>
        <w:t>ntation of a Change Management S</w:t>
      </w:r>
      <w:r w:rsidRPr="00F47ED3">
        <w:rPr>
          <w:lang w:val="en-US"/>
        </w:rPr>
        <w:t xml:space="preserve">trategy, including stakeholder coordination and communication; (iii) train-the-Trainer programs within core PFM areas including PPRD and the </w:t>
      </w:r>
      <w:proofErr w:type="spellStart"/>
      <w:r w:rsidRPr="00F47ED3">
        <w:rPr>
          <w:lang w:val="en-US"/>
        </w:rPr>
        <w:t>MoFE’s</w:t>
      </w:r>
      <w:proofErr w:type="spellEnd"/>
      <w:r w:rsidRPr="00F47ED3">
        <w:rPr>
          <w:lang w:val="en-US"/>
        </w:rPr>
        <w:t xml:space="preserve"> Budget and Treasury Divisions, as well as establishment of an e-Learning platform; and (iv) hiring of a Chief Technical Advisor to the Public Financial Management Modernization Unit to direct and coordinate Project activities.</w:t>
      </w:r>
    </w:p>
    <w:p w14:paraId="4F6A85B7" w14:textId="77777777" w:rsidR="00732A84" w:rsidRPr="00F47ED3" w:rsidRDefault="00732A84" w:rsidP="00B304CD">
      <w:pPr>
        <w:pStyle w:val="Paragraph"/>
        <w:numPr>
          <w:ilvl w:val="0"/>
          <w:numId w:val="0"/>
        </w:numPr>
        <w:ind w:left="1170" w:hanging="450"/>
        <w:rPr>
          <w:lang w:val="en-US"/>
        </w:rPr>
      </w:pPr>
      <w:r w:rsidRPr="00F47ED3">
        <w:rPr>
          <w:lang w:val="en-US"/>
        </w:rPr>
        <w:t>c.</w:t>
      </w:r>
      <w:r w:rsidRPr="00F47ED3">
        <w:rPr>
          <w:lang w:val="en-US"/>
        </w:rPr>
        <w:tab/>
        <w:t>Design and implementation of an internal audit framework to improve PFM control, transparency, and reporting. This will include support for the implementation of recommendations of the Internal Audit report, and the corresponding training.</w:t>
      </w:r>
    </w:p>
    <w:p w14:paraId="4498A21C" w14:textId="77777777" w:rsidR="00732A84" w:rsidRPr="00F47ED3" w:rsidRDefault="00732A84" w:rsidP="00B304CD">
      <w:pPr>
        <w:pStyle w:val="Paragraph"/>
        <w:numPr>
          <w:ilvl w:val="0"/>
          <w:numId w:val="0"/>
        </w:numPr>
        <w:ind w:left="1170" w:hanging="450"/>
        <w:rPr>
          <w:lang w:val="en-US"/>
        </w:rPr>
      </w:pPr>
      <w:r w:rsidRPr="00F47ED3">
        <w:rPr>
          <w:lang w:val="en-US"/>
        </w:rPr>
        <w:lastRenderedPageBreak/>
        <w:t>d.</w:t>
      </w:r>
      <w:r w:rsidRPr="00F47ED3">
        <w:rPr>
          <w:lang w:val="en-US"/>
        </w:rPr>
        <w:tab/>
        <w:t xml:space="preserve">Review and preparation of recommendations to strengthen the PFM legal framework. This will include the review of the Exchequer and Audit Act, existing PFM regulation, and recommendations on legislative and regulatory amendments to strengthen internal audit, budget classification, automation, and reporting standards. </w:t>
      </w:r>
    </w:p>
    <w:p w14:paraId="2E8FE3D7" w14:textId="03E2ECA0" w:rsidR="00274F65" w:rsidRPr="00F47ED3" w:rsidRDefault="00732A84" w:rsidP="00B304CD">
      <w:pPr>
        <w:pStyle w:val="Paragraph"/>
        <w:numPr>
          <w:ilvl w:val="0"/>
          <w:numId w:val="0"/>
        </w:numPr>
        <w:ind w:left="1170" w:hanging="450"/>
        <w:rPr>
          <w:lang w:val="en-US"/>
        </w:rPr>
      </w:pPr>
      <w:r w:rsidRPr="00F47ED3">
        <w:rPr>
          <w:lang w:val="en-US"/>
        </w:rPr>
        <w:t>e.</w:t>
      </w:r>
      <w:r w:rsidRPr="00F47ED3">
        <w:rPr>
          <w:lang w:val="en-US"/>
        </w:rPr>
        <w:tab/>
        <w:t>Business process reengineering for budget preparation and execution processes. This will include the revision of existing business processes in view of automation and to prepare procedures manuals for Budget and Treasury Divisions personnel</w:t>
      </w:r>
      <w:r w:rsidR="00EC6B9E">
        <w:rPr>
          <w:lang w:val="en-US"/>
        </w:rPr>
        <w:t>;</w:t>
      </w:r>
      <w:r w:rsidR="00EC6B9E" w:rsidRPr="005874C2">
        <w:rPr>
          <w:lang w:val="en-US"/>
        </w:rPr>
        <w:t xml:space="preserve"> with the aim of streamlining procedures including payment processing times.</w:t>
      </w:r>
    </w:p>
    <w:p w14:paraId="61247683" w14:textId="339C79DC" w:rsidR="00732A84" w:rsidRPr="00F47ED3" w:rsidRDefault="001974CB" w:rsidP="00305359">
      <w:pPr>
        <w:pStyle w:val="Paragraph"/>
        <w:numPr>
          <w:ilvl w:val="1"/>
          <w:numId w:val="1"/>
        </w:numPr>
        <w:rPr>
          <w:lang w:val="en-US"/>
        </w:rPr>
      </w:pPr>
      <w:r w:rsidRPr="00F47ED3">
        <w:rPr>
          <w:b/>
          <w:lang w:val="en-US"/>
        </w:rPr>
        <w:t xml:space="preserve">Component 2: </w:t>
      </w:r>
      <w:r w:rsidR="00130E56" w:rsidRPr="00F47ED3">
        <w:rPr>
          <w:b/>
          <w:bCs/>
          <w:lang w:val="en-US"/>
        </w:rPr>
        <w:t>Support for IFMIS implementation (US$</w:t>
      </w:r>
      <w:r w:rsidR="00732A84" w:rsidRPr="00F47ED3">
        <w:rPr>
          <w:b/>
          <w:lang w:val="en-US"/>
        </w:rPr>
        <w:t>28,25</w:t>
      </w:r>
      <w:r w:rsidR="00EC6B9E">
        <w:rPr>
          <w:b/>
          <w:lang w:val="en-US"/>
        </w:rPr>
        <w:t>1</w:t>
      </w:r>
      <w:r w:rsidR="00732A84" w:rsidRPr="00F47ED3">
        <w:rPr>
          <w:b/>
          <w:lang w:val="en-US"/>
        </w:rPr>
        <w:t>,803</w:t>
      </w:r>
      <w:r w:rsidR="00130E56" w:rsidRPr="00F47ED3">
        <w:rPr>
          <w:b/>
          <w:bCs/>
          <w:lang w:val="en-US"/>
        </w:rPr>
        <w:t>)</w:t>
      </w:r>
      <w:r w:rsidRPr="00F47ED3">
        <w:rPr>
          <w:b/>
          <w:lang w:val="en-US"/>
        </w:rPr>
        <w:t xml:space="preserve">. </w:t>
      </w:r>
      <w:r w:rsidR="00732A84" w:rsidRPr="00F47ED3">
        <w:rPr>
          <w:lang w:val="en-US"/>
        </w:rPr>
        <w:t xml:space="preserve">This component seeks to improve </w:t>
      </w:r>
      <w:r w:rsidR="00732A84" w:rsidRPr="00F47ED3">
        <w:rPr>
          <w:kern w:val="28"/>
          <w:lang w:val="en-US"/>
        </w:rPr>
        <w:t>information</w:t>
      </w:r>
      <w:r w:rsidR="00732A84" w:rsidRPr="00F47ED3">
        <w:rPr>
          <w:lang w:val="en-US"/>
        </w:rPr>
        <w:t xml:space="preserve"> management for PFM through implementation of an IFMIS. To do so, the component wil</w:t>
      </w:r>
      <w:r w:rsidR="00002082">
        <w:rPr>
          <w:lang w:val="en-US"/>
        </w:rPr>
        <w:t>l finance the following</w:t>
      </w:r>
      <w:r w:rsidR="00732A84" w:rsidRPr="00F47ED3">
        <w:rPr>
          <w:lang w:val="en-US"/>
        </w:rPr>
        <w:t>:</w:t>
      </w:r>
    </w:p>
    <w:p w14:paraId="4EE35D66" w14:textId="77777777" w:rsidR="00732A84" w:rsidRPr="00F47ED3" w:rsidRDefault="00732A84" w:rsidP="00B304CD">
      <w:pPr>
        <w:pStyle w:val="Paragraph"/>
        <w:numPr>
          <w:ilvl w:val="0"/>
          <w:numId w:val="0"/>
        </w:numPr>
        <w:ind w:left="1170" w:hanging="450"/>
        <w:rPr>
          <w:lang w:val="en-US"/>
        </w:rPr>
      </w:pPr>
      <w:r w:rsidRPr="00F47ED3">
        <w:rPr>
          <w:lang w:val="en-US"/>
        </w:rPr>
        <w:t>a.</w:t>
      </w:r>
      <w:r w:rsidRPr="00F47ED3">
        <w:rPr>
          <w:lang w:val="en-US"/>
        </w:rPr>
        <w:tab/>
        <w:t xml:space="preserve">Establishment of a centralized IT governance framework within </w:t>
      </w:r>
      <w:proofErr w:type="spellStart"/>
      <w:r w:rsidRPr="00F47ED3">
        <w:rPr>
          <w:lang w:val="en-US"/>
        </w:rPr>
        <w:t>MoFE</w:t>
      </w:r>
      <w:proofErr w:type="spellEnd"/>
      <w:r w:rsidRPr="00F47ED3">
        <w:rPr>
          <w:lang w:val="en-US"/>
        </w:rPr>
        <w:t>. This will include: (</w:t>
      </w:r>
      <w:proofErr w:type="spellStart"/>
      <w:r w:rsidRPr="00F47ED3">
        <w:rPr>
          <w:lang w:val="en-US"/>
        </w:rPr>
        <w:t>i</w:t>
      </w:r>
      <w:proofErr w:type="spellEnd"/>
      <w:r w:rsidRPr="00F47ED3">
        <w:rPr>
          <w:lang w:val="en-US"/>
        </w:rPr>
        <w:t xml:space="preserve">) the development of the documentation of IT governance practices and procedures for PFM IT management; and (ii) the establishment of a training program for </w:t>
      </w:r>
      <w:proofErr w:type="spellStart"/>
      <w:r w:rsidRPr="00F47ED3">
        <w:rPr>
          <w:lang w:val="en-US"/>
        </w:rPr>
        <w:t>MoFE</w:t>
      </w:r>
      <w:proofErr w:type="spellEnd"/>
      <w:r w:rsidRPr="00F47ED3">
        <w:rPr>
          <w:lang w:val="en-US"/>
        </w:rPr>
        <w:t xml:space="preserve"> IT staff, including training for development and implementation of an IT Strategic Plan.</w:t>
      </w:r>
    </w:p>
    <w:p w14:paraId="0382FBC8" w14:textId="77777777" w:rsidR="00297B97" w:rsidRPr="00F47ED3" w:rsidRDefault="00732A84" w:rsidP="00B304CD">
      <w:pPr>
        <w:pStyle w:val="Paragraph"/>
        <w:numPr>
          <w:ilvl w:val="0"/>
          <w:numId w:val="0"/>
        </w:numPr>
        <w:ind w:left="1170" w:hanging="450"/>
        <w:rPr>
          <w:lang w:val="en-US"/>
        </w:rPr>
      </w:pPr>
      <w:r w:rsidRPr="00F47ED3">
        <w:rPr>
          <w:lang w:val="en-US"/>
        </w:rPr>
        <w:t>b.</w:t>
      </w:r>
      <w:r w:rsidRPr="00F47ED3">
        <w:rPr>
          <w:lang w:val="en-US"/>
        </w:rPr>
        <w:tab/>
        <w:t>Implementation of a commercial, off-the-shelf (COTS) IFMIS solution, including customization, data migration, and integration services. This will include: (</w:t>
      </w:r>
      <w:proofErr w:type="spellStart"/>
      <w:r w:rsidRPr="00F47ED3">
        <w:rPr>
          <w:lang w:val="en-US"/>
        </w:rPr>
        <w:t>i</w:t>
      </w:r>
      <w:proofErr w:type="spellEnd"/>
      <w:r w:rsidRPr="00F47ED3">
        <w:rPr>
          <w:lang w:val="en-US"/>
        </w:rPr>
        <w:t xml:space="preserve">) the operationalization of the COTS IFMIS </w:t>
      </w:r>
      <w:r w:rsidR="00002082" w:rsidRPr="00F47ED3">
        <w:rPr>
          <w:lang w:val="en-US"/>
        </w:rPr>
        <w:t>solution comprising</w:t>
      </w:r>
      <w:r w:rsidRPr="00F47ED3">
        <w:rPr>
          <w:lang w:val="en-US"/>
        </w:rPr>
        <w:t xml:space="preserve"> the IFMIS software </w:t>
      </w:r>
      <w:r w:rsidR="00002082" w:rsidRPr="00F47ED3">
        <w:rPr>
          <w:lang w:val="en-US"/>
        </w:rPr>
        <w:t>package;</w:t>
      </w:r>
      <w:r w:rsidRPr="00F47ED3">
        <w:rPr>
          <w:lang w:val="en-US"/>
        </w:rPr>
        <w:t xml:space="preserve"> training for users and IT staff in the operation of the IFMIS solution including a train-the-trainers program; purchase of Data Center </w:t>
      </w:r>
      <w:r w:rsidR="00002082" w:rsidRPr="00F47ED3">
        <w:rPr>
          <w:lang w:val="en-US"/>
        </w:rPr>
        <w:t>Hardware,</w:t>
      </w:r>
      <w:r w:rsidRPr="00F47ED3">
        <w:rPr>
          <w:lang w:val="en-US"/>
        </w:rPr>
        <w:t xml:space="preserve"> and training of business analysts to analyze IFMIS-aggregated data; (ii) laptops and printers to operate the </w:t>
      </w:r>
      <w:r w:rsidR="00002082" w:rsidRPr="00F47ED3">
        <w:rPr>
          <w:lang w:val="en-US"/>
        </w:rPr>
        <w:t>IFMIS;</w:t>
      </w:r>
      <w:r w:rsidRPr="00F47ED3">
        <w:rPr>
          <w:lang w:val="en-US"/>
        </w:rPr>
        <w:t xml:space="preserve"> and (iii) implementation and roll out of a cash receipting system.</w:t>
      </w:r>
      <w:r w:rsidR="005E1705" w:rsidRPr="00F47ED3">
        <w:rPr>
          <w:lang w:val="en-US"/>
        </w:rPr>
        <w:t xml:space="preserve"> </w:t>
      </w:r>
      <w:r w:rsidR="00274F65" w:rsidRPr="00F47ED3">
        <w:rPr>
          <w:lang w:val="en-US"/>
        </w:rPr>
        <w:t xml:space="preserve">The Project’s </w:t>
      </w:r>
      <w:r w:rsidR="00297B97" w:rsidRPr="00F47ED3">
        <w:rPr>
          <w:lang w:val="en-US"/>
        </w:rPr>
        <w:t>Program Management and contingency are estimated at $1,180,000 and $1,692,697, respectively.</w:t>
      </w:r>
    </w:p>
    <w:p w14:paraId="5301E672" w14:textId="77777777" w:rsidR="001C39F2" w:rsidRPr="00F47ED3" w:rsidRDefault="001C39F2" w:rsidP="001C39F2">
      <w:pPr>
        <w:tabs>
          <w:tab w:val="num" w:pos="720"/>
        </w:tabs>
        <w:spacing w:before="120" w:after="0" w:line="240" w:lineRule="auto"/>
        <w:ind w:left="720" w:hanging="720"/>
        <w:jc w:val="center"/>
        <w:outlineLvl w:val="1"/>
        <w:rPr>
          <w:rFonts w:ascii="Times New Roman" w:eastAsia="Times New Roman" w:hAnsi="Times New Roman"/>
          <w:b/>
          <w:sz w:val="20"/>
          <w:szCs w:val="20"/>
          <w:lang w:val="en-US"/>
        </w:rPr>
      </w:pPr>
      <w:r w:rsidRPr="00F47ED3">
        <w:rPr>
          <w:rFonts w:ascii="Times New Roman" w:eastAsia="Times New Roman" w:hAnsi="Times New Roman"/>
          <w:b/>
          <w:sz w:val="20"/>
          <w:szCs w:val="20"/>
          <w:lang w:val="en-US"/>
        </w:rPr>
        <w:t>Table 1 - Expected Outcomes</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710"/>
        <w:gridCol w:w="1440"/>
      </w:tblGrid>
      <w:tr w:rsidR="001C39F2" w:rsidRPr="00F47ED3" w14:paraId="5A6E425A" w14:textId="77777777" w:rsidTr="0096425A">
        <w:trPr>
          <w:trHeight w:val="251"/>
        </w:trPr>
        <w:tc>
          <w:tcPr>
            <w:tcW w:w="5310" w:type="dxa"/>
            <w:shd w:val="clear" w:color="auto" w:fill="BFBFBF"/>
            <w:vAlign w:val="center"/>
          </w:tcPr>
          <w:p w14:paraId="0AF28580" w14:textId="77777777" w:rsidR="001C39F2" w:rsidRPr="00F47ED3" w:rsidRDefault="001C39F2" w:rsidP="0096425A">
            <w:pPr>
              <w:tabs>
                <w:tab w:val="num" w:pos="720"/>
              </w:tabs>
              <w:spacing w:after="0" w:line="240" w:lineRule="auto"/>
              <w:ind w:left="720" w:hanging="720"/>
              <w:jc w:val="center"/>
              <w:outlineLvl w:val="1"/>
              <w:rPr>
                <w:rFonts w:ascii="Times New Roman" w:eastAsia="Times New Roman" w:hAnsi="Times New Roman"/>
                <w:b/>
                <w:sz w:val="20"/>
                <w:szCs w:val="20"/>
                <w:lang w:val="en-US"/>
              </w:rPr>
            </w:pPr>
            <w:r w:rsidRPr="00F47ED3">
              <w:rPr>
                <w:rFonts w:ascii="Times New Roman" w:eastAsia="Times New Roman" w:hAnsi="Times New Roman"/>
                <w:b/>
                <w:sz w:val="20"/>
                <w:szCs w:val="20"/>
                <w:lang w:val="en-US"/>
              </w:rPr>
              <w:t>Indicator</w:t>
            </w:r>
          </w:p>
        </w:tc>
        <w:tc>
          <w:tcPr>
            <w:tcW w:w="1710" w:type="dxa"/>
            <w:shd w:val="clear" w:color="auto" w:fill="BFBFBF"/>
            <w:vAlign w:val="center"/>
          </w:tcPr>
          <w:p w14:paraId="14F82A10" w14:textId="77777777" w:rsidR="001C39F2" w:rsidRPr="00F47ED3" w:rsidRDefault="001C39F2" w:rsidP="0096425A">
            <w:pPr>
              <w:tabs>
                <w:tab w:val="num" w:pos="720"/>
              </w:tabs>
              <w:spacing w:after="0" w:line="240" w:lineRule="auto"/>
              <w:ind w:left="720" w:hanging="720"/>
              <w:jc w:val="center"/>
              <w:outlineLvl w:val="1"/>
              <w:rPr>
                <w:rFonts w:ascii="Times New Roman" w:eastAsia="Times New Roman" w:hAnsi="Times New Roman"/>
                <w:b/>
                <w:sz w:val="20"/>
                <w:szCs w:val="20"/>
                <w:lang w:val="en-US"/>
              </w:rPr>
            </w:pPr>
            <w:r w:rsidRPr="00F47ED3">
              <w:rPr>
                <w:rFonts w:ascii="Times New Roman" w:eastAsia="Times New Roman" w:hAnsi="Times New Roman"/>
                <w:b/>
                <w:sz w:val="20"/>
                <w:szCs w:val="20"/>
                <w:lang w:val="en-US"/>
              </w:rPr>
              <w:t>Baseline</w:t>
            </w:r>
          </w:p>
        </w:tc>
        <w:tc>
          <w:tcPr>
            <w:tcW w:w="1440" w:type="dxa"/>
            <w:shd w:val="clear" w:color="auto" w:fill="BFBFBF"/>
            <w:vAlign w:val="center"/>
          </w:tcPr>
          <w:p w14:paraId="0F7261E3" w14:textId="77777777" w:rsidR="001C39F2" w:rsidRPr="00F47ED3" w:rsidRDefault="001C39F2" w:rsidP="0096425A">
            <w:pPr>
              <w:tabs>
                <w:tab w:val="num" w:pos="252"/>
              </w:tabs>
              <w:spacing w:after="0" w:line="240" w:lineRule="auto"/>
              <w:ind w:left="252" w:hanging="252"/>
              <w:jc w:val="center"/>
              <w:outlineLvl w:val="1"/>
              <w:rPr>
                <w:rFonts w:ascii="Times New Roman" w:eastAsia="Times New Roman" w:hAnsi="Times New Roman"/>
                <w:b/>
                <w:sz w:val="20"/>
                <w:szCs w:val="20"/>
                <w:lang w:val="en-US"/>
              </w:rPr>
            </w:pPr>
            <w:r w:rsidRPr="00F47ED3">
              <w:rPr>
                <w:rFonts w:ascii="Times New Roman" w:eastAsia="Times New Roman" w:hAnsi="Times New Roman"/>
                <w:b/>
                <w:sz w:val="20"/>
                <w:szCs w:val="20"/>
                <w:lang w:val="en-US"/>
              </w:rPr>
              <w:t>Target</w:t>
            </w:r>
          </w:p>
          <w:p w14:paraId="3221EC2D" w14:textId="77777777" w:rsidR="001C39F2" w:rsidRPr="00F47ED3" w:rsidRDefault="001C39F2" w:rsidP="0096425A">
            <w:pPr>
              <w:tabs>
                <w:tab w:val="num" w:pos="252"/>
              </w:tabs>
              <w:spacing w:after="0" w:line="240" w:lineRule="auto"/>
              <w:ind w:left="2736" w:hanging="1296"/>
              <w:jc w:val="center"/>
              <w:outlineLvl w:val="1"/>
              <w:rPr>
                <w:rFonts w:ascii="Times New Roman" w:eastAsia="Times New Roman" w:hAnsi="Times New Roman"/>
                <w:b/>
                <w:sz w:val="20"/>
                <w:szCs w:val="20"/>
                <w:lang w:val="en-US"/>
              </w:rPr>
            </w:pPr>
          </w:p>
        </w:tc>
      </w:tr>
      <w:tr w:rsidR="001C39F2" w:rsidRPr="00F47ED3" w14:paraId="04F5A496" w14:textId="77777777" w:rsidTr="0096425A">
        <w:trPr>
          <w:trHeight w:val="89"/>
        </w:trPr>
        <w:tc>
          <w:tcPr>
            <w:tcW w:w="8460" w:type="dxa"/>
            <w:gridSpan w:val="3"/>
            <w:shd w:val="clear" w:color="auto" w:fill="D9D9D9"/>
            <w:vAlign w:val="center"/>
          </w:tcPr>
          <w:p w14:paraId="52F465E3" w14:textId="77777777" w:rsidR="001C39F2" w:rsidRPr="00F47ED3" w:rsidRDefault="001C39F2" w:rsidP="0096425A">
            <w:pPr>
              <w:tabs>
                <w:tab w:val="num" w:pos="720"/>
              </w:tabs>
              <w:spacing w:after="0" w:line="240" w:lineRule="auto"/>
              <w:ind w:left="720" w:hanging="720"/>
              <w:jc w:val="center"/>
              <w:rPr>
                <w:rFonts w:ascii="Times New Roman" w:eastAsia="Times New Roman" w:hAnsi="Times New Roman"/>
                <w:b/>
                <w:sz w:val="20"/>
                <w:szCs w:val="20"/>
                <w:lang w:val="en-US"/>
              </w:rPr>
            </w:pPr>
            <w:r w:rsidRPr="00F47ED3">
              <w:rPr>
                <w:rFonts w:ascii="Times New Roman" w:eastAsia="Times New Roman" w:hAnsi="Times New Roman"/>
                <w:b/>
                <w:sz w:val="20"/>
                <w:szCs w:val="20"/>
                <w:lang w:val="en-US"/>
              </w:rPr>
              <w:t>Outcomes</w:t>
            </w:r>
          </w:p>
        </w:tc>
      </w:tr>
      <w:tr w:rsidR="006C0B81" w:rsidRPr="00F47ED3" w14:paraId="34A59C2C" w14:textId="77777777" w:rsidTr="008E70B0">
        <w:tc>
          <w:tcPr>
            <w:tcW w:w="5310" w:type="dxa"/>
            <w:shd w:val="clear" w:color="auto" w:fill="FFFFFF"/>
            <w:vAlign w:val="center"/>
          </w:tcPr>
          <w:p w14:paraId="5EB7D047" w14:textId="14FBCE8E" w:rsidR="006C0B81" w:rsidRPr="00F47ED3" w:rsidRDefault="006C0B81" w:rsidP="001C39F2">
            <w:pPr>
              <w:tabs>
                <w:tab w:val="num" w:pos="720"/>
              </w:tabs>
              <w:spacing w:after="0" w:line="240" w:lineRule="auto"/>
              <w:rPr>
                <w:rFonts w:ascii="Times New Roman" w:eastAsia="Times New Roman" w:hAnsi="Times New Roman"/>
                <w:sz w:val="20"/>
                <w:szCs w:val="20"/>
                <w:lang w:val="en-US"/>
              </w:rPr>
            </w:pPr>
            <w:r>
              <w:rPr>
                <w:rFonts w:ascii="Times New Roman" w:hAnsi="Times New Roman"/>
                <w:sz w:val="20"/>
                <w:szCs w:val="20"/>
              </w:rPr>
              <w:t>PEFA Performance Indicator 5 Classification of the budget</w:t>
            </w:r>
          </w:p>
        </w:tc>
        <w:tc>
          <w:tcPr>
            <w:tcW w:w="1710" w:type="dxa"/>
            <w:shd w:val="clear" w:color="auto" w:fill="FFFFFF"/>
            <w:vAlign w:val="center"/>
          </w:tcPr>
          <w:p w14:paraId="4CBE2010" w14:textId="77777777" w:rsidR="006C0B81" w:rsidRPr="00F47ED3" w:rsidRDefault="006C0B81" w:rsidP="001C39F2">
            <w:pPr>
              <w:tabs>
                <w:tab w:val="num" w:pos="720"/>
              </w:tabs>
              <w:spacing w:after="0" w:line="240" w:lineRule="auto"/>
              <w:ind w:left="720" w:hanging="720"/>
              <w:jc w:val="center"/>
              <w:rPr>
                <w:rFonts w:ascii="Times New Roman" w:eastAsia="Times New Roman" w:hAnsi="Times New Roman"/>
                <w:sz w:val="20"/>
                <w:szCs w:val="20"/>
                <w:lang w:val="en-US"/>
              </w:rPr>
            </w:pPr>
            <w:r w:rsidRPr="00F47ED3">
              <w:rPr>
                <w:rFonts w:ascii="Times New Roman" w:eastAsia="Times New Roman" w:hAnsi="Times New Roman"/>
                <w:sz w:val="20"/>
                <w:szCs w:val="20"/>
                <w:lang w:val="en-US"/>
              </w:rPr>
              <w:t>C</w:t>
            </w:r>
          </w:p>
        </w:tc>
        <w:tc>
          <w:tcPr>
            <w:tcW w:w="1440" w:type="dxa"/>
            <w:shd w:val="clear" w:color="auto" w:fill="FFFFFF"/>
            <w:vAlign w:val="center"/>
          </w:tcPr>
          <w:p w14:paraId="34E0F1B6" w14:textId="77777777" w:rsidR="006C0B81" w:rsidRPr="00F47ED3" w:rsidRDefault="006C0B81" w:rsidP="001C39F2">
            <w:pPr>
              <w:tabs>
                <w:tab w:val="left" w:pos="502"/>
                <w:tab w:val="num" w:pos="720"/>
              </w:tabs>
              <w:spacing w:after="0" w:line="240" w:lineRule="auto"/>
              <w:ind w:left="720" w:hanging="720"/>
              <w:rPr>
                <w:rFonts w:ascii="Times New Roman" w:eastAsia="Times New Roman" w:hAnsi="Times New Roman"/>
                <w:sz w:val="20"/>
                <w:szCs w:val="20"/>
                <w:lang w:val="en-US"/>
              </w:rPr>
            </w:pPr>
            <w:r w:rsidRPr="00F47ED3">
              <w:rPr>
                <w:rFonts w:ascii="Times New Roman" w:eastAsia="Times New Roman" w:hAnsi="Times New Roman"/>
                <w:sz w:val="20"/>
                <w:szCs w:val="20"/>
                <w:lang w:val="en-US"/>
              </w:rPr>
              <w:t xml:space="preserve">          B</w:t>
            </w:r>
          </w:p>
        </w:tc>
      </w:tr>
      <w:tr w:rsidR="006C0B81" w:rsidRPr="00F47ED3" w14:paraId="0890A311" w14:textId="77777777" w:rsidTr="008E70B0">
        <w:tc>
          <w:tcPr>
            <w:tcW w:w="5310" w:type="dxa"/>
            <w:shd w:val="clear" w:color="auto" w:fill="FFFFFF"/>
            <w:vAlign w:val="center"/>
          </w:tcPr>
          <w:p w14:paraId="4DAC661C" w14:textId="3FEF3284" w:rsidR="006C0B81" w:rsidRDefault="006C0B81" w:rsidP="002C3F61">
            <w:pPr>
              <w:tabs>
                <w:tab w:val="left" w:pos="432"/>
              </w:tabs>
              <w:spacing w:after="0" w:line="240" w:lineRule="auto"/>
              <w:ind w:left="-63"/>
              <w:rPr>
                <w:rFonts w:ascii="Times New Roman" w:hAnsi="Times New Roman"/>
                <w:sz w:val="20"/>
                <w:szCs w:val="20"/>
              </w:rPr>
            </w:pPr>
            <w:r>
              <w:rPr>
                <w:rFonts w:ascii="Times New Roman" w:hAnsi="Times New Roman"/>
                <w:sz w:val="20"/>
                <w:szCs w:val="20"/>
              </w:rPr>
              <w:t xml:space="preserve"> PEFA Performance Indicator 12</w:t>
            </w:r>
          </w:p>
          <w:p w14:paraId="506521A5" w14:textId="1B2FEB10" w:rsidR="006C0B81" w:rsidRPr="00F47ED3" w:rsidRDefault="006C0B81" w:rsidP="001C39F2">
            <w:pPr>
              <w:tabs>
                <w:tab w:val="num" w:pos="720"/>
              </w:tabs>
              <w:spacing w:after="0" w:line="240" w:lineRule="auto"/>
              <w:rPr>
                <w:rFonts w:ascii="Times New Roman" w:eastAsia="Times New Roman" w:hAnsi="Times New Roman"/>
                <w:sz w:val="20"/>
                <w:szCs w:val="20"/>
                <w:lang w:val="en-US"/>
              </w:rPr>
            </w:pPr>
            <w:r>
              <w:rPr>
                <w:rFonts w:ascii="Times New Roman" w:hAnsi="Times New Roman"/>
                <w:sz w:val="20"/>
                <w:szCs w:val="20"/>
              </w:rPr>
              <w:t>Multiyear Perspective in fiscal planning, expenditure policy, and budgeting</w:t>
            </w:r>
          </w:p>
        </w:tc>
        <w:tc>
          <w:tcPr>
            <w:tcW w:w="1710" w:type="dxa"/>
            <w:shd w:val="clear" w:color="auto" w:fill="FFFFFF"/>
            <w:vAlign w:val="center"/>
          </w:tcPr>
          <w:p w14:paraId="52C892BA" w14:textId="77777777" w:rsidR="006C0B81" w:rsidRPr="00F47ED3" w:rsidRDefault="006C0B81" w:rsidP="001C39F2">
            <w:pPr>
              <w:tabs>
                <w:tab w:val="num" w:pos="720"/>
              </w:tabs>
              <w:spacing w:after="0" w:line="240" w:lineRule="auto"/>
              <w:ind w:left="720" w:hanging="720"/>
              <w:jc w:val="center"/>
              <w:rPr>
                <w:rFonts w:ascii="Times New Roman" w:eastAsia="Times New Roman" w:hAnsi="Times New Roman"/>
                <w:sz w:val="20"/>
                <w:szCs w:val="20"/>
                <w:lang w:val="en-US"/>
              </w:rPr>
            </w:pPr>
            <w:r w:rsidRPr="00F47ED3">
              <w:rPr>
                <w:rFonts w:ascii="Times New Roman" w:eastAsia="Times New Roman" w:hAnsi="Times New Roman"/>
                <w:sz w:val="20"/>
                <w:szCs w:val="20"/>
                <w:lang w:val="en-US"/>
              </w:rPr>
              <w:t xml:space="preserve"> C+</w:t>
            </w:r>
          </w:p>
        </w:tc>
        <w:tc>
          <w:tcPr>
            <w:tcW w:w="1440" w:type="dxa"/>
            <w:shd w:val="clear" w:color="auto" w:fill="FFFFFF"/>
            <w:vAlign w:val="center"/>
          </w:tcPr>
          <w:p w14:paraId="73B1D6F6" w14:textId="77777777" w:rsidR="006C0B81" w:rsidRPr="00F47ED3" w:rsidRDefault="006C0B81" w:rsidP="001C39F2">
            <w:pPr>
              <w:tabs>
                <w:tab w:val="num" w:pos="720"/>
              </w:tabs>
              <w:spacing w:after="0" w:line="240" w:lineRule="auto"/>
              <w:ind w:left="720" w:hanging="720"/>
              <w:jc w:val="center"/>
              <w:rPr>
                <w:rFonts w:ascii="Times New Roman" w:eastAsia="Times New Roman" w:hAnsi="Times New Roman"/>
                <w:sz w:val="20"/>
                <w:szCs w:val="20"/>
                <w:lang w:val="en-US"/>
              </w:rPr>
            </w:pPr>
            <w:r w:rsidRPr="00F47ED3">
              <w:rPr>
                <w:rFonts w:ascii="Times New Roman" w:eastAsia="Times New Roman" w:hAnsi="Times New Roman"/>
                <w:sz w:val="20"/>
                <w:szCs w:val="20"/>
                <w:lang w:val="en-US"/>
              </w:rPr>
              <w:t>B+</w:t>
            </w:r>
          </w:p>
        </w:tc>
      </w:tr>
      <w:tr w:rsidR="001C39F2" w:rsidRPr="00F47ED3" w14:paraId="525B7FFF" w14:textId="77777777" w:rsidTr="007A60EB">
        <w:trPr>
          <w:trHeight w:val="179"/>
        </w:trPr>
        <w:tc>
          <w:tcPr>
            <w:tcW w:w="5310" w:type="dxa"/>
            <w:shd w:val="clear" w:color="auto" w:fill="FFFFFF"/>
          </w:tcPr>
          <w:p w14:paraId="418E9B90" w14:textId="7678138E" w:rsidR="006C0B81" w:rsidRDefault="006C0B81" w:rsidP="006C0B81">
            <w:pPr>
              <w:tabs>
                <w:tab w:val="left" w:pos="432"/>
              </w:tabs>
              <w:spacing w:after="0" w:line="240" w:lineRule="auto"/>
              <w:ind w:left="-63"/>
              <w:rPr>
                <w:rFonts w:ascii="Times New Roman" w:hAnsi="Times New Roman"/>
                <w:sz w:val="20"/>
                <w:szCs w:val="20"/>
              </w:rPr>
            </w:pPr>
            <w:r>
              <w:rPr>
                <w:rFonts w:ascii="Times New Roman" w:hAnsi="Times New Roman"/>
                <w:sz w:val="20"/>
                <w:szCs w:val="20"/>
              </w:rPr>
              <w:t xml:space="preserve"> PEFA Performance Indicator 21</w:t>
            </w:r>
          </w:p>
          <w:p w14:paraId="2FCC74DB" w14:textId="1859979C" w:rsidR="001C39F2" w:rsidRPr="00F47ED3" w:rsidDel="00050AB6" w:rsidRDefault="006C0B81" w:rsidP="006C0B81">
            <w:pPr>
              <w:tabs>
                <w:tab w:val="num" w:pos="342"/>
              </w:tabs>
              <w:spacing w:after="0" w:line="240" w:lineRule="auto"/>
              <w:ind w:left="342" w:hanging="342"/>
              <w:rPr>
                <w:rFonts w:ascii="Times New Roman" w:eastAsia="Times New Roman" w:hAnsi="Times New Roman"/>
                <w:sz w:val="20"/>
                <w:szCs w:val="20"/>
                <w:lang w:val="en-US"/>
              </w:rPr>
            </w:pPr>
            <w:r>
              <w:rPr>
                <w:rFonts w:ascii="Times New Roman" w:hAnsi="Times New Roman"/>
                <w:sz w:val="20"/>
                <w:szCs w:val="20"/>
              </w:rPr>
              <w:t>Effectiveness of Internal Audit.</w:t>
            </w:r>
          </w:p>
        </w:tc>
        <w:tc>
          <w:tcPr>
            <w:tcW w:w="1710" w:type="dxa"/>
            <w:shd w:val="clear" w:color="auto" w:fill="FFFFFF"/>
            <w:vAlign w:val="center"/>
          </w:tcPr>
          <w:p w14:paraId="51ABB971" w14:textId="77777777" w:rsidR="001C39F2" w:rsidRPr="00F47ED3" w:rsidDel="00050AB6" w:rsidRDefault="001C39F2" w:rsidP="001C39F2">
            <w:pPr>
              <w:tabs>
                <w:tab w:val="num" w:pos="720"/>
              </w:tabs>
              <w:spacing w:after="0" w:line="240" w:lineRule="auto"/>
              <w:ind w:left="720" w:hanging="720"/>
              <w:jc w:val="center"/>
              <w:rPr>
                <w:rFonts w:ascii="Times New Roman" w:eastAsia="Times New Roman" w:hAnsi="Times New Roman"/>
                <w:sz w:val="20"/>
                <w:szCs w:val="20"/>
                <w:lang w:val="en-US"/>
              </w:rPr>
            </w:pPr>
            <w:r w:rsidRPr="00F47ED3">
              <w:rPr>
                <w:rFonts w:ascii="Times New Roman" w:eastAsia="Times New Roman" w:hAnsi="Times New Roman"/>
                <w:sz w:val="20"/>
                <w:szCs w:val="20"/>
                <w:lang w:val="en-US"/>
              </w:rPr>
              <w:t>C</w:t>
            </w:r>
          </w:p>
        </w:tc>
        <w:tc>
          <w:tcPr>
            <w:tcW w:w="1440" w:type="dxa"/>
            <w:shd w:val="clear" w:color="auto" w:fill="FFFFFF"/>
            <w:vAlign w:val="center"/>
          </w:tcPr>
          <w:p w14:paraId="43F6139E" w14:textId="77777777" w:rsidR="001C39F2" w:rsidRPr="00F47ED3" w:rsidDel="00050AB6" w:rsidRDefault="001C39F2" w:rsidP="001C39F2">
            <w:pPr>
              <w:tabs>
                <w:tab w:val="num" w:pos="720"/>
              </w:tabs>
              <w:spacing w:after="0" w:line="240" w:lineRule="auto"/>
              <w:ind w:left="720" w:hanging="720"/>
              <w:jc w:val="center"/>
              <w:rPr>
                <w:rFonts w:ascii="Times New Roman" w:eastAsia="Times New Roman" w:hAnsi="Times New Roman"/>
                <w:sz w:val="20"/>
                <w:szCs w:val="20"/>
                <w:lang w:val="en-US"/>
              </w:rPr>
            </w:pPr>
            <w:r w:rsidRPr="00F47ED3">
              <w:rPr>
                <w:rFonts w:ascii="Times New Roman" w:eastAsia="Times New Roman" w:hAnsi="Times New Roman"/>
                <w:sz w:val="20"/>
                <w:szCs w:val="20"/>
                <w:lang w:val="en-US"/>
              </w:rPr>
              <w:t>B</w:t>
            </w:r>
          </w:p>
        </w:tc>
      </w:tr>
      <w:tr w:rsidR="001C39F2" w:rsidRPr="00F47ED3" w14:paraId="675B3BF3" w14:textId="77777777" w:rsidTr="007A60EB">
        <w:trPr>
          <w:trHeight w:val="179"/>
        </w:trPr>
        <w:tc>
          <w:tcPr>
            <w:tcW w:w="5310" w:type="dxa"/>
            <w:shd w:val="clear" w:color="auto" w:fill="FFFFFF"/>
          </w:tcPr>
          <w:p w14:paraId="1AAD5E79" w14:textId="1D3CAE70" w:rsidR="006C0B81" w:rsidRDefault="006C0B81" w:rsidP="006C0B81">
            <w:pPr>
              <w:tabs>
                <w:tab w:val="left" w:pos="432"/>
              </w:tabs>
              <w:spacing w:after="0" w:line="240" w:lineRule="auto"/>
              <w:ind w:left="-63"/>
              <w:rPr>
                <w:rFonts w:ascii="Times New Roman" w:hAnsi="Times New Roman"/>
                <w:sz w:val="20"/>
                <w:szCs w:val="20"/>
              </w:rPr>
            </w:pPr>
            <w:r>
              <w:rPr>
                <w:rFonts w:ascii="Times New Roman" w:hAnsi="Times New Roman"/>
                <w:sz w:val="20"/>
                <w:szCs w:val="20"/>
              </w:rPr>
              <w:t xml:space="preserve"> PEFA Performance Indicator 22</w:t>
            </w:r>
          </w:p>
          <w:p w14:paraId="1B4A2D2F" w14:textId="401A0A7F" w:rsidR="001C39F2" w:rsidRPr="00F47ED3" w:rsidRDefault="006C0B81" w:rsidP="006C0B81">
            <w:pPr>
              <w:tabs>
                <w:tab w:val="num" w:pos="342"/>
              </w:tabs>
              <w:spacing w:after="0" w:line="240" w:lineRule="auto"/>
              <w:ind w:left="342" w:hanging="342"/>
              <w:rPr>
                <w:rFonts w:ascii="Times New Roman" w:eastAsia="Times New Roman" w:hAnsi="Times New Roman"/>
                <w:sz w:val="20"/>
                <w:szCs w:val="20"/>
                <w:lang w:val="en-US"/>
              </w:rPr>
            </w:pPr>
            <w:r w:rsidRPr="00D81397">
              <w:rPr>
                <w:rFonts w:ascii="Times New Roman" w:hAnsi="Times New Roman"/>
                <w:sz w:val="20"/>
                <w:szCs w:val="20"/>
              </w:rPr>
              <w:t>Timeliness and</w:t>
            </w:r>
            <w:r>
              <w:rPr>
                <w:rFonts w:ascii="Times New Roman" w:hAnsi="Times New Roman"/>
                <w:sz w:val="20"/>
                <w:szCs w:val="20"/>
              </w:rPr>
              <w:t xml:space="preserve"> Regularity of Bank reconciliation.</w:t>
            </w:r>
          </w:p>
        </w:tc>
        <w:tc>
          <w:tcPr>
            <w:tcW w:w="1710" w:type="dxa"/>
            <w:shd w:val="clear" w:color="auto" w:fill="FFFFFF"/>
            <w:vAlign w:val="center"/>
          </w:tcPr>
          <w:p w14:paraId="07B42BDC" w14:textId="77777777" w:rsidR="001C39F2" w:rsidRPr="00F47ED3" w:rsidRDefault="001C39F2" w:rsidP="001C39F2">
            <w:pPr>
              <w:tabs>
                <w:tab w:val="num" w:pos="720"/>
              </w:tabs>
              <w:spacing w:after="0" w:line="240" w:lineRule="auto"/>
              <w:ind w:left="720" w:hanging="720"/>
              <w:jc w:val="center"/>
              <w:rPr>
                <w:rFonts w:ascii="Times New Roman" w:eastAsia="Times New Roman" w:hAnsi="Times New Roman"/>
                <w:sz w:val="20"/>
                <w:szCs w:val="20"/>
                <w:lang w:val="en-US"/>
              </w:rPr>
            </w:pPr>
            <w:r w:rsidRPr="00F47ED3">
              <w:rPr>
                <w:rFonts w:ascii="Times New Roman" w:eastAsia="Times New Roman" w:hAnsi="Times New Roman"/>
                <w:sz w:val="20"/>
                <w:szCs w:val="20"/>
                <w:lang w:val="en-US"/>
              </w:rPr>
              <w:t>C</w:t>
            </w:r>
          </w:p>
        </w:tc>
        <w:tc>
          <w:tcPr>
            <w:tcW w:w="1440" w:type="dxa"/>
            <w:shd w:val="clear" w:color="auto" w:fill="FFFFFF"/>
            <w:vAlign w:val="center"/>
          </w:tcPr>
          <w:p w14:paraId="26034AD9" w14:textId="77777777" w:rsidR="001C39F2" w:rsidRPr="00F47ED3" w:rsidRDefault="001C39F2" w:rsidP="001C39F2">
            <w:pPr>
              <w:tabs>
                <w:tab w:val="num" w:pos="720"/>
              </w:tabs>
              <w:spacing w:after="0" w:line="240" w:lineRule="auto"/>
              <w:ind w:left="720" w:hanging="720"/>
              <w:jc w:val="center"/>
              <w:rPr>
                <w:rFonts w:ascii="Times New Roman" w:eastAsia="Times New Roman" w:hAnsi="Times New Roman"/>
                <w:sz w:val="20"/>
                <w:szCs w:val="20"/>
                <w:lang w:val="en-US"/>
              </w:rPr>
            </w:pPr>
            <w:r w:rsidRPr="00F47ED3">
              <w:rPr>
                <w:rFonts w:ascii="Times New Roman" w:eastAsia="Times New Roman" w:hAnsi="Times New Roman"/>
                <w:sz w:val="20"/>
                <w:szCs w:val="20"/>
                <w:lang w:val="en-US"/>
              </w:rPr>
              <w:t>B</w:t>
            </w:r>
          </w:p>
        </w:tc>
      </w:tr>
      <w:tr w:rsidR="001C39F2" w:rsidRPr="00F47ED3" w14:paraId="22C44EE0" w14:textId="77777777" w:rsidTr="007A60EB">
        <w:trPr>
          <w:trHeight w:val="179"/>
        </w:trPr>
        <w:tc>
          <w:tcPr>
            <w:tcW w:w="5310" w:type="dxa"/>
            <w:shd w:val="clear" w:color="auto" w:fill="FFFFFF"/>
            <w:vAlign w:val="center"/>
          </w:tcPr>
          <w:p w14:paraId="3217C04E" w14:textId="0D37B17A" w:rsidR="001C39F2" w:rsidRPr="00F47ED3" w:rsidRDefault="001C39F2" w:rsidP="001704FD">
            <w:pPr>
              <w:tabs>
                <w:tab w:val="num" w:pos="0"/>
              </w:tabs>
              <w:spacing w:after="0" w:line="240" w:lineRule="auto"/>
              <w:rPr>
                <w:rFonts w:ascii="Times New Roman" w:eastAsia="Times New Roman" w:hAnsi="Times New Roman"/>
                <w:sz w:val="20"/>
                <w:szCs w:val="20"/>
                <w:lang w:val="en-US"/>
              </w:rPr>
            </w:pPr>
            <w:r w:rsidRPr="00F47ED3">
              <w:rPr>
                <w:rFonts w:ascii="Times New Roman" w:eastAsia="Times New Roman" w:hAnsi="Times New Roman"/>
                <w:sz w:val="20"/>
                <w:szCs w:val="20"/>
                <w:lang w:val="en-US"/>
              </w:rPr>
              <w:t xml:space="preserve">Annual balance of </w:t>
            </w:r>
            <w:r w:rsidR="00635377">
              <w:rPr>
                <w:rFonts w:ascii="Times New Roman" w:eastAsia="Times New Roman" w:hAnsi="Times New Roman"/>
                <w:sz w:val="20"/>
                <w:szCs w:val="20"/>
                <w:lang w:val="en-US"/>
              </w:rPr>
              <w:t xml:space="preserve">the </w:t>
            </w:r>
            <w:r w:rsidRPr="00F47ED3">
              <w:rPr>
                <w:rFonts w:ascii="Times New Roman" w:eastAsia="Times New Roman" w:hAnsi="Times New Roman"/>
                <w:sz w:val="20"/>
                <w:szCs w:val="20"/>
                <w:lang w:val="en-US"/>
              </w:rPr>
              <w:t>Suspense Account</w:t>
            </w:r>
            <w:r w:rsidR="00157B9C">
              <w:rPr>
                <w:rFonts w:ascii="Times New Roman" w:eastAsia="Times New Roman" w:hAnsi="Times New Roman"/>
                <w:sz w:val="20"/>
                <w:szCs w:val="20"/>
                <w:lang w:val="en-US"/>
              </w:rPr>
              <w:t xml:space="preserve"> in constant prices</w:t>
            </w:r>
          </w:p>
        </w:tc>
        <w:tc>
          <w:tcPr>
            <w:tcW w:w="1710" w:type="dxa"/>
            <w:shd w:val="clear" w:color="auto" w:fill="FFFFFF"/>
            <w:vAlign w:val="center"/>
          </w:tcPr>
          <w:p w14:paraId="543940CF" w14:textId="643F2856" w:rsidR="001C39F2" w:rsidRPr="00F47ED3" w:rsidDel="00050AB6" w:rsidRDefault="001C39F2">
            <w:pPr>
              <w:tabs>
                <w:tab w:val="num" w:pos="720"/>
              </w:tabs>
              <w:spacing w:after="0" w:line="240" w:lineRule="auto"/>
              <w:ind w:left="720" w:hanging="720"/>
              <w:jc w:val="center"/>
              <w:rPr>
                <w:rFonts w:ascii="Times New Roman" w:eastAsia="Times New Roman" w:hAnsi="Times New Roman"/>
                <w:sz w:val="20"/>
                <w:szCs w:val="20"/>
                <w:lang w:val="en-US"/>
              </w:rPr>
            </w:pPr>
            <w:r w:rsidRPr="00F47ED3">
              <w:rPr>
                <w:rFonts w:ascii="Times New Roman" w:eastAsia="Times New Roman" w:hAnsi="Times New Roman"/>
                <w:sz w:val="20"/>
                <w:szCs w:val="20"/>
                <w:lang w:val="en-US"/>
              </w:rPr>
              <w:t>TT$</w:t>
            </w:r>
            <w:r w:rsidR="001F2977" w:rsidRPr="00F47ED3">
              <w:rPr>
                <w:rFonts w:ascii="Times New Roman" w:eastAsia="Times New Roman" w:hAnsi="Times New Roman"/>
                <w:sz w:val="20"/>
                <w:szCs w:val="20"/>
                <w:lang w:val="en-US"/>
              </w:rPr>
              <w:t xml:space="preserve"> </w:t>
            </w:r>
            <w:r w:rsidR="00377699">
              <w:rPr>
                <w:rFonts w:ascii="Times New Roman" w:eastAsia="Times New Roman" w:hAnsi="Times New Roman"/>
                <w:sz w:val="20"/>
                <w:szCs w:val="20"/>
                <w:lang w:val="en-US"/>
              </w:rPr>
              <w:t>6.24</w:t>
            </w:r>
            <w:r w:rsidR="004013A7">
              <w:rPr>
                <w:rFonts w:ascii="Times New Roman" w:eastAsia="Times New Roman" w:hAnsi="Times New Roman"/>
                <w:sz w:val="20"/>
                <w:szCs w:val="20"/>
                <w:lang w:val="en-US"/>
              </w:rPr>
              <w:t>1</w:t>
            </w:r>
            <w:r w:rsidRPr="00F47ED3">
              <w:rPr>
                <w:rFonts w:ascii="Times New Roman" w:eastAsia="Times New Roman" w:hAnsi="Times New Roman"/>
                <w:sz w:val="20"/>
                <w:szCs w:val="20"/>
                <w:lang w:val="en-US"/>
              </w:rPr>
              <w:t xml:space="preserve"> billion</w:t>
            </w:r>
            <w:r w:rsidR="001704FD">
              <w:rPr>
                <w:rStyle w:val="FootnoteReference"/>
                <w:rFonts w:ascii="Times New Roman" w:eastAsia="Times New Roman" w:hAnsi="Times New Roman"/>
                <w:sz w:val="20"/>
                <w:szCs w:val="20"/>
                <w:lang w:val="en-US"/>
              </w:rPr>
              <w:footnoteReference w:id="4"/>
            </w:r>
          </w:p>
        </w:tc>
        <w:tc>
          <w:tcPr>
            <w:tcW w:w="1440" w:type="dxa"/>
            <w:shd w:val="clear" w:color="auto" w:fill="FFFFFF"/>
            <w:vAlign w:val="center"/>
          </w:tcPr>
          <w:p w14:paraId="33782230" w14:textId="78924EE0" w:rsidR="001C39F2" w:rsidRPr="00F47ED3" w:rsidDel="00050AB6" w:rsidRDefault="001C39F2" w:rsidP="005C638B">
            <w:pPr>
              <w:tabs>
                <w:tab w:val="num" w:pos="720"/>
              </w:tabs>
              <w:spacing w:after="0" w:line="240" w:lineRule="auto"/>
              <w:ind w:left="720" w:hanging="720"/>
              <w:jc w:val="center"/>
              <w:rPr>
                <w:rFonts w:ascii="Times New Roman" w:eastAsia="Times New Roman" w:hAnsi="Times New Roman"/>
                <w:sz w:val="20"/>
                <w:szCs w:val="20"/>
                <w:lang w:val="en-US"/>
              </w:rPr>
            </w:pPr>
            <w:r w:rsidRPr="00F47ED3">
              <w:rPr>
                <w:rFonts w:ascii="Times New Roman" w:eastAsia="Times New Roman" w:hAnsi="Times New Roman"/>
                <w:sz w:val="20"/>
                <w:szCs w:val="20"/>
                <w:lang w:val="en-US"/>
              </w:rPr>
              <w:t>TT$</w:t>
            </w:r>
            <w:r w:rsidR="001F2977" w:rsidRPr="00F47ED3">
              <w:rPr>
                <w:rFonts w:ascii="Times New Roman" w:eastAsia="Times New Roman" w:hAnsi="Times New Roman"/>
                <w:sz w:val="20"/>
                <w:szCs w:val="20"/>
                <w:lang w:val="en-US"/>
              </w:rPr>
              <w:t xml:space="preserve"> </w:t>
            </w:r>
            <w:r w:rsidR="00BB2A41" w:rsidRPr="00F47ED3">
              <w:rPr>
                <w:rFonts w:ascii="Times New Roman" w:eastAsia="Times New Roman" w:hAnsi="Times New Roman"/>
                <w:sz w:val="20"/>
                <w:szCs w:val="20"/>
                <w:lang w:val="en-US"/>
              </w:rPr>
              <w:t>0.0</w:t>
            </w:r>
          </w:p>
        </w:tc>
      </w:tr>
      <w:tr w:rsidR="006C0B81" w:rsidRPr="00F47ED3" w14:paraId="44CBA764" w14:textId="77777777" w:rsidTr="002C3F61">
        <w:trPr>
          <w:trHeight w:val="89"/>
        </w:trPr>
        <w:tc>
          <w:tcPr>
            <w:tcW w:w="8460" w:type="dxa"/>
            <w:gridSpan w:val="3"/>
            <w:shd w:val="clear" w:color="auto" w:fill="D9D9D9"/>
            <w:vAlign w:val="center"/>
          </w:tcPr>
          <w:p w14:paraId="1BB33381" w14:textId="0DAF1A17" w:rsidR="006C0B81" w:rsidRPr="00F47ED3" w:rsidRDefault="006C0B81" w:rsidP="002C3F61">
            <w:pPr>
              <w:tabs>
                <w:tab w:val="num" w:pos="720"/>
              </w:tabs>
              <w:spacing w:after="0" w:line="240" w:lineRule="auto"/>
              <w:ind w:left="720" w:hanging="72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 xml:space="preserve">Intermediate </w:t>
            </w:r>
            <w:r w:rsidRPr="00F47ED3">
              <w:rPr>
                <w:rFonts w:ascii="Times New Roman" w:eastAsia="Times New Roman" w:hAnsi="Times New Roman"/>
                <w:b/>
                <w:sz w:val="20"/>
                <w:szCs w:val="20"/>
                <w:lang w:val="en-US"/>
              </w:rPr>
              <w:t>Outcomes</w:t>
            </w:r>
          </w:p>
        </w:tc>
      </w:tr>
      <w:tr w:rsidR="006C0B81" w:rsidRPr="00F47ED3" w14:paraId="243A182E" w14:textId="77777777" w:rsidTr="007A60EB">
        <w:trPr>
          <w:trHeight w:val="179"/>
        </w:trPr>
        <w:tc>
          <w:tcPr>
            <w:tcW w:w="5310" w:type="dxa"/>
            <w:shd w:val="clear" w:color="auto" w:fill="FFFFFF"/>
            <w:vAlign w:val="center"/>
          </w:tcPr>
          <w:p w14:paraId="6AA01C2B" w14:textId="63BE5BB9" w:rsidR="006C0B81" w:rsidRPr="00F47ED3" w:rsidRDefault="006C0B81" w:rsidP="006C0B81">
            <w:pPr>
              <w:tabs>
                <w:tab w:val="num" w:pos="0"/>
              </w:tabs>
              <w:spacing w:after="0" w:line="240" w:lineRule="auto"/>
              <w:rPr>
                <w:rFonts w:ascii="Times New Roman" w:eastAsia="Times New Roman" w:hAnsi="Times New Roman"/>
                <w:sz w:val="20"/>
                <w:szCs w:val="20"/>
                <w:lang w:val="en-US"/>
              </w:rPr>
            </w:pPr>
            <w:r>
              <w:rPr>
                <w:rFonts w:ascii="Times New Roman" w:hAnsi="Times New Roman"/>
                <w:spacing w:val="-5"/>
                <w:sz w:val="20"/>
                <w:szCs w:val="20"/>
              </w:rPr>
              <w:t>LM</w:t>
            </w:r>
            <w:r w:rsidRPr="005A4FE0">
              <w:rPr>
                <w:rFonts w:ascii="Times New Roman" w:hAnsi="Times New Roman"/>
                <w:spacing w:val="-5"/>
                <w:sz w:val="20"/>
              </w:rPr>
              <w:t xml:space="preserve"> using the </w:t>
            </w:r>
            <w:r w:rsidRPr="005A4FE0">
              <w:rPr>
                <w:rFonts w:ascii="Times New Roman" w:hAnsi="Times New Roman"/>
                <w:sz w:val="20"/>
              </w:rPr>
              <w:t>Integrated Financial Management System (IFMIS)</w:t>
            </w:r>
          </w:p>
        </w:tc>
        <w:tc>
          <w:tcPr>
            <w:tcW w:w="1710" w:type="dxa"/>
            <w:shd w:val="clear" w:color="auto" w:fill="FFFFFF"/>
            <w:vAlign w:val="center"/>
          </w:tcPr>
          <w:p w14:paraId="1B65931C" w14:textId="470027DC" w:rsidR="006C0B81" w:rsidRPr="00F47ED3" w:rsidRDefault="00EA1F1A">
            <w:pPr>
              <w:tabs>
                <w:tab w:val="num" w:pos="720"/>
              </w:tabs>
              <w:spacing w:after="0" w:line="240" w:lineRule="auto"/>
              <w:ind w:left="720" w:hanging="720"/>
              <w:jc w:val="center"/>
              <w:rPr>
                <w:rFonts w:ascii="Times New Roman" w:eastAsia="Times New Roman" w:hAnsi="Times New Roman"/>
                <w:sz w:val="20"/>
                <w:szCs w:val="20"/>
                <w:lang w:val="en-US"/>
              </w:rPr>
            </w:pPr>
            <w:r>
              <w:rPr>
                <w:rFonts w:ascii="Times New Roman" w:eastAsia="Times New Roman" w:hAnsi="Times New Roman"/>
                <w:sz w:val="20"/>
                <w:szCs w:val="20"/>
                <w:lang w:val="en-US"/>
              </w:rPr>
              <w:t>0</w:t>
            </w:r>
            <w:r w:rsidR="003F4D0C">
              <w:rPr>
                <w:rFonts w:ascii="Times New Roman" w:eastAsia="Times New Roman" w:hAnsi="Times New Roman"/>
                <w:sz w:val="20"/>
                <w:szCs w:val="20"/>
                <w:lang w:val="en-US"/>
              </w:rPr>
              <w:t>%</w:t>
            </w:r>
          </w:p>
        </w:tc>
        <w:tc>
          <w:tcPr>
            <w:tcW w:w="1440" w:type="dxa"/>
            <w:shd w:val="clear" w:color="auto" w:fill="FFFFFF"/>
            <w:vAlign w:val="center"/>
          </w:tcPr>
          <w:p w14:paraId="22C96BD2" w14:textId="6C060C0B" w:rsidR="006C0B81" w:rsidRPr="00F47ED3" w:rsidRDefault="003F4D0C" w:rsidP="005C638B">
            <w:pPr>
              <w:tabs>
                <w:tab w:val="num" w:pos="720"/>
              </w:tabs>
              <w:spacing w:after="0" w:line="240" w:lineRule="auto"/>
              <w:ind w:left="720" w:hanging="72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100%</w:t>
            </w:r>
          </w:p>
        </w:tc>
      </w:tr>
    </w:tbl>
    <w:p w14:paraId="6012AD22" w14:textId="77777777" w:rsidR="00E4530D" w:rsidRPr="00F47ED3" w:rsidRDefault="001C39F2" w:rsidP="00B304CD">
      <w:pPr>
        <w:pStyle w:val="ListParagraph"/>
        <w:numPr>
          <w:ilvl w:val="0"/>
          <w:numId w:val="1"/>
        </w:numPr>
        <w:spacing w:before="120" w:after="120" w:line="240" w:lineRule="auto"/>
        <w:ind w:left="567" w:hanging="567"/>
        <w:jc w:val="both"/>
        <w:rPr>
          <w:rFonts w:ascii="Times New Roman" w:hAnsi="Times New Roman"/>
          <w:b/>
          <w:sz w:val="24"/>
          <w:szCs w:val="24"/>
          <w:lang w:val="en-US"/>
        </w:rPr>
      </w:pPr>
      <w:r w:rsidRPr="00F47ED3">
        <w:rPr>
          <w:rFonts w:ascii="Times New Roman" w:hAnsi="Times New Roman"/>
          <w:b/>
          <w:sz w:val="24"/>
          <w:szCs w:val="24"/>
          <w:lang w:val="en-US"/>
        </w:rPr>
        <w:t>Assumption</w:t>
      </w:r>
    </w:p>
    <w:tbl>
      <w:tblPr>
        <w:tblStyle w:val="TableGrid"/>
        <w:tblW w:w="0" w:type="auto"/>
        <w:tblInd w:w="620" w:type="dxa"/>
        <w:tblLook w:val="04A0" w:firstRow="1" w:lastRow="0" w:firstColumn="1" w:lastColumn="0" w:noHBand="0" w:noVBand="1"/>
      </w:tblPr>
      <w:tblGrid>
        <w:gridCol w:w="8128"/>
      </w:tblGrid>
      <w:tr w:rsidR="002E3F23" w:rsidRPr="00F47ED3" w14:paraId="6686015C" w14:textId="77777777" w:rsidTr="00F16F8B">
        <w:tc>
          <w:tcPr>
            <w:tcW w:w="8128" w:type="dxa"/>
            <w:tcBorders>
              <w:top w:val="single" w:sz="4" w:space="0" w:color="auto"/>
              <w:left w:val="single" w:sz="4" w:space="0" w:color="auto"/>
              <w:bottom w:val="single" w:sz="4" w:space="0" w:color="auto"/>
              <w:right w:val="single" w:sz="4" w:space="0" w:color="auto"/>
            </w:tcBorders>
          </w:tcPr>
          <w:p w14:paraId="4788CF50" w14:textId="11FCB922" w:rsidR="002E3F23" w:rsidRPr="00F47ED3" w:rsidRDefault="004E067F">
            <w:pPr>
              <w:spacing w:before="120" w:after="120" w:line="240" w:lineRule="auto"/>
              <w:jc w:val="both"/>
              <w:rPr>
                <w:rFonts w:ascii="Times New Roman" w:hAnsi="Times New Roman"/>
                <w:sz w:val="24"/>
                <w:szCs w:val="24"/>
              </w:rPr>
            </w:pPr>
            <w:r w:rsidRPr="00F47ED3">
              <w:rPr>
                <w:rFonts w:ascii="Times New Roman" w:hAnsi="Times New Roman"/>
                <w:b/>
                <w:i/>
                <w:sz w:val="24"/>
                <w:szCs w:val="24"/>
              </w:rPr>
              <w:t xml:space="preserve">Assumption. On a conservative basis, it is estimated that the implementation of the Integrated Financial Management System (IFMIS) cashiering module at </w:t>
            </w:r>
            <w:r w:rsidRPr="00F47ED3">
              <w:rPr>
                <w:rFonts w:ascii="Times New Roman" w:hAnsi="Times New Roman"/>
                <w:b/>
                <w:i/>
                <w:sz w:val="24"/>
                <w:szCs w:val="24"/>
              </w:rPr>
              <w:lastRenderedPageBreak/>
              <w:t>revenue collection offices will generate a financial benefit of US$</w:t>
            </w:r>
            <w:r w:rsidR="006C6C61">
              <w:rPr>
                <w:rFonts w:ascii="Times New Roman" w:hAnsi="Times New Roman"/>
                <w:b/>
                <w:i/>
                <w:sz w:val="24"/>
                <w:szCs w:val="24"/>
              </w:rPr>
              <w:t xml:space="preserve"> </w:t>
            </w:r>
            <w:r w:rsidR="004058E3">
              <w:rPr>
                <w:rFonts w:ascii="Times New Roman" w:hAnsi="Times New Roman"/>
                <w:b/>
                <w:i/>
                <w:sz w:val="24"/>
                <w:szCs w:val="24"/>
              </w:rPr>
              <w:t>4.78</w:t>
            </w:r>
            <w:r w:rsidRPr="00F47ED3">
              <w:rPr>
                <w:rFonts w:ascii="Times New Roman" w:hAnsi="Times New Roman"/>
                <w:b/>
                <w:i/>
                <w:sz w:val="24"/>
                <w:szCs w:val="24"/>
              </w:rPr>
              <w:t xml:space="preserve"> million, </w:t>
            </w:r>
            <w:r>
              <w:rPr>
                <w:rFonts w:ascii="Times New Roman" w:hAnsi="Times New Roman"/>
                <w:b/>
                <w:i/>
                <w:sz w:val="24"/>
                <w:szCs w:val="24"/>
              </w:rPr>
              <w:t xml:space="preserve">to be </w:t>
            </w:r>
            <w:r w:rsidRPr="00F47ED3">
              <w:rPr>
                <w:rFonts w:ascii="Times New Roman" w:hAnsi="Times New Roman"/>
                <w:b/>
                <w:i/>
                <w:sz w:val="24"/>
                <w:szCs w:val="24"/>
              </w:rPr>
              <w:t>accrued in 2018</w:t>
            </w:r>
            <w:r>
              <w:rPr>
                <w:rFonts w:ascii="Times New Roman" w:hAnsi="Times New Roman"/>
                <w:b/>
                <w:i/>
                <w:sz w:val="24"/>
                <w:szCs w:val="24"/>
              </w:rPr>
              <w:t>. This financial benefit is</w:t>
            </w:r>
            <w:r w:rsidRPr="00F47ED3">
              <w:rPr>
                <w:rFonts w:ascii="Times New Roman" w:hAnsi="Times New Roman"/>
                <w:b/>
                <w:i/>
                <w:sz w:val="24"/>
                <w:szCs w:val="24"/>
              </w:rPr>
              <w:t xml:space="preserve"> a result of </w:t>
            </w:r>
            <w:r>
              <w:rPr>
                <w:rFonts w:ascii="Times New Roman" w:hAnsi="Times New Roman"/>
                <w:b/>
                <w:i/>
                <w:sz w:val="24"/>
                <w:szCs w:val="24"/>
              </w:rPr>
              <w:t xml:space="preserve">calculating </w:t>
            </w:r>
            <w:r w:rsidRPr="00F47ED3">
              <w:rPr>
                <w:rFonts w:ascii="Times New Roman" w:hAnsi="Times New Roman"/>
                <w:b/>
                <w:i/>
                <w:sz w:val="24"/>
                <w:szCs w:val="24"/>
              </w:rPr>
              <w:t>the opportunity cost</w:t>
            </w:r>
            <w:r w:rsidRPr="00F47ED3">
              <w:rPr>
                <w:rStyle w:val="FootnoteReference"/>
                <w:rFonts w:ascii="Times New Roman" w:hAnsi="Times New Roman"/>
                <w:b/>
                <w:i/>
                <w:sz w:val="24"/>
                <w:szCs w:val="24"/>
              </w:rPr>
              <w:footnoteReference w:id="5"/>
            </w:r>
            <w:r w:rsidRPr="00F47ED3">
              <w:rPr>
                <w:rFonts w:ascii="Times New Roman" w:hAnsi="Times New Roman"/>
                <w:b/>
                <w:i/>
                <w:sz w:val="24"/>
                <w:szCs w:val="24"/>
              </w:rPr>
              <w:t xml:space="preserve"> of </w:t>
            </w:r>
            <w:r>
              <w:rPr>
                <w:rFonts w:ascii="Times New Roman" w:hAnsi="Times New Roman"/>
                <w:b/>
                <w:i/>
                <w:sz w:val="24"/>
                <w:szCs w:val="24"/>
              </w:rPr>
              <w:t xml:space="preserve">promptly releasing </w:t>
            </w:r>
            <w:r w:rsidRPr="00F47ED3">
              <w:rPr>
                <w:rFonts w:ascii="Times New Roman" w:hAnsi="Times New Roman"/>
                <w:b/>
                <w:i/>
                <w:sz w:val="24"/>
                <w:szCs w:val="24"/>
              </w:rPr>
              <w:t xml:space="preserve">the funds from the </w:t>
            </w:r>
            <w:r w:rsidR="006A53CD">
              <w:rPr>
                <w:rFonts w:ascii="Times New Roman" w:hAnsi="Times New Roman"/>
                <w:b/>
                <w:i/>
                <w:sz w:val="24"/>
                <w:szCs w:val="24"/>
              </w:rPr>
              <w:t xml:space="preserve">Treasury </w:t>
            </w:r>
            <w:r w:rsidR="00D41EE6">
              <w:rPr>
                <w:rFonts w:ascii="Times New Roman" w:hAnsi="Times New Roman"/>
                <w:b/>
                <w:i/>
                <w:sz w:val="24"/>
                <w:szCs w:val="24"/>
              </w:rPr>
              <w:t>S</w:t>
            </w:r>
            <w:r w:rsidRPr="00F47ED3">
              <w:rPr>
                <w:rFonts w:ascii="Times New Roman" w:hAnsi="Times New Roman"/>
                <w:b/>
                <w:i/>
                <w:sz w:val="24"/>
                <w:szCs w:val="24"/>
              </w:rPr>
              <w:t xml:space="preserve">uspense </w:t>
            </w:r>
            <w:r w:rsidR="00D41EE6">
              <w:rPr>
                <w:rFonts w:ascii="Times New Roman" w:hAnsi="Times New Roman"/>
                <w:b/>
                <w:i/>
                <w:sz w:val="24"/>
                <w:szCs w:val="24"/>
              </w:rPr>
              <w:t>A</w:t>
            </w:r>
            <w:r w:rsidRPr="00F47ED3">
              <w:rPr>
                <w:rFonts w:ascii="Times New Roman" w:hAnsi="Times New Roman"/>
                <w:b/>
                <w:i/>
                <w:sz w:val="24"/>
                <w:szCs w:val="24"/>
              </w:rPr>
              <w:t>ccount.</w:t>
            </w:r>
            <w:r w:rsidRPr="00F47ED3">
              <w:rPr>
                <w:rFonts w:ascii="Times New Roman" w:hAnsi="Times New Roman"/>
                <w:sz w:val="24"/>
                <w:szCs w:val="24"/>
              </w:rPr>
              <w:t xml:space="preserve"> </w:t>
            </w:r>
            <w:r>
              <w:rPr>
                <w:rFonts w:ascii="Times New Roman" w:hAnsi="Times New Roman"/>
                <w:b/>
                <w:i/>
                <w:sz w:val="24"/>
                <w:szCs w:val="24"/>
              </w:rPr>
              <w:t>The project benefit is estimated by calculating (</w:t>
            </w:r>
            <w:proofErr w:type="spellStart"/>
            <w:r>
              <w:rPr>
                <w:rFonts w:ascii="Times New Roman" w:hAnsi="Times New Roman"/>
                <w:b/>
                <w:i/>
                <w:sz w:val="24"/>
                <w:szCs w:val="24"/>
              </w:rPr>
              <w:t>i</w:t>
            </w:r>
            <w:proofErr w:type="spellEnd"/>
            <w:r>
              <w:rPr>
                <w:rFonts w:ascii="Times New Roman" w:hAnsi="Times New Roman"/>
                <w:b/>
                <w:i/>
                <w:sz w:val="24"/>
                <w:szCs w:val="24"/>
              </w:rPr>
              <w:t xml:space="preserve">) the 30-day investment return of depositing the annual average amount held idle in the </w:t>
            </w:r>
            <w:r w:rsidR="006A53CD">
              <w:rPr>
                <w:rFonts w:ascii="Times New Roman" w:hAnsi="Times New Roman"/>
                <w:b/>
                <w:i/>
                <w:sz w:val="24"/>
                <w:szCs w:val="24"/>
              </w:rPr>
              <w:t xml:space="preserve">Treasury </w:t>
            </w:r>
            <w:r w:rsidR="00790BBF">
              <w:rPr>
                <w:rFonts w:ascii="Times New Roman" w:hAnsi="Times New Roman"/>
                <w:b/>
                <w:i/>
                <w:sz w:val="24"/>
                <w:szCs w:val="24"/>
              </w:rPr>
              <w:t>S</w:t>
            </w:r>
            <w:r>
              <w:rPr>
                <w:rFonts w:ascii="Times New Roman" w:hAnsi="Times New Roman"/>
                <w:b/>
                <w:i/>
                <w:sz w:val="24"/>
                <w:szCs w:val="24"/>
              </w:rPr>
              <w:t xml:space="preserve">uspense </w:t>
            </w:r>
            <w:r w:rsidR="00790BBF">
              <w:rPr>
                <w:rFonts w:ascii="Times New Roman" w:hAnsi="Times New Roman"/>
                <w:b/>
                <w:i/>
                <w:sz w:val="24"/>
                <w:szCs w:val="24"/>
              </w:rPr>
              <w:t>A</w:t>
            </w:r>
            <w:r>
              <w:rPr>
                <w:rFonts w:ascii="Times New Roman" w:hAnsi="Times New Roman"/>
                <w:b/>
                <w:i/>
                <w:sz w:val="24"/>
                <w:szCs w:val="24"/>
              </w:rPr>
              <w:t>ccount in a commercial bank account and (ii) the benefit from the use of such return investment to amortize the public debt.</w:t>
            </w:r>
          </w:p>
        </w:tc>
      </w:tr>
    </w:tbl>
    <w:p w14:paraId="3DEF0355" w14:textId="1BCBE63B" w:rsidR="0096425A" w:rsidRPr="00F47ED3" w:rsidRDefault="0096425A" w:rsidP="00B304CD">
      <w:pPr>
        <w:pStyle w:val="Paragraph"/>
        <w:numPr>
          <w:ilvl w:val="1"/>
          <w:numId w:val="1"/>
        </w:numPr>
        <w:rPr>
          <w:color w:val="000000" w:themeColor="text1"/>
          <w:kern w:val="28"/>
          <w:szCs w:val="24"/>
          <w:lang w:val="en-US"/>
        </w:rPr>
      </w:pPr>
      <w:r w:rsidRPr="00F47ED3">
        <w:rPr>
          <w:b/>
          <w:color w:val="000000" w:themeColor="text1"/>
          <w:kern w:val="28"/>
          <w:szCs w:val="24"/>
          <w:lang w:val="en-US"/>
        </w:rPr>
        <w:lastRenderedPageBreak/>
        <w:t>Context.</w:t>
      </w:r>
      <w:r w:rsidRPr="00F47ED3">
        <w:rPr>
          <w:color w:val="000000" w:themeColor="text1"/>
          <w:kern w:val="28"/>
          <w:szCs w:val="24"/>
          <w:lang w:val="en-US"/>
        </w:rPr>
        <w:t xml:space="preserve"> </w:t>
      </w:r>
      <w:r w:rsidRPr="00F47ED3">
        <w:rPr>
          <w:color w:val="000000" w:themeColor="text1"/>
          <w:szCs w:val="24"/>
          <w:lang w:val="en-US"/>
        </w:rPr>
        <w:t xml:space="preserve">The law requires that "all revenue" must be "identified by "source of origin" before it can be process as "received revenue" and deposited into the </w:t>
      </w:r>
      <w:r w:rsidR="0072023A">
        <w:rPr>
          <w:color w:val="000000" w:themeColor="text1"/>
          <w:szCs w:val="24"/>
          <w:lang w:val="en-US"/>
        </w:rPr>
        <w:t xml:space="preserve">Treasury </w:t>
      </w:r>
      <w:r w:rsidRPr="00F47ED3">
        <w:rPr>
          <w:color w:val="000000" w:themeColor="text1"/>
          <w:szCs w:val="24"/>
          <w:lang w:val="en-US"/>
        </w:rPr>
        <w:t>Exchequer Account</w:t>
      </w:r>
      <w:r w:rsidR="00BB773C" w:rsidRPr="00F47ED3">
        <w:rPr>
          <w:color w:val="000000" w:themeColor="text1"/>
          <w:szCs w:val="24"/>
          <w:lang w:val="en-US"/>
        </w:rPr>
        <w:t xml:space="preserve"> (consolidated Treasury account)</w:t>
      </w:r>
      <w:r w:rsidRPr="00F47ED3">
        <w:rPr>
          <w:color w:val="000000" w:themeColor="text1"/>
          <w:szCs w:val="24"/>
          <w:lang w:val="en-US"/>
        </w:rPr>
        <w:t>. This is the reason why all receipts go first to the "</w:t>
      </w:r>
      <w:r w:rsidR="00517DB6">
        <w:rPr>
          <w:color w:val="000000" w:themeColor="text1"/>
          <w:szCs w:val="24"/>
          <w:lang w:val="en-US"/>
        </w:rPr>
        <w:t xml:space="preserve">Treasury </w:t>
      </w:r>
      <w:r w:rsidR="00D41EE6">
        <w:rPr>
          <w:color w:val="000000" w:themeColor="text1"/>
          <w:szCs w:val="24"/>
          <w:lang w:val="en-US"/>
        </w:rPr>
        <w:t>S</w:t>
      </w:r>
      <w:r w:rsidRPr="00F47ED3">
        <w:rPr>
          <w:color w:val="000000" w:themeColor="text1"/>
          <w:szCs w:val="24"/>
          <w:lang w:val="en-US"/>
        </w:rPr>
        <w:t xml:space="preserve">uspense </w:t>
      </w:r>
      <w:r w:rsidR="00D41EE6">
        <w:rPr>
          <w:color w:val="000000" w:themeColor="text1"/>
          <w:szCs w:val="24"/>
          <w:lang w:val="en-US"/>
        </w:rPr>
        <w:t>A</w:t>
      </w:r>
      <w:r w:rsidRPr="00F47ED3">
        <w:rPr>
          <w:color w:val="000000" w:themeColor="text1"/>
          <w:szCs w:val="24"/>
          <w:lang w:val="en-US"/>
        </w:rPr>
        <w:t>ccount"</w:t>
      </w:r>
      <w:r w:rsidR="00BB773C" w:rsidRPr="00F47ED3">
        <w:rPr>
          <w:color w:val="000000" w:themeColor="text1"/>
          <w:szCs w:val="24"/>
          <w:lang w:val="en-US"/>
        </w:rPr>
        <w:t xml:space="preserve"> (temporary </w:t>
      </w:r>
      <w:r w:rsidR="005109F5" w:rsidRPr="00F47ED3">
        <w:rPr>
          <w:color w:val="000000" w:themeColor="text1"/>
          <w:szCs w:val="24"/>
          <w:lang w:val="en-US"/>
        </w:rPr>
        <w:t>account where</w:t>
      </w:r>
      <w:r w:rsidR="00BB773C" w:rsidRPr="00F47ED3">
        <w:rPr>
          <w:color w:val="000000" w:themeColor="text1"/>
          <w:szCs w:val="24"/>
          <w:lang w:val="en-US"/>
        </w:rPr>
        <w:t xml:space="preserve"> all revenues are deposit</w:t>
      </w:r>
      <w:r w:rsidR="00613DB2" w:rsidRPr="00F47ED3">
        <w:rPr>
          <w:color w:val="000000" w:themeColor="text1"/>
          <w:szCs w:val="24"/>
          <w:lang w:val="en-US"/>
        </w:rPr>
        <w:t>ed</w:t>
      </w:r>
      <w:r w:rsidR="00BB773C" w:rsidRPr="00F47ED3">
        <w:rPr>
          <w:color w:val="000000" w:themeColor="text1"/>
          <w:szCs w:val="24"/>
          <w:lang w:val="en-US"/>
        </w:rPr>
        <w:t>)</w:t>
      </w:r>
      <w:r w:rsidRPr="00F47ED3">
        <w:rPr>
          <w:color w:val="000000" w:themeColor="text1"/>
          <w:szCs w:val="24"/>
          <w:lang w:val="en-US"/>
        </w:rPr>
        <w:t>. At the end of any fiscal period</w:t>
      </w:r>
      <w:r w:rsidR="00613DB2" w:rsidRPr="00F47ED3">
        <w:rPr>
          <w:color w:val="000000" w:themeColor="text1"/>
          <w:szCs w:val="24"/>
          <w:lang w:val="en-US"/>
        </w:rPr>
        <w:t>,</w:t>
      </w:r>
      <w:r w:rsidRPr="00F47ED3">
        <w:rPr>
          <w:color w:val="000000" w:themeColor="text1"/>
          <w:szCs w:val="24"/>
          <w:lang w:val="en-US"/>
        </w:rPr>
        <w:t xml:space="preserve"> the balance in the </w:t>
      </w:r>
      <w:r w:rsidR="00517DB6">
        <w:rPr>
          <w:color w:val="000000" w:themeColor="text1"/>
          <w:szCs w:val="24"/>
          <w:lang w:val="en-US"/>
        </w:rPr>
        <w:t xml:space="preserve">Treasury </w:t>
      </w:r>
      <w:r w:rsidR="00D41EE6">
        <w:rPr>
          <w:color w:val="000000" w:themeColor="text1"/>
          <w:szCs w:val="24"/>
          <w:lang w:val="en-US"/>
        </w:rPr>
        <w:t>S</w:t>
      </w:r>
      <w:r w:rsidRPr="00F47ED3">
        <w:rPr>
          <w:color w:val="000000" w:themeColor="text1"/>
          <w:szCs w:val="24"/>
          <w:lang w:val="en-US"/>
        </w:rPr>
        <w:t xml:space="preserve">uspense </w:t>
      </w:r>
      <w:r w:rsidR="00D41EE6">
        <w:rPr>
          <w:color w:val="000000" w:themeColor="text1"/>
          <w:szCs w:val="24"/>
          <w:lang w:val="en-US"/>
        </w:rPr>
        <w:t>A</w:t>
      </w:r>
      <w:r w:rsidRPr="00F47ED3">
        <w:rPr>
          <w:color w:val="000000" w:themeColor="text1"/>
          <w:szCs w:val="24"/>
          <w:lang w:val="en-US"/>
        </w:rPr>
        <w:t>ccount reflects two things</w:t>
      </w:r>
      <w:r w:rsidR="00613DB2" w:rsidRPr="00F47ED3">
        <w:rPr>
          <w:color w:val="000000" w:themeColor="text1"/>
          <w:szCs w:val="24"/>
          <w:lang w:val="en-US"/>
        </w:rPr>
        <w:t xml:space="preserve">: </w:t>
      </w:r>
      <w:r w:rsidRPr="00F47ED3">
        <w:rPr>
          <w:color w:val="000000" w:themeColor="text1"/>
          <w:szCs w:val="24"/>
          <w:lang w:val="en-US"/>
        </w:rPr>
        <w:t>a stock of "unclassified revenue" from previous years plus unclassified revenue in the current fiscal year</w:t>
      </w:r>
      <w:r w:rsidR="00BB773C" w:rsidRPr="00F47ED3">
        <w:rPr>
          <w:color w:val="000000" w:themeColor="text1"/>
          <w:szCs w:val="24"/>
          <w:lang w:val="en-US"/>
        </w:rPr>
        <w:t>.</w:t>
      </w:r>
    </w:p>
    <w:p w14:paraId="155FB6B6" w14:textId="1E63C647" w:rsidR="00BB773C" w:rsidRPr="00F47ED3" w:rsidRDefault="00BB773C" w:rsidP="00B304CD">
      <w:pPr>
        <w:pStyle w:val="Paragraph"/>
        <w:numPr>
          <w:ilvl w:val="1"/>
          <w:numId w:val="1"/>
        </w:numPr>
        <w:rPr>
          <w:color w:val="000000" w:themeColor="text1"/>
          <w:kern w:val="28"/>
          <w:szCs w:val="24"/>
          <w:lang w:val="en-US"/>
        </w:rPr>
      </w:pPr>
      <w:r w:rsidRPr="00F47ED3">
        <w:rPr>
          <w:color w:val="000000" w:themeColor="text1"/>
          <w:kern w:val="28"/>
          <w:szCs w:val="24"/>
          <w:lang w:val="en-US"/>
        </w:rPr>
        <w:t>All the systems were manual up to a few years ago</w:t>
      </w:r>
      <w:r w:rsidR="00613DB2" w:rsidRPr="00F47ED3">
        <w:rPr>
          <w:color w:val="000000" w:themeColor="text1"/>
          <w:kern w:val="28"/>
          <w:szCs w:val="24"/>
          <w:lang w:val="en-US"/>
        </w:rPr>
        <w:t>,</w:t>
      </w:r>
      <w:r w:rsidRPr="00F47ED3">
        <w:rPr>
          <w:color w:val="000000" w:themeColor="text1"/>
          <w:kern w:val="28"/>
          <w:szCs w:val="24"/>
          <w:lang w:val="en-US"/>
        </w:rPr>
        <w:t xml:space="preserve"> with errors with respect to "unclassified revenue" taking place from all sources. Now that both Inland Revenue and Customs have automated accounts for their tax receipts</w:t>
      </w:r>
      <w:r w:rsidR="00613DB2" w:rsidRPr="00F47ED3">
        <w:rPr>
          <w:color w:val="000000" w:themeColor="text1"/>
          <w:kern w:val="28"/>
          <w:szCs w:val="24"/>
          <w:lang w:val="en-US"/>
        </w:rPr>
        <w:t>,</w:t>
      </w:r>
      <w:r w:rsidRPr="00F47ED3">
        <w:rPr>
          <w:color w:val="000000" w:themeColor="text1"/>
          <w:kern w:val="28"/>
          <w:szCs w:val="24"/>
          <w:lang w:val="en-US"/>
        </w:rPr>
        <w:t xml:space="preserve"> the majority of current "unclassified revenue" is due to errors that emerge in the manual systems at the District Revenue Offices. In some cases</w:t>
      </w:r>
      <w:r w:rsidR="007B242F" w:rsidRPr="00F47ED3">
        <w:rPr>
          <w:color w:val="000000" w:themeColor="text1"/>
          <w:kern w:val="28"/>
          <w:szCs w:val="24"/>
          <w:lang w:val="en-US"/>
        </w:rPr>
        <w:t>,</w:t>
      </w:r>
      <w:r w:rsidRPr="00F47ED3">
        <w:rPr>
          <w:color w:val="000000" w:themeColor="text1"/>
          <w:kern w:val="28"/>
          <w:szCs w:val="24"/>
          <w:lang w:val="en-US"/>
        </w:rPr>
        <w:t xml:space="preserve"> a mixture of taxes may be collected then bundled into one single deposit with little or no explanation of the components of the deposit. In other cases</w:t>
      </w:r>
      <w:r w:rsidR="007B242F" w:rsidRPr="00F47ED3">
        <w:rPr>
          <w:color w:val="000000" w:themeColor="text1"/>
          <w:kern w:val="28"/>
          <w:szCs w:val="24"/>
          <w:lang w:val="en-US"/>
        </w:rPr>
        <w:t>, deposits turn up with hand</w:t>
      </w:r>
      <w:r w:rsidRPr="00F47ED3">
        <w:rPr>
          <w:color w:val="000000" w:themeColor="text1"/>
          <w:kern w:val="28"/>
          <w:szCs w:val="24"/>
          <w:lang w:val="en-US"/>
        </w:rPr>
        <w:t xml:space="preserve">written explanations which are unreadable, and believe it or not there are cases where there are simply deposits with no explanation of source or purpose. These remain "unclassified" and </w:t>
      </w:r>
      <w:r w:rsidR="007B242F" w:rsidRPr="00F47ED3">
        <w:rPr>
          <w:color w:val="000000" w:themeColor="text1"/>
          <w:kern w:val="28"/>
          <w:szCs w:val="24"/>
          <w:lang w:val="en-US"/>
        </w:rPr>
        <w:t xml:space="preserve">are kept </w:t>
      </w:r>
      <w:r w:rsidRPr="00F47ED3">
        <w:rPr>
          <w:color w:val="000000" w:themeColor="text1"/>
          <w:kern w:val="28"/>
          <w:szCs w:val="24"/>
          <w:lang w:val="en-US"/>
        </w:rPr>
        <w:t xml:space="preserve">in the </w:t>
      </w:r>
      <w:r w:rsidR="00517DB6">
        <w:rPr>
          <w:color w:val="000000" w:themeColor="text1"/>
          <w:kern w:val="28"/>
          <w:szCs w:val="24"/>
          <w:lang w:val="en-US"/>
        </w:rPr>
        <w:t xml:space="preserve">Treasury </w:t>
      </w:r>
      <w:r w:rsidR="00D41EE6">
        <w:rPr>
          <w:color w:val="000000" w:themeColor="text1"/>
          <w:kern w:val="28"/>
          <w:szCs w:val="24"/>
          <w:lang w:val="en-US"/>
        </w:rPr>
        <w:t>S</w:t>
      </w:r>
      <w:r w:rsidRPr="00F47ED3">
        <w:rPr>
          <w:color w:val="000000" w:themeColor="text1"/>
          <w:kern w:val="28"/>
          <w:szCs w:val="24"/>
          <w:lang w:val="en-US"/>
        </w:rPr>
        <w:t xml:space="preserve">uspense </w:t>
      </w:r>
      <w:r w:rsidR="00D41EE6">
        <w:rPr>
          <w:color w:val="000000" w:themeColor="text1"/>
          <w:kern w:val="28"/>
          <w:szCs w:val="24"/>
          <w:lang w:val="en-US"/>
        </w:rPr>
        <w:t>A</w:t>
      </w:r>
      <w:r w:rsidRPr="00F47ED3">
        <w:rPr>
          <w:color w:val="000000" w:themeColor="text1"/>
          <w:kern w:val="28"/>
          <w:szCs w:val="24"/>
          <w:lang w:val="en-US"/>
        </w:rPr>
        <w:t>ccount. In principle, the cashiering system will require al</w:t>
      </w:r>
      <w:r w:rsidR="007B242F" w:rsidRPr="00F47ED3">
        <w:rPr>
          <w:color w:val="000000" w:themeColor="text1"/>
          <w:kern w:val="28"/>
          <w:szCs w:val="24"/>
          <w:lang w:val="en-US"/>
        </w:rPr>
        <w:t>l collections to be categorized a</w:t>
      </w:r>
      <w:r w:rsidRPr="00F47ED3">
        <w:rPr>
          <w:color w:val="000000" w:themeColor="text1"/>
          <w:kern w:val="28"/>
          <w:szCs w:val="24"/>
          <w:lang w:val="en-US"/>
        </w:rPr>
        <w:t>t source</w:t>
      </w:r>
      <w:r w:rsidR="007B242F" w:rsidRPr="00F47ED3">
        <w:rPr>
          <w:color w:val="000000" w:themeColor="text1"/>
          <w:kern w:val="28"/>
          <w:szCs w:val="24"/>
          <w:lang w:val="en-US"/>
        </w:rPr>
        <w:t xml:space="preserve"> a</w:t>
      </w:r>
      <w:r w:rsidRPr="00F47ED3">
        <w:rPr>
          <w:color w:val="000000" w:themeColor="text1"/>
          <w:kern w:val="28"/>
          <w:szCs w:val="24"/>
          <w:lang w:val="en-US"/>
        </w:rPr>
        <w:t xml:space="preserve">nd according to the Chart of Accounts, and then submitted electronically. The </w:t>
      </w:r>
      <w:r w:rsidR="007B242F" w:rsidRPr="00F47ED3">
        <w:rPr>
          <w:color w:val="000000" w:themeColor="text1"/>
          <w:kern w:val="28"/>
          <w:szCs w:val="24"/>
          <w:lang w:val="en-US"/>
        </w:rPr>
        <w:t>r</w:t>
      </w:r>
      <w:r w:rsidRPr="00F47ED3">
        <w:rPr>
          <w:color w:val="000000" w:themeColor="text1"/>
          <w:kern w:val="28"/>
          <w:szCs w:val="24"/>
          <w:lang w:val="en-US"/>
        </w:rPr>
        <w:t>esult</w:t>
      </w:r>
      <w:r w:rsidR="007B242F" w:rsidRPr="00F47ED3">
        <w:rPr>
          <w:color w:val="000000" w:themeColor="text1"/>
          <w:kern w:val="28"/>
          <w:szCs w:val="24"/>
          <w:lang w:val="en-US"/>
        </w:rPr>
        <w:t xml:space="preserve">, </w:t>
      </w:r>
      <w:r w:rsidRPr="00F47ED3">
        <w:rPr>
          <w:color w:val="000000" w:themeColor="text1"/>
          <w:kern w:val="28"/>
          <w:szCs w:val="24"/>
          <w:lang w:val="en-US"/>
        </w:rPr>
        <w:t>in theory</w:t>
      </w:r>
      <w:r w:rsidR="007B242F" w:rsidRPr="00F47ED3">
        <w:rPr>
          <w:color w:val="000000" w:themeColor="text1"/>
          <w:kern w:val="28"/>
          <w:szCs w:val="24"/>
          <w:lang w:val="en-US"/>
        </w:rPr>
        <w:t>, is the elimination of</w:t>
      </w:r>
      <w:r w:rsidRPr="00F47ED3">
        <w:rPr>
          <w:color w:val="000000" w:themeColor="text1"/>
          <w:kern w:val="28"/>
          <w:szCs w:val="24"/>
          <w:lang w:val="en-US"/>
        </w:rPr>
        <w:t xml:space="preserve"> unclassified revenue. </w:t>
      </w:r>
    </w:p>
    <w:p w14:paraId="13F12E00" w14:textId="77777777" w:rsidR="009F2EB8" w:rsidRPr="00F47ED3" w:rsidRDefault="0020764B" w:rsidP="00B304CD">
      <w:pPr>
        <w:pStyle w:val="Paragraph"/>
        <w:numPr>
          <w:ilvl w:val="1"/>
          <w:numId w:val="1"/>
        </w:numPr>
        <w:rPr>
          <w:kern w:val="28"/>
          <w:lang w:val="en-US"/>
        </w:rPr>
      </w:pPr>
      <w:r w:rsidRPr="00F47ED3">
        <w:rPr>
          <w:b/>
          <w:kern w:val="28"/>
          <w:lang w:val="en-US"/>
        </w:rPr>
        <w:t>The problem</w:t>
      </w:r>
      <w:r w:rsidRPr="00F47ED3">
        <w:rPr>
          <w:kern w:val="28"/>
          <w:lang w:val="en-US"/>
        </w:rPr>
        <w:t>:</w:t>
      </w:r>
      <w:r w:rsidR="007D75CE" w:rsidRPr="00F47ED3">
        <w:rPr>
          <w:kern w:val="28"/>
          <w:lang w:val="en-US"/>
        </w:rPr>
        <w:t xml:space="preserve"> At the moment</w:t>
      </w:r>
      <w:r w:rsidR="00A545F1" w:rsidRPr="00F47ED3">
        <w:rPr>
          <w:kern w:val="28"/>
          <w:lang w:val="en-US"/>
        </w:rPr>
        <w:t xml:space="preserve">, the </w:t>
      </w:r>
      <w:proofErr w:type="spellStart"/>
      <w:r w:rsidR="00274F65" w:rsidRPr="00F47ED3">
        <w:rPr>
          <w:kern w:val="28"/>
          <w:lang w:val="en-US"/>
        </w:rPr>
        <w:t>GoRTT’s</w:t>
      </w:r>
      <w:proofErr w:type="spellEnd"/>
      <w:r w:rsidR="00274F65" w:rsidRPr="00F47ED3">
        <w:rPr>
          <w:kern w:val="28"/>
          <w:lang w:val="en-US"/>
        </w:rPr>
        <w:t xml:space="preserve"> </w:t>
      </w:r>
      <w:r w:rsidR="00A545F1" w:rsidRPr="00F47ED3">
        <w:rPr>
          <w:kern w:val="28"/>
          <w:lang w:val="en-US"/>
        </w:rPr>
        <w:t xml:space="preserve">operational use of funds </w:t>
      </w:r>
      <w:r w:rsidR="00274F65" w:rsidRPr="00F47ED3">
        <w:rPr>
          <w:kern w:val="28"/>
          <w:lang w:val="en-US"/>
        </w:rPr>
        <w:t xml:space="preserve">involves </w:t>
      </w:r>
      <w:r w:rsidR="007D75CE" w:rsidRPr="00F47ED3">
        <w:rPr>
          <w:kern w:val="28"/>
          <w:lang w:val="en-US"/>
        </w:rPr>
        <w:t>a two-step pro</w:t>
      </w:r>
      <w:r w:rsidR="00A545F1" w:rsidRPr="00F47ED3">
        <w:rPr>
          <w:kern w:val="28"/>
          <w:lang w:val="en-US"/>
        </w:rPr>
        <w:t>ce</w:t>
      </w:r>
      <w:r w:rsidR="007D75CE" w:rsidRPr="00F47ED3">
        <w:rPr>
          <w:kern w:val="28"/>
          <w:lang w:val="en-US"/>
        </w:rPr>
        <w:t>s</w:t>
      </w:r>
      <w:r w:rsidR="00A545F1" w:rsidRPr="00F47ED3">
        <w:rPr>
          <w:kern w:val="28"/>
          <w:lang w:val="en-US"/>
        </w:rPr>
        <w:t>s.</w:t>
      </w:r>
      <w:r w:rsidR="00A545F1" w:rsidRPr="00F47ED3">
        <w:rPr>
          <w:lang w:val="en-US"/>
        </w:rPr>
        <w:t xml:space="preserve"> </w:t>
      </w:r>
      <w:r w:rsidR="00A545F1" w:rsidRPr="00F47ED3">
        <w:rPr>
          <w:kern w:val="28"/>
          <w:lang w:val="en-US"/>
        </w:rPr>
        <w:t xml:space="preserve">All revenue received by the </w:t>
      </w:r>
      <w:proofErr w:type="spellStart"/>
      <w:r w:rsidR="009F2EB8" w:rsidRPr="00F47ED3">
        <w:rPr>
          <w:kern w:val="28"/>
          <w:lang w:val="en-US"/>
        </w:rPr>
        <w:t>GoRTT</w:t>
      </w:r>
      <w:proofErr w:type="spellEnd"/>
      <w:r w:rsidR="00A545F1" w:rsidRPr="00F47ED3">
        <w:rPr>
          <w:kern w:val="28"/>
          <w:lang w:val="en-US"/>
        </w:rPr>
        <w:t xml:space="preserve"> </w:t>
      </w:r>
      <w:r w:rsidR="00274F65" w:rsidRPr="00F47ED3">
        <w:rPr>
          <w:kern w:val="28"/>
          <w:lang w:val="en-US"/>
        </w:rPr>
        <w:t xml:space="preserve">is </w:t>
      </w:r>
      <w:r w:rsidR="00A545F1" w:rsidRPr="00F47ED3">
        <w:rPr>
          <w:kern w:val="28"/>
          <w:lang w:val="en-US"/>
        </w:rPr>
        <w:t xml:space="preserve">deposited into the </w:t>
      </w:r>
      <w:r w:rsidR="006A53CD">
        <w:rPr>
          <w:kern w:val="28"/>
          <w:lang w:val="en-US"/>
        </w:rPr>
        <w:t xml:space="preserve">Treasury </w:t>
      </w:r>
      <w:r w:rsidR="00A545F1" w:rsidRPr="00F47ED3">
        <w:rPr>
          <w:kern w:val="28"/>
          <w:lang w:val="en-US"/>
        </w:rPr>
        <w:t>Suspense Account</w:t>
      </w:r>
      <w:r w:rsidR="00274F65" w:rsidRPr="00F47ED3">
        <w:rPr>
          <w:kern w:val="28"/>
          <w:lang w:val="en-US"/>
        </w:rPr>
        <w:t xml:space="preserve"> until such time as the revenue source and </w:t>
      </w:r>
      <w:r w:rsidR="009F2EB8" w:rsidRPr="00F47ED3">
        <w:rPr>
          <w:kern w:val="28"/>
          <w:lang w:val="en-US"/>
        </w:rPr>
        <w:t xml:space="preserve">specific </w:t>
      </w:r>
      <w:proofErr w:type="spellStart"/>
      <w:r w:rsidR="007B242F" w:rsidRPr="00F47ED3">
        <w:rPr>
          <w:kern w:val="28"/>
          <w:lang w:val="en-US"/>
        </w:rPr>
        <w:t>GoRTT</w:t>
      </w:r>
      <w:proofErr w:type="spellEnd"/>
      <w:r w:rsidR="007B242F" w:rsidRPr="00F47ED3">
        <w:rPr>
          <w:kern w:val="28"/>
          <w:lang w:val="en-US"/>
        </w:rPr>
        <w:t xml:space="preserve"> receiver are</w:t>
      </w:r>
      <w:r w:rsidR="00274F65" w:rsidRPr="00F47ED3">
        <w:rPr>
          <w:kern w:val="28"/>
          <w:lang w:val="en-US"/>
        </w:rPr>
        <w:t xml:space="preserve"> identified</w:t>
      </w:r>
      <w:r w:rsidR="003E6B41" w:rsidRPr="00F47ED3">
        <w:rPr>
          <w:kern w:val="28"/>
          <w:lang w:val="en-US"/>
        </w:rPr>
        <w:t>.</w:t>
      </w:r>
      <w:r w:rsidR="00A545F1" w:rsidRPr="00F47ED3">
        <w:rPr>
          <w:lang w:val="en-US"/>
        </w:rPr>
        <w:t xml:space="preserve"> </w:t>
      </w:r>
      <w:r w:rsidR="009F2EB8" w:rsidRPr="00F47ED3">
        <w:rPr>
          <w:kern w:val="28"/>
          <w:lang w:val="en-US"/>
        </w:rPr>
        <w:t xml:space="preserve">Once </w:t>
      </w:r>
      <w:r w:rsidR="00A545F1" w:rsidRPr="00F47ED3">
        <w:rPr>
          <w:kern w:val="28"/>
          <w:lang w:val="en-US"/>
        </w:rPr>
        <w:t xml:space="preserve">Treasury officials are able to identify the </w:t>
      </w:r>
      <w:r w:rsidR="007D75CE" w:rsidRPr="00F47ED3">
        <w:rPr>
          <w:kern w:val="28"/>
          <w:lang w:val="en-US"/>
        </w:rPr>
        <w:t>revenue</w:t>
      </w:r>
      <w:r w:rsidR="009F2EB8" w:rsidRPr="00F47ED3">
        <w:rPr>
          <w:kern w:val="28"/>
          <w:lang w:val="en-US"/>
        </w:rPr>
        <w:t xml:space="preserve"> source and intended </w:t>
      </w:r>
      <w:proofErr w:type="spellStart"/>
      <w:r w:rsidR="009F2EB8" w:rsidRPr="00F47ED3">
        <w:rPr>
          <w:kern w:val="28"/>
          <w:lang w:val="en-US"/>
        </w:rPr>
        <w:t>GoRTT</w:t>
      </w:r>
      <w:proofErr w:type="spellEnd"/>
      <w:r w:rsidR="009F2EB8" w:rsidRPr="00F47ED3">
        <w:rPr>
          <w:kern w:val="28"/>
          <w:lang w:val="en-US"/>
        </w:rPr>
        <w:t xml:space="preserve"> receiver</w:t>
      </w:r>
      <w:r w:rsidR="007D75CE" w:rsidRPr="00F47ED3">
        <w:rPr>
          <w:kern w:val="28"/>
          <w:lang w:val="en-US"/>
        </w:rPr>
        <w:t xml:space="preserve"> and post them</w:t>
      </w:r>
      <w:r w:rsidR="00A545F1" w:rsidRPr="00F47ED3">
        <w:rPr>
          <w:kern w:val="28"/>
          <w:lang w:val="en-US"/>
        </w:rPr>
        <w:t xml:space="preserve"> under the appropriate revenue headings, the re</w:t>
      </w:r>
      <w:r w:rsidR="007D75CE" w:rsidRPr="00F47ED3">
        <w:rPr>
          <w:kern w:val="28"/>
          <w:lang w:val="en-US"/>
        </w:rPr>
        <w:t xml:space="preserve">venue </w:t>
      </w:r>
      <w:r w:rsidR="009F2EB8" w:rsidRPr="00F47ED3">
        <w:rPr>
          <w:kern w:val="28"/>
          <w:lang w:val="en-US"/>
        </w:rPr>
        <w:t>is</w:t>
      </w:r>
      <w:r w:rsidR="007D75CE" w:rsidRPr="00F47ED3">
        <w:rPr>
          <w:kern w:val="28"/>
          <w:lang w:val="en-US"/>
        </w:rPr>
        <w:t xml:space="preserve"> transferred to (or swept into)</w:t>
      </w:r>
      <w:r w:rsidR="00A545F1" w:rsidRPr="00F47ED3">
        <w:rPr>
          <w:kern w:val="28"/>
          <w:lang w:val="en-US"/>
        </w:rPr>
        <w:t xml:space="preserve"> the “</w:t>
      </w:r>
      <w:r w:rsidR="006A53CD">
        <w:rPr>
          <w:kern w:val="28"/>
          <w:lang w:val="en-US"/>
        </w:rPr>
        <w:t xml:space="preserve">Treasury </w:t>
      </w:r>
      <w:r w:rsidR="00A545F1" w:rsidRPr="00F47ED3">
        <w:rPr>
          <w:kern w:val="28"/>
          <w:lang w:val="en-US"/>
        </w:rPr>
        <w:t>Exchequer Account”.</w:t>
      </w:r>
      <w:r w:rsidR="00A545F1" w:rsidRPr="00F47ED3">
        <w:rPr>
          <w:lang w:val="en-US"/>
        </w:rPr>
        <w:t xml:space="preserve"> </w:t>
      </w:r>
      <w:r w:rsidR="00A545F1" w:rsidRPr="00F47ED3">
        <w:rPr>
          <w:kern w:val="28"/>
          <w:lang w:val="en-US"/>
        </w:rPr>
        <w:t xml:space="preserve">All </w:t>
      </w:r>
      <w:proofErr w:type="spellStart"/>
      <w:r w:rsidR="009F2EB8" w:rsidRPr="00F47ED3">
        <w:rPr>
          <w:kern w:val="28"/>
          <w:lang w:val="en-US"/>
        </w:rPr>
        <w:t>GoRTT</w:t>
      </w:r>
      <w:proofErr w:type="spellEnd"/>
      <w:r w:rsidR="009F2EB8" w:rsidRPr="00F47ED3">
        <w:rPr>
          <w:kern w:val="28"/>
          <w:lang w:val="en-US"/>
        </w:rPr>
        <w:t xml:space="preserve"> e</w:t>
      </w:r>
      <w:r w:rsidR="00A545F1" w:rsidRPr="00F47ED3">
        <w:rPr>
          <w:kern w:val="28"/>
          <w:lang w:val="en-US"/>
        </w:rPr>
        <w:t xml:space="preserve">xpenditure takes place </w:t>
      </w:r>
      <w:r w:rsidR="007D75CE" w:rsidRPr="00F47ED3">
        <w:rPr>
          <w:kern w:val="28"/>
          <w:lang w:val="en-US"/>
        </w:rPr>
        <w:t xml:space="preserve">through the </w:t>
      </w:r>
      <w:r w:rsidR="006A53CD">
        <w:rPr>
          <w:kern w:val="28"/>
          <w:lang w:val="en-US"/>
        </w:rPr>
        <w:t xml:space="preserve">Treasury </w:t>
      </w:r>
      <w:r w:rsidR="007D75CE" w:rsidRPr="00F47ED3">
        <w:rPr>
          <w:kern w:val="28"/>
          <w:lang w:val="en-US"/>
        </w:rPr>
        <w:t xml:space="preserve">Exchequer Account. </w:t>
      </w:r>
      <w:r w:rsidR="00A545F1" w:rsidRPr="00F47ED3">
        <w:rPr>
          <w:kern w:val="28"/>
          <w:lang w:val="en-US"/>
        </w:rPr>
        <w:t>In theory</w:t>
      </w:r>
      <w:r w:rsidR="009F2EB8" w:rsidRPr="00F47ED3">
        <w:rPr>
          <w:kern w:val="28"/>
          <w:lang w:val="en-US"/>
        </w:rPr>
        <w:t>,</w:t>
      </w:r>
      <w:r w:rsidR="00A545F1" w:rsidRPr="00F47ED3">
        <w:rPr>
          <w:kern w:val="28"/>
          <w:lang w:val="en-US"/>
        </w:rPr>
        <w:t xml:space="preserve"> the </w:t>
      </w:r>
      <w:r w:rsidR="00517DB6">
        <w:rPr>
          <w:kern w:val="28"/>
          <w:lang w:val="en-US"/>
        </w:rPr>
        <w:t xml:space="preserve">Treasury </w:t>
      </w:r>
      <w:r w:rsidR="009F2EB8" w:rsidRPr="00F47ED3">
        <w:rPr>
          <w:kern w:val="28"/>
          <w:lang w:val="en-US"/>
        </w:rPr>
        <w:t>S</w:t>
      </w:r>
      <w:r w:rsidR="00A545F1" w:rsidRPr="00F47ED3">
        <w:rPr>
          <w:kern w:val="28"/>
          <w:lang w:val="en-US"/>
        </w:rPr>
        <w:t xml:space="preserve">uspense </w:t>
      </w:r>
      <w:r w:rsidR="009F2EB8" w:rsidRPr="00F47ED3">
        <w:rPr>
          <w:kern w:val="28"/>
          <w:lang w:val="en-US"/>
        </w:rPr>
        <w:t>A</w:t>
      </w:r>
      <w:r w:rsidR="00A545F1" w:rsidRPr="00F47ED3">
        <w:rPr>
          <w:kern w:val="28"/>
          <w:lang w:val="en-US"/>
        </w:rPr>
        <w:t xml:space="preserve">ccount is supposed to be a temporary “way-station” of revenue destined for the </w:t>
      </w:r>
      <w:r w:rsidR="006A53CD">
        <w:rPr>
          <w:kern w:val="28"/>
          <w:lang w:val="en-US"/>
        </w:rPr>
        <w:t xml:space="preserve">Treasury </w:t>
      </w:r>
      <w:r w:rsidR="00A545F1" w:rsidRPr="00F47ED3">
        <w:rPr>
          <w:kern w:val="28"/>
          <w:lang w:val="en-US"/>
        </w:rPr>
        <w:t>Exchequer Account.</w:t>
      </w:r>
      <w:r w:rsidR="00587282" w:rsidRPr="00F47ED3">
        <w:rPr>
          <w:lang w:val="en-US"/>
        </w:rPr>
        <w:t xml:space="preserve"> </w:t>
      </w:r>
      <w:r w:rsidR="00587282" w:rsidRPr="00F47ED3">
        <w:rPr>
          <w:kern w:val="28"/>
          <w:lang w:val="en-US"/>
        </w:rPr>
        <w:t>Over time</w:t>
      </w:r>
      <w:r w:rsidR="009F2EB8" w:rsidRPr="00F47ED3">
        <w:rPr>
          <w:kern w:val="28"/>
          <w:lang w:val="en-US"/>
        </w:rPr>
        <w:t>,</w:t>
      </w:r>
      <w:r w:rsidR="00587282" w:rsidRPr="00F47ED3">
        <w:rPr>
          <w:kern w:val="28"/>
          <w:lang w:val="en-US"/>
        </w:rPr>
        <w:t xml:space="preserve"> however</w:t>
      </w:r>
      <w:r w:rsidR="009F2EB8" w:rsidRPr="00F47ED3">
        <w:rPr>
          <w:kern w:val="28"/>
          <w:lang w:val="en-US"/>
        </w:rPr>
        <w:t>,</w:t>
      </w:r>
      <w:r w:rsidR="00587282" w:rsidRPr="00F47ED3">
        <w:rPr>
          <w:kern w:val="28"/>
          <w:lang w:val="en-US"/>
        </w:rPr>
        <w:t xml:space="preserve"> large levels of revenue </w:t>
      </w:r>
      <w:r w:rsidR="009F2EB8" w:rsidRPr="00F47ED3">
        <w:rPr>
          <w:kern w:val="28"/>
          <w:lang w:val="en-US"/>
        </w:rPr>
        <w:t xml:space="preserve">without an identified source or </w:t>
      </w:r>
      <w:proofErr w:type="spellStart"/>
      <w:r w:rsidR="009F2EB8" w:rsidRPr="00F47ED3">
        <w:rPr>
          <w:kern w:val="28"/>
          <w:lang w:val="en-US"/>
        </w:rPr>
        <w:t>GoRTT</w:t>
      </w:r>
      <w:proofErr w:type="spellEnd"/>
      <w:r w:rsidR="009F2EB8" w:rsidRPr="00F47ED3">
        <w:rPr>
          <w:kern w:val="28"/>
          <w:lang w:val="en-US"/>
        </w:rPr>
        <w:t xml:space="preserve"> receiver </w:t>
      </w:r>
      <w:r w:rsidR="00587282" w:rsidRPr="00F47ED3">
        <w:rPr>
          <w:kern w:val="28"/>
          <w:lang w:val="en-US"/>
        </w:rPr>
        <w:t>ha</w:t>
      </w:r>
      <w:r w:rsidR="009F2EB8" w:rsidRPr="00F47ED3">
        <w:rPr>
          <w:kern w:val="28"/>
          <w:lang w:val="en-US"/>
        </w:rPr>
        <w:t>ve</w:t>
      </w:r>
      <w:r w:rsidR="00587282" w:rsidRPr="00F47ED3">
        <w:rPr>
          <w:kern w:val="28"/>
          <w:lang w:val="en-US"/>
        </w:rPr>
        <w:t xml:space="preserve"> accumulated in the </w:t>
      </w:r>
      <w:r w:rsidR="006A53CD">
        <w:rPr>
          <w:kern w:val="28"/>
          <w:lang w:val="en-US"/>
        </w:rPr>
        <w:t xml:space="preserve">Treasury </w:t>
      </w:r>
      <w:r w:rsidR="009F2EB8" w:rsidRPr="00F47ED3">
        <w:rPr>
          <w:kern w:val="28"/>
          <w:lang w:val="en-US"/>
        </w:rPr>
        <w:t>S</w:t>
      </w:r>
      <w:r w:rsidR="00587282" w:rsidRPr="00F47ED3">
        <w:rPr>
          <w:kern w:val="28"/>
          <w:lang w:val="en-US"/>
        </w:rPr>
        <w:t xml:space="preserve">uspense </w:t>
      </w:r>
      <w:r w:rsidR="009F2EB8" w:rsidRPr="00F47ED3">
        <w:rPr>
          <w:kern w:val="28"/>
          <w:lang w:val="en-US"/>
        </w:rPr>
        <w:t>A</w:t>
      </w:r>
      <w:r w:rsidR="00587282" w:rsidRPr="00F47ED3">
        <w:rPr>
          <w:kern w:val="28"/>
          <w:lang w:val="en-US"/>
        </w:rPr>
        <w:t>ccount</w:t>
      </w:r>
      <w:r w:rsidR="009F2EB8" w:rsidRPr="00F47ED3">
        <w:rPr>
          <w:kern w:val="28"/>
          <w:lang w:val="en-US"/>
        </w:rPr>
        <w:t>. I</w:t>
      </w:r>
      <w:r w:rsidR="00587282" w:rsidRPr="00F47ED3">
        <w:rPr>
          <w:kern w:val="28"/>
          <w:lang w:val="en-US"/>
        </w:rPr>
        <w:t>n essence</w:t>
      </w:r>
      <w:r w:rsidR="009F2EB8" w:rsidRPr="00F47ED3">
        <w:rPr>
          <w:kern w:val="28"/>
          <w:lang w:val="en-US"/>
        </w:rPr>
        <w:t xml:space="preserve">, this means </w:t>
      </w:r>
      <w:r w:rsidR="00587282" w:rsidRPr="00F47ED3">
        <w:rPr>
          <w:kern w:val="28"/>
          <w:lang w:val="en-US"/>
        </w:rPr>
        <w:t xml:space="preserve">that the </w:t>
      </w:r>
      <w:proofErr w:type="spellStart"/>
      <w:r w:rsidR="009F2EB8" w:rsidRPr="00F47ED3">
        <w:rPr>
          <w:kern w:val="28"/>
          <w:lang w:val="en-US"/>
        </w:rPr>
        <w:t>GoRTT</w:t>
      </w:r>
      <w:proofErr w:type="spellEnd"/>
      <w:r w:rsidR="009F2EB8" w:rsidRPr="00F47ED3">
        <w:rPr>
          <w:kern w:val="28"/>
          <w:lang w:val="en-US"/>
        </w:rPr>
        <w:t xml:space="preserve"> </w:t>
      </w:r>
      <w:r w:rsidR="00587282" w:rsidRPr="00F47ED3">
        <w:rPr>
          <w:kern w:val="28"/>
          <w:lang w:val="en-US"/>
        </w:rPr>
        <w:t xml:space="preserve">is in receipt of revenue to which it has no access because the </w:t>
      </w:r>
      <w:r w:rsidR="009F2EB8" w:rsidRPr="00F47ED3">
        <w:rPr>
          <w:kern w:val="28"/>
          <w:lang w:val="en-US"/>
        </w:rPr>
        <w:t xml:space="preserve">source and receiver of </w:t>
      </w:r>
      <w:r w:rsidR="00587282" w:rsidRPr="00F47ED3">
        <w:rPr>
          <w:kern w:val="28"/>
          <w:lang w:val="en-US"/>
        </w:rPr>
        <w:t>funds cannot be validated and</w:t>
      </w:r>
      <w:r w:rsidR="009F2EB8" w:rsidRPr="00F47ED3">
        <w:rPr>
          <w:kern w:val="28"/>
          <w:lang w:val="en-US"/>
        </w:rPr>
        <w:t>, as such, the funds cannot</w:t>
      </w:r>
      <w:r w:rsidR="00587282" w:rsidRPr="00F47ED3">
        <w:rPr>
          <w:kern w:val="28"/>
          <w:lang w:val="en-US"/>
        </w:rPr>
        <w:t xml:space="preserve"> be transferred to the </w:t>
      </w:r>
      <w:r w:rsidR="006A53CD">
        <w:rPr>
          <w:kern w:val="28"/>
          <w:lang w:val="en-US"/>
        </w:rPr>
        <w:t xml:space="preserve">Treasury </w:t>
      </w:r>
      <w:r w:rsidR="00587282" w:rsidRPr="00F47ED3">
        <w:rPr>
          <w:kern w:val="28"/>
          <w:lang w:val="en-US"/>
        </w:rPr>
        <w:t>Exchequer Fund. In effect</w:t>
      </w:r>
      <w:r w:rsidR="009F2EB8" w:rsidRPr="00F47ED3">
        <w:rPr>
          <w:kern w:val="28"/>
          <w:lang w:val="en-US"/>
        </w:rPr>
        <w:t>,</w:t>
      </w:r>
      <w:r w:rsidR="00587282" w:rsidRPr="00F47ED3">
        <w:rPr>
          <w:kern w:val="28"/>
          <w:lang w:val="en-US"/>
        </w:rPr>
        <w:t xml:space="preserve"> the </w:t>
      </w:r>
      <w:r w:rsidR="006A53CD">
        <w:rPr>
          <w:kern w:val="28"/>
          <w:lang w:val="en-US"/>
        </w:rPr>
        <w:t xml:space="preserve">Treasury </w:t>
      </w:r>
      <w:r w:rsidR="00587282" w:rsidRPr="00F47ED3">
        <w:rPr>
          <w:kern w:val="28"/>
          <w:lang w:val="en-US"/>
        </w:rPr>
        <w:t xml:space="preserve">Exchequer Account is underfunded by the amounts “on hold” in the </w:t>
      </w:r>
      <w:r w:rsidR="006A53CD">
        <w:rPr>
          <w:kern w:val="28"/>
          <w:lang w:val="en-US"/>
        </w:rPr>
        <w:t xml:space="preserve">Treasury </w:t>
      </w:r>
      <w:r w:rsidR="009F2EB8" w:rsidRPr="00F47ED3">
        <w:rPr>
          <w:kern w:val="28"/>
          <w:lang w:val="en-US"/>
        </w:rPr>
        <w:t>S</w:t>
      </w:r>
      <w:r w:rsidR="00587282" w:rsidRPr="00F47ED3">
        <w:rPr>
          <w:kern w:val="28"/>
          <w:lang w:val="en-US"/>
        </w:rPr>
        <w:t xml:space="preserve">uspense </w:t>
      </w:r>
      <w:r w:rsidR="009F2EB8" w:rsidRPr="00F47ED3">
        <w:rPr>
          <w:kern w:val="28"/>
          <w:lang w:val="en-US"/>
        </w:rPr>
        <w:t>A</w:t>
      </w:r>
      <w:r w:rsidR="00587282" w:rsidRPr="00F47ED3">
        <w:rPr>
          <w:kern w:val="28"/>
          <w:lang w:val="en-US"/>
        </w:rPr>
        <w:t xml:space="preserve">ccount. This results in the </w:t>
      </w:r>
      <w:proofErr w:type="spellStart"/>
      <w:r w:rsidR="009F2EB8" w:rsidRPr="00F47ED3">
        <w:rPr>
          <w:kern w:val="28"/>
          <w:lang w:val="en-US"/>
        </w:rPr>
        <w:t>GoRTT</w:t>
      </w:r>
      <w:proofErr w:type="spellEnd"/>
      <w:r w:rsidR="00587282" w:rsidRPr="00F47ED3">
        <w:rPr>
          <w:kern w:val="28"/>
          <w:lang w:val="en-US"/>
        </w:rPr>
        <w:t xml:space="preserve"> </w:t>
      </w:r>
      <w:r w:rsidR="0099639C" w:rsidRPr="00F47ED3">
        <w:rPr>
          <w:kern w:val="28"/>
          <w:lang w:val="en-US"/>
        </w:rPr>
        <w:t xml:space="preserve">overdrawing the </w:t>
      </w:r>
      <w:r w:rsidR="006A53CD">
        <w:rPr>
          <w:kern w:val="28"/>
          <w:lang w:val="en-US"/>
        </w:rPr>
        <w:t xml:space="preserve">Treasury </w:t>
      </w:r>
      <w:r w:rsidR="0099639C" w:rsidRPr="00F47ED3">
        <w:rPr>
          <w:kern w:val="28"/>
          <w:lang w:val="en-US"/>
        </w:rPr>
        <w:t>Exchequer</w:t>
      </w:r>
      <w:r w:rsidR="00587282" w:rsidRPr="00F47ED3">
        <w:rPr>
          <w:kern w:val="28"/>
          <w:lang w:val="en-US"/>
        </w:rPr>
        <w:t xml:space="preserve"> </w:t>
      </w:r>
      <w:r w:rsidR="0099639C" w:rsidRPr="00F47ED3">
        <w:rPr>
          <w:kern w:val="28"/>
          <w:lang w:val="en-US"/>
        </w:rPr>
        <w:t>A</w:t>
      </w:r>
      <w:r w:rsidR="00587282" w:rsidRPr="00F47ED3">
        <w:rPr>
          <w:kern w:val="28"/>
          <w:lang w:val="en-US"/>
        </w:rPr>
        <w:t>ccount in the Central Bank</w:t>
      </w:r>
      <w:r w:rsidR="007B242F" w:rsidRPr="00F47ED3">
        <w:rPr>
          <w:kern w:val="28"/>
          <w:lang w:val="en-US"/>
        </w:rPr>
        <w:t>, and</w:t>
      </w:r>
      <w:r w:rsidR="009F2EB8" w:rsidRPr="00F47ED3">
        <w:rPr>
          <w:kern w:val="28"/>
          <w:lang w:val="en-US"/>
        </w:rPr>
        <w:t xml:space="preserve"> </w:t>
      </w:r>
      <w:r w:rsidR="0099639C" w:rsidRPr="00F47ED3">
        <w:rPr>
          <w:kern w:val="28"/>
          <w:lang w:val="en-US"/>
        </w:rPr>
        <w:t>making</w:t>
      </w:r>
      <w:r w:rsidR="009F2EB8" w:rsidRPr="00F47ED3">
        <w:rPr>
          <w:kern w:val="28"/>
          <w:lang w:val="en-US"/>
        </w:rPr>
        <w:t xml:space="preserve"> monthly interest</w:t>
      </w:r>
      <w:r w:rsidR="0099639C" w:rsidRPr="00F47ED3">
        <w:rPr>
          <w:kern w:val="28"/>
          <w:lang w:val="en-US"/>
        </w:rPr>
        <w:t xml:space="preserve"> payments on the overdraft amounts</w:t>
      </w:r>
      <w:r w:rsidR="00587282" w:rsidRPr="00F47ED3">
        <w:rPr>
          <w:kern w:val="28"/>
          <w:lang w:val="en-US"/>
        </w:rPr>
        <w:t>.</w:t>
      </w:r>
      <w:r w:rsidRPr="00F47ED3">
        <w:rPr>
          <w:lang w:val="en-US"/>
        </w:rPr>
        <w:t xml:space="preserve"> </w:t>
      </w:r>
    </w:p>
    <w:p w14:paraId="267E6D39" w14:textId="77777777" w:rsidR="00E4530D" w:rsidRPr="00F47ED3" w:rsidRDefault="009F2EB8" w:rsidP="00B304CD">
      <w:pPr>
        <w:pStyle w:val="Paragraph"/>
        <w:numPr>
          <w:ilvl w:val="1"/>
          <w:numId w:val="1"/>
        </w:numPr>
        <w:rPr>
          <w:kern w:val="28"/>
          <w:lang w:val="en-US"/>
        </w:rPr>
      </w:pPr>
      <w:r w:rsidRPr="00F47ED3">
        <w:rPr>
          <w:kern w:val="28"/>
          <w:lang w:val="en-US"/>
        </w:rPr>
        <w:lastRenderedPageBreak/>
        <w:t>Treasury reconciles its bank accounts</w:t>
      </w:r>
      <w:r w:rsidR="0020764B" w:rsidRPr="00F47ED3">
        <w:rPr>
          <w:kern w:val="28"/>
          <w:lang w:val="en-US"/>
        </w:rPr>
        <w:t xml:space="preserve"> </w:t>
      </w:r>
      <w:r w:rsidR="007B242F" w:rsidRPr="00F47ED3">
        <w:rPr>
          <w:kern w:val="28"/>
          <w:lang w:val="en-US"/>
        </w:rPr>
        <w:t xml:space="preserve">every </w:t>
      </w:r>
      <w:r w:rsidR="0020764B" w:rsidRPr="00F47ED3">
        <w:rPr>
          <w:kern w:val="28"/>
          <w:lang w:val="en-US"/>
        </w:rPr>
        <w:t>three months</w:t>
      </w:r>
      <w:r w:rsidRPr="00F47ED3">
        <w:rPr>
          <w:kern w:val="28"/>
          <w:lang w:val="en-US"/>
        </w:rPr>
        <w:t>, on average. This process reconciles Central Bank data with revenue sources</w:t>
      </w:r>
      <w:r w:rsidR="00D150D2" w:rsidRPr="00F47ED3">
        <w:rPr>
          <w:kern w:val="28"/>
          <w:lang w:val="en-US"/>
        </w:rPr>
        <w:t xml:space="preserve"> </w:t>
      </w:r>
      <w:r w:rsidRPr="00F47ED3">
        <w:rPr>
          <w:kern w:val="28"/>
          <w:lang w:val="en-US"/>
        </w:rPr>
        <w:t xml:space="preserve">and allows for the identification of most, but not all, revenue in the </w:t>
      </w:r>
      <w:r w:rsidR="006A53CD">
        <w:rPr>
          <w:kern w:val="28"/>
          <w:lang w:val="en-US"/>
        </w:rPr>
        <w:t xml:space="preserve">Treasury </w:t>
      </w:r>
      <w:r w:rsidRPr="00F47ED3">
        <w:rPr>
          <w:kern w:val="28"/>
          <w:lang w:val="en-US"/>
        </w:rPr>
        <w:t>Suspense Account. The bank reconciliation process at the Treasury is manual and uses multiple individuals to verify accuracy.</w:t>
      </w:r>
      <w:r w:rsidR="0020764B" w:rsidRPr="00F47ED3">
        <w:rPr>
          <w:kern w:val="28"/>
          <w:lang w:val="en-US"/>
        </w:rPr>
        <w:t xml:space="preserve"> </w:t>
      </w:r>
      <w:r w:rsidRPr="00F47ED3">
        <w:rPr>
          <w:kern w:val="28"/>
          <w:lang w:val="en-US"/>
        </w:rPr>
        <w:t>However,</w:t>
      </w:r>
      <w:r w:rsidR="0020764B" w:rsidRPr="00F47ED3">
        <w:rPr>
          <w:kern w:val="28"/>
          <w:lang w:val="en-US"/>
        </w:rPr>
        <w:t xml:space="preserve"> </w:t>
      </w:r>
      <w:r w:rsidR="00D37DBA" w:rsidRPr="00F47ED3">
        <w:rPr>
          <w:kern w:val="28"/>
          <w:lang w:val="en-US"/>
        </w:rPr>
        <w:t>e</w:t>
      </w:r>
      <w:r w:rsidR="00D150D2" w:rsidRPr="00F47ED3">
        <w:rPr>
          <w:kern w:val="28"/>
          <w:lang w:val="en-US"/>
        </w:rPr>
        <w:t>v</w:t>
      </w:r>
      <w:r w:rsidR="0020764B" w:rsidRPr="00F47ED3">
        <w:rPr>
          <w:kern w:val="28"/>
          <w:lang w:val="en-US"/>
        </w:rPr>
        <w:t>en after reconciliation</w:t>
      </w:r>
      <w:r w:rsidR="008B1038" w:rsidRPr="00F47ED3">
        <w:rPr>
          <w:kern w:val="28"/>
          <w:lang w:val="en-US"/>
        </w:rPr>
        <w:t>,</w:t>
      </w:r>
      <w:r w:rsidR="0020764B" w:rsidRPr="00F47ED3">
        <w:rPr>
          <w:kern w:val="28"/>
          <w:lang w:val="en-US"/>
        </w:rPr>
        <w:t xml:space="preserve"> there </w:t>
      </w:r>
      <w:r w:rsidRPr="00F47ED3">
        <w:rPr>
          <w:kern w:val="28"/>
          <w:lang w:val="en-US"/>
        </w:rPr>
        <w:t>remain</w:t>
      </w:r>
      <w:r w:rsidR="0020764B" w:rsidRPr="00F47ED3">
        <w:rPr>
          <w:kern w:val="28"/>
          <w:lang w:val="en-US"/>
        </w:rPr>
        <w:t xml:space="preserve"> outstanding </w:t>
      </w:r>
      <w:r w:rsidRPr="00F47ED3">
        <w:rPr>
          <w:kern w:val="28"/>
          <w:lang w:val="en-US"/>
        </w:rPr>
        <w:t>revenue amounts with unidentified sources and receivers, which remain in the</w:t>
      </w:r>
      <w:r w:rsidR="0020764B" w:rsidRPr="00F47ED3">
        <w:rPr>
          <w:kern w:val="28"/>
          <w:lang w:val="en-US"/>
        </w:rPr>
        <w:t xml:space="preserve"> </w:t>
      </w:r>
      <w:r w:rsidR="006A53CD">
        <w:rPr>
          <w:kern w:val="28"/>
          <w:lang w:val="en-US"/>
        </w:rPr>
        <w:t xml:space="preserve">Treasury </w:t>
      </w:r>
      <w:r w:rsidRPr="00F47ED3">
        <w:rPr>
          <w:kern w:val="28"/>
          <w:lang w:val="en-US"/>
        </w:rPr>
        <w:t>Suspense</w:t>
      </w:r>
      <w:r w:rsidR="0020764B" w:rsidRPr="00F47ED3">
        <w:rPr>
          <w:kern w:val="28"/>
          <w:lang w:val="en-US"/>
        </w:rPr>
        <w:t xml:space="preserve"> </w:t>
      </w:r>
      <w:r w:rsidRPr="00F47ED3">
        <w:rPr>
          <w:kern w:val="28"/>
          <w:lang w:val="en-US"/>
        </w:rPr>
        <w:t>A</w:t>
      </w:r>
      <w:r w:rsidR="0020764B" w:rsidRPr="00F47ED3">
        <w:rPr>
          <w:kern w:val="28"/>
          <w:lang w:val="en-US"/>
        </w:rPr>
        <w:t>ccount</w:t>
      </w:r>
      <w:r w:rsidR="008B1038" w:rsidRPr="00F47ED3">
        <w:rPr>
          <w:kern w:val="28"/>
          <w:lang w:val="en-US"/>
        </w:rPr>
        <w:t>,</w:t>
      </w:r>
      <w:r w:rsidR="0099639C" w:rsidRPr="00F47ED3">
        <w:rPr>
          <w:kern w:val="28"/>
          <w:lang w:val="en-US"/>
        </w:rPr>
        <w:t xml:space="preserve"> in some instances up to several years.</w:t>
      </w:r>
    </w:p>
    <w:p w14:paraId="5B30F886" w14:textId="63AD2B67" w:rsidR="000D629D" w:rsidRDefault="000D629D" w:rsidP="00B304CD">
      <w:pPr>
        <w:pStyle w:val="Paragraph"/>
        <w:numPr>
          <w:ilvl w:val="1"/>
          <w:numId w:val="1"/>
        </w:numPr>
        <w:rPr>
          <w:kern w:val="28"/>
          <w:lang w:val="en-US"/>
        </w:rPr>
      </w:pPr>
      <w:r w:rsidRPr="00F47ED3">
        <w:rPr>
          <w:kern w:val="28"/>
          <w:lang w:val="en-US"/>
        </w:rPr>
        <w:t xml:space="preserve">Table 1 provides </w:t>
      </w:r>
      <w:r w:rsidR="008B1038" w:rsidRPr="00F47ED3">
        <w:rPr>
          <w:kern w:val="28"/>
          <w:lang w:val="en-US"/>
        </w:rPr>
        <w:t xml:space="preserve">a </w:t>
      </w:r>
      <w:r w:rsidR="00235AF7">
        <w:rPr>
          <w:kern w:val="28"/>
          <w:lang w:val="en-US"/>
        </w:rPr>
        <w:t>14</w:t>
      </w:r>
      <w:r w:rsidR="008B1038" w:rsidRPr="00F47ED3">
        <w:rPr>
          <w:kern w:val="28"/>
          <w:lang w:val="en-US"/>
        </w:rPr>
        <w:t>-</w:t>
      </w:r>
      <w:r w:rsidR="00EE64CA" w:rsidRPr="00F47ED3">
        <w:rPr>
          <w:kern w:val="28"/>
          <w:lang w:val="en-US"/>
        </w:rPr>
        <w:t>year</w:t>
      </w:r>
      <w:r w:rsidRPr="00F47ED3">
        <w:rPr>
          <w:kern w:val="28"/>
          <w:lang w:val="en-US"/>
        </w:rPr>
        <w:t xml:space="preserve"> overview </w:t>
      </w:r>
      <w:r w:rsidR="00EE64CA" w:rsidRPr="00F47ED3">
        <w:rPr>
          <w:kern w:val="28"/>
          <w:lang w:val="en-US"/>
        </w:rPr>
        <w:t>on</w:t>
      </w:r>
      <w:r w:rsidRPr="00F47ED3">
        <w:rPr>
          <w:kern w:val="28"/>
          <w:lang w:val="en-US"/>
        </w:rPr>
        <w:t xml:space="preserve"> </w:t>
      </w:r>
      <w:proofErr w:type="spellStart"/>
      <w:r w:rsidRPr="00F47ED3">
        <w:rPr>
          <w:kern w:val="28"/>
          <w:lang w:val="en-US"/>
        </w:rPr>
        <w:t>Go</w:t>
      </w:r>
      <w:r w:rsidR="00EB4273">
        <w:rPr>
          <w:kern w:val="28"/>
          <w:lang w:val="en-US"/>
        </w:rPr>
        <w:t>R</w:t>
      </w:r>
      <w:r w:rsidRPr="00F47ED3">
        <w:rPr>
          <w:kern w:val="28"/>
          <w:lang w:val="en-US"/>
        </w:rPr>
        <w:t>TT</w:t>
      </w:r>
      <w:proofErr w:type="spellEnd"/>
      <w:r w:rsidRPr="00F47ED3">
        <w:rPr>
          <w:kern w:val="28"/>
          <w:lang w:val="en-US"/>
        </w:rPr>
        <w:t xml:space="preserve"> fiscal </w:t>
      </w:r>
      <w:r w:rsidR="004E597C" w:rsidRPr="00F47ED3">
        <w:rPr>
          <w:kern w:val="28"/>
          <w:lang w:val="en-US"/>
        </w:rPr>
        <w:t>performance</w:t>
      </w:r>
      <w:r w:rsidR="0081773B" w:rsidRPr="00F47ED3">
        <w:rPr>
          <w:kern w:val="28"/>
          <w:lang w:val="en-US"/>
        </w:rPr>
        <w:t xml:space="preserve">, including the </w:t>
      </w:r>
      <w:r w:rsidR="004778D5">
        <w:rPr>
          <w:kern w:val="28"/>
          <w:lang w:val="en-US"/>
        </w:rPr>
        <w:t xml:space="preserve">consolidate balances of the Treasury </w:t>
      </w:r>
      <w:r w:rsidR="0081773B" w:rsidRPr="00F47ED3">
        <w:rPr>
          <w:kern w:val="28"/>
          <w:lang w:val="en-US"/>
        </w:rPr>
        <w:t>suspense</w:t>
      </w:r>
      <w:r w:rsidRPr="00F47ED3">
        <w:rPr>
          <w:kern w:val="28"/>
          <w:lang w:val="en-US"/>
        </w:rPr>
        <w:t>:</w:t>
      </w:r>
    </w:p>
    <w:tbl>
      <w:tblPr>
        <w:tblW w:w="5491" w:type="dxa"/>
        <w:tblInd w:w="1551" w:type="dxa"/>
        <w:tblCellMar>
          <w:left w:w="70" w:type="dxa"/>
          <w:right w:w="70" w:type="dxa"/>
        </w:tblCellMar>
        <w:tblLook w:val="04A0" w:firstRow="1" w:lastRow="0" w:firstColumn="1" w:lastColumn="0" w:noHBand="0" w:noVBand="1"/>
      </w:tblPr>
      <w:tblGrid>
        <w:gridCol w:w="851"/>
        <w:gridCol w:w="2220"/>
        <w:gridCol w:w="2420"/>
      </w:tblGrid>
      <w:tr w:rsidR="00F61742" w:rsidRPr="006C6C61" w14:paraId="11A291C1" w14:textId="77777777" w:rsidTr="008E70B0">
        <w:trPr>
          <w:trHeight w:val="37"/>
        </w:trPr>
        <w:tc>
          <w:tcPr>
            <w:tcW w:w="5491" w:type="dxa"/>
            <w:gridSpan w:val="3"/>
            <w:tcBorders>
              <w:bottom w:val="single" w:sz="4" w:space="0" w:color="auto"/>
            </w:tcBorders>
            <w:shd w:val="clear" w:color="auto" w:fill="auto"/>
            <w:vAlign w:val="center"/>
          </w:tcPr>
          <w:p w14:paraId="00BB1E33" w14:textId="77777777" w:rsidR="006C6C61" w:rsidRDefault="00F61742" w:rsidP="008E70B0">
            <w:pPr>
              <w:spacing w:after="0" w:line="240" w:lineRule="auto"/>
              <w:jc w:val="center"/>
              <w:rPr>
                <w:rFonts w:ascii="Times New Roman" w:eastAsia="Times New Roman" w:hAnsi="Times New Roman"/>
                <w:b/>
                <w:bCs/>
                <w:color w:val="000000"/>
                <w:sz w:val="20"/>
                <w:szCs w:val="20"/>
                <w:lang w:val="en-US" w:eastAsia="pt-BR"/>
              </w:rPr>
            </w:pPr>
            <w:r w:rsidRPr="008E70B0">
              <w:rPr>
                <w:rFonts w:ascii="Times New Roman" w:eastAsia="Times New Roman" w:hAnsi="Times New Roman"/>
                <w:b/>
                <w:bCs/>
                <w:color w:val="000000"/>
                <w:sz w:val="20"/>
                <w:szCs w:val="20"/>
                <w:lang w:val="en-US" w:eastAsia="pt-BR"/>
              </w:rPr>
              <w:t>Table I</w:t>
            </w:r>
            <w:r w:rsidR="002B5791">
              <w:rPr>
                <w:rFonts w:ascii="Times New Roman" w:eastAsia="Times New Roman" w:hAnsi="Times New Roman"/>
                <w:b/>
                <w:bCs/>
                <w:color w:val="000000"/>
                <w:sz w:val="20"/>
                <w:szCs w:val="20"/>
                <w:lang w:val="en-US" w:eastAsia="pt-BR"/>
              </w:rPr>
              <w:t>I</w:t>
            </w:r>
            <w:r w:rsidRPr="008E70B0">
              <w:rPr>
                <w:rFonts w:ascii="Times New Roman" w:eastAsia="Times New Roman" w:hAnsi="Times New Roman"/>
                <w:b/>
                <w:bCs/>
                <w:color w:val="000000"/>
                <w:sz w:val="20"/>
                <w:szCs w:val="20"/>
                <w:lang w:val="en-US" w:eastAsia="pt-BR"/>
              </w:rPr>
              <w:t xml:space="preserve"> - Central Government Suspense Account</w:t>
            </w:r>
          </w:p>
          <w:p w14:paraId="25824520" w14:textId="77777777" w:rsidR="00F61742" w:rsidRPr="008E70B0" w:rsidRDefault="00F61742" w:rsidP="008E70B0">
            <w:pPr>
              <w:spacing w:after="0" w:line="240" w:lineRule="auto"/>
              <w:jc w:val="center"/>
              <w:rPr>
                <w:rFonts w:ascii="Times New Roman" w:eastAsia="Times New Roman" w:hAnsi="Times New Roman"/>
                <w:b/>
                <w:bCs/>
                <w:color w:val="000000"/>
                <w:sz w:val="20"/>
                <w:szCs w:val="20"/>
                <w:lang w:val="en-US" w:eastAsia="pt-BR"/>
              </w:rPr>
            </w:pPr>
            <w:r w:rsidRPr="008E70B0">
              <w:rPr>
                <w:rFonts w:ascii="Times New Roman" w:eastAsia="Times New Roman" w:hAnsi="Times New Roman"/>
                <w:b/>
                <w:bCs/>
                <w:color w:val="000000"/>
                <w:sz w:val="20"/>
                <w:szCs w:val="20"/>
                <w:lang w:val="en-US" w:eastAsia="pt-BR"/>
              </w:rPr>
              <w:t>Constant Values</w:t>
            </w:r>
          </w:p>
        </w:tc>
      </w:tr>
      <w:tr w:rsidR="00F61742" w:rsidRPr="00F61742" w14:paraId="3A5B032B" w14:textId="77777777" w:rsidTr="008E70B0">
        <w:trPr>
          <w:trHeight w:val="261"/>
        </w:trPr>
        <w:tc>
          <w:tcPr>
            <w:tcW w:w="851" w:type="dxa"/>
            <w:tcBorders>
              <w:top w:val="single" w:sz="4" w:space="0" w:color="auto"/>
              <w:left w:val="single" w:sz="4" w:space="0" w:color="auto"/>
              <w:bottom w:val="single" w:sz="4" w:space="0" w:color="auto"/>
              <w:right w:val="single" w:sz="4" w:space="0" w:color="auto"/>
            </w:tcBorders>
            <w:shd w:val="clear" w:color="000000" w:fill="F8D063"/>
            <w:vAlign w:val="center"/>
            <w:hideMark/>
          </w:tcPr>
          <w:p w14:paraId="24BE4FC7" w14:textId="77777777" w:rsidR="00F61742" w:rsidRPr="006C6C61" w:rsidRDefault="00F61742" w:rsidP="00D26774">
            <w:pPr>
              <w:spacing w:after="0" w:line="240" w:lineRule="auto"/>
              <w:jc w:val="center"/>
              <w:rPr>
                <w:rFonts w:ascii="Times New Roman" w:eastAsia="Times New Roman" w:hAnsi="Times New Roman"/>
                <w:b/>
                <w:bCs/>
                <w:color w:val="000000"/>
                <w:sz w:val="20"/>
                <w:szCs w:val="20"/>
                <w:lang w:val="en-US" w:eastAsia="pt-BR"/>
              </w:rPr>
            </w:pPr>
            <w:r w:rsidRPr="006C6C61">
              <w:rPr>
                <w:rFonts w:ascii="Times New Roman" w:eastAsia="Times New Roman" w:hAnsi="Times New Roman"/>
                <w:b/>
                <w:bCs/>
                <w:color w:val="000000"/>
                <w:sz w:val="20"/>
                <w:szCs w:val="20"/>
                <w:lang w:val="en-US" w:eastAsia="pt-BR"/>
              </w:rPr>
              <w:t>Date</w:t>
            </w:r>
          </w:p>
        </w:tc>
        <w:tc>
          <w:tcPr>
            <w:tcW w:w="2220" w:type="dxa"/>
            <w:tcBorders>
              <w:top w:val="single" w:sz="4" w:space="0" w:color="auto"/>
              <w:left w:val="single" w:sz="4" w:space="0" w:color="auto"/>
              <w:bottom w:val="single" w:sz="4" w:space="0" w:color="auto"/>
              <w:right w:val="single" w:sz="4" w:space="0" w:color="auto"/>
            </w:tcBorders>
            <w:shd w:val="clear" w:color="000000" w:fill="F8D063"/>
            <w:vAlign w:val="center"/>
            <w:hideMark/>
          </w:tcPr>
          <w:p w14:paraId="34073908" w14:textId="0C1B96FD" w:rsidR="00F61742" w:rsidRPr="006C6C61" w:rsidRDefault="00F61742" w:rsidP="006C6C61">
            <w:pPr>
              <w:spacing w:after="0" w:line="240" w:lineRule="auto"/>
              <w:jc w:val="center"/>
              <w:rPr>
                <w:rFonts w:ascii="Times New Roman" w:eastAsia="Times New Roman" w:hAnsi="Times New Roman"/>
                <w:b/>
                <w:bCs/>
                <w:color w:val="000000"/>
                <w:sz w:val="20"/>
                <w:szCs w:val="20"/>
                <w:lang w:val="en-US" w:eastAsia="pt-BR"/>
              </w:rPr>
            </w:pPr>
            <w:r w:rsidRPr="006C6C61">
              <w:rPr>
                <w:rFonts w:ascii="Times New Roman" w:eastAsia="Times New Roman" w:hAnsi="Times New Roman"/>
                <w:b/>
                <w:bCs/>
                <w:color w:val="000000"/>
                <w:sz w:val="20"/>
                <w:szCs w:val="20"/>
                <w:lang w:val="en-US" w:eastAsia="pt-BR"/>
              </w:rPr>
              <w:t>Central Gov't Suspense Accounts</w:t>
            </w:r>
            <w:r w:rsidRPr="006C6C61">
              <w:rPr>
                <w:rFonts w:ascii="Times New Roman" w:eastAsia="Times New Roman" w:hAnsi="Times New Roman"/>
                <w:b/>
                <w:bCs/>
                <w:color w:val="000000"/>
                <w:sz w:val="20"/>
                <w:szCs w:val="20"/>
                <w:lang w:val="en-US" w:eastAsia="pt-BR"/>
              </w:rPr>
              <w:br/>
              <w:t xml:space="preserve">TT$ </w:t>
            </w:r>
          </w:p>
        </w:tc>
        <w:tc>
          <w:tcPr>
            <w:tcW w:w="2420" w:type="dxa"/>
            <w:tcBorders>
              <w:top w:val="single" w:sz="4" w:space="0" w:color="auto"/>
              <w:left w:val="single" w:sz="4" w:space="0" w:color="auto"/>
              <w:bottom w:val="single" w:sz="4" w:space="0" w:color="auto"/>
              <w:right w:val="single" w:sz="4" w:space="0" w:color="auto"/>
            </w:tcBorders>
            <w:shd w:val="clear" w:color="000000" w:fill="F8D063"/>
            <w:vAlign w:val="center"/>
            <w:hideMark/>
          </w:tcPr>
          <w:p w14:paraId="1423BECA" w14:textId="197C2FB2" w:rsidR="00F61742" w:rsidRPr="006C6C61" w:rsidRDefault="00F61742" w:rsidP="00D26774">
            <w:pPr>
              <w:spacing w:after="0" w:line="240" w:lineRule="auto"/>
              <w:jc w:val="center"/>
              <w:rPr>
                <w:rFonts w:ascii="Times New Roman" w:eastAsia="Times New Roman" w:hAnsi="Times New Roman"/>
                <w:b/>
                <w:bCs/>
                <w:color w:val="000000"/>
                <w:sz w:val="20"/>
                <w:szCs w:val="20"/>
                <w:lang w:val="en-US" w:eastAsia="pt-BR"/>
              </w:rPr>
            </w:pPr>
            <w:r w:rsidRPr="006C6C61">
              <w:rPr>
                <w:rFonts w:ascii="Times New Roman" w:eastAsia="Times New Roman" w:hAnsi="Times New Roman"/>
                <w:b/>
                <w:bCs/>
                <w:color w:val="000000"/>
                <w:sz w:val="20"/>
                <w:szCs w:val="20"/>
                <w:lang w:val="en-US" w:eastAsia="pt-BR"/>
              </w:rPr>
              <w:t>Central Gov't Suspense Accounts</w:t>
            </w:r>
            <w:r w:rsidRPr="006C6C61">
              <w:rPr>
                <w:rFonts w:ascii="Times New Roman" w:eastAsia="Times New Roman" w:hAnsi="Times New Roman"/>
                <w:b/>
                <w:bCs/>
                <w:color w:val="000000"/>
                <w:sz w:val="20"/>
                <w:szCs w:val="20"/>
                <w:lang w:val="en-US" w:eastAsia="pt-BR"/>
              </w:rPr>
              <w:br/>
              <w:t>US$</w:t>
            </w:r>
          </w:p>
        </w:tc>
      </w:tr>
      <w:tr w:rsidR="00F61742" w:rsidRPr="00F61742" w14:paraId="10A60F15" w14:textId="77777777" w:rsidTr="008E70B0">
        <w:trPr>
          <w:trHeight w:val="4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955828" w14:textId="77777777" w:rsidR="00F61742" w:rsidRPr="006C6C61" w:rsidRDefault="00F61742" w:rsidP="00F61742">
            <w:pPr>
              <w:spacing w:after="0" w:line="240" w:lineRule="auto"/>
              <w:jc w:val="center"/>
              <w:rPr>
                <w:rFonts w:ascii="Times New Roman" w:eastAsia="Times New Roman" w:hAnsi="Times New Roman"/>
                <w:sz w:val="20"/>
                <w:szCs w:val="20"/>
                <w:lang w:val="en-US" w:eastAsia="pt-BR"/>
              </w:rPr>
            </w:pPr>
            <w:r w:rsidRPr="006C6C61">
              <w:rPr>
                <w:rFonts w:ascii="Times New Roman" w:eastAsia="Times New Roman" w:hAnsi="Times New Roman"/>
                <w:sz w:val="20"/>
                <w:szCs w:val="20"/>
                <w:lang w:val="en-US" w:eastAsia="pt-BR"/>
              </w:rPr>
              <w:t>2001</w:t>
            </w:r>
          </w:p>
        </w:tc>
        <w:tc>
          <w:tcPr>
            <w:tcW w:w="2220" w:type="dxa"/>
            <w:tcBorders>
              <w:top w:val="single" w:sz="4" w:space="0" w:color="auto"/>
              <w:left w:val="nil"/>
              <w:bottom w:val="single" w:sz="4" w:space="0" w:color="auto"/>
              <w:right w:val="single" w:sz="4" w:space="0" w:color="auto"/>
            </w:tcBorders>
            <w:shd w:val="clear" w:color="auto" w:fill="auto"/>
            <w:vAlign w:val="bottom"/>
            <w:hideMark/>
          </w:tcPr>
          <w:p w14:paraId="0C63DC4A" w14:textId="4C3E7397"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6,495,568,480</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6E06A99E" w14:textId="12E53CFA"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1,014,932,575</w:t>
            </w:r>
          </w:p>
        </w:tc>
      </w:tr>
      <w:tr w:rsidR="00F61742" w:rsidRPr="00F61742" w14:paraId="621DEA14" w14:textId="77777777" w:rsidTr="008E70B0">
        <w:trPr>
          <w:trHeight w:val="53"/>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D9D55B2" w14:textId="77777777" w:rsidR="00F61742" w:rsidRPr="006C6C61" w:rsidRDefault="00F61742" w:rsidP="00F61742">
            <w:pPr>
              <w:spacing w:after="0" w:line="240" w:lineRule="auto"/>
              <w:jc w:val="center"/>
              <w:rPr>
                <w:rFonts w:ascii="Times New Roman" w:eastAsia="Times New Roman" w:hAnsi="Times New Roman"/>
                <w:sz w:val="20"/>
                <w:szCs w:val="20"/>
                <w:lang w:val="en-US" w:eastAsia="pt-BR"/>
              </w:rPr>
            </w:pPr>
            <w:r w:rsidRPr="006C6C61">
              <w:rPr>
                <w:rFonts w:ascii="Times New Roman" w:eastAsia="Times New Roman" w:hAnsi="Times New Roman"/>
                <w:sz w:val="20"/>
                <w:szCs w:val="20"/>
                <w:lang w:val="en-US" w:eastAsia="pt-BR"/>
              </w:rPr>
              <w:t>2002</w:t>
            </w:r>
          </w:p>
        </w:tc>
        <w:tc>
          <w:tcPr>
            <w:tcW w:w="2220" w:type="dxa"/>
            <w:tcBorders>
              <w:top w:val="nil"/>
              <w:left w:val="nil"/>
              <w:bottom w:val="single" w:sz="4" w:space="0" w:color="auto"/>
              <w:right w:val="single" w:sz="4" w:space="0" w:color="auto"/>
            </w:tcBorders>
            <w:shd w:val="clear" w:color="auto" w:fill="auto"/>
            <w:vAlign w:val="bottom"/>
            <w:hideMark/>
          </w:tcPr>
          <w:p w14:paraId="27ED68EE" w14:textId="7F61037B"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6,522,121,430</w:t>
            </w:r>
          </w:p>
        </w:tc>
        <w:tc>
          <w:tcPr>
            <w:tcW w:w="2420" w:type="dxa"/>
            <w:tcBorders>
              <w:top w:val="nil"/>
              <w:left w:val="nil"/>
              <w:bottom w:val="single" w:sz="4" w:space="0" w:color="auto"/>
              <w:right w:val="single" w:sz="4" w:space="0" w:color="auto"/>
            </w:tcBorders>
            <w:shd w:val="clear" w:color="auto" w:fill="auto"/>
            <w:vAlign w:val="bottom"/>
            <w:hideMark/>
          </w:tcPr>
          <w:p w14:paraId="59DF2F14" w14:textId="47CF7C85"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1,019,081,473</w:t>
            </w:r>
          </w:p>
        </w:tc>
      </w:tr>
      <w:tr w:rsidR="00F61742" w:rsidRPr="00F61742" w14:paraId="2AAA36C8" w14:textId="77777777" w:rsidTr="008E70B0">
        <w:trPr>
          <w:trHeight w:val="152"/>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0A9FCF9" w14:textId="77777777" w:rsidR="00F61742" w:rsidRPr="006C6C61" w:rsidRDefault="00F61742" w:rsidP="00F61742">
            <w:pPr>
              <w:spacing w:after="0" w:line="240" w:lineRule="auto"/>
              <w:jc w:val="center"/>
              <w:rPr>
                <w:rFonts w:ascii="Times New Roman" w:eastAsia="Times New Roman" w:hAnsi="Times New Roman"/>
                <w:sz w:val="20"/>
                <w:szCs w:val="20"/>
                <w:lang w:val="en-US" w:eastAsia="pt-BR"/>
              </w:rPr>
            </w:pPr>
            <w:r w:rsidRPr="006C6C61">
              <w:rPr>
                <w:rFonts w:ascii="Times New Roman" w:eastAsia="Times New Roman" w:hAnsi="Times New Roman"/>
                <w:sz w:val="20"/>
                <w:szCs w:val="20"/>
                <w:lang w:val="en-US" w:eastAsia="pt-BR"/>
              </w:rPr>
              <w:t>2003</w:t>
            </w:r>
          </w:p>
        </w:tc>
        <w:tc>
          <w:tcPr>
            <w:tcW w:w="2220" w:type="dxa"/>
            <w:tcBorders>
              <w:top w:val="nil"/>
              <w:left w:val="nil"/>
              <w:bottom w:val="single" w:sz="4" w:space="0" w:color="auto"/>
              <w:right w:val="single" w:sz="4" w:space="0" w:color="auto"/>
            </w:tcBorders>
            <w:shd w:val="clear" w:color="auto" w:fill="auto"/>
            <w:vAlign w:val="bottom"/>
            <w:hideMark/>
          </w:tcPr>
          <w:p w14:paraId="045AB207" w14:textId="7DE8D74D"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6,244,875,090</w:t>
            </w:r>
          </w:p>
        </w:tc>
        <w:tc>
          <w:tcPr>
            <w:tcW w:w="2420" w:type="dxa"/>
            <w:tcBorders>
              <w:top w:val="nil"/>
              <w:left w:val="nil"/>
              <w:bottom w:val="single" w:sz="4" w:space="0" w:color="auto"/>
              <w:right w:val="single" w:sz="4" w:space="0" w:color="auto"/>
            </w:tcBorders>
            <w:shd w:val="clear" w:color="auto" w:fill="auto"/>
            <w:vAlign w:val="bottom"/>
            <w:hideMark/>
          </w:tcPr>
          <w:p w14:paraId="266C7AA8" w14:textId="68988EC5"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975,761,733</w:t>
            </w:r>
          </w:p>
        </w:tc>
      </w:tr>
      <w:tr w:rsidR="00F61742" w:rsidRPr="00F61742" w14:paraId="2AA9CCDD" w14:textId="77777777" w:rsidTr="008E70B0">
        <w:trPr>
          <w:trHeight w:val="71"/>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F044F86" w14:textId="77777777" w:rsidR="00F61742" w:rsidRPr="006C6C61" w:rsidRDefault="00F61742" w:rsidP="00F61742">
            <w:pPr>
              <w:spacing w:after="0" w:line="240" w:lineRule="auto"/>
              <w:jc w:val="center"/>
              <w:rPr>
                <w:rFonts w:ascii="Times New Roman" w:eastAsia="Times New Roman" w:hAnsi="Times New Roman"/>
                <w:sz w:val="20"/>
                <w:szCs w:val="20"/>
                <w:lang w:val="en-US" w:eastAsia="pt-BR"/>
              </w:rPr>
            </w:pPr>
            <w:r w:rsidRPr="006C6C61">
              <w:rPr>
                <w:rFonts w:ascii="Times New Roman" w:eastAsia="Times New Roman" w:hAnsi="Times New Roman"/>
                <w:sz w:val="20"/>
                <w:szCs w:val="20"/>
                <w:lang w:val="en-US" w:eastAsia="pt-BR"/>
              </w:rPr>
              <w:t>2004</w:t>
            </w:r>
          </w:p>
        </w:tc>
        <w:tc>
          <w:tcPr>
            <w:tcW w:w="2220" w:type="dxa"/>
            <w:tcBorders>
              <w:top w:val="nil"/>
              <w:left w:val="nil"/>
              <w:bottom w:val="single" w:sz="4" w:space="0" w:color="auto"/>
              <w:right w:val="single" w:sz="4" w:space="0" w:color="auto"/>
            </w:tcBorders>
            <w:shd w:val="clear" w:color="auto" w:fill="auto"/>
            <w:vAlign w:val="bottom"/>
            <w:hideMark/>
          </w:tcPr>
          <w:p w14:paraId="436BC2B6" w14:textId="3FAA07B0"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6,432,177,550</w:t>
            </w:r>
          </w:p>
        </w:tc>
        <w:tc>
          <w:tcPr>
            <w:tcW w:w="2420" w:type="dxa"/>
            <w:tcBorders>
              <w:top w:val="nil"/>
              <w:left w:val="nil"/>
              <w:bottom w:val="single" w:sz="4" w:space="0" w:color="auto"/>
              <w:right w:val="single" w:sz="4" w:space="0" w:color="auto"/>
            </w:tcBorders>
            <w:shd w:val="clear" w:color="auto" w:fill="auto"/>
            <w:vAlign w:val="bottom"/>
            <w:hideMark/>
          </w:tcPr>
          <w:p w14:paraId="1819A3B3" w14:textId="78F5C8E5"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1,005,027,742</w:t>
            </w:r>
          </w:p>
        </w:tc>
      </w:tr>
      <w:tr w:rsidR="00F61742" w:rsidRPr="00F61742" w14:paraId="179362A9" w14:textId="77777777" w:rsidTr="008E70B0">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F251506" w14:textId="77777777" w:rsidR="00F61742" w:rsidRPr="006C6C61" w:rsidRDefault="00F61742" w:rsidP="00F61742">
            <w:pPr>
              <w:spacing w:after="0" w:line="240" w:lineRule="auto"/>
              <w:jc w:val="center"/>
              <w:rPr>
                <w:rFonts w:ascii="Times New Roman" w:eastAsia="Times New Roman" w:hAnsi="Times New Roman"/>
                <w:sz w:val="20"/>
                <w:szCs w:val="20"/>
                <w:lang w:val="en-US" w:eastAsia="pt-BR"/>
              </w:rPr>
            </w:pPr>
            <w:r w:rsidRPr="006C6C61">
              <w:rPr>
                <w:rFonts w:ascii="Times New Roman" w:eastAsia="Times New Roman" w:hAnsi="Times New Roman"/>
                <w:sz w:val="20"/>
                <w:szCs w:val="20"/>
                <w:lang w:val="en-US" w:eastAsia="pt-BR"/>
              </w:rPr>
              <w:t>2005</w:t>
            </w:r>
          </w:p>
        </w:tc>
        <w:tc>
          <w:tcPr>
            <w:tcW w:w="2220" w:type="dxa"/>
            <w:tcBorders>
              <w:top w:val="nil"/>
              <w:left w:val="nil"/>
              <w:bottom w:val="single" w:sz="4" w:space="0" w:color="auto"/>
              <w:right w:val="single" w:sz="4" w:space="0" w:color="auto"/>
            </w:tcBorders>
            <w:shd w:val="clear" w:color="auto" w:fill="auto"/>
            <w:vAlign w:val="bottom"/>
            <w:hideMark/>
          </w:tcPr>
          <w:p w14:paraId="5CA45FBE" w14:textId="0828F0DB" w:rsidR="00F61742" w:rsidRPr="006C6C61" w:rsidRDefault="00F61742" w:rsidP="00F61742">
            <w:pPr>
              <w:spacing w:after="0" w:line="240" w:lineRule="auto"/>
              <w:ind w:left="-765" w:firstLine="765"/>
              <w:jc w:val="right"/>
              <w:rPr>
                <w:rFonts w:ascii="Times New Roman" w:eastAsia="Times New Roman" w:hAnsi="Times New Roman"/>
                <w:sz w:val="20"/>
                <w:szCs w:val="20"/>
                <w:lang w:val="en-US" w:eastAsia="pt-BR"/>
              </w:rPr>
            </w:pPr>
            <w:r w:rsidRPr="008E70B0">
              <w:rPr>
                <w:rFonts w:ascii="Times New Roman" w:hAnsi="Times New Roman"/>
                <w:sz w:val="20"/>
                <w:szCs w:val="20"/>
              </w:rPr>
              <w:t>6,377,176,080</w:t>
            </w:r>
          </w:p>
        </w:tc>
        <w:tc>
          <w:tcPr>
            <w:tcW w:w="2420" w:type="dxa"/>
            <w:tcBorders>
              <w:top w:val="nil"/>
              <w:left w:val="nil"/>
              <w:bottom w:val="single" w:sz="4" w:space="0" w:color="auto"/>
              <w:right w:val="single" w:sz="4" w:space="0" w:color="auto"/>
            </w:tcBorders>
            <w:shd w:val="clear" w:color="auto" w:fill="auto"/>
            <w:vAlign w:val="bottom"/>
            <w:hideMark/>
          </w:tcPr>
          <w:p w14:paraId="28F9F0B0" w14:textId="25ACB82F"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996,433,763</w:t>
            </w:r>
          </w:p>
        </w:tc>
      </w:tr>
      <w:tr w:rsidR="00F61742" w:rsidRPr="00F61742" w14:paraId="7DECCF1B" w14:textId="77777777" w:rsidTr="008E70B0">
        <w:trPr>
          <w:trHeight w:val="89"/>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C3CB541" w14:textId="77777777" w:rsidR="00F61742" w:rsidRPr="006C6C61" w:rsidRDefault="00F61742" w:rsidP="00F61742">
            <w:pPr>
              <w:spacing w:after="0" w:line="240" w:lineRule="auto"/>
              <w:jc w:val="center"/>
              <w:rPr>
                <w:rFonts w:ascii="Times New Roman" w:eastAsia="Times New Roman" w:hAnsi="Times New Roman"/>
                <w:sz w:val="20"/>
                <w:szCs w:val="20"/>
                <w:lang w:val="en-US" w:eastAsia="pt-BR"/>
              </w:rPr>
            </w:pPr>
            <w:r w:rsidRPr="006C6C61">
              <w:rPr>
                <w:rFonts w:ascii="Times New Roman" w:eastAsia="Times New Roman" w:hAnsi="Times New Roman"/>
                <w:sz w:val="20"/>
                <w:szCs w:val="20"/>
                <w:lang w:val="en-US" w:eastAsia="pt-BR"/>
              </w:rPr>
              <w:t>2006</w:t>
            </w:r>
          </w:p>
        </w:tc>
        <w:tc>
          <w:tcPr>
            <w:tcW w:w="2220" w:type="dxa"/>
            <w:tcBorders>
              <w:top w:val="nil"/>
              <w:left w:val="nil"/>
              <w:bottom w:val="single" w:sz="4" w:space="0" w:color="auto"/>
              <w:right w:val="single" w:sz="4" w:space="0" w:color="auto"/>
            </w:tcBorders>
            <w:shd w:val="clear" w:color="auto" w:fill="auto"/>
            <w:vAlign w:val="bottom"/>
            <w:hideMark/>
          </w:tcPr>
          <w:p w14:paraId="10023983" w14:textId="425AB559"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5,866,766,740</w:t>
            </w:r>
          </w:p>
        </w:tc>
        <w:tc>
          <w:tcPr>
            <w:tcW w:w="2420" w:type="dxa"/>
            <w:tcBorders>
              <w:top w:val="nil"/>
              <w:left w:val="nil"/>
              <w:bottom w:val="single" w:sz="4" w:space="0" w:color="auto"/>
              <w:right w:val="single" w:sz="4" w:space="0" w:color="auto"/>
            </w:tcBorders>
            <w:shd w:val="clear" w:color="auto" w:fill="auto"/>
            <w:vAlign w:val="bottom"/>
            <w:hideMark/>
          </w:tcPr>
          <w:p w14:paraId="40650139" w14:textId="2CEBF55E"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916,682,303</w:t>
            </w:r>
          </w:p>
        </w:tc>
      </w:tr>
      <w:tr w:rsidR="00F61742" w:rsidRPr="00F61742" w14:paraId="65FC612C" w14:textId="77777777" w:rsidTr="008E70B0">
        <w:trPr>
          <w:trHeight w:val="25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0D23221" w14:textId="77777777" w:rsidR="00F61742" w:rsidRPr="006C6C61" w:rsidRDefault="00F61742" w:rsidP="00F61742">
            <w:pPr>
              <w:spacing w:after="0" w:line="240" w:lineRule="auto"/>
              <w:jc w:val="center"/>
              <w:rPr>
                <w:rFonts w:ascii="Times New Roman" w:eastAsia="Times New Roman" w:hAnsi="Times New Roman"/>
                <w:sz w:val="20"/>
                <w:szCs w:val="20"/>
                <w:lang w:val="en-US" w:eastAsia="pt-BR"/>
              </w:rPr>
            </w:pPr>
            <w:r w:rsidRPr="006C6C61">
              <w:rPr>
                <w:rFonts w:ascii="Times New Roman" w:eastAsia="Times New Roman" w:hAnsi="Times New Roman"/>
                <w:sz w:val="20"/>
                <w:szCs w:val="20"/>
                <w:lang w:val="en-US" w:eastAsia="pt-BR"/>
              </w:rPr>
              <w:t>2007</w:t>
            </w:r>
          </w:p>
        </w:tc>
        <w:tc>
          <w:tcPr>
            <w:tcW w:w="2220" w:type="dxa"/>
            <w:tcBorders>
              <w:top w:val="nil"/>
              <w:left w:val="nil"/>
              <w:bottom w:val="single" w:sz="4" w:space="0" w:color="auto"/>
              <w:right w:val="single" w:sz="4" w:space="0" w:color="auto"/>
            </w:tcBorders>
            <w:shd w:val="clear" w:color="auto" w:fill="auto"/>
            <w:vAlign w:val="bottom"/>
            <w:hideMark/>
          </w:tcPr>
          <w:p w14:paraId="1AD9BE15" w14:textId="7330EF69"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6,158,947,180</w:t>
            </w:r>
          </w:p>
        </w:tc>
        <w:tc>
          <w:tcPr>
            <w:tcW w:w="2420" w:type="dxa"/>
            <w:tcBorders>
              <w:top w:val="nil"/>
              <w:left w:val="nil"/>
              <w:bottom w:val="single" w:sz="4" w:space="0" w:color="auto"/>
              <w:right w:val="single" w:sz="4" w:space="0" w:color="auto"/>
            </w:tcBorders>
            <w:shd w:val="clear" w:color="auto" w:fill="auto"/>
            <w:vAlign w:val="bottom"/>
            <w:hideMark/>
          </w:tcPr>
          <w:p w14:paraId="2E5DF7E9" w14:textId="375D8E4C"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962,335,497</w:t>
            </w:r>
          </w:p>
        </w:tc>
      </w:tr>
      <w:tr w:rsidR="00F61742" w:rsidRPr="00F61742" w14:paraId="17FBC53B" w14:textId="77777777" w:rsidTr="008E70B0">
        <w:trPr>
          <w:trHeight w:val="107"/>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E28CE09" w14:textId="77777777" w:rsidR="00F61742" w:rsidRPr="006C6C61" w:rsidRDefault="00F61742" w:rsidP="00F61742">
            <w:pPr>
              <w:spacing w:after="0" w:line="240" w:lineRule="auto"/>
              <w:jc w:val="center"/>
              <w:rPr>
                <w:rFonts w:ascii="Times New Roman" w:eastAsia="Times New Roman" w:hAnsi="Times New Roman"/>
                <w:sz w:val="20"/>
                <w:szCs w:val="20"/>
                <w:lang w:val="en-US" w:eastAsia="pt-BR"/>
              </w:rPr>
            </w:pPr>
            <w:r w:rsidRPr="006C6C61">
              <w:rPr>
                <w:rFonts w:ascii="Times New Roman" w:eastAsia="Times New Roman" w:hAnsi="Times New Roman"/>
                <w:sz w:val="20"/>
                <w:szCs w:val="20"/>
                <w:lang w:val="en-US" w:eastAsia="pt-BR"/>
              </w:rPr>
              <w:t>2008</w:t>
            </w:r>
          </w:p>
        </w:tc>
        <w:tc>
          <w:tcPr>
            <w:tcW w:w="2220" w:type="dxa"/>
            <w:tcBorders>
              <w:top w:val="nil"/>
              <w:left w:val="nil"/>
              <w:bottom w:val="single" w:sz="4" w:space="0" w:color="auto"/>
              <w:right w:val="single" w:sz="4" w:space="0" w:color="auto"/>
            </w:tcBorders>
            <w:shd w:val="clear" w:color="auto" w:fill="auto"/>
            <w:vAlign w:val="bottom"/>
            <w:hideMark/>
          </w:tcPr>
          <w:p w14:paraId="1E74E06D" w14:textId="1B28DCE4"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5,755,778,180</w:t>
            </w:r>
          </w:p>
        </w:tc>
        <w:tc>
          <w:tcPr>
            <w:tcW w:w="2420" w:type="dxa"/>
            <w:tcBorders>
              <w:top w:val="nil"/>
              <w:left w:val="nil"/>
              <w:bottom w:val="single" w:sz="4" w:space="0" w:color="auto"/>
              <w:right w:val="single" w:sz="4" w:space="0" w:color="auto"/>
            </w:tcBorders>
            <w:shd w:val="clear" w:color="auto" w:fill="auto"/>
            <w:vAlign w:val="bottom"/>
            <w:hideMark/>
          </w:tcPr>
          <w:p w14:paraId="04D26F12" w14:textId="09AEE428"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899,340,341</w:t>
            </w:r>
          </w:p>
        </w:tc>
      </w:tr>
      <w:tr w:rsidR="00F61742" w:rsidRPr="00F61742" w14:paraId="3730181C" w14:textId="77777777" w:rsidTr="008E70B0">
        <w:trPr>
          <w:trHeight w:val="116"/>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0CA2B0C" w14:textId="77777777" w:rsidR="00F61742" w:rsidRPr="006C6C61" w:rsidRDefault="00F61742" w:rsidP="00F61742">
            <w:pPr>
              <w:spacing w:after="0" w:line="240" w:lineRule="auto"/>
              <w:jc w:val="center"/>
              <w:rPr>
                <w:rFonts w:ascii="Times New Roman" w:eastAsia="Times New Roman" w:hAnsi="Times New Roman"/>
                <w:sz w:val="20"/>
                <w:szCs w:val="20"/>
                <w:lang w:val="en-US" w:eastAsia="pt-BR"/>
              </w:rPr>
            </w:pPr>
            <w:r w:rsidRPr="006C6C61">
              <w:rPr>
                <w:rFonts w:ascii="Times New Roman" w:eastAsia="Times New Roman" w:hAnsi="Times New Roman"/>
                <w:sz w:val="20"/>
                <w:szCs w:val="20"/>
                <w:lang w:val="en-US" w:eastAsia="pt-BR"/>
              </w:rPr>
              <w:t>2009</w:t>
            </w:r>
          </w:p>
        </w:tc>
        <w:tc>
          <w:tcPr>
            <w:tcW w:w="2220" w:type="dxa"/>
            <w:tcBorders>
              <w:top w:val="nil"/>
              <w:left w:val="nil"/>
              <w:bottom w:val="single" w:sz="4" w:space="0" w:color="auto"/>
              <w:right w:val="single" w:sz="4" w:space="0" w:color="auto"/>
            </w:tcBorders>
            <w:shd w:val="clear" w:color="auto" w:fill="auto"/>
            <w:vAlign w:val="bottom"/>
            <w:hideMark/>
          </w:tcPr>
          <w:p w14:paraId="56E23131" w14:textId="15739765"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6,453,756,520</w:t>
            </w:r>
          </w:p>
        </w:tc>
        <w:tc>
          <w:tcPr>
            <w:tcW w:w="2420" w:type="dxa"/>
            <w:tcBorders>
              <w:top w:val="nil"/>
              <w:left w:val="nil"/>
              <w:bottom w:val="single" w:sz="4" w:space="0" w:color="auto"/>
              <w:right w:val="single" w:sz="4" w:space="0" w:color="auto"/>
            </w:tcBorders>
            <w:shd w:val="clear" w:color="auto" w:fill="auto"/>
            <w:vAlign w:val="bottom"/>
            <w:hideMark/>
          </w:tcPr>
          <w:p w14:paraId="3E8609BB" w14:textId="0E83AE66"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1,008,399,456</w:t>
            </w:r>
          </w:p>
        </w:tc>
      </w:tr>
      <w:tr w:rsidR="00F61742" w:rsidRPr="00F61742" w14:paraId="38FFD0FD" w14:textId="77777777" w:rsidTr="008E70B0">
        <w:trPr>
          <w:trHeight w:val="134"/>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B19C775" w14:textId="77777777" w:rsidR="00F61742" w:rsidRPr="006C6C61" w:rsidRDefault="00F61742" w:rsidP="00F61742">
            <w:pPr>
              <w:spacing w:after="0" w:line="240" w:lineRule="auto"/>
              <w:jc w:val="center"/>
              <w:rPr>
                <w:rFonts w:ascii="Times New Roman" w:eastAsia="Times New Roman" w:hAnsi="Times New Roman"/>
                <w:sz w:val="20"/>
                <w:szCs w:val="20"/>
                <w:lang w:val="en-US" w:eastAsia="pt-BR"/>
              </w:rPr>
            </w:pPr>
            <w:r w:rsidRPr="006C6C61">
              <w:rPr>
                <w:rFonts w:ascii="Times New Roman" w:eastAsia="Times New Roman" w:hAnsi="Times New Roman"/>
                <w:sz w:val="20"/>
                <w:szCs w:val="20"/>
                <w:lang w:val="en-US" w:eastAsia="pt-BR"/>
              </w:rPr>
              <w:t>2010</w:t>
            </w:r>
          </w:p>
        </w:tc>
        <w:tc>
          <w:tcPr>
            <w:tcW w:w="2220" w:type="dxa"/>
            <w:tcBorders>
              <w:top w:val="nil"/>
              <w:left w:val="nil"/>
              <w:bottom w:val="single" w:sz="4" w:space="0" w:color="auto"/>
              <w:right w:val="single" w:sz="4" w:space="0" w:color="auto"/>
            </w:tcBorders>
            <w:shd w:val="clear" w:color="auto" w:fill="auto"/>
            <w:vAlign w:val="bottom"/>
            <w:hideMark/>
          </w:tcPr>
          <w:p w14:paraId="3705B2D0" w14:textId="6CC63513"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6,391,943,370</w:t>
            </w:r>
          </w:p>
        </w:tc>
        <w:tc>
          <w:tcPr>
            <w:tcW w:w="2420" w:type="dxa"/>
            <w:tcBorders>
              <w:top w:val="nil"/>
              <w:left w:val="nil"/>
              <w:bottom w:val="single" w:sz="4" w:space="0" w:color="auto"/>
              <w:right w:val="single" w:sz="4" w:space="0" w:color="auto"/>
            </w:tcBorders>
            <w:shd w:val="clear" w:color="auto" w:fill="auto"/>
            <w:vAlign w:val="bottom"/>
            <w:hideMark/>
          </w:tcPr>
          <w:p w14:paraId="70A9B132" w14:textId="0AEF18AF"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998,741,152</w:t>
            </w:r>
          </w:p>
        </w:tc>
      </w:tr>
      <w:tr w:rsidR="00F61742" w:rsidRPr="00F61742" w14:paraId="7673E184" w14:textId="77777777" w:rsidTr="008E70B0">
        <w:trPr>
          <w:trHeight w:val="53"/>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9013D45" w14:textId="77777777" w:rsidR="00F61742" w:rsidRPr="006C6C61" w:rsidRDefault="00F61742" w:rsidP="00F61742">
            <w:pPr>
              <w:spacing w:after="0" w:line="240" w:lineRule="auto"/>
              <w:jc w:val="center"/>
              <w:rPr>
                <w:rFonts w:ascii="Times New Roman" w:eastAsia="Times New Roman" w:hAnsi="Times New Roman"/>
                <w:sz w:val="20"/>
                <w:szCs w:val="20"/>
                <w:lang w:val="en-US" w:eastAsia="pt-BR"/>
              </w:rPr>
            </w:pPr>
            <w:r w:rsidRPr="006C6C61">
              <w:rPr>
                <w:rFonts w:ascii="Times New Roman" w:eastAsia="Times New Roman" w:hAnsi="Times New Roman"/>
                <w:sz w:val="20"/>
                <w:szCs w:val="20"/>
                <w:lang w:val="en-US" w:eastAsia="pt-BR"/>
              </w:rPr>
              <w:t>2011</w:t>
            </w:r>
          </w:p>
        </w:tc>
        <w:tc>
          <w:tcPr>
            <w:tcW w:w="2220" w:type="dxa"/>
            <w:tcBorders>
              <w:top w:val="nil"/>
              <w:left w:val="nil"/>
              <w:bottom w:val="single" w:sz="4" w:space="0" w:color="auto"/>
              <w:right w:val="single" w:sz="4" w:space="0" w:color="auto"/>
            </w:tcBorders>
            <w:shd w:val="clear" w:color="auto" w:fill="auto"/>
            <w:vAlign w:val="bottom"/>
            <w:hideMark/>
          </w:tcPr>
          <w:p w14:paraId="4F986538" w14:textId="1192B1F1"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6,050,006,230</w:t>
            </w:r>
          </w:p>
        </w:tc>
        <w:tc>
          <w:tcPr>
            <w:tcW w:w="2420" w:type="dxa"/>
            <w:tcBorders>
              <w:top w:val="nil"/>
              <w:left w:val="nil"/>
              <w:bottom w:val="single" w:sz="4" w:space="0" w:color="auto"/>
              <w:right w:val="single" w:sz="4" w:space="0" w:color="auto"/>
            </w:tcBorders>
            <w:shd w:val="clear" w:color="auto" w:fill="auto"/>
            <w:vAlign w:val="bottom"/>
            <w:hideMark/>
          </w:tcPr>
          <w:p w14:paraId="246FF76D" w14:textId="43C11F27"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945,313,473</w:t>
            </w:r>
          </w:p>
        </w:tc>
      </w:tr>
      <w:tr w:rsidR="00F61742" w:rsidRPr="00F61742" w14:paraId="57CC111D" w14:textId="77777777" w:rsidTr="008E70B0">
        <w:trPr>
          <w:trHeight w:val="152"/>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69F8BC0" w14:textId="77777777" w:rsidR="00F61742" w:rsidRPr="006C6C61" w:rsidRDefault="00F61742" w:rsidP="00F61742">
            <w:pPr>
              <w:spacing w:after="0" w:line="240" w:lineRule="auto"/>
              <w:jc w:val="center"/>
              <w:rPr>
                <w:rFonts w:ascii="Times New Roman" w:eastAsia="Times New Roman" w:hAnsi="Times New Roman"/>
                <w:sz w:val="20"/>
                <w:szCs w:val="20"/>
                <w:lang w:val="en-US" w:eastAsia="pt-BR"/>
              </w:rPr>
            </w:pPr>
            <w:r w:rsidRPr="006C6C61">
              <w:rPr>
                <w:rFonts w:ascii="Times New Roman" w:eastAsia="Times New Roman" w:hAnsi="Times New Roman"/>
                <w:sz w:val="20"/>
                <w:szCs w:val="20"/>
                <w:lang w:val="en-US" w:eastAsia="pt-BR"/>
              </w:rPr>
              <w:t>2012</w:t>
            </w:r>
          </w:p>
        </w:tc>
        <w:tc>
          <w:tcPr>
            <w:tcW w:w="2220" w:type="dxa"/>
            <w:tcBorders>
              <w:top w:val="nil"/>
              <w:left w:val="nil"/>
              <w:bottom w:val="single" w:sz="4" w:space="0" w:color="auto"/>
              <w:right w:val="single" w:sz="4" w:space="0" w:color="auto"/>
            </w:tcBorders>
            <w:shd w:val="clear" w:color="auto" w:fill="auto"/>
            <w:vAlign w:val="bottom"/>
            <w:hideMark/>
          </w:tcPr>
          <w:p w14:paraId="41C115E6" w14:textId="62D4E246"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6,371,155,240</w:t>
            </w:r>
          </w:p>
        </w:tc>
        <w:tc>
          <w:tcPr>
            <w:tcW w:w="2420" w:type="dxa"/>
            <w:tcBorders>
              <w:top w:val="nil"/>
              <w:left w:val="nil"/>
              <w:bottom w:val="single" w:sz="4" w:space="0" w:color="auto"/>
              <w:right w:val="single" w:sz="4" w:space="0" w:color="auto"/>
            </w:tcBorders>
            <w:shd w:val="clear" w:color="auto" w:fill="auto"/>
            <w:vAlign w:val="bottom"/>
            <w:hideMark/>
          </w:tcPr>
          <w:p w14:paraId="2771E788" w14:textId="1BF97FBB"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995,493,006</w:t>
            </w:r>
          </w:p>
        </w:tc>
      </w:tr>
      <w:tr w:rsidR="00F61742" w:rsidRPr="00F61742" w14:paraId="7395A312" w14:textId="77777777" w:rsidTr="008E70B0">
        <w:trPr>
          <w:trHeight w:val="161"/>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AB97507" w14:textId="77777777" w:rsidR="00F61742" w:rsidRPr="006C6C61" w:rsidRDefault="00F61742" w:rsidP="00F61742">
            <w:pPr>
              <w:spacing w:after="0" w:line="240" w:lineRule="auto"/>
              <w:jc w:val="center"/>
              <w:rPr>
                <w:rFonts w:ascii="Times New Roman" w:eastAsia="Times New Roman" w:hAnsi="Times New Roman"/>
                <w:sz w:val="20"/>
                <w:szCs w:val="20"/>
                <w:lang w:val="en-US" w:eastAsia="pt-BR"/>
              </w:rPr>
            </w:pPr>
            <w:r w:rsidRPr="006C6C61">
              <w:rPr>
                <w:rFonts w:ascii="Times New Roman" w:eastAsia="Times New Roman" w:hAnsi="Times New Roman"/>
                <w:sz w:val="20"/>
                <w:szCs w:val="20"/>
                <w:lang w:val="en-US" w:eastAsia="pt-BR"/>
              </w:rPr>
              <w:t>2013</w:t>
            </w:r>
          </w:p>
        </w:tc>
        <w:tc>
          <w:tcPr>
            <w:tcW w:w="2220" w:type="dxa"/>
            <w:tcBorders>
              <w:top w:val="nil"/>
              <w:left w:val="nil"/>
              <w:bottom w:val="single" w:sz="4" w:space="0" w:color="auto"/>
              <w:right w:val="single" w:sz="4" w:space="0" w:color="auto"/>
            </w:tcBorders>
            <w:shd w:val="clear" w:color="auto" w:fill="auto"/>
            <w:vAlign w:val="bottom"/>
            <w:hideMark/>
          </w:tcPr>
          <w:p w14:paraId="47CB722C" w14:textId="4DA5FCC7"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6,047,888,940</w:t>
            </w:r>
          </w:p>
        </w:tc>
        <w:tc>
          <w:tcPr>
            <w:tcW w:w="2420" w:type="dxa"/>
            <w:tcBorders>
              <w:top w:val="nil"/>
              <w:left w:val="nil"/>
              <w:bottom w:val="single" w:sz="4" w:space="0" w:color="auto"/>
              <w:right w:val="single" w:sz="4" w:space="0" w:color="auto"/>
            </w:tcBorders>
            <w:shd w:val="clear" w:color="auto" w:fill="auto"/>
            <w:vAlign w:val="bottom"/>
            <w:hideMark/>
          </w:tcPr>
          <w:p w14:paraId="62E7D9A6" w14:textId="73DF41F2"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944,982,647</w:t>
            </w:r>
          </w:p>
        </w:tc>
      </w:tr>
      <w:tr w:rsidR="00F61742" w:rsidRPr="00F61742" w14:paraId="7C45D70E" w14:textId="77777777" w:rsidTr="008E70B0">
        <w:trPr>
          <w:trHeight w:val="107"/>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E9DEDB6" w14:textId="77777777" w:rsidR="00F61742" w:rsidRPr="006C6C61" w:rsidRDefault="00F61742" w:rsidP="00F61742">
            <w:pPr>
              <w:spacing w:after="0" w:line="240" w:lineRule="auto"/>
              <w:jc w:val="center"/>
              <w:rPr>
                <w:rFonts w:ascii="Times New Roman" w:eastAsia="Times New Roman" w:hAnsi="Times New Roman"/>
                <w:sz w:val="20"/>
                <w:szCs w:val="20"/>
                <w:lang w:val="en-US" w:eastAsia="pt-BR"/>
              </w:rPr>
            </w:pPr>
            <w:r w:rsidRPr="006C6C61">
              <w:rPr>
                <w:rFonts w:ascii="Times New Roman" w:eastAsia="Times New Roman" w:hAnsi="Times New Roman"/>
                <w:sz w:val="20"/>
                <w:szCs w:val="20"/>
                <w:lang w:val="en-US" w:eastAsia="pt-BR"/>
              </w:rPr>
              <w:t>2014</w:t>
            </w:r>
          </w:p>
        </w:tc>
        <w:tc>
          <w:tcPr>
            <w:tcW w:w="2220" w:type="dxa"/>
            <w:tcBorders>
              <w:top w:val="nil"/>
              <w:left w:val="nil"/>
              <w:bottom w:val="single" w:sz="4" w:space="0" w:color="auto"/>
              <w:right w:val="single" w:sz="4" w:space="0" w:color="auto"/>
            </w:tcBorders>
            <w:shd w:val="clear" w:color="auto" w:fill="auto"/>
            <w:vAlign w:val="bottom"/>
            <w:hideMark/>
          </w:tcPr>
          <w:p w14:paraId="1BB548D8" w14:textId="56F1D115"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6,206,222,910</w:t>
            </w:r>
          </w:p>
        </w:tc>
        <w:tc>
          <w:tcPr>
            <w:tcW w:w="2420" w:type="dxa"/>
            <w:tcBorders>
              <w:top w:val="nil"/>
              <w:left w:val="nil"/>
              <w:bottom w:val="single" w:sz="4" w:space="0" w:color="auto"/>
              <w:right w:val="single" w:sz="4" w:space="0" w:color="auto"/>
            </w:tcBorders>
            <w:shd w:val="clear" w:color="auto" w:fill="auto"/>
            <w:vAlign w:val="bottom"/>
            <w:hideMark/>
          </w:tcPr>
          <w:p w14:paraId="14B84543" w14:textId="15EEE953" w:rsidR="00F61742" w:rsidRPr="006C6C61" w:rsidRDefault="00F61742" w:rsidP="00F61742">
            <w:pPr>
              <w:spacing w:after="0" w:line="240" w:lineRule="auto"/>
              <w:jc w:val="right"/>
              <w:rPr>
                <w:rFonts w:ascii="Times New Roman" w:eastAsia="Times New Roman" w:hAnsi="Times New Roman"/>
                <w:sz w:val="20"/>
                <w:szCs w:val="20"/>
                <w:lang w:val="en-US" w:eastAsia="pt-BR"/>
              </w:rPr>
            </w:pPr>
            <w:r w:rsidRPr="008E70B0">
              <w:rPr>
                <w:rFonts w:ascii="Times New Roman" w:hAnsi="Times New Roman"/>
                <w:sz w:val="20"/>
                <w:szCs w:val="20"/>
              </w:rPr>
              <w:t>969,722,330</w:t>
            </w:r>
          </w:p>
        </w:tc>
      </w:tr>
      <w:tr w:rsidR="00F61742" w:rsidRPr="00F61742" w14:paraId="5F44C8EA" w14:textId="77777777" w:rsidTr="008E70B0">
        <w:trPr>
          <w:trHeight w:val="260"/>
        </w:trPr>
        <w:tc>
          <w:tcPr>
            <w:tcW w:w="851" w:type="dxa"/>
            <w:tcBorders>
              <w:top w:val="nil"/>
              <w:left w:val="single" w:sz="4" w:space="0" w:color="auto"/>
              <w:bottom w:val="single" w:sz="4" w:space="0" w:color="auto"/>
              <w:right w:val="single" w:sz="4" w:space="0" w:color="auto"/>
            </w:tcBorders>
            <w:shd w:val="clear" w:color="000000" w:fill="D9D9D9"/>
            <w:noWrap/>
            <w:vAlign w:val="bottom"/>
            <w:hideMark/>
          </w:tcPr>
          <w:p w14:paraId="1E582B60" w14:textId="77777777" w:rsidR="00F61742" w:rsidRPr="006C6C61" w:rsidRDefault="00F61742" w:rsidP="00F61742">
            <w:pPr>
              <w:spacing w:after="0" w:line="240" w:lineRule="auto"/>
              <w:jc w:val="center"/>
              <w:rPr>
                <w:rFonts w:ascii="Times New Roman" w:eastAsia="Times New Roman" w:hAnsi="Times New Roman"/>
                <w:b/>
                <w:bCs/>
                <w:sz w:val="20"/>
                <w:szCs w:val="20"/>
                <w:lang w:val="en-US" w:eastAsia="pt-BR"/>
              </w:rPr>
            </w:pPr>
            <w:r w:rsidRPr="006C6C61">
              <w:rPr>
                <w:rFonts w:ascii="Times New Roman" w:eastAsia="Times New Roman" w:hAnsi="Times New Roman"/>
                <w:b/>
                <w:bCs/>
                <w:sz w:val="20"/>
                <w:szCs w:val="20"/>
                <w:lang w:val="en-US" w:eastAsia="pt-BR"/>
              </w:rPr>
              <w:t>Average</w:t>
            </w:r>
          </w:p>
        </w:tc>
        <w:tc>
          <w:tcPr>
            <w:tcW w:w="2220" w:type="dxa"/>
            <w:tcBorders>
              <w:top w:val="nil"/>
              <w:left w:val="nil"/>
              <w:bottom w:val="single" w:sz="4" w:space="0" w:color="auto"/>
              <w:right w:val="single" w:sz="4" w:space="0" w:color="auto"/>
            </w:tcBorders>
            <w:shd w:val="clear" w:color="000000" w:fill="D9D9D9"/>
            <w:noWrap/>
            <w:vAlign w:val="bottom"/>
            <w:hideMark/>
          </w:tcPr>
          <w:p w14:paraId="3784BBF2" w14:textId="0979CEB3" w:rsidR="00F61742" w:rsidRPr="006C6C61" w:rsidRDefault="00F61742" w:rsidP="00F61742">
            <w:pPr>
              <w:spacing w:after="0" w:line="240" w:lineRule="auto"/>
              <w:jc w:val="right"/>
              <w:rPr>
                <w:rFonts w:ascii="Times New Roman" w:eastAsia="Times New Roman" w:hAnsi="Times New Roman"/>
                <w:b/>
                <w:bCs/>
                <w:sz w:val="20"/>
                <w:szCs w:val="20"/>
                <w:lang w:val="en-US" w:eastAsia="pt-BR"/>
              </w:rPr>
            </w:pPr>
            <w:r w:rsidRPr="008E70B0">
              <w:rPr>
                <w:rFonts w:ascii="Times New Roman" w:hAnsi="Times New Roman"/>
                <w:b/>
                <w:bCs/>
                <w:sz w:val="20"/>
                <w:szCs w:val="20"/>
              </w:rPr>
              <w:t>6,241,027,424</w:t>
            </w:r>
          </w:p>
        </w:tc>
        <w:tc>
          <w:tcPr>
            <w:tcW w:w="2420" w:type="dxa"/>
            <w:tcBorders>
              <w:top w:val="nil"/>
              <w:left w:val="nil"/>
              <w:bottom w:val="single" w:sz="4" w:space="0" w:color="auto"/>
              <w:right w:val="single" w:sz="4" w:space="0" w:color="auto"/>
            </w:tcBorders>
            <w:shd w:val="clear" w:color="000000" w:fill="D9D9D9"/>
            <w:vAlign w:val="bottom"/>
            <w:hideMark/>
          </w:tcPr>
          <w:p w14:paraId="7A2B03FC" w14:textId="20FB6FB0" w:rsidR="00F61742" w:rsidRPr="006C6C61" w:rsidRDefault="00F61742" w:rsidP="00F61742">
            <w:pPr>
              <w:spacing w:after="0" w:line="240" w:lineRule="auto"/>
              <w:jc w:val="right"/>
              <w:rPr>
                <w:rFonts w:ascii="Times New Roman" w:eastAsia="Times New Roman" w:hAnsi="Times New Roman"/>
                <w:b/>
                <w:bCs/>
                <w:sz w:val="20"/>
                <w:szCs w:val="20"/>
                <w:lang w:val="en-US" w:eastAsia="pt-BR"/>
              </w:rPr>
            </w:pPr>
            <w:r w:rsidRPr="008E70B0">
              <w:rPr>
                <w:rFonts w:ascii="Times New Roman" w:hAnsi="Times New Roman"/>
                <w:b/>
                <w:bCs/>
                <w:sz w:val="20"/>
                <w:szCs w:val="20"/>
              </w:rPr>
              <w:t>975,160,535</w:t>
            </w:r>
          </w:p>
        </w:tc>
      </w:tr>
    </w:tbl>
    <w:p w14:paraId="6CDCA846" w14:textId="77777777" w:rsidR="004778D5" w:rsidRPr="00F47ED3" w:rsidRDefault="004778D5" w:rsidP="004778D5">
      <w:pPr>
        <w:pStyle w:val="Paragraph"/>
        <w:numPr>
          <w:ilvl w:val="0"/>
          <w:numId w:val="0"/>
        </w:numPr>
        <w:ind w:left="567"/>
        <w:rPr>
          <w:kern w:val="28"/>
          <w:lang w:val="en-US"/>
        </w:rPr>
      </w:pPr>
    </w:p>
    <w:p w14:paraId="0D5F6A83" w14:textId="77777777" w:rsidR="0020764B" w:rsidRPr="00CC72F4" w:rsidRDefault="002E3F23" w:rsidP="00CC72F4">
      <w:pPr>
        <w:pStyle w:val="Paragraph"/>
        <w:numPr>
          <w:ilvl w:val="1"/>
          <w:numId w:val="1"/>
        </w:numPr>
        <w:rPr>
          <w:b/>
          <w:kern w:val="28"/>
          <w:lang w:val="en-US"/>
        </w:rPr>
      </w:pPr>
      <w:r w:rsidRPr="00176C10">
        <w:rPr>
          <w:b/>
          <w:kern w:val="28"/>
          <w:lang w:val="en-US"/>
        </w:rPr>
        <w:t xml:space="preserve">The </w:t>
      </w:r>
      <w:r w:rsidR="0020764B" w:rsidRPr="00CC72F4">
        <w:rPr>
          <w:b/>
          <w:kern w:val="28"/>
          <w:lang w:val="en-US"/>
        </w:rPr>
        <w:t>Solution:</w:t>
      </w:r>
      <w:r w:rsidR="0020764B" w:rsidRPr="00CC72F4">
        <w:rPr>
          <w:lang w:val="en-US"/>
        </w:rPr>
        <w:t xml:space="preserve"> </w:t>
      </w:r>
      <w:r w:rsidR="0020764B" w:rsidRPr="00CC72F4">
        <w:rPr>
          <w:kern w:val="28"/>
          <w:lang w:val="en-US"/>
        </w:rPr>
        <w:t xml:space="preserve">The </w:t>
      </w:r>
      <w:r w:rsidR="0099639C" w:rsidRPr="00CC72F4">
        <w:rPr>
          <w:kern w:val="28"/>
          <w:lang w:val="en-US"/>
        </w:rPr>
        <w:t xml:space="preserve">impact of the </w:t>
      </w:r>
      <w:r w:rsidR="0020764B" w:rsidRPr="00CC72F4">
        <w:rPr>
          <w:kern w:val="28"/>
          <w:lang w:val="en-US"/>
        </w:rPr>
        <w:t xml:space="preserve">introduction of an IFMIS on the </w:t>
      </w:r>
      <w:r w:rsidR="0072023A">
        <w:rPr>
          <w:kern w:val="28"/>
          <w:lang w:val="en-US"/>
        </w:rPr>
        <w:t xml:space="preserve">Treasury </w:t>
      </w:r>
      <w:r w:rsidR="0099639C" w:rsidRPr="00CC72F4">
        <w:rPr>
          <w:kern w:val="28"/>
          <w:lang w:val="en-US"/>
        </w:rPr>
        <w:t>S</w:t>
      </w:r>
      <w:r w:rsidR="0020764B" w:rsidRPr="00CC72F4">
        <w:rPr>
          <w:kern w:val="28"/>
          <w:lang w:val="en-US"/>
        </w:rPr>
        <w:t xml:space="preserve">uspense </w:t>
      </w:r>
      <w:r w:rsidR="0099639C" w:rsidRPr="00CC72F4">
        <w:rPr>
          <w:kern w:val="28"/>
          <w:lang w:val="en-US"/>
        </w:rPr>
        <w:t>A</w:t>
      </w:r>
      <w:r w:rsidR="0020764B" w:rsidRPr="00CC72F4">
        <w:rPr>
          <w:kern w:val="28"/>
          <w:lang w:val="en-US"/>
        </w:rPr>
        <w:t>ccount, would be the following:</w:t>
      </w:r>
    </w:p>
    <w:p w14:paraId="2085E168" w14:textId="77777777" w:rsidR="0020764B" w:rsidRPr="00F47ED3" w:rsidRDefault="0099639C" w:rsidP="001C655C">
      <w:pPr>
        <w:pStyle w:val="ListParagraph"/>
        <w:numPr>
          <w:ilvl w:val="0"/>
          <w:numId w:val="6"/>
        </w:numPr>
        <w:spacing w:before="120" w:after="120" w:line="240" w:lineRule="auto"/>
        <w:jc w:val="both"/>
        <w:rPr>
          <w:rFonts w:ascii="Times New Roman" w:hAnsi="Times New Roman"/>
          <w:sz w:val="24"/>
          <w:szCs w:val="24"/>
          <w:lang w:val="en-US"/>
        </w:rPr>
      </w:pPr>
      <w:r w:rsidRPr="00F47ED3">
        <w:rPr>
          <w:rFonts w:ascii="Times New Roman" w:hAnsi="Times New Roman"/>
          <w:sz w:val="24"/>
          <w:szCs w:val="24"/>
          <w:lang w:val="en-US"/>
        </w:rPr>
        <w:t>Revenue d</w:t>
      </w:r>
      <w:r w:rsidR="0020764B" w:rsidRPr="00F47ED3">
        <w:rPr>
          <w:rFonts w:ascii="Times New Roman" w:hAnsi="Times New Roman"/>
          <w:sz w:val="24"/>
          <w:szCs w:val="24"/>
          <w:lang w:val="en-US"/>
        </w:rPr>
        <w:t xml:space="preserve">ata </w:t>
      </w:r>
      <w:r w:rsidRPr="00F47ED3">
        <w:rPr>
          <w:rFonts w:ascii="Times New Roman" w:hAnsi="Times New Roman"/>
          <w:sz w:val="24"/>
          <w:szCs w:val="24"/>
          <w:lang w:val="en-US"/>
        </w:rPr>
        <w:t xml:space="preserve">(source and receiver) </w:t>
      </w:r>
      <w:r w:rsidR="0020764B" w:rsidRPr="00F47ED3">
        <w:rPr>
          <w:rFonts w:ascii="Times New Roman" w:hAnsi="Times New Roman"/>
          <w:sz w:val="24"/>
          <w:szCs w:val="24"/>
          <w:lang w:val="en-US"/>
        </w:rPr>
        <w:t xml:space="preserve">will be coded at </w:t>
      </w:r>
      <w:r w:rsidRPr="00F47ED3">
        <w:rPr>
          <w:rFonts w:ascii="Times New Roman" w:hAnsi="Times New Roman"/>
          <w:sz w:val="24"/>
          <w:szCs w:val="24"/>
          <w:lang w:val="en-US"/>
        </w:rPr>
        <w:t>the point of payment using</w:t>
      </w:r>
      <w:r w:rsidR="00AF2E2E" w:rsidRPr="00F47ED3">
        <w:rPr>
          <w:rFonts w:ascii="Times New Roman" w:hAnsi="Times New Roman"/>
          <w:sz w:val="24"/>
          <w:szCs w:val="24"/>
          <w:lang w:val="en-US"/>
        </w:rPr>
        <w:t xml:space="preserve"> the IFMIS cashiering module. This will result in either the elimination of the balances in the </w:t>
      </w:r>
      <w:r w:rsidR="0072023A">
        <w:rPr>
          <w:rFonts w:ascii="Times New Roman" w:hAnsi="Times New Roman"/>
          <w:sz w:val="24"/>
          <w:szCs w:val="24"/>
          <w:lang w:val="en-US"/>
        </w:rPr>
        <w:t xml:space="preserve">Treasury </w:t>
      </w:r>
      <w:r w:rsidR="00AF2E2E" w:rsidRPr="00F47ED3">
        <w:rPr>
          <w:rFonts w:ascii="Times New Roman" w:hAnsi="Times New Roman"/>
          <w:sz w:val="24"/>
          <w:szCs w:val="24"/>
          <w:lang w:val="en-US"/>
        </w:rPr>
        <w:t>Suspense Account</w:t>
      </w:r>
      <w:r w:rsidRPr="00F47ED3">
        <w:rPr>
          <w:rFonts w:ascii="Times New Roman" w:hAnsi="Times New Roman"/>
          <w:sz w:val="24"/>
          <w:szCs w:val="24"/>
          <w:lang w:val="en-US"/>
        </w:rPr>
        <w:t>;</w:t>
      </w:r>
      <w:r w:rsidR="0020764B" w:rsidRPr="00F47ED3">
        <w:rPr>
          <w:rFonts w:ascii="Times New Roman" w:hAnsi="Times New Roman"/>
          <w:sz w:val="24"/>
          <w:szCs w:val="24"/>
          <w:lang w:val="en-US"/>
        </w:rPr>
        <w:t xml:space="preserve"> Real</w:t>
      </w:r>
      <w:r w:rsidRPr="00F47ED3">
        <w:rPr>
          <w:rFonts w:ascii="Times New Roman" w:hAnsi="Times New Roman"/>
          <w:sz w:val="24"/>
          <w:szCs w:val="24"/>
          <w:lang w:val="en-US"/>
        </w:rPr>
        <w:t>-</w:t>
      </w:r>
      <w:r w:rsidR="0020764B" w:rsidRPr="00F47ED3">
        <w:rPr>
          <w:rFonts w:ascii="Times New Roman" w:hAnsi="Times New Roman"/>
          <w:sz w:val="24"/>
          <w:szCs w:val="24"/>
          <w:lang w:val="en-US"/>
        </w:rPr>
        <w:t>time bank reconciliation data will exist to facilitate better cash management</w:t>
      </w:r>
      <w:r w:rsidR="00B9052F" w:rsidRPr="00F47ED3">
        <w:rPr>
          <w:rFonts w:ascii="Times New Roman" w:hAnsi="Times New Roman"/>
          <w:sz w:val="24"/>
          <w:szCs w:val="24"/>
          <w:lang w:val="en-US"/>
        </w:rPr>
        <w:t>.</w:t>
      </w:r>
      <w:r w:rsidR="00741BB8" w:rsidRPr="00F47ED3">
        <w:rPr>
          <w:rFonts w:ascii="Times New Roman" w:hAnsi="Times New Roman"/>
          <w:sz w:val="24"/>
          <w:szCs w:val="24"/>
          <w:lang w:val="en-US"/>
        </w:rPr>
        <w:t xml:space="preserve"> </w:t>
      </w:r>
    </w:p>
    <w:p w14:paraId="4B252700" w14:textId="77777777" w:rsidR="0020764B" w:rsidRPr="00F47ED3" w:rsidRDefault="00B9052F" w:rsidP="001C655C">
      <w:pPr>
        <w:pStyle w:val="ListParagraph"/>
        <w:numPr>
          <w:ilvl w:val="0"/>
          <w:numId w:val="6"/>
        </w:numPr>
        <w:spacing w:before="120" w:after="120" w:line="240" w:lineRule="auto"/>
        <w:jc w:val="both"/>
        <w:rPr>
          <w:rFonts w:ascii="Times New Roman" w:hAnsi="Times New Roman"/>
          <w:sz w:val="24"/>
          <w:szCs w:val="24"/>
          <w:lang w:val="en-US"/>
        </w:rPr>
      </w:pPr>
      <w:r w:rsidRPr="00F47ED3">
        <w:rPr>
          <w:rFonts w:ascii="Times New Roman" w:hAnsi="Times New Roman"/>
          <w:sz w:val="24"/>
          <w:szCs w:val="24"/>
          <w:lang w:val="en-US"/>
        </w:rPr>
        <w:t xml:space="preserve">The availability of the funds promptly released will generate important financial returns to the </w:t>
      </w:r>
      <w:proofErr w:type="spellStart"/>
      <w:r w:rsidRPr="00F47ED3">
        <w:rPr>
          <w:rFonts w:ascii="Times New Roman" w:hAnsi="Times New Roman"/>
          <w:sz w:val="24"/>
          <w:szCs w:val="24"/>
          <w:lang w:val="en-US"/>
        </w:rPr>
        <w:t>GoTT</w:t>
      </w:r>
      <w:proofErr w:type="spellEnd"/>
      <w:r w:rsidR="00616044" w:rsidRPr="00F47ED3">
        <w:rPr>
          <w:rFonts w:ascii="Times New Roman" w:hAnsi="Times New Roman"/>
          <w:sz w:val="24"/>
          <w:szCs w:val="24"/>
          <w:lang w:val="en-US"/>
        </w:rPr>
        <w:t>.</w:t>
      </w:r>
    </w:p>
    <w:p w14:paraId="6B560B21" w14:textId="77777777" w:rsidR="0081773B" w:rsidRPr="00F47ED3" w:rsidRDefault="0081773B" w:rsidP="001C655C">
      <w:pPr>
        <w:pStyle w:val="ListParagraph"/>
        <w:numPr>
          <w:ilvl w:val="0"/>
          <w:numId w:val="6"/>
        </w:numPr>
        <w:spacing w:before="120" w:after="120" w:line="240" w:lineRule="auto"/>
        <w:jc w:val="both"/>
        <w:rPr>
          <w:rFonts w:ascii="Times New Roman" w:hAnsi="Times New Roman"/>
          <w:sz w:val="24"/>
          <w:szCs w:val="24"/>
          <w:lang w:val="en-US"/>
        </w:rPr>
      </w:pPr>
      <w:r w:rsidRPr="00F47ED3">
        <w:rPr>
          <w:rFonts w:ascii="Times New Roman" w:hAnsi="Times New Roman"/>
          <w:sz w:val="24"/>
          <w:szCs w:val="24"/>
          <w:lang w:val="en-US"/>
        </w:rPr>
        <w:t>Fiscal deficit could be mitigated.</w:t>
      </w:r>
    </w:p>
    <w:p w14:paraId="5EF5F2EA" w14:textId="77777777" w:rsidR="0081773B" w:rsidRPr="00F47ED3" w:rsidRDefault="0081773B" w:rsidP="0081773B">
      <w:pPr>
        <w:pStyle w:val="ListParagraph"/>
        <w:ind w:left="360"/>
        <w:rPr>
          <w:lang w:val="en-US"/>
        </w:rPr>
      </w:pPr>
      <w:r w:rsidRPr="00F47ED3">
        <w:rPr>
          <w:szCs w:val="24"/>
          <w:lang w:val="en-US"/>
        </w:rPr>
        <w:t xml:space="preserve"> </w:t>
      </w:r>
    </w:p>
    <w:p w14:paraId="1C74D3A7" w14:textId="3609AEA7" w:rsidR="00FD576B" w:rsidRPr="00F47ED3" w:rsidRDefault="0081773B" w:rsidP="00955B15">
      <w:pPr>
        <w:pStyle w:val="ListParagraph"/>
        <w:spacing w:before="120" w:after="120" w:line="240" w:lineRule="auto"/>
        <w:ind w:left="567"/>
        <w:contextualSpacing w:val="0"/>
        <w:jc w:val="both"/>
        <w:rPr>
          <w:rFonts w:ascii="Times New Roman" w:hAnsi="Times New Roman"/>
          <w:b/>
          <w:sz w:val="24"/>
          <w:szCs w:val="24"/>
          <w:lang w:val="en-US"/>
        </w:rPr>
      </w:pPr>
      <w:r w:rsidRPr="00F47ED3">
        <w:rPr>
          <w:rFonts w:ascii="Times New Roman" w:hAnsi="Times New Roman"/>
          <w:b/>
          <w:sz w:val="24"/>
          <w:szCs w:val="24"/>
          <w:lang w:val="en-US"/>
        </w:rPr>
        <w:t xml:space="preserve">Methodology for the calculation of the opportunity cost of the </w:t>
      </w:r>
      <w:r w:rsidR="00580CDB" w:rsidRPr="00F47ED3">
        <w:rPr>
          <w:rFonts w:ascii="Times New Roman" w:hAnsi="Times New Roman"/>
          <w:b/>
          <w:sz w:val="24"/>
          <w:szCs w:val="24"/>
          <w:lang w:val="en-US"/>
        </w:rPr>
        <w:t xml:space="preserve">funds promptly released from </w:t>
      </w:r>
      <w:r w:rsidR="0072023A">
        <w:rPr>
          <w:rFonts w:ascii="Times New Roman" w:hAnsi="Times New Roman"/>
          <w:b/>
          <w:sz w:val="24"/>
          <w:szCs w:val="24"/>
          <w:lang w:val="en-US"/>
        </w:rPr>
        <w:t xml:space="preserve">Treasury </w:t>
      </w:r>
      <w:r w:rsidR="00D41EE6">
        <w:rPr>
          <w:rFonts w:ascii="Times New Roman" w:hAnsi="Times New Roman"/>
          <w:b/>
          <w:sz w:val="24"/>
          <w:szCs w:val="24"/>
          <w:lang w:val="en-US"/>
        </w:rPr>
        <w:t>S</w:t>
      </w:r>
      <w:r w:rsidRPr="00F47ED3">
        <w:rPr>
          <w:rFonts w:ascii="Times New Roman" w:hAnsi="Times New Roman"/>
          <w:b/>
          <w:sz w:val="24"/>
          <w:szCs w:val="24"/>
          <w:lang w:val="en-US"/>
        </w:rPr>
        <w:t xml:space="preserve">uspense </w:t>
      </w:r>
      <w:r w:rsidR="00D41EE6">
        <w:rPr>
          <w:rFonts w:ascii="Times New Roman" w:hAnsi="Times New Roman"/>
          <w:b/>
          <w:sz w:val="24"/>
          <w:szCs w:val="24"/>
          <w:lang w:val="en-US"/>
        </w:rPr>
        <w:t>A</w:t>
      </w:r>
      <w:r w:rsidRPr="00F47ED3">
        <w:rPr>
          <w:rFonts w:ascii="Times New Roman" w:hAnsi="Times New Roman"/>
          <w:b/>
          <w:sz w:val="24"/>
          <w:szCs w:val="24"/>
          <w:lang w:val="en-US"/>
        </w:rPr>
        <w:t>ccount</w:t>
      </w:r>
    </w:p>
    <w:p w14:paraId="48E85C93" w14:textId="77777777" w:rsidR="005B7C40" w:rsidRPr="00F47ED3" w:rsidRDefault="00955B15" w:rsidP="008F76AF">
      <w:pPr>
        <w:pStyle w:val="Paragraph"/>
        <w:numPr>
          <w:ilvl w:val="1"/>
          <w:numId w:val="1"/>
        </w:numPr>
        <w:rPr>
          <w:szCs w:val="24"/>
          <w:lang w:val="en-US"/>
        </w:rPr>
      </w:pPr>
      <w:r w:rsidRPr="00F47ED3">
        <w:rPr>
          <w:szCs w:val="24"/>
          <w:lang w:val="en-US"/>
        </w:rPr>
        <w:t xml:space="preserve">The methodology for the </w:t>
      </w:r>
      <w:r w:rsidR="004E597C" w:rsidRPr="00F47ED3">
        <w:rPr>
          <w:szCs w:val="24"/>
          <w:lang w:val="en-US"/>
        </w:rPr>
        <w:t>estimation</w:t>
      </w:r>
      <w:r w:rsidRPr="00F47ED3">
        <w:rPr>
          <w:szCs w:val="24"/>
          <w:lang w:val="en-US"/>
        </w:rPr>
        <w:t xml:space="preserve"> of the financial benefits</w:t>
      </w:r>
      <w:r w:rsidR="00EB562F" w:rsidRPr="00F47ED3">
        <w:rPr>
          <w:szCs w:val="24"/>
          <w:lang w:val="en-US"/>
        </w:rPr>
        <w:t>,</w:t>
      </w:r>
      <w:r w:rsidRPr="00F47ED3">
        <w:rPr>
          <w:szCs w:val="24"/>
          <w:lang w:val="en-US"/>
        </w:rPr>
        <w:t xml:space="preserve"> generated by the implementation of the IFMIS cashiering module</w:t>
      </w:r>
      <w:r w:rsidR="00EB562F" w:rsidRPr="00F47ED3">
        <w:rPr>
          <w:szCs w:val="24"/>
          <w:lang w:val="en-US"/>
        </w:rPr>
        <w:t>,</w:t>
      </w:r>
      <w:r w:rsidRPr="00F47ED3">
        <w:rPr>
          <w:szCs w:val="24"/>
          <w:lang w:val="en-US"/>
        </w:rPr>
        <w:t xml:space="preserve"> </w:t>
      </w:r>
      <w:r w:rsidR="008F76AF" w:rsidRPr="00F47ED3">
        <w:rPr>
          <w:szCs w:val="24"/>
          <w:lang w:val="en-US"/>
        </w:rPr>
        <w:t>takes into consideration t</w:t>
      </w:r>
      <w:r w:rsidRPr="00F47ED3">
        <w:rPr>
          <w:szCs w:val="24"/>
          <w:lang w:val="en-US"/>
        </w:rPr>
        <w:t xml:space="preserve">he </w:t>
      </w:r>
      <w:r w:rsidR="005B7C40" w:rsidRPr="00F47ED3">
        <w:rPr>
          <w:szCs w:val="24"/>
          <w:lang w:val="en-US"/>
        </w:rPr>
        <w:t>following aspects:</w:t>
      </w:r>
    </w:p>
    <w:p w14:paraId="15344201" w14:textId="7D4EDE17" w:rsidR="00955B15" w:rsidRPr="00F47ED3" w:rsidRDefault="005B7C40" w:rsidP="001C655C">
      <w:pPr>
        <w:pStyle w:val="Paragraph"/>
        <w:numPr>
          <w:ilvl w:val="0"/>
          <w:numId w:val="10"/>
        </w:numPr>
        <w:rPr>
          <w:szCs w:val="24"/>
          <w:lang w:val="en-US"/>
        </w:rPr>
      </w:pPr>
      <w:r w:rsidRPr="00F47ED3">
        <w:rPr>
          <w:szCs w:val="24"/>
          <w:lang w:val="en-US"/>
        </w:rPr>
        <w:t xml:space="preserve">According to </w:t>
      </w:r>
      <w:proofErr w:type="spellStart"/>
      <w:r w:rsidRPr="00F47ED3">
        <w:rPr>
          <w:szCs w:val="24"/>
          <w:lang w:val="en-US"/>
        </w:rPr>
        <w:t>GoTT</w:t>
      </w:r>
      <w:proofErr w:type="spellEnd"/>
      <w:r w:rsidR="00580CDB" w:rsidRPr="00F47ED3">
        <w:rPr>
          <w:szCs w:val="24"/>
          <w:lang w:val="en-US"/>
        </w:rPr>
        <w:t xml:space="preserve"> information</w:t>
      </w:r>
      <w:r w:rsidRPr="00F47ED3">
        <w:rPr>
          <w:szCs w:val="24"/>
          <w:lang w:val="en-US"/>
        </w:rPr>
        <w:t xml:space="preserve">, </w:t>
      </w:r>
      <w:r w:rsidR="00616044" w:rsidRPr="00F47ED3">
        <w:rPr>
          <w:szCs w:val="24"/>
          <w:lang w:val="en-US"/>
        </w:rPr>
        <w:t xml:space="preserve">in one fiscal year, </w:t>
      </w:r>
      <w:r w:rsidRPr="00F47ED3">
        <w:rPr>
          <w:szCs w:val="24"/>
          <w:lang w:val="en-US"/>
        </w:rPr>
        <w:t>the a</w:t>
      </w:r>
      <w:r w:rsidR="00955B15" w:rsidRPr="00F47ED3">
        <w:rPr>
          <w:szCs w:val="24"/>
          <w:lang w:val="en-US"/>
        </w:rPr>
        <w:t xml:space="preserve">verage time for funds </w:t>
      </w:r>
      <w:r w:rsidR="008F76AF" w:rsidRPr="00F47ED3">
        <w:rPr>
          <w:szCs w:val="24"/>
          <w:lang w:val="en-US"/>
        </w:rPr>
        <w:t>stay</w:t>
      </w:r>
      <w:r w:rsidR="00616044" w:rsidRPr="00F47ED3">
        <w:rPr>
          <w:szCs w:val="24"/>
          <w:lang w:val="en-US"/>
        </w:rPr>
        <w:t>ing</w:t>
      </w:r>
      <w:r w:rsidR="008F76AF" w:rsidRPr="00F47ED3">
        <w:rPr>
          <w:szCs w:val="24"/>
          <w:lang w:val="en-US"/>
        </w:rPr>
        <w:t xml:space="preserve"> idle in the </w:t>
      </w:r>
      <w:r w:rsidR="0072023A">
        <w:rPr>
          <w:szCs w:val="24"/>
          <w:lang w:val="en-US"/>
        </w:rPr>
        <w:t xml:space="preserve">Treasury </w:t>
      </w:r>
      <w:r w:rsidR="00D41EE6">
        <w:rPr>
          <w:szCs w:val="24"/>
          <w:lang w:val="en-US"/>
        </w:rPr>
        <w:t>S</w:t>
      </w:r>
      <w:r w:rsidR="008F76AF" w:rsidRPr="00F47ED3">
        <w:rPr>
          <w:szCs w:val="24"/>
          <w:lang w:val="en-US"/>
        </w:rPr>
        <w:t xml:space="preserve">uspense </w:t>
      </w:r>
      <w:r w:rsidR="00D41EE6">
        <w:rPr>
          <w:szCs w:val="24"/>
          <w:lang w:val="en-US"/>
        </w:rPr>
        <w:t>A</w:t>
      </w:r>
      <w:r w:rsidR="008F76AF" w:rsidRPr="00F47ED3">
        <w:rPr>
          <w:szCs w:val="24"/>
          <w:lang w:val="en-US"/>
        </w:rPr>
        <w:t xml:space="preserve">ccount </w:t>
      </w:r>
      <w:r w:rsidR="00580CDB" w:rsidRPr="00F47ED3">
        <w:rPr>
          <w:szCs w:val="24"/>
          <w:lang w:val="en-US"/>
        </w:rPr>
        <w:t>is</w:t>
      </w:r>
      <w:r w:rsidR="008F76AF" w:rsidRPr="00F47ED3">
        <w:rPr>
          <w:szCs w:val="24"/>
          <w:lang w:val="en-US"/>
        </w:rPr>
        <w:t xml:space="preserve"> approximately </w:t>
      </w:r>
      <w:r w:rsidR="003673EA" w:rsidRPr="00F47ED3">
        <w:rPr>
          <w:szCs w:val="24"/>
          <w:lang w:val="en-US"/>
        </w:rPr>
        <w:t>3</w:t>
      </w:r>
      <w:r w:rsidR="008F76AF" w:rsidRPr="00F47ED3">
        <w:rPr>
          <w:szCs w:val="24"/>
          <w:lang w:val="en-US"/>
        </w:rPr>
        <w:t xml:space="preserve">0 days. It </w:t>
      </w:r>
      <w:r w:rsidR="00580CDB" w:rsidRPr="00F47ED3">
        <w:rPr>
          <w:szCs w:val="24"/>
          <w:lang w:val="en-US"/>
        </w:rPr>
        <w:t>is</w:t>
      </w:r>
      <w:r w:rsidR="00955B15" w:rsidRPr="00F47ED3">
        <w:rPr>
          <w:szCs w:val="24"/>
          <w:lang w:val="en-US"/>
        </w:rPr>
        <w:t xml:space="preserve"> considered that </w:t>
      </w:r>
      <w:r w:rsidR="008F76AF" w:rsidRPr="00F47ED3">
        <w:rPr>
          <w:szCs w:val="24"/>
          <w:lang w:val="en-US"/>
        </w:rPr>
        <w:t xml:space="preserve">during this </w:t>
      </w:r>
      <w:r w:rsidR="00616044" w:rsidRPr="00F47ED3">
        <w:rPr>
          <w:szCs w:val="24"/>
          <w:lang w:val="en-US"/>
        </w:rPr>
        <w:t xml:space="preserve">30-day </w:t>
      </w:r>
      <w:r w:rsidR="008F76AF" w:rsidRPr="00F47ED3">
        <w:rPr>
          <w:szCs w:val="24"/>
          <w:lang w:val="en-US"/>
        </w:rPr>
        <w:t>period, the</w:t>
      </w:r>
      <w:r w:rsidR="00955B15" w:rsidRPr="00F47ED3">
        <w:rPr>
          <w:szCs w:val="24"/>
          <w:lang w:val="en-US"/>
        </w:rPr>
        <w:t xml:space="preserve"> resources </w:t>
      </w:r>
      <w:r w:rsidR="008F76AF" w:rsidRPr="00F47ED3">
        <w:rPr>
          <w:szCs w:val="24"/>
          <w:lang w:val="en-US"/>
        </w:rPr>
        <w:t xml:space="preserve">could be generating </w:t>
      </w:r>
      <w:r w:rsidR="008F76AF" w:rsidRPr="00F47ED3">
        <w:rPr>
          <w:szCs w:val="24"/>
          <w:lang w:val="en-US"/>
        </w:rPr>
        <w:lastRenderedPageBreak/>
        <w:t xml:space="preserve">savings </w:t>
      </w:r>
      <w:r w:rsidR="001E3630" w:rsidRPr="00F47ED3">
        <w:rPr>
          <w:szCs w:val="24"/>
          <w:lang w:val="en-US"/>
        </w:rPr>
        <w:t xml:space="preserve">in the </w:t>
      </w:r>
      <w:r w:rsidR="00BB2A41" w:rsidRPr="00F47ED3">
        <w:rPr>
          <w:szCs w:val="24"/>
          <w:lang w:val="en-US"/>
        </w:rPr>
        <w:t xml:space="preserve">commercial </w:t>
      </w:r>
      <w:r w:rsidR="001E3630" w:rsidRPr="00F47ED3">
        <w:rPr>
          <w:szCs w:val="24"/>
          <w:lang w:val="en-US"/>
        </w:rPr>
        <w:t xml:space="preserve">banking system </w:t>
      </w:r>
      <w:r w:rsidR="00CC72F4">
        <w:rPr>
          <w:szCs w:val="24"/>
          <w:lang w:val="en-US"/>
        </w:rPr>
        <w:t xml:space="preserve">in Trinidad and Tobago </w:t>
      </w:r>
      <w:r w:rsidR="008F76AF" w:rsidRPr="00F47ED3">
        <w:rPr>
          <w:szCs w:val="24"/>
          <w:lang w:val="en-US"/>
        </w:rPr>
        <w:t xml:space="preserve">of approximately </w:t>
      </w:r>
      <w:r w:rsidR="003673EA" w:rsidRPr="00F47ED3">
        <w:rPr>
          <w:szCs w:val="24"/>
          <w:lang w:val="en-US"/>
        </w:rPr>
        <w:t>0.015</w:t>
      </w:r>
      <w:r w:rsidR="001E3630" w:rsidRPr="00F47ED3">
        <w:rPr>
          <w:szCs w:val="24"/>
          <w:lang w:val="en-US"/>
        </w:rPr>
        <w:t>068</w:t>
      </w:r>
      <w:r w:rsidR="008F76AF" w:rsidRPr="00F47ED3">
        <w:rPr>
          <w:szCs w:val="24"/>
          <w:lang w:val="en-US"/>
        </w:rPr>
        <w:t xml:space="preserve">% </w:t>
      </w:r>
      <w:r w:rsidR="00580CDB" w:rsidRPr="00F47ED3">
        <w:rPr>
          <w:szCs w:val="24"/>
          <w:lang w:val="en-US"/>
        </w:rPr>
        <w:t>per day</w:t>
      </w:r>
      <w:r w:rsidR="001E3630" w:rsidRPr="00F47ED3">
        <w:rPr>
          <w:rStyle w:val="FootnoteReference"/>
          <w:szCs w:val="24"/>
          <w:lang w:val="en-US"/>
        </w:rPr>
        <w:footnoteReference w:id="6"/>
      </w:r>
      <w:r w:rsidR="00915E7C" w:rsidRPr="00F47ED3">
        <w:rPr>
          <w:szCs w:val="24"/>
          <w:lang w:val="en-US"/>
        </w:rPr>
        <w:t xml:space="preserve"> (5.5% / 365)</w:t>
      </w:r>
      <w:r w:rsidR="001E3630" w:rsidRPr="00F47ED3">
        <w:rPr>
          <w:szCs w:val="24"/>
          <w:lang w:val="en-US"/>
        </w:rPr>
        <w:t>.</w:t>
      </w:r>
    </w:p>
    <w:p w14:paraId="10D4E899" w14:textId="77777777" w:rsidR="005B7C40" w:rsidRPr="008E70B0" w:rsidRDefault="005B7C40" w:rsidP="001C655C">
      <w:pPr>
        <w:pStyle w:val="Paragraph"/>
        <w:numPr>
          <w:ilvl w:val="0"/>
          <w:numId w:val="10"/>
        </w:numPr>
        <w:rPr>
          <w:szCs w:val="24"/>
          <w:u w:val="single"/>
          <w:lang w:val="en-US"/>
        </w:rPr>
      </w:pPr>
      <w:r w:rsidRPr="00F47ED3">
        <w:rPr>
          <w:szCs w:val="24"/>
          <w:lang w:val="en-US"/>
        </w:rPr>
        <w:t xml:space="preserve">The savings generated by </w:t>
      </w:r>
      <w:r w:rsidR="00EE64CA" w:rsidRPr="00F47ED3">
        <w:rPr>
          <w:szCs w:val="24"/>
          <w:lang w:val="en-US"/>
        </w:rPr>
        <w:t xml:space="preserve">this </w:t>
      </w:r>
      <w:r w:rsidR="00580CDB" w:rsidRPr="00F47ED3">
        <w:rPr>
          <w:szCs w:val="24"/>
          <w:lang w:val="en-US"/>
        </w:rPr>
        <w:t>daily</w:t>
      </w:r>
      <w:r w:rsidRPr="00F47ED3">
        <w:rPr>
          <w:szCs w:val="24"/>
          <w:lang w:val="en-US"/>
        </w:rPr>
        <w:t xml:space="preserve"> investment, </w:t>
      </w:r>
      <w:r w:rsidR="00580CDB" w:rsidRPr="00F47ED3">
        <w:rPr>
          <w:szCs w:val="24"/>
          <w:lang w:val="en-US"/>
        </w:rPr>
        <w:t>if</w:t>
      </w:r>
      <w:r w:rsidRPr="00F47ED3">
        <w:rPr>
          <w:szCs w:val="24"/>
          <w:lang w:val="en-US"/>
        </w:rPr>
        <w:t xml:space="preserve"> used to pay public debt, could </w:t>
      </w:r>
      <w:r w:rsidR="00580CDB" w:rsidRPr="00F47ED3">
        <w:rPr>
          <w:szCs w:val="24"/>
          <w:lang w:val="en-US"/>
        </w:rPr>
        <w:t>be producing</w:t>
      </w:r>
      <w:r w:rsidRPr="00F47ED3">
        <w:rPr>
          <w:szCs w:val="24"/>
          <w:lang w:val="en-US"/>
        </w:rPr>
        <w:t xml:space="preserve"> a re</w:t>
      </w:r>
      <w:r w:rsidRPr="008E70B0">
        <w:rPr>
          <w:szCs w:val="24"/>
          <w:u w:val="single"/>
          <w:lang w:val="en-US"/>
        </w:rPr>
        <w:t xml:space="preserve">duction in the interest paid on the public </w:t>
      </w:r>
      <w:r w:rsidR="00616044" w:rsidRPr="008E70B0">
        <w:rPr>
          <w:szCs w:val="24"/>
          <w:u w:val="single"/>
          <w:lang w:val="en-US"/>
        </w:rPr>
        <w:t>debt at the end of one year.</w:t>
      </w:r>
    </w:p>
    <w:p w14:paraId="52EBECF4" w14:textId="7FC6465C" w:rsidR="004E597C" w:rsidRPr="00F47ED3" w:rsidRDefault="004E597C" w:rsidP="001C655C">
      <w:pPr>
        <w:pStyle w:val="Paragraph"/>
        <w:numPr>
          <w:ilvl w:val="0"/>
          <w:numId w:val="10"/>
        </w:numPr>
        <w:rPr>
          <w:szCs w:val="24"/>
          <w:lang w:val="en-US"/>
        </w:rPr>
      </w:pPr>
      <w:r w:rsidRPr="008E70B0">
        <w:rPr>
          <w:szCs w:val="24"/>
          <w:u w:val="single"/>
          <w:lang w:val="en-US"/>
        </w:rPr>
        <w:t xml:space="preserve">The </w:t>
      </w:r>
      <w:r w:rsidR="00616044" w:rsidRPr="008E70B0">
        <w:rPr>
          <w:szCs w:val="24"/>
          <w:u w:val="single"/>
          <w:lang w:val="en-US"/>
        </w:rPr>
        <w:t>t</w:t>
      </w:r>
      <w:r w:rsidRPr="008E70B0">
        <w:rPr>
          <w:szCs w:val="24"/>
          <w:u w:val="single"/>
          <w:lang w:val="en-US"/>
        </w:rPr>
        <w:t>otal investment of the Program was US$40 million.</w:t>
      </w:r>
      <w:r w:rsidR="00D14D05" w:rsidRPr="008E70B0">
        <w:rPr>
          <w:szCs w:val="24"/>
          <w:u w:val="single"/>
          <w:lang w:val="en-US"/>
        </w:rPr>
        <w:t xml:space="preserve"> The </w:t>
      </w:r>
      <w:r w:rsidR="00D14D05">
        <w:rPr>
          <w:szCs w:val="24"/>
          <w:lang w:val="en-US"/>
        </w:rPr>
        <w:t xml:space="preserve">Program interest rate </w:t>
      </w:r>
      <w:r w:rsidR="005278AE">
        <w:rPr>
          <w:szCs w:val="24"/>
          <w:lang w:val="en-US"/>
        </w:rPr>
        <w:t>is expected to be</w:t>
      </w:r>
      <w:r w:rsidR="00D14D05">
        <w:rPr>
          <w:szCs w:val="24"/>
          <w:lang w:val="en-US"/>
        </w:rPr>
        <w:t xml:space="preserve"> 1.47%</w:t>
      </w:r>
      <w:r w:rsidR="005278AE">
        <w:rPr>
          <w:rStyle w:val="FootnoteReference"/>
          <w:szCs w:val="24"/>
          <w:lang w:val="en-US"/>
        </w:rPr>
        <w:footnoteReference w:id="7"/>
      </w:r>
      <w:r w:rsidR="00D14D05">
        <w:rPr>
          <w:szCs w:val="24"/>
          <w:lang w:val="en-US"/>
        </w:rPr>
        <w:t>.</w:t>
      </w:r>
      <w:r w:rsidRPr="00F47ED3">
        <w:rPr>
          <w:szCs w:val="24"/>
          <w:lang w:val="en-US"/>
        </w:rPr>
        <w:t xml:space="preserve"> </w:t>
      </w:r>
      <w:r w:rsidR="009C1ADE" w:rsidRPr="00F47ED3">
        <w:rPr>
          <w:szCs w:val="24"/>
          <w:lang w:val="en-US"/>
        </w:rPr>
        <w:t>Additional costs associated with IT infrastructure were taken into consideration. From 2018 onwards</w:t>
      </w:r>
      <w:r w:rsidR="00616044" w:rsidRPr="00F47ED3">
        <w:rPr>
          <w:szCs w:val="24"/>
          <w:lang w:val="en-US"/>
        </w:rPr>
        <w:t>,</w:t>
      </w:r>
      <w:r w:rsidR="009C1ADE" w:rsidRPr="00F47ED3">
        <w:rPr>
          <w:szCs w:val="24"/>
          <w:lang w:val="en-US"/>
        </w:rPr>
        <w:t xml:space="preserve"> a maintenance cost </w:t>
      </w:r>
      <w:r w:rsidR="00616044" w:rsidRPr="00F47ED3">
        <w:rPr>
          <w:szCs w:val="24"/>
          <w:lang w:val="en-US"/>
        </w:rPr>
        <w:t xml:space="preserve">will be included </w:t>
      </w:r>
      <w:r w:rsidR="009C1ADE" w:rsidRPr="00F47ED3">
        <w:rPr>
          <w:szCs w:val="24"/>
          <w:lang w:val="en-US"/>
        </w:rPr>
        <w:t xml:space="preserve">(licenses, upgrades, and program management). It is estimated that those costs are a 5% of the total cost of </w:t>
      </w:r>
      <w:r w:rsidR="0031078B">
        <w:rPr>
          <w:szCs w:val="24"/>
          <w:lang w:val="en-US"/>
        </w:rPr>
        <w:t>C</w:t>
      </w:r>
      <w:r w:rsidR="009C1ADE" w:rsidRPr="00F47ED3">
        <w:rPr>
          <w:szCs w:val="24"/>
          <w:lang w:val="en-US"/>
        </w:rPr>
        <w:t xml:space="preserve">omponent 2 (representing </w:t>
      </w:r>
      <w:r w:rsidR="00790BBF">
        <w:rPr>
          <w:szCs w:val="24"/>
          <w:lang w:val="en-US"/>
        </w:rPr>
        <w:t>approximately</w:t>
      </w:r>
      <w:r w:rsidR="00790BBF" w:rsidRPr="00F47ED3">
        <w:rPr>
          <w:szCs w:val="24"/>
          <w:lang w:val="en-US"/>
        </w:rPr>
        <w:t xml:space="preserve"> </w:t>
      </w:r>
      <w:r w:rsidR="009C1ADE" w:rsidRPr="00F47ED3">
        <w:rPr>
          <w:szCs w:val="24"/>
          <w:lang w:val="en-US"/>
        </w:rPr>
        <w:t>US</w:t>
      </w:r>
      <w:r w:rsidR="00616044" w:rsidRPr="00F47ED3">
        <w:rPr>
          <w:szCs w:val="24"/>
          <w:lang w:val="en-US"/>
        </w:rPr>
        <w:t>$</w:t>
      </w:r>
      <w:r w:rsidR="009C1ADE" w:rsidRPr="00F47ED3">
        <w:rPr>
          <w:szCs w:val="24"/>
          <w:lang w:val="en-US"/>
        </w:rPr>
        <w:t>1.</w:t>
      </w:r>
      <w:r w:rsidR="00042C30">
        <w:rPr>
          <w:szCs w:val="24"/>
          <w:lang w:val="en-US"/>
        </w:rPr>
        <w:t>2</w:t>
      </w:r>
      <w:r w:rsidR="009C1ADE" w:rsidRPr="00F47ED3">
        <w:rPr>
          <w:szCs w:val="24"/>
          <w:lang w:val="en-US"/>
        </w:rPr>
        <w:t xml:space="preserve"> million).</w:t>
      </w:r>
    </w:p>
    <w:p w14:paraId="3FEE2F65" w14:textId="77777777" w:rsidR="00580CDB" w:rsidRPr="00F47ED3" w:rsidRDefault="00616044" w:rsidP="001C655C">
      <w:pPr>
        <w:pStyle w:val="Paragraph"/>
        <w:numPr>
          <w:ilvl w:val="0"/>
          <w:numId w:val="10"/>
        </w:numPr>
        <w:rPr>
          <w:szCs w:val="24"/>
          <w:lang w:val="en-US"/>
        </w:rPr>
      </w:pPr>
      <w:r w:rsidRPr="00F47ED3">
        <w:rPr>
          <w:szCs w:val="24"/>
          <w:lang w:val="en-US"/>
        </w:rPr>
        <w:t>T</w:t>
      </w:r>
      <w:r w:rsidR="00580CDB" w:rsidRPr="00F47ED3">
        <w:rPr>
          <w:szCs w:val="24"/>
          <w:lang w:val="en-US"/>
        </w:rPr>
        <w:t xml:space="preserve">he </w:t>
      </w:r>
      <w:r w:rsidR="004E597C" w:rsidRPr="00F47ED3">
        <w:rPr>
          <w:szCs w:val="24"/>
          <w:lang w:val="en-US"/>
        </w:rPr>
        <w:t>Interest Rate of Return (IRR)</w:t>
      </w:r>
      <w:r w:rsidR="00580CDB" w:rsidRPr="00F47ED3">
        <w:rPr>
          <w:szCs w:val="24"/>
          <w:lang w:val="en-US"/>
        </w:rPr>
        <w:t xml:space="preserve"> </w:t>
      </w:r>
      <w:r w:rsidR="004E597C" w:rsidRPr="00F47ED3">
        <w:rPr>
          <w:szCs w:val="24"/>
          <w:lang w:val="en-US"/>
        </w:rPr>
        <w:t xml:space="preserve">was </w:t>
      </w:r>
      <w:r w:rsidRPr="00F47ED3">
        <w:rPr>
          <w:szCs w:val="24"/>
          <w:lang w:val="en-US"/>
        </w:rPr>
        <w:t xml:space="preserve">calculated using </w:t>
      </w:r>
      <w:r w:rsidR="004E597C" w:rsidRPr="00F47ED3">
        <w:rPr>
          <w:szCs w:val="24"/>
          <w:lang w:val="en-US"/>
        </w:rPr>
        <w:t>a period of</w:t>
      </w:r>
      <w:r w:rsidR="00580CDB" w:rsidRPr="00F47ED3">
        <w:rPr>
          <w:szCs w:val="24"/>
          <w:lang w:val="en-US"/>
        </w:rPr>
        <w:t xml:space="preserve"> 20 years (2015-2034) and a discount rate of 12%.</w:t>
      </w:r>
    </w:p>
    <w:p w14:paraId="2F9D1EF8" w14:textId="77777777" w:rsidR="003673EA" w:rsidRPr="00F47ED3" w:rsidRDefault="008F76AF" w:rsidP="00580CDB">
      <w:pPr>
        <w:pStyle w:val="Paragraph"/>
        <w:numPr>
          <w:ilvl w:val="1"/>
          <w:numId w:val="1"/>
        </w:numPr>
        <w:rPr>
          <w:b/>
          <w:szCs w:val="24"/>
          <w:lang w:val="en-US"/>
        </w:rPr>
      </w:pPr>
      <w:r w:rsidRPr="00F47ED3">
        <w:rPr>
          <w:b/>
          <w:szCs w:val="24"/>
          <w:lang w:val="en-US"/>
        </w:rPr>
        <w:t xml:space="preserve">Calculation of the </w:t>
      </w:r>
      <w:r w:rsidR="00580CDB" w:rsidRPr="00F47ED3">
        <w:rPr>
          <w:b/>
          <w:szCs w:val="24"/>
          <w:lang w:val="en-US"/>
        </w:rPr>
        <w:t>opportunity cost</w:t>
      </w:r>
    </w:p>
    <w:p w14:paraId="39B9CB70" w14:textId="77777777" w:rsidR="00EE64CA" w:rsidRPr="00F47ED3" w:rsidRDefault="00EE64CA" w:rsidP="00EE64CA">
      <w:pPr>
        <w:pStyle w:val="Paragraph"/>
        <w:numPr>
          <w:ilvl w:val="0"/>
          <w:numId w:val="0"/>
        </w:numPr>
        <w:ind w:left="1440"/>
        <w:rPr>
          <w:b/>
          <w:szCs w:val="24"/>
          <w:lang w:val="en-US"/>
        </w:rPr>
      </w:pPr>
      <w:r w:rsidRPr="00F47ED3">
        <w:rPr>
          <w:b/>
          <w:szCs w:val="24"/>
          <w:lang w:val="en-US"/>
        </w:rPr>
        <w:t>Daily return</w:t>
      </w:r>
    </w:p>
    <w:p w14:paraId="27BE5C22" w14:textId="0F62A655" w:rsidR="00BD17FF" w:rsidRPr="00F47ED3" w:rsidRDefault="00BD17FF" w:rsidP="001C655C">
      <w:pPr>
        <w:pStyle w:val="Paragraph"/>
        <w:numPr>
          <w:ilvl w:val="0"/>
          <w:numId w:val="9"/>
        </w:numPr>
        <w:rPr>
          <w:szCs w:val="24"/>
          <w:lang w:val="en-US"/>
        </w:rPr>
      </w:pPr>
      <w:r w:rsidRPr="00F47ED3">
        <w:rPr>
          <w:szCs w:val="24"/>
          <w:lang w:val="en-US"/>
        </w:rPr>
        <w:t xml:space="preserve">FI – Financial Investment = </w:t>
      </w:r>
      <w:proofErr w:type="spellStart"/>
      <w:r w:rsidRPr="00F47ED3">
        <w:rPr>
          <w:szCs w:val="24"/>
          <w:lang w:val="en-US"/>
        </w:rPr>
        <w:t>TT$</w:t>
      </w:r>
      <w:r w:rsidR="00F61742">
        <w:rPr>
          <w:szCs w:val="24"/>
          <w:lang w:val="en-US"/>
        </w:rPr>
        <w:t>6.241</w:t>
      </w:r>
      <w:r w:rsidRPr="00F47ED3">
        <w:rPr>
          <w:szCs w:val="24"/>
          <w:lang w:val="en-US"/>
        </w:rPr>
        <w:t>billion</w:t>
      </w:r>
      <w:proofErr w:type="spellEnd"/>
      <w:r w:rsidR="00430607" w:rsidRPr="00F47ED3">
        <w:rPr>
          <w:szCs w:val="24"/>
          <w:lang w:val="en-US"/>
        </w:rPr>
        <w:t xml:space="preserve"> </w:t>
      </w:r>
    </w:p>
    <w:p w14:paraId="4CE15307" w14:textId="4A2FFB2A" w:rsidR="00BD17FF" w:rsidRPr="00F47ED3" w:rsidRDefault="00BD17FF" w:rsidP="001C655C">
      <w:pPr>
        <w:pStyle w:val="Paragraph"/>
        <w:numPr>
          <w:ilvl w:val="0"/>
          <w:numId w:val="9"/>
        </w:numPr>
        <w:rPr>
          <w:szCs w:val="24"/>
          <w:lang w:val="en-US"/>
        </w:rPr>
      </w:pPr>
      <w:r w:rsidRPr="00F47ED3">
        <w:rPr>
          <w:szCs w:val="24"/>
          <w:lang w:val="en-US"/>
        </w:rPr>
        <w:t xml:space="preserve">DIR – Daily </w:t>
      </w:r>
      <w:r w:rsidR="000044A6" w:rsidRPr="00F47ED3">
        <w:rPr>
          <w:szCs w:val="24"/>
          <w:lang w:val="en-US"/>
        </w:rPr>
        <w:t xml:space="preserve">Interest </w:t>
      </w:r>
      <w:r w:rsidRPr="00F47ED3">
        <w:rPr>
          <w:szCs w:val="24"/>
          <w:lang w:val="en-US"/>
        </w:rPr>
        <w:t>Rate = 0.0</w:t>
      </w:r>
      <w:r w:rsidR="003673EA" w:rsidRPr="00F47ED3">
        <w:rPr>
          <w:szCs w:val="24"/>
          <w:lang w:val="en-US"/>
        </w:rPr>
        <w:t>15</w:t>
      </w:r>
      <w:r w:rsidR="00322EF2" w:rsidRPr="00F47ED3">
        <w:rPr>
          <w:szCs w:val="24"/>
          <w:lang w:val="en-US"/>
        </w:rPr>
        <w:t>068</w:t>
      </w:r>
      <w:r w:rsidRPr="00F47ED3">
        <w:rPr>
          <w:szCs w:val="24"/>
          <w:lang w:val="en-US"/>
        </w:rPr>
        <w:t xml:space="preserve"> %</w:t>
      </w:r>
    </w:p>
    <w:p w14:paraId="7B3B02BD" w14:textId="18E672D8" w:rsidR="00BD17FF" w:rsidRPr="00F47ED3" w:rsidRDefault="00BD17FF" w:rsidP="001C655C">
      <w:pPr>
        <w:pStyle w:val="Paragraph"/>
        <w:numPr>
          <w:ilvl w:val="0"/>
          <w:numId w:val="9"/>
        </w:numPr>
        <w:rPr>
          <w:szCs w:val="24"/>
          <w:lang w:val="en-US"/>
        </w:rPr>
      </w:pPr>
      <w:r w:rsidRPr="00F47ED3">
        <w:rPr>
          <w:szCs w:val="24"/>
          <w:lang w:val="en-US"/>
        </w:rPr>
        <w:t xml:space="preserve">DR </w:t>
      </w:r>
      <w:r w:rsidR="003673EA" w:rsidRPr="00F47ED3">
        <w:rPr>
          <w:szCs w:val="24"/>
          <w:lang w:val="en-US"/>
        </w:rPr>
        <w:t xml:space="preserve">- </w:t>
      </w:r>
      <w:r w:rsidRPr="00F47ED3">
        <w:rPr>
          <w:szCs w:val="24"/>
          <w:lang w:val="en-US"/>
        </w:rPr>
        <w:t xml:space="preserve">Daily Return = FI * DIR =   </w:t>
      </w:r>
      <w:r w:rsidR="00322EF2" w:rsidRPr="00F47ED3">
        <w:rPr>
          <w:szCs w:val="24"/>
          <w:lang w:val="en-US"/>
        </w:rPr>
        <w:t xml:space="preserve">TT$ </w:t>
      </w:r>
      <w:r w:rsidR="004058E3">
        <w:rPr>
          <w:szCs w:val="24"/>
          <w:lang w:val="en-US"/>
        </w:rPr>
        <w:t>6.241</w:t>
      </w:r>
      <w:r w:rsidRPr="00F47ED3">
        <w:rPr>
          <w:szCs w:val="24"/>
          <w:lang w:val="en-US"/>
        </w:rPr>
        <w:t xml:space="preserve"> billion * 0.01</w:t>
      </w:r>
      <w:r w:rsidR="00322EF2" w:rsidRPr="00F47ED3">
        <w:rPr>
          <w:szCs w:val="24"/>
          <w:lang w:val="en-US"/>
        </w:rPr>
        <w:t>5</w:t>
      </w:r>
      <w:r w:rsidR="000044A6" w:rsidRPr="00F47ED3">
        <w:rPr>
          <w:szCs w:val="24"/>
          <w:lang w:val="en-US"/>
        </w:rPr>
        <w:t>068</w:t>
      </w:r>
      <w:r w:rsidRPr="00F47ED3">
        <w:rPr>
          <w:szCs w:val="24"/>
          <w:lang w:val="en-US"/>
        </w:rPr>
        <w:t xml:space="preserve"> % = TT$ </w:t>
      </w:r>
      <w:r w:rsidR="00042C30">
        <w:rPr>
          <w:szCs w:val="24"/>
          <w:lang w:val="en-US"/>
        </w:rPr>
        <w:t>940,393</w:t>
      </w:r>
      <w:r w:rsidR="003B213C" w:rsidRPr="00F47ED3">
        <w:rPr>
          <w:szCs w:val="24"/>
          <w:lang w:val="en-US"/>
        </w:rPr>
        <w:t xml:space="preserve"> </w:t>
      </w:r>
    </w:p>
    <w:p w14:paraId="21E50CA4" w14:textId="77777777" w:rsidR="003673EA" w:rsidRPr="00F47ED3" w:rsidRDefault="003673EA" w:rsidP="003673EA">
      <w:pPr>
        <w:pStyle w:val="Paragraph"/>
        <w:numPr>
          <w:ilvl w:val="0"/>
          <w:numId w:val="0"/>
        </w:numPr>
        <w:ind w:left="1440"/>
        <w:rPr>
          <w:b/>
          <w:szCs w:val="24"/>
          <w:lang w:val="en-US"/>
        </w:rPr>
      </w:pPr>
      <w:r w:rsidRPr="00F47ED3">
        <w:rPr>
          <w:b/>
          <w:szCs w:val="24"/>
          <w:lang w:val="en-US"/>
        </w:rPr>
        <w:t>30 days</w:t>
      </w:r>
      <w:r w:rsidR="00EE64CA" w:rsidRPr="00F47ED3">
        <w:rPr>
          <w:b/>
          <w:szCs w:val="24"/>
          <w:lang w:val="en-US"/>
        </w:rPr>
        <w:t xml:space="preserve"> return</w:t>
      </w:r>
    </w:p>
    <w:p w14:paraId="6B22AC58" w14:textId="63856BB3" w:rsidR="003673EA" w:rsidRPr="00F47ED3" w:rsidRDefault="003673EA" w:rsidP="001C655C">
      <w:pPr>
        <w:pStyle w:val="Paragraph"/>
        <w:numPr>
          <w:ilvl w:val="0"/>
          <w:numId w:val="9"/>
        </w:numPr>
        <w:rPr>
          <w:szCs w:val="24"/>
          <w:lang w:val="en-US"/>
        </w:rPr>
      </w:pPr>
      <w:r w:rsidRPr="00F47ED3">
        <w:rPr>
          <w:szCs w:val="24"/>
          <w:lang w:val="en-US"/>
        </w:rPr>
        <w:t xml:space="preserve">TR – Total Return = DR * 30 = TT$ </w:t>
      </w:r>
      <w:r w:rsidR="00042C30">
        <w:rPr>
          <w:szCs w:val="24"/>
          <w:lang w:val="en-US"/>
        </w:rPr>
        <w:t xml:space="preserve">940,393 </w:t>
      </w:r>
      <w:r w:rsidRPr="00F47ED3">
        <w:rPr>
          <w:szCs w:val="24"/>
          <w:lang w:val="en-US"/>
        </w:rPr>
        <w:t xml:space="preserve">* 30 = TT$ </w:t>
      </w:r>
      <w:r w:rsidR="00042C30">
        <w:rPr>
          <w:szCs w:val="24"/>
          <w:lang w:val="en-US"/>
        </w:rPr>
        <w:t>28.21</w:t>
      </w:r>
      <w:r w:rsidRPr="00F47ED3">
        <w:rPr>
          <w:szCs w:val="24"/>
          <w:lang w:val="en-US"/>
        </w:rPr>
        <w:t xml:space="preserve"> million</w:t>
      </w:r>
    </w:p>
    <w:p w14:paraId="2C3A91B9" w14:textId="5AF45B60" w:rsidR="00045CA0" w:rsidRPr="00F47ED3" w:rsidRDefault="00045CA0" w:rsidP="001C655C">
      <w:pPr>
        <w:pStyle w:val="Paragraph"/>
        <w:numPr>
          <w:ilvl w:val="0"/>
          <w:numId w:val="9"/>
        </w:numPr>
        <w:rPr>
          <w:szCs w:val="24"/>
          <w:lang w:val="en-US"/>
        </w:rPr>
      </w:pPr>
      <w:r w:rsidRPr="00F47ED3">
        <w:rPr>
          <w:szCs w:val="24"/>
          <w:lang w:val="en-US"/>
        </w:rPr>
        <w:t>TR</w:t>
      </w:r>
      <w:r w:rsidR="00EE64CA" w:rsidRPr="00F47ED3">
        <w:rPr>
          <w:szCs w:val="24"/>
          <w:lang w:val="en-US"/>
        </w:rPr>
        <w:t xml:space="preserve"> in US$</w:t>
      </w:r>
      <w:r w:rsidRPr="00F47ED3">
        <w:rPr>
          <w:szCs w:val="24"/>
          <w:lang w:val="en-US"/>
        </w:rPr>
        <w:t xml:space="preserve"> = US$ </w:t>
      </w:r>
      <w:r w:rsidR="00042C30">
        <w:rPr>
          <w:szCs w:val="24"/>
          <w:lang w:val="en-US"/>
        </w:rPr>
        <w:t>4.40</w:t>
      </w:r>
      <w:r w:rsidR="000044A6" w:rsidRPr="00F47ED3">
        <w:rPr>
          <w:szCs w:val="24"/>
          <w:lang w:val="en-US"/>
        </w:rPr>
        <w:t xml:space="preserve"> </w:t>
      </w:r>
      <w:r w:rsidRPr="00F47ED3">
        <w:rPr>
          <w:szCs w:val="24"/>
          <w:lang w:val="en-US"/>
        </w:rPr>
        <w:t>million (1 USD$ = 6.4 $TT</w:t>
      </w:r>
      <w:r w:rsidR="005278AE">
        <w:rPr>
          <w:rStyle w:val="FootnoteReference"/>
          <w:szCs w:val="24"/>
          <w:lang w:val="en-US"/>
        </w:rPr>
        <w:footnoteReference w:id="8"/>
      </w:r>
      <w:r w:rsidRPr="00F47ED3">
        <w:rPr>
          <w:szCs w:val="24"/>
          <w:lang w:val="en-US"/>
        </w:rPr>
        <w:t>)</w:t>
      </w:r>
    </w:p>
    <w:p w14:paraId="5DF53375" w14:textId="77777777" w:rsidR="00B05C77" w:rsidRPr="00F47ED3" w:rsidRDefault="00B05C77" w:rsidP="00B05C77">
      <w:pPr>
        <w:pStyle w:val="Paragraph"/>
        <w:numPr>
          <w:ilvl w:val="1"/>
          <w:numId w:val="1"/>
        </w:numPr>
        <w:rPr>
          <w:b/>
          <w:szCs w:val="24"/>
          <w:lang w:val="en-US"/>
        </w:rPr>
      </w:pPr>
      <w:r w:rsidRPr="00F47ED3">
        <w:rPr>
          <w:b/>
          <w:szCs w:val="24"/>
          <w:lang w:val="en-US"/>
        </w:rPr>
        <w:t xml:space="preserve">Calculation of the financial return generated by </w:t>
      </w:r>
      <w:r w:rsidR="00580CDB" w:rsidRPr="00F47ED3">
        <w:rPr>
          <w:b/>
          <w:szCs w:val="24"/>
          <w:lang w:val="en-US"/>
        </w:rPr>
        <w:t>decreasing</w:t>
      </w:r>
      <w:r w:rsidRPr="00F47ED3">
        <w:rPr>
          <w:b/>
          <w:szCs w:val="24"/>
          <w:lang w:val="en-US"/>
        </w:rPr>
        <w:t xml:space="preserve"> the </w:t>
      </w:r>
      <w:r w:rsidR="00580CDB" w:rsidRPr="00F47ED3">
        <w:rPr>
          <w:b/>
          <w:szCs w:val="24"/>
          <w:lang w:val="en-US"/>
        </w:rPr>
        <w:t xml:space="preserve">public debt </w:t>
      </w:r>
      <w:r w:rsidR="005109F5" w:rsidRPr="00F47ED3">
        <w:rPr>
          <w:b/>
          <w:szCs w:val="24"/>
          <w:lang w:val="en-US"/>
        </w:rPr>
        <w:t>principal</w:t>
      </w:r>
    </w:p>
    <w:p w14:paraId="22C3F3C3" w14:textId="77777777" w:rsidR="00BD17FF" w:rsidRPr="00F47ED3" w:rsidRDefault="00045CA0" w:rsidP="00045CA0">
      <w:pPr>
        <w:pStyle w:val="Paragraph"/>
        <w:numPr>
          <w:ilvl w:val="0"/>
          <w:numId w:val="0"/>
        </w:numPr>
        <w:ind w:left="567"/>
        <w:rPr>
          <w:b/>
          <w:szCs w:val="24"/>
          <w:lang w:val="en-US"/>
        </w:rPr>
      </w:pPr>
      <w:r w:rsidRPr="00F47ED3">
        <w:rPr>
          <w:b/>
          <w:szCs w:val="24"/>
          <w:lang w:val="en-US"/>
        </w:rPr>
        <w:t>Considerations:</w:t>
      </w:r>
    </w:p>
    <w:p w14:paraId="526B34AA" w14:textId="389A33A4" w:rsidR="00045CA0" w:rsidRPr="00F47ED3" w:rsidRDefault="00045CA0" w:rsidP="001C655C">
      <w:pPr>
        <w:pStyle w:val="Paragraph"/>
        <w:numPr>
          <w:ilvl w:val="0"/>
          <w:numId w:val="11"/>
        </w:numPr>
        <w:rPr>
          <w:b/>
          <w:szCs w:val="24"/>
          <w:lang w:val="en-US"/>
        </w:rPr>
      </w:pPr>
      <w:r w:rsidRPr="00F47ED3">
        <w:rPr>
          <w:szCs w:val="24"/>
          <w:lang w:val="en-US"/>
        </w:rPr>
        <w:t xml:space="preserve">The annual interest paid on the public debt is approximately </w:t>
      </w:r>
      <w:r w:rsidR="000044A6" w:rsidRPr="00F47ED3">
        <w:rPr>
          <w:szCs w:val="24"/>
          <w:lang w:val="en-US"/>
        </w:rPr>
        <w:t>8.6</w:t>
      </w:r>
      <w:r w:rsidRPr="00F47ED3">
        <w:rPr>
          <w:szCs w:val="24"/>
          <w:lang w:val="en-US"/>
        </w:rPr>
        <w:t>%</w:t>
      </w:r>
      <w:r w:rsidR="000044A6" w:rsidRPr="00F47ED3">
        <w:rPr>
          <w:rStyle w:val="FootnoteReference"/>
          <w:szCs w:val="24"/>
          <w:lang w:val="en-US"/>
        </w:rPr>
        <w:footnoteReference w:id="9"/>
      </w:r>
      <w:r w:rsidRPr="00F47ED3">
        <w:rPr>
          <w:szCs w:val="24"/>
          <w:lang w:val="en-US"/>
        </w:rPr>
        <w:t>.</w:t>
      </w:r>
    </w:p>
    <w:p w14:paraId="75D039C4" w14:textId="0EBBE18A" w:rsidR="00045CA0" w:rsidRPr="00F47ED3" w:rsidRDefault="00045CA0" w:rsidP="001C655C">
      <w:pPr>
        <w:pStyle w:val="Paragraph"/>
        <w:numPr>
          <w:ilvl w:val="0"/>
          <w:numId w:val="11"/>
        </w:numPr>
        <w:rPr>
          <w:b/>
          <w:szCs w:val="24"/>
          <w:lang w:val="en-US"/>
        </w:rPr>
      </w:pPr>
      <w:r w:rsidRPr="00F47ED3">
        <w:rPr>
          <w:szCs w:val="24"/>
          <w:lang w:val="en-US"/>
        </w:rPr>
        <w:t>In a simple conclusion, any decrease in the debt principal represent</w:t>
      </w:r>
      <w:r w:rsidR="00EE64CA" w:rsidRPr="00F47ED3">
        <w:rPr>
          <w:szCs w:val="24"/>
          <w:lang w:val="en-US"/>
        </w:rPr>
        <w:t>s</w:t>
      </w:r>
      <w:r w:rsidR="00616044" w:rsidRPr="00F47ED3">
        <w:rPr>
          <w:szCs w:val="24"/>
          <w:lang w:val="en-US"/>
        </w:rPr>
        <w:t xml:space="preserve"> a</w:t>
      </w:r>
      <w:r w:rsidRPr="00F47ED3">
        <w:rPr>
          <w:szCs w:val="24"/>
          <w:lang w:val="en-US"/>
        </w:rPr>
        <w:t xml:space="preserve">n impact of </w:t>
      </w:r>
      <w:r w:rsidR="00797A80">
        <w:rPr>
          <w:szCs w:val="24"/>
          <w:lang w:val="en-US"/>
        </w:rPr>
        <w:t>8.6</w:t>
      </w:r>
      <w:r w:rsidRPr="00F47ED3">
        <w:rPr>
          <w:szCs w:val="24"/>
          <w:lang w:val="en-US"/>
        </w:rPr>
        <w:t>%, the same % paid on the interests.</w:t>
      </w:r>
    </w:p>
    <w:p w14:paraId="50451681" w14:textId="77777777" w:rsidR="00045CA0" w:rsidRPr="00F47ED3" w:rsidRDefault="00EE64CA" w:rsidP="00045CA0">
      <w:pPr>
        <w:pStyle w:val="Paragraph"/>
        <w:numPr>
          <w:ilvl w:val="0"/>
          <w:numId w:val="0"/>
        </w:numPr>
        <w:ind w:left="927"/>
        <w:rPr>
          <w:b/>
          <w:szCs w:val="24"/>
          <w:lang w:val="en-US"/>
        </w:rPr>
      </w:pPr>
      <w:r w:rsidRPr="00F47ED3">
        <w:rPr>
          <w:b/>
          <w:szCs w:val="24"/>
          <w:lang w:val="en-US"/>
        </w:rPr>
        <w:t xml:space="preserve">RPD </w:t>
      </w:r>
      <w:r w:rsidR="00045CA0" w:rsidRPr="00F47ED3">
        <w:rPr>
          <w:b/>
          <w:szCs w:val="24"/>
          <w:lang w:val="en-US"/>
        </w:rPr>
        <w:t xml:space="preserve">- Return </w:t>
      </w:r>
      <w:r w:rsidRPr="00F47ED3">
        <w:rPr>
          <w:b/>
          <w:szCs w:val="24"/>
          <w:lang w:val="en-US"/>
        </w:rPr>
        <w:t>in</w:t>
      </w:r>
      <w:r w:rsidR="00045CA0" w:rsidRPr="00F47ED3">
        <w:rPr>
          <w:b/>
          <w:szCs w:val="24"/>
          <w:lang w:val="en-US"/>
        </w:rPr>
        <w:t xml:space="preserve"> Public Debt</w:t>
      </w:r>
    </w:p>
    <w:p w14:paraId="2D70CF57" w14:textId="274A0D1F" w:rsidR="00045CA0" w:rsidRPr="00F47ED3" w:rsidRDefault="00322EF2" w:rsidP="008E70B0">
      <w:pPr>
        <w:pStyle w:val="Paragraph"/>
        <w:numPr>
          <w:ilvl w:val="0"/>
          <w:numId w:val="0"/>
        </w:numPr>
        <w:ind w:left="927"/>
        <w:rPr>
          <w:szCs w:val="24"/>
          <w:lang w:val="en-US"/>
        </w:rPr>
      </w:pPr>
      <w:r w:rsidRPr="00F47ED3">
        <w:rPr>
          <w:b/>
          <w:szCs w:val="24"/>
          <w:lang w:val="en-US"/>
        </w:rPr>
        <w:t xml:space="preserve">PDI – Public Debt Interest = </w:t>
      </w:r>
      <w:r w:rsidR="00797A80">
        <w:rPr>
          <w:b/>
          <w:szCs w:val="24"/>
          <w:lang w:val="en-US"/>
        </w:rPr>
        <w:t>8.6</w:t>
      </w:r>
      <w:r w:rsidRPr="00F47ED3">
        <w:rPr>
          <w:b/>
          <w:szCs w:val="24"/>
          <w:lang w:val="en-US"/>
        </w:rPr>
        <w:t>%</w:t>
      </w:r>
      <w:r w:rsidR="00042C30">
        <w:rPr>
          <w:b/>
          <w:szCs w:val="24"/>
          <w:lang w:val="en-US"/>
        </w:rPr>
        <w:t xml:space="preserve"> </w:t>
      </w:r>
      <w:r w:rsidR="00042C30" w:rsidRPr="008E70B0">
        <w:rPr>
          <w:szCs w:val="24"/>
          <w:lang w:val="en-US"/>
        </w:rPr>
        <w:t>4.40</w:t>
      </w:r>
      <w:r w:rsidRPr="00F47ED3">
        <w:rPr>
          <w:szCs w:val="24"/>
          <w:lang w:val="en-US"/>
        </w:rPr>
        <w:t xml:space="preserve"> million *</w:t>
      </w:r>
      <w:r w:rsidR="0002695D" w:rsidRPr="00F47ED3">
        <w:rPr>
          <w:szCs w:val="24"/>
          <w:lang w:val="en-US"/>
        </w:rPr>
        <w:t xml:space="preserve"> 8</w:t>
      </w:r>
      <w:r w:rsidR="00736A4F">
        <w:rPr>
          <w:szCs w:val="24"/>
          <w:lang w:val="en-US"/>
        </w:rPr>
        <w:t>.</w:t>
      </w:r>
      <w:r w:rsidR="0002695D" w:rsidRPr="00F47ED3">
        <w:rPr>
          <w:szCs w:val="24"/>
          <w:lang w:val="en-US"/>
        </w:rPr>
        <w:t>6</w:t>
      </w:r>
      <w:r w:rsidRPr="00F47ED3">
        <w:rPr>
          <w:szCs w:val="24"/>
          <w:lang w:val="en-US"/>
        </w:rPr>
        <w:t>% = US$</w:t>
      </w:r>
      <w:r w:rsidR="00042C30">
        <w:rPr>
          <w:szCs w:val="24"/>
          <w:lang w:val="en-US"/>
        </w:rPr>
        <w:t>397,110</w:t>
      </w:r>
    </w:p>
    <w:p w14:paraId="5BCF1133" w14:textId="6BF3FD5C" w:rsidR="00454559" w:rsidRPr="005874C2" w:rsidRDefault="00454559" w:rsidP="00454559">
      <w:pPr>
        <w:pStyle w:val="Paragraph"/>
        <w:numPr>
          <w:ilvl w:val="1"/>
          <w:numId w:val="1"/>
        </w:numPr>
        <w:rPr>
          <w:b/>
          <w:szCs w:val="24"/>
          <w:lang w:val="en-US"/>
        </w:rPr>
      </w:pPr>
      <w:r w:rsidRPr="00F47ED3">
        <w:rPr>
          <w:b/>
          <w:szCs w:val="24"/>
          <w:lang w:val="en-US"/>
        </w:rPr>
        <w:lastRenderedPageBreak/>
        <w:t xml:space="preserve">Conclusion. </w:t>
      </w:r>
      <w:r w:rsidR="00EE64CA" w:rsidRPr="00F47ED3">
        <w:rPr>
          <w:szCs w:val="24"/>
          <w:lang w:val="en-US"/>
        </w:rPr>
        <w:t>T</w:t>
      </w:r>
      <w:r w:rsidRPr="00F47ED3">
        <w:rPr>
          <w:szCs w:val="24"/>
          <w:lang w:val="en-US"/>
        </w:rPr>
        <w:t xml:space="preserve">he </w:t>
      </w:r>
      <w:r w:rsidR="00AF16C1">
        <w:rPr>
          <w:szCs w:val="24"/>
          <w:lang w:val="en-US"/>
        </w:rPr>
        <w:t xml:space="preserve">return investment from 30 days of the </w:t>
      </w:r>
      <w:r w:rsidRPr="00F47ED3">
        <w:rPr>
          <w:szCs w:val="24"/>
          <w:lang w:val="en-US"/>
        </w:rPr>
        <w:t>TT</w:t>
      </w:r>
      <w:r w:rsidR="00616044" w:rsidRPr="00F47ED3">
        <w:rPr>
          <w:szCs w:val="24"/>
          <w:lang w:val="en-US"/>
        </w:rPr>
        <w:t>$</w:t>
      </w:r>
      <w:r w:rsidR="00042C30">
        <w:rPr>
          <w:szCs w:val="24"/>
          <w:lang w:val="en-US"/>
        </w:rPr>
        <w:t xml:space="preserve"> 6.241</w:t>
      </w:r>
      <w:r w:rsidRPr="00F47ED3">
        <w:rPr>
          <w:szCs w:val="24"/>
          <w:lang w:val="en-US"/>
        </w:rPr>
        <w:t xml:space="preserve"> billion released from the </w:t>
      </w:r>
      <w:r w:rsidR="0072023A">
        <w:rPr>
          <w:szCs w:val="24"/>
          <w:lang w:val="en-US"/>
        </w:rPr>
        <w:t xml:space="preserve">Treasury </w:t>
      </w:r>
      <w:r w:rsidR="00D41EE6">
        <w:rPr>
          <w:szCs w:val="24"/>
          <w:lang w:val="en-US"/>
        </w:rPr>
        <w:t>S</w:t>
      </w:r>
      <w:r w:rsidRPr="00F47ED3">
        <w:rPr>
          <w:szCs w:val="24"/>
          <w:lang w:val="en-US"/>
        </w:rPr>
        <w:t xml:space="preserve">uspense </w:t>
      </w:r>
      <w:r w:rsidR="00D41EE6">
        <w:rPr>
          <w:szCs w:val="24"/>
          <w:lang w:val="en-US"/>
        </w:rPr>
        <w:t>A</w:t>
      </w:r>
      <w:r w:rsidRPr="00F47ED3">
        <w:rPr>
          <w:szCs w:val="24"/>
          <w:lang w:val="en-US"/>
        </w:rPr>
        <w:t>ccount</w:t>
      </w:r>
      <w:r w:rsidR="007767B0" w:rsidRPr="00F47ED3">
        <w:rPr>
          <w:szCs w:val="24"/>
          <w:lang w:val="en-US"/>
        </w:rPr>
        <w:t xml:space="preserve"> </w:t>
      </w:r>
      <w:r w:rsidR="00EE64CA" w:rsidRPr="00F47ED3">
        <w:rPr>
          <w:szCs w:val="24"/>
          <w:lang w:val="en-US"/>
        </w:rPr>
        <w:t>will generate</w:t>
      </w:r>
      <w:r w:rsidRPr="00F47ED3">
        <w:rPr>
          <w:szCs w:val="24"/>
          <w:lang w:val="en-US"/>
        </w:rPr>
        <w:t xml:space="preserve"> savings of approximately </w:t>
      </w:r>
      <w:r w:rsidR="00641818" w:rsidRPr="00F47ED3">
        <w:rPr>
          <w:szCs w:val="24"/>
          <w:lang w:val="en-US"/>
        </w:rPr>
        <w:t>US$</w:t>
      </w:r>
      <w:r w:rsidR="006C6C61">
        <w:rPr>
          <w:szCs w:val="24"/>
          <w:lang w:val="en-US"/>
        </w:rPr>
        <w:t>4.40</w:t>
      </w:r>
      <w:r w:rsidRPr="00F47ED3">
        <w:rPr>
          <w:szCs w:val="24"/>
          <w:lang w:val="en-US"/>
        </w:rPr>
        <w:t xml:space="preserve"> million. Additionally, using this savings to pay </w:t>
      </w:r>
      <w:r w:rsidR="00ED3A79" w:rsidRPr="00F47ED3">
        <w:rPr>
          <w:szCs w:val="24"/>
          <w:lang w:val="en-US"/>
        </w:rPr>
        <w:t xml:space="preserve">a parcel </w:t>
      </w:r>
      <w:r w:rsidRPr="00F47ED3">
        <w:rPr>
          <w:szCs w:val="24"/>
          <w:lang w:val="en-US"/>
        </w:rPr>
        <w:t xml:space="preserve">of the public </w:t>
      </w:r>
      <w:r w:rsidR="00ED3A79" w:rsidRPr="00F47ED3">
        <w:rPr>
          <w:szCs w:val="24"/>
          <w:lang w:val="en-US"/>
        </w:rPr>
        <w:t>debt</w:t>
      </w:r>
      <w:r w:rsidR="00EE64CA" w:rsidRPr="00F47ED3">
        <w:rPr>
          <w:szCs w:val="24"/>
          <w:lang w:val="en-US"/>
        </w:rPr>
        <w:t xml:space="preserve"> </w:t>
      </w:r>
      <w:r w:rsidR="007767B0" w:rsidRPr="00F47ED3">
        <w:rPr>
          <w:szCs w:val="24"/>
          <w:lang w:val="en-US"/>
        </w:rPr>
        <w:t>principal</w:t>
      </w:r>
      <w:r w:rsidR="00EB562F" w:rsidRPr="00F47ED3">
        <w:rPr>
          <w:szCs w:val="24"/>
          <w:lang w:val="en-US"/>
        </w:rPr>
        <w:t xml:space="preserve"> </w:t>
      </w:r>
      <w:r w:rsidR="00EE64CA" w:rsidRPr="00F47ED3">
        <w:rPr>
          <w:szCs w:val="24"/>
          <w:lang w:val="en-US"/>
        </w:rPr>
        <w:t xml:space="preserve">will </w:t>
      </w:r>
      <w:r w:rsidR="00ED3A79" w:rsidRPr="00F47ED3">
        <w:rPr>
          <w:szCs w:val="24"/>
          <w:lang w:val="en-US"/>
        </w:rPr>
        <w:t>generate</w:t>
      </w:r>
      <w:r w:rsidRPr="00F47ED3">
        <w:rPr>
          <w:szCs w:val="24"/>
          <w:lang w:val="en-US"/>
        </w:rPr>
        <w:t xml:space="preserve"> a decrease in </w:t>
      </w:r>
      <w:r w:rsidR="00641818" w:rsidRPr="00F47ED3">
        <w:rPr>
          <w:szCs w:val="24"/>
          <w:lang w:val="en-US"/>
        </w:rPr>
        <w:t>US$</w:t>
      </w:r>
      <w:r w:rsidR="003F0E9F" w:rsidRPr="00F47ED3">
        <w:rPr>
          <w:szCs w:val="24"/>
          <w:lang w:val="en-US"/>
        </w:rPr>
        <w:t xml:space="preserve"> </w:t>
      </w:r>
      <w:r w:rsidR="00042C30">
        <w:rPr>
          <w:szCs w:val="24"/>
          <w:lang w:val="en-US"/>
        </w:rPr>
        <w:t>397,110</w:t>
      </w:r>
      <w:r w:rsidR="00ED3A79" w:rsidRPr="00F47ED3">
        <w:rPr>
          <w:szCs w:val="24"/>
          <w:lang w:val="en-US"/>
        </w:rPr>
        <w:t xml:space="preserve"> </w:t>
      </w:r>
      <w:r w:rsidR="007767B0" w:rsidRPr="00F47ED3">
        <w:rPr>
          <w:szCs w:val="24"/>
          <w:lang w:val="en-US"/>
        </w:rPr>
        <w:t>on the</w:t>
      </w:r>
      <w:r w:rsidRPr="00F47ED3">
        <w:rPr>
          <w:szCs w:val="24"/>
          <w:lang w:val="en-US"/>
        </w:rPr>
        <w:t xml:space="preserve"> interest paid</w:t>
      </w:r>
      <w:r w:rsidR="00AF16C1">
        <w:rPr>
          <w:szCs w:val="24"/>
          <w:lang w:val="en-US"/>
        </w:rPr>
        <w:t xml:space="preserve"> on the public debt principal</w:t>
      </w:r>
      <w:r w:rsidRPr="00F47ED3">
        <w:rPr>
          <w:szCs w:val="24"/>
          <w:lang w:val="en-US"/>
        </w:rPr>
        <w:t xml:space="preserve">. </w:t>
      </w:r>
      <w:r w:rsidR="00ED3A79" w:rsidRPr="00F47ED3">
        <w:rPr>
          <w:szCs w:val="24"/>
          <w:lang w:val="en-US"/>
        </w:rPr>
        <w:t>B</w:t>
      </w:r>
      <w:r w:rsidRPr="00F47ED3">
        <w:rPr>
          <w:szCs w:val="24"/>
          <w:lang w:val="en-US"/>
        </w:rPr>
        <w:t xml:space="preserve">oth benefit combined will generate a </w:t>
      </w:r>
      <w:r w:rsidR="00EB562F" w:rsidRPr="00F47ED3">
        <w:rPr>
          <w:szCs w:val="24"/>
          <w:lang w:val="en-US"/>
        </w:rPr>
        <w:t xml:space="preserve">total </w:t>
      </w:r>
      <w:r w:rsidR="00641818" w:rsidRPr="00F47ED3">
        <w:rPr>
          <w:szCs w:val="24"/>
          <w:lang w:val="en-US"/>
        </w:rPr>
        <w:t>financial benefit of US$</w:t>
      </w:r>
      <w:r w:rsidR="00042C30">
        <w:rPr>
          <w:szCs w:val="24"/>
          <w:lang w:val="en-US"/>
        </w:rPr>
        <w:t>4.78</w:t>
      </w:r>
      <w:r w:rsidR="0031078B">
        <w:rPr>
          <w:szCs w:val="24"/>
          <w:lang w:val="en-US"/>
        </w:rPr>
        <w:t> </w:t>
      </w:r>
      <w:r w:rsidRPr="00F47ED3">
        <w:rPr>
          <w:szCs w:val="24"/>
          <w:lang w:val="en-US"/>
        </w:rPr>
        <w:t>million accrued in 2018.</w:t>
      </w:r>
    </w:p>
    <w:p w14:paraId="31D3AE24" w14:textId="77777777" w:rsidR="00CC72F4" w:rsidRDefault="00CC72F4" w:rsidP="00CC72F4">
      <w:pPr>
        <w:pStyle w:val="ListParagraph"/>
        <w:numPr>
          <w:ilvl w:val="1"/>
          <w:numId w:val="1"/>
        </w:numPr>
        <w:spacing w:before="120" w:after="120" w:line="240" w:lineRule="auto"/>
        <w:contextualSpacing w:val="0"/>
        <w:jc w:val="both"/>
        <w:rPr>
          <w:rFonts w:ascii="Times New Roman" w:hAnsi="Times New Roman"/>
          <w:sz w:val="24"/>
          <w:szCs w:val="24"/>
          <w:lang w:val="en-US"/>
        </w:rPr>
      </w:pPr>
      <w:r>
        <w:rPr>
          <w:rFonts w:ascii="Times New Roman" w:hAnsi="Times New Roman"/>
          <w:sz w:val="24"/>
          <w:szCs w:val="24"/>
          <w:lang w:val="en-US"/>
        </w:rPr>
        <w:t>To calculate the benefit over the 20-year period, the project team assumed a constant interest rate over that period. This assumption is more conservative than interest rate estimations from the IMF, which projects an ascendant trajectory of interest rates for years 2014-2019 (8.6% to 10.4%) when estimating the effective interest rates to be paid by the Government on the public debt.</w:t>
      </w:r>
    </w:p>
    <w:p w14:paraId="58152917" w14:textId="63657CB1" w:rsidR="00F95B3D" w:rsidRPr="00F47ED3" w:rsidRDefault="00E57FEF" w:rsidP="00F95B3D">
      <w:pPr>
        <w:pStyle w:val="ListParagraph"/>
        <w:numPr>
          <w:ilvl w:val="1"/>
          <w:numId w:val="1"/>
        </w:numPr>
        <w:spacing w:before="120" w:after="120" w:line="240" w:lineRule="auto"/>
        <w:contextualSpacing w:val="0"/>
        <w:jc w:val="both"/>
        <w:rPr>
          <w:rFonts w:ascii="Times New Roman" w:hAnsi="Times New Roman"/>
          <w:sz w:val="24"/>
          <w:szCs w:val="24"/>
          <w:lang w:val="en-US"/>
        </w:rPr>
      </w:pPr>
      <w:r w:rsidRPr="00F47ED3">
        <w:rPr>
          <w:rFonts w:ascii="Times New Roman" w:hAnsi="Times New Roman"/>
          <w:b/>
          <w:sz w:val="24"/>
          <w:szCs w:val="24"/>
          <w:lang w:val="en-US"/>
        </w:rPr>
        <w:t xml:space="preserve">Base </w:t>
      </w:r>
      <w:r w:rsidR="009C1ADE" w:rsidRPr="00F47ED3">
        <w:rPr>
          <w:rFonts w:ascii="Times New Roman" w:hAnsi="Times New Roman"/>
          <w:b/>
          <w:sz w:val="24"/>
          <w:szCs w:val="24"/>
          <w:lang w:val="en-US"/>
        </w:rPr>
        <w:t>scenario.</w:t>
      </w:r>
      <w:r w:rsidR="009C1ADE" w:rsidRPr="00F47ED3">
        <w:rPr>
          <w:rFonts w:ascii="Times New Roman" w:hAnsi="Times New Roman"/>
          <w:sz w:val="24"/>
          <w:szCs w:val="24"/>
          <w:lang w:val="en-US"/>
        </w:rPr>
        <w:t xml:space="preserve"> The</w:t>
      </w:r>
      <w:r w:rsidR="00F95B3D" w:rsidRPr="00F47ED3">
        <w:rPr>
          <w:rFonts w:ascii="Times New Roman" w:hAnsi="Times New Roman"/>
          <w:sz w:val="24"/>
          <w:szCs w:val="24"/>
          <w:lang w:val="en-US"/>
        </w:rPr>
        <w:t xml:space="preserve"> program’s </w:t>
      </w:r>
      <w:r w:rsidR="00C977B6" w:rsidRPr="00F47ED3">
        <w:rPr>
          <w:rFonts w:ascii="Times New Roman" w:hAnsi="Times New Roman"/>
          <w:sz w:val="24"/>
          <w:szCs w:val="24"/>
          <w:lang w:val="en-US"/>
        </w:rPr>
        <w:t xml:space="preserve">financial analysis </w:t>
      </w:r>
      <w:r w:rsidR="00F95B3D" w:rsidRPr="00F47ED3">
        <w:rPr>
          <w:rFonts w:ascii="Times New Roman" w:hAnsi="Times New Roman"/>
          <w:sz w:val="24"/>
          <w:szCs w:val="24"/>
          <w:lang w:val="en-US"/>
        </w:rPr>
        <w:t xml:space="preserve">presents an Internal Rate of Return (IRR) of </w:t>
      </w:r>
      <w:r w:rsidR="00D14D05">
        <w:rPr>
          <w:rFonts w:ascii="Times New Roman" w:hAnsi="Times New Roman"/>
          <w:sz w:val="24"/>
          <w:szCs w:val="24"/>
          <w:lang w:val="en-US"/>
        </w:rPr>
        <w:t>5</w:t>
      </w:r>
      <w:r w:rsidR="00F95B3D" w:rsidRPr="00F47ED3">
        <w:rPr>
          <w:rFonts w:ascii="Times New Roman" w:hAnsi="Times New Roman"/>
          <w:sz w:val="24"/>
          <w:szCs w:val="24"/>
          <w:lang w:val="en-US"/>
        </w:rPr>
        <w:t>% with a Net Present Value of US$</w:t>
      </w:r>
      <w:r w:rsidR="00632CAA">
        <w:rPr>
          <w:rFonts w:ascii="Times New Roman" w:hAnsi="Times New Roman"/>
          <w:sz w:val="24"/>
          <w:szCs w:val="24"/>
          <w:lang w:val="en-US"/>
        </w:rPr>
        <w:t xml:space="preserve"> 2</w:t>
      </w:r>
      <w:r w:rsidR="00FF431B">
        <w:rPr>
          <w:rFonts w:ascii="Times New Roman" w:hAnsi="Times New Roman"/>
          <w:sz w:val="24"/>
          <w:szCs w:val="24"/>
          <w:lang w:val="en-US"/>
        </w:rPr>
        <w:t>1</w:t>
      </w:r>
      <w:r w:rsidR="00632CAA">
        <w:rPr>
          <w:rFonts w:ascii="Times New Roman" w:hAnsi="Times New Roman"/>
          <w:sz w:val="24"/>
          <w:szCs w:val="24"/>
          <w:lang w:val="en-US"/>
        </w:rPr>
        <w:t>.</w:t>
      </w:r>
      <w:r w:rsidR="00716592">
        <w:rPr>
          <w:rFonts w:ascii="Times New Roman" w:hAnsi="Times New Roman"/>
          <w:sz w:val="24"/>
          <w:szCs w:val="24"/>
          <w:lang w:val="en-US"/>
        </w:rPr>
        <w:t>57</w:t>
      </w:r>
      <w:r w:rsidR="00C133DA" w:rsidRPr="00F47ED3">
        <w:rPr>
          <w:rFonts w:ascii="Times New Roman" w:hAnsi="Times New Roman"/>
          <w:sz w:val="24"/>
          <w:szCs w:val="24"/>
          <w:lang w:val="en-US"/>
        </w:rPr>
        <w:t xml:space="preserve"> </w:t>
      </w:r>
      <w:r w:rsidR="00F95B3D" w:rsidRPr="00F47ED3">
        <w:rPr>
          <w:rFonts w:ascii="Times New Roman" w:hAnsi="Times New Roman"/>
          <w:sz w:val="24"/>
          <w:szCs w:val="24"/>
          <w:lang w:val="en-US"/>
        </w:rPr>
        <w:t>million in 20</w:t>
      </w:r>
      <w:r w:rsidR="008D5794">
        <w:rPr>
          <w:rFonts w:ascii="Times New Roman" w:hAnsi="Times New Roman"/>
          <w:sz w:val="24"/>
          <w:szCs w:val="24"/>
          <w:lang w:val="en-US"/>
        </w:rPr>
        <w:t>3</w:t>
      </w:r>
      <w:bookmarkStart w:id="0" w:name="_GoBack"/>
      <w:bookmarkEnd w:id="0"/>
      <w:r w:rsidR="00FF431B">
        <w:rPr>
          <w:rFonts w:ascii="Times New Roman" w:hAnsi="Times New Roman"/>
          <w:sz w:val="24"/>
          <w:szCs w:val="24"/>
          <w:lang w:val="en-US"/>
        </w:rPr>
        <w:t>5</w:t>
      </w:r>
      <w:r w:rsidR="00F95B3D" w:rsidRPr="00F47ED3">
        <w:rPr>
          <w:rFonts w:ascii="Times New Roman" w:hAnsi="Times New Roman"/>
          <w:sz w:val="24"/>
          <w:szCs w:val="24"/>
          <w:lang w:val="en-US"/>
        </w:rPr>
        <w:t>. This justifies the US$40</w:t>
      </w:r>
      <w:r w:rsidR="006C6C61">
        <w:rPr>
          <w:rFonts w:ascii="Times New Roman" w:hAnsi="Times New Roman"/>
          <w:sz w:val="24"/>
          <w:szCs w:val="24"/>
          <w:lang w:val="en-US"/>
        </w:rPr>
        <w:t xml:space="preserve"> </w:t>
      </w:r>
      <w:r w:rsidR="00F95B3D" w:rsidRPr="00F47ED3">
        <w:rPr>
          <w:rFonts w:ascii="Times New Roman" w:hAnsi="Times New Roman"/>
          <w:sz w:val="24"/>
          <w:szCs w:val="24"/>
          <w:lang w:val="en-US"/>
        </w:rPr>
        <w:t xml:space="preserve">million investment by the Inter-American Development Bank (IDB). </w:t>
      </w:r>
      <w:r w:rsidR="009C1ADE" w:rsidRPr="00F47ED3">
        <w:rPr>
          <w:rFonts w:ascii="Times New Roman" w:hAnsi="Times New Roman"/>
          <w:sz w:val="24"/>
          <w:szCs w:val="24"/>
          <w:lang w:val="en-US"/>
        </w:rPr>
        <w:t>A</w:t>
      </w:r>
      <w:r w:rsidR="00F95B3D" w:rsidRPr="00F47ED3">
        <w:rPr>
          <w:rFonts w:ascii="Times New Roman" w:hAnsi="Times New Roman"/>
          <w:sz w:val="24"/>
          <w:szCs w:val="24"/>
          <w:lang w:val="en-US"/>
        </w:rPr>
        <w:t xml:space="preserve">dditional costs associated with IT infrastructure were taken into consideration. From 2016 onwards, a maintenance cost </w:t>
      </w:r>
      <w:r w:rsidR="009A6579" w:rsidRPr="00F47ED3">
        <w:rPr>
          <w:rFonts w:ascii="Times New Roman" w:hAnsi="Times New Roman"/>
          <w:sz w:val="24"/>
          <w:szCs w:val="24"/>
          <w:lang w:val="en-US"/>
        </w:rPr>
        <w:t xml:space="preserve">will be included </w:t>
      </w:r>
      <w:r w:rsidR="00F95B3D" w:rsidRPr="00F47ED3">
        <w:rPr>
          <w:rFonts w:ascii="Times New Roman" w:hAnsi="Times New Roman"/>
          <w:sz w:val="24"/>
          <w:szCs w:val="24"/>
          <w:lang w:val="en-US"/>
        </w:rPr>
        <w:t xml:space="preserve">(licenses, upgrades, and program management). It is estimated that those costs are a </w:t>
      </w:r>
      <w:r w:rsidR="009C1ADE" w:rsidRPr="00F47ED3">
        <w:rPr>
          <w:rFonts w:ascii="Times New Roman" w:hAnsi="Times New Roman"/>
          <w:sz w:val="24"/>
          <w:szCs w:val="24"/>
          <w:lang w:val="en-US"/>
        </w:rPr>
        <w:t>5</w:t>
      </w:r>
      <w:r w:rsidR="00F95B3D" w:rsidRPr="00F47ED3">
        <w:rPr>
          <w:rFonts w:ascii="Times New Roman" w:hAnsi="Times New Roman"/>
          <w:sz w:val="24"/>
          <w:szCs w:val="24"/>
          <w:lang w:val="en-US"/>
        </w:rPr>
        <w:t>%</w:t>
      </w:r>
      <w:r w:rsidR="009A6579" w:rsidRPr="00F47ED3">
        <w:rPr>
          <w:rFonts w:ascii="Times New Roman" w:hAnsi="Times New Roman"/>
          <w:sz w:val="24"/>
          <w:szCs w:val="24"/>
          <w:lang w:val="en-US"/>
        </w:rPr>
        <w:t xml:space="preserve"> of the total cost of </w:t>
      </w:r>
      <w:r w:rsidR="002C3F61">
        <w:rPr>
          <w:rFonts w:ascii="Times New Roman" w:hAnsi="Times New Roman"/>
          <w:sz w:val="24"/>
          <w:szCs w:val="24"/>
          <w:lang w:val="en-US"/>
        </w:rPr>
        <w:t>C</w:t>
      </w:r>
      <w:r w:rsidR="009A6579" w:rsidRPr="00F47ED3">
        <w:rPr>
          <w:rFonts w:ascii="Times New Roman" w:hAnsi="Times New Roman"/>
          <w:sz w:val="24"/>
          <w:szCs w:val="24"/>
          <w:lang w:val="en-US"/>
        </w:rPr>
        <w:t>omponent </w:t>
      </w:r>
      <w:r w:rsidR="00F95B3D" w:rsidRPr="00F47ED3">
        <w:rPr>
          <w:rFonts w:ascii="Times New Roman" w:hAnsi="Times New Roman"/>
          <w:sz w:val="24"/>
          <w:szCs w:val="24"/>
          <w:lang w:val="en-US"/>
        </w:rPr>
        <w:t xml:space="preserve">2 (representing </w:t>
      </w:r>
      <w:r w:rsidR="00D14D05">
        <w:rPr>
          <w:rFonts w:ascii="Times New Roman" w:hAnsi="Times New Roman"/>
          <w:sz w:val="24"/>
          <w:szCs w:val="24"/>
          <w:lang w:val="en-US"/>
        </w:rPr>
        <w:t xml:space="preserve">approximately </w:t>
      </w:r>
      <w:r w:rsidR="00F95B3D" w:rsidRPr="00F47ED3">
        <w:rPr>
          <w:rFonts w:ascii="Times New Roman" w:hAnsi="Times New Roman"/>
          <w:sz w:val="24"/>
          <w:szCs w:val="24"/>
          <w:lang w:val="en-US"/>
        </w:rPr>
        <w:t>US</w:t>
      </w:r>
      <w:r w:rsidR="009A6579" w:rsidRPr="00F47ED3">
        <w:rPr>
          <w:rFonts w:ascii="Times New Roman" w:hAnsi="Times New Roman"/>
          <w:sz w:val="24"/>
          <w:szCs w:val="24"/>
          <w:lang w:val="en-US"/>
        </w:rPr>
        <w:t>$</w:t>
      </w:r>
      <w:r w:rsidR="009C1ADE" w:rsidRPr="00F47ED3">
        <w:rPr>
          <w:rFonts w:ascii="Times New Roman" w:hAnsi="Times New Roman"/>
          <w:sz w:val="24"/>
          <w:szCs w:val="24"/>
          <w:lang w:val="en-US"/>
        </w:rPr>
        <w:t>1.</w:t>
      </w:r>
      <w:r w:rsidR="00D14D05">
        <w:rPr>
          <w:rFonts w:ascii="Times New Roman" w:hAnsi="Times New Roman"/>
          <w:sz w:val="24"/>
          <w:szCs w:val="24"/>
          <w:lang w:val="en-US"/>
        </w:rPr>
        <w:t xml:space="preserve">2 </w:t>
      </w:r>
      <w:r w:rsidR="00F95B3D" w:rsidRPr="00F47ED3">
        <w:rPr>
          <w:rFonts w:ascii="Times New Roman" w:hAnsi="Times New Roman"/>
          <w:sz w:val="24"/>
          <w:szCs w:val="24"/>
          <w:lang w:val="en-US"/>
        </w:rPr>
        <w:t>million).</w:t>
      </w:r>
    </w:p>
    <w:p w14:paraId="3ED64E91" w14:textId="7E2B856F" w:rsidR="00E57FEF" w:rsidRPr="00F47ED3" w:rsidRDefault="00F95B3D" w:rsidP="00F95B3D">
      <w:pPr>
        <w:pStyle w:val="Paragraph"/>
        <w:numPr>
          <w:ilvl w:val="1"/>
          <w:numId w:val="1"/>
        </w:numPr>
        <w:rPr>
          <w:b/>
          <w:szCs w:val="24"/>
          <w:lang w:val="en-US"/>
        </w:rPr>
      </w:pPr>
      <w:r w:rsidRPr="00F47ED3">
        <w:rPr>
          <w:szCs w:val="24"/>
          <w:lang w:val="en-US"/>
        </w:rPr>
        <w:t xml:space="preserve">Based on this </w:t>
      </w:r>
      <w:r w:rsidR="00F853CF" w:rsidRPr="00F47ED3">
        <w:rPr>
          <w:szCs w:val="24"/>
          <w:lang w:val="en-US"/>
        </w:rPr>
        <w:t>financial analysis</w:t>
      </w:r>
      <w:r w:rsidRPr="00F47ED3">
        <w:rPr>
          <w:szCs w:val="24"/>
          <w:lang w:val="en-US"/>
        </w:rPr>
        <w:t>, it is recommended to continue with the financial and technical support from the Bank, through the implementation of the Performance Monitoring and Public Financial Management Reform under the operation TT-L1042.</w:t>
      </w:r>
    </w:p>
    <w:p w14:paraId="3F3EB07A"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630507F8"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530F9227"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1766D2F0"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5EB702D3"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2DF436FD"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0CEE55B0"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2E5A093F"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4F21743A"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5174B3B4"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051EEA0B"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0E055FD2"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7F39BB20"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64CCB189"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1BC3B8CD"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3E9556C1"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022E127E"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3C882039"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4D490A3E"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061ACDB6"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4D5262C8"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6CA47E2D"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7D897749"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1DB21DCA"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552D8202"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4DE16656"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5B1FC263"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6C71454D"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507C860B"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542F4390"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343FD6E9" w14:textId="77777777" w:rsidR="00635377" w:rsidRDefault="00635377" w:rsidP="00F95B3D">
      <w:pPr>
        <w:pStyle w:val="ListParagraph"/>
        <w:spacing w:before="120" w:after="120" w:line="240" w:lineRule="auto"/>
        <w:ind w:left="360"/>
        <w:jc w:val="center"/>
        <w:rPr>
          <w:rFonts w:ascii="Times New Roman" w:hAnsi="Times New Roman"/>
          <w:b/>
          <w:sz w:val="20"/>
          <w:szCs w:val="20"/>
          <w:lang w:val="en-US"/>
        </w:rPr>
      </w:pPr>
    </w:p>
    <w:p w14:paraId="58733C45" w14:textId="77777777" w:rsidR="00CC72F4" w:rsidRDefault="00CC72F4" w:rsidP="00F95B3D">
      <w:pPr>
        <w:pStyle w:val="ListParagraph"/>
        <w:spacing w:before="120" w:after="120" w:line="240" w:lineRule="auto"/>
        <w:ind w:left="360"/>
        <w:jc w:val="center"/>
        <w:rPr>
          <w:rFonts w:ascii="Times New Roman" w:hAnsi="Times New Roman"/>
          <w:b/>
          <w:sz w:val="20"/>
          <w:szCs w:val="20"/>
          <w:lang w:val="en-US"/>
        </w:rPr>
      </w:pPr>
    </w:p>
    <w:p w14:paraId="4F193ECE" w14:textId="66AAEC42" w:rsidR="0062001F" w:rsidRPr="008E70B0" w:rsidRDefault="00E57FEF" w:rsidP="00F95B3D">
      <w:pPr>
        <w:pStyle w:val="ListParagraph"/>
        <w:spacing w:before="120" w:after="120" w:line="240" w:lineRule="auto"/>
        <w:ind w:left="360"/>
        <w:jc w:val="center"/>
        <w:rPr>
          <w:rFonts w:ascii="Times New Roman" w:hAnsi="Times New Roman"/>
          <w:b/>
          <w:sz w:val="20"/>
          <w:szCs w:val="20"/>
          <w:lang w:val="en-US"/>
        </w:rPr>
      </w:pPr>
      <w:r w:rsidRPr="00377699">
        <w:rPr>
          <w:rFonts w:ascii="Times New Roman" w:hAnsi="Times New Roman"/>
          <w:b/>
          <w:sz w:val="20"/>
          <w:szCs w:val="20"/>
          <w:lang w:val="en-US"/>
        </w:rPr>
        <w:lastRenderedPageBreak/>
        <w:t xml:space="preserve">Table </w:t>
      </w:r>
      <w:r w:rsidR="0062001F" w:rsidRPr="00377699">
        <w:rPr>
          <w:rFonts w:ascii="Times New Roman" w:hAnsi="Times New Roman"/>
          <w:b/>
          <w:sz w:val="20"/>
          <w:szCs w:val="20"/>
          <w:lang w:val="en-US"/>
        </w:rPr>
        <w:t>III</w:t>
      </w:r>
      <w:r w:rsidRPr="00377699">
        <w:rPr>
          <w:rFonts w:ascii="Times New Roman" w:hAnsi="Times New Roman"/>
          <w:b/>
          <w:sz w:val="20"/>
          <w:szCs w:val="20"/>
          <w:lang w:val="en-US"/>
        </w:rPr>
        <w:t>: Financial Analysis for Base Case Scenario</w:t>
      </w:r>
      <w:r w:rsidR="0062001F" w:rsidRPr="00377699">
        <w:rPr>
          <w:rFonts w:ascii="Times New Roman" w:hAnsi="Times New Roman"/>
          <w:b/>
          <w:sz w:val="20"/>
          <w:szCs w:val="20"/>
          <w:lang w:val="en-US"/>
        </w:rPr>
        <w:t xml:space="preserve"> </w:t>
      </w:r>
    </w:p>
    <w:p w14:paraId="168B4113" w14:textId="46368042" w:rsidR="00E57FEF" w:rsidRPr="00E31A26" w:rsidRDefault="00E57FEF" w:rsidP="00F95B3D">
      <w:pPr>
        <w:pStyle w:val="ListParagraph"/>
        <w:spacing w:before="120" w:after="120" w:line="240" w:lineRule="auto"/>
        <w:ind w:left="360"/>
        <w:jc w:val="center"/>
        <w:rPr>
          <w:lang w:val="en-US"/>
        </w:rPr>
      </w:pPr>
    </w:p>
    <w:p w14:paraId="774C4061" w14:textId="77777777" w:rsidR="00F56B5A" w:rsidRDefault="001176BF" w:rsidP="00002082">
      <w:pPr>
        <w:pStyle w:val="TitulopostI"/>
        <w:tabs>
          <w:tab w:val="left" w:pos="2493"/>
        </w:tabs>
        <w:ind w:left="-990" w:firstLine="0"/>
        <w:rPr>
          <w:lang w:val="en-US"/>
        </w:rPr>
      </w:pPr>
      <w:r w:rsidRPr="001176BF">
        <w:rPr>
          <w:noProof/>
          <w:lang w:val="en-US"/>
        </w:rPr>
        <w:drawing>
          <wp:inline distT="0" distB="0" distL="0" distR="0" wp14:anchorId="004A3E9A" wp14:editId="20BF68DD">
            <wp:extent cx="6797675" cy="4728949"/>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1346" cy="4738459"/>
                    </a:xfrm>
                    <a:prstGeom prst="rect">
                      <a:avLst/>
                    </a:prstGeom>
                    <a:noFill/>
                    <a:ln>
                      <a:noFill/>
                    </a:ln>
                  </pic:spPr>
                </pic:pic>
              </a:graphicData>
            </a:graphic>
          </wp:inline>
        </w:drawing>
      </w:r>
      <w:r w:rsidR="00042C30" w:rsidRPr="00E31A26">
        <w:rPr>
          <w:lang w:val="en-US"/>
        </w:rPr>
        <w:tab/>
      </w:r>
    </w:p>
    <w:p w14:paraId="434EB835" w14:textId="77777777" w:rsidR="00FF431B" w:rsidRDefault="00FF431B" w:rsidP="008E70B0">
      <w:pPr>
        <w:pStyle w:val="TitulopostI"/>
        <w:tabs>
          <w:tab w:val="left" w:pos="2493"/>
        </w:tabs>
        <w:ind w:left="-990" w:firstLine="0"/>
        <w:jc w:val="center"/>
        <w:rPr>
          <w:lang w:val="en-US"/>
        </w:rPr>
      </w:pPr>
    </w:p>
    <w:p w14:paraId="4677E09D" w14:textId="32201192" w:rsidR="000B7067" w:rsidRPr="008E70B0" w:rsidRDefault="000B7067" w:rsidP="008E70B0">
      <w:pPr>
        <w:pStyle w:val="TitulopostI"/>
        <w:tabs>
          <w:tab w:val="left" w:pos="2493"/>
        </w:tabs>
        <w:ind w:left="-990" w:firstLine="0"/>
        <w:jc w:val="center"/>
        <w:rPr>
          <w:lang w:val="es-ES_tradnl"/>
        </w:rPr>
      </w:pPr>
      <w:proofErr w:type="spellStart"/>
      <w:r w:rsidRPr="008E70B0">
        <w:rPr>
          <w:lang w:val="es-ES_tradnl"/>
        </w:rPr>
        <w:t>Sensitivity</w:t>
      </w:r>
      <w:proofErr w:type="spellEnd"/>
      <w:r w:rsidRPr="008E70B0">
        <w:rPr>
          <w:lang w:val="es-ES_tradnl"/>
        </w:rPr>
        <w:t xml:space="preserve"> </w:t>
      </w:r>
      <w:proofErr w:type="spellStart"/>
      <w:r w:rsidRPr="008E70B0">
        <w:rPr>
          <w:lang w:val="es-ES_tradnl"/>
        </w:rPr>
        <w:t>analysis</w:t>
      </w:r>
      <w:proofErr w:type="spellEnd"/>
    </w:p>
    <w:p w14:paraId="541E0C49" w14:textId="77777777" w:rsidR="000B7067" w:rsidRPr="00F47ED3" w:rsidRDefault="00ED3A79" w:rsidP="001C655C">
      <w:pPr>
        <w:pStyle w:val="ListParagraph"/>
        <w:numPr>
          <w:ilvl w:val="1"/>
          <w:numId w:val="8"/>
        </w:numPr>
        <w:spacing w:before="120" w:after="120" w:line="240" w:lineRule="auto"/>
        <w:ind w:left="547" w:hanging="547"/>
        <w:contextualSpacing w:val="0"/>
        <w:jc w:val="both"/>
        <w:rPr>
          <w:rFonts w:ascii="Times New Roman" w:hAnsi="Times New Roman"/>
          <w:sz w:val="24"/>
          <w:szCs w:val="24"/>
          <w:lang w:val="en-US"/>
        </w:rPr>
      </w:pPr>
      <w:r w:rsidRPr="00F47ED3">
        <w:rPr>
          <w:rFonts w:ascii="Times New Roman" w:hAnsi="Times New Roman"/>
          <w:sz w:val="24"/>
          <w:szCs w:val="24"/>
          <w:lang w:val="en-US"/>
        </w:rPr>
        <w:t>For the sensitivity analysis, the following scenarios were considered</w:t>
      </w:r>
      <w:r w:rsidR="000B7067" w:rsidRPr="00F47ED3">
        <w:rPr>
          <w:rFonts w:ascii="Times New Roman" w:hAnsi="Times New Roman"/>
          <w:sz w:val="24"/>
          <w:szCs w:val="24"/>
          <w:lang w:val="en-US"/>
        </w:rPr>
        <w:t xml:space="preserve">: </w:t>
      </w:r>
    </w:p>
    <w:p w14:paraId="1FCA29A8" w14:textId="44F48B16" w:rsidR="00EB562F" w:rsidRPr="00F47ED3" w:rsidRDefault="00EB562F" w:rsidP="00941FC2">
      <w:pPr>
        <w:pStyle w:val="subpar"/>
        <w:rPr>
          <w:lang w:val="en-US"/>
        </w:rPr>
      </w:pPr>
      <w:r w:rsidRPr="00F47ED3">
        <w:rPr>
          <w:lang w:val="en-US"/>
        </w:rPr>
        <w:t xml:space="preserve">Only </w:t>
      </w:r>
      <w:r w:rsidR="00F56B5A">
        <w:rPr>
          <w:lang w:val="en-US"/>
        </w:rPr>
        <w:t>8</w:t>
      </w:r>
      <w:r w:rsidRPr="00F47ED3">
        <w:rPr>
          <w:lang w:val="en-US"/>
        </w:rPr>
        <w:t>0% of the funds in the</w:t>
      </w:r>
      <w:r w:rsidR="0072023A">
        <w:rPr>
          <w:lang w:val="en-US"/>
        </w:rPr>
        <w:t xml:space="preserve"> Treasury</w:t>
      </w:r>
      <w:r w:rsidRPr="00F47ED3">
        <w:rPr>
          <w:lang w:val="en-US"/>
        </w:rPr>
        <w:t xml:space="preserve"> </w:t>
      </w:r>
      <w:r w:rsidR="00D41EE6">
        <w:rPr>
          <w:lang w:val="en-US"/>
        </w:rPr>
        <w:t>S</w:t>
      </w:r>
      <w:r w:rsidRPr="00F47ED3">
        <w:rPr>
          <w:lang w:val="en-US"/>
        </w:rPr>
        <w:t xml:space="preserve">uspense </w:t>
      </w:r>
      <w:r w:rsidR="00D41EE6">
        <w:rPr>
          <w:lang w:val="en-US"/>
        </w:rPr>
        <w:t>A</w:t>
      </w:r>
      <w:r w:rsidRPr="00F47ED3">
        <w:rPr>
          <w:lang w:val="en-US"/>
        </w:rPr>
        <w:t xml:space="preserve">ccount </w:t>
      </w:r>
      <w:r w:rsidR="002737C4" w:rsidRPr="00F47ED3">
        <w:rPr>
          <w:lang w:val="en-US"/>
        </w:rPr>
        <w:t>are</w:t>
      </w:r>
      <w:r w:rsidRPr="00F47ED3">
        <w:rPr>
          <w:lang w:val="en-US"/>
        </w:rPr>
        <w:t xml:space="preserve"> released.</w:t>
      </w:r>
    </w:p>
    <w:p w14:paraId="29ACE368" w14:textId="7488B2EA" w:rsidR="000B7067" w:rsidRDefault="00AF14D7" w:rsidP="00941FC2">
      <w:pPr>
        <w:pStyle w:val="subpar"/>
        <w:rPr>
          <w:lang w:val="en-US"/>
        </w:rPr>
      </w:pPr>
      <w:r w:rsidRPr="00F47ED3">
        <w:rPr>
          <w:lang w:val="en-US"/>
        </w:rPr>
        <w:t>The interest rate paid on</w:t>
      </w:r>
      <w:r w:rsidR="00EB562F" w:rsidRPr="00F47ED3">
        <w:rPr>
          <w:lang w:val="en-US"/>
        </w:rPr>
        <w:t xml:space="preserve"> funds released decrease to </w:t>
      </w:r>
      <w:r w:rsidR="00F56B5A">
        <w:rPr>
          <w:lang w:val="en-US"/>
        </w:rPr>
        <w:t>3.5</w:t>
      </w:r>
      <w:r w:rsidR="00EB562F" w:rsidRPr="00F47ED3">
        <w:rPr>
          <w:lang w:val="en-US"/>
        </w:rPr>
        <w:t>%</w:t>
      </w:r>
      <w:r w:rsidRPr="00F47ED3">
        <w:rPr>
          <w:lang w:val="en-US"/>
        </w:rPr>
        <w:t>.</w:t>
      </w:r>
    </w:p>
    <w:p w14:paraId="689CCA4C" w14:textId="77777777" w:rsidR="006A53CD" w:rsidRPr="00D26774" w:rsidRDefault="006A53CD" w:rsidP="008E70B0">
      <w:pPr>
        <w:pStyle w:val="Paragraph"/>
        <w:numPr>
          <w:ilvl w:val="0"/>
          <w:numId w:val="0"/>
        </w:numPr>
        <w:ind w:left="720"/>
        <w:rPr>
          <w:lang w:val="en-US"/>
        </w:rPr>
      </w:pPr>
    </w:p>
    <w:p w14:paraId="6209A451" w14:textId="77777777" w:rsidR="006A53CD" w:rsidRDefault="006A53CD" w:rsidP="006A53CD">
      <w:pPr>
        <w:spacing w:after="0" w:line="240" w:lineRule="auto"/>
        <w:jc w:val="center"/>
        <w:rPr>
          <w:rFonts w:ascii="Times New Roman" w:eastAsia="Times New Roman" w:hAnsi="Times New Roman"/>
          <w:b/>
          <w:bCs/>
          <w:color w:val="000000"/>
          <w:sz w:val="20"/>
          <w:szCs w:val="20"/>
        </w:rPr>
      </w:pPr>
      <w:r>
        <w:rPr>
          <w:b/>
          <w:bCs/>
          <w:color w:val="000000"/>
          <w:sz w:val="20"/>
          <w:szCs w:val="20"/>
          <w:lang w:val="en-US"/>
        </w:rPr>
        <w:t>Table 3 – Savings Calculation and Sensitivity Analysis</w:t>
      </w:r>
    </w:p>
    <w:tbl>
      <w:tblPr>
        <w:tblW w:w="9960" w:type="dxa"/>
        <w:tblInd w:w="-380" w:type="dxa"/>
        <w:tblCellMar>
          <w:left w:w="70" w:type="dxa"/>
          <w:right w:w="70" w:type="dxa"/>
        </w:tblCellMar>
        <w:tblLook w:val="04A0" w:firstRow="1" w:lastRow="0" w:firstColumn="1" w:lastColumn="0" w:noHBand="0" w:noVBand="1"/>
      </w:tblPr>
      <w:tblGrid>
        <w:gridCol w:w="2970"/>
        <w:gridCol w:w="1440"/>
        <w:gridCol w:w="960"/>
        <w:gridCol w:w="1290"/>
        <w:gridCol w:w="1260"/>
        <w:gridCol w:w="1080"/>
        <w:gridCol w:w="960"/>
      </w:tblGrid>
      <w:tr w:rsidR="000045B5" w:rsidRPr="000045B5" w14:paraId="1FC88810" w14:textId="77777777" w:rsidTr="000045B5">
        <w:trPr>
          <w:trHeight w:val="270"/>
        </w:trPr>
        <w:tc>
          <w:tcPr>
            <w:tcW w:w="9960" w:type="dxa"/>
            <w:gridSpan w:val="7"/>
            <w:tcBorders>
              <w:top w:val="nil"/>
              <w:left w:val="single" w:sz="8" w:space="0" w:color="auto"/>
              <w:bottom w:val="single" w:sz="8" w:space="0" w:color="auto"/>
              <w:right w:val="single" w:sz="8" w:space="0" w:color="000000"/>
            </w:tcBorders>
            <w:shd w:val="clear" w:color="000000" w:fill="BFBFBF"/>
            <w:vAlign w:val="center"/>
            <w:hideMark/>
          </w:tcPr>
          <w:p w14:paraId="26F1A80B" w14:textId="77777777" w:rsidR="000045B5" w:rsidRPr="000045B5" w:rsidRDefault="00FD57E7" w:rsidP="000045B5">
            <w:pPr>
              <w:spacing w:after="0" w:line="240" w:lineRule="auto"/>
              <w:jc w:val="center"/>
              <w:rPr>
                <w:rFonts w:ascii="Times New Roman" w:eastAsia="Times New Roman" w:hAnsi="Times New Roman"/>
                <w:b/>
                <w:bCs/>
                <w:color w:val="000000"/>
                <w:sz w:val="20"/>
                <w:szCs w:val="20"/>
                <w:lang w:val="pt-BR" w:eastAsia="pt-BR"/>
              </w:rPr>
            </w:pPr>
            <w:r>
              <w:rPr>
                <w:rFonts w:ascii="Times New Roman" w:eastAsia="Times New Roman" w:hAnsi="Times New Roman"/>
                <w:b/>
                <w:bCs/>
                <w:color w:val="000000"/>
                <w:sz w:val="20"/>
                <w:szCs w:val="20"/>
                <w:lang w:val="pt-BR" w:eastAsia="pt-BR"/>
              </w:rPr>
              <w:t>US$</w:t>
            </w:r>
          </w:p>
        </w:tc>
      </w:tr>
      <w:tr w:rsidR="000045B5" w:rsidRPr="000045B5" w14:paraId="0A417368" w14:textId="77777777" w:rsidTr="000045B5">
        <w:trPr>
          <w:trHeight w:val="790"/>
        </w:trPr>
        <w:tc>
          <w:tcPr>
            <w:tcW w:w="2970" w:type="dxa"/>
            <w:tcBorders>
              <w:top w:val="nil"/>
              <w:left w:val="single" w:sz="8" w:space="0" w:color="auto"/>
              <w:bottom w:val="single" w:sz="8" w:space="0" w:color="auto"/>
              <w:right w:val="single" w:sz="8" w:space="0" w:color="auto"/>
            </w:tcBorders>
            <w:shd w:val="clear" w:color="000000" w:fill="D9D9D9"/>
            <w:noWrap/>
            <w:vAlign w:val="center"/>
            <w:hideMark/>
          </w:tcPr>
          <w:p w14:paraId="6B188E06" w14:textId="77777777" w:rsidR="000045B5" w:rsidRPr="000045B5" w:rsidRDefault="000045B5" w:rsidP="000045B5">
            <w:pPr>
              <w:spacing w:after="0" w:line="240" w:lineRule="auto"/>
              <w:jc w:val="center"/>
              <w:rPr>
                <w:rFonts w:ascii="Times New Roman" w:eastAsia="Times New Roman" w:hAnsi="Times New Roman"/>
                <w:b/>
                <w:bCs/>
                <w:color w:val="000000"/>
                <w:sz w:val="20"/>
                <w:szCs w:val="20"/>
                <w:lang w:val="pt-BR" w:eastAsia="pt-BR"/>
              </w:rPr>
            </w:pPr>
            <w:r w:rsidRPr="000045B5">
              <w:rPr>
                <w:rFonts w:ascii="Times New Roman" w:eastAsia="Times New Roman" w:hAnsi="Times New Roman"/>
                <w:b/>
                <w:bCs/>
                <w:color w:val="000000"/>
                <w:sz w:val="20"/>
                <w:szCs w:val="20"/>
                <w:lang w:val="en-US" w:eastAsia="pt-BR"/>
              </w:rPr>
              <w:t>Scenarios / Details</w:t>
            </w:r>
          </w:p>
        </w:tc>
        <w:tc>
          <w:tcPr>
            <w:tcW w:w="1440" w:type="dxa"/>
            <w:tcBorders>
              <w:top w:val="nil"/>
              <w:left w:val="nil"/>
              <w:bottom w:val="single" w:sz="8" w:space="0" w:color="auto"/>
              <w:right w:val="single" w:sz="8" w:space="0" w:color="auto"/>
            </w:tcBorders>
            <w:shd w:val="clear" w:color="000000" w:fill="D9D9D9"/>
            <w:vAlign w:val="center"/>
            <w:hideMark/>
          </w:tcPr>
          <w:p w14:paraId="280D6F92" w14:textId="77777777" w:rsidR="000045B5" w:rsidRPr="008E70B0" w:rsidRDefault="00517DB6" w:rsidP="000045B5">
            <w:pPr>
              <w:spacing w:after="0" w:line="240" w:lineRule="auto"/>
              <w:jc w:val="center"/>
              <w:rPr>
                <w:rFonts w:ascii="Times New Roman" w:eastAsia="Times New Roman" w:hAnsi="Times New Roman"/>
                <w:b/>
                <w:bCs/>
                <w:color w:val="000000"/>
                <w:sz w:val="20"/>
                <w:szCs w:val="20"/>
                <w:lang w:val="en-US" w:eastAsia="pt-BR"/>
              </w:rPr>
            </w:pPr>
            <w:r>
              <w:rPr>
                <w:rFonts w:ascii="Times New Roman" w:eastAsia="Times New Roman" w:hAnsi="Times New Roman"/>
                <w:b/>
                <w:bCs/>
                <w:color w:val="000000"/>
                <w:sz w:val="20"/>
                <w:szCs w:val="20"/>
                <w:lang w:val="en-US" w:eastAsia="pt-BR"/>
              </w:rPr>
              <w:t xml:space="preserve">Treasury </w:t>
            </w:r>
            <w:r w:rsidR="000045B5" w:rsidRPr="000045B5">
              <w:rPr>
                <w:rFonts w:ascii="Times New Roman" w:eastAsia="Times New Roman" w:hAnsi="Times New Roman"/>
                <w:b/>
                <w:bCs/>
                <w:color w:val="000000"/>
                <w:sz w:val="20"/>
                <w:szCs w:val="20"/>
                <w:lang w:val="en-US" w:eastAsia="pt-BR"/>
              </w:rPr>
              <w:t>Suspense Account funds released</w:t>
            </w:r>
          </w:p>
        </w:tc>
        <w:tc>
          <w:tcPr>
            <w:tcW w:w="960" w:type="dxa"/>
            <w:tcBorders>
              <w:top w:val="nil"/>
              <w:left w:val="nil"/>
              <w:bottom w:val="single" w:sz="8" w:space="0" w:color="auto"/>
              <w:right w:val="single" w:sz="8" w:space="0" w:color="auto"/>
            </w:tcBorders>
            <w:shd w:val="clear" w:color="000000" w:fill="D9D9D9"/>
            <w:vAlign w:val="center"/>
            <w:hideMark/>
          </w:tcPr>
          <w:p w14:paraId="267E0364" w14:textId="77777777" w:rsidR="000045B5" w:rsidRPr="000045B5" w:rsidRDefault="000045B5" w:rsidP="000045B5">
            <w:pPr>
              <w:spacing w:after="0" w:line="240" w:lineRule="auto"/>
              <w:jc w:val="center"/>
              <w:rPr>
                <w:rFonts w:ascii="Times New Roman" w:eastAsia="Times New Roman" w:hAnsi="Times New Roman"/>
                <w:b/>
                <w:bCs/>
                <w:color w:val="000000"/>
                <w:sz w:val="20"/>
                <w:szCs w:val="20"/>
                <w:lang w:val="pt-BR" w:eastAsia="pt-BR"/>
              </w:rPr>
            </w:pPr>
            <w:r w:rsidRPr="000045B5">
              <w:rPr>
                <w:rFonts w:ascii="Times New Roman" w:eastAsia="Times New Roman" w:hAnsi="Times New Roman"/>
                <w:b/>
                <w:bCs/>
                <w:color w:val="000000"/>
                <w:sz w:val="20"/>
                <w:szCs w:val="20"/>
                <w:lang w:val="en-US" w:eastAsia="pt-BR"/>
              </w:rPr>
              <w:t>Interest Rate</w:t>
            </w:r>
          </w:p>
        </w:tc>
        <w:tc>
          <w:tcPr>
            <w:tcW w:w="1290" w:type="dxa"/>
            <w:tcBorders>
              <w:top w:val="nil"/>
              <w:left w:val="nil"/>
              <w:bottom w:val="single" w:sz="8" w:space="0" w:color="auto"/>
              <w:right w:val="single" w:sz="8" w:space="0" w:color="auto"/>
            </w:tcBorders>
            <w:shd w:val="clear" w:color="000000" w:fill="D9D9D9"/>
            <w:vAlign w:val="center"/>
            <w:hideMark/>
          </w:tcPr>
          <w:p w14:paraId="4B54D484" w14:textId="77777777" w:rsidR="000045B5" w:rsidRPr="000045B5" w:rsidRDefault="000045B5" w:rsidP="000045B5">
            <w:pPr>
              <w:spacing w:after="0" w:line="240" w:lineRule="auto"/>
              <w:jc w:val="center"/>
              <w:rPr>
                <w:rFonts w:ascii="Times New Roman" w:eastAsia="Times New Roman" w:hAnsi="Times New Roman"/>
                <w:b/>
                <w:bCs/>
                <w:color w:val="000000"/>
                <w:sz w:val="20"/>
                <w:szCs w:val="20"/>
                <w:lang w:val="pt-BR" w:eastAsia="pt-BR"/>
              </w:rPr>
            </w:pPr>
            <w:r w:rsidRPr="000045B5">
              <w:rPr>
                <w:rFonts w:ascii="Times New Roman" w:eastAsia="Times New Roman" w:hAnsi="Times New Roman"/>
                <w:b/>
                <w:bCs/>
                <w:color w:val="000000"/>
                <w:sz w:val="20"/>
                <w:szCs w:val="20"/>
                <w:lang w:val="en-US" w:eastAsia="pt-BR"/>
              </w:rPr>
              <w:t>Daily Savings</w:t>
            </w:r>
          </w:p>
        </w:tc>
        <w:tc>
          <w:tcPr>
            <w:tcW w:w="1260" w:type="dxa"/>
            <w:tcBorders>
              <w:top w:val="nil"/>
              <w:left w:val="nil"/>
              <w:bottom w:val="single" w:sz="8" w:space="0" w:color="auto"/>
              <w:right w:val="single" w:sz="8" w:space="0" w:color="auto"/>
            </w:tcBorders>
            <w:shd w:val="clear" w:color="000000" w:fill="D9D9D9"/>
            <w:vAlign w:val="center"/>
            <w:hideMark/>
          </w:tcPr>
          <w:p w14:paraId="1069A6D8" w14:textId="77777777" w:rsidR="000045B5" w:rsidRPr="000045B5" w:rsidRDefault="000045B5" w:rsidP="000045B5">
            <w:pPr>
              <w:spacing w:after="0" w:line="240" w:lineRule="auto"/>
              <w:jc w:val="center"/>
              <w:rPr>
                <w:rFonts w:ascii="Times New Roman" w:eastAsia="Times New Roman" w:hAnsi="Times New Roman"/>
                <w:b/>
                <w:bCs/>
                <w:color w:val="000000"/>
                <w:sz w:val="20"/>
                <w:szCs w:val="20"/>
                <w:lang w:val="pt-BR" w:eastAsia="pt-BR"/>
              </w:rPr>
            </w:pPr>
            <w:r w:rsidRPr="000045B5">
              <w:rPr>
                <w:rFonts w:ascii="Times New Roman" w:eastAsia="Times New Roman" w:hAnsi="Times New Roman"/>
                <w:b/>
                <w:bCs/>
                <w:color w:val="000000"/>
                <w:sz w:val="20"/>
                <w:szCs w:val="20"/>
                <w:lang w:val="en-US" w:eastAsia="pt-BR"/>
              </w:rPr>
              <w:t>30 days savings</w:t>
            </w:r>
          </w:p>
        </w:tc>
        <w:tc>
          <w:tcPr>
            <w:tcW w:w="1080" w:type="dxa"/>
            <w:tcBorders>
              <w:top w:val="nil"/>
              <w:left w:val="nil"/>
              <w:bottom w:val="single" w:sz="8" w:space="0" w:color="auto"/>
              <w:right w:val="single" w:sz="8" w:space="0" w:color="auto"/>
            </w:tcBorders>
            <w:shd w:val="clear" w:color="000000" w:fill="D9D9D9"/>
            <w:vAlign w:val="center"/>
            <w:hideMark/>
          </w:tcPr>
          <w:p w14:paraId="40326C9C" w14:textId="77777777" w:rsidR="000045B5" w:rsidRPr="000045B5" w:rsidRDefault="000045B5" w:rsidP="000045B5">
            <w:pPr>
              <w:spacing w:after="0" w:line="240" w:lineRule="auto"/>
              <w:jc w:val="center"/>
              <w:rPr>
                <w:rFonts w:ascii="Times New Roman" w:eastAsia="Times New Roman" w:hAnsi="Times New Roman"/>
                <w:b/>
                <w:bCs/>
                <w:color w:val="000000"/>
                <w:sz w:val="20"/>
                <w:szCs w:val="20"/>
                <w:lang w:val="pt-BR" w:eastAsia="pt-BR"/>
              </w:rPr>
            </w:pPr>
            <w:r w:rsidRPr="000045B5">
              <w:rPr>
                <w:rFonts w:ascii="Times New Roman" w:eastAsia="Times New Roman" w:hAnsi="Times New Roman"/>
                <w:b/>
                <w:bCs/>
                <w:color w:val="000000"/>
                <w:sz w:val="20"/>
                <w:szCs w:val="20"/>
                <w:lang w:val="en-US" w:eastAsia="pt-BR"/>
              </w:rPr>
              <w:t>Public debt savings</w:t>
            </w:r>
          </w:p>
        </w:tc>
        <w:tc>
          <w:tcPr>
            <w:tcW w:w="960" w:type="dxa"/>
            <w:tcBorders>
              <w:top w:val="nil"/>
              <w:left w:val="nil"/>
              <w:bottom w:val="single" w:sz="8" w:space="0" w:color="auto"/>
              <w:right w:val="single" w:sz="8" w:space="0" w:color="auto"/>
            </w:tcBorders>
            <w:shd w:val="clear" w:color="000000" w:fill="D9D9D9"/>
            <w:vAlign w:val="center"/>
            <w:hideMark/>
          </w:tcPr>
          <w:p w14:paraId="697D62BA" w14:textId="77777777" w:rsidR="000045B5" w:rsidRPr="000045B5" w:rsidRDefault="000045B5" w:rsidP="000045B5">
            <w:pPr>
              <w:spacing w:after="0" w:line="240" w:lineRule="auto"/>
              <w:jc w:val="center"/>
              <w:rPr>
                <w:rFonts w:ascii="Times New Roman" w:eastAsia="Times New Roman" w:hAnsi="Times New Roman"/>
                <w:b/>
                <w:bCs/>
                <w:color w:val="000000"/>
                <w:sz w:val="20"/>
                <w:szCs w:val="20"/>
                <w:lang w:val="pt-BR" w:eastAsia="pt-BR"/>
              </w:rPr>
            </w:pPr>
            <w:r w:rsidRPr="000045B5">
              <w:rPr>
                <w:rFonts w:ascii="Times New Roman" w:eastAsia="Times New Roman" w:hAnsi="Times New Roman"/>
                <w:b/>
                <w:bCs/>
                <w:color w:val="000000"/>
                <w:sz w:val="20"/>
                <w:szCs w:val="20"/>
                <w:lang w:val="en-US" w:eastAsia="pt-BR"/>
              </w:rPr>
              <w:t>Total Savings</w:t>
            </w:r>
          </w:p>
        </w:tc>
      </w:tr>
      <w:tr w:rsidR="00F56B5A" w:rsidRPr="000045B5" w14:paraId="58F51D22" w14:textId="77777777" w:rsidTr="008E70B0">
        <w:trPr>
          <w:trHeight w:val="727"/>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0BF51D99" w14:textId="3B44B8BD" w:rsidR="00F56B5A" w:rsidRPr="008E70B0" w:rsidRDefault="00F56B5A" w:rsidP="00F56B5A">
            <w:pPr>
              <w:spacing w:after="0" w:line="240" w:lineRule="auto"/>
              <w:rPr>
                <w:rFonts w:ascii="Times New Roman" w:eastAsia="Times New Roman" w:hAnsi="Times New Roman"/>
                <w:b/>
                <w:bCs/>
                <w:color w:val="000000"/>
                <w:sz w:val="20"/>
                <w:szCs w:val="20"/>
                <w:lang w:val="en-US" w:eastAsia="pt-BR"/>
              </w:rPr>
            </w:pPr>
            <w:r w:rsidRPr="000045B5">
              <w:rPr>
                <w:rFonts w:ascii="Times New Roman" w:eastAsia="Times New Roman" w:hAnsi="Times New Roman"/>
                <w:b/>
                <w:bCs/>
                <w:color w:val="000000"/>
                <w:sz w:val="20"/>
                <w:szCs w:val="20"/>
                <w:lang w:val="en-US" w:eastAsia="pt-BR"/>
              </w:rPr>
              <w:t xml:space="preserve">1. Base Scenario 100% of the funds in the </w:t>
            </w:r>
            <w:r>
              <w:rPr>
                <w:rFonts w:ascii="Times New Roman" w:eastAsia="Times New Roman" w:hAnsi="Times New Roman"/>
                <w:b/>
                <w:bCs/>
                <w:color w:val="000000"/>
                <w:sz w:val="20"/>
                <w:szCs w:val="20"/>
                <w:lang w:val="en-US" w:eastAsia="pt-BR"/>
              </w:rPr>
              <w:t xml:space="preserve">Treasury </w:t>
            </w:r>
            <w:r w:rsidRPr="000045B5">
              <w:rPr>
                <w:rFonts w:ascii="Times New Roman" w:eastAsia="Times New Roman" w:hAnsi="Times New Roman"/>
                <w:b/>
                <w:bCs/>
                <w:color w:val="000000"/>
                <w:sz w:val="20"/>
                <w:szCs w:val="20"/>
                <w:lang w:val="en-US" w:eastAsia="pt-BR"/>
              </w:rPr>
              <w:t>suspense account are released</w:t>
            </w:r>
          </w:p>
        </w:tc>
        <w:tc>
          <w:tcPr>
            <w:tcW w:w="1440" w:type="dxa"/>
            <w:tcBorders>
              <w:top w:val="nil"/>
              <w:left w:val="nil"/>
              <w:bottom w:val="single" w:sz="8" w:space="0" w:color="auto"/>
              <w:right w:val="single" w:sz="8" w:space="0" w:color="auto"/>
            </w:tcBorders>
            <w:shd w:val="clear" w:color="auto" w:fill="auto"/>
            <w:noWrap/>
            <w:vAlign w:val="center"/>
            <w:hideMark/>
          </w:tcPr>
          <w:p w14:paraId="557D2EA1" w14:textId="77777777" w:rsidR="00F56B5A" w:rsidRPr="000045B5"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975,160,535</w:t>
            </w:r>
          </w:p>
        </w:tc>
        <w:tc>
          <w:tcPr>
            <w:tcW w:w="960" w:type="dxa"/>
            <w:tcBorders>
              <w:top w:val="nil"/>
              <w:left w:val="nil"/>
              <w:bottom w:val="single" w:sz="8" w:space="0" w:color="auto"/>
              <w:right w:val="single" w:sz="8" w:space="0" w:color="auto"/>
            </w:tcBorders>
            <w:shd w:val="clear" w:color="auto" w:fill="auto"/>
            <w:noWrap/>
            <w:vAlign w:val="center"/>
            <w:hideMark/>
          </w:tcPr>
          <w:p w14:paraId="3E72AB3C" w14:textId="77777777" w:rsidR="00F56B5A" w:rsidRPr="000045B5" w:rsidRDefault="00F56B5A" w:rsidP="00F56B5A">
            <w:pPr>
              <w:spacing w:after="0" w:line="240" w:lineRule="auto"/>
              <w:jc w:val="center"/>
              <w:rPr>
                <w:rFonts w:ascii="Times New Roman" w:eastAsia="Times New Roman" w:hAnsi="Times New Roman"/>
                <w:color w:val="000000"/>
                <w:sz w:val="20"/>
                <w:szCs w:val="20"/>
                <w:lang w:val="pt-BR" w:eastAsia="pt-BR"/>
              </w:rPr>
            </w:pPr>
            <w:r>
              <w:rPr>
                <w:rFonts w:cs="Arial"/>
                <w:color w:val="000000"/>
                <w:sz w:val="20"/>
                <w:szCs w:val="20"/>
              </w:rPr>
              <w:t>5.5</w:t>
            </w:r>
          </w:p>
        </w:tc>
        <w:tc>
          <w:tcPr>
            <w:tcW w:w="1290" w:type="dxa"/>
            <w:tcBorders>
              <w:top w:val="nil"/>
              <w:left w:val="nil"/>
              <w:bottom w:val="single" w:sz="8" w:space="0" w:color="auto"/>
              <w:right w:val="single" w:sz="8" w:space="0" w:color="auto"/>
            </w:tcBorders>
            <w:shd w:val="clear" w:color="auto" w:fill="auto"/>
            <w:noWrap/>
            <w:vAlign w:val="center"/>
            <w:hideMark/>
          </w:tcPr>
          <w:p w14:paraId="501FE0FB" w14:textId="77777777" w:rsidR="00F56B5A" w:rsidRPr="000045B5"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146,942</w:t>
            </w:r>
          </w:p>
        </w:tc>
        <w:tc>
          <w:tcPr>
            <w:tcW w:w="1260" w:type="dxa"/>
            <w:tcBorders>
              <w:top w:val="nil"/>
              <w:left w:val="nil"/>
              <w:bottom w:val="single" w:sz="8" w:space="0" w:color="auto"/>
              <w:right w:val="single" w:sz="8" w:space="0" w:color="auto"/>
            </w:tcBorders>
            <w:shd w:val="clear" w:color="auto" w:fill="auto"/>
            <w:noWrap/>
            <w:vAlign w:val="center"/>
            <w:hideMark/>
          </w:tcPr>
          <w:p w14:paraId="7206E242" w14:textId="77777777" w:rsidR="00F56B5A" w:rsidRPr="000045B5"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4,408,260</w:t>
            </w:r>
          </w:p>
        </w:tc>
        <w:tc>
          <w:tcPr>
            <w:tcW w:w="1080" w:type="dxa"/>
            <w:tcBorders>
              <w:top w:val="nil"/>
              <w:left w:val="nil"/>
              <w:bottom w:val="single" w:sz="8" w:space="0" w:color="auto"/>
              <w:right w:val="single" w:sz="8" w:space="0" w:color="auto"/>
            </w:tcBorders>
            <w:shd w:val="clear" w:color="auto" w:fill="auto"/>
            <w:noWrap/>
            <w:vAlign w:val="center"/>
            <w:hideMark/>
          </w:tcPr>
          <w:p w14:paraId="0D22FF75" w14:textId="77777777" w:rsidR="00F56B5A" w:rsidRPr="00517DB6"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379,110</w:t>
            </w:r>
          </w:p>
        </w:tc>
        <w:tc>
          <w:tcPr>
            <w:tcW w:w="960" w:type="dxa"/>
            <w:tcBorders>
              <w:top w:val="nil"/>
              <w:left w:val="nil"/>
              <w:bottom w:val="single" w:sz="8" w:space="0" w:color="auto"/>
              <w:right w:val="single" w:sz="8" w:space="0" w:color="auto"/>
            </w:tcBorders>
            <w:shd w:val="clear" w:color="auto" w:fill="auto"/>
            <w:noWrap/>
            <w:vAlign w:val="center"/>
            <w:hideMark/>
          </w:tcPr>
          <w:p w14:paraId="12AEDA30" w14:textId="77777777" w:rsidR="00F56B5A" w:rsidRPr="00517DB6"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4,787,370</w:t>
            </w:r>
          </w:p>
        </w:tc>
      </w:tr>
      <w:tr w:rsidR="00F56B5A" w:rsidRPr="000045B5" w14:paraId="6594BF36" w14:textId="77777777" w:rsidTr="008E70B0">
        <w:trPr>
          <w:trHeight w:val="610"/>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4E6B75F2" w14:textId="2138C1E2" w:rsidR="00F56B5A" w:rsidRPr="008E70B0" w:rsidRDefault="006C6C61" w:rsidP="00F56B5A">
            <w:pPr>
              <w:spacing w:after="0" w:line="240" w:lineRule="auto"/>
              <w:rPr>
                <w:rFonts w:ascii="Times New Roman" w:eastAsia="Times New Roman" w:hAnsi="Times New Roman"/>
                <w:b/>
                <w:bCs/>
                <w:color w:val="000000"/>
                <w:sz w:val="20"/>
                <w:szCs w:val="20"/>
                <w:lang w:val="en-US" w:eastAsia="pt-BR"/>
              </w:rPr>
            </w:pPr>
            <w:r>
              <w:rPr>
                <w:rFonts w:ascii="Times New Roman" w:eastAsia="Times New Roman" w:hAnsi="Times New Roman"/>
                <w:b/>
                <w:bCs/>
                <w:color w:val="000000"/>
                <w:sz w:val="20"/>
                <w:szCs w:val="20"/>
                <w:lang w:val="en-US" w:eastAsia="pt-BR"/>
              </w:rPr>
              <w:lastRenderedPageBreak/>
              <w:t>2. Only 8</w:t>
            </w:r>
            <w:r w:rsidR="00F56B5A" w:rsidRPr="000045B5">
              <w:rPr>
                <w:rFonts w:ascii="Times New Roman" w:eastAsia="Times New Roman" w:hAnsi="Times New Roman"/>
                <w:b/>
                <w:bCs/>
                <w:color w:val="000000"/>
                <w:sz w:val="20"/>
                <w:szCs w:val="20"/>
                <w:lang w:val="en-US" w:eastAsia="pt-BR"/>
              </w:rPr>
              <w:t xml:space="preserve">0% of the funds in the </w:t>
            </w:r>
            <w:r w:rsidR="00F56B5A">
              <w:rPr>
                <w:rFonts w:ascii="Times New Roman" w:eastAsia="Times New Roman" w:hAnsi="Times New Roman"/>
                <w:b/>
                <w:bCs/>
                <w:color w:val="000000"/>
                <w:sz w:val="20"/>
                <w:szCs w:val="20"/>
                <w:lang w:val="en-US" w:eastAsia="pt-BR"/>
              </w:rPr>
              <w:t xml:space="preserve">Treasury </w:t>
            </w:r>
            <w:r w:rsidR="00D41EE6">
              <w:rPr>
                <w:rFonts w:ascii="Times New Roman" w:eastAsia="Times New Roman" w:hAnsi="Times New Roman"/>
                <w:b/>
                <w:bCs/>
                <w:color w:val="000000"/>
                <w:sz w:val="20"/>
                <w:szCs w:val="20"/>
                <w:lang w:val="en-US" w:eastAsia="pt-BR"/>
              </w:rPr>
              <w:t>S</w:t>
            </w:r>
            <w:r w:rsidR="00F56B5A" w:rsidRPr="000045B5">
              <w:rPr>
                <w:rFonts w:ascii="Times New Roman" w:eastAsia="Times New Roman" w:hAnsi="Times New Roman"/>
                <w:b/>
                <w:bCs/>
                <w:color w:val="000000"/>
                <w:sz w:val="20"/>
                <w:szCs w:val="20"/>
                <w:lang w:val="en-US" w:eastAsia="pt-BR"/>
              </w:rPr>
              <w:t xml:space="preserve">uspense </w:t>
            </w:r>
            <w:r w:rsidR="00D41EE6">
              <w:rPr>
                <w:rFonts w:ascii="Times New Roman" w:eastAsia="Times New Roman" w:hAnsi="Times New Roman"/>
                <w:b/>
                <w:bCs/>
                <w:color w:val="000000"/>
                <w:sz w:val="20"/>
                <w:szCs w:val="20"/>
                <w:lang w:val="en-US" w:eastAsia="pt-BR"/>
              </w:rPr>
              <w:t>A</w:t>
            </w:r>
            <w:r w:rsidR="00F56B5A" w:rsidRPr="000045B5">
              <w:rPr>
                <w:rFonts w:ascii="Times New Roman" w:eastAsia="Times New Roman" w:hAnsi="Times New Roman"/>
                <w:b/>
                <w:bCs/>
                <w:color w:val="000000"/>
                <w:sz w:val="20"/>
                <w:szCs w:val="20"/>
                <w:lang w:val="en-US" w:eastAsia="pt-BR"/>
              </w:rPr>
              <w:t>ccount are released.</w:t>
            </w:r>
          </w:p>
        </w:tc>
        <w:tc>
          <w:tcPr>
            <w:tcW w:w="1440" w:type="dxa"/>
            <w:tcBorders>
              <w:top w:val="nil"/>
              <w:left w:val="nil"/>
              <w:bottom w:val="single" w:sz="8" w:space="0" w:color="auto"/>
              <w:right w:val="single" w:sz="8" w:space="0" w:color="auto"/>
            </w:tcBorders>
            <w:shd w:val="clear" w:color="auto" w:fill="auto"/>
            <w:noWrap/>
            <w:vAlign w:val="center"/>
            <w:hideMark/>
          </w:tcPr>
          <w:p w14:paraId="0B98A187" w14:textId="77777777" w:rsidR="00F56B5A" w:rsidRPr="000045B5"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780,128,428</w:t>
            </w:r>
          </w:p>
        </w:tc>
        <w:tc>
          <w:tcPr>
            <w:tcW w:w="960" w:type="dxa"/>
            <w:tcBorders>
              <w:top w:val="nil"/>
              <w:left w:val="nil"/>
              <w:bottom w:val="single" w:sz="8" w:space="0" w:color="auto"/>
              <w:right w:val="single" w:sz="8" w:space="0" w:color="auto"/>
            </w:tcBorders>
            <w:shd w:val="clear" w:color="auto" w:fill="auto"/>
            <w:noWrap/>
            <w:vAlign w:val="center"/>
            <w:hideMark/>
          </w:tcPr>
          <w:p w14:paraId="79797EFF" w14:textId="77777777" w:rsidR="00F56B5A" w:rsidRPr="000045B5" w:rsidRDefault="00F56B5A" w:rsidP="00F56B5A">
            <w:pPr>
              <w:spacing w:after="0" w:line="240" w:lineRule="auto"/>
              <w:jc w:val="center"/>
              <w:rPr>
                <w:rFonts w:ascii="Times New Roman" w:eastAsia="Times New Roman" w:hAnsi="Times New Roman"/>
                <w:color w:val="000000"/>
                <w:sz w:val="20"/>
                <w:szCs w:val="20"/>
                <w:lang w:val="pt-BR" w:eastAsia="pt-BR"/>
              </w:rPr>
            </w:pPr>
            <w:r>
              <w:rPr>
                <w:rFonts w:cs="Arial"/>
                <w:color w:val="000000"/>
                <w:sz w:val="20"/>
                <w:szCs w:val="20"/>
              </w:rPr>
              <w:t>5.5</w:t>
            </w:r>
          </w:p>
        </w:tc>
        <w:tc>
          <w:tcPr>
            <w:tcW w:w="1290" w:type="dxa"/>
            <w:tcBorders>
              <w:top w:val="nil"/>
              <w:left w:val="nil"/>
              <w:bottom w:val="single" w:sz="8" w:space="0" w:color="auto"/>
              <w:right w:val="single" w:sz="8" w:space="0" w:color="auto"/>
            </w:tcBorders>
            <w:shd w:val="clear" w:color="auto" w:fill="auto"/>
            <w:noWrap/>
            <w:vAlign w:val="center"/>
            <w:hideMark/>
          </w:tcPr>
          <w:p w14:paraId="4509FD5D" w14:textId="77777777" w:rsidR="00F56B5A" w:rsidRPr="000045B5"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117,554</w:t>
            </w:r>
          </w:p>
        </w:tc>
        <w:tc>
          <w:tcPr>
            <w:tcW w:w="1260" w:type="dxa"/>
            <w:tcBorders>
              <w:top w:val="nil"/>
              <w:left w:val="nil"/>
              <w:bottom w:val="single" w:sz="8" w:space="0" w:color="auto"/>
              <w:right w:val="single" w:sz="8" w:space="0" w:color="auto"/>
            </w:tcBorders>
            <w:shd w:val="clear" w:color="auto" w:fill="auto"/>
            <w:noWrap/>
            <w:vAlign w:val="center"/>
            <w:hideMark/>
          </w:tcPr>
          <w:p w14:paraId="2B49B506" w14:textId="77777777" w:rsidR="00F56B5A" w:rsidRPr="000045B5"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3,526,608</w:t>
            </w:r>
          </w:p>
        </w:tc>
        <w:tc>
          <w:tcPr>
            <w:tcW w:w="1080" w:type="dxa"/>
            <w:tcBorders>
              <w:top w:val="nil"/>
              <w:left w:val="nil"/>
              <w:bottom w:val="single" w:sz="8" w:space="0" w:color="auto"/>
              <w:right w:val="single" w:sz="8" w:space="0" w:color="auto"/>
            </w:tcBorders>
            <w:shd w:val="clear" w:color="auto" w:fill="auto"/>
            <w:noWrap/>
            <w:vAlign w:val="center"/>
            <w:hideMark/>
          </w:tcPr>
          <w:p w14:paraId="45B271A9" w14:textId="77777777" w:rsidR="00F56B5A" w:rsidRPr="00517DB6"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303,288</w:t>
            </w:r>
          </w:p>
        </w:tc>
        <w:tc>
          <w:tcPr>
            <w:tcW w:w="960" w:type="dxa"/>
            <w:tcBorders>
              <w:top w:val="nil"/>
              <w:left w:val="nil"/>
              <w:bottom w:val="single" w:sz="8" w:space="0" w:color="auto"/>
              <w:right w:val="single" w:sz="8" w:space="0" w:color="auto"/>
            </w:tcBorders>
            <w:shd w:val="clear" w:color="auto" w:fill="auto"/>
            <w:noWrap/>
            <w:vAlign w:val="center"/>
            <w:hideMark/>
          </w:tcPr>
          <w:p w14:paraId="69BF28FF" w14:textId="77777777" w:rsidR="00F56B5A" w:rsidRPr="00517DB6"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3,829,896</w:t>
            </w:r>
          </w:p>
        </w:tc>
      </w:tr>
      <w:tr w:rsidR="00F56B5A" w:rsidRPr="000045B5" w14:paraId="1B721886" w14:textId="77777777" w:rsidTr="008E70B0">
        <w:trPr>
          <w:trHeight w:val="610"/>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16786F22" w14:textId="77777777" w:rsidR="00F56B5A" w:rsidRPr="008E70B0" w:rsidRDefault="00F56B5A" w:rsidP="00F56B5A">
            <w:pPr>
              <w:spacing w:after="0" w:line="240" w:lineRule="auto"/>
              <w:rPr>
                <w:rFonts w:ascii="Times New Roman" w:eastAsia="Times New Roman" w:hAnsi="Times New Roman"/>
                <w:b/>
                <w:bCs/>
                <w:color w:val="000000"/>
                <w:sz w:val="20"/>
                <w:szCs w:val="20"/>
                <w:lang w:val="en-US" w:eastAsia="pt-BR"/>
              </w:rPr>
            </w:pPr>
            <w:r w:rsidRPr="000045B5">
              <w:rPr>
                <w:rFonts w:ascii="Times New Roman" w:eastAsia="Times New Roman" w:hAnsi="Times New Roman"/>
                <w:b/>
                <w:bCs/>
                <w:color w:val="000000"/>
                <w:sz w:val="20"/>
                <w:szCs w:val="20"/>
                <w:lang w:val="en-US" w:eastAsia="pt-BR"/>
              </w:rPr>
              <w:t>3. The interest rate paid on t</w:t>
            </w:r>
            <w:r w:rsidR="006C6C61">
              <w:rPr>
                <w:rFonts w:ascii="Times New Roman" w:eastAsia="Times New Roman" w:hAnsi="Times New Roman"/>
                <w:b/>
                <w:bCs/>
                <w:color w:val="000000"/>
                <w:sz w:val="20"/>
                <w:szCs w:val="20"/>
                <w:lang w:val="en-US" w:eastAsia="pt-BR"/>
              </w:rPr>
              <w:t>his funds released decrease to 3.5</w:t>
            </w:r>
            <w:r w:rsidRPr="000045B5">
              <w:rPr>
                <w:rFonts w:ascii="Times New Roman" w:eastAsia="Times New Roman" w:hAnsi="Times New Roman"/>
                <w:b/>
                <w:bCs/>
                <w:color w:val="000000"/>
                <w:sz w:val="20"/>
                <w:szCs w:val="20"/>
                <w:lang w:val="en-US" w:eastAsia="pt-BR"/>
              </w:rPr>
              <w:t>%</w:t>
            </w:r>
          </w:p>
        </w:tc>
        <w:tc>
          <w:tcPr>
            <w:tcW w:w="1440" w:type="dxa"/>
            <w:tcBorders>
              <w:top w:val="nil"/>
              <w:left w:val="nil"/>
              <w:bottom w:val="single" w:sz="8" w:space="0" w:color="auto"/>
              <w:right w:val="single" w:sz="8" w:space="0" w:color="auto"/>
            </w:tcBorders>
            <w:shd w:val="clear" w:color="auto" w:fill="auto"/>
            <w:noWrap/>
            <w:vAlign w:val="center"/>
            <w:hideMark/>
          </w:tcPr>
          <w:p w14:paraId="254C3023" w14:textId="77777777" w:rsidR="00F56B5A" w:rsidRPr="000045B5"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975,160,535</w:t>
            </w:r>
          </w:p>
        </w:tc>
        <w:tc>
          <w:tcPr>
            <w:tcW w:w="960" w:type="dxa"/>
            <w:tcBorders>
              <w:top w:val="nil"/>
              <w:left w:val="nil"/>
              <w:bottom w:val="single" w:sz="8" w:space="0" w:color="auto"/>
              <w:right w:val="single" w:sz="8" w:space="0" w:color="auto"/>
            </w:tcBorders>
            <w:shd w:val="clear" w:color="auto" w:fill="auto"/>
            <w:noWrap/>
            <w:vAlign w:val="center"/>
            <w:hideMark/>
          </w:tcPr>
          <w:p w14:paraId="76DF7ECF" w14:textId="77777777" w:rsidR="00F56B5A" w:rsidRPr="000045B5" w:rsidRDefault="00F56B5A" w:rsidP="00F56B5A">
            <w:pPr>
              <w:spacing w:after="0" w:line="240" w:lineRule="auto"/>
              <w:jc w:val="center"/>
              <w:rPr>
                <w:rFonts w:ascii="Times New Roman" w:eastAsia="Times New Roman" w:hAnsi="Times New Roman"/>
                <w:color w:val="000000"/>
                <w:sz w:val="20"/>
                <w:szCs w:val="20"/>
                <w:lang w:val="pt-BR" w:eastAsia="pt-BR"/>
              </w:rPr>
            </w:pPr>
            <w:r>
              <w:rPr>
                <w:rFonts w:cs="Arial"/>
                <w:color w:val="000000"/>
                <w:sz w:val="20"/>
                <w:szCs w:val="20"/>
              </w:rPr>
              <w:t>3.5</w:t>
            </w:r>
          </w:p>
        </w:tc>
        <w:tc>
          <w:tcPr>
            <w:tcW w:w="1290" w:type="dxa"/>
            <w:tcBorders>
              <w:top w:val="nil"/>
              <w:left w:val="nil"/>
              <w:bottom w:val="single" w:sz="8" w:space="0" w:color="auto"/>
              <w:right w:val="single" w:sz="8" w:space="0" w:color="auto"/>
            </w:tcBorders>
            <w:shd w:val="clear" w:color="auto" w:fill="auto"/>
            <w:noWrap/>
            <w:vAlign w:val="center"/>
            <w:hideMark/>
          </w:tcPr>
          <w:p w14:paraId="7710D211" w14:textId="77777777" w:rsidR="00F56B5A" w:rsidRPr="000045B5"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93,509</w:t>
            </w:r>
          </w:p>
        </w:tc>
        <w:tc>
          <w:tcPr>
            <w:tcW w:w="1260" w:type="dxa"/>
            <w:tcBorders>
              <w:top w:val="nil"/>
              <w:left w:val="nil"/>
              <w:bottom w:val="single" w:sz="8" w:space="0" w:color="auto"/>
              <w:right w:val="single" w:sz="8" w:space="0" w:color="auto"/>
            </w:tcBorders>
            <w:shd w:val="clear" w:color="auto" w:fill="auto"/>
            <w:noWrap/>
            <w:vAlign w:val="center"/>
            <w:hideMark/>
          </w:tcPr>
          <w:p w14:paraId="5B57D494" w14:textId="77777777" w:rsidR="00F56B5A" w:rsidRPr="000045B5"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2,805,256</w:t>
            </w:r>
          </w:p>
        </w:tc>
        <w:tc>
          <w:tcPr>
            <w:tcW w:w="1080" w:type="dxa"/>
            <w:tcBorders>
              <w:top w:val="nil"/>
              <w:left w:val="nil"/>
              <w:bottom w:val="single" w:sz="8" w:space="0" w:color="auto"/>
              <w:right w:val="single" w:sz="8" w:space="0" w:color="auto"/>
            </w:tcBorders>
            <w:shd w:val="clear" w:color="auto" w:fill="auto"/>
            <w:noWrap/>
            <w:vAlign w:val="center"/>
            <w:hideMark/>
          </w:tcPr>
          <w:p w14:paraId="53831C17" w14:textId="77777777" w:rsidR="00F56B5A" w:rsidRPr="00517DB6"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241,252</w:t>
            </w:r>
          </w:p>
        </w:tc>
        <w:tc>
          <w:tcPr>
            <w:tcW w:w="960" w:type="dxa"/>
            <w:tcBorders>
              <w:top w:val="nil"/>
              <w:left w:val="nil"/>
              <w:bottom w:val="single" w:sz="8" w:space="0" w:color="auto"/>
              <w:right w:val="single" w:sz="8" w:space="0" w:color="auto"/>
            </w:tcBorders>
            <w:shd w:val="clear" w:color="auto" w:fill="auto"/>
            <w:noWrap/>
            <w:vAlign w:val="center"/>
            <w:hideMark/>
          </w:tcPr>
          <w:p w14:paraId="67D96E87" w14:textId="77777777" w:rsidR="00F56B5A" w:rsidRPr="00517DB6"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3,046,508</w:t>
            </w:r>
          </w:p>
        </w:tc>
      </w:tr>
      <w:tr w:rsidR="00F56B5A" w:rsidRPr="000045B5" w14:paraId="6C69959E" w14:textId="77777777" w:rsidTr="008E70B0">
        <w:trPr>
          <w:trHeight w:val="530"/>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03237A3D" w14:textId="77777777" w:rsidR="00F56B5A" w:rsidRPr="000045B5" w:rsidRDefault="00F56B5A" w:rsidP="00F56B5A">
            <w:pPr>
              <w:spacing w:after="0" w:line="240" w:lineRule="auto"/>
              <w:rPr>
                <w:rFonts w:ascii="Times New Roman" w:eastAsia="Times New Roman" w:hAnsi="Times New Roman"/>
                <w:b/>
                <w:bCs/>
                <w:color w:val="000000"/>
                <w:sz w:val="20"/>
                <w:szCs w:val="20"/>
                <w:lang w:val="pt-BR" w:eastAsia="pt-BR"/>
              </w:rPr>
            </w:pPr>
            <w:r w:rsidRPr="000045B5">
              <w:rPr>
                <w:rFonts w:ascii="Times New Roman" w:eastAsia="Times New Roman" w:hAnsi="Times New Roman"/>
                <w:b/>
                <w:bCs/>
                <w:color w:val="000000"/>
                <w:sz w:val="20"/>
                <w:szCs w:val="20"/>
                <w:lang w:val="en-US" w:eastAsia="pt-BR"/>
              </w:rPr>
              <w:t>4. Combination of both scenarios</w:t>
            </w:r>
          </w:p>
        </w:tc>
        <w:tc>
          <w:tcPr>
            <w:tcW w:w="1440" w:type="dxa"/>
            <w:tcBorders>
              <w:top w:val="nil"/>
              <w:left w:val="nil"/>
              <w:bottom w:val="single" w:sz="8" w:space="0" w:color="auto"/>
              <w:right w:val="single" w:sz="8" w:space="0" w:color="auto"/>
            </w:tcBorders>
            <w:shd w:val="clear" w:color="auto" w:fill="auto"/>
            <w:noWrap/>
            <w:vAlign w:val="center"/>
            <w:hideMark/>
          </w:tcPr>
          <w:p w14:paraId="03153A6D" w14:textId="77777777" w:rsidR="00F56B5A" w:rsidRPr="000045B5"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780,128,428</w:t>
            </w:r>
          </w:p>
        </w:tc>
        <w:tc>
          <w:tcPr>
            <w:tcW w:w="960" w:type="dxa"/>
            <w:tcBorders>
              <w:top w:val="nil"/>
              <w:left w:val="nil"/>
              <w:bottom w:val="single" w:sz="8" w:space="0" w:color="auto"/>
              <w:right w:val="single" w:sz="8" w:space="0" w:color="auto"/>
            </w:tcBorders>
            <w:shd w:val="clear" w:color="auto" w:fill="auto"/>
            <w:noWrap/>
            <w:vAlign w:val="center"/>
            <w:hideMark/>
          </w:tcPr>
          <w:p w14:paraId="606F06EB" w14:textId="77777777" w:rsidR="00F56B5A" w:rsidRPr="000045B5" w:rsidRDefault="00F56B5A" w:rsidP="00F56B5A">
            <w:pPr>
              <w:spacing w:after="0" w:line="240" w:lineRule="auto"/>
              <w:jc w:val="center"/>
              <w:rPr>
                <w:rFonts w:ascii="Times New Roman" w:eastAsia="Times New Roman" w:hAnsi="Times New Roman"/>
                <w:color w:val="000000"/>
                <w:sz w:val="20"/>
                <w:szCs w:val="20"/>
                <w:lang w:val="pt-BR" w:eastAsia="pt-BR"/>
              </w:rPr>
            </w:pPr>
            <w:r>
              <w:rPr>
                <w:rFonts w:cs="Arial"/>
                <w:color w:val="000000"/>
                <w:sz w:val="20"/>
                <w:szCs w:val="20"/>
              </w:rPr>
              <w:t>3.5</w:t>
            </w:r>
          </w:p>
        </w:tc>
        <w:tc>
          <w:tcPr>
            <w:tcW w:w="1290" w:type="dxa"/>
            <w:tcBorders>
              <w:top w:val="nil"/>
              <w:left w:val="nil"/>
              <w:bottom w:val="single" w:sz="8" w:space="0" w:color="auto"/>
              <w:right w:val="single" w:sz="8" w:space="0" w:color="auto"/>
            </w:tcBorders>
            <w:shd w:val="clear" w:color="auto" w:fill="auto"/>
            <w:noWrap/>
            <w:vAlign w:val="center"/>
            <w:hideMark/>
          </w:tcPr>
          <w:p w14:paraId="1E69535D" w14:textId="77777777" w:rsidR="00F56B5A" w:rsidRPr="000045B5"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74,807</w:t>
            </w:r>
          </w:p>
        </w:tc>
        <w:tc>
          <w:tcPr>
            <w:tcW w:w="1260" w:type="dxa"/>
            <w:tcBorders>
              <w:top w:val="nil"/>
              <w:left w:val="nil"/>
              <w:bottom w:val="single" w:sz="8" w:space="0" w:color="auto"/>
              <w:right w:val="single" w:sz="8" w:space="0" w:color="auto"/>
            </w:tcBorders>
            <w:shd w:val="clear" w:color="auto" w:fill="auto"/>
            <w:noWrap/>
            <w:vAlign w:val="center"/>
            <w:hideMark/>
          </w:tcPr>
          <w:p w14:paraId="49AFDB7E" w14:textId="77777777" w:rsidR="00F56B5A" w:rsidRPr="000045B5"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2,244,205</w:t>
            </w:r>
          </w:p>
        </w:tc>
        <w:tc>
          <w:tcPr>
            <w:tcW w:w="1080" w:type="dxa"/>
            <w:tcBorders>
              <w:top w:val="nil"/>
              <w:left w:val="nil"/>
              <w:bottom w:val="single" w:sz="8" w:space="0" w:color="auto"/>
              <w:right w:val="single" w:sz="8" w:space="0" w:color="auto"/>
            </w:tcBorders>
            <w:shd w:val="clear" w:color="auto" w:fill="auto"/>
            <w:noWrap/>
            <w:vAlign w:val="center"/>
            <w:hideMark/>
          </w:tcPr>
          <w:p w14:paraId="7A846043" w14:textId="77777777" w:rsidR="00F56B5A" w:rsidRPr="00517DB6"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193,002</w:t>
            </w:r>
          </w:p>
        </w:tc>
        <w:tc>
          <w:tcPr>
            <w:tcW w:w="960" w:type="dxa"/>
            <w:tcBorders>
              <w:top w:val="nil"/>
              <w:left w:val="nil"/>
              <w:bottom w:val="single" w:sz="8" w:space="0" w:color="auto"/>
              <w:right w:val="single" w:sz="8" w:space="0" w:color="auto"/>
            </w:tcBorders>
            <w:shd w:val="clear" w:color="auto" w:fill="auto"/>
            <w:noWrap/>
            <w:vAlign w:val="center"/>
            <w:hideMark/>
          </w:tcPr>
          <w:p w14:paraId="436DF555" w14:textId="77777777" w:rsidR="00F56B5A" w:rsidRPr="00517DB6" w:rsidRDefault="00F56B5A" w:rsidP="00F56B5A">
            <w:pPr>
              <w:spacing w:after="0" w:line="240" w:lineRule="auto"/>
              <w:jc w:val="right"/>
              <w:rPr>
                <w:rFonts w:ascii="Times New Roman" w:eastAsia="Times New Roman" w:hAnsi="Times New Roman"/>
                <w:color w:val="000000"/>
                <w:sz w:val="20"/>
                <w:szCs w:val="20"/>
                <w:lang w:val="pt-BR" w:eastAsia="pt-BR"/>
              </w:rPr>
            </w:pPr>
            <w:r>
              <w:rPr>
                <w:rFonts w:cs="Arial"/>
                <w:color w:val="000000"/>
                <w:sz w:val="20"/>
                <w:szCs w:val="20"/>
              </w:rPr>
              <w:t>2,437,207</w:t>
            </w:r>
          </w:p>
        </w:tc>
      </w:tr>
    </w:tbl>
    <w:p w14:paraId="299DC323" w14:textId="77777777" w:rsidR="000045B5" w:rsidRDefault="000045B5" w:rsidP="008E70B0">
      <w:pPr>
        <w:pStyle w:val="subpar"/>
        <w:numPr>
          <w:ilvl w:val="0"/>
          <w:numId w:val="0"/>
        </w:numPr>
        <w:ind w:left="1152"/>
        <w:rPr>
          <w:lang w:val="en-US"/>
        </w:rPr>
      </w:pPr>
    </w:p>
    <w:p w14:paraId="2453EF8E" w14:textId="77777777" w:rsidR="006A53CD" w:rsidRPr="00F47ED3" w:rsidRDefault="006A53CD" w:rsidP="008E70B0">
      <w:pPr>
        <w:pStyle w:val="subpar"/>
        <w:numPr>
          <w:ilvl w:val="0"/>
          <w:numId w:val="0"/>
        </w:numPr>
        <w:ind w:left="1152"/>
        <w:rPr>
          <w:lang w:val="en-US"/>
        </w:rPr>
      </w:pPr>
    </w:p>
    <w:p w14:paraId="3D45463B" w14:textId="77777777" w:rsidR="000B7067" w:rsidRPr="00F47ED3" w:rsidRDefault="0032721C" w:rsidP="000B7067">
      <w:pPr>
        <w:pStyle w:val="ListParagraph"/>
        <w:keepNext/>
        <w:spacing w:before="120" w:after="120" w:line="240" w:lineRule="auto"/>
        <w:ind w:left="2520" w:firstLine="360"/>
        <w:rPr>
          <w:rFonts w:ascii="Times New Roman" w:hAnsi="Times New Roman"/>
          <w:b/>
          <w:sz w:val="20"/>
          <w:szCs w:val="20"/>
          <w:lang w:val="en-US"/>
        </w:rPr>
      </w:pPr>
      <w:r w:rsidRPr="00F47ED3">
        <w:rPr>
          <w:rFonts w:ascii="Times New Roman" w:hAnsi="Times New Roman"/>
          <w:b/>
          <w:sz w:val="20"/>
          <w:szCs w:val="20"/>
          <w:lang w:val="en-US"/>
        </w:rPr>
        <w:t>Table 4</w:t>
      </w:r>
      <w:r w:rsidR="000B7067" w:rsidRPr="00F47ED3">
        <w:rPr>
          <w:rFonts w:ascii="Times New Roman" w:hAnsi="Times New Roman"/>
          <w:b/>
          <w:sz w:val="20"/>
          <w:szCs w:val="20"/>
          <w:lang w:val="en-US"/>
        </w:rPr>
        <w:t>: Results and Sensitivity Analysis Summary</w:t>
      </w:r>
    </w:p>
    <w:tbl>
      <w:tblPr>
        <w:tblW w:w="10512" w:type="dxa"/>
        <w:jc w:val="center"/>
        <w:tblLayout w:type="fixed"/>
        <w:tblCellMar>
          <w:left w:w="70" w:type="dxa"/>
          <w:right w:w="70" w:type="dxa"/>
        </w:tblCellMar>
        <w:tblLook w:val="04A0" w:firstRow="1" w:lastRow="0" w:firstColumn="1" w:lastColumn="0" w:noHBand="0" w:noVBand="1"/>
      </w:tblPr>
      <w:tblGrid>
        <w:gridCol w:w="2981"/>
        <w:gridCol w:w="1879"/>
        <w:gridCol w:w="1819"/>
        <w:gridCol w:w="2007"/>
        <w:gridCol w:w="1826"/>
      </w:tblGrid>
      <w:tr w:rsidR="000B7067" w:rsidRPr="00F47ED3" w14:paraId="31AD1A69" w14:textId="77777777" w:rsidTr="008E70B0">
        <w:trPr>
          <w:trHeight w:val="1275"/>
          <w:jc w:val="center"/>
        </w:trPr>
        <w:tc>
          <w:tcPr>
            <w:tcW w:w="2981" w:type="dxa"/>
            <w:tcBorders>
              <w:top w:val="single" w:sz="12" w:space="0" w:color="auto"/>
              <w:left w:val="single" w:sz="12" w:space="0" w:color="auto"/>
              <w:bottom w:val="single" w:sz="4" w:space="0" w:color="auto"/>
              <w:right w:val="single" w:sz="4" w:space="0" w:color="auto"/>
            </w:tcBorders>
            <w:shd w:val="clear" w:color="auto" w:fill="D9D9D9"/>
            <w:hideMark/>
          </w:tcPr>
          <w:p w14:paraId="25A42AE3" w14:textId="77777777" w:rsidR="000B7067" w:rsidRPr="00F47ED3" w:rsidRDefault="000B7067" w:rsidP="000B7067">
            <w:pPr>
              <w:spacing w:before="120" w:after="120" w:line="240" w:lineRule="auto"/>
              <w:jc w:val="center"/>
              <w:rPr>
                <w:rFonts w:ascii="Times New Roman" w:eastAsia="Times New Roman" w:hAnsi="Times New Roman"/>
                <w:b/>
                <w:color w:val="000000"/>
                <w:sz w:val="18"/>
                <w:szCs w:val="18"/>
                <w:lang w:val="en-US" w:eastAsia="es-ES"/>
              </w:rPr>
            </w:pPr>
            <w:r w:rsidRPr="00F47ED3">
              <w:rPr>
                <w:rFonts w:ascii="Times New Roman" w:eastAsia="Times New Roman" w:hAnsi="Times New Roman"/>
                <w:b/>
                <w:color w:val="000000"/>
                <w:sz w:val="18"/>
                <w:szCs w:val="18"/>
                <w:lang w:val="en-US" w:eastAsia="es-ES"/>
              </w:rPr>
              <w:t>Indicators</w:t>
            </w:r>
          </w:p>
        </w:tc>
        <w:tc>
          <w:tcPr>
            <w:tcW w:w="1879" w:type="dxa"/>
            <w:tcBorders>
              <w:top w:val="single" w:sz="12" w:space="0" w:color="auto"/>
              <w:left w:val="nil"/>
              <w:bottom w:val="single" w:sz="4" w:space="0" w:color="auto"/>
              <w:right w:val="single" w:sz="4" w:space="0" w:color="auto"/>
            </w:tcBorders>
            <w:shd w:val="clear" w:color="auto" w:fill="D9D9D9"/>
            <w:hideMark/>
          </w:tcPr>
          <w:p w14:paraId="260E1E0F" w14:textId="54FE4E15" w:rsidR="000B7067" w:rsidRPr="00F47ED3" w:rsidRDefault="00E5672F">
            <w:pPr>
              <w:spacing w:before="120" w:after="120" w:line="240" w:lineRule="auto"/>
              <w:jc w:val="center"/>
              <w:rPr>
                <w:rFonts w:ascii="Times New Roman" w:eastAsia="Times New Roman" w:hAnsi="Times New Roman"/>
                <w:b/>
                <w:color w:val="000000"/>
                <w:sz w:val="18"/>
                <w:szCs w:val="18"/>
                <w:lang w:val="en-US" w:eastAsia="es-ES"/>
              </w:rPr>
            </w:pPr>
            <w:r w:rsidRPr="00F47ED3">
              <w:rPr>
                <w:rFonts w:ascii="Times New Roman" w:eastAsia="Times New Roman" w:hAnsi="Times New Roman"/>
                <w:b/>
                <w:bCs/>
                <w:color w:val="000000"/>
                <w:sz w:val="20"/>
                <w:szCs w:val="20"/>
                <w:lang w:val="en-US"/>
              </w:rPr>
              <w:t xml:space="preserve">Base Scenario </w:t>
            </w:r>
            <w:r w:rsidR="00FF431B">
              <w:rPr>
                <w:rFonts w:ascii="Times New Roman" w:eastAsia="Times New Roman" w:hAnsi="Times New Roman"/>
                <w:b/>
                <w:bCs/>
                <w:color w:val="000000"/>
                <w:sz w:val="20"/>
                <w:szCs w:val="20"/>
                <w:lang w:val="en-US"/>
              </w:rPr>
              <w:t>100</w:t>
            </w:r>
            <w:r w:rsidRPr="00F47ED3">
              <w:rPr>
                <w:rFonts w:ascii="Times New Roman" w:eastAsia="Times New Roman" w:hAnsi="Times New Roman"/>
                <w:b/>
                <w:bCs/>
                <w:color w:val="000000"/>
                <w:sz w:val="20"/>
                <w:szCs w:val="20"/>
                <w:lang w:val="en-US"/>
              </w:rPr>
              <w:t xml:space="preserve">%  of the funds in the </w:t>
            </w:r>
            <w:r w:rsidR="0072023A">
              <w:rPr>
                <w:rFonts w:ascii="Times New Roman" w:eastAsia="Times New Roman" w:hAnsi="Times New Roman"/>
                <w:b/>
                <w:bCs/>
                <w:color w:val="000000"/>
                <w:sz w:val="20"/>
                <w:szCs w:val="20"/>
                <w:lang w:val="en-US"/>
              </w:rPr>
              <w:t xml:space="preserve">Treasury </w:t>
            </w:r>
            <w:r w:rsidR="00D41EE6">
              <w:rPr>
                <w:rFonts w:ascii="Times New Roman" w:eastAsia="Times New Roman" w:hAnsi="Times New Roman"/>
                <w:b/>
                <w:bCs/>
                <w:color w:val="000000"/>
                <w:sz w:val="20"/>
                <w:szCs w:val="20"/>
                <w:lang w:val="en-US"/>
              </w:rPr>
              <w:t>S</w:t>
            </w:r>
            <w:r w:rsidRPr="00F47ED3">
              <w:rPr>
                <w:rFonts w:ascii="Times New Roman" w:eastAsia="Times New Roman" w:hAnsi="Times New Roman"/>
                <w:b/>
                <w:bCs/>
                <w:color w:val="000000"/>
                <w:sz w:val="20"/>
                <w:szCs w:val="20"/>
                <w:lang w:val="en-US"/>
              </w:rPr>
              <w:t xml:space="preserve">uspense </w:t>
            </w:r>
            <w:r w:rsidR="00D41EE6">
              <w:rPr>
                <w:rFonts w:ascii="Times New Roman" w:eastAsia="Times New Roman" w:hAnsi="Times New Roman"/>
                <w:b/>
                <w:bCs/>
                <w:color w:val="000000"/>
                <w:sz w:val="20"/>
                <w:szCs w:val="20"/>
                <w:lang w:val="en-US"/>
              </w:rPr>
              <w:t>A</w:t>
            </w:r>
            <w:r w:rsidRPr="00F47ED3">
              <w:rPr>
                <w:rFonts w:ascii="Times New Roman" w:eastAsia="Times New Roman" w:hAnsi="Times New Roman"/>
                <w:b/>
                <w:bCs/>
                <w:color w:val="000000"/>
                <w:sz w:val="20"/>
                <w:szCs w:val="20"/>
                <w:lang w:val="en-US"/>
              </w:rPr>
              <w:t>ccount are released</w:t>
            </w:r>
          </w:p>
        </w:tc>
        <w:tc>
          <w:tcPr>
            <w:tcW w:w="1819" w:type="dxa"/>
            <w:tcBorders>
              <w:top w:val="single" w:sz="12" w:space="0" w:color="auto"/>
              <w:left w:val="nil"/>
              <w:bottom w:val="single" w:sz="4" w:space="0" w:color="auto"/>
              <w:right w:val="single" w:sz="4" w:space="0" w:color="auto"/>
            </w:tcBorders>
            <w:shd w:val="clear" w:color="auto" w:fill="D9D9D9"/>
            <w:hideMark/>
          </w:tcPr>
          <w:p w14:paraId="06A3E5E4" w14:textId="3B066B6C" w:rsidR="000B7067" w:rsidRPr="00F47ED3" w:rsidRDefault="0052330C" w:rsidP="000B7067">
            <w:pPr>
              <w:spacing w:before="120" w:after="120" w:line="240" w:lineRule="auto"/>
              <w:jc w:val="center"/>
              <w:rPr>
                <w:rFonts w:ascii="Times New Roman" w:eastAsia="Times New Roman" w:hAnsi="Times New Roman"/>
                <w:b/>
                <w:color w:val="000000"/>
                <w:sz w:val="18"/>
                <w:szCs w:val="18"/>
                <w:lang w:val="en-US" w:eastAsia="es-ES"/>
              </w:rPr>
            </w:pPr>
            <w:r w:rsidRPr="00F47ED3">
              <w:rPr>
                <w:rFonts w:ascii="Times New Roman" w:eastAsia="Times New Roman" w:hAnsi="Times New Roman"/>
                <w:b/>
                <w:color w:val="000000"/>
                <w:sz w:val="18"/>
                <w:szCs w:val="18"/>
                <w:lang w:val="en-US" w:eastAsia="es-ES"/>
              </w:rPr>
              <w:t xml:space="preserve">Sensitivity </w:t>
            </w:r>
            <w:r w:rsidR="00FD57E7">
              <w:rPr>
                <w:rFonts w:ascii="Times New Roman" w:eastAsia="Times New Roman" w:hAnsi="Times New Roman"/>
                <w:b/>
                <w:color w:val="000000"/>
                <w:sz w:val="18"/>
                <w:szCs w:val="18"/>
                <w:lang w:val="en-US" w:eastAsia="es-ES"/>
              </w:rPr>
              <w:t>1</w:t>
            </w:r>
          </w:p>
          <w:p w14:paraId="58B71765" w14:textId="4852725B" w:rsidR="000B7067" w:rsidRPr="00F47ED3" w:rsidRDefault="00E5672F" w:rsidP="00941FC2">
            <w:pPr>
              <w:spacing w:before="120" w:after="120" w:line="240" w:lineRule="auto"/>
              <w:jc w:val="center"/>
              <w:rPr>
                <w:rFonts w:ascii="Times New Roman" w:eastAsia="Times New Roman" w:hAnsi="Times New Roman"/>
                <w:b/>
                <w:color w:val="000000"/>
                <w:sz w:val="18"/>
                <w:szCs w:val="18"/>
                <w:lang w:val="en-US" w:eastAsia="es-ES"/>
              </w:rPr>
            </w:pPr>
            <w:r w:rsidRPr="00F47ED3">
              <w:rPr>
                <w:rFonts w:ascii="Times New Roman" w:eastAsia="Times New Roman" w:hAnsi="Times New Roman"/>
                <w:b/>
                <w:bCs/>
                <w:color w:val="000000"/>
                <w:sz w:val="20"/>
                <w:szCs w:val="20"/>
                <w:lang w:val="en-US"/>
              </w:rPr>
              <w:t xml:space="preserve">Only </w:t>
            </w:r>
            <w:r w:rsidR="00F56B5A">
              <w:rPr>
                <w:rFonts w:ascii="Times New Roman" w:eastAsia="Times New Roman" w:hAnsi="Times New Roman"/>
                <w:b/>
                <w:bCs/>
                <w:color w:val="000000"/>
                <w:sz w:val="20"/>
                <w:szCs w:val="20"/>
                <w:lang w:val="en-US"/>
              </w:rPr>
              <w:t>8</w:t>
            </w:r>
            <w:r w:rsidRPr="00F47ED3">
              <w:rPr>
                <w:rFonts w:ascii="Times New Roman" w:eastAsia="Times New Roman" w:hAnsi="Times New Roman"/>
                <w:b/>
                <w:bCs/>
                <w:color w:val="000000"/>
                <w:sz w:val="20"/>
                <w:szCs w:val="20"/>
                <w:lang w:val="en-US"/>
              </w:rPr>
              <w:t xml:space="preserve">0% of the funds in the </w:t>
            </w:r>
            <w:r w:rsidR="0072023A">
              <w:rPr>
                <w:rFonts w:ascii="Times New Roman" w:eastAsia="Times New Roman" w:hAnsi="Times New Roman"/>
                <w:b/>
                <w:bCs/>
                <w:color w:val="000000"/>
                <w:sz w:val="20"/>
                <w:szCs w:val="20"/>
                <w:lang w:val="en-US"/>
              </w:rPr>
              <w:t xml:space="preserve">Treasury </w:t>
            </w:r>
            <w:r w:rsidR="00D41EE6">
              <w:rPr>
                <w:rFonts w:ascii="Times New Roman" w:eastAsia="Times New Roman" w:hAnsi="Times New Roman"/>
                <w:b/>
                <w:bCs/>
                <w:color w:val="000000"/>
                <w:sz w:val="20"/>
                <w:szCs w:val="20"/>
                <w:lang w:val="en-US"/>
              </w:rPr>
              <w:t>S</w:t>
            </w:r>
            <w:r w:rsidRPr="00F47ED3">
              <w:rPr>
                <w:rFonts w:ascii="Times New Roman" w:eastAsia="Times New Roman" w:hAnsi="Times New Roman"/>
                <w:b/>
                <w:bCs/>
                <w:color w:val="000000"/>
                <w:sz w:val="20"/>
                <w:szCs w:val="20"/>
                <w:lang w:val="en-US"/>
              </w:rPr>
              <w:t xml:space="preserve">uspense </w:t>
            </w:r>
            <w:r w:rsidR="00D41EE6">
              <w:rPr>
                <w:rFonts w:ascii="Times New Roman" w:eastAsia="Times New Roman" w:hAnsi="Times New Roman"/>
                <w:b/>
                <w:bCs/>
                <w:color w:val="000000"/>
                <w:sz w:val="20"/>
                <w:szCs w:val="20"/>
                <w:lang w:val="en-US"/>
              </w:rPr>
              <w:t>A</w:t>
            </w:r>
            <w:r w:rsidRPr="00F47ED3">
              <w:rPr>
                <w:rFonts w:ascii="Times New Roman" w:eastAsia="Times New Roman" w:hAnsi="Times New Roman"/>
                <w:b/>
                <w:bCs/>
                <w:color w:val="000000"/>
                <w:sz w:val="20"/>
                <w:szCs w:val="20"/>
                <w:lang w:val="en-US"/>
              </w:rPr>
              <w:t>ccount are released.</w:t>
            </w:r>
          </w:p>
        </w:tc>
        <w:tc>
          <w:tcPr>
            <w:tcW w:w="2007" w:type="dxa"/>
            <w:tcBorders>
              <w:top w:val="single" w:sz="12" w:space="0" w:color="auto"/>
              <w:left w:val="nil"/>
              <w:bottom w:val="single" w:sz="4" w:space="0" w:color="auto"/>
              <w:right w:val="single" w:sz="4" w:space="0" w:color="auto"/>
            </w:tcBorders>
            <w:shd w:val="clear" w:color="auto" w:fill="D9D9D9"/>
            <w:hideMark/>
          </w:tcPr>
          <w:p w14:paraId="0309670B" w14:textId="1DF9EB2C" w:rsidR="000B7067" w:rsidRPr="00F47ED3" w:rsidRDefault="0052330C" w:rsidP="000B7067">
            <w:pPr>
              <w:spacing w:before="120" w:after="120" w:line="240" w:lineRule="auto"/>
              <w:jc w:val="center"/>
              <w:rPr>
                <w:rFonts w:ascii="Times New Roman" w:eastAsia="Times New Roman" w:hAnsi="Times New Roman"/>
                <w:b/>
                <w:color w:val="000000"/>
                <w:sz w:val="18"/>
                <w:szCs w:val="18"/>
                <w:lang w:val="en-US" w:eastAsia="es-ES"/>
              </w:rPr>
            </w:pPr>
            <w:r w:rsidRPr="00F47ED3">
              <w:rPr>
                <w:rFonts w:ascii="Times New Roman" w:eastAsia="Times New Roman" w:hAnsi="Times New Roman"/>
                <w:b/>
                <w:color w:val="000000"/>
                <w:sz w:val="18"/>
                <w:szCs w:val="18"/>
                <w:lang w:val="en-US" w:eastAsia="es-ES"/>
              </w:rPr>
              <w:t xml:space="preserve">Sensitivity </w:t>
            </w:r>
            <w:r w:rsidR="00FD57E7">
              <w:rPr>
                <w:rFonts w:ascii="Times New Roman" w:eastAsia="Times New Roman" w:hAnsi="Times New Roman"/>
                <w:b/>
                <w:color w:val="000000"/>
                <w:sz w:val="18"/>
                <w:szCs w:val="18"/>
                <w:lang w:val="en-US" w:eastAsia="es-ES"/>
              </w:rPr>
              <w:t>2</w:t>
            </w:r>
            <w:r w:rsidR="000B7067" w:rsidRPr="00F47ED3">
              <w:rPr>
                <w:rFonts w:ascii="Times New Roman" w:eastAsia="Times New Roman" w:hAnsi="Times New Roman"/>
                <w:b/>
                <w:color w:val="000000"/>
                <w:sz w:val="18"/>
                <w:szCs w:val="18"/>
                <w:lang w:val="en-US" w:eastAsia="es-ES"/>
              </w:rPr>
              <w:t xml:space="preserve"> </w:t>
            </w:r>
          </w:p>
          <w:p w14:paraId="1AC2D34F" w14:textId="17BFAFDC" w:rsidR="000B7067" w:rsidRPr="00F47ED3" w:rsidRDefault="00E5672F" w:rsidP="000B7067">
            <w:pPr>
              <w:spacing w:before="120" w:after="120" w:line="240" w:lineRule="auto"/>
              <w:jc w:val="center"/>
              <w:rPr>
                <w:rFonts w:ascii="Times New Roman" w:eastAsia="Times New Roman" w:hAnsi="Times New Roman"/>
                <w:b/>
                <w:color w:val="000000"/>
                <w:sz w:val="18"/>
                <w:szCs w:val="18"/>
                <w:lang w:val="en-US" w:eastAsia="es-ES"/>
              </w:rPr>
            </w:pPr>
            <w:r w:rsidRPr="00F47ED3">
              <w:rPr>
                <w:rFonts w:ascii="Times New Roman" w:eastAsia="Times New Roman" w:hAnsi="Times New Roman"/>
                <w:b/>
                <w:bCs/>
                <w:color w:val="000000"/>
                <w:sz w:val="20"/>
                <w:szCs w:val="20"/>
                <w:lang w:val="en-US"/>
              </w:rPr>
              <w:t xml:space="preserve">The interest rate paid on this funds released decrease to </w:t>
            </w:r>
            <w:r w:rsidR="00F56B5A">
              <w:rPr>
                <w:rFonts w:ascii="Times New Roman" w:eastAsia="Times New Roman" w:hAnsi="Times New Roman"/>
                <w:b/>
                <w:bCs/>
                <w:color w:val="000000"/>
                <w:sz w:val="20"/>
                <w:szCs w:val="20"/>
                <w:lang w:val="en-US"/>
              </w:rPr>
              <w:t>3.5</w:t>
            </w:r>
            <w:r w:rsidRPr="00F47ED3">
              <w:rPr>
                <w:rFonts w:ascii="Times New Roman" w:eastAsia="Times New Roman" w:hAnsi="Times New Roman"/>
                <w:b/>
                <w:bCs/>
                <w:color w:val="000000"/>
                <w:sz w:val="20"/>
                <w:szCs w:val="20"/>
                <w:lang w:val="en-US"/>
              </w:rPr>
              <w:t>%</w:t>
            </w:r>
          </w:p>
        </w:tc>
        <w:tc>
          <w:tcPr>
            <w:tcW w:w="1826" w:type="dxa"/>
            <w:tcBorders>
              <w:top w:val="single" w:sz="12" w:space="0" w:color="auto"/>
              <w:left w:val="nil"/>
              <w:bottom w:val="single" w:sz="4" w:space="0" w:color="auto"/>
              <w:right w:val="single" w:sz="4" w:space="0" w:color="auto"/>
            </w:tcBorders>
            <w:shd w:val="clear" w:color="auto" w:fill="D9D9D9"/>
          </w:tcPr>
          <w:p w14:paraId="3F314E06" w14:textId="2FCA393B" w:rsidR="000B7067" w:rsidRPr="00F47ED3" w:rsidRDefault="0052330C" w:rsidP="000B7067">
            <w:pPr>
              <w:spacing w:before="120" w:after="120" w:line="240" w:lineRule="auto"/>
              <w:jc w:val="center"/>
              <w:rPr>
                <w:rFonts w:ascii="Times New Roman" w:eastAsia="Times New Roman" w:hAnsi="Times New Roman"/>
                <w:b/>
                <w:color w:val="000000"/>
                <w:sz w:val="18"/>
                <w:szCs w:val="18"/>
                <w:lang w:val="en-US" w:eastAsia="es-ES"/>
              </w:rPr>
            </w:pPr>
            <w:r w:rsidRPr="00F47ED3">
              <w:rPr>
                <w:rFonts w:ascii="Times New Roman" w:eastAsia="Times New Roman" w:hAnsi="Times New Roman"/>
                <w:b/>
                <w:color w:val="000000"/>
                <w:sz w:val="18"/>
                <w:szCs w:val="18"/>
                <w:lang w:val="en-US" w:eastAsia="es-ES"/>
              </w:rPr>
              <w:t xml:space="preserve">Sensitivity </w:t>
            </w:r>
            <w:r w:rsidR="00FD57E7">
              <w:rPr>
                <w:rFonts w:ascii="Times New Roman" w:eastAsia="Times New Roman" w:hAnsi="Times New Roman"/>
                <w:b/>
                <w:color w:val="000000"/>
                <w:sz w:val="18"/>
                <w:szCs w:val="18"/>
                <w:lang w:val="en-US" w:eastAsia="es-ES"/>
              </w:rPr>
              <w:t>3</w:t>
            </w:r>
          </w:p>
          <w:p w14:paraId="618B223B" w14:textId="77777777" w:rsidR="000B7067" w:rsidRPr="00F47ED3" w:rsidRDefault="000B7067" w:rsidP="000B7067">
            <w:pPr>
              <w:spacing w:before="120" w:after="120" w:line="240" w:lineRule="auto"/>
              <w:jc w:val="center"/>
              <w:rPr>
                <w:rFonts w:ascii="Times New Roman" w:eastAsia="Times New Roman" w:hAnsi="Times New Roman"/>
                <w:b/>
                <w:color w:val="000000"/>
                <w:sz w:val="18"/>
                <w:szCs w:val="18"/>
                <w:lang w:val="en-US" w:eastAsia="es-ES"/>
              </w:rPr>
            </w:pPr>
            <w:r w:rsidRPr="00F47ED3">
              <w:rPr>
                <w:rFonts w:ascii="Times New Roman" w:eastAsia="Times New Roman" w:hAnsi="Times New Roman"/>
                <w:b/>
                <w:color w:val="000000"/>
                <w:sz w:val="18"/>
                <w:szCs w:val="18"/>
                <w:lang w:val="en-US" w:eastAsia="es-ES"/>
              </w:rPr>
              <w:t>Combination of both Scenarios</w:t>
            </w:r>
          </w:p>
        </w:tc>
      </w:tr>
      <w:tr w:rsidR="000B7067" w:rsidRPr="00F47ED3" w14:paraId="609FA148" w14:textId="77777777" w:rsidTr="00002082">
        <w:trPr>
          <w:trHeight w:val="413"/>
          <w:jc w:val="center"/>
        </w:trPr>
        <w:tc>
          <w:tcPr>
            <w:tcW w:w="2981" w:type="dxa"/>
            <w:tcBorders>
              <w:top w:val="nil"/>
              <w:left w:val="single" w:sz="12" w:space="0" w:color="auto"/>
              <w:bottom w:val="single" w:sz="4" w:space="0" w:color="auto"/>
              <w:right w:val="single" w:sz="4" w:space="0" w:color="auto"/>
            </w:tcBorders>
            <w:shd w:val="clear" w:color="auto" w:fill="auto"/>
            <w:noWrap/>
            <w:vAlign w:val="bottom"/>
            <w:hideMark/>
          </w:tcPr>
          <w:p w14:paraId="58DAF3FA" w14:textId="77777777" w:rsidR="000B7067" w:rsidRPr="0017416E" w:rsidRDefault="000B7067" w:rsidP="000B7067">
            <w:pPr>
              <w:spacing w:before="120" w:after="120" w:line="240" w:lineRule="auto"/>
              <w:rPr>
                <w:rFonts w:ascii="Times New Roman" w:eastAsia="Times New Roman" w:hAnsi="Times New Roman"/>
                <w:b/>
                <w:color w:val="000000"/>
                <w:sz w:val="18"/>
                <w:szCs w:val="18"/>
                <w:lang w:val="en-US" w:eastAsia="es-ES"/>
              </w:rPr>
            </w:pPr>
            <w:r w:rsidRPr="0017416E">
              <w:rPr>
                <w:rFonts w:ascii="Times New Roman" w:eastAsia="Times New Roman" w:hAnsi="Times New Roman"/>
                <w:b/>
                <w:color w:val="000000"/>
                <w:sz w:val="18"/>
                <w:szCs w:val="18"/>
                <w:lang w:val="en-US" w:eastAsia="es-ES"/>
              </w:rPr>
              <w:t>Net Benefit (Present Value) US$ million</w:t>
            </w:r>
          </w:p>
        </w:tc>
        <w:tc>
          <w:tcPr>
            <w:tcW w:w="1879" w:type="dxa"/>
            <w:tcBorders>
              <w:top w:val="nil"/>
              <w:left w:val="nil"/>
              <w:bottom w:val="single" w:sz="4" w:space="0" w:color="auto"/>
              <w:right w:val="single" w:sz="4" w:space="0" w:color="auto"/>
            </w:tcBorders>
            <w:shd w:val="clear" w:color="auto" w:fill="auto"/>
            <w:noWrap/>
            <w:vAlign w:val="center"/>
          </w:tcPr>
          <w:p w14:paraId="62CEA2BF" w14:textId="7C0249A6" w:rsidR="000B7067" w:rsidRPr="00F47ED3" w:rsidRDefault="00632CAA">
            <w:pPr>
              <w:spacing w:before="120" w:after="120" w:line="240" w:lineRule="auto"/>
              <w:ind w:right="110"/>
              <w:jc w:val="center"/>
              <w:rPr>
                <w:rFonts w:ascii="Times New Roman" w:eastAsia="Times New Roman" w:hAnsi="Times New Roman"/>
                <w:color w:val="000000"/>
                <w:sz w:val="18"/>
                <w:szCs w:val="18"/>
                <w:lang w:val="en-US" w:eastAsia="es-ES"/>
              </w:rPr>
            </w:pPr>
            <w:r>
              <w:rPr>
                <w:rFonts w:ascii="Times New Roman" w:eastAsia="Times New Roman" w:hAnsi="Times New Roman"/>
                <w:color w:val="000000"/>
                <w:sz w:val="18"/>
                <w:szCs w:val="18"/>
                <w:lang w:val="en-US" w:eastAsia="es-ES"/>
              </w:rPr>
              <w:t>2</w:t>
            </w:r>
            <w:r w:rsidR="00882776">
              <w:rPr>
                <w:rFonts w:ascii="Times New Roman" w:eastAsia="Times New Roman" w:hAnsi="Times New Roman"/>
                <w:color w:val="000000"/>
                <w:sz w:val="18"/>
                <w:szCs w:val="18"/>
                <w:lang w:val="en-US" w:eastAsia="es-ES"/>
              </w:rPr>
              <w:t>1.57</w:t>
            </w:r>
          </w:p>
        </w:tc>
        <w:tc>
          <w:tcPr>
            <w:tcW w:w="1819" w:type="dxa"/>
            <w:tcBorders>
              <w:top w:val="nil"/>
              <w:left w:val="nil"/>
              <w:bottom w:val="single" w:sz="4" w:space="0" w:color="auto"/>
              <w:right w:val="single" w:sz="4" w:space="0" w:color="auto"/>
            </w:tcBorders>
            <w:shd w:val="clear" w:color="auto" w:fill="auto"/>
            <w:noWrap/>
            <w:vAlign w:val="center"/>
          </w:tcPr>
          <w:p w14:paraId="2C466CED" w14:textId="7ED04E80" w:rsidR="000B7067" w:rsidRPr="00F47ED3" w:rsidRDefault="00632CAA" w:rsidP="000B7067">
            <w:pPr>
              <w:spacing w:before="120" w:after="120" w:line="240" w:lineRule="auto"/>
              <w:ind w:right="110"/>
              <w:jc w:val="center"/>
              <w:rPr>
                <w:rFonts w:ascii="Times New Roman" w:eastAsia="Times New Roman" w:hAnsi="Times New Roman"/>
                <w:color w:val="000000"/>
                <w:sz w:val="18"/>
                <w:szCs w:val="18"/>
                <w:lang w:val="en-US" w:eastAsia="es-ES"/>
              </w:rPr>
            </w:pPr>
            <w:r>
              <w:rPr>
                <w:rFonts w:ascii="Times New Roman" w:eastAsia="Times New Roman" w:hAnsi="Times New Roman"/>
                <w:color w:val="000000"/>
                <w:sz w:val="18"/>
                <w:szCs w:val="18"/>
                <w:lang w:val="en-US" w:eastAsia="es-ES"/>
              </w:rPr>
              <w:t>14.3</w:t>
            </w:r>
            <w:r w:rsidR="00882776">
              <w:rPr>
                <w:rFonts w:ascii="Times New Roman" w:eastAsia="Times New Roman" w:hAnsi="Times New Roman"/>
                <w:color w:val="000000"/>
                <w:sz w:val="18"/>
                <w:szCs w:val="18"/>
                <w:lang w:val="en-US" w:eastAsia="es-ES"/>
              </w:rPr>
              <w:t>9</w:t>
            </w:r>
          </w:p>
        </w:tc>
        <w:tc>
          <w:tcPr>
            <w:tcW w:w="2007" w:type="dxa"/>
            <w:tcBorders>
              <w:top w:val="nil"/>
              <w:left w:val="nil"/>
              <w:bottom w:val="single" w:sz="4" w:space="0" w:color="auto"/>
              <w:right w:val="single" w:sz="4" w:space="0" w:color="auto"/>
            </w:tcBorders>
            <w:shd w:val="clear" w:color="auto" w:fill="auto"/>
            <w:noWrap/>
            <w:vAlign w:val="center"/>
          </w:tcPr>
          <w:p w14:paraId="24CD9D63" w14:textId="1DF29F71" w:rsidR="000B7067" w:rsidRPr="00F47ED3" w:rsidRDefault="00FF431B">
            <w:pPr>
              <w:spacing w:before="120" w:after="120" w:line="240" w:lineRule="auto"/>
              <w:ind w:right="110"/>
              <w:jc w:val="center"/>
              <w:rPr>
                <w:rFonts w:ascii="Times New Roman" w:eastAsia="Times New Roman" w:hAnsi="Times New Roman"/>
                <w:color w:val="000000"/>
                <w:sz w:val="18"/>
                <w:szCs w:val="18"/>
                <w:lang w:val="en-US" w:eastAsia="es-ES"/>
              </w:rPr>
            </w:pPr>
            <w:r>
              <w:rPr>
                <w:rFonts w:ascii="Times New Roman" w:eastAsia="Times New Roman" w:hAnsi="Times New Roman"/>
                <w:color w:val="000000"/>
                <w:sz w:val="18"/>
                <w:szCs w:val="18"/>
                <w:lang w:val="en-US" w:eastAsia="es-ES"/>
              </w:rPr>
              <w:t>9</w:t>
            </w:r>
            <w:r w:rsidR="00F56B5A">
              <w:rPr>
                <w:rFonts w:ascii="Times New Roman" w:eastAsia="Times New Roman" w:hAnsi="Times New Roman"/>
                <w:color w:val="000000"/>
                <w:sz w:val="18"/>
                <w:szCs w:val="18"/>
                <w:lang w:val="en-US" w:eastAsia="es-ES"/>
              </w:rPr>
              <w:t>.</w:t>
            </w:r>
            <w:r w:rsidR="00882776">
              <w:rPr>
                <w:rFonts w:ascii="Times New Roman" w:eastAsia="Times New Roman" w:hAnsi="Times New Roman"/>
                <w:color w:val="000000"/>
                <w:sz w:val="18"/>
                <w:szCs w:val="18"/>
                <w:lang w:val="en-US" w:eastAsia="es-ES"/>
              </w:rPr>
              <w:t>56</w:t>
            </w:r>
          </w:p>
        </w:tc>
        <w:tc>
          <w:tcPr>
            <w:tcW w:w="1826" w:type="dxa"/>
            <w:tcBorders>
              <w:top w:val="nil"/>
              <w:left w:val="nil"/>
              <w:bottom w:val="single" w:sz="4" w:space="0" w:color="auto"/>
              <w:right w:val="single" w:sz="4" w:space="0" w:color="auto"/>
            </w:tcBorders>
          </w:tcPr>
          <w:p w14:paraId="7F1B97E8" w14:textId="1755637F" w:rsidR="000B7067" w:rsidRPr="00F47ED3" w:rsidRDefault="00FF431B" w:rsidP="000B7067">
            <w:pPr>
              <w:spacing w:before="120" w:after="120" w:line="240" w:lineRule="auto"/>
              <w:ind w:right="110"/>
              <w:jc w:val="center"/>
              <w:rPr>
                <w:rFonts w:ascii="Times New Roman" w:eastAsia="Times New Roman" w:hAnsi="Times New Roman"/>
                <w:color w:val="000000"/>
                <w:sz w:val="18"/>
                <w:szCs w:val="18"/>
                <w:lang w:val="en-US" w:eastAsia="es-ES"/>
              </w:rPr>
            </w:pPr>
            <w:r>
              <w:rPr>
                <w:rFonts w:ascii="Times New Roman" w:eastAsia="Times New Roman" w:hAnsi="Times New Roman"/>
                <w:color w:val="000000"/>
                <w:sz w:val="18"/>
                <w:szCs w:val="18"/>
                <w:lang w:val="en-US" w:eastAsia="es-ES"/>
              </w:rPr>
              <w:t>5</w:t>
            </w:r>
            <w:r w:rsidR="00632CAA">
              <w:rPr>
                <w:rFonts w:ascii="Times New Roman" w:eastAsia="Times New Roman" w:hAnsi="Times New Roman"/>
                <w:color w:val="000000"/>
                <w:sz w:val="18"/>
                <w:szCs w:val="18"/>
                <w:lang w:val="en-US" w:eastAsia="es-ES"/>
              </w:rPr>
              <w:t>.</w:t>
            </w:r>
            <w:r w:rsidR="00882776">
              <w:rPr>
                <w:rFonts w:ascii="Times New Roman" w:eastAsia="Times New Roman" w:hAnsi="Times New Roman"/>
                <w:color w:val="000000"/>
                <w:sz w:val="18"/>
                <w:szCs w:val="18"/>
                <w:lang w:val="en-US" w:eastAsia="es-ES"/>
              </w:rPr>
              <w:t>36</w:t>
            </w:r>
          </w:p>
        </w:tc>
      </w:tr>
      <w:tr w:rsidR="000B7067" w:rsidRPr="00F47ED3" w14:paraId="4AC2A1F8" w14:textId="77777777" w:rsidTr="00E5672F">
        <w:trPr>
          <w:trHeight w:val="40"/>
          <w:jc w:val="center"/>
        </w:trPr>
        <w:tc>
          <w:tcPr>
            <w:tcW w:w="2981" w:type="dxa"/>
            <w:tcBorders>
              <w:top w:val="nil"/>
              <w:left w:val="single" w:sz="12" w:space="0" w:color="auto"/>
              <w:bottom w:val="single" w:sz="12" w:space="0" w:color="auto"/>
              <w:right w:val="single" w:sz="4" w:space="0" w:color="auto"/>
            </w:tcBorders>
            <w:shd w:val="clear" w:color="auto" w:fill="auto"/>
            <w:noWrap/>
            <w:vAlign w:val="bottom"/>
            <w:hideMark/>
          </w:tcPr>
          <w:p w14:paraId="66FB26B0" w14:textId="77777777" w:rsidR="000B7067" w:rsidRPr="0017416E" w:rsidRDefault="000B7067" w:rsidP="00F16F8B">
            <w:pPr>
              <w:spacing w:before="120" w:after="120" w:line="240" w:lineRule="auto"/>
              <w:rPr>
                <w:rFonts w:ascii="Times New Roman" w:eastAsia="Times New Roman" w:hAnsi="Times New Roman"/>
                <w:b/>
                <w:color w:val="000000"/>
                <w:sz w:val="18"/>
                <w:szCs w:val="18"/>
                <w:lang w:val="en-US" w:eastAsia="es-ES"/>
              </w:rPr>
            </w:pPr>
            <w:r w:rsidRPr="0017416E">
              <w:rPr>
                <w:rFonts w:ascii="Times New Roman" w:eastAsia="Times New Roman" w:hAnsi="Times New Roman"/>
                <w:b/>
                <w:color w:val="000000"/>
                <w:sz w:val="18"/>
                <w:szCs w:val="18"/>
                <w:lang w:val="en-US" w:eastAsia="es-ES"/>
              </w:rPr>
              <w:t>Internal Rate of Return (%)</w:t>
            </w:r>
          </w:p>
        </w:tc>
        <w:tc>
          <w:tcPr>
            <w:tcW w:w="1879" w:type="dxa"/>
            <w:tcBorders>
              <w:top w:val="nil"/>
              <w:left w:val="nil"/>
              <w:bottom w:val="single" w:sz="12" w:space="0" w:color="auto"/>
              <w:right w:val="single" w:sz="4" w:space="0" w:color="auto"/>
            </w:tcBorders>
            <w:shd w:val="clear" w:color="auto" w:fill="auto"/>
            <w:noWrap/>
            <w:vAlign w:val="center"/>
          </w:tcPr>
          <w:p w14:paraId="4C081E7B" w14:textId="66694D5E" w:rsidR="000B7067" w:rsidRPr="00F47ED3" w:rsidRDefault="00D14D05" w:rsidP="000B7067">
            <w:pPr>
              <w:spacing w:before="120" w:after="120" w:line="240" w:lineRule="auto"/>
              <w:ind w:right="110"/>
              <w:jc w:val="center"/>
              <w:rPr>
                <w:rFonts w:ascii="Times New Roman" w:eastAsia="Times New Roman" w:hAnsi="Times New Roman"/>
                <w:color w:val="000000"/>
                <w:sz w:val="18"/>
                <w:szCs w:val="18"/>
                <w:lang w:val="en-US" w:eastAsia="es-ES"/>
              </w:rPr>
            </w:pPr>
            <w:r>
              <w:rPr>
                <w:rFonts w:ascii="Times New Roman" w:eastAsia="Times New Roman" w:hAnsi="Times New Roman"/>
                <w:color w:val="000000"/>
                <w:sz w:val="18"/>
                <w:szCs w:val="18"/>
                <w:lang w:val="en-US" w:eastAsia="es-ES"/>
              </w:rPr>
              <w:t>5</w:t>
            </w:r>
            <w:r w:rsidR="00E12BAF" w:rsidRPr="00F47ED3">
              <w:rPr>
                <w:rFonts w:ascii="Times New Roman" w:eastAsia="Times New Roman" w:hAnsi="Times New Roman"/>
                <w:color w:val="000000"/>
                <w:sz w:val="18"/>
                <w:szCs w:val="18"/>
                <w:lang w:val="en-US" w:eastAsia="es-ES"/>
              </w:rPr>
              <w:t>%</w:t>
            </w:r>
          </w:p>
        </w:tc>
        <w:tc>
          <w:tcPr>
            <w:tcW w:w="1819" w:type="dxa"/>
            <w:tcBorders>
              <w:top w:val="nil"/>
              <w:left w:val="nil"/>
              <w:bottom w:val="single" w:sz="12" w:space="0" w:color="auto"/>
              <w:right w:val="single" w:sz="4" w:space="0" w:color="auto"/>
            </w:tcBorders>
            <w:shd w:val="clear" w:color="auto" w:fill="auto"/>
            <w:noWrap/>
            <w:vAlign w:val="center"/>
          </w:tcPr>
          <w:p w14:paraId="6E8627C7" w14:textId="0E801220" w:rsidR="000B7067" w:rsidRPr="00F47ED3" w:rsidRDefault="007A60EB" w:rsidP="000B7067">
            <w:pPr>
              <w:spacing w:before="120" w:after="120" w:line="240" w:lineRule="auto"/>
              <w:ind w:right="110"/>
              <w:jc w:val="center"/>
              <w:rPr>
                <w:rFonts w:ascii="Times New Roman" w:eastAsia="Times New Roman" w:hAnsi="Times New Roman"/>
                <w:color w:val="000000"/>
                <w:sz w:val="18"/>
                <w:szCs w:val="18"/>
                <w:lang w:val="en-US" w:eastAsia="es-ES"/>
              </w:rPr>
            </w:pPr>
            <w:r>
              <w:rPr>
                <w:rFonts w:ascii="Times New Roman" w:eastAsia="Times New Roman" w:hAnsi="Times New Roman"/>
                <w:color w:val="000000"/>
                <w:sz w:val="18"/>
                <w:szCs w:val="18"/>
                <w:lang w:val="en-US" w:eastAsia="es-ES"/>
              </w:rPr>
              <w:t>4</w:t>
            </w:r>
            <w:r w:rsidR="000B7067" w:rsidRPr="00F47ED3">
              <w:rPr>
                <w:rFonts w:ascii="Times New Roman" w:eastAsia="Times New Roman" w:hAnsi="Times New Roman"/>
                <w:color w:val="000000"/>
                <w:sz w:val="18"/>
                <w:szCs w:val="18"/>
                <w:lang w:val="en-US" w:eastAsia="es-ES"/>
              </w:rPr>
              <w:t>%</w:t>
            </w:r>
          </w:p>
        </w:tc>
        <w:tc>
          <w:tcPr>
            <w:tcW w:w="2007" w:type="dxa"/>
            <w:tcBorders>
              <w:top w:val="nil"/>
              <w:left w:val="nil"/>
              <w:bottom w:val="single" w:sz="12" w:space="0" w:color="auto"/>
              <w:right w:val="single" w:sz="4" w:space="0" w:color="auto"/>
            </w:tcBorders>
            <w:shd w:val="clear" w:color="auto" w:fill="auto"/>
            <w:noWrap/>
            <w:vAlign w:val="center"/>
          </w:tcPr>
          <w:p w14:paraId="2BB0E7FE" w14:textId="69EC9BC9" w:rsidR="000B7067" w:rsidRPr="00F47ED3" w:rsidRDefault="00F56B5A">
            <w:pPr>
              <w:spacing w:before="120" w:after="120" w:line="240" w:lineRule="auto"/>
              <w:ind w:right="110"/>
              <w:jc w:val="center"/>
              <w:rPr>
                <w:rFonts w:ascii="Times New Roman" w:eastAsia="Times New Roman" w:hAnsi="Times New Roman"/>
                <w:color w:val="000000"/>
                <w:sz w:val="18"/>
                <w:szCs w:val="18"/>
                <w:lang w:val="en-US" w:eastAsia="es-ES"/>
              </w:rPr>
            </w:pPr>
            <w:r>
              <w:rPr>
                <w:rFonts w:ascii="Times New Roman" w:eastAsia="Times New Roman" w:hAnsi="Times New Roman"/>
                <w:color w:val="000000"/>
                <w:sz w:val="18"/>
                <w:szCs w:val="18"/>
                <w:lang w:val="en-US" w:eastAsia="es-ES"/>
              </w:rPr>
              <w:t>3</w:t>
            </w:r>
            <w:r w:rsidR="000B7067" w:rsidRPr="00F47ED3">
              <w:rPr>
                <w:rFonts w:ascii="Times New Roman" w:eastAsia="Times New Roman" w:hAnsi="Times New Roman"/>
                <w:color w:val="000000"/>
                <w:sz w:val="18"/>
                <w:szCs w:val="18"/>
                <w:lang w:val="en-US" w:eastAsia="es-ES"/>
              </w:rPr>
              <w:t>%</w:t>
            </w:r>
          </w:p>
        </w:tc>
        <w:tc>
          <w:tcPr>
            <w:tcW w:w="1826" w:type="dxa"/>
            <w:tcBorders>
              <w:top w:val="nil"/>
              <w:left w:val="nil"/>
              <w:bottom w:val="single" w:sz="12" w:space="0" w:color="auto"/>
              <w:right w:val="single" w:sz="4" w:space="0" w:color="auto"/>
            </w:tcBorders>
          </w:tcPr>
          <w:p w14:paraId="3CC0C7ED" w14:textId="59920BCC" w:rsidR="000B7067" w:rsidRPr="00F47ED3" w:rsidRDefault="007A60EB" w:rsidP="000B7067">
            <w:pPr>
              <w:spacing w:before="120" w:after="120" w:line="240" w:lineRule="auto"/>
              <w:ind w:right="110"/>
              <w:jc w:val="center"/>
              <w:rPr>
                <w:rFonts w:ascii="Times New Roman" w:eastAsia="Times New Roman" w:hAnsi="Times New Roman"/>
                <w:color w:val="000000"/>
                <w:sz w:val="18"/>
                <w:szCs w:val="18"/>
                <w:lang w:val="en-US" w:eastAsia="es-ES"/>
              </w:rPr>
            </w:pPr>
            <w:r>
              <w:rPr>
                <w:rFonts w:ascii="Times New Roman" w:eastAsia="Times New Roman" w:hAnsi="Times New Roman"/>
                <w:color w:val="000000"/>
                <w:sz w:val="18"/>
                <w:szCs w:val="18"/>
                <w:lang w:val="en-US" w:eastAsia="es-ES"/>
              </w:rPr>
              <w:t>2</w:t>
            </w:r>
            <w:r w:rsidR="000B7067" w:rsidRPr="00F47ED3">
              <w:rPr>
                <w:rFonts w:ascii="Times New Roman" w:eastAsia="Times New Roman" w:hAnsi="Times New Roman"/>
                <w:color w:val="000000"/>
                <w:sz w:val="18"/>
                <w:szCs w:val="18"/>
                <w:lang w:val="en-US" w:eastAsia="es-ES"/>
              </w:rPr>
              <w:t>%</w:t>
            </w:r>
          </w:p>
        </w:tc>
      </w:tr>
    </w:tbl>
    <w:p w14:paraId="27CC7CE3" w14:textId="77777777" w:rsidR="00CA0A3D" w:rsidRPr="00F47ED3" w:rsidRDefault="00CA0A3D">
      <w:pPr>
        <w:spacing w:after="160" w:line="259" w:lineRule="auto"/>
        <w:rPr>
          <w:rFonts w:ascii="Times New Roman" w:hAnsi="Times New Roman"/>
          <w:b/>
          <w:sz w:val="20"/>
          <w:szCs w:val="20"/>
          <w:lang w:val="en-US"/>
        </w:rPr>
      </w:pPr>
    </w:p>
    <w:p w14:paraId="6ADFE97A" w14:textId="30A2B266" w:rsidR="00024034" w:rsidRDefault="00024034" w:rsidP="00157B6C">
      <w:pPr>
        <w:pStyle w:val="ListParagraph"/>
        <w:numPr>
          <w:ilvl w:val="1"/>
          <w:numId w:val="8"/>
        </w:numPr>
        <w:spacing w:before="120" w:after="120" w:line="240" w:lineRule="auto"/>
        <w:ind w:left="547" w:hanging="547"/>
        <w:contextualSpacing w:val="0"/>
        <w:jc w:val="both"/>
        <w:rPr>
          <w:rFonts w:ascii="Times New Roman" w:hAnsi="Times New Roman"/>
          <w:sz w:val="24"/>
          <w:szCs w:val="24"/>
          <w:lang w:val="en-US"/>
        </w:rPr>
      </w:pPr>
      <w:r w:rsidRPr="00157B6C">
        <w:rPr>
          <w:rFonts w:ascii="Times New Roman" w:hAnsi="Times New Roman"/>
          <w:sz w:val="24"/>
          <w:szCs w:val="24"/>
          <w:lang w:val="en-US"/>
        </w:rPr>
        <w:t xml:space="preserve">The results of the simulation do not modify the decision in relation to the viability of the Program, because the Net Benefit Accumulated in Present Value presents a positive result in each of the three different scenarios and the IRR also remains </w:t>
      </w:r>
      <w:r w:rsidR="00F56B5A">
        <w:rPr>
          <w:rFonts w:ascii="Times New Roman" w:hAnsi="Times New Roman"/>
          <w:sz w:val="24"/>
          <w:szCs w:val="24"/>
          <w:lang w:val="en-US"/>
        </w:rPr>
        <w:t>positive</w:t>
      </w:r>
      <w:r w:rsidRPr="00157B6C">
        <w:rPr>
          <w:rFonts w:ascii="Times New Roman" w:hAnsi="Times New Roman"/>
          <w:sz w:val="24"/>
          <w:szCs w:val="24"/>
          <w:lang w:val="en-US"/>
        </w:rPr>
        <w:t xml:space="preserve"> in the worst scenario, as shown in the following table:</w:t>
      </w:r>
    </w:p>
    <w:p w14:paraId="7D9F2CC3" w14:textId="77777777" w:rsidR="00D14D05" w:rsidRDefault="00D14D05">
      <w:pPr>
        <w:spacing w:after="160" w:line="259" w:lineRule="auto"/>
        <w:rPr>
          <w:rFonts w:ascii="Times New Roman" w:hAnsi="Times New Roman"/>
          <w:b/>
          <w:sz w:val="20"/>
          <w:szCs w:val="20"/>
          <w:lang w:val="en-US"/>
        </w:rPr>
      </w:pPr>
    </w:p>
    <w:p w14:paraId="5E852335" w14:textId="77777777" w:rsidR="006A53CD" w:rsidRDefault="006A53CD">
      <w:pPr>
        <w:spacing w:after="160" w:line="259" w:lineRule="auto"/>
        <w:rPr>
          <w:rFonts w:ascii="Times New Roman" w:hAnsi="Times New Roman"/>
          <w:b/>
          <w:sz w:val="20"/>
          <w:szCs w:val="20"/>
          <w:lang w:val="en-US"/>
        </w:rPr>
      </w:pPr>
      <w:r>
        <w:rPr>
          <w:rFonts w:ascii="Times New Roman" w:hAnsi="Times New Roman"/>
          <w:b/>
          <w:sz w:val="20"/>
          <w:szCs w:val="20"/>
          <w:lang w:val="en-US"/>
        </w:rPr>
        <w:br w:type="page"/>
      </w:r>
    </w:p>
    <w:p w14:paraId="34A49786" w14:textId="6CA2D150" w:rsidR="009D30B8" w:rsidRPr="00F47ED3" w:rsidRDefault="00CA0A3D" w:rsidP="009D30B8">
      <w:pPr>
        <w:pStyle w:val="ListParagraph"/>
        <w:spacing w:before="120" w:after="120" w:line="240" w:lineRule="auto"/>
        <w:ind w:left="360"/>
        <w:jc w:val="center"/>
        <w:rPr>
          <w:lang w:val="en-US"/>
        </w:rPr>
      </w:pPr>
      <w:r w:rsidRPr="00F47ED3">
        <w:rPr>
          <w:rFonts w:ascii="Times New Roman" w:hAnsi="Times New Roman"/>
          <w:b/>
          <w:sz w:val="20"/>
          <w:szCs w:val="20"/>
          <w:lang w:val="en-US"/>
        </w:rPr>
        <w:lastRenderedPageBreak/>
        <w:t xml:space="preserve">Table </w:t>
      </w:r>
      <w:r w:rsidR="0032721C" w:rsidRPr="00F47ED3">
        <w:rPr>
          <w:rFonts w:ascii="Times New Roman" w:hAnsi="Times New Roman"/>
          <w:b/>
          <w:sz w:val="20"/>
          <w:szCs w:val="20"/>
          <w:lang w:val="en-US"/>
        </w:rPr>
        <w:t>5</w:t>
      </w:r>
      <w:r w:rsidR="009D30B8" w:rsidRPr="00F47ED3">
        <w:rPr>
          <w:rFonts w:ascii="Times New Roman" w:hAnsi="Times New Roman"/>
          <w:b/>
          <w:sz w:val="20"/>
          <w:szCs w:val="20"/>
          <w:lang w:val="en-US"/>
        </w:rPr>
        <w:t>: Financial Analysis Sensi</w:t>
      </w:r>
      <w:r w:rsidR="0052330C" w:rsidRPr="00F47ED3">
        <w:rPr>
          <w:rFonts w:ascii="Times New Roman" w:hAnsi="Times New Roman"/>
          <w:b/>
          <w:sz w:val="20"/>
          <w:szCs w:val="20"/>
          <w:lang w:val="en-US"/>
        </w:rPr>
        <w:t>tivity</w:t>
      </w:r>
      <w:r w:rsidR="009D30B8" w:rsidRPr="00F47ED3">
        <w:rPr>
          <w:rFonts w:ascii="Times New Roman" w:hAnsi="Times New Roman"/>
          <w:b/>
          <w:sz w:val="20"/>
          <w:szCs w:val="20"/>
          <w:lang w:val="en-US"/>
        </w:rPr>
        <w:t xml:space="preserve"> </w:t>
      </w:r>
      <w:r w:rsidR="00FD57E7">
        <w:rPr>
          <w:rFonts w:ascii="Times New Roman" w:hAnsi="Times New Roman"/>
          <w:b/>
          <w:sz w:val="20"/>
          <w:szCs w:val="20"/>
          <w:lang w:val="en-US"/>
        </w:rPr>
        <w:t>1</w:t>
      </w:r>
    </w:p>
    <w:p w14:paraId="2955BF68" w14:textId="77777777" w:rsidR="00122A4F" w:rsidRPr="00F47ED3" w:rsidRDefault="00122A4F" w:rsidP="00577287">
      <w:pPr>
        <w:spacing w:after="0" w:line="240" w:lineRule="auto"/>
        <w:ind w:left="567" w:hanging="1377"/>
        <w:rPr>
          <w:rFonts w:ascii="Times New Roman" w:hAnsi="Times New Roman"/>
          <w:b/>
          <w:sz w:val="24"/>
          <w:szCs w:val="24"/>
          <w:lang w:val="en-US"/>
        </w:rPr>
      </w:pPr>
    </w:p>
    <w:p w14:paraId="599CB672" w14:textId="3D44D73C" w:rsidR="00122A4F" w:rsidRPr="00F47ED3" w:rsidRDefault="001176BF" w:rsidP="00F16F8B">
      <w:pPr>
        <w:spacing w:after="0" w:line="240" w:lineRule="auto"/>
        <w:ind w:left="567" w:hanging="1467"/>
        <w:rPr>
          <w:rFonts w:ascii="Times New Roman" w:hAnsi="Times New Roman"/>
          <w:b/>
          <w:sz w:val="24"/>
          <w:szCs w:val="24"/>
          <w:lang w:val="en-US"/>
        </w:rPr>
      </w:pPr>
      <w:r w:rsidRPr="001176BF">
        <w:rPr>
          <w:noProof/>
          <w:lang w:val="en-US"/>
        </w:rPr>
        <w:drawing>
          <wp:inline distT="0" distB="0" distL="0" distR="0" wp14:anchorId="442F57BE" wp14:editId="6745E180">
            <wp:extent cx="6734810" cy="36999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44052" cy="3705012"/>
                    </a:xfrm>
                    <a:prstGeom prst="rect">
                      <a:avLst/>
                    </a:prstGeom>
                    <a:noFill/>
                    <a:ln>
                      <a:noFill/>
                    </a:ln>
                  </pic:spPr>
                </pic:pic>
              </a:graphicData>
            </a:graphic>
          </wp:inline>
        </w:drawing>
      </w:r>
    </w:p>
    <w:p w14:paraId="41AAC7D3" w14:textId="77777777" w:rsidR="00131688" w:rsidRPr="00F47ED3" w:rsidRDefault="00131688" w:rsidP="009D30B8">
      <w:pPr>
        <w:pStyle w:val="ListParagraph"/>
        <w:spacing w:before="120" w:after="120" w:line="240" w:lineRule="auto"/>
        <w:ind w:left="360"/>
        <w:jc w:val="center"/>
        <w:rPr>
          <w:rFonts w:ascii="Times New Roman" w:hAnsi="Times New Roman"/>
          <w:b/>
          <w:sz w:val="20"/>
          <w:szCs w:val="20"/>
          <w:lang w:val="en-US"/>
        </w:rPr>
      </w:pPr>
    </w:p>
    <w:p w14:paraId="4FC0C48A" w14:textId="77777777" w:rsidR="00691D20" w:rsidRDefault="009D30B8" w:rsidP="009D30B8">
      <w:pPr>
        <w:pStyle w:val="ListParagraph"/>
        <w:spacing w:before="120" w:after="120" w:line="240" w:lineRule="auto"/>
        <w:ind w:left="360"/>
        <w:jc w:val="center"/>
        <w:rPr>
          <w:rFonts w:ascii="Times New Roman" w:hAnsi="Times New Roman"/>
          <w:b/>
          <w:sz w:val="20"/>
          <w:szCs w:val="20"/>
          <w:lang w:val="en-US"/>
        </w:rPr>
      </w:pPr>
      <w:r w:rsidRPr="00F47ED3">
        <w:rPr>
          <w:rFonts w:ascii="Times New Roman" w:hAnsi="Times New Roman"/>
          <w:b/>
          <w:sz w:val="20"/>
          <w:szCs w:val="20"/>
          <w:lang w:val="en-US"/>
        </w:rPr>
        <w:t xml:space="preserve">Table </w:t>
      </w:r>
      <w:r w:rsidR="0032721C" w:rsidRPr="00F47ED3">
        <w:rPr>
          <w:rFonts w:ascii="Times New Roman" w:hAnsi="Times New Roman"/>
          <w:b/>
          <w:sz w:val="20"/>
          <w:szCs w:val="20"/>
          <w:lang w:val="en-US"/>
        </w:rPr>
        <w:t>6</w:t>
      </w:r>
      <w:r w:rsidRPr="00F47ED3">
        <w:rPr>
          <w:rFonts w:ascii="Times New Roman" w:hAnsi="Times New Roman"/>
          <w:b/>
          <w:sz w:val="20"/>
          <w:szCs w:val="20"/>
          <w:lang w:val="en-US"/>
        </w:rPr>
        <w:t>: Financial Analysis Sensi</w:t>
      </w:r>
      <w:r w:rsidR="0052330C" w:rsidRPr="00F47ED3">
        <w:rPr>
          <w:rFonts w:ascii="Times New Roman" w:hAnsi="Times New Roman"/>
          <w:b/>
          <w:sz w:val="20"/>
          <w:szCs w:val="20"/>
          <w:lang w:val="en-US"/>
        </w:rPr>
        <w:t>tivity</w:t>
      </w:r>
      <w:r w:rsidRPr="00F47ED3">
        <w:rPr>
          <w:rFonts w:ascii="Times New Roman" w:hAnsi="Times New Roman"/>
          <w:b/>
          <w:sz w:val="20"/>
          <w:szCs w:val="20"/>
          <w:lang w:val="en-US"/>
        </w:rPr>
        <w:t xml:space="preserve"> </w:t>
      </w:r>
      <w:r w:rsidR="00FD57E7">
        <w:rPr>
          <w:rFonts w:ascii="Times New Roman" w:hAnsi="Times New Roman"/>
          <w:b/>
          <w:sz w:val="20"/>
          <w:szCs w:val="20"/>
          <w:lang w:val="en-US"/>
        </w:rPr>
        <w:t>2</w:t>
      </w:r>
    </w:p>
    <w:p w14:paraId="3140C8A3" w14:textId="1501E54D" w:rsidR="009D30B8" w:rsidRPr="00F47ED3" w:rsidRDefault="009D30B8" w:rsidP="009D30B8">
      <w:pPr>
        <w:pStyle w:val="ListParagraph"/>
        <w:spacing w:before="120" w:after="120" w:line="240" w:lineRule="auto"/>
        <w:ind w:left="360"/>
        <w:jc w:val="center"/>
        <w:rPr>
          <w:lang w:val="en-US"/>
        </w:rPr>
      </w:pPr>
    </w:p>
    <w:p w14:paraId="34B1DFE7" w14:textId="4E25C551" w:rsidR="00C41DD8" w:rsidRDefault="001176BF" w:rsidP="008E70B0">
      <w:pPr>
        <w:spacing w:after="0" w:line="240" w:lineRule="auto"/>
        <w:ind w:left="567" w:hanging="1467"/>
        <w:rPr>
          <w:rFonts w:ascii="Times New Roman" w:hAnsi="Times New Roman"/>
          <w:b/>
          <w:sz w:val="20"/>
          <w:szCs w:val="20"/>
          <w:lang w:val="en-US"/>
        </w:rPr>
      </w:pPr>
      <w:r w:rsidRPr="001176BF">
        <w:rPr>
          <w:noProof/>
          <w:lang w:val="en-US"/>
        </w:rPr>
        <w:drawing>
          <wp:inline distT="0" distB="0" distL="0" distR="0" wp14:anchorId="2D6C20CF" wp14:editId="28336A23">
            <wp:extent cx="6620510" cy="3869267"/>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8498" cy="3873935"/>
                    </a:xfrm>
                    <a:prstGeom prst="rect">
                      <a:avLst/>
                    </a:prstGeom>
                    <a:noFill/>
                    <a:ln>
                      <a:noFill/>
                    </a:ln>
                  </pic:spPr>
                </pic:pic>
              </a:graphicData>
            </a:graphic>
          </wp:inline>
        </w:drawing>
      </w:r>
      <w:r w:rsidR="00C41DD8">
        <w:rPr>
          <w:rFonts w:ascii="Times New Roman" w:hAnsi="Times New Roman"/>
          <w:b/>
          <w:sz w:val="20"/>
          <w:szCs w:val="20"/>
          <w:lang w:val="en-US"/>
        </w:rPr>
        <w:br w:type="page"/>
      </w:r>
    </w:p>
    <w:p w14:paraId="26E761BC" w14:textId="1A0F8CB2" w:rsidR="009D30B8" w:rsidRPr="00F47ED3" w:rsidRDefault="009D30B8" w:rsidP="009D30B8">
      <w:pPr>
        <w:pStyle w:val="ListParagraph"/>
        <w:spacing w:before="120" w:after="120" w:line="240" w:lineRule="auto"/>
        <w:ind w:left="360"/>
        <w:jc w:val="center"/>
        <w:rPr>
          <w:lang w:val="en-US"/>
        </w:rPr>
      </w:pPr>
      <w:r w:rsidRPr="00F47ED3">
        <w:rPr>
          <w:rFonts w:ascii="Times New Roman" w:hAnsi="Times New Roman"/>
          <w:b/>
          <w:sz w:val="20"/>
          <w:szCs w:val="20"/>
          <w:lang w:val="en-US"/>
        </w:rPr>
        <w:lastRenderedPageBreak/>
        <w:t xml:space="preserve">Table </w:t>
      </w:r>
      <w:r w:rsidR="0024297B" w:rsidRPr="00F47ED3">
        <w:rPr>
          <w:rFonts w:ascii="Times New Roman" w:hAnsi="Times New Roman"/>
          <w:b/>
          <w:sz w:val="20"/>
          <w:szCs w:val="20"/>
          <w:lang w:val="en-US"/>
        </w:rPr>
        <w:t>7</w:t>
      </w:r>
      <w:r w:rsidRPr="00F47ED3">
        <w:rPr>
          <w:rFonts w:ascii="Times New Roman" w:hAnsi="Times New Roman"/>
          <w:b/>
          <w:sz w:val="20"/>
          <w:szCs w:val="20"/>
          <w:lang w:val="en-US"/>
        </w:rPr>
        <w:t>: Financial Analysis Sensi</w:t>
      </w:r>
      <w:r w:rsidR="0052330C" w:rsidRPr="00F47ED3">
        <w:rPr>
          <w:rFonts w:ascii="Times New Roman" w:hAnsi="Times New Roman"/>
          <w:b/>
          <w:sz w:val="20"/>
          <w:szCs w:val="20"/>
          <w:lang w:val="en-US"/>
        </w:rPr>
        <w:t>tivity</w:t>
      </w:r>
      <w:r w:rsidRPr="00F47ED3">
        <w:rPr>
          <w:rFonts w:ascii="Times New Roman" w:hAnsi="Times New Roman"/>
          <w:b/>
          <w:sz w:val="20"/>
          <w:szCs w:val="20"/>
          <w:lang w:val="en-US"/>
        </w:rPr>
        <w:t xml:space="preserve"> </w:t>
      </w:r>
      <w:r w:rsidR="00FD57E7">
        <w:rPr>
          <w:rFonts w:ascii="Times New Roman" w:hAnsi="Times New Roman"/>
          <w:b/>
          <w:sz w:val="20"/>
          <w:szCs w:val="20"/>
          <w:lang w:val="en-US"/>
        </w:rPr>
        <w:t>3</w:t>
      </w:r>
    </w:p>
    <w:p w14:paraId="7E5B8100" w14:textId="27D4A59A" w:rsidR="00F35A4B" w:rsidRPr="00F47ED3" w:rsidRDefault="001176BF" w:rsidP="008E70B0">
      <w:pPr>
        <w:spacing w:after="0" w:line="240" w:lineRule="auto"/>
        <w:ind w:left="567" w:hanging="1467"/>
        <w:rPr>
          <w:lang w:val="en-US"/>
        </w:rPr>
      </w:pPr>
      <w:r w:rsidRPr="001176BF">
        <w:rPr>
          <w:noProof/>
          <w:lang w:val="en-US"/>
        </w:rPr>
        <w:drawing>
          <wp:inline distT="0" distB="0" distL="0" distR="0" wp14:anchorId="6F811E39" wp14:editId="477153E9">
            <wp:extent cx="6565900" cy="4474634"/>
            <wp:effectExtent l="0" t="0" r="635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5335" cy="4481064"/>
                    </a:xfrm>
                    <a:prstGeom prst="rect">
                      <a:avLst/>
                    </a:prstGeom>
                    <a:noFill/>
                    <a:ln>
                      <a:noFill/>
                    </a:ln>
                  </pic:spPr>
                </pic:pic>
              </a:graphicData>
            </a:graphic>
          </wp:inline>
        </w:drawing>
      </w:r>
    </w:p>
    <w:sectPr w:rsidR="00F35A4B" w:rsidRPr="00F47ED3" w:rsidSect="00972EB2">
      <w:pgSz w:w="11907" w:h="16839" w:code="9"/>
      <w:pgMar w:top="1440" w:right="1440" w:bottom="1440" w:left="162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E6CE27" w15:done="0"/>
  <w15:commentEx w15:paraId="235602AB" w15:done="0"/>
  <w15:commentEx w15:paraId="64A87526" w15:done="0"/>
  <w15:commentEx w15:paraId="65848C74" w15:done="0"/>
  <w15:commentEx w15:paraId="78D62D67" w15:done="0"/>
  <w15:commentEx w15:paraId="3BA0B830" w15:done="0"/>
  <w15:commentEx w15:paraId="29D965AF" w15:done="0"/>
  <w15:commentEx w15:paraId="7B030C72" w15:done="0"/>
  <w15:commentEx w15:paraId="32C18AFB" w15:done="0"/>
  <w15:commentEx w15:paraId="2AF3033A" w15:done="0"/>
  <w15:commentEx w15:paraId="05FE1BC4" w15:done="0"/>
  <w15:commentEx w15:paraId="4C8C83DB" w15:done="0"/>
  <w15:commentEx w15:paraId="056D71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EEA3C" w14:textId="77777777" w:rsidR="001704FD" w:rsidRDefault="001704FD" w:rsidP="00E4530D">
      <w:pPr>
        <w:spacing w:after="0" w:line="240" w:lineRule="auto"/>
      </w:pPr>
      <w:r>
        <w:separator/>
      </w:r>
    </w:p>
  </w:endnote>
  <w:endnote w:type="continuationSeparator" w:id="0">
    <w:p w14:paraId="4BAEF4CD" w14:textId="77777777" w:rsidR="001704FD" w:rsidRDefault="001704FD" w:rsidP="00E4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C00DC" w14:textId="77777777" w:rsidR="001704FD" w:rsidRDefault="001704FD" w:rsidP="00E4530D">
      <w:pPr>
        <w:spacing w:after="0" w:line="240" w:lineRule="auto"/>
      </w:pPr>
      <w:r>
        <w:separator/>
      </w:r>
    </w:p>
  </w:footnote>
  <w:footnote w:type="continuationSeparator" w:id="0">
    <w:p w14:paraId="0C900302" w14:textId="77777777" w:rsidR="001704FD" w:rsidRDefault="001704FD" w:rsidP="00E4530D">
      <w:pPr>
        <w:spacing w:after="0" w:line="240" w:lineRule="auto"/>
      </w:pPr>
      <w:r>
        <w:continuationSeparator/>
      </w:r>
    </w:p>
  </w:footnote>
  <w:footnote w:id="1">
    <w:p w14:paraId="23FA5210" w14:textId="1787A8A3" w:rsidR="001704FD" w:rsidRPr="00DA1B33" w:rsidRDefault="001704FD" w:rsidP="008E70B0">
      <w:pPr>
        <w:pStyle w:val="FootnoteText"/>
        <w:tabs>
          <w:tab w:val="left" w:pos="360"/>
        </w:tabs>
        <w:ind w:left="360" w:hanging="360"/>
      </w:pPr>
      <w:r>
        <w:rPr>
          <w:rStyle w:val="FootnoteReference"/>
        </w:rPr>
        <w:footnoteRef/>
      </w:r>
      <w:r>
        <w:t xml:space="preserve"> </w:t>
      </w:r>
      <w:r>
        <w:rPr>
          <w:rFonts w:ascii="Times New Roman" w:hAnsi="Times New Roman"/>
          <w:sz w:val="18"/>
          <w:szCs w:val="18"/>
        </w:rPr>
        <w:tab/>
        <w:t>This amount is representative as indicated by the fact that the average balance of the Suspense Account from 2001 to 2014 has remained stable at this average level, as seen in Table II below.</w:t>
      </w:r>
    </w:p>
  </w:footnote>
  <w:footnote w:id="2">
    <w:p w14:paraId="50559C8C" w14:textId="3BED5FD0" w:rsidR="001704FD" w:rsidRPr="000C2ED3" w:rsidRDefault="001704FD" w:rsidP="008E70B0">
      <w:pPr>
        <w:pStyle w:val="FootnoteText"/>
        <w:ind w:left="360" w:hanging="360"/>
        <w:jc w:val="both"/>
        <w:rPr>
          <w:rFonts w:ascii="Times New Roman" w:hAnsi="Times New Roman"/>
          <w:sz w:val="18"/>
          <w:szCs w:val="18"/>
        </w:rPr>
      </w:pPr>
      <w:r w:rsidRPr="001C39F2">
        <w:rPr>
          <w:rStyle w:val="FootnoteReference"/>
          <w:rFonts w:ascii="Times New Roman" w:hAnsi="Times New Roman"/>
          <w:sz w:val="18"/>
          <w:szCs w:val="18"/>
        </w:rPr>
        <w:footnoteRef/>
      </w:r>
      <w:r w:rsidRPr="000C2ED3">
        <w:rPr>
          <w:rFonts w:ascii="Times New Roman" w:hAnsi="Times New Roman"/>
          <w:sz w:val="18"/>
          <w:szCs w:val="18"/>
        </w:rPr>
        <w:t xml:space="preserve"> </w:t>
      </w:r>
      <w:r>
        <w:rPr>
          <w:rFonts w:ascii="Times New Roman" w:hAnsi="Times New Roman"/>
          <w:sz w:val="18"/>
          <w:szCs w:val="18"/>
        </w:rPr>
        <w:tab/>
      </w:r>
      <w:r w:rsidRPr="000C2ED3">
        <w:rPr>
          <w:rFonts w:ascii="Times New Roman" w:hAnsi="Times New Roman"/>
          <w:sz w:val="18"/>
          <w:szCs w:val="18"/>
        </w:rPr>
        <w:t>Opportunity costs are fundamental costs in economics,</w:t>
      </w:r>
      <w:r>
        <w:rPr>
          <w:rFonts w:ascii="Times New Roman" w:hAnsi="Times New Roman"/>
          <w:sz w:val="18"/>
          <w:szCs w:val="18"/>
        </w:rPr>
        <w:t xml:space="preserve"> and are used in computing cost-</w:t>
      </w:r>
      <w:r w:rsidRPr="000C2ED3">
        <w:rPr>
          <w:rFonts w:ascii="Times New Roman" w:hAnsi="Times New Roman"/>
          <w:sz w:val="18"/>
          <w:szCs w:val="18"/>
        </w:rPr>
        <w:t>benefit analysis of a project. Such costs, however, are not recorded in the account books but are recognized in decision making by computing the cash outlays and their resulting profit or loss. (http://www.businessdictionary.com/definition/opportunity-cost.html)</w:t>
      </w:r>
    </w:p>
  </w:footnote>
  <w:footnote w:id="3">
    <w:p w14:paraId="7F63874A" w14:textId="57804384" w:rsidR="001704FD" w:rsidRPr="00833F4E" w:rsidRDefault="001704FD" w:rsidP="008E70B0">
      <w:pPr>
        <w:pStyle w:val="FootnoteText"/>
        <w:ind w:left="360" w:hanging="360"/>
        <w:jc w:val="both"/>
        <w:rPr>
          <w:rFonts w:ascii="Times New Roman" w:eastAsia="Times New Roman" w:hAnsi="Times New Roman"/>
          <w:sz w:val="20"/>
          <w:szCs w:val="20"/>
          <w:lang w:val="en-US"/>
        </w:rPr>
      </w:pPr>
      <w:r w:rsidRPr="000C2ED3">
        <w:rPr>
          <w:rStyle w:val="FootnoteReference"/>
          <w:rFonts w:ascii="Times New Roman" w:hAnsi="Times New Roman"/>
          <w:sz w:val="18"/>
          <w:szCs w:val="18"/>
        </w:rPr>
        <w:footnoteRef/>
      </w:r>
      <w:r w:rsidRPr="000C2ED3">
        <w:rPr>
          <w:rFonts w:ascii="Times New Roman" w:hAnsi="Times New Roman"/>
          <w:sz w:val="18"/>
          <w:szCs w:val="18"/>
        </w:rPr>
        <w:t xml:space="preserve"> </w:t>
      </w:r>
      <w:r>
        <w:rPr>
          <w:rFonts w:ascii="Times New Roman" w:hAnsi="Times New Roman"/>
          <w:sz w:val="18"/>
          <w:szCs w:val="18"/>
        </w:rPr>
        <w:tab/>
      </w:r>
      <w:r>
        <w:rPr>
          <w:rFonts w:ascii="Times New Roman" w:eastAsia="Times New Roman" w:hAnsi="Times New Roman"/>
          <w:sz w:val="18"/>
          <w:szCs w:val="18"/>
          <w:lang w:val="en-US"/>
        </w:rPr>
        <w:t>Most of the</w:t>
      </w:r>
      <w:r w:rsidRPr="000C2ED3">
        <w:rPr>
          <w:rFonts w:ascii="Times New Roman" w:eastAsia="Times New Roman" w:hAnsi="Times New Roman"/>
          <w:sz w:val="18"/>
          <w:szCs w:val="18"/>
          <w:lang w:val="en-US"/>
        </w:rPr>
        <w:t xml:space="preserve"> revenues are received in the Treasury Suspense Account</w:t>
      </w:r>
      <w:r>
        <w:rPr>
          <w:rFonts w:ascii="Times New Roman" w:eastAsia="Times New Roman" w:hAnsi="Times New Roman"/>
          <w:sz w:val="18"/>
          <w:szCs w:val="18"/>
          <w:lang w:val="en-US"/>
        </w:rPr>
        <w:t xml:space="preserve"> </w:t>
      </w:r>
      <w:r w:rsidRPr="000C2ED3">
        <w:rPr>
          <w:rFonts w:ascii="Times New Roman" w:eastAsia="Times New Roman" w:hAnsi="Times New Roman"/>
          <w:sz w:val="18"/>
          <w:szCs w:val="18"/>
          <w:lang w:val="en-US"/>
        </w:rPr>
        <w:t xml:space="preserve">and transferred to the </w:t>
      </w:r>
      <w:r>
        <w:rPr>
          <w:rFonts w:ascii="Times New Roman" w:eastAsia="Times New Roman" w:hAnsi="Times New Roman"/>
          <w:sz w:val="18"/>
          <w:szCs w:val="18"/>
          <w:lang w:val="en-US"/>
        </w:rPr>
        <w:t xml:space="preserve">Treasury </w:t>
      </w:r>
      <w:r w:rsidRPr="000C2ED3">
        <w:rPr>
          <w:rFonts w:ascii="Times New Roman" w:eastAsia="Times New Roman" w:hAnsi="Times New Roman"/>
          <w:sz w:val="18"/>
          <w:szCs w:val="18"/>
          <w:lang w:val="en-US"/>
        </w:rPr>
        <w:t xml:space="preserve">Exchequer account </w:t>
      </w:r>
      <w:r w:rsidRPr="008E70B0">
        <w:rPr>
          <w:rFonts w:ascii="Times New Roman" w:hAnsi="Times New Roman"/>
          <w:sz w:val="18"/>
          <w:szCs w:val="18"/>
        </w:rPr>
        <w:t>when</w:t>
      </w:r>
      <w:r w:rsidRPr="000C2ED3">
        <w:rPr>
          <w:rFonts w:ascii="Times New Roman" w:eastAsia="Times New Roman" w:hAnsi="Times New Roman"/>
          <w:sz w:val="18"/>
          <w:szCs w:val="18"/>
          <w:lang w:val="en-US"/>
        </w:rPr>
        <w:t xml:space="preserve"> their sources of collection is identified and classified. Some funds received in offices with lack of automation, despite being promptly deposited in the </w:t>
      </w:r>
      <w:r>
        <w:rPr>
          <w:rFonts w:ascii="Times New Roman" w:eastAsia="Times New Roman" w:hAnsi="Times New Roman"/>
          <w:sz w:val="18"/>
          <w:szCs w:val="18"/>
          <w:lang w:val="en-US"/>
        </w:rPr>
        <w:t>Treasury S</w:t>
      </w:r>
      <w:r w:rsidRPr="000C2ED3">
        <w:rPr>
          <w:rFonts w:ascii="Times New Roman" w:eastAsia="Times New Roman" w:hAnsi="Times New Roman"/>
          <w:sz w:val="18"/>
          <w:szCs w:val="18"/>
          <w:lang w:val="en-US"/>
        </w:rPr>
        <w:t xml:space="preserve">uspense </w:t>
      </w:r>
      <w:r>
        <w:rPr>
          <w:rFonts w:ascii="Times New Roman" w:eastAsia="Times New Roman" w:hAnsi="Times New Roman"/>
          <w:sz w:val="18"/>
          <w:szCs w:val="18"/>
          <w:lang w:val="en-US"/>
        </w:rPr>
        <w:t>A</w:t>
      </w:r>
      <w:r w:rsidRPr="000C2ED3">
        <w:rPr>
          <w:rFonts w:ascii="Times New Roman" w:eastAsia="Times New Roman" w:hAnsi="Times New Roman"/>
          <w:sz w:val="18"/>
          <w:szCs w:val="18"/>
          <w:lang w:val="en-US"/>
        </w:rPr>
        <w:t xml:space="preserve">ccount, results in the information about the sources of collection being delayed several days to be provided to the Treasury. During this period, the Treasury cannot transfer these funds to the </w:t>
      </w:r>
      <w:r>
        <w:rPr>
          <w:rFonts w:ascii="Times New Roman" w:eastAsia="Times New Roman" w:hAnsi="Times New Roman"/>
          <w:sz w:val="18"/>
          <w:szCs w:val="18"/>
          <w:lang w:val="en-US"/>
        </w:rPr>
        <w:t xml:space="preserve">Treasury </w:t>
      </w:r>
      <w:r w:rsidRPr="000C2ED3">
        <w:rPr>
          <w:rFonts w:ascii="Times New Roman" w:eastAsia="Times New Roman" w:hAnsi="Times New Roman"/>
          <w:sz w:val="18"/>
          <w:szCs w:val="18"/>
          <w:lang w:val="en-US"/>
        </w:rPr>
        <w:t>Exchequer account.</w:t>
      </w:r>
    </w:p>
  </w:footnote>
  <w:footnote w:id="4">
    <w:p w14:paraId="046A9093" w14:textId="77777777" w:rsidR="001704FD" w:rsidRPr="00427063" w:rsidRDefault="001704FD" w:rsidP="001704FD">
      <w:pPr>
        <w:pStyle w:val="FootnoteText"/>
        <w:ind w:left="360" w:hanging="360"/>
        <w:rPr>
          <w:rFonts w:ascii="Times New Roman" w:hAnsi="Times New Roman"/>
          <w:sz w:val="18"/>
          <w:szCs w:val="18"/>
        </w:rPr>
      </w:pPr>
      <w:r>
        <w:rPr>
          <w:rStyle w:val="FootnoteReference"/>
        </w:rPr>
        <w:footnoteRef/>
      </w:r>
      <w:r>
        <w:t xml:space="preserve"> </w:t>
      </w:r>
      <w:r>
        <w:rPr>
          <w:rFonts w:ascii="Times New Roman" w:hAnsi="Times New Roman"/>
          <w:sz w:val="18"/>
          <w:szCs w:val="18"/>
        </w:rPr>
        <w:tab/>
      </w:r>
      <w:r w:rsidRPr="00427063">
        <w:rPr>
          <w:rFonts w:ascii="Times New Roman" w:hAnsi="Times New Roman"/>
          <w:sz w:val="18"/>
          <w:szCs w:val="18"/>
        </w:rPr>
        <w:t>This is an average in constant prices of the Suspense Account balance from 2001 to 2014</w:t>
      </w:r>
      <w:r>
        <w:rPr>
          <w:rFonts w:ascii="Times New Roman" w:hAnsi="Times New Roman"/>
          <w:sz w:val="18"/>
          <w:szCs w:val="18"/>
        </w:rPr>
        <w:t>, as indicated in the Annex II – Detailed Results Matrix</w:t>
      </w:r>
      <w:r w:rsidRPr="00427063">
        <w:rPr>
          <w:rFonts w:ascii="Times New Roman" w:hAnsi="Times New Roman"/>
          <w:sz w:val="18"/>
          <w:szCs w:val="18"/>
        </w:rPr>
        <w:t>.</w:t>
      </w:r>
    </w:p>
  </w:footnote>
  <w:footnote w:id="5">
    <w:p w14:paraId="284A1952" w14:textId="096786E8" w:rsidR="001704FD" w:rsidRPr="000C2ED3" w:rsidRDefault="001704FD" w:rsidP="008E70B0">
      <w:pPr>
        <w:pStyle w:val="FootnoteText"/>
        <w:ind w:left="360" w:hanging="360"/>
        <w:jc w:val="both"/>
        <w:rPr>
          <w:rFonts w:ascii="Times New Roman" w:hAnsi="Times New Roman"/>
          <w:sz w:val="18"/>
          <w:szCs w:val="18"/>
        </w:rPr>
      </w:pPr>
      <w:r w:rsidRPr="001C39F2">
        <w:rPr>
          <w:rStyle w:val="FootnoteReference"/>
          <w:rFonts w:ascii="Times New Roman" w:hAnsi="Times New Roman"/>
          <w:sz w:val="18"/>
          <w:szCs w:val="18"/>
        </w:rPr>
        <w:footnoteRef/>
      </w:r>
      <w:r w:rsidRPr="000C2ED3">
        <w:rPr>
          <w:rFonts w:ascii="Times New Roman" w:hAnsi="Times New Roman"/>
          <w:sz w:val="18"/>
          <w:szCs w:val="18"/>
        </w:rPr>
        <w:t xml:space="preserve"> </w:t>
      </w:r>
      <w:r>
        <w:rPr>
          <w:rFonts w:ascii="Times New Roman" w:hAnsi="Times New Roman"/>
          <w:sz w:val="18"/>
          <w:szCs w:val="18"/>
        </w:rPr>
        <w:tab/>
      </w:r>
      <w:r w:rsidRPr="000C2ED3">
        <w:rPr>
          <w:rFonts w:ascii="Times New Roman" w:hAnsi="Times New Roman"/>
          <w:sz w:val="18"/>
          <w:szCs w:val="18"/>
        </w:rPr>
        <w:t>Opportunity costs are fundamental costs in economics,</w:t>
      </w:r>
      <w:r>
        <w:rPr>
          <w:rFonts w:ascii="Times New Roman" w:hAnsi="Times New Roman"/>
          <w:sz w:val="18"/>
          <w:szCs w:val="18"/>
        </w:rPr>
        <w:t xml:space="preserve"> and are used in computing cost-</w:t>
      </w:r>
      <w:r w:rsidRPr="000C2ED3">
        <w:rPr>
          <w:rFonts w:ascii="Times New Roman" w:hAnsi="Times New Roman"/>
          <w:sz w:val="18"/>
          <w:szCs w:val="18"/>
        </w:rPr>
        <w:t>benefit analysis of a project. Such costs, however, are not recorded in the account books but are recognized in decision making by computing the cash outlays and their resulting profit or loss. (http://www.businessdictionary.com/definition/opportunity-cost.html)</w:t>
      </w:r>
    </w:p>
  </w:footnote>
  <w:footnote w:id="6">
    <w:p w14:paraId="6480F022" w14:textId="0FC53E85" w:rsidR="001704FD" w:rsidRPr="00362F33" w:rsidRDefault="001704FD" w:rsidP="008E70B0">
      <w:pPr>
        <w:pStyle w:val="FootnoteText"/>
        <w:ind w:left="360" w:hanging="360"/>
        <w:jc w:val="both"/>
        <w:rPr>
          <w:rFonts w:ascii="Times New Roman" w:hAnsi="Times New Roman"/>
          <w:sz w:val="20"/>
          <w:szCs w:val="20"/>
          <w:lang w:val="en-US"/>
        </w:rPr>
      </w:pPr>
      <w:r w:rsidRPr="003F0E9F">
        <w:rPr>
          <w:rStyle w:val="FootnoteReference"/>
          <w:rFonts w:ascii="Times New Roman" w:hAnsi="Times New Roman"/>
          <w:sz w:val="20"/>
          <w:szCs w:val="20"/>
        </w:rPr>
        <w:footnoteRef/>
      </w:r>
      <w:r w:rsidRPr="008E70B0">
        <w:rPr>
          <w:rFonts w:ascii="Times New Roman" w:hAnsi="Times New Roman"/>
          <w:sz w:val="20"/>
          <w:szCs w:val="20"/>
          <w:lang w:val="en-US"/>
        </w:rPr>
        <w:t xml:space="preserve"> </w:t>
      </w:r>
      <w:r>
        <w:rPr>
          <w:rFonts w:ascii="Times New Roman" w:hAnsi="Times New Roman"/>
          <w:sz w:val="20"/>
          <w:szCs w:val="20"/>
          <w:lang w:val="en-US"/>
        </w:rPr>
        <w:tab/>
      </w:r>
      <w:r w:rsidRPr="008E70B0">
        <w:rPr>
          <w:rFonts w:ascii="Times New Roman" w:hAnsi="Times New Roman"/>
          <w:sz w:val="20"/>
          <w:szCs w:val="20"/>
          <w:lang w:val="en-US"/>
        </w:rPr>
        <w:t xml:space="preserve">The Treasury Division from the Ministry of </w:t>
      </w:r>
      <w:proofErr w:type="gramStart"/>
      <w:r w:rsidRPr="008E70B0">
        <w:rPr>
          <w:rFonts w:ascii="Times New Roman" w:hAnsi="Times New Roman"/>
          <w:sz w:val="20"/>
          <w:szCs w:val="20"/>
          <w:lang w:val="en-US"/>
        </w:rPr>
        <w:t>Financ</w:t>
      </w:r>
      <w:r>
        <w:rPr>
          <w:rFonts w:ascii="Times New Roman" w:hAnsi="Times New Roman"/>
          <w:sz w:val="20"/>
          <w:szCs w:val="20"/>
          <w:lang w:val="en-US"/>
        </w:rPr>
        <w:t>e,</w:t>
      </w:r>
      <w:proofErr w:type="gramEnd"/>
      <w:r>
        <w:rPr>
          <w:rFonts w:ascii="Times New Roman" w:hAnsi="Times New Roman"/>
          <w:sz w:val="20"/>
          <w:szCs w:val="20"/>
          <w:lang w:val="en-US"/>
        </w:rPr>
        <w:t xml:space="preserve"> informed the Project Team that the commercial banks in </w:t>
      </w:r>
      <w:r w:rsidRPr="008E70B0">
        <w:rPr>
          <w:rFonts w:ascii="Times New Roman" w:hAnsi="Times New Roman"/>
          <w:sz w:val="18"/>
          <w:szCs w:val="18"/>
        </w:rPr>
        <w:t>Trinidad</w:t>
      </w:r>
      <w:r>
        <w:rPr>
          <w:rFonts w:ascii="Times New Roman" w:hAnsi="Times New Roman"/>
          <w:sz w:val="20"/>
          <w:szCs w:val="20"/>
          <w:lang w:val="en-US"/>
        </w:rPr>
        <w:t xml:space="preserve"> and Tobago can provide special interest rates (5.5%) on deposits above TT$ 15 million in a fix-term basis, equal or superior to 30 days periods. </w:t>
      </w:r>
    </w:p>
  </w:footnote>
  <w:footnote w:id="7">
    <w:p w14:paraId="41893B84" w14:textId="439043C4" w:rsidR="001704FD" w:rsidRDefault="001704FD" w:rsidP="008E70B0">
      <w:pPr>
        <w:pStyle w:val="FootnoteText"/>
        <w:ind w:left="360" w:hanging="360"/>
        <w:jc w:val="both"/>
        <w:rPr>
          <w:rFonts w:ascii="Times New Roman" w:hAnsi="Times New Roman"/>
          <w:sz w:val="20"/>
          <w:lang w:val="en-US"/>
        </w:rPr>
      </w:pPr>
      <w:r w:rsidRPr="008E70B0">
        <w:rPr>
          <w:rStyle w:val="FootnoteReference"/>
          <w:rFonts w:ascii="Times New Roman" w:hAnsi="Times New Roman"/>
          <w:sz w:val="20"/>
        </w:rPr>
        <w:footnoteRef/>
      </w:r>
      <w:r w:rsidRPr="008E70B0">
        <w:rPr>
          <w:rFonts w:ascii="Times New Roman" w:hAnsi="Times New Roman"/>
          <w:sz w:val="20"/>
          <w:lang w:val="en-US"/>
        </w:rPr>
        <w:t xml:space="preserve"> </w:t>
      </w:r>
      <w:r>
        <w:rPr>
          <w:rFonts w:ascii="Times New Roman" w:hAnsi="Times New Roman"/>
          <w:sz w:val="20"/>
          <w:lang w:val="en-US"/>
        </w:rPr>
        <w:tab/>
      </w:r>
      <w:r w:rsidRPr="008E70B0">
        <w:rPr>
          <w:rFonts w:ascii="Times New Roman" w:hAnsi="Times New Roman"/>
          <w:sz w:val="20"/>
          <w:lang w:val="en-US"/>
        </w:rPr>
        <w:t xml:space="preserve">See </w:t>
      </w:r>
      <w:r w:rsidRPr="008E70B0">
        <w:rPr>
          <w:rFonts w:ascii="Times New Roman" w:hAnsi="Times New Roman"/>
          <w:sz w:val="18"/>
          <w:szCs w:val="18"/>
        </w:rPr>
        <w:t>IDB</w:t>
      </w:r>
      <w:r>
        <w:rPr>
          <w:rFonts w:ascii="Times New Roman" w:hAnsi="Times New Roman"/>
          <w:sz w:val="20"/>
          <w:lang w:val="en-US"/>
        </w:rPr>
        <w:t xml:space="preserve"> Current and Historic Loan Charges </w:t>
      </w:r>
    </w:p>
    <w:p w14:paraId="19456165" w14:textId="3C2A9263" w:rsidR="001704FD" w:rsidRPr="008E70B0" w:rsidRDefault="001704FD" w:rsidP="008E70B0">
      <w:pPr>
        <w:pStyle w:val="FootnoteText"/>
        <w:ind w:left="360"/>
        <w:jc w:val="both"/>
        <w:rPr>
          <w:rFonts w:ascii="Times New Roman" w:hAnsi="Times New Roman"/>
          <w:sz w:val="20"/>
          <w:lang w:val="en-US"/>
        </w:rPr>
      </w:pPr>
      <w:r>
        <w:rPr>
          <w:rFonts w:ascii="Times New Roman" w:hAnsi="Times New Roman"/>
          <w:sz w:val="20"/>
          <w:lang w:val="en-US"/>
        </w:rPr>
        <w:t>HTTP://idbdocs.iadb.org/wsdocs/getdocument.asp?docnum=35769969</w:t>
      </w:r>
      <w:r w:rsidRPr="008E70B0">
        <w:rPr>
          <w:rFonts w:ascii="Times New Roman" w:hAnsi="Times New Roman"/>
          <w:sz w:val="20"/>
          <w:lang w:val="en-US"/>
        </w:rPr>
        <w:t xml:space="preserve">. The </w:t>
      </w:r>
      <w:r>
        <w:rPr>
          <w:rFonts w:ascii="Times New Roman" w:hAnsi="Times New Roman"/>
          <w:sz w:val="20"/>
          <w:lang w:val="en-US"/>
        </w:rPr>
        <w:t>interest rate applicable for the first semester of 2015, according to the FFF / SCF – LIBOR USD was 1.15</w:t>
      </w:r>
      <w:r w:rsidRPr="00091243">
        <w:rPr>
          <w:rFonts w:ascii="Times New Roman" w:hAnsi="Times New Roman"/>
          <w:sz w:val="20"/>
          <w:lang w:val="en-US"/>
        </w:rPr>
        <w:t>%</w:t>
      </w:r>
      <w:proofErr w:type="gramStart"/>
      <w:r>
        <w:rPr>
          <w:rFonts w:ascii="Times New Roman" w:hAnsi="Times New Roman"/>
          <w:sz w:val="20"/>
          <w:lang w:val="en-US"/>
        </w:rPr>
        <w:t>,</w:t>
      </w:r>
      <w:proofErr w:type="gramEnd"/>
      <w:r>
        <w:rPr>
          <w:rFonts w:ascii="Times New Roman" w:hAnsi="Times New Roman"/>
          <w:sz w:val="20"/>
          <w:lang w:val="en-US"/>
        </w:rPr>
        <w:t xml:space="preserve"> we have considered a 1.17% lending rate for this analysis</w:t>
      </w:r>
      <w:r w:rsidRPr="00091243">
        <w:rPr>
          <w:rFonts w:ascii="Times New Roman" w:hAnsi="Times New Roman"/>
          <w:sz w:val="20"/>
          <w:lang w:val="en-US"/>
        </w:rPr>
        <w:t>.</w:t>
      </w:r>
      <w:r>
        <w:rPr>
          <w:rFonts w:ascii="Times New Roman" w:hAnsi="Times New Roman"/>
          <w:sz w:val="20"/>
          <w:lang w:val="en-US"/>
        </w:rPr>
        <w:t xml:space="preserve"> Including Credit fee (0.25) and Inspection and Supervision Fee (0.05%) the total interest rate is approximately 1.47%. Although the Bank is not currently charging the Inspection and Supervision Fee, in a conservative basis this fee was also considered for the estimation of the benefits from the project.</w:t>
      </w:r>
    </w:p>
  </w:footnote>
  <w:footnote w:id="8">
    <w:p w14:paraId="05074A6D" w14:textId="2128477A" w:rsidR="001704FD" w:rsidRPr="008E70B0" w:rsidRDefault="001704FD" w:rsidP="008E70B0">
      <w:pPr>
        <w:pStyle w:val="FootnoteText"/>
        <w:ind w:left="360" w:hanging="360"/>
        <w:jc w:val="both"/>
        <w:rPr>
          <w:rFonts w:ascii="Times New Roman" w:hAnsi="Times New Roman"/>
          <w:lang w:val="en-US"/>
        </w:rPr>
      </w:pPr>
      <w:r w:rsidRPr="008E70B0">
        <w:rPr>
          <w:rStyle w:val="FootnoteReference"/>
          <w:rFonts w:ascii="Times New Roman" w:hAnsi="Times New Roman"/>
          <w:sz w:val="20"/>
          <w:lang w:val="en-US"/>
        </w:rPr>
        <w:footnoteRef/>
      </w:r>
      <w:r w:rsidRPr="008E70B0">
        <w:rPr>
          <w:rFonts w:ascii="Times New Roman" w:hAnsi="Times New Roman"/>
          <w:sz w:val="20"/>
          <w:lang w:val="en-US"/>
        </w:rPr>
        <w:t xml:space="preserve"> </w:t>
      </w:r>
      <w:r>
        <w:rPr>
          <w:rFonts w:ascii="Times New Roman" w:hAnsi="Times New Roman"/>
          <w:sz w:val="20"/>
          <w:lang w:val="en-US"/>
        </w:rPr>
        <w:tab/>
      </w:r>
      <w:r w:rsidRPr="008E70B0">
        <w:rPr>
          <w:rFonts w:ascii="Times New Roman" w:hAnsi="Times New Roman"/>
          <w:sz w:val="18"/>
          <w:szCs w:val="18"/>
        </w:rPr>
        <w:t>See</w:t>
      </w:r>
      <w:r w:rsidRPr="008E70B0">
        <w:rPr>
          <w:rFonts w:ascii="Times New Roman" w:hAnsi="Times New Roman"/>
          <w:sz w:val="20"/>
          <w:lang w:val="en-US"/>
        </w:rPr>
        <w:t xml:space="preserve"> </w:t>
      </w:r>
      <w:r>
        <w:rPr>
          <w:rFonts w:ascii="Times New Roman" w:hAnsi="Times New Roman"/>
          <w:sz w:val="20"/>
          <w:lang w:val="en-US"/>
        </w:rPr>
        <w:t>Central Bank of TT (exchange rates) http://www.central-bank.org.tt/content/exchange-rates-daily</w:t>
      </w:r>
      <w:r w:rsidRPr="008E70B0">
        <w:rPr>
          <w:rFonts w:ascii="Times New Roman" w:hAnsi="Times New Roman"/>
          <w:sz w:val="20"/>
          <w:lang w:val="en-US"/>
        </w:rPr>
        <w:t>. The exchange rat</w:t>
      </w:r>
      <w:r>
        <w:rPr>
          <w:rFonts w:ascii="Times New Roman" w:hAnsi="Times New Roman"/>
          <w:sz w:val="20"/>
          <w:lang w:val="en-US"/>
        </w:rPr>
        <w:t>e in 01/08/2015 was 1 US$ = 6.3388</w:t>
      </w:r>
      <w:r w:rsidRPr="008E70B0">
        <w:rPr>
          <w:rFonts w:ascii="Times New Roman" w:hAnsi="Times New Roman"/>
          <w:sz w:val="20"/>
          <w:lang w:val="en-US"/>
        </w:rPr>
        <w:t xml:space="preserve"> TT$. From 04/</w:t>
      </w:r>
      <w:r>
        <w:rPr>
          <w:rFonts w:ascii="Times New Roman" w:hAnsi="Times New Roman"/>
          <w:sz w:val="20"/>
          <w:lang w:val="en-US"/>
        </w:rPr>
        <w:t>08/2010 to 01/08</w:t>
      </w:r>
      <w:r w:rsidRPr="008E70B0">
        <w:rPr>
          <w:rFonts w:ascii="Times New Roman" w:hAnsi="Times New Roman"/>
          <w:sz w:val="20"/>
          <w:lang w:val="en-US"/>
        </w:rPr>
        <w:t xml:space="preserve">/2015 the average exchange rate was </w:t>
      </w:r>
      <w:r w:rsidRPr="00F521DD">
        <w:rPr>
          <w:rFonts w:ascii="Times New Roman" w:hAnsi="Times New Roman"/>
          <w:sz w:val="20"/>
          <w:lang w:val="en-US"/>
        </w:rPr>
        <w:t xml:space="preserve">approximately </w:t>
      </w:r>
      <w:r w:rsidRPr="008E70B0">
        <w:rPr>
          <w:rFonts w:ascii="Times New Roman" w:hAnsi="Times New Roman"/>
          <w:sz w:val="20"/>
          <w:lang w:val="en-US"/>
        </w:rPr>
        <w:t>6.3</w:t>
      </w:r>
      <w:r>
        <w:rPr>
          <w:rFonts w:ascii="Times New Roman" w:hAnsi="Times New Roman"/>
          <w:sz w:val="20"/>
          <w:lang w:val="en-US"/>
        </w:rPr>
        <w:t>8</w:t>
      </w:r>
      <w:r w:rsidRPr="008E70B0">
        <w:rPr>
          <w:rFonts w:ascii="Times New Roman" w:hAnsi="Times New Roman"/>
          <w:sz w:val="20"/>
          <w:lang w:val="en-US"/>
        </w:rPr>
        <w:t xml:space="preserve">. </w:t>
      </w:r>
    </w:p>
  </w:footnote>
  <w:footnote w:id="9">
    <w:p w14:paraId="03BEEEC0" w14:textId="29E8EC7A" w:rsidR="001704FD" w:rsidRPr="00157B6C" w:rsidRDefault="001704FD" w:rsidP="008E70B0">
      <w:pPr>
        <w:pStyle w:val="FootnoteText"/>
        <w:ind w:left="360" w:hanging="360"/>
        <w:jc w:val="both"/>
        <w:rPr>
          <w:lang w:val="fr-FR"/>
        </w:rPr>
      </w:pPr>
      <w:r w:rsidRPr="003F0E9F">
        <w:rPr>
          <w:rStyle w:val="FootnoteReference"/>
          <w:rFonts w:ascii="Times New Roman" w:hAnsi="Times New Roman"/>
          <w:sz w:val="20"/>
          <w:szCs w:val="20"/>
        </w:rPr>
        <w:footnoteRef/>
      </w:r>
      <w:r w:rsidRPr="00157B6C">
        <w:rPr>
          <w:rFonts w:ascii="Times New Roman" w:hAnsi="Times New Roman"/>
          <w:sz w:val="20"/>
          <w:szCs w:val="20"/>
          <w:lang w:val="fr-FR"/>
        </w:rPr>
        <w:t xml:space="preserve"> </w:t>
      </w:r>
      <w:r>
        <w:rPr>
          <w:rFonts w:ascii="Times New Roman" w:hAnsi="Times New Roman"/>
          <w:sz w:val="20"/>
          <w:szCs w:val="20"/>
          <w:lang w:val="fr-FR"/>
        </w:rPr>
        <w:tab/>
      </w:r>
      <w:hyperlink r:id="rId1" w:history="1">
        <w:r w:rsidRPr="008E70B0">
          <w:rPr>
            <w:rStyle w:val="Hyperlink"/>
            <w:rFonts w:ascii="Times New Roman" w:hAnsi="Times New Roman"/>
            <w:sz w:val="18"/>
            <w:szCs w:val="18"/>
            <w:lang w:val="fr-FR"/>
          </w:rPr>
          <w:t>http</w:t>
        </w:r>
        <w:r w:rsidRPr="00157B6C">
          <w:rPr>
            <w:rStyle w:val="Hyperlink"/>
            <w:rFonts w:ascii="Times New Roman" w:hAnsi="Times New Roman"/>
            <w:sz w:val="20"/>
            <w:szCs w:val="20"/>
            <w:lang w:val="fr-FR"/>
          </w:rPr>
          <w:t>://www.imf.org/external/pubs/ft/scr/2014/cr14271.pdf</w:t>
        </w:r>
      </w:hyperlink>
      <w:r w:rsidRPr="00157B6C">
        <w:rPr>
          <w:rFonts w:ascii="Times New Roman" w:hAnsi="Times New Roman"/>
          <w:sz w:val="20"/>
          <w:szCs w:val="20"/>
          <w:lang w:val="fr-FR"/>
        </w:rPr>
        <w:t xml:space="preserve"> page 38 </w:t>
      </w:r>
      <w:proofErr w:type="spellStart"/>
      <w:r w:rsidRPr="00157B6C">
        <w:rPr>
          <w:rFonts w:ascii="Times New Roman" w:hAnsi="Times New Roman"/>
          <w:sz w:val="20"/>
          <w:szCs w:val="20"/>
          <w:lang w:val="fr-FR"/>
        </w:rPr>
        <w:t>Annex</w:t>
      </w:r>
      <w:proofErr w:type="spellEnd"/>
      <w:r w:rsidRPr="00157B6C">
        <w:rPr>
          <w:rFonts w:ascii="Times New Roman" w:hAnsi="Times New Roman"/>
          <w:sz w:val="20"/>
          <w:szCs w:val="20"/>
          <w:lang w:val="fr-FR"/>
        </w:rPr>
        <w:t xml:space="preserve"> 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FBE4DBC4"/>
    <w:lvl w:ilvl="0">
      <w:start w:val="1"/>
      <w:numFmt w:val="upperRoman"/>
      <w:pStyle w:val="Chapter"/>
      <w:lvlText w:val="%1."/>
      <w:lvlJc w:val="center"/>
      <w:pPr>
        <w:tabs>
          <w:tab w:val="num" w:pos="648"/>
        </w:tabs>
        <w:ind w:left="0" w:firstLine="288"/>
      </w:pPr>
      <w:rPr>
        <w:rFonts w:hint="default"/>
        <w:b/>
        <w:i w:val="0"/>
      </w:rPr>
    </w:lvl>
    <w:lvl w:ilvl="1">
      <w:start w:val="3"/>
      <w:numFmt w:val="decimal"/>
      <w:pStyle w:val="Paragraph"/>
      <w:isLgl/>
      <w:lvlText w:val="%1.%2"/>
      <w:lvlJc w:val="left"/>
      <w:pPr>
        <w:tabs>
          <w:tab w:val="num" w:pos="720"/>
        </w:tabs>
        <w:ind w:left="720" w:hanging="720"/>
      </w:pPr>
      <w:rPr>
        <w:rFonts w:hint="default"/>
        <w:b w:val="0"/>
        <w:color w:val="auto"/>
        <w:lang w:val="en-GB"/>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nsid w:val="0E947BC8"/>
    <w:multiLevelType w:val="hybridMultilevel"/>
    <w:tmpl w:val="36E2CF76"/>
    <w:lvl w:ilvl="0" w:tplc="840E8C5E">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27BF3"/>
    <w:multiLevelType w:val="multilevel"/>
    <w:tmpl w:val="BDE4631A"/>
    <w:lvl w:ilvl="0">
      <w:start w:val="1"/>
      <w:numFmt w:val="none"/>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val="0"/>
      </w:rPr>
    </w:lvl>
    <w:lvl w:ilvl="4">
      <w:start w:val="1"/>
      <w:numFmt w:val="decimal"/>
      <w:pStyle w:val="Ttulo51"/>
      <w:lvlText w:val="%5)"/>
      <w:lvlJc w:val="left"/>
      <w:pPr>
        <w:ind w:left="5112" w:hanging="432"/>
      </w:pPr>
    </w:lvl>
    <w:lvl w:ilvl="5">
      <w:start w:val="1"/>
      <w:numFmt w:val="lowerLetter"/>
      <w:pStyle w:val="Ttulo61"/>
      <w:lvlText w:val="%6)"/>
      <w:lvlJc w:val="left"/>
      <w:pPr>
        <w:ind w:left="5256" w:hanging="432"/>
      </w:pPr>
    </w:lvl>
    <w:lvl w:ilvl="6">
      <w:start w:val="1"/>
      <w:numFmt w:val="lowerRoman"/>
      <w:pStyle w:val="Ttulo71"/>
      <w:lvlText w:val="%7)"/>
      <w:lvlJc w:val="right"/>
      <w:pPr>
        <w:ind w:left="5400" w:hanging="288"/>
      </w:pPr>
    </w:lvl>
    <w:lvl w:ilvl="7">
      <w:start w:val="1"/>
      <w:numFmt w:val="lowerLetter"/>
      <w:pStyle w:val="Ttulo81"/>
      <w:lvlText w:val="%8."/>
      <w:lvlJc w:val="left"/>
      <w:pPr>
        <w:ind w:left="5544" w:hanging="432"/>
      </w:pPr>
    </w:lvl>
    <w:lvl w:ilvl="8">
      <w:start w:val="1"/>
      <w:numFmt w:val="lowerRoman"/>
      <w:pStyle w:val="Ttulo91"/>
      <w:lvlText w:val="%9."/>
      <w:lvlJc w:val="right"/>
      <w:pPr>
        <w:ind w:left="5688" w:hanging="144"/>
      </w:pPr>
    </w:lvl>
  </w:abstractNum>
  <w:abstractNum w:abstractNumId="3">
    <w:nsid w:val="1B0D086B"/>
    <w:multiLevelType w:val="hybridMultilevel"/>
    <w:tmpl w:val="CAC2FE38"/>
    <w:lvl w:ilvl="0" w:tplc="2C0A0001">
      <w:start w:val="1"/>
      <w:numFmt w:val="bullet"/>
      <w:lvlText w:val=""/>
      <w:lvlJc w:val="left"/>
      <w:pPr>
        <w:ind w:left="1077" w:hanging="360"/>
      </w:pPr>
      <w:rPr>
        <w:rFonts w:ascii="Symbol" w:hAnsi="Symbol" w:hint="default"/>
      </w:rPr>
    </w:lvl>
    <w:lvl w:ilvl="1" w:tplc="2C0A0003" w:tentative="1">
      <w:start w:val="1"/>
      <w:numFmt w:val="bullet"/>
      <w:lvlText w:val="o"/>
      <w:lvlJc w:val="left"/>
      <w:pPr>
        <w:ind w:left="1797" w:hanging="360"/>
      </w:pPr>
      <w:rPr>
        <w:rFonts w:ascii="Courier New" w:hAnsi="Courier New" w:cs="Courier New" w:hint="default"/>
      </w:rPr>
    </w:lvl>
    <w:lvl w:ilvl="2" w:tplc="2C0A0005" w:tentative="1">
      <w:start w:val="1"/>
      <w:numFmt w:val="bullet"/>
      <w:lvlText w:val=""/>
      <w:lvlJc w:val="left"/>
      <w:pPr>
        <w:ind w:left="2517" w:hanging="360"/>
      </w:pPr>
      <w:rPr>
        <w:rFonts w:ascii="Wingdings" w:hAnsi="Wingdings" w:hint="default"/>
      </w:rPr>
    </w:lvl>
    <w:lvl w:ilvl="3" w:tplc="2C0A0001" w:tentative="1">
      <w:start w:val="1"/>
      <w:numFmt w:val="bullet"/>
      <w:lvlText w:val=""/>
      <w:lvlJc w:val="left"/>
      <w:pPr>
        <w:ind w:left="3237" w:hanging="360"/>
      </w:pPr>
      <w:rPr>
        <w:rFonts w:ascii="Symbol" w:hAnsi="Symbol" w:hint="default"/>
      </w:rPr>
    </w:lvl>
    <w:lvl w:ilvl="4" w:tplc="2C0A0003" w:tentative="1">
      <w:start w:val="1"/>
      <w:numFmt w:val="bullet"/>
      <w:lvlText w:val="o"/>
      <w:lvlJc w:val="left"/>
      <w:pPr>
        <w:ind w:left="3957" w:hanging="360"/>
      </w:pPr>
      <w:rPr>
        <w:rFonts w:ascii="Courier New" w:hAnsi="Courier New" w:cs="Courier New" w:hint="default"/>
      </w:rPr>
    </w:lvl>
    <w:lvl w:ilvl="5" w:tplc="2C0A0005" w:tentative="1">
      <w:start w:val="1"/>
      <w:numFmt w:val="bullet"/>
      <w:lvlText w:val=""/>
      <w:lvlJc w:val="left"/>
      <w:pPr>
        <w:ind w:left="4677" w:hanging="360"/>
      </w:pPr>
      <w:rPr>
        <w:rFonts w:ascii="Wingdings" w:hAnsi="Wingdings" w:hint="default"/>
      </w:rPr>
    </w:lvl>
    <w:lvl w:ilvl="6" w:tplc="2C0A0001" w:tentative="1">
      <w:start w:val="1"/>
      <w:numFmt w:val="bullet"/>
      <w:lvlText w:val=""/>
      <w:lvlJc w:val="left"/>
      <w:pPr>
        <w:ind w:left="5397" w:hanging="360"/>
      </w:pPr>
      <w:rPr>
        <w:rFonts w:ascii="Symbol" w:hAnsi="Symbol" w:hint="default"/>
      </w:rPr>
    </w:lvl>
    <w:lvl w:ilvl="7" w:tplc="2C0A0003" w:tentative="1">
      <w:start w:val="1"/>
      <w:numFmt w:val="bullet"/>
      <w:lvlText w:val="o"/>
      <w:lvlJc w:val="left"/>
      <w:pPr>
        <w:ind w:left="6117" w:hanging="360"/>
      </w:pPr>
      <w:rPr>
        <w:rFonts w:ascii="Courier New" w:hAnsi="Courier New" w:cs="Courier New" w:hint="default"/>
      </w:rPr>
    </w:lvl>
    <w:lvl w:ilvl="8" w:tplc="2C0A0005" w:tentative="1">
      <w:start w:val="1"/>
      <w:numFmt w:val="bullet"/>
      <w:lvlText w:val=""/>
      <w:lvlJc w:val="left"/>
      <w:pPr>
        <w:ind w:left="6837" w:hanging="360"/>
      </w:pPr>
      <w:rPr>
        <w:rFonts w:ascii="Wingdings" w:hAnsi="Wingdings" w:hint="default"/>
      </w:rPr>
    </w:lvl>
  </w:abstractNum>
  <w:abstractNum w:abstractNumId="4">
    <w:nsid w:val="1C9F413E"/>
    <w:multiLevelType w:val="hybridMultilevel"/>
    <w:tmpl w:val="8D50C606"/>
    <w:lvl w:ilvl="0" w:tplc="5B8EE3D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0E527D9"/>
    <w:multiLevelType w:val="hybridMultilevel"/>
    <w:tmpl w:val="C65A0950"/>
    <w:lvl w:ilvl="0" w:tplc="6FA0E2D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B21467A"/>
    <w:multiLevelType w:val="multilevel"/>
    <w:tmpl w:val="FCB20498"/>
    <w:lvl w:ilvl="0">
      <w:start w:val="1"/>
      <w:numFmt w:val="upperRoman"/>
      <w:lvlText w:val="%1."/>
      <w:lvlJc w:val="left"/>
      <w:pPr>
        <w:ind w:left="360" w:hanging="360"/>
      </w:pPr>
      <w:rPr>
        <w:rFonts w:hint="default"/>
      </w:rPr>
    </w:lvl>
    <w:lvl w:ilvl="1">
      <w:start w:val="1"/>
      <w:numFmt w:val="bullet"/>
      <w:pStyle w:val="Vieta"/>
      <w:lvlText w:val=""/>
      <w:lvlJc w:val="left"/>
      <w:pPr>
        <w:ind w:left="786"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2E065EA8"/>
    <w:multiLevelType w:val="hybridMultilevel"/>
    <w:tmpl w:val="F1B8D65A"/>
    <w:lvl w:ilvl="0" w:tplc="576E72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58D74C5"/>
    <w:multiLevelType w:val="hybridMultilevel"/>
    <w:tmpl w:val="3D16EE36"/>
    <w:lvl w:ilvl="0" w:tplc="2C0A0001">
      <w:start w:val="1"/>
      <w:numFmt w:val="bullet"/>
      <w:lvlText w:val=""/>
      <w:lvlJc w:val="left"/>
      <w:pPr>
        <w:ind w:left="360" w:hanging="360"/>
      </w:pPr>
      <w:rPr>
        <w:rFonts w:ascii="Symbol" w:hAnsi="Symbol" w:hint="default"/>
      </w:rPr>
    </w:lvl>
    <w:lvl w:ilvl="1" w:tplc="1138CEA0">
      <w:start w:val="1"/>
      <w:numFmt w:val="bullet"/>
      <w:pStyle w:val="Vietasanexo"/>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4A167A3E"/>
    <w:multiLevelType w:val="hybridMultilevel"/>
    <w:tmpl w:val="9D3C99A2"/>
    <w:lvl w:ilvl="0" w:tplc="935EF358">
      <w:start w:val="1"/>
      <w:numFmt w:val="decimal"/>
      <w:pStyle w:val="TItuloAnexo"/>
      <w:lvlText w:val="%1."/>
      <w:lvlJc w:val="left"/>
      <w:pPr>
        <w:ind w:left="928" w:hanging="360"/>
      </w:pPr>
      <w:rPr>
        <w:rFonts w:hint="default"/>
      </w:rPr>
    </w:lvl>
    <w:lvl w:ilvl="1" w:tplc="2C0A0019">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10">
    <w:nsid w:val="515915DF"/>
    <w:multiLevelType w:val="multilevel"/>
    <w:tmpl w:val="23DE6618"/>
    <w:lvl w:ilvl="0">
      <w:start w:val="1"/>
      <w:numFmt w:val="upperRoman"/>
      <w:lvlText w:val="%1."/>
      <w:lvlJc w:val="left"/>
      <w:pPr>
        <w:ind w:left="36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67560EC1"/>
    <w:multiLevelType w:val="hybridMultilevel"/>
    <w:tmpl w:val="3FA4F5E4"/>
    <w:lvl w:ilvl="0" w:tplc="C45EDDF0">
      <w:start w:val="1"/>
      <w:numFmt w:val="lowerRoman"/>
      <w:lvlText w:val="(%1)"/>
      <w:lvlJc w:val="left"/>
      <w:pPr>
        <w:ind w:left="1647" w:hanging="72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E311FB5"/>
    <w:multiLevelType w:val="multilevel"/>
    <w:tmpl w:val="CDD8672C"/>
    <w:lvl w:ilvl="0">
      <w:start w:val="5"/>
      <w:numFmt w:val="upperRoman"/>
      <w:lvlText w:val="%1."/>
      <w:lvlJc w:val="left"/>
      <w:pPr>
        <w:ind w:left="1800" w:hanging="720"/>
      </w:pPr>
      <w:rPr>
        <w:rFonts w:ascii="Times New Roman Bold" w:hAnsi="Times New Roman Bold" w:cstheme="minorBidi"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0"/>
  </w:num>
  <w:num w:numId="2">
    <w:abstractNumId w:val="0"/>
  </w:num>
  <w:num w:numId="3">
    <w:abstractNumId w:val="6"/>
  </w:num>
  <w:num w:numId="4">
    <w:abstractNumId w:val="8"/>
  </w:num>
  <w:num w:numId="5">
    <w:abstractNumId w:val="9"/>
  </w:num>
  <w:num w:numId="6">
    <w:abstractNumId w:val="3"/>
  </w:num>
  <w:num w:numId="7">
    <w:abstractNumId w:val="2"/>
  </w:num>
  <w:num w:numId="8">
    <w:abstractNumId w:val="12"/>
  </w:num>
  <w:num w:numId="9">
    <w:abstractNumId w:val="1"/>
  </w:num>
  <w:num w:numId="10">
    <w:abstractNumId w:val="7"/>
  </w:num>
  <w:num w:numId="11">
    <w:abstractNumId w:val="4"/>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o Cracel">
    <w15:presenceInfo w15:providerId="Windows Live" w15:userId="59c3bb66f6807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JM"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4B"/>
    <w:rsid w:val="00002082"/>
    <w:rsid w:val="00002861"/>
    <w:rsid w:val="000044A6"/>
    <w:rsid w:val="000045B5"/>
    <w:rsid w:val="00010B4E"/>
    <w:rsid w:val="000144E9"/>
    <w:rsid w:val="0002333F"/>
    <w:rsid w:val="00024034"/>
    <w:rsid w:val="0002695D"/>
    <w:rsid w:val="00037895"/>
    <w:rsid w:val="00040466"/>
    <w:rsid w:val="00040A22"/>
    <w:rsid w:val="00042C30"/>
    <w:rsid w:val="00044137"/>
    <w:rsid w:val="00045CA0"/>
    <w:rsid w:val="00050C2F"/>
    <w:rsid w:val="000517A9"/>
    <w:rsid w:val="00053D65"/>
    <w:rsid w:val="00060A68"/>
    <w:rsid w:val="000713C4"/>
    <w:rsid w:val="00077F9C"/>
    <w:rsid w:val="000858AC"/>
    <w:rsid w:val="00086CD8"/>
    <w:rsid w:val="00086EF2"/>
    <w:rsid w:val="00091243"/>
    <w:rsid w:val="00092FCE"/>
    <w:rsid w:val="000A181C"/>
    <w:rsid w:val="000A2C03"/>
    <w:rsid w:val="000B4896"/>
    <w:rsid w:val="000B562C"/>
    <w:rsid w:val="000B7067"/>
    <w:rsid w:val="000B7D0A"/>
    <w:rsid w:val="000C280C"/>
    <w:rsid w:val="000C4980"/>
    <w:rsid w:val="000D00D4"/>
    <w:rsid w:val="000D629D"/>
    <w:rsid w:val="000D6D2E"/>
    <w:rsid w:val="000E0DA7"/>
    <w:rsid w:val="000E6607"/>
    <w:rsid w:val="000E67E1"/>
    <w:rsid w:val="000F549B"/>
    <w:rsid w:val="000F5C71"/>
    <w:rsid w:val="000F72A9"/>
    <w:rsid w:val="00112834"/>
    <w:rsid w:val="001176BF"/>
    <w:rsid w:val="0011781B"/>
    <w:rsid w:val="00117CFF"/>
    <w:rsid w:val="00120AA8"/>
    <w:rsid w:val="00121388"/>
    <w:rsid w:val="00122A4F"/>
    <w:rsid w:val="00130E56"/>
    <w:rsid w:val="00131688"/>
    <w:rsid w:val="0013171C"/>
    <w:rsid w:val="00133ADB"/>
    <w:rsid w:val="00146935"/>
    <w:rsid w:val="00146CEC"/>
    <w:rsid w:val="00147944"/>
    <w:rsid w:val="001549F4"/>
    <w:rsid w:val="001577C3"/>
    <w:rsid w:val="00157B6C"/>
    <w:rsid w:val="00157B9C"/>
    <w:rsid w:val="00162905"/>
    <w:rsid w:val="00165E4D"/>
    <w:rsid w:val="001704FD"/>
    <w:rsid w:val="00172904"/>
    <w:rsid w:val="0017416E"/>
    <w:rsid w:val="00174622"/>
    <w:rsid w:val="00176C10"/>
    <w:rsid w:val="00195936"/>
    <w:rsid w:val="001974CB"/>
    <w:rsid w:val="00197A31"/>
    <w:rsid w:val="001A0F2B"/>
    <w:rsid w:val="001A3349"/>
    <w:rsid w:val="001B1786"/>
    <w:rsid w:val="001B420D"/>
    <w:rsid w:val="001C39F2"/>
    <w:rsid w:val="001C655C"/>
    <w:rsid w:val="001D1B4B"/>
    <w:rsid w:val="001D48F0"/>
    <w:rsid w:val="001D5FD8"/>
    <w:rsid w:val="001D7D33"/>
    <w:rsid w:val="001E0405"/>
    <w:rsid w:val="001E3630"/>
    <w:rsid w:val="001E472C"/>
    <w:rsid w:val="001F2977"/>
    <w:rsid w:val="001F2E36"/>
    <w:rsid w:val="002060B8"/>
    <w:rsid w:val="0020764B"/>
    <w:rsid w:val="0021511C"/>
    <w:rsid w:val="0022596F"/>
    <w:rsid w:val="0023435A"/>
    <w:rsid w:val="002348A0"/>
    <w:rsid w:val="00235AF7"/>
    <w:rsid w:val="0024297B"/>
    <w:rsid w:val="00244AA0"/>
    <w:rsid w:val="0025238C"/>
    <w:rsid w:val="002668F9"/>
    <w:rsid w:val="00272908"/>
    <w:rsid w:val="002737C4"/>
    <w:rsid w:val="00274F65"/>
    <w:rsid w:val="00276051"/>
    <w:rsid w:val="00281037"/>
    <w:rsid w:val="0029224E"/>
    <w:rsid w:val="0029259F"/>
    <w:rsid w:val="00297B97"/>
    <w:rsid w:val="002A06AD"/>
    <w:rsid w:val="002A127B"/>
    <w:rsid w:val="002A1D25"/>
    <w:rsid w:val="002A4253"/>
    <w:rsid w:val="002A569E"/>
    <w:rsid w:val="002B428F"/>
    <w:rsid w:val="002B4575"/>
    <w:rsid w:val="002B4643"/>
    <w:rsid w:val="002B5791"/>
    <w:rsid w:val="002C053F"/>
    <w:rsid w:val="002C3F61"/>
    <w:rsid w:val="002C5381"/>
    <w:rsid w:val="002C58AE"/>
    <w:rsid w:val="002D1CF1"/>
    <w:rsid w:val="002E2EDD"/>
    <w:rsid w:val="002E3F23"/>
    <w:rsid w:val="002E41E4"/>
    <w:rsid w:val="002E4F5F"/>
    <w:rsid w:val="002E6174"/>
    <w:rsid w:val="002F2862"/>
    <w:rsid w:val="002F7E66"/>
    <w:rsid w:val="00305359"/>
    <w:rsid w:val="0031078B"/>
    <w:rsid w:val="00311B96"/>
    <w:rsid w:val="00322EF2"/>
    <w:rsid w:val="00322EFC"/>
    <w:rsid w:val="0032567E"/>
    <w:rsid w:val="0032721C"/>
    <w:rsid w:val="00335C2E"/>
    <w:rsid w:val="00337E7A"/>
    <w:rsid w:val="003408F5"/>
    <w:rsid w:val="00344C2B"/>
    <w:rsid w:val="00345010"/>
    <w:rsid w:val="00353CC9"/>
    <w:rsid w:val="00361333"/>
    <w:rsid w:val="00362F33"/>
    <w:rsid w:val="003651C6"/>
    <w:rsid w:val="00366941"/>
    <w:rsid w:val="00366F5C"/>
    <w:rsid w:val="003671A8"/>
    <w:rsid w:val="003673EA"/>
    <w:rsid w:val="003728B5"/>
    <w:rsid w:val="0037352B"/>
    <w:rsid w:val="00377699"/>
    <w:rsid w:val="00390E2B"/>
    <w:rsid w:val="00395070"/>
    <w:rsid w:val="003A7A31"/>
    <w:rsid w:val="003B213C"/>
    <w:rsid w:val="003B391A"/>
    <w:rsid w:val="003B75FC"/>
    <w:rsid w:val="003C314A"/>
    <w:rsid w:val="003C643A"/>
    <w:rsid w:val="003D1CB2"/>
    <w:rsid w:val="003E32A7"/>
    <w:rsid w:val="003E6B41"/>
    <w:rsid w:val="003E74B2"/>
    <w:rsid w:val="003F05B9"/>
    <w:rsid w:val="003F0E9F"/>
    <w:rsid w:val="003F4D0C"/>
    <w:rsid w:val="003F706A"/>
    <w:rsid w:val="003F7D0E"/>
    <w:rsid w:val="004013A7"/>
    <w:rsid w:val="004058E3"/>
    <w:rsid w:val="004108BE"/>
    <w:rsid w:val="004138C1"/>
    <w:rsid w:val="00413E32"/>
    <w:rsid w:val="00415BFA"/>
    <w:rsid w:val="00420936"/>
    <w:rsid w:val="00424993"/>
    <w:rsid w:val="00430607"/>
    <w:rsid w:val="0043419B"/>
    <w:rsid w:val="00445515"/>
    <w:rsid w:val="00454559"/>
    <w:rsid w:val="00462C57"/>
    <w:rsid w:val="0047611B"/>
    <w:rsid w:val="00476524"/>
    <w:rsid w:val="004778D5"/>
    <w:rsid w:val="004807CA"/>
    <w:rsid w:val="004860C1"/>
    <w:rsid w:val="00487482"/>
    <w:rsid w:val="004944FF"/>
    <w:rsid w:val="00494D17"/>
    <w:rsid w:val="004A5A70"/>
    <w:rsid w:val="004B1E82"/>
    <w:rsid w:val="004B4537"/>
    <w:rsid w:val="004B5BBF"/>
    <w:rsid w:val="004C54BE"/>
    <w:rsid w:val="004D0561"/>
    <w:rsid w:val="004D2FB6"/>
    <w:rsid w:val="004D40AE"/>
    <w:rsid w:val="004D47E6"/>
    <w:rsid w:val="004D5013"/>
    <w:rsid w:val="004D64E0"/>
    <w:rsid w:val="004E067F"/>
    <w:rsid w:val="004E0A98"/>
    <w:rsid w:val="004E597C"/>
    <w:rsid w:val="004E59DC"/>
    <w:rsid w:val="004F3AE4"/>
    <w:rsid w:val="004F6DF3"/>
    <w:rsid w:val="004F75AD"/>
    <w:rsid w:val="004F7E6B"/>
    <w:rsid w:val="00500C11"/>
    <w:rsid w:val="00500C20"/>
    <w:rsid w:val="0050773D"/>
    <w:rsid w:val="00507802"/>
    <w:rsid w:val="005109F5"/>
    <w:rsid w:val="00512BEB"/>
    <w:rsid w:val="005141A6"/>
    <w:rsid w:val="00517DB6"/>
    <w:rsid w:val="00517E95"/>
    <w:rsid w:val="0052330C"/>
    <w:rsid w:val="005278AE"/>
    <w:rsid w:val="00533DFE"/>
    <w:rsid w:val="005579E2"/>
    <w:rsid w:val="00561C18"/>
    <w:rsid w:val="005627B9"/>
    <w:rsid w:val="005653EF"/>
    <w:rsid w:val="00577287"/>
    <w:rsid w:val="00580CDB"/>
    <w:rsid w:val="005856E1"/>
    <w:rsid w:val="00586FD4"/>
    <w:rsid w:val="00587282"/>
    <w:rsid w:val="005873B2"/>
    <w:rsid w:val="005874C2"/>
    <w:rsid w:val="005925CE"/>
    <w:rsid w:val="005972E8"/>
    <w:rsid w:val="0059771D"/>
    <w:rsid w:val="005A6C7C"/>
    <w:rsid w:val="005B0114"/>
    <w:rsid w:val="005B2D42"/>
    <w:rsid w:val="005B5B4F"/>
    <w:rsid w:val="005B6593"/>
    <w:rsid w:val="005B7C40"/>
    <w:rsid w:val="005C638B"/>
    <w:rsid w:val="005D008C"/>
    <w:rsid w:val="005D029E"/>
    <w:rsid w:val="005D5BEC"/>
    <w:rsid w:val="005E16DC"/>
    <w:rsid w:val="005E1705"/>
    <w:rsid w:val="005E1809"/>
    <w:rsid w:val="005E193B"/>
    <w:rsid w:val="005E5DE5"/>
    <w:rsid w:val="005E62BC"/>
    <w:rsid w:val="005F4E2C"/>
    <w:rsid w:val="005F4FB5"/>
    <w:rsid w:val="005F5BDF"/>
    <w:rsid w:val="0060002F"/>
    <w:rsid w:val="0060114D"/>
    <w:rsid w:val="00601B16"/>
    <w:rsid w:val="00607004"/>
    <w:rsid w:val="00607A92"/>
    <w:rsid w:val="00612725"/>
    <w:rsid w:val="00613B73"/>
    <w:rsid w:val="00613CFC"/>
    <w:rsid w:val="00613DB2"/>
    <w:rsid w:val="00616044"/>
    <w:rsid w:val="0062001F"/>
    <w:rsid w:val="006211BD"/>
    <w:rsid w:val="00624464"/>
    <w:rsid w:val="0062589A"/>
    <w:rsid w:val="0062703E"/>
    <w:rsid w:val="00631A34"/>
    <w:rsid w:val="00632CAA"/>
    <w:rsid w:val="00635377"/>
    <w:rsid w:val="00635583"/>
    <w:rsid w:val="00641818"/>
    <w:rsid w:val="00642585"/>
    <w:rsid w:val="006430D0"/>
    <w:rsid w:val="00644399"/>
    <w:rsid w:val="00646216"/>
    <w:rsid w:val="006463E7"/>
    <w:rsid w:val="00646DEE"/>
    <w:rsid w:val="006502A5"/>
    <w:rsid w:val="00654A14"/>
    <w:rsid w:val="006579BF"/>
    <w:rsid w:val="00664175"/>
    <w:rsid w:val="00664FD7"/>
    <w:rsid w:val="0067396B"/>
    <w:rsid w:val="00676E98"/>
    <w:rsid w:val="00680620"/>
    <w:rsid w:val="006817E4"/>
    <w:rsid w:val="00681A52"/>
    <w:rsid w:val="00691831"/>
    <w:rsid w:val="00691D20"/>
    <w:rsid w:val="00693139"/>
    <w:rsid w:val="006964AB"/>
    <w:rsid w:val="006A12C8"/>
    <w:rsid w:val="006A44B9"/>
    <w:rsid w:val="006A53CD"/>
    <w:rsid w:val="006A7B6E"/>
    <w:rsid w:val="006B026B"/>
    <w:rsid w:val="006B0E6E"/>
    <w:rsid w:val="006B3047"/>
    <w:rsid w:val="006C0B81"/>
    <w:rsid w:val="006C11AE"/>
    <w:rsid w:val="006C6C61"/>
    <w:rsid w:val="006C78F3"/>
    <w:rsid w:val="006D3C53"/>
    <w:rsid w:val="006D74F8"/>
    <w:rsid w:val="006E1EB1"/>
    <w:rsid w:val="006E2013"/>
    <w:rsid w:val="006E216E"/>
    <w:rsid w:val="006E675D"/>
    <w:rsid w:val="006E6E39"/>
    <w:rsid w:val="006F10FC"/>
    <w:rsid w:val="006F1D5C"/>
    <w:rsid w:val="006F220F"/>
    <w:rsid w:val="006F41BC"/>
    <w:rsid w:val="006F437A"/>
    <w:rsid w:val="006F718F"/>
    <w:rsid w:val="0070030E"/>
    <w:rsid w:val="00700F47"/>
    <w:rsid w:val="00701036"/>
    <w:rsid w:val="00701C9A"/>
    <w:rsid w:val="00716592"/>
    <w:rsid w:val="0072023A"/>
    <w:rsid w:val="00732A84"/>
    <w:rsid w:val="00733074"/>
    <w:rsid w:val="00734EDF"/>
    <w:rsid w:val="00736A4F"/>
    <w:rsid w:val="00741BB8"/>
    <w:rsid w:val="00742CDC"/>
    <w:rsid w:val="00752488"/>
    <w:rsid w:val="007539FE"/>
    <w:rsid w:val="00756107"/>
    <w:rsid w:val="007568D1"/>
    <w:rsid w:val="007767B0"/>
    <w:rsid w:val="00784ED3"/>
    <w:rsid w:val="00790BBF"/>
    <w:rsid w:val="00797119"/>
    <w:rsid w:val="00797A80"/>
    <w:rsid w:val="007A0C78"/>
    <w:rsid w:val="007A2DDD"/>
    <w:rsid w:val="007A5C80"/>
    <w:rsid w:val="007A60EB"/>
    <w:rsid w:val="007B242F"/>
    <w:rsid w:val="007B327A"/>
    <w:rsid w:val="007D4E31"/>
    <w:rsid w:val="007D6049"/>
    <w:rsid w:val="007D75CE"/>
    <w:rsid w:val="007E7182"/>
    <w:rsid w:val="007F0E4F"/>
    <w:rsid w:val="0080626A"/>
    <w:rsid w:val="00810234"/>
    <w:rsid w:val="00810A6A"/>
    <w:rsid w:val="00810E59"/>
    <w:rsid w:val="0081773B"/>
    <w:rsid w:val="008277AE"/>
    <w:rsid w:val="008366EB"/>
    <w:rsid w:val="008400ED"/>
    <w:rsid w:val="0084291A"/>
    <w:rsid w:val="008458C2"/>
    <w:rsid w:val="008458F2"/>
    <w:rsid w:val="00845CBF"/>
    <w:rsid w:val="00862306"/>
    <w:rsid w:val="00862DA2"/>
    <w:rsid w:val="00864E32"/>
    <w:rsid w:val="00865448"/>
    <w:rsid w:val="00870E28"/>
    <w:rsid w:val="00872842"/>
    <w:rsid w:val="00882776"/>
    <w:rsid w:val="00891E38"/>
    <w:rsid w:val="00897CB2"/>
    <w:rsid w:val="008A0CBC"/>
    <w:rsid w:val="008A3778"/>
    <w:rsid w:val="008A48FE"/>
    <w:rsid w:val="008A693B"/>
    <w:rsid w:val="008B1038"/>
    <w:rsid w:val="008C2235"/>
    <w:rsid w:val="008C48EC"/>
    <w:rsid w:val="008C5A1F"/>
    <w:rsid w:val="008D5794"/>
    <w:rsid w:val="008E118C"/>
    <w:rsid w:val="008E32CF"/>
    <w:rsid w:val="008E5B0C"/>
    <w:rsid w:val="008E70B0"/>
    <w:rsid w:val="008E77CE"/>
    <w:rsid w:val="008F3C01"/>
    <w:rsid w:val="008F46BA"/>
    <w:rsid w:val="008F5BA2"/>
    <w:rsid w:val="008F76AF"/>
    <w:rsid w:val="009126A9"/>
    <w:rsid w:val="00915E7C"/>
    <w:rsid w:val="009232C1"/>
    <w:rsid w:val="009236BA"/>
    <w:rsid w:val="00933B52"/>
    <w:rsid w:val="00941FC2"/>
    <w:rsid w:val="0094399F"/>
    <w:rsid w:val="0095233F"/>
    <w:rsid w:val="00955144"/>
    <w:rsid w:val="00955B15"/>
    <w:rsid w:val="00960DF2"/>
    <w:rsid w:val="00962769"/>
    <w:rsid w:val="00962D12"/>
    <w:rsid w:val="00962E8B"/>
    <w:rsid w:val="009633C0"/>
    <w:rsid w:val="0096425A"/>
    <w:rsid w:val="00965499"/>
    <w:rsid w:val="009702C0"/>
    <w:rsid w:val="00972D42"/>
    <w:rsid w:val="00972EB2"/>
    <w:rsid w:val="009730B0"/>
    <w:rsid w:val="00977383"/>
    <w:rsid w:val="0098154C"/>
    <w:rsid w:val="009838F6"/>
    <w:rsid w:val="00986B7B"/>
    <w:rsid w:val="0098723A"/>
    <w:rsid w:val="0099142B"/>
    <w:rsid w:val="009945E5"/>
    <w:rsid w:val="0099639C"/>
    <w:rsid w:val="009A038B"/>
    <w:rsid w:val="009A3FDB"/>
    <w:rsid w:val="009A6579"/>
    <w:rsid w:val="009A69E9"/>
    <w:rsid w:val="009B46B4"/>
    <w:rsid w:val="009B4E04"/>
    <w:rsid w:val="009B673D"/>
    <w:rsid w:val="009C1ADE"/>
    <w:rsid w:val="009C2D7C"/>
    <w:rsid w:val="009D0E34"/>
    <w:rsid w:val="009D30B8"/>
    <w:rsid w:val="009D5695"/>
    <w:rsid w:val="009D7654"/>
    <w:rsid w:val="009E0F81"/>
    <w:rsid w:val="009F2EB8"/>
    <w:rsid w:val="00A002FC"/>
    <w:rsid w:val="00A02ADD"/>
    <w:rsid w:val="00A02B11"/>
    <w:rsid w:val="00A10BDC"/>
    <w:rsid w:val="00A11C6A"/>
    <w:rsid w:val="00A16DF4"/>
    <w:rsid w:val="00A215CF"/>
    <w:rsid w:val="00A24063"/>
    <w:rsid w:val="00A363DB"/>
    <w:rsid w:val="00A375CF"/>
    <w:rsid w:val="00A461AC"/>
    <w:rsid w:val="00A50598"/>
    <w:rsid w:val="00A51119"/>
    <w:rsid w:val="00A52DFF"/>
    <w:rsid w:val="00A545F1"/>
    <w:rsid w:val="00A561E7"/>
    <w:rsid w:val="00A5628B"/>
    <w:rsid w:val="00A57C0C"/>
    <w:rsid w:val="00A65D95"/>
    <w:rsid w:val="00A67C93"/>
    <w:rsid w:val="00A67E2F"/>
    <w:rsid w:val="00A710CB"/>
    <w:rsid w:val="00A7380C"/>
    <w:rsid w:val="00A74288"/>
    <w:rsid w:val="00A7628D"/>
    <w:rsid w:val="00A80F66"/>
    <w:rsid w:val="00A85DDD"/>
    <w:rsid w:val="00A8765F"/>
    <w:rsid w:val="00A91B9A"/>
    <w:rsid w:val="00AA1131"/>
    <w:rsid w:val="00AA20CC"/>
    <w:rsid w:val="00AA3027"/>
    <w:rsid w:val="00AB1B61"/>
    <w:rsid w:val="00AB2316"/>
    <w:rsid w:val="00AB7051"/>
    <w:rsid w:val="00AB7AE6"/>
    <w:rsid w:val="00AC4E33"/>
    <w:rsid w:val="00AC58DB"/>
    <w:rsid w:val="00AD119A"/>
    <w:rsid w:val="00AD4566"/>
    <w:rsid w:val="00AD7FA3"/>
    <w:rsid w:val="00AE6342"/>
    <w:rsid w:val="00AF14D7"/>
    <w:rsid w:val="00AF16C1"/>
    <w:rsid w:val="00AF2E2E"/>
    <w:rsid w:val="00AF2F02"/>
    <w:rsid w:val="00B04231"/>
    <w:rsid w:val="00B05C77"/>
    <w:rsid w:val="00B07BDA"/>
    <w:rsid w:val="00B21C05"/>
    <w:rsid w:val="00B304CD"/>
    <w:rsid w:val="00B31971"/>
    <w:rsid w:val="00B34D55"/>
    <w:rsid w:val="00B36A46"/>
    <w:rsid w:val="00B439ED"/>
    <w:rsid w:val="00B45729"/>
    <w:rsid w:val="00B47438"/>
    <w:rsid w:val="00B505DA"/>
    <w:rsid w:val="00B50682"/>
    <w:rsid w:val="00B540C1"/>
    <w:rsid w:val="00B56249"/>
    <w:rsid w:val="00B5640B"/>
    <w:rsid w:val="00B60337"/>
    <w:rsid w:val="00B6440D"/>
    <w:rsid w:val="00B661CD"/>
    <w:rsid w:val="00B7109D"/>
    <w:rsid w:val="00B7376B"/>
    <w:rsid w:val="00B751F2"/>
    <w:rsid w:val="00B828B5"/>
    <w:rsid w:val="00B9052F"/>
    <w:rsid w:val="00B94EB7"/>
    <w:rsid w:val="00BA1C6A"/>
    <w:rsid w:val="00BB2A41"/>
    <w:rsid w:val="00BB2C18"/>
    <w:rsid w:val="00BB33B5"/>
    <w:rsid w:val="00BB387C"/>
    <w:rsid w:val="00BB773C"/>
    <w:rsid w:val="00BB7794"/>
    <w:rsid w:val="00BC0BFD"/>
    <w:rsid w:val="00BD044F"/>
    <w:rsid w:val="00BD17FF"/>
    <w:rsid w:val="00BD5046"/>
    <w:rsid w:val="00BE149A"/>
    <w:rsid w:val="00BE7039"/>
    <w:rsid w:val="00BF084B"/>
    <w:rsid w:val="00BF27F4"/>
    <w:rsid w:val="00C07D90"/>
    <w:rsid w:val="00C121A8"/>
    <w:rsid w:val="00C133DA"/>
    <w:rsid w:val="00C16B2C"/>
    <w:rsid w:val="00C203C2"/>
    <w:rsid w:val="00C25B4C"/>
    <w:rsid w:val="00C30523"/>
    <w:rsid w:val="00C3377E"/>
    <w:rsid w:val="00C41DD8"/>
    <w:rsid w:val="00C56BD1"/>
    <w:rsid w:val="00C5747A"/>
    <w:rsid w:val="00C57953"/>
    <w:rsid w:val="00C62062"/>
    <w:rsid w:val="00C6365A"/>
    <w:rsid w:val="00C66579"/>
    <w:rsid w:val="00C73C43"/>
    <w:rsid w:val="00C7773E"/>
    <w:rsid w:val="00C84224"/>
    <w:rsid w:val="00C84EC3"/>
    <w:rsid w:val="00C87A21"/>
    <w:rsid w:val="00C9218C"/>
    <w:rsid w:val="00C977B6"/>
    <w:rsid w:val="00CA0A3D"/>
    <w:rsid w:val="00CA40D3"/>
    <w:rsid w:val="00CA548C"/>
    <w:rsid w:val="00CB2FCD"/>
    <w:rsid w:val="00CB36D5"/>
    <w:rsid w:val="00CC11AC"/>
    <w:rsid w:val="00CC30B0"/>
    <w:rsid w:val="00CC4CAC"/>
    <w:rsid w:val="00CC72F4"/>
    <w:rsid w:val="00CC77D8"/>
    <w:rsid w:val="00CD33A9"/>
    <w:rsid w:val="00CE1D83"/>
    <w:rsid w:val="00CE4DCE"/>
    <w:rsid w:val="00CF1022"/>
    <w:rsid w:val="00D01070"/>
    <w:rsid w:val="00D0487F"/>
    <w:rsid w:val="00D12A7A"/>
    <w:rsid w:val="00D14D05"/>
    <w:rsid w:val="00D150D2"/>
    <w:rsid w:val="00D15CE1"/>
    <w:rsid w:val="00D16EB5"/>
    <w:rsid w:val="00D20318"/>
    <w:rsid w:val="00D20C03"/>
    <w:rsid w:val="00D24C7B"/>
    <w:rsid w:val="00D25174"/>
    <w:rsid w:val="00D26774"/>
    <w:rsid w:val="00D317CF"/>
    <w:rsid w:val="00D339B7"/>
    <w:rsid w:val="00D37DBA"/>
    <w:rsid w:val="00D4190E"/>
    <w:rsid w:val="00D41EE6"/>
    <w:rsid w:val="00D467FE"/>
    <w:rsid w:val="00D47F83"/>
    <w:rsid w:val="00D54447"/>
    <w:rsid w:val="00D5683B"/>
    <w:rsid w:val="00D64AA3"/>
    <w:rsid w:val="00D65843"/>
    <w:rsid w:val="00D676A6"/>
    <w:rsid w:val="00D71B4D"/>
    <w:rsid w:val="00D7225C"/>
    <w:rsid w:val="00D73435"/>
    <w:rsid w:val="00D74A59"/>
    <w:rsid w:val="00D84DD6"/>
    <w:rsid w:val="00D861F8"/>
    <w:rsid w:val="00D87D82"/>
    <w:rsid w:val="00D91717"/>
    <w:rsid w:val="00D94610"/>
    <w:rsid w:val="00DA1128"/>
    <w:rsid w:val="00DA1B33"/>
    <w:rsid w:val="00DA1DAD"/>
    <w:rsid w:val="00DA3AA0"/>
    <w:rsid w:val="00DA5330"/>
    <w:rsid w:val="00DA555C"/>
    <w:rsid w:val="00DA5FB7"/>
    <w:rsid w:val="00DB3A9D"/>
    <w:rsid w:val="00DB5A8B"/>
    <w:rsid w:val="00DC2F45"/>
    <w:rsid w:val="00DD483F"/>
    <w:rsid w:val="00DD5967"/>
    <w:rsid w:val="00DE3345"/>
    <w:rsid w:val="00DE61A5"/>
    <w:rsid w:val="00DF2722"/>
    <w:rsid w:val="00DF3927"/>
    <w:rsid w:val="00DF599F"/>
    <w:rsid w:val="00E07250"/>
    <w:rsid w:val="00E11121"/>
    <w:rsid w:val="00E12BAF"/>
    <w:rsid w:val="00E20E8A"/>
    <w:rsid w:val="00E236F0"/>
    <w:rsid w:val="00E266CD"/>
    <w:rsid w:val="00E31A26"/>
    <w:rsid w:val="00E3590B"/>
    <w:rsid w:val="00E43282"/>
    <w:rsid w:val="00E4530D"/>
    <w:rsid w:val="00E46433"/>
    <w:rsid w:val="00E500FB"/>
    <w:rsid w:val="00E5672F"/>
    <w:rsid w:val="00E57FEF"/>
    <w:rsid w:val="00E61009"/>
    <w:rsid w:val="00E669F8"/>
    <w:rsid w:val="00E675ED"/>
    <w:rsid w:val="00E71A46"/>
    <w:rsid w:val="00E77DDF"/>
    <w:rsid w:val="00E902AF"/>
    <w:rsid w:val="00E92475"/>
    <w:rsid w:val="00EA0B53"/>
    <w:rsid w:val="00EA1F1A"/>
    <w:rsid w:val="00EA3C4D"/>
    <w:rsid w:val="00EA5EA1"/>
    <w:rsid w:val="00EB4273"/>
    <w:rsid w:val="00EB562F"/>
    <w:rsid w:val="00EC0D36"/>
    <w:rsid w:val="00EC1A56"/>
    <w:rsid w:val="00EC1B83"/>
    <w:rsid w:val="00EC6B9E"/>
    <w:rsid w:val="00ED1DAA"/>
    <w:rsid w:val="00ED3A79"/>
    <w:rsid w:val="00ED6CFA"/>
    <w:rsid w:val="00ED7899"/>
    <w:rsid w:val="00EE226B"/>
    <w:rsid w:val="00EE64CA"/>
    <w:rsid w:val="00EF3564"/>
    <w:rsid w:val="00F0668D"/>
    <w:rsid w:val="00F1246B"/>
    <w:rsid w:val="00F14DAE"/>
    <w:rsid w:val="00F16F8B"/>
    <w:rsid w:val="00F2505E"/>
    <w:rsid w:val="00F265A8"/>
    <w:rsid w:val="00F27EAE"/>
    <w:rsid w:val="00F31A9B"/>
    <w:rsid w:val="00F31F46"/>
    <w:rsid w:val="00F35A4B"/>
    <w:rsid w:val="00F416BA"/>
    <w:rsid w:val="00F47E8E"/>
    <w:rsid w:val="00F47ED3"/>
    <w:rsid w:val="00F521DD"/>
    <w:rsid w:val="00F535A5"/>
    <w:rsid w:val="00F54CCE"/>
    <w:rsid w:val="00F55075"/>
    <w:rsid w:val="00F5698D"/>
    <w:rsid w:val="00F56B5A"/>
    <w:rsid w:val="00F606F7"/>
    <w:rsid w:val="00F607B5"/>
    <w:rsid w:val="00F60FE3"/>
    <w:rsid w:val="00F61742"/>
    <w:rsid w:val="00F66DB8"/>
    <w:rsid w:val="00F70C14"/>
    <w:rsid w:val="00F730A5"/>
    <w:rsid w:val="00F734D1"/>
    <w:rsid w:val="00F749EF"/>
    <w:rsid w:val="00F7513F"/>
    <w:rsid w:val="00F7538C"/>
    <w:rsid w:val="00F76D52"/>
    <w:rsid w:val="00F80101"/>
    <w:rsid w:val="00F80166"/>
    <w:rsid w:val="00F853CF"/>
    <w:rsid w:val="00F935FE"/>
    <w:rsid w:val="00F95B3D"/>
    <w:rsid w:val="00FA1828"/>
    <w:rsid w:val="00FA2BE1"/>
    <w:rsid w:val="00FA5B39"/>
    <w:rsid w:val="00FA5D3C"/>
    <w:rsid w:val="00FB42C4"/>
    <w:rsid w:val="00FB48A9"/>
    <w:rsid w:val="00FB7EC2"/>
    <w:rsid w:val="00FC28F6"/>
    <w:rsid w:val="00FD576B"/>
    <w:rsid w:val="00FD57E7"/>
    <w:rsid w:val="00FE5E11"/>
    <w:rsid w:val="00FF43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0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4530D"/>
    <w:pPr>
      <w:spacing w:before="480" w:after="0"/>
      <w:contextualSpacing/>
      <w:outlineLvl w:val="0"/>
    </w:pPr>
    <w:rPr>
      <w:rFonts w:ascii="Times New Roman" w:eastAsia="Times New Roman" w:hAnsi="Times New Roman"/>
      <w:b/>
      <w:bCs/>
      <w:sz w:val="28"/>
      <w:szCs w:val="28"/>
      <w:lang w:val="es-ES"/>
    </w:rPr>
  </w:style>
  <w:style w:type="paragraph" w:styleId="Heading2">
    <w:name w:val="heading 2"/>
    <w:basedOn w:val="Normal"/>
    <w:next w:val="Normal"/>
    <w:link w:val="Heading2Char"/>
    <w:uiPriority w:val="9"/>
    <w:semiHidden/>
    <w:unhideWhenUsed/>
    <w:qFormat/>
    <w:rsid w:val="00E4530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30D"/>
    <w:rPr>
      <w:rFonts w:ascii="Times New Roman" w:eastAsia="Times New Roman" w:hAnsi="Times New Roman" w:cs="Times New Roman"/>
      <w:b/>
      <w:bCs/>
      <w:sz w:val="28"/>
      <w:szCs w:val="28"/>
      <w:lang w:val="es-ES"/>
    </w:rPr>
  </w:style>
  <w:style w:type="character" w:customStyle="1" w:styleId="Heading2Char">
    <w:name w:val="Heading 2 Char"/>
    <w:basedOn w:val="DefaultParagraphFont"/>
    <w:link w:val="Heading2"/>
    <w:rsid w:val="00E4530D"/>
    <w:rPr>
      <w:rFonts w:asciiTheme="majorHAnsi" w:eastAsiaTheme="majorEastAsia" w:hAnsiTheme="majorHAnsi" w:cstheme="majorBidi"/>
      <w:b/>
      <w:bCs/>
      <w:color w:val="5B9BD5" w:themeColor="accent1"/>
      <w:sz w:val="26"/>
      <w:szCs w:val="26"/>
      <w:lang w:val="en-US"/>
    </w:rPr>
  </w:style>
  <w:style w:type="paragraph" w:styleId="ListParagraph">
    <w:name w:val="List Paragraph"/>
    <w:basedOn w:val="Normal"/>
    <w:uiPriority w:val="34"/>
    <w:qFormat/>
    <w:rsid w:val="00E4530D"/>
    <w:pPr>
      <w:ind w:left="720"/>
      <w:contextualSpacing/>
    </w:pPr>
  </w:style>
  <w:style w:type="table" w:styleId="TableGrid">
    <w:name w:val="Table Grid"/>
    <w:basedOn w:val="TableNormal"/>
    <w:uiPriority w:val="59"/>
    <w:rsid w:val="00E4530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E453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4530D"/>
    <w:rPr>
      <w:rFonts w:ascii="Tahoma" w:eastAsia="Times New Roman" w:hAnsi="Tahoma" w:cs="Tahoma"/>
      <w:sz w:val="16"/>
      <w:szCs w:val="16"/>
      <w:lang w:val="en-US"/>
    </w:rPr>
  </w:style>
  <w:style w:type="paragraph" w:styleId="FootnoteText">
    <w:name w:val="footnote text"/>
    <w:aliases w:val="fn"/>
    <w:basedOn w:val="Normal"/>
    <w:link w:val="FootnoteTextChar"/>
    <w:uiPriority w:val="99"/>
    <w:unhideWhenUsed/>
    <w:rsid w:val="00E4530D"/>
    <w:pPr>
      <w:spacing w:after="0" w:line="240" w:lineRule="auto"/>
    </w:pPr>
    <w:rPr>
      <w:sz w:val="24"/>
      <w:szCs w:val="24"/>
    </w:rPr>
  </w:style>
  <w:style w:type="character" w:customStyle="1" w:styleId="FootnoteTextChar">
    <w:name w:val="Footnote Text Char"/>
    <w:aliases w:val="fn Char"/>
    <w:basedOn w:val="DefaultParagraphFont"/>
    <w:link w:val="FootnoteText"/>
    <w:uiPriority w:val="99"/>
    <w:rsid w:val="00E4530D"/>
    <w:rPr>
      <w:rFonts w:ascii="Calibri" w:eastAsia="Calibri" w:hAnsi="Calibri" w:cs="Times New Roman"/>
      <w:sz w:val="24"/>
      <w:szCs w:val="24"/>
      <w:lang w:val="en-US"/>
    </w:rPr>
  </w:style>
  <w:style w:type="character" w:styleId="FootnoteReference">
    <w:name w:val="footnote reference"/>
    <w:basedOn w:val="DefaultParagraphFont"/>
    <w:uiPriority w:val="99"/>
    <w:unhideWhenUsed/>
    <w:rsid w:val="00E4530D"/>
    <w:rPr>
      <w:vertAlign w:val="superscript"/>
    </w:rPr>
  </w:style>
  <w:style w:type="paragraph" w:styleId="Header">
    <w:name w:val="header"/>
    <w:basedOn w:val="Normal"/>
    <w:link w:val="HeaderChar"/>
    <w:uiPriority w:val="99"/>
    <w:unhideWhenUsed/>
    <w:rsid w:val="00E453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530D"/>
    <w:rPr>
      <w:rFonts w:ascii="Calibri" w:eastAsia="Calibri" w:hAnsi="Calibri" w:cs="Times New Roman"/>
      <w:lang w:val="en-US"/>
    </w:rPr>
  </w:style>
  <w:style w:type="paragraph" w:styleId="Footer">
    <w:name w:val="footer"/>
    <w:basedOn w:val="Normal"/>
    <w:link w:val="FooterChar"/>
    <w:uiPriority w:val="99"/>
    <w:unhideWhenUsed/>
    <w:rsid w:val="00E453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530D"/>
    <w:rPr>
      <w:rFonts w:ascii="Calibri" w:eastAsia="Calibri" w:hAnsi="Calibri" w:cs="Times New Roman"/>
      <w:lang w:val="en-US"/>
    </w:rPr>
  </w:style>
  <w:style w:type="paragraph" w:styleId="Title">
    <w:name w:val="Title"/>
    <w:basedOn w:val="Normal"/>
    <w:link w:val="TitleChar"/>
    <w:qFormat/>
    <w:rsid w:val="00E4530D"/>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E4530D"/>
    <w:rPr>
      <w:rFonts w:ascii="Times New Roman" w:eastAsia="Times New Roman" w:hAnsi="Times New Roman" w:cs="Times New Roman"/>
      <w:sz w:val="24"/>
      <w:szCs w:val="20"/>
      <w:lang w:val="en-US"/>
    </w:rPr>
  </w:style>
  <w:style w:type="paragraph" w:customStyle="1" w:styleId="Newpage">
    <w:name w:val="Newpage"/>
    <w:basedOn w:val="Normal"/>
    <w:rsid w:val="00E4530D"/>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E4530D"/>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E4530D"/>
    <w:rPr>
      <w:rFonts w:ascii="Times New Roman" w:eastAsia="Times New Roman" w:hAnsi="Times New Roman" w:cs="Times New Roman"/>
      <w:sz w:val="24"/>
      <w:szCs w:val="20"/>
      <w:lang w:val="en-US"/>
    </w:rPr>
  </w:style>
  <w:style w:type="character" w:customStyle="1" w:styleId="gt-icon-text1">
    <w:name w:val="gt-icon-text1"/>
    <w:basedOn w:val="DefaultParagraphFont"/>
    <w:rsid w:val="00E4530D"/>
  </w:style>
  <w:style w:type="paragraph" w:styleId="z-TopofForm">
    <w:name w:val="HTML Top of Form"/>
    <w:basedOn w:val="Normal"/>
    <w:next w:val="Normal"/>
    <w:link w:val="z-TopofFormChar"/>
    <w:hidden/>
    <w:uiPriority w:val="99"/>
    <w:unhideWhenUsed/>
    <w:rsid w:val="00E4530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E4530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E4530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4530D"/>
    <w:rPr>
      <w:rFonts w:ascii="Arial" w:eastAsia="Times New Roman" w:hAnsi="Arial" w:cs="Arial"/>
      <w:vanish/>
      <w:sz w:val="16"/>
      <w:szCs w:val="16"/>
      <w:lang w:val="en-US"/>
    </w:rPr>
  </w:style>
  <w:style w:type="character" w:styleId="CommentReference">
    <w:name w:val="annotation reference"/>
    <w:basedOn w:val="DefaultParagraphFont"/>
    <w:rsid w:val="00E4530D"/>
    <w:rPr>
      <w:sz w:val="16"/>
      <w:szCs w:val="16"/>
    </w:rPr>
  </w:style>
  <w:style w:type="paragraph" w:styleId="CommentText">
    <w:name w:val="annotation text"/>
    <w:basedOn w:val="Normal"/>
    <w:link w:val="CommentTextChar"/>
    <w:rsid w:val="00E4530D"/>
    <w:rPr>
      <w:sz w:val="20"/>
      <w:szCs w:val="20"/>
    </w:rPr>
  </w:style>
  <w:style w:type="character" w:customStyle="1" w:styleId="CommentTextChar">
    <w:name w:val="Comment Text Char"/>
    <w:basedOn w:val="DefaultParagraphFont"/>
    <w:link w:val="CommentText"/>
    <w:rsid w:val="00E4530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rsid w:val="00E4530D"/>
    <w:rPr>
      <w:b/>
      <w:bCs/>
    </w:rPr>
  </w:style>
  <w:style w:type="character" w:customStyle="1" w:styleId="CommentSubjectChar">
    <w:name w:val="Comment Subject Char"/>
    <w:basedOn w:val="CommentTextChar"/>
    <w:link w:val="CommentSubject"/>
    <w:rsid w:val="00E4530D"/>
    <w:rPr>
      <w:rFonts w:ascii="Calibri" w:eastAsia="Calibri" w:hAnsi="Calibri" w:cs="Times New Roman"/>
      <w:b/>
      <w:bCs/>
      <w:sz w:val="20"/>
      <w:szCs w:val="20"/>
      <w:lang w:val="en-US"/>
    </w:rPr>
  </w:style>
  <w:style w:type="table" w:customStyle="1" w:styleId="NoteLevel31">
    <w:name w:val="Note Level 31"/>
    <w:basedOn w:val="TableNormal"/>
    <w:uiPriority w:val="60"/>
    <w:rsid w:val="00E4530D"/>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E4530D"/>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4530D"/>
    <w:pPr>
      <w:spacing w:after="0" w:line="240" w:lineRule="auto"/>
    </w:pPr>
    <w:rPr>
      <w:rFonts w:ascii="Calibri" w:eastAsia="Calibri" w:hAnsi="Calibri"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4530D"/>
    <w:pPr>
      <w:spacing w:after="0" w:line="240" w:lineRule="auto"/>
    </w:pPr>
    <w:rPr>
      <w:rFonts w:ascii="Calibri" w:eastAsia="Calibri" w:hAnsi="Calibri"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4530D"/>
    <w:pPr>
      <w:spacing w:after="0" w:line="240" w:lineRule="auto"/>
    </w:pPr>
    <w:rPr>
      <w:rFonts w:ascii="Calibri" w:eastAsia="Calibri" w:hAnsi="Calibri" w:cs="Times New Roman"/>
      <w:color w:val="5F497A"/>
      <w:sz w:val="20"/>
      <w:szCs w:val="20"/>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E4530D"/>
    <w:pPr>
      <w:spacing w:after="0" w:line="240" w:lineRule="auto"/>
    </w:pPr>
    <w:rPr>
      <w:rFonts w:ascii="Calibri" w:eastAsia="Calibri" w:hAnsi="Calibri"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E4530D"/>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67"/>
    <w:rsid w:val="00E4530D"/>
    <w:rPr>
      <w:color w:val="808080"/>
    </w:rPr>
  </w:style>
  <w:style w:type="paragraph" w:customStyle="1" w:styleId="Chapter">
    <w:name w:val="Chapter"/>
    <w:basedOn w:val="Normal"/>
    <w:next w:val="Normal"/>
    <w:rsid w:val="00E4530D"/>
    <w:pPr>
      <w:numPr>
        <w:numId w:val="2"/>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Paragraph">
    <w:name w:val="Paragraph"/>
    <w:basedOn w:val="BodyTextIndent"/>
    <w:link w:val="ParagraphChar"/>
    <w:rsid w:val="00E4530D"/>
    <w:pPr>
      <w:numPr>
        <w:ilvl w:val="1"/>
        <w:numId w:val="2"/>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4530D"/>
    <w:pPr>
      <w:numPr>
        <w:ilvl w:val="2"/>
        <w:numId w:val="2"/>
      </w:numPr>
      <w:spacing w:before="120" w:line="240" w:lineRule="auto"/>
      <w:jc w:val="both"/>
      <w:outlineLvl w:val="2"/>
    </w:pPr>
    <w:rPr>
      <w:rFonts w:ascii="Times New Roman" w:eastAsia="Times New Roman" w:hAnsi="Times New Roman"/>
      <w:sz w:val="24"/>
      <w:szCs w:val="20"/>
      <w:lang w:val="es-ES_tradnl"/>
    </w:rPr>
  </w:style>
  <w:style w:type="paragraph" w:customStyle="1" w:styleId="SubSubPar">
    <w:name w:val="SubSubPar"/>
    <w:basedOn w:val="subpar"/>
    <w:rsid w:val="00E4530D"/>
    <w:pPr>
      <w:numPr>
        <w:ilvl w:val="3"/>
      </w:numPr>
      <w:tabs>
        <w:tab w:val="clear" w:pos="1584"/>
        <w:tab w:val="left" w:pos="0"/>
      </w:tabs>
    </w:pPr>
  </w:style>
  <w:style w:type="character" w:customStyle="1" w:styleId="ParagraphChar">
    <w:name w:val="Paragraph Char"/>
    <w:link w:val="Paragraph"/>
    <w:rsid w:val="00E4530D"/>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E4530D"/>
    <w:pPr>
      <w:spacing w:after="120"/>
      <w:ind w:left="360"/>
    </w:pPr>
  </w:style>
  <w:style w:type="character" w:customStyle="1" w:styleId="BodyTextIndentChar">
    <w:name w:val="Body Text Indent Char"/>
    <w:basedOn w:val="DefaultParagraphFont"/>
    <w:link w:val="BodyTextIndent"/>
    <w:uiPriority w:val="99"/>
    <w:semiHidden/>
    <w:rsid w:val="00E4530D"/>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E453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30D"/>
    <w:rPr>
      <w:rFonts w:ascii="Calibri" w:eastAsia="Calibri" w:hAnsi="Calibri" w:cs="Times New Roman"/>
      <w:sz w:val="16"/>
      <w:szCs w:val="16"/>
      <w:lang w:val="en-US"/>
    </w:rPr>
  </w:style>
  <w:style w:type="paragraph" w:customStyle="1" w:styleId="RegheadTab">
    <w:name w:val="RegheadTab"/>
    <w:basedOn w:val="Normal"/>
    <w:rsid w:val="00E4530D"/>
    <w:pPr>
      <w:keepNext/>
      <w:tabs>
        <w:tab w:val="left" w:pos="0"/>
        <w:tab w:val="left" w:pos="90"/>
        <w:tab w:val="num" w:pos="504"/>
      </w:tabs>
      <w:spacing w:before="120" w:after="0" w:line="240" w:lineRule="auto"/>
      <w:ind w:left="504" w:hanging="504"/>
      <w:jc w:val="center"/>
    </w:pPr>
    <w:rPr>
      <w:rFonts w:ascii="Times New Roman" w:eastAsia="Times New Roman" w:hAnsi="Times New Roman"/>
      <w:b/>
      <w:sz w:val="24"/>
      <w:szCs w:val="20"/>
      <w:lang w:val="es-ES"/>
    </w:rPr>
  </w:style>
  <w:style w:type="paragraph" w:styleId="BodyText2">
    <w:name w:val="Body Text 2"/>
    <w:basedOn w:val="Normal"/>
    <w:link w:val="BodyText2Char"/>
    <w:uiPriority w:val="99"/>
    <w:semiHidden/>
    <w:unhideWhenUsed/>
    <w:rsid w:val="00E4530D"/>
    <w:pPr>
      <w:spacing w:after="120" w:line="480" w:lineRule="auto"/>
    </w:pPr>
  </w:style>
  <w:style w:type="character" w:customStyle="1" w:styleId="BodyText2Char">
    <w:name w:val="Body Text 2 Char"/>
    <w:basedOn w:val="DefaultParagraphFont"/>
    <w:link w:val="BodyText2"/>
    <w:uiPriority w:val="99"/>
    <w:semiHidden/>
    <w:rsid w:val="00E4530D"/>
    <w:rPr>
      <w:rFonts w:ascii="Calibri" w:eastAsia="Calibri" w:hAnsi="Calibri" w:cs="Times New Roman"/>
      <w:lang w:val="en-US"/>
    </w:rPr>
  </w:style>
  <w:style w:type="paragraph" w:customStyle="1" w:styleId="Seccion">
    <w:name w:val="Seccion"/>
    <w:basedOn w:val="Heading2"/>
    <w:link w:val="SeccionCar"/>
    <w:qFormat/>
    <w:rsid w:val="00E4530D"/>
    <w:pPr>
      <w:keepNext w:val="0"/>
      <w:keepLines w:val="0"/>
      <w:spacing w:before="240" w:line="480" w:lineRule="auto"/>
      <w:ind w:firstLine="709"/>
    </w:pPr>
    <w:rPr>
      <w:rFonts w:ascii="Times New Roman" w:eastAsia="Times New Roman" w:hAnsi="Times New Roman" w:cs="Times New Roman"/>
      <w:color w:val="auto"/>
      <w:sz w:val="24"/>
      <w:szCs w:val="24"/>
      <w:lang w:val="es-ES"/>
    </w:rPr>
  </w:style>
  <w:style w:type="character" w:customStyle="1" w:styleId="SeccionCar">
    <w:name w:val="Seccion Car"/>
    <w:link w:val="Seccion"/>
    <w:rsid w:val="00E4530D"/>
    <w:rPr>
      <w:rFonts w:ascii="Times New Roman" w:eastAsia="Times New Roman" w:hAnsi="Times New Roman" w:cs="Times New Roman"/>
      <w:b/>
      <w:bCs/>
      <w:sz w:val="24"/>
      <w:szCs w:val="24"/>
      <w:lang w:val="es-ES"/>
    </w:rPr>
  </w:style>
  <w:style w:type="paragraph" w:customStyle="1" w:styleId="Titulo">
    <w:name w:val="Titulo"/>
    <w:basedOn w:val="Normal"/>
    <w:link w:val="TituloCar"/>
    <w:qFormat/>
    <w:rsid w:val="00E4530D"/>
    <w:pPr>
      <w:shd w:val="clear" w:color="auto" w:fill="FFFFFF"/>
      <w:autoSpaceDE w:val="0"/>
      <w:autoSpaceDN w:val="0"/>
      <w:spacing w:after="0" w:line="240" w:lineRule="auto"/>
      <w:ind w:firstLine="425"/>
      <w:jc w:val="center"/>
    </w:pPr>
    <w:rPr>
      <w:rFonts w:ascii="Times New Roman" w:eastAsia="Times New Roman" w:hAnsi="Times New Roman"/>
      <w:b/>
      <w:kern w:val="2"/>
      <w:sz w:val="24"/>
      <w:szCs w:val="24"/>
      <w:lang w:val="es-ES" w:eastAsia="ko-KR"/>
    </w:rPr>
  </w:style>
  <w:style w:type="character" w:customStyle="1" w:styleId="TituloCar">
    <w:name w:val="Titulo Car"/>
    <w:link w:val="Titulo"/>
    <w:rsid w:val="00E4530D"/>
    <w:rPr>
      <w:rFonts w:ascii="Times New Roman" w:eastAsia="Times New Roman" w:hAnsi="Times New Roman" w:cs="Times New Roman"/>
      <w:b/>
      <w:kern w:val="2"/>
      <w:sz w:val="24"/>
      <w:szCs w:val="24"/>
      <w:shd w:val="clear" w:color="auto" w:fill="FFFFFF"/>
      <w:lang w:val="es-ES" w:eastAsia="ko-KR"/>
    </w:rPr>
  </w:style>
  <w:style w:type="table" w:customStyle="1" w:styleId="Tablaconcuadrcula1">
    <w:name w:val="Tabla con cuadrícula1"/>
    <w:basedOn w:val="TableNormal"/>
    <w:next w:val="TableGrid"/>
    <w:uiPriority w:val="59"/>
    <w:rsid w:val="00E4530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4530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530D"/>
    <w:rPr>
      <w:rFonts w:ascii="Tahoma" w:eastAsia="Calibri" w:hAnsi="Tahoma" w:cs="Tahoma"/>
      <w:sz w:val="16"/>
      <w:szCs w:val="16"/>
      <w:lang w:val="en-US"/>
    </w:rPr>
  </w:style>
  <w:style w:type="table" w:customStyle="1" w:styleId="Sombreadoclaro-nfasis12">
    <w:name w:val="Sombreado claro - Énfasis 12"/>
    <w:basedOn w:val="TableNormal"/>
    <w:uiPriority w:val="60"/>
    <w:rsid w:val="00E4530D"/>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E4530D"/>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71"/>
    <w:rsid w:val="00E4530D"/>
    <w:pPr>
      <w:spacing w:after="0" w:line="240" w:lineRule="auto"/>
    </w:pPr>
    <w:rPr>
      <w:rFonts w:ascii="Calibri" w:eastAsia="Calibri" w:hAnsi="Calibri" w:cs="Times New Roman"/>
      <w:lang w:val="en-US"/>
    </w:rPr>
  </w:style>
  <w:style w:type="paragraph" w:customStyle="1" w:styleId="TitulopostI">
    <w:name w:val="Titulo post I"/>
    <w:basedOn w:val="Normal"/>
    <w:link w:val="TitulopostICar"/>
    <w:qFormat/>
    <w:rsid w:val="00E4530D"/>
    <w:pPr>
      <w:spacing w:after="0" w:line="480" w:lineRule="auto"/>
      <w:ind w:left="1134" w:hanging="567"/>
      <w:jc w:val="both"/>
    </w:pPr>
    <w:rPr>
      <w:rFonts w:ascii="Times New Roman" w:hAnsi="Times New Roman"/>
      <w:b/>
      <w:sz w:val="24"/>
      <w:szCs w:val="24"/>
      <w:lang w:val="es-ES"/>
    </w:rPr>
  </w:style>
  <w:style w:type="paragraph" w:customStyle="1" w:styleId="Vieta">
    <w:name w:val="Viñeta"/>
    <w:basedOn w:val="Paragraph"/>
    <w:link w:val="VietaCar"/>
    <w:qFormat/>
    <w:rsid w:val="00E4530D"/>
    <w:pPr>
      <w:numPr>
        <w:numId w:val="3"/>
      </w:numPr>
      <w:spacing w:before="0" w:after="0" w:line="480" w:lineRule="auto"/>
    </w:pPr>
    <w:rPr>
      <w:kern w:val="28"/>
    </w:rPr>
  </w:style>
  <w:style w:type="character" w:customStyle="1" w:styleId="TitulopostICar">
    <w:name w:val="Titulo post I Car"/>
    <w:basedOn w:val="DefaultParagraphFont"/>
    <w:link w:val="TitulopostI"/>
    <w:rsid w:val="00E4530D"/>
    <w:rPr>
      <w:rFonts w:ascii="Times New Roman" w:eastAsia="Calibri" w:hAnsi="Times New Roman" w:cs="Times New Roman"/>
      <w:b/>
      <w:sz w:val="24"/>
      <w:szCs w:val="24"/>
      <w:lang w:val="es-ES"/>
    </w:rPr>
  </w:style>
  <w:style w:type="paragraph" w:customStyle="1" w:styleId="Estilo1">
    <w:name w:val="Estilo1"/>
    <w:basedOn w:val="Paragraph"/>
    <w:link w:val="Estilo1Car"/>
    <w:qFormat/>
    <w:rsid w:val="00E4530D"/>
    <w:pPr>
      <w:numPr>
        <w:ilvl w:val="0"/>
        <w:numId w:val="0"/>
      </w:numPr>
      <w:spacing w:before="0" w:after="0" w:line="480" w:lineRule="auto"/>
      <w:ind w:left="567" w:hanging="567"/>
    </w:pPr>
    <w:rPr>
      <w:szCs w:val="24"/>
    </w:rPr>
  </w:style>
  <w:style w:type="character" w:customStyle="1" w:styleId="VietaCar">
    <w:name w:val="Viñeta Car"/>
    <w:basedOn w:val="ParagraphChar"/>
    <w:link w:val="Vieta"/>
    <w:rsid w:val="00E4530D"/>
    <w:rPr>
      <w:rFonts w:ascii="Times New Roman" w:eastAsia="Times New Roman" w:hAnsi="Times New Roman" w:cs="Times New Roman"/>
      <w:kern w:val="28"/>
      <w:sz w:val="24"/>
      <w:szCs w:val="20"/>
      <w:lang w:val="es-ES"/>
    </w:rPr>
  </w:style>
  <w:style w:type="paragraph" w:customStyle="1" w:styleId="Entabla">
    <w:name w:val="Entabla"/>
    <w:basedOn w:val="Normal"/>
    <w:link w:val="EntablaCar"/>
    <w:qFormat/>
    <w:rsid w:val="00E4530D"/>
    <w:pPr>
      <w:spacing w:after="0" w:line="240" w:lineRule="auto"/>
    </w:pPr>
    <w:rPr>
      <w:rFonts w:ascii="Times New Roman" w:eastAsia="Times New Roman" w:hAnsi="Times New Roman"/>
      <w:color w:val="000000"/>
      <w:lang w:val="es-ES"/>
    </w:rPr>
  </w:style>
  <w:style w:type="character" w:customStyle="1" w:styleId="Estilo1Car">
    <w:name w:val="Estilo1 Car"/>
    <w:basedOn w:val="ParagraphChar"/>
    <w:link w:val="Estilo1"/>
    <w:rsid w:val="00E4530D"/>
    <w:rPr>
      <w:rFonts w:ascii="Times New Roman" w:eastAsia="Times New Roman" w:hAnsi="Times New Roman" w:cs="Times New Roman"/>
      <w:sz w:val="24"/>
      <w:szCs w:val="24"/>
      <w:lang w:val="es-ES"/>
    </w:rPr>
  </w:style>
  <w:style w:type="paragraph" w:customStyle="1" w:styleId="TituloTabla">
    <w:name w:val="Titulo Tabla"/>
    <w:basedOn w:val="Normal"/>
    <w:link w:val="TituloTablaCar"/>
    <w:qFormat/>
    <w:rsid w:val="00E4530D"/>
    <w:pPr>
      <w:spacing w:after="0" w:line="240" w:lineRule="auto"/>
      <w:ind w:left="34"/>
    </w:pPr>
    <w:rPr>
      <w:rFonts w:ascii="Times New Roman" w:eastAsia="Times New Roman" w:hAnsi="Times New Roman"/>
      <w:b/>
      <w:bCs/>
      <w:color w:val="000000"/>
      <w:lang w:val="es-ES"/>
    </w:rPr>
  </w:style>
  <w:style w:type="character" w:customStyle="1" w:styleId="EntablaCar">
    <w:name w:val="Entabla Car"/>
    <w:basedOn w:val="DefaultParagraphFont"/>
    <w:link w:val="Entabla"/>
    <w:rsid w:val="00E4530D"/>
    <w:rPr>
      <w:rFonts w:ascii="Times New Roman" w:eastAsia="Times New Roman" w:hAnsi="Times New Roman" w:cs="Times New Roman"/>
      <w:color w:val="000000"/>
      <w:lang w:val="es-ES"/>
    </w:rPr>
  </w:style>
  <w:style w:type="paragraph" w:customStyle="1" w:styleId="Anexo">
    <w:name w:val="Anexo"/>
    <w:basedOn w:val="Paragraph"/>
    <w:link w:val="AnexoCar"/>
    <w:qFormat/>
    <w:rsid w:val="00E4530D"/>
    <w:pPr>
      <w:numPr>
        <w:ilvl w:val="0"/>
        <w:numId w:val="0"/>
      </w:numPr>
      <w:spacing w:before="0" w:after="0" w:line="480" w:lineRule="auto"/>
      <w:ind w:firstLine="709"/>
    </w:pPr>
    <w:rPr>
      <w:szCs w:val="24"/>
    </w:rPr>
  </w:style>
  <w:style w:type="character" w:customStyle="1" w:styleId="TituloTablaCar">
    <w:name w:val="Titulo Tabla Car"/>
    <w:basedOn w:val="DefaultParagraphFont"/>
    <w:link w:val="TituloTabla"/>
    <w:rsid w:val="00E4530D"/>
    <w:rPr>
      <w:rFonts w:ascii="Times New Roman" w:eastAsia="Times New Roman" w:hAnsi="Times New Roman" w:cs="Times New Roman"/>
      <w:b/>
      <w:bCs/>
      <w:color w:val="000000"/>
      <w:lang w:val="es-ES"/>
    </w:rPr>
  </w:style>
  <w:style w:type="paragraph" w:customStyle="1" w:styleId="Vietasanexo">
    <w:name w:val="Viñetas anexo"/>
    <w:basedOn w:val="Normal"/>
    <w:link w:val="VietasanexoCar"/>
    <w:qFormat/>
    <w:rsid w:val="00E4530D"/>
    <w:pPr>
      <w:numPr>
        <w:ilvl w:val="1"/>
        <w:numId w:val="4"/>
      </w:numPr>
      <w:autoSpaceDE w:val="0"/>
      <w:autoSpaceDN w:val="0"/>
      <w:spacing w:after="0" w:line="480" w:lineRule="auto"/>
      <w:ind w:left="1134" w:hanging="426"/>
      <w:jc w:val="both"/>
    </w:pPr>
    <w:rPr>
      <w:rFonts w:ascii="Times New Roman" w:hAnsi="Times New Roman"/>
      <w:sz w:val="24"/>
      <w:szCs w:val="24"/>
      <w:lang w:val="es-AR"/>
    </w:rPr>
  </w:style>
  <w:style w:type="character" w:customStyle="1" w:styleId="AnexoCar">
    <w:name w:val="Anexo Car"/>
    <w:basedOn w:val="ParagraphChar"/>
    <w:link w:val="Anexo"/>
    <w:rsid w:val="00E4530D"/>
    <w:rPr>
      <w:rFonts w:ascii="Times New Roman" w:eastAsia="Times New Roman" w:hAnsi="Times New Roman" w:cs="Times New Roman"/>
      <w:sz w:val="24"/>
      <w:szCs w:val="24"/>
      <w:lang w:val="es-ES"/>
    </w:rPr>
  </w:style>
  <w:style w:type="paragraph" w:customStyle="1" w:styleId="TItuloAnexo">
    <w:name w:val="TItulo Anexo"/>
    <w:basedOn w:val="Seccion"/>
    <w:link w:val="TItuloAnexoCar"/>
    <w:qFormat/>
    <w:rsid w:val="00E4530D"/>
    <w:pPr>
      <w:numPr>
        <w:numId w:val="5"/>
      </w:numPr>
    </w:pPr>
  </w:style>
  <w:style w:type="character" w:customStyle="1" w:styleId="VietasanexoCar">
    <w:name w:val="Viñetas anexo Car"/>
    <w:basedOn w:val="DefaultParagraphFont"/>
    <w:link w:val="Vietasanexo"/>
    <w:rsid w:val="00E4530D"/>
    <w:rPr>
      <w:rFonts w:ascii="Times New Roman" w:eastAsia="Calibri" w:hAnsi="Times New Roman" w:cs="Times New Roman"/>
      <w:sz w:val="24"/>
      <w:szCs w:val="24"/>
      <w:lang w:val="es-AR"/>
    </w:rPr>
  </w:style>
  <w:style w:type="character" w:customStyle="1" w:styleId="TItuloAnexoCar">
    <w:name w:val="TItulo Anexo Car"/>
    <w:basedOn w:val="SeccionCar"/>
    <w:link w:val="TItuloAnexo"/>
    <w:rsid w:val="00E4530D"/>
    <w:rPr>
      <w:rFonts w:ascii="Times New Roman" w:eastAsia="Times New Roman" w:hAnsi="Times New Roman" w:cs="Times New Roman"/>
      <w:b/>
      <w:bCs/>
      <w:sz w:val="24"/>
      <w:szCs w:val="24"/>
      <w:lang w:val="es-ES"/>
    </w:rPr>
  </w:style>
  <w:style w:type="paragraph" w:customStyle="1" w:styleId="Titulobisanexo">
    <w:name w:val="Titulo bis anexo"/>
    <w:basedOn w:val="TItuloAnexo"/>
    <w:link w:val="TitulobisanexoCar"/>
    <w:qFormat/>
    <w:rsid w:val="00E4530D"/>
    <w:pPr>
      <w:numPr>
        <w:numId w:val="0"/>
      </w:numPr>
      <w:spacing w:before="0"/>
      <w:ind w:left="709"/>
    </w:pPr>
  </w:style>
  <w:style w:type="character" w:customStyle="1" w:styleId="TitulobisanexoCar">
    <w:name w:val="Titulo bis anexo Car"/>
    <w:basedOn w:val="TItuloAnexoCar"/>
    <w:link w:val="Titulobisanexo"/>
    <w:rsid w:val="00E4530D"/>
    <w:rPr>
      <w:rFonts w:ascii="Times New Roman" w:eastAsia="Times New Roman" w:hAnsi="Times New Roman" w:cs="Times New Roman"/>
      <w:b/>
      <w:bCs/>
      <w:sz w:val="24"/>
      <w:szCs w:val="24"/>
      <w:lang w:val="es-ES"/>
    </w:rPr>
  </w:style>
  <w:style w:type="character" w:styleId="PageNumber">
    <w:name w:val="page number"/>
    <w:basedOn w:val="DefaultParagraphFont"/>
    <w:rsid w:val="003728B5"/>
  </w:style>
  <w:style w:type="paragraph" w:styleId="EndnoteText">
    <w:name w:val="endnote text"/>
    <w:basedOn w:val="Normal"/>
    <w:link w:val="EndnoteTextChar"/>
    <w:uiPriority w:val="99"/>
    <w:semiHidden/>
    <w:unhideWhenUsed/>
    <w:rsid w:val="00BF27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27F4"/>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F27F4"/>
    <w:rPr>
      <w:vertAlign w:val="superscript"/>
    </w:rPr>
  </w:style>
  <w:style w:type="paragraph" w:customStyle="1" w:styleId="FirstHeading">
    <w:name w:val="FirstHeading"/>
    <w:basedOn w:val="Normal"/>
    <w:next w:val="Normal"/>
    <w:rsid w:val="006F41BC"/>
    <w:pPr>
      <w:keepNext/>
      <w:numPr>
        <w:numId w:val="7"/>
      </w:numPr>
      <w:tabs>
        <w:tab w:val="left" w:pos="0"/>
        <w:tab w:val="left" w:pos="86"/>
      </w:tabs>
      <w:spacing w:before="120" w:after="120" w:line="240" w:lineRule="auto"/>
    </w:pPr>
    <w:rPr>
      <w:rFonts w:ascii="Times New Roman" w:eastAsia="Times New Roman" w:hAnsi="Times New Roman"/>
      <w:b/>
      <w:sz w:val="24"/>
      <w:szCs w:val="20"/>
      <w:lang w:val="en-US"/>
    </w:rPr>
  </w:style>
  <w:style w:type="paragraph" w:customStyle="1" w:styleId="SecHeading">
    <w:name w:val="SecHeading"/>
    <w:basedOn w:val="Normal"/>
    <w:next w:val="Normal"/>
    <w:rsid w:val="006F41BC"/>
    <w:pPr>
      <w:keepNext/>
      <w:numPr>
        <w:ilvl w:val="1"/>
        <w:numId w:val="7"/>
      </w:numPr>
      <w:spacing w:before="120" w:after="120" w:line="240" w:lineRule="auto"/>
    </w:pPr>
    <w:rPr>
      <w:rFonts w:ascii="Times New Roman" w:eastAsia="Times New Roman" w:hAnsi="Times New Roman"/>
      <w:b/>
      <w:sz w:val="24"/>
      <w:szCs w:val="20"/>
      <w:lang w:val="en-US"/>
    </w:rPr>
  </w:style>
  <w:style w:type="paragraph" w:customStyle="1" w:styleId="SubHeading1">
    <w:name w:val="SubHeading1"/>
    <w:basedOn w:val="SecHeading"/>
    <w:rsid w:val="006F41BC"/>
    <w:pPr>
      <w:numPr>
        <w:ilvl w:val="2"/>
      </w:numPr>
    </w:pPr>
  </w:style>
  <w:style w:type="paragraph" w:customStyle="1" w:styleId="Subheading2">
    <w:name w:val="Subheading2"/>
    <w:basedOn w:val="SecHeading"/>
    <w:rsid w:val="006F41BC"/>
    <w:pPr>
      <w:numPr>
        <w:ilvl w:val="3"/>
      </w:numPr>
    </w:pPr>
    <w:rPr>
      <w:lang w:val="pt-BR"/>
    </w:rPr>
  </w:style>
  <w:style w:type="paragraph" w:customStyle="1" w:styleId="Ttulo21">
    <w:name w:val="Título 21"/>
    <w:basedOn w:val="Normal"/>
    <w:rsid w:val="006F41BC"/>
    <w:rPr>
      <w:rFonts w:asciiTheme="minorHAnsi" w:eastAsiaTheme="minorHAnsi" w:hAnsiTheme="minorHAnsi" w:cstheme="minorBidi"/>
      <w:lang w:val="en-US"/>
    </w:rPr>
  </w:style>
  <w:style w:type="paragraph" w:customStyle="1" w:styleId="Ttulo51">
    <w:name w:val="Título 51"/>
    <w:basedOn w:val="Normal"/>
    <w:rsid w:val="006F41BC"/>
    <w:pPr>
      <w:numPr>
        <w:ilvl w:val="4"/>
        <w:numId w:val="7"/>
      </w:numPr>
      <w:ind w:left="0" w:firstLine="0"/>
    </w:pPr>
    <w:rPr>
      <w:rFonts w:asciiTheme="minorHAnsi" w:eastAsiaTheme="minorHAnsi" w:hAnsiTheme="minorHAnsi" w:cstheme="minorBidi"/>
      <w:lang w:val="en-US"/>
    </w:rPr>
  </w:style>
  <w:style w:type="paragraph" w:customStyle="1" w:styleId="Ttulo61">
    <w:name w:val="Título 61"/>
    <w:basedOn w:val="Normal"/>
    <w:rsid w:val="006F41BC"/>
    <w:pPr>
      <w:numPr>
        <w:ilvl w:val="5"/>
        <w:numId w:val="7"/>
      </w:numPr>
      <w:ind w:left="0" w:firstLine="0"/>
    </w:pPr>
    <w:rPr>
      <w:rFonts w:asciiTheme="minorHAnsi" w:eastAsiaTheme="minorHAnsi" w:hAnsiTheme="minorHAnsi" w:cstheme="minorBidi"/>
      <w:lang w:val="en-US"/>
    </w:rPr>
  </w:style>
  <w:style w:type="paragraph" w:customStyle="1" w:styleId="Ttulo71">
    <w:name w:val="Título 71"/>
    <w:basedOn w:val="Normal"/>
    <w:rsid w:val="006F41BC"/>
    <w:pPr>
      <w:numPr>
        <w:ilvl w:val="6"/>
        <w:numId w:val="7"/>
      </w:numPr>
      <w:ind w:left="0" w:firstLine="0"/>
    </w:pPr>
    <w:rPr>
      <w:rFonts w:asciiTheme="minorHAnsi" w:eastAsiaTheme="minorHAnsi" w:hAnsiTheme="minorHAnsi" w:cstheme="minorBidi"/>
      <w:lang w:val="en-US"/>
    </w:rPr>
  </w:style>
  <w:style w:type="paragraph" w:customStyle="1" w:styleId="Ttulo81">
    <w:name w:val="Título 81"/>
    <w:basedOn w:val="Normal"/>
    <w:rsid w:val="006F41BC"/>
    <w:pPr>
      <w:numPr>
        <w:ilvl w:val="7"/>
        <w:numId w:val="7"/>
      </w:numPr>
      <w:ind w:left="0" w:firstLine="0"/>
    </w:pPr>
    <w:rPr>
      <w:rFonts w:asciiTheme="minorHAnsi" w:eastAsiaTheme="minorHAnsi" w:hAnsiTheme="minorHAnsi" w:cstheme="minorBidi"/>
      <w:lang w:val="en-US"/>
    </w:rPr>
  </w:style>
  <w:style w:type="paragraph" w:customStyle="1" w:styleId="Ttulo91">
    <w:name w:val="Título 91"/>
    <w:basedOn w:val="Normal"/>
    <w:rsid w:val="006F41BC"/>
    <w:pPr>
      <w:numPr>
        <w:ilvl w:val="8"/>
        <w:numId w:val="7"/>
      </w:numPr>
      <w:ind w:left="0" w:firstLine="0"/>
    </w:pPr>
    <w:rPr>
      <w:rFonts w:asciiTheme="minorHAnsi" w:eastAsiaTheme="minorHAnsi" w:hAnsiTheme="minorHAnsi" w:cstheme="minorBidi"/>
      <w:lang w:val="en-US"/>
    </w:rPr>
  </w:style>
  <w:style w:type="character" w:styleId="Hyperlink">
    <w:name w:val="Hyperlink"/>
    <w:basedOn w:val="DefaultParagraphFont"/>
    <w:uiPriority w:val="99"/>
    <w:unhideWhenUsed/>
    <w:rsid w:val="001E3630"/>
    <w:rPr>
      <w:color w:val="0563C1" w:themeColor="hyperlink"/>
      <w:u w:val="single"/>
    </w:rPr>
  </w:style>
  <w:style w:type="character" w:styleId="FollowedHyperlink">
    <w:name w:val="FollowedHyperlink"/>
    <w:basedOn w:val="DefaultParagraphFont"/>
    <w:uiPriority w:val="99"/>
    <w:semiHidden/>
    <w:unhideWhenUsed/>
    <w:rsid w:val="001E363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0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4530D"/>
    <w:pPr>
      <w:spacing w:before="480" w:after="0"/>
      <w:contextualSpacing/>
      <w:outlineLvl w:val="0"/>
    </w:pPr>
    <w:rPr>
      <w:rFonts w:ascii="Times New Roman" w:eastAsia="Times New Roman" w:hAnsi="Times New Roman"/>
      <w:b/>
      <w:bCs/>
      <w:sz w:val="28"/>
      <w:szCs w:val="28"/>
      <w:lang w:val="es-ES"/>
    </w:rPr>
  </w:style>
  <w:style w:type="paragraph" w:styleId="Heading2">
    <w:name w:val="heading 2"/>
    <w:basedOn w:val="Normal"/>
    <w:next w:val="Normal"/>
    <w:link w:val="Heading2Char"/>
    <w:uiPriority w:val="9"/>
    <w:semiHidden/>
    <w:unhideWhenUsed/>
    <w:qFormat/>
    <w:rsid w:val="00E4530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30D"/>
    <w:rPr>
      <w:rFonts w:ascii="Times New Roman" w:eastAsia="Times New Roman" w:hAnsi="Times New Roman" w:cs="Times New Roman"/>
      <w:b/>
      <w:bCs/>
      <w:sz w:val="28"/>
      <w:szCs w:val="28"/>
      <w:lang w:val="es-ES"/>
    </w:rPr>
  </w:style>
  <w:style w:type="character" w:customStyle="1" w:styleId="Heading2Char">
    <w:name w:val="Heading 2 Char"/>
    <w:basedOn w:val="DefaultParagraphFont"/>
    <w:link w:val="Heading2"/>
    <w:rsid w:val="00E4530D"/>
    <w:rPr>
      <w:rFonts w:asciiTheme="majorHAnsi" w:eastAsiaTheme="majorEastAsia" w:hAnsiTheme="majorHAnsi" w:cstheme="majorBidi"/>
      <w:b/>
      <w:bCs/>
      <w:color w:val="5B9BD5" w:themeColor="accent1"/>
      <w:sz w:val="26"/>
      <w:szCs w:val="26"/>
      <w:lang w:val="en-US"/>
    </w:rPr>
  </w:style>
  <w:style w:type="paragraph" w:styleId="ListParagraph">
    <w:name w:val="List Paragraph"/>
    <w:basedOn w:val="Normal"/>
    <w:uiPriority w:val="34"/>
    <w:qFormat/>
    <w:rsid w:val="00E4530D"/>
    <w:pPr>
      <w:ind w:left="720"/>
      <w:contextualSpacing/>
    </w:pPr>
  </w:style>
  <w:style w:type="table" w:styleId="TableGrid">
    <w:name w:val="Table Grid"/>
    <w:basedOn w:val="TableNormal"/>
    <w:uiPriority w:val="59"/>
    <w:rsid w:val="00E4530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E453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4530D"/>
    <w:rPr>
      <w:rFonts w:ascii="Tahoma" w:eastAsia="Times New Roman" w:hAnsi="Tahoma" w:cs="Tahoma"/>
      <w:sz w:val="16"/>
      <w:szCs w:val="16"/>
      <w:lang w:val="en-US"/>
    </w:rPr>
  </w:style>
  <w:style w:type="paragraph" w:styleId="FootnoteText">
    <w:name w:val="footnote text"/>
    <w:aliases w:val="fn"/>
    <w:basedOn w:val="Normal"/>
    <w:link w:val="FootnoteTextChar"/>
    <w:uiPriority w:val="99"/>
    <w:unhideWhenUsed/>
    <w:rsid w:val="00E4530D"/>
    <w:pPr>
      <w:spacing w:after="0" w:line="240" w:lineRule="auto"/>
    </w:pPr>
    <w:rPr>
      <w:sz w:val="24"/>
      <w:szCs w:val="24"/>
    </w:rPr>
  </w:style>
  <w:style w:type="character" w:customStyle="1" w:styleId="FootnoteTextChar">
    <w:name w:val="Footnote Text Char"/>
    <w:aliases w:val="fn Char"/>
    <w:basedOn w:val="DefaultParagraphFont"/>
    <w:link w:val="FootnoteText"/>
    <w:uiPriority w:val="99"/>
    <w:rsid w:val="00E4530D"/>
    <w:rPr>
      <w:rFonts w:ascii="Calibri" w:eastAsia="Calibri" w:hAnsi="Calibri" w:cs="Times New Roman"/>
      <w:sz w:val="24"/>
      <w:szCs w:val="24"/>
      <w:lang w:val="en-US"/>
    </w:rPr>
  </w:style>
  <w:style w:type="character" w:styleId="FootnoteReference">
    <w:name w:val="footnote reference"/>
    <w:basedOn w:val="DefaultParagraphFont"/>
    <w:uiPriority w:val="99"/>
    <w:unhideWhenUsed/>
    <w:rsid w:val="00E4530D"/>
    <w:rPr>
      <w:vertAlign w:val="superscript"/>
    </w:rPr>
  </w:style>
  <w:style w:type="paragraph" w:styleId="Header">
    <w:name w:val="header"/>
    <w:basedOn w:val="Normal"/>
    <w:link w:val="HeaderChar"/>
    <w:uiPriority w:val="99"/>
    <w:unhideWhenUsed/>
    <w:rsid w:val="00E453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530D"/>
    <w:rPr>
      <w:rFonts w:ascii="Calibri" w:eastAsia="Calibri" w:hAnsi="Calibri" w:cs="Times New Roman"/>
      <w:lang w:val="en-US"/>
    </w:rPr>
  </w:style>
  <w:style w:type="paragraph" w:styleId="Footer">
    <w:name w:val="footer"/>
    <w:basedOn w:val="Normal"/>
    <w:link w:val="FooterChar"/>
    <w:uiPriority w:val="99"/>
    <w:unhideWhenUsed/>
    <w:rsid w:val="00E453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530D"/>
    <w:rPr>
      <w:rFonts w:ascii="Calibri" w:eastAsia="Calibri" w:hAnsi="Calibri" w:cs="Times New Roman"/>
      <w:lang w:val="en-US"/>
    </w:rPr>
  </w:style>
  <w:style w:type="paragraph" w:styleId="Title">
    <w:name w:val="Title"/>
    <w:basedOn w:val="Normal"/>
    <w:link w:val="TitleChar"/>
    <w:qFormat/>
    <w:rsid w:val="00E4530D"/>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E4530D"/>
    <w:rPr>
      <w:rFonts w:ascii="Times New Roman" w:eastAsia="Times New Roman" w:hAnsi="Times New Roman" w:cs="Times New Roman"/>
      <w:sz w:val="24"/>
      <w:szCs w:val="20"/>
      <w:lang w:val="en-US"/>
    </w:rPr>
  </w:style>
  <w:style w:type="paragraph" w:customStyle="1" w:styleId="Newpage">
    <w:name w:val="Newpage"/>
    <w:basedOn w:val="Normal"/>
    <w:rsid w:val="00E4530D"/>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E4530D"/>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E4530D"/>
    <w:rPr>
      <w:rFonts w:ascii="Times New Roman" w:eastAsia="Times New Roman" w:hAnsi="Times New Roman" w:cs="Times New Roman"/>
      <w:sz w:val="24"/>
      <w:szCs w:val="20"/>
      <w:lang w:val="en-US"/>
    </w:rPr>
  </w:style>
  <w:style w:type="character" w:customStyle="1" w:styleId="gt-icon-text1">
    <w:name w:val="gt-icon-text1"/>
    <w:basedOn w:val="DefaultParagraphFont"/>
    <w:rsid w:val="00E4530D"/>
  </w:style>
  <w:style w:type="paragraph" w:styleId="z-TopofForm">
    <w:name w:val="HTML Top of Form"/>
    <w:basedOn w:val="Normal"/>
    <w:next w:val="Normal"/>
    <w:link w:val="z-TopofFormChar"/>
    <w:hidden/>
    <w:uiPriority w:val="99"/>
    <w:unhideWhenUsed/>
    <w:rsid w:val="00E4530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E4530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E4530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4530D"/>
    <w:rPr>
      <w:rFonts w:ascii="Arial" w:eastAsia="Times New Roman" w:hAnsi="Arial" w:cs="Arial"/>
      <w:vanish/>
      <w:sz w:val="16"/>
      <w:szCs w:val="16"/>
      <w:lang w:val="en-US"/>
    </w:rPr>
  </w:style>
  <w:style w:type="character" w:styleId="CommentReference">
    <w:name w:val="annotation reference"/>
    <w:basedOn w:val="DefaultParagraphFont"/>
    <w:rsid w:val="00E4530D"/>
    <w:rPr>
      <w:sz w:val="16"/>
      <w:szCs w:val="16"/>
    </w:rPr>
  </w:style>
  <w:style w:type="paragraph" w:styleId="CommentText">
    <w:name w:val="annotation text"/>
    <w:basedOn w:val="Normal"/>
    <w:link w:val="CommentTextChar"/>
    <w:rsid w:val="00E4530D"/>
    <w:rPr>
      <w:sz w:val="20"/>
      <w:szCs w:val="20"/>
    </w:rPr>
  </w:style>
  <w:style w:type="character" w:customStyle="1" w:styleId="CommentTextChar">
    <w:name w:val="Comment Text Char"/>
    <w:basedOn w:val="DefaultParagraphFont"/>
    <w:link w:val="CommentText"/>
    <w:rsid w:val="00E4530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rsid w:val="00E4530D"/>
    <w:rPr>
      <w:b/>
      <w:bCs/>
    </w:rPr>
  </w:style>
  <w:style w:type="character" w:customStyle="1" w:styleId="CommentSubjectChar">
    <w:name w:val="Comment Subject Char"/>
    <w:basedOn w:val="CommentTextChar"/>
    <w:link w:val="CommentSubject"/>
    <w:rsid w:val="00E4530D"/>
    <w:rPr>
      <w:rFonts w:ascii="Calibri" w:eastAsia="Calibri" w:hAnsi="Calibri" w:cs="Times New Roman"/>
      <w:b/>
      <w:bCs/>
      <w:sz w:val="20"/>
      <w:szCs w:val="20"/>
      <w:lang w:val="en-US"/>
    </w:rPr>
  </w:style>
  <w:style w:type="table" w:customStyle="1" w:styleId="NoteLevel31">
    <w:name w:val="Note Level 31"/>
    <w:basedOn w:val="TableNormal"/>
    <w:uiPriority w:val="60"/>
    <w:rsid w:val="00E4530D"/>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eNormal"/>
    <w:uiPriority w:val="60"/>
    <w:rsid w:val="00E4530D"/>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4530D"/>
    <w:pPr>
      <w:spacing w:after="0" w:line="240" w:lineRule="auto"/>
    </w:pPr>
    <w:rPr>
      <w:rFonts w:ascii="Calibri" w:eastAsia="Calibri" w:hAnsi="Calibri"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4530D"/>
    <w:pPr>
      <w:spacing w:after="0" w:line="240" w:lineRule="auto"/>
    </w:pPr>
    <w:rPr>
      <w:rFonts w:ascii="Calibri" w:eastAsia="Calibri" w:hAnsi="Calibri"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4530D"/>
    <w:pPr>
      <w:spacing w:after="0" w:line="240" w:lineRule="auto"/>
    </w:pPr>
    <w:rPr>
      <w:rFonts w:ascii="Calibri" w:eastAsia="Calibri" w:hAnsi="Calibri" w:cs="Times New Roman"/>
      <w:color w:val="5F497A"/>
      <w:sz w:val="20"/>
      <w:szCs w:val="20"/>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E4530D"/>
    <w:pPr>
      <w:spacing w:after="0" w:line="240" w:lineRule="auto"/>
    </w:pPr>
    <w:rPr>
      <w:rFonts w:ascii="Calibri" w:eastAsia="Calibri" w:hAnsi="Calibri"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medio2-nfasis11">
    <w:name w:val="Sombreado medio 2 - Énfasis 11"/>
    <w:basedOn w:val="TableNormal"/>
    <w:uiPriority w:val="64"/>
    <w:rsid w:val="00E4530D"/>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67"/>
    <w:rsid w:val="00E4530D"/>
    <w:rPr>
      <w:color w:val="808080"/>
    </w:rPr>
  </w:style>
  <w:style w:type="paragraph" w:customStyle="1" w:styleId="Chapter">
    <w:name w:val="Chapter"/>
    <w:basedOn w:val="Normal"/>
    <w:next w:val="Normal"/>
    <w:rsid w:val="00E4530D"/>
    <w:pPr>
      <w:numPr>
        <w:numId w:val="2"/>
      </w:numPr>
      <w:tabs>
        <w:tab w:val="left" w:pos="1440"/>
      </w:tabs>
      <w:spacing w:after="240" w:line="240" w:lineRule="auto"/>
      <w:jc w:val="center"/>
    </w:pPr>
    <w:rPr>
      <w:rFonts w:ascii="Times New Roman" w:eastAsia="Times New Roman" w:hAnsi="Times New Roman"/>
      <w:b/>
      <w:smallCaps/>
      <w:sz w:val="24"/>
      <w:szCs w:val="20"/>
      <w:lang w:val="es-ES"/>
    </w:rPr>
  </w:style>
  <w:style w:type="paragraph" w:customStyle="1" w:styleId="Paragraph">
    <w:name w:val="Paragraph"/>
    <w:basedOn w:val="BodyTextIndent"/>
    <w:link w:val="ParagraphChar"/>
    <w:rsid w:val="00E4530D"/>
    <w:pPr>
      <w:numPr>
        <w:ilvl w:val="1"/>
        <w:numId w:val="2"/>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BodyTextIndent3"/>
    <w:rsid w:val="00E4530D"/>
    <w:pPr>
      <w:numPr>
        <w:ilvl w:val="2"/>
        <w:numId w:val="2"/>
      </w:numPr>
      <w:spacing w:before="120" w:line="240" w:lineRule="auto"/>
      <w:jc w:val="both"/>
      <w:outlineLvl w:val="2"/>
    </w:pPr>
    <w:rPr>
      <w:rFonts w:ascii="Times New Roman" w:eastAsia="Times New Roman" w:hAnsi="Times New Roman"/>
      <w:sz w:val="24"/>
      <w:szCs w:val="20"/>
      <w:lang w:val="es-ES_tradnl"/>
    </w:rPr>
  </w:style>
  <w:style w:type="paragraph" w:customStyle="1" w:styleId="SubSubPar">
    <w:name w:val="SubSubPar"/>
    <w:basedOn w:val="subpar"/>
    <w:rsid w:val="00E4530D"/>
    <w:pPr>
      <w:numPr>
        <w:ilvl w:val="3"/>
      </w:numPr>
      <w:tabs>
        <w:tab w:val="clear" w:pos="1584"/>
        <w:tab w:val="left" w:pos="0"/>
      </w:tabs>
    </w:pPr>
  </w:style>
  <w:style w:type="character" w:customStyle="1" w:styleId="ParagraphChar">
    <w:name w:val="Paragraph Char"/>
    <w:link w:val="Paragraph"/>
    <w:rsid w:val="00E4530D"/>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E4530D"/>
    <w:pPr>
      <w:spacing w:after="120"/>
      <w:ind w:left="360"/>
    </w:pPr>
  </w:style>
  <w:style w:type="character" w:customStyle="1" w:styleId="BodyTextIndentChar">
    <w:name w:val="Body Text Indent Char"/>
    <w:basedOn w:val="DefaultParagraphFont"/>
    <w:link w:val="BodyTextIndent"/>
    <w:uiPriority w:val="99"/>
    <w:semiHidden/>
    <w:rsid w:val="00E4530D"/>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E453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30D"/>
    <w:rPr>
      <w:rFonts w:ascii="Calibri" w:eastAsia="Calibri" w:hAnsi="Calibri" w:cs="Times New Roman"/>
      <w:sz w:val="16"/>
      <w:szCs w:val="16"/>
      <w:lang w:val="en-US"/>
    </w:rPr>
  </w:style>
  <w:style w:type="paragraph" w:customStyle="1" w:styleId="RegheadTab">
    <w:name w:val="RegheadTab"/>
    <w:basedOn w:val="Normal"/>
    <w:rsid w:val="00E4530D"/>
    <w:pPr>
      <w:keepNext/>
      <w:tabs>
        <w:tab w:val="left" w:pos="0"/>
        <w:tab w:val="left" w:pos="90"/>
        <w:tab w:val="num" w:pos="504"/>
      </w:tabs>
      <w:spacing w:before="120" w:after="0" w:line="240" w:lineRule="auto"/>
      <w:ind w:left="504" w:hanging="504"/>
      <w:jc w:val="center"/>
    </w:pPr>
    <w:rPr>
      <w:rFonts w:ascii="Times New Roman" w:eastAsia="Times New Roman" w:hAnsi="Times New Roman"/>
      <w:b/>
      <w:sz w:val="24"/>
      <w:szCs w:val="20"/>
      <w:lang w:val="es-ES"/>
    </w:rPr>
  </w:style>
  <w:style w:type="paragraph" w:styleId="BodyText2">
    <w:name w:val="Body Text 2"/>
    <w:basedOn w:val="Normal"/>
    <w:link w:val="BodyText2Char"/>
    <w:uiPriority w:val="99"/>
    <w:semiHidden/>
    <w:unhideWhenUsed/>
    <w:rsid w:val="00E4530D"/>
    <w:pPr>
      <w:spacing w:after="120" w:line="480" w:lineRule="auto"/>
    </w:pPr>
  </w:style>
  <w:style w:type="character" w:customStyle="1" w:styleId="BodyText2Char">
    <w:name w:val="Body Text 2 Char"/>
    <w:basedOn w:val="DefaultParagraphFont"/>
    <w:link w:val="BodyText2"/>
    <w:uiPriority w:val="99"/>
    <w:semiHidden/>
    <w:rsid w:val="00E4530D"/>
    <w:rPr>
      <w:rFonts w:ascii="Calibri" w:eastAsia="Calibri" w:hAnsi="Calibri" w:cs="Times New Roman"/>
      <w:lang w:val="en-US"/>
    </w:rPr>
  </w:style>
  <w:style w:type="paragraph" w:customStyle="1" w:styleId="Seccion">
    <w:name w:val="Seccion"/>
    <w:basedOn w:val="Heading2"/>
    <w:link w:val="SeccionCar"/>
    <w:qFormat/>
    <w:rsid w:val="00E4530D"/>
    <w:pPr>
      <w:keepNext w:val="0"/>
      <w:keepLines w:val="0"/>
      <w:spacing w:before="240" w:line="480" w:lineRule="auto"/>
      <w:ind w:firstLine="709"/>
    </w:pPr>
    <w:rPr>
      <w:rFonts w:ascii="Times New Roman" w:eastAsia="Times New Roman" w:hAnsi="Times New Roman" w:cs="Times New Roman"/>
      <w:color w:val="auto"/>
      <w:sz w:val="24"/>
      <w:szCs w:val="24"/>
      <w:lang w:val="es-ES"/>
    </w:rPr>
  </w:style>
  <w:style w:type="character" w:customStyle="1" w:styleId="SeccionCar">
    <w:name w:val="Seccion Car"/>
    <w:link w:val="Seccion"/>
    <w:rsid w:val="00E4530D"/>
    <w:rPr>
      <w:rFonts w:ascii="Times New Roman" w:eastAsia="Times New Roman" w:hAnsi="Times New Roman" w:cs="Times New Roman"/>
      <w:b/>
      <w:bCs/>
      <w:sz w:val="24"/>
      <w:szCs w:val="24"/>
      <w:lang w:val="es-ES"/>
    </w:rPr>
  </w:style>
  <w:style w:type="paragraph" w:customStyle="1" w:styleId="Titulo">
    <w:name w:val="Titulo"/>
    <w:basedOn w:val="Normal"/>
    <w:link w:val="TituloCar"/>
    <w:qFormat/>
    <w:rsid w:val="00E4530D"/>
    <w:pPr>
      <w:shd w:val="clear" w:color="auto" w:fill="FFFFFF"/>
      <w:autoSpaceDE w:val="0"/>
      <w:autoSpaceDN w:val="0"/>
      <w:spacing w:after="0" w:line="240" w:lineRule="auto"/>
      <w:ind w:firstLine="425"/>
      <w:jc w:val="center"/>
    </w:pPr>
    <w:rPr>
      <w:rFonts w:ascii="Times New Roman" w:eastAsia="Times New Roman" w:hAnsi="Times New Roman"/>
      <w:b/>
      <w:kern w:val="2"/>
      <w:sz w:val="24"/>
      <w:szCs w:val="24"/>
      <w:lang w:val="es-ES" w:eastAsia="ko-KR"/>
    </w:rPr>
  </w:style>
  <w:style w:type="character" w:customStyle="1" w:styleId="TituloCar">
    <w:name w:val="Titulo Car"/>
    <w:link w:val="Titulo"/>
    <w:rsid w:val="00E4530D"/>
    <w:rPr>
      <w:rFonts w:ascii="Times New Roman" w:eastAsia="Times New Roman" w:hAnsi="Times New Roman" w:cs="Times New Roman"/>
      <w:b/>
      <w:kern w:val="2"/>
      <w:sz w:val="24"/>
      <w:szCs w:val="24"/>
      <w:shd w:val="clear" w:color="auto" w:fill="FFFFFF"/>
      <w:lang w:val="es-ES" w:eastAsia="ko-KR"/>
    </w:rPr>
  </w:style>
  <w:style w:type="table" w:customStyle="1" w:styleId="Tablaconcuadrcula1">
    <w:name w:val="Tabla con cuadrícula1"/>
    <w:basedOn w:val="TableNormal"/>
    <w:next w:val="TableGrid"/>
    <w:uiPriority w:val="59"/>
    <w:rsid w:val="00E4530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4530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530D"/>
    <w:rPr>
      <w:rFonts w:ascii="Tahoma" w:eastAsia="Calibri" w:hAnsi="Tahoma" w:cs="Tahoma"/>
      <w:sz w:val="16"/>
      <w:szCs w:val="16"/>
      <w:lang w:val="en-US"/>
    </w:rPr>
  </w:style>
  <w:style w:type="table" w:customStyle="1" w:styleId="Sombreadoclaro-nfasis12">
    <w:name w:val="Sombreado claro - Énfasis 12"/>
    <w:basedOn w:val="TableNormal"/>
    <w:uiPriority w:val="60"/>
    <w:rsid w:val="00E4530D"/>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12">
    <w:name w:val="Sombreado medio 2 - Énfasis 12"/>
    <w:basedOn w:val="TableNormal"/>
    <w:uiPriority w:val="64"/>
    <w:rsid w:val="00E4530D"/>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71"/>
    <w:rsid w:val="00E4530D"/>
    <w:pPr>
      <w:spacing w:after="0" w:line="240" w:lineRule="auto"/>
    </w:pPr>
    <w:rPr>
      <w:rFonts w:ascii="Calibri" w:eastAsia="Calibri" w:hAnsi="Calibri" w:cs="Times New Roman"/>
      <w:lang w:val="en-US"/>
    </w:rPr>
  </w:style>
  <w:style w:type="paragraph" w:customStyle="1" w:styleId="TitulopostI">
    <w:name w:val="Titulo post I"/>
    <w:basedOn w:val="Normal"/>
    <w:link w:val="TitulopostICar"/>
    <w:qFormat/>
    <w:rsid w:val="00E4530D"/>
    <w:pPr>
      <w:spacing w:after="0" w:line="480" w:lineRule="auto"/>
      <w:ind w:left="1134" w:hanging="567"/>
      <w:jc w:val="both"/>
    </w:pPr>
    <w:rPr>
      <w:rFonts w:ascii="Times New Roman" w:hAnsi="Times New Roman"/>
      <w:b/>
      <w:sz w:val="24"/>
      <w:szCs w:val="24"/>
      <w:lang w:val="es-ES"/>
    </w:rPr>
  </w:style>
  <w:style w:type="paragraph" w:customStyle="1" w:styleId="Vieta">
    <w:name w:val="Viñeta"/>
    <w:basedOn w:val="Paragraph"/>
    <w:link w:val="VietaCar"/>
    <w:qFormat/>
    <w:rsid w:val="00E4530D"/>
    <w:pPr>
      <w:numPr>
        <w:numId w:val="3"/>
      </w:numPr>
      <w:spacing w:before="0" w:after="0" w:line="480" w:lineRule="auto"/>
    </w:pPr>
    <w:rPr>
      <w:kern w:val="28"/>
    </w:rPr>
  </w:style>
  <w:style w:type="character" w:customStyle="1" w:styleId="TitulopostICar">
    <w:name w:val="Titulo post I Car"/>
    <w:basedOn w:val="DefaultParagraphFont"/>
    <w:link w:val="TitulopostI"/>
    <w:rsid w:val="00E4530D"/>
    <w:rPr>
      <w:rFonts w:ascii="Times New Roman" w:eastAsia="Calibri" w:hAnsi="Times New Roman" w:cs="Times New Roman"/>
      <w:b/>
      <w:sz w:val="24"/>
      <w:szCs w:val="24"/>
      <w:lang w:val="es-ES"/>
    </w:rPr>
  </w:style>
  <w:style w:type="paragraph" w:customStyle="1" w:styleId="Estilo1">
    <w:name w:val="Estilo1"/>
    <w:basedOn w:val="Paragraph"/>
    <w:link w:val="Estilo1Car"/>
    <w:qFormat/>
    <w:rsid w:val="00E4530D"/>
    <w:pPr>
      <w:numPr>
        <w:ilvl w:val="0"/>
        <w:numId w:val="0"/>
      </w:numPr>
      <w:spacing w:before="0" w:after="0" w:line="480" w:lineRule="auto"/>
      <w:ind w:left="567" w:hanging="567"/>
    </w:pPr>
    <w:rPr>
      <w:szCs w:val="24"/>
    </w:rPr>
  </w:style>
  <w:style w:type="character" w:customStyle="1" w:styleId="VietaCar">
    <w:name w:val="Viñeta Car"/>
    <w:basedOn w:val="ParagraphChar"/>
    <w:link w:val="Vieta"/>
    <w:rsid w:val="00E4530D"/>
    <w:rPr>
      <w:rFonts w:ascii="Times New Roman" w:eastAsia="Times New Roman" w:hAnsi="Times New Roman" w:cs="Times New Roman"/>
      <w:kern w:val="28"/>
      <w:sz w:val="24"/>
      <w:szCs w:val="20"/>
      <w:lang w:val="es-ES"/>
    </w:rPr>
  </w:style>
  <w:style w:type="paragraph" w:customStyle="1" w:styleId="Entabla">
    <w:name w:val="Entabla"/>
    <w:basedOn w:val="Normal"/>
    <w:link w:val="EntablaCar"/>
    <w:qFormat/>
    <w:rsid w:val="00E4530D"/>
    <w:pPr>
      <w:spacing w:after="0" w:line="240" w:lineRule="auto"/>
    </w:pPr>
    <w:rPr>
      <w:rFonts w:ascii="Times New Roman" w:eastAsia="Times New Roman" w:hAnsi="Times New Roman"/>
      <w:color w:val="000000"/>
      <w:lang w:val="es-ES"/>
    </w:rPr>
  </w:style>
  <w:style w:type="character" w:customStyle="1" w:styleId="Estilo1Car">
    <w:name w:val="Estilo1 Car"/>
    <w:basedOn w:val="ParagraphChar"/>
    <w:link w:val="Estilo1"/>
    <w:rsid w:val="00E4530D"/>
    <w:rPr>
      <w:rFonts w:ascii="Times New Roman" w:eastAsia="Times New Roman" w:hAnsi="Times New Roman" w:cs="Times New Roman"/>
      <w:sz w:val="24"/>
      <w:szCs w:val="24"/>
      <w:lang w:val="es-ES"/>
    </w:rPr>
  </w:style>
  <w:style w:type="paragraph" w:customStyle="1" w:styleId="TituloTabla">
    <w:name w:val="Titulo Tabla"/>
    <w:basedOn w:val="Normal"/>
    <w:link w:val="TituloTablaCar"/>
    <w:qFormat/>
    <w:rsid w:val="00E4530D"/>
    <w:pPr>
      <w:spacing w:after="0" w:line="240" w:lineRule="auto"/>
      <w:ind w:left="34"/>
    </w:pPr>
    <w:rPr>
      <w:rFonts w:ascii="Times New Roman" w:eastAsia="Times New Roman" w:hAnsi="Times New Roman"/>
      <w:b/>
      <w:bCs/>
      <w:color w:val="000000"/>
      <w:lang w:val="es-ES"/>
    </w:rPr>
  </w:style>
  <w:style w:type="character" w:customStyle="1" w:styleId="EntablaCar">
    <w:name w:val="Entabla Car"/>
    <w:basedOn w:val="DefaultParagraphFont"/>
    <w:link w:val="Entabla"/>
    <w:rsid w:val="00E4530D"/>
    <w:rPr>
      <w:rFonts w:ascii="Times New Roman" w:eastAsia="Times New Roman" w:hAnsi="Times New Roman" w:cs="Times New Roman"/>
      <w:color w:val="000000"/>
      <w:lang w:val="es-ES"/>
    </w:rPr>
  </w:style>
  <w:style w:type="paragraph" w:customStyle="1" w:styleId="Anexo">
    <w:name w:val="Anexo"/>
    <w:basedOn w:val="Paragraph"/>
    <w:link w:val="AnexoCar"/>
    <w:qFormat/>
    <w:rsid w:val="00E4530D"/>
    <w:pPr>
      <w:numPr>
        <w:ilvl w:val="0"/>
        <w:numId w:val="0"/>
      </w:numPr>
      <w:spacing w:before="0" w:after="0" w:line="480" w:lineRule="auto"/>
      <w:ind w:firstLine="709"/>
    </w:pPr>
    <w:rPr>
      <w:szCs w:val="24"/>
    </w:rPr>
  </w:style>
  <w:style w:type="character" w:customStyle="1" w:styleId="TituloTablaCar">
    <w:name w:val="Titulo Tabla Car"/>
    <w:basedOn w:val="DefaultParagraphFont"/>
    <w:link w:val="TituloTabla"/>
    <w:rsid w:val="00E4530D"/>
    <w:rPr>
      <w:rFonts w:ascii="Times New Roman" w:eastAsia="Times New Roman" w:hAnsi="Times New Roman" w:cs="Times New Roman"/>
      <w:b/>
      <w:bCs/>
      <w:color w:val="000000"/>
      <w:lang w:val="es-ES"/>
    </w:rPr>
  </w:style>
  <w:style w:type="paragraph" w:customStyle="1" w:styleId="Vietasanexo">
    <w:name w:val="Viñetas anexo"/>
    <w:basedOn w:val="Normal"/>
    <w:link w:val="VietasanexoCar"/>
    <w:qFormat/>
    <w:rsid w:val="00E4530D"/>
    <w:pPr>
      <w:numPr>
        <w:ilvl w:val="1"/>
        <w:numId w:val="4"/>
      </w:numPr>
      <w:autoSpaceDE w:val="0"/>
      <w:autoSpaceDN w:val="0"/>
      <w:spacing w:after="0" w:line="480" w:lineRule="auto"/>
      <w:ind w:left="1134" w:hanging="426"/>
      <w:jc w:val="both"/>
    </w:pPr>
    <w:rPr>
      <w:rFonts w:ascii="Times New Roman" w:hAnsi="Times New Roman"/>
      <w:sz w:val="24"/>
      <w:szCs w:val="24"/>
      <w:lang w:val="es-AR"/>
    </w:rPr>
  </w:style>
  <w:style w:type="character" w:customStyle="1" w:styleId="AnexoCar">
    <w:name w:val="Anexo Car"/>
    <w:basedOn w:val="ParagraphChar"/>
    <w:link w:val="Anexo"/>
    <w:rsid w:val="00E4530D"/>
    <w:rPr>
      <w:rFonts w:ascii="Times New Roman" w:eastAsia="Times New Roman" w:hAnsi="Times New Roman" w:cs="Times New Roman"/>
      <w:sz w:val="24"/>
      <w:szCs w:val="24"/>
      <w:lang w:val="es-ES"/>
    </w:rPr>
  </w:style>
  <w:style w:type="paragraph" w:customStyle="1" w:styleId="TItuloAnexo">
    <w:name w:val="TItulo Anexo"/>
    <w:basedOn w:val="Seccion"/>
    <w:link w:val="TItuloAnexoCar"/>
    <w:qFormat/>
    <w:rsid w:val="00E4530D"/>
    <w:pPr>
      <w:numPr>
        <w:numId w:val="5"/>
      </w:numPr>
    </w:pPr>
  </w:style>
  <w:style w:type="character" w:customStyle="1" w:styleId="VietasanexoCar">
    <w:name w:val="Viñetas anexo Car"/>
    <w:basedOn w:val="DefaultParagraphFont"/>
    <w:link w:val="Vietasanexo"/>
    <w:rsid w:val="00E4530D"/>
    <w:rPr>
      <w:rFonts w:ascii="Times New Roman" w:eastAsia="Calibri" w:hAnsi="Times New Roman" w:cs="Times New Roman"/>
      <w:sz w:val="24"/>
      <w:szCs w:val="24"/>
      <w:lang w:val="es-AR"/>
    </w:rPr>
  </w:style>
  <w:style w:type="character" w:customStyle="1" w:styleId="TItuloAnexoCar">
    <w:name w:val="TItulo Anexo Car"/>
    <w:basedOn w:val="SeccionCar"/>
    <w:link w:val="TItuloAnexo"/>
    <w:rsid w:val="00E4530D"/>
    <w:rPr>
      <w:rFonts w:ascii="Times New Roman" w:eastAsia="Times New Roman" w:hAnsi="Times New Roman" w:cs="Times New Roman"/>
      <w:b/>
      <w:bCs/>
      <w:sz w:val="24"/>
      <w:szCs w:val="24"/>
      <w:lang w:val="es-ES"/>
    </w:rPr>
  </w:style>
  <w:style w:type="paragraph" w:customStyle="1" w:styleId="Titulobisanexo">
    <w:name w:val="Titulo bis anexo"/>
    <w:basedOn w:val="TItuloAnexo"/>
    <w:link w:val="TitulobisanexoCar"/>
    <w:qFormat/>
    <w:rsid w:val="00E4530D"/>
    <w:pPr>
      <w:numPr>
        <w:numId w:val="0"/>
      </w:numPr>
      <w:spacing w:before="0"/>
      <w:ind w:left="709"/>
    </w:pPr>
  </w:style>
  <w:style w:type="character" w:customStyle="1" w:styleId="TitulobisanexoCar">
    <w:name w:val="Titulo bis anexo Car"/>
    <w:basedOn w:val="TItuloAnexoCar"/>
    <w:link w:val="Titulobisanexo"/>
    <w:rsid w:val="00E4530D"/>
    <w:rPr>
      <w:rFonts w:ascii="Times New Roman" w:eastAsia="Times New Roman" w:hAnsi="Times New Roman" w:cs="Times New Roman"/>
      <w:b/>
      <w:bCs/>
      <w:sz w:val="24"/>
      <w:szCs w:val="24"/>
      <w:lang w:val="es-ES"/>
    </w:rPr>
  </w:style>
  <w:style w:type="character" w:styleId="PageNumber">
    <w:name w:val="page number"/>
    <w:basedOn w:val="DefaultParagraphFont"/>
    <w:rsid w:val="003728B5"/>
  </w:style>
  <w:style w:type="paragraph" w:styleId="EndnoteText">
    <w:name w:val="endnote text"/>
    <w:basedOn w:val="Normal"/>
    <w:link w:val="EndnoteTextChar"/>
    <w:uiPriority w:val="99"/>
    <w:semiHidden/>
    <w:unhideWhenUsed/>
    <w:rsid w:val="00BF27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27F4"/>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F27F4"/>
    <w:rPr>
      <w:vertAlign w:val="superscript"/>
    </w:rPr>
  </w:style>
  <w:style w:type="paragraph" w:customStyle="1" w:styleId="FirstHeading">
    <w:name w:val="FirstHeading"/>
    <w:basedOn w:val="Normal"/>
    <w:next w:val="Normal"/>
    <w:rsid w:val="006F41BC"/>
    <w:pPr>
      <w:keepNext/>
      <w:numPr>
        <w:numId w:val="7"/>
      </w:numPr>
      <w:tabs>
        <w:tab w:val="left" w:pos="0"/>
        <w:tab w:val="left" w:pos="86"/>
      </w:tabs>
      <w:spacing w:before="120" w:after="120" w:line="240" w:lineRule="auto"/>
    </w:pPr>
    <w:rPr>
      <w:rFonts w:ascii="Times New Roman" w:eastAsia="Times New Roman" w:hAnsi="Times New Roman"/>
      <w:b/>
      <w:sz w:val="24"/>
      <w:szCs w:val="20"/>
      <w:lang w:val="en-US"/>
    </w:rPr>
  </w:style>
  <w:style w:type="paragraph" w:customStyle="1" w:styleId="SecHeading">
    <w:name w:val="SecHeading"/>
    <w:basedOn w:val="Normal"/>
    <w:next w:val="Normal"/>
    <w:rsid w:val="006F41BC"/>
    <w:pPr>
      <w:keepNext/>
      <w:numPr>
        <w:ilvl w:val="1"/>
        <w:numId w:val="7"/>
      </w:numPr>
      <w:spacing w:before="120" w:after="120" w:line="240" w:lineRule="auto"/>
    </w:pPr>
    <w:rPr>
      <w:rFonts w:ascii="Times New Roman" w:eastAsia="Times New Roman" w:hAnsi="Times New Roman"/>
      <w:b/>
      <w:sz w:val="24"/>
      <w:szCs w:val="20"/>
      <w:lang w:val="en-US"/>
    </w:rPr>
  </w:style>
  <w:style w:type="paragraph" w:customStyle="1" w:styleId="SubHeading1">
    <w:name w:val="SubHeading1"/>
    <w:basedOn w:val="SecHeading"/>
    <w:rsid w:val="006F41BC"/>
    <w:pPr>
      <w:numPr>
        <w:ilvl w:val="2"/>
      </w:numPr>
    </w:pPr>
  </w:style>
  <w:style w:type="paragraph" w:customStyle="1" w:styleId="Subheading2">
    <w:name w:val="Subheading2"/>
    <w:basedOn w:val="SecHeading"/>
    <w:rsid w:val="006F41BC"/>
    <w:pPr>
      <w:numPr>
        <w:ilvl w:val="3"/>
      </w:numPr>
    </w:pPr>
    <w:rPr>
      <w:lang w:val="pt-BR"/>
    </w:rPr>
  </w:style>
  <w:style w:type="paragraph" w:customStyle="1" w:styleId="Ttulo21">
    <w:name w:val="Título 21"/>
    <w:basedOn w:val="Normal"/>
    <w:rsid w:val="006F41BC"/>
    <w:rPr>
      <w:rFonts w:asciiTheme="minorHAnsi" w:eastAsiaTheme="minorHAnsi" w:hAnsiTheme="minorHAnsi" w:cstheme="minorBidi"/>
      <w:lang w:val="en-US"/>
    </w:rPr>
  </w:style>
  <w:style w:type="paragraph" w:customStyle="1" w:styleId="Ttulo51">
    <w:name w:val="Título 51"/>
    <w:basedOn w:val="Normal"/>
    <w:rsid w:val="006F41BC"/>
    <w:pPr>
      <w:numPr>
        <w:ilvl w:val="4"/>
        <w:numId w:val="7"/>
      </w:numPr>
      <w:ind w:left="0" w:firstLine="0"/>
    </w:pPr>
    <w:rPr>
      <w:rFonts w:asciiTheme="minorHAnsi" w:eastAsiaTheme="minorHAnsi" w:hAnsiTheme="minorHAnsi" w:cstheme="minorBidi"/>
      <w:lang w:val="en-US"/>
    </w:rPr>
  </w:style>
  <w:style w:type="paragraph" w:customStyle="1" w:styleId="Ttulo61">
    <w:name w:val="Título 61"/>
    <w:basedOn w:val="Normal"/>
    <w:rsid w:val="006F41BC"/>
    <w:pPr>
      <w:numPr>
        <w:ilvl w:val="5"/>
        <w:numId w:val="7"/>
      </w:numPr>
      <w:ind w:left="0" w:firstLine="0"/>
    </w:pPr>
    <w:rPr>
      <w:rFonts w:asciiTheme="minorHAnsi" w:eastAsiaTheme="minorHAnsi" w:hAnsiTheme="minorHAnsi" w:cstheme="minorBidi"/>
      <w:lang w:val="en-US"/>
    </w:rPr>
  </w:style>
  <w:style w:type="paragraph" w:customStyle="1" w:styleId="Ttulo71">
    <w:name w:val="Título 71"/>
    <w:basedOn w:val="Normal"/>
    <w:rsid w:val="006F41BC"/>
    <w:pPr>
      <w:numPr>
        <w:ilvl w:val="6"/>
        <w:numId w:val="7"/>
      </w:numPr>
      <w:ind w:left="0" w:firstLine="0"/>
    </w:pPr>
    <w:rPr>
      <w:rFonts w:asciiTheme="minorHAnsi" w:eastAsiaTheme="minorHAnsi" w:hAnsiTheme="minorHAnsi" w:cstheme="minorBidi"/>
      <w:lang w:val="en-US"/>
    </w:rPr>
  </w:style>
  <w:style w:type="paragraph" w:customStyle="1" w:styleId="Ttulo81">
    <w:name w:val="Título 81"/>
    <w:basedOn w:val="Normal"/>
    <w:rsid w:val="006F41BC"/>
    <w:pPr>
      <w:numPr>
        <w:ilvl w:val="7"/>
        <w:numId w:val="7"/>
      </w:numPr>
      <w:ind w:left="0" w:firstLine="0"/>
    </w:pPr>
    <w:rPr>
      <w:rFonts w:asciiTheme="minorHAnsi" w:eastAsiaTheme="minorHAnsi" w:hAnsiTheme="minorHAnsi" w:cstheme="minorBidi"/>
      <w:lang w:val="en-US"/>
    </w:rPr>
  </w:style>
  <w:style w:type="paragraph" w:customStyle="1" w:styleId="Ttulo91">
    <w:name w:val="Título 91"/>
    <w:basedOn w:val="Normal"/>
    <w:rsid w:val="006F41BC"/>
    <w:pPr>
      <w:numPr>
        <w:ilvl w:val="8"/>
        <w:numId w:val="7"/>
      </w:numPr>
      <w:ind w:left="0" w:firstLine="0"/>
    </w:pPr>
    <w:rPr>
      <w:rFonts w:asciiTheme="minorHAnsi" w:eastAsiaTheme="minorHAnsi" w:hAnsiTheme="minorHAnsi" w:cstheme="minorBidi"/>
      <w:lang w:val="en-US"/>
    </w:rPr>
  </w:style>
  <w:style w:type="character" w:styleId="Hyperlink">
    <w:name w:val="Hyperlink"/>
    <w:basedOn w:val="DefaultParagraphFont"/>
    <w:uiPriority w:val="99"/>
    <w:unhideWhenUsed/>
    <w:rsid w:val="001E3630"/>
    <w:rPr>
      <w:color w:val="0563C1" w:themeColor="hyperlink"/>
      <w:u w:val="single"/>
    </w:rPr>
  </w:style>
  <w:style w:type="character" w:styleId="FollowedHyperlink">
    <w:name w:val="FollowedHyperlink"/>
    <w:basedOn w:val="DefaultParagraphFont"/>
    <w:uiPriority w:val="99"/>
    <w:semiHidden/>
    <w:unhideWhenUsed/>
    <w:rsid w:val="001E3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7531">
      <w:bodyDiv w:val="1"/>
      <w:marLeft w:val="0"/>
      <w:marRight w:val="0"/>
      <w:marTop w:val="0"/>
      <w:marBottom w:val="0"/>
      <w:divBdr>
        <w:top w:val="none" w:sz="0" w:space="0" w:color="auto"/>
        <w:left w:val="none" w:sz="0" w:space="0" w:color="auto"/>
        <w:bottom w:val="none" w:sz="0" w:space="0" w:color="auto"/>
        <w:right w:val="none" w:sz="0" w:space="0" w:color="auto"/>
      </w:divBdr>
    </w:div>
    <w:div w:id="194513435">
      <w:bodyDiv w:val="1"/>
      <w:marLeft w:val="0"/>
      <w:marRight w:val="0"/>
      <w:marTop w:val="0"/>
      <w:marBottom w:val="0"/>
      <w:divBdr>
        <w:top w:val="none" w:sz="0" w:space="0" w:color="auto"/>
        <w:left w:val="none" w:sz="0" w:space="0" w:color="auto"/>
        <w:bottom w:val="none" w:sz="0" w:space="0" w:color="auto"/>
        <w:right w:val="none" w:sz="0" w:space="0" w:color="auto"/>
      </w:divBdr>
    </w:div>
    <w:div w:id="227114490">
      <w:bodyDiv w:val="1"/>
      <w:marLeft w:val="0"/>
      <w:marRight w:val="0"/>
      <w:marTop w:val="0"/>
      <w:marBottom w:val="0"/>
      <w:divBdr>
        <w:top w:val="none" w:sz="0" w:space="0" w:color="auto"/>
        <w:left w:val="none" w:sz="0" w:space="0" w:color="auto"/>
        <w:bottom w:val="none" w:sz="0" w:space="0" w:color="auto"/>
        <w:right w:val="none" w:sz="0" w:space="0" w:color="auto"/>
      </w:divBdr>
    </w:div>
    <w:div w:id="238909812">
      <w:bodyDiv w:val="1"/>
      <w:marLeft w:val="0"/>
      <w:marRight w:val="0"/>
      <w:marTop w:val="0"/>
      <w:marBottom w:val="0"/>
      <w:divBdr>
        <w:top w:val="none" w:sz="0" w:space="0" w:color="auto"/>
        <w:left w:val="none" w:sz="0" w:space="0" w:color="auto"/>
        <w:bottom w:val="none" w:sz="0" w:space="0" w:color="auto"/>
        <w:right w:val="none" w:sz="0" w:space="0" w:color="auto"/>
      </w:divBdr>
    </w:div>
    <w:div w:id="313611099">
      <w:bodyDiv w:val="1"/>
      <w:marLeft w:val="0"/>
      <w:marRight w:val="0"/>
      <w:marTop w:val="0"/>
      <w:marBottom w:val="0"/>
      <w:divBdr>
        <w:top w:val="none" w:sz="0" w:space="0" w:color="auto"/>
        <w:left w:val="none" w:sz="0" w:space="0" w:color="auto"/>
        <w:bottom w:val="none" w:sz="0" w:space="0" w:color="auto"/>
        <w:right w:val="none" w:sz="0" w:space="0" w:color="auto"/>
      </w:divBdr>
    </w:div>
    <w:div w:id="376205694">
      <w:bodyDiv w:val="1"/>
      <w:marLeft w:val="0"/>
      <w:marRight w:val="0"/>
      <w:marTop w:val="0"/>
      <w:marBottom w:val="0"/>
      <w:divBdr>
        <w:top w:val="none" w:sz="0" w:space="0" w:color="auto"/>
        <w:left w:val="none" w:sz="0" w:space="0" w:color="auto"/>
        <w:bottom w:val="none" w:sz="0" w:space="0" w:color="auto"/>
        <w:right w:val="none" w:sz="0" w:space="0" w:color="auto"/>
      </w:divBdr>
    </w:div>
    <w:div w:id="384448316">
      <w:bodyDiv w:val="1"/>
      <w:marLeft w:val="0"/>
      <w:marRight w:val="0"/>
      <w:marTop w:val="0"/>
      <w:marBottom w:val="0"/>
      <w:divBdr>
        <w:top w:val="none" w:sz="0" w:space="0" w:color="auto"/>
        <w:left w:val="none" w:sz="0" w:space="0" w:color="auto"/>
        <w:bottom w:val="none" w:sz="0" w:space="0" w:color="auto"/>
        <w:right w:val="none" w:sz="0" w:space="0" w:color="auto"/>
      </w:divBdr>
    </w:div>
    <w:div w:id="421029527">
      <w:bodyDiv w:val="1"/>
      <w:marLeft w:val="0"/>
      <w:marRight w:val="0"/>
      <w:marTop w:val="0"/>
      <w:marBottom w:val="0"/>
      <w:divBdr>
        <w:top w:val="none" w:sz="0" w:space="0" w:color="auto"/>
        <w:left w:val="none" w:sz="0" w:space="0" w:color="auto"/>
        <w:bottom w:val="none" w:sz="0" w:space="0" w:color="auto"/>
        <w:right w:val="none" w:sz="0" w:space="0" w:color="auto"/>
      </w:divBdr>
    </w:div>
    <w:div w:id="482233379">
      <w:bodyDiv w:val="1"/>
      <w:marLeft w:val="0"/>
      <w:marRight w:val="0"/>
      <w:marTop w:val="0"/>
      <w:marBottom w:val="0"/>
      <w:divBdr>
        <w:top w:val="none" w:sz="0" w:space="0" w:color="auto"/>
        <w:left w:val="none" w:sz="0" w:space="0" w:color="auto"/>
        <w:bottom w:val="none" w:sz="0" w:space="0" w:color="auto"/>
        <w:right w:val="none" w:sz="0" w:space="0" w:color="auto"/>
      </w:divBdr>
    </w:div>
    <w:div w:id="559442643">
      <w:bodyDiv w:val="1"/>
      <w:marLeft w:val="0"/>
      <w:marRight w:val="0"/>
      <w:marTop w:val="0"/>
      <w:marBottom w:val="0"/>
      <w:divBdr>
        <w:top w:val="none" w:sz="0" w:space="0" w:color="auto"/>
        <w:left w:val="none" w:sz="0" w:space="0" w:color="auto"/>
        <w:bottom w:val="none" w:sz="0" w:space="0" w:color="auto"/>
        <w:right w:val="none" w:sz="0" w:space="0" w:color="auto"/>
      </w:divBdr>
    </w:div>
    <w:div w:id="560019095">
      <w:bodyDiv w:val="1"/>
      <w:marLeft w:val="0"/>
      <w:marRight w:val="0"/>
      <w:marTop w:val="0"/>
      <w:marBottom w:val="0"/>
      <w:divBdr>
        <w:top w:val="none" w:sz="0" w:space="0" w:color="auto"/>
        <w:left w:val="none" w:sz="0" w:space="0" w:color="auto"/>
        <w:bottom w:val="none" w:sz="0" w:space="0" w:color="auto"/>
        <w:right w:val="none" w:sz="0" w:space="0" w:color="auto"/>
      </w:divBdr>
    </w:div>
    <w:div w:id="700479526">
      <w:bodyDiv w:val="1"/>
      <w:marLeft w:val="0"/>
      <w:marRight w:val="0"/>
      <w:marTop w:val="0"/>
      <w:marBottom w:val="0"/>
      <w:divBdr>
        <w:top w:val="none" w:sz="0" w:space="0" w:color="auto"/>
        <w:left w:val="none" w:sz="0" w:space="0" w:color="auto"/>
        <w:bottom w:val="none" w:sz="0" w:space="0" w:color="auto"/>
        <w:right w:val="none" w:sz="0" w:space="0" w:color="auto"/>
      </w:divBdr>
    </w:div>
    <w:div w:id="724573188">
      <w:bodyDiv w:val="1"/>
      <w:marLeft w:val="0"/>
      <w:marRight w:val="0"/>
      <w:marTop w:val="0"/>
      <w:marBottom w:val="0"/>
      <w:divBdr>
        <w:top w:val="none" w:sz="0" w:space="0" w:color="auto"/>
        <w:left w:val="none" w:sz="0" w:space="0" w:color="auto"/>
        <w:bottom w:val="none" w:sz="0" w:space="0" w:color="auto"/>
        <w:right w:val="none" w:sz="0" w:space="0" w:color="auto"/>
      </w:divBdr>
    </w:div>
    <w:div w:id="752899022">
      <w:bodyDiv w:val="1"/>
      <w:marLeft w:val="0"/>
      <w:marRight w:val="0"/>
      <w:marTop w:val="0"/>
      <w:marBottom w:val="0"/>
      <w:divBdr>
        <w:top w:val="none" w:sz="0" w:space="0" w:color="auto"/>
        <w:left w:val="none" w:sz="0" w:space="0" w:color="auto"/>
        <w:bottom w:val="none" w:sz="0" w:space="0" w:color="auto"/>
        <w:right w:val="none" w:sz="0" w:space="0" w:color="auto"/>
      </w:divBdr>
    </w:div>
    <w:div w:id="800003431">
      <w:bodyDiv w:val="1"/>
      <w:marLeft w:val="0"/>
      <w:marRight w:val="0"/>
      <w:marTop w:val="0"/>
      <w:marBottom w:val="0"/>
      <w:divBdr>
        <w:top w:val="none" w:sz="0" w:space="0" w:color="auto"/>
        <w:left w:val="none" w:sz="0" w:space="0" w:color="auto"/>
        <w:bottom w:val="none" w:sz="0" w:space="0" w:color="auto"/>
        <w:right w:val="none" w:sz="0" w:space="0" w:color="auto"/>
      </w:divBdr>
    </w:div>
    <w:div w:id="832258655">
      <w:bodyDiv w:val="1"/>
      <w:marLeft w:val="0"/>
      <w:marRight w:val="0"/>
      <w:marTop w:val="0"/>
      <w:marBottom w:val="0"/>
      <w:divBdr>
        <w:top w:val="none" w:sz="0" w:space="0" w:color="auto"/>
        <w:left w:val="none" w:sz="0" w:space="0" w:color="auto"/>
        <w:bottom w:val="none" w:sz="0" w:space="0" w:color="auto"/>
        <w:right w:val="none" w:sz="0" w:space="0" w:color="auto"/>
      </w:divBdr>
    </w:div>
    <w:div w:id="945116023">
      <w:bodyDiv w:val="1"/>
      <w:marLeft w:val="0"/>
      <w:marRight w:val="0"/>
      <w:marTop w:val="0"/>
      <w:marBottom w:val="0"/>
      <w:divBdr>
        <w:top w:val="none" w:sz="0" w:space="0" w:color="auto"/>
        <w:left w:val="none" w:sz="0" w:space="0" w:color="auto"/>
        <w:bottom w:val="none" w:sz="0" w:space="0" w:color="auto"/>
        <w:right w:val="none" w:sz="0" w:space="0" w:color="auto"/>
      </w:divBdr>
    </w:div>
    <w:div w:id="953830984">
      <w:bodyDiv w:val="1"/>
      <w:marLeft w:val="0"/>
      <w:marRight w:val="0"/>
      <w:marTop w:val="0"/>
      <w:marBottom w:val="0"/>
      <w:divBdr>
        <w:top w:val="none" w:sz="0" w:space="0" w:color="auto"/>
        <w:left w:val="none" w:sz="0" w:space="0" w:color="auto"/>
        <w:bottom w:val="none" w:sz="0" w:space="0" w:color="auto"/>
        <w:right w:val="none" w:sz="0" w:space="0" w:color="auto"/>
      </w:divBdr>
    </w:div>
    <w:div w:id="972173476">
      <w:bodyDiv w:val="1"/>
      <w:marLeft w:val="0"/>
      <w:marRight w:val="0"/>
      <w:marTop w:val="0"/>
      <w:marBottom w:val="0"/>
      <w:divBdr>
        <w:top w:val="none" w:sz="0" w:space="0" w:color="auto"/>
        <w:left w:val="none" w:sz="0" w:space="0" w:color="auto"/>
        <w:bottom w:val="none" w:sz="0" w:space="0" w:color="auto"/>
        <w:right w:val="none" w:sz="0" w:space="0" w:color="auto"/>
      </w:divBdr>
    </w:div>
    <w:div w:id="1077703398">
      <w:bodyDiv w:val="1"/>
      <w:marLeft w:val="0"/>
      <w:marRight w:val="0"/>
      <w:marTop w:val="0"/>
      <w:marBottom w:val="0"/>
      <w:divBdr>
        <w:top w:val="none" w:sz="0" w:space="0" w:color="auto"/>
        <w:left w:val="none" w:sz="0" w:space="0" w:color="auto"/>
        <w:bottom w:val="none" w:sz="0" w:space="0" w:color="auto"/>
        <w:right w:val="none" w:sz="0" w:space="0" w:color="auto"/>
      </w:divBdr>
    </w:div>
    <w:div w:id="1084759298">
      <w:bodyDiv w:val="1"/>
      <w:marLeft w:val="0"/>
      <w:marRight w:val="0"/>
      <w:marTop w:val="0"/>
      <w:marBottom w:val="0"/>
      <w:divBdr>
        <w:top w:val="none" w:sz="0" w:space="0" w:color="auto"/>
        <w:left w:val="none" w:sz="0" w:space="0" w:color="auto"/>
        <w:bottom w:val="none" w:sz="0" w:space="0" w:color="auto"/>
        <w:right w:val="none" w:sz="0" w:space="0" w:color="auto"/>
      </w:divBdr>
    </w:div>
    <w:div w:id="1097362796">
      <w:bodyDiv w:val="1"/>
      <w:marLeft w:val="0"/>
      <w:marRight w:val="0"/>
      <w:marTop w:val="0"/>
      <w:marBottom w:val="0"/>
      <w:divBdr>
        <w:top w:val="none" w:sz="0" w:space="0" w:color="auto"/>
        <w:left w:val="none" w:sz="0" w:space="0" w:color="auto"/>
        <w:bottom w:val="none" w:sz="0" w:space="0" w:color="auto"/>
        <w:right w:val="none" w:sz="0" w:space="0" w:color="auto"/>
      </w:divBdr>
    </w:div>
    <w:div w:id="1129782144">
      <w:bodyDiv w:val="1"/>
      <w:marLeft w:val="0"/>
      <w:marRight w:val="0"/>
      <w:marTop w:val="0"/>
      <w:marBottom w:val="0"/>
      <w:divBdr>
        <w:top w:val="none" w:sz="0" w:space="0" w:color="auto"/>
        <w:left w:val="none" w:sz="0" w:space="0" w:color="auto"/>
        <w:bottom w:val="none" w:sz="0" w:space="0" w:color="auto"/>
        <w:right w:val="none" w:sz="0" w:space="0" w:color="auto"/>
      </w:divBdr>
    </w:div>
    <w:div w:id="1253003761">
      <w:bodyDiv w:val="1"/>
      <w:marLeft w:val="0"/>
      <w:marRight w:val="0"/>
      <w:marTop w:val="0"/>
      <w:marBottom w:val="0"/>
      <w:divBdr>
        <w:top w:val="none" w:sz="0" w:space="0" w:color="auto"/>
        <w:left w:val="none" w:sz="0" w:space="0" w:color="auto"/>
        <w:bottom w:val="none" w:sz="0" w:space="0" w:color="auto"/>
        <w:right w:val="none" w:sz="0" w:space="0" w:color="auto"/>
      </w:divBdr>
    </w:div>
    <w:div w:id="1291789522">
      <w:bodyDiv w:val="1"/>
      <w:marLeft w:val="0"/>
      <w:marRight w:val="0"/>
      <w:marTop w:val="0"/>
      <w:marBottom w:val="0"/>
      <w:divBdr>
        <w:top w:val="none" w:sz="0" w:space="0" w:color="auto"/>
        <w:left w:val="none" w:sz="0" w:space="0" w:color="auto"/>
        <w:bottom w:val="none" w:sz="0" w:space="0" w:color="auto"/>
        <w:right w:val="none" w:sz="0" w:space="0" w:color="auto"/>
      </w:divBdr>
    </w:div>
    <w:div w:id="1482573602">
      <w:bodyDiv w:val="1"/>
      <w:marLeft w:val="0"/>
      <w:marRight w:val="0"/>
      <w:marTop w:val="0"/>
      <w:marBottom w:val="0"/>
      <w:divBdr>
        <w:top w:val="none" w:sz="0" w:space="0" w:color="auto"/>
        <w:left w:val="none" w:sz="0" w:space="0" w:color="auto"/>
        <w:bottom w:val="none" w:sz="0" w:space="0" w:color="auto"/>
        <w:right w:val="none" w:sz="0" w:space="0" w:color="auto"/>
      </w:divBdr>
    </w:div>
    <w:div w:id="1521166834">
      <w:bodyDiv w:val="1"/>
      <w:marLeft w:val="0"/>
      <w:marRight w:val="0"/>
      <w:marTop w:val="0"/>
      <w:marBottom w:val="0"/>
      <w:divBdr>
        <w:top w:val="none" w:sz="0" w:space="0" w:color="auto"/>
        <w:left w:val="none" w:sz="0" w:space="0" w:color="auto"/>
        <w:bottom w:val="none" w:sz="0" w:space="0" w:color="auto"/>
        <w:right w:val="none" w:sz="0" w:space="0" w:color="auto"/>
      </w:divBdr>
    </w:div>
    <w:div w:id="1580367676">
      <w:bodyDiv w:val="1"/>
      <w:marLeft w:val="0"/>
      <w:marRight w:val="0"/>
      <w:marTop w:val="0"/>
      <w:marBottom w:val="0"/>
      <w:divBdr>
        <w:top w:val="none" w:sz="0" w:space="0" w:color="auto"/>
        <w:left w:val="none" w:sz="0" w:space="0" w:color="auto"/>
        <w:bottom w:val="none" w:sz="0" w:space="0" w:color="auto"/>
        <w:right w:val="none" w:sz="0" w:space="0" w:color="auto"/>
      </w:divBdr>
    </w:div>
    <w:div w:id="1590193813">
      <w:bodyDiv w:val="1"/>
      <w:marLeft w:val="0"/>
      <w:marRight w:val="0"/>
      <w:marTop w:val="0"/>
      <w:marBottom w:val="0"/>
      <w:divBdr>
        <w:top w:val="none" w:sz="0" w:space="0" w:color="auto"/>
        <w:left w:val="none" w:sz="0" w:space="0" w:color="auto"/>
        <w:bottom w:val="none" w:sz="0" w:space="0" w:color="auto"/>
        <w:right w:val="none" w:sz="0" w:space="0" w:color="auto"/>
      </w:divBdr>
    </w:div>
    <w:div w:id="1608266515">
      <w:bodyDiv w:val="1"/>
      <w:marLeft w:val="0"/>
      <w:marRight w:val="0"/>
      <w:marTop w:val="0"/>
      <w:marBottom w:val="0"/>
      <w:divBdr>
        <w:top w:val="none" w:sz="0" w:space="0" w:color="auto"/>
        <w:left w:val="none" w:sz="0" w:space="0" w:color="auto"/>
        <w:bottom w:val="none" w:sz="0" w:space="0" w:color="auto"/>
        <w:right w:val="none" w:sz="0" w:space="0" w:color="auto"/>
      </w:divBdr>
    </w:div>
    <w:div w:id="1660648232">
      <w:bodyDiv w:val="1"/>
      <w:marLeft w:val="0"/>
      <w:marRight w:val="0"/>
      <w:marTop w:val="0"/>
      <w:marBottom w:val="0"/>
      <w:divBdr>
        <w:top w:val="none" w:sz="0" w:space="0" w:color="auto"/>
        <w:left w:val="none" w:sz="0" w:space="0" w:color="auto"/>
        <w:bottom w:val="none" w:sz="0" w:space="0" w:color="auto"/>
        <w:right w:val="none" w:sz="0" w:space="0" w:color="auto"/>
      </w:divBdr>
    </w:div>
    <w:div w:id="1753821124">
      <w:bodyDiv w:val="1"/>
      <w:marLeft w:val="0"/>
      <w:marRight w:val="0"/>
      <w:marTop w:val="0"/>
      <w:marBottom w:val="0"/>
      <w:divBdr>
        <w:top w:val="none" w:sz="0" w:space="0" w:color="auto"/>
        <w:left w:val="none" w:sz="0" w:space="0" w:color="auto"/>
        <w:bottom w:val="none" w:sz="0" w:space="0" w:color="auto"/>
        <w:right w:val="none" w:sz="0" w:space="0" w:color="auto"/>
      </w:divBdr>
    </w:div>
    <w:div w:id="1795829431">
      <w:bodyDiv w:val="1"/>
      <w:marLeft w:val="0"/>
      <w:marRight w:val="0"/>
      <w:marTop w:val="0"/>
      <w:marBottom w:val="0"/>
      <w:divBdr>
        <w:top w:val="none" w:sz="0" w:space="0" w:color="auto"/>
        <w:left w:val="none" w:sz="0" w:space="0" w:color="auto"/>
        <w:bottom w:val="none" w:sz="0" w:space="0" w:color="auto"/>
        <w:right w:val="none" w:sz="0" w:space="0" w:color="auto"/>
      </w:divBdr>
    </w:div>
    <w:div w:id="1808742821">
      <w:bodyDiv w:val="1"/>
      <w:marLeft w:val="0"/>
      <w:marRight w:val="0"/>
      <w:marTop w:val="0"/>
      <w:marBottom w:val="0"/>
      <w:divBdr>
        <w:top w:val="none" w:sz="0" w:space="0" w:color="auto"/>
        <w:left w:val="none" w:sz="0" w:space="0" w:color="auto"/>
        <w:bottom w:val="none" w:sz="0" w:space="0" w:color="auto"/>
        <w:right w:val="none" w:sz="0" w:space="0" w:color="auto"/>
      </w:divBdr>
    </w:div>
    <w:div w:id="1812017983">
      <w:bodyDiv w:val="1"/>
      <w:marLeft w:val="0"/>
      <w:marRight w:val="0"/>
      <w:marTop w:val="0"/>
      <w:marBottom w:val="0"/>
      <w:divBdr>
        <w:top w:val="none" w:sz="0" w:space="0" w:color="auto"/>
        <w:left w:val="none" w:sz="0" w:space="0" w:color="auto"/>
        <w:bottom w:val="none" w:sz="0" w:space="0" w:color="auto"/>
        <w:right w:val="none" w:sz="0" w:space="0" w:color="auto"/>
      </w:divBdr>
    </w:div>
    <w:div w:id="1907109456">
      <w:bodyDiv w:val="1"/>
      <w:marLeft w:val="0"/>
      <w:marRight w:val="0"/>
      <w:marTop w:val="0"/>
      <w:marBottom w:val="0"/>
      <w:divBdr>
        <w:top w:val="none" w:sz="0" w:space="0" w:color="auto"/>
        <w:left w:val="none" w:sz="0" w:space="0" w:color="auto"/>
        <w:bottom w:val="none" w:sz="0" w:space="0" w:color="auto"/>
        <w:right w:val="none" w:sz="0" w:space="0" w:color="auto"/>
      </w:divBdr>
    </w:div>
    <w:div w:id="1912814098">
      <w:bodyDiv w:val="1"/>
      <w:marLeft w:val="0"/>
      <w:marRight w:val="0"/>
      <w:marTop w:val="0"/>
      <w:marBottom w:val="0"/>
      <w:divBdr>
        <w:top w:val="none" w:sz="0" w:space="0" w:color="auto"/>
        <w:left w:val="none" w:sz="0" w:space="0" w:color="auto"/>
        <w:bottom w:val="none" w:sz="0" w:space="0" w:color="auto"/>
        <w:right w:val="none" w:sz="0" w:space="0" w:color="auto"/>
      </w:divBdr>
    </w:div>
    <w:div w:id="1950820470">
      <w:bodyDiv w:val="1"/>
      <w:marLeft w:val="0"/>
      <w:marRight w:val="0"/>
      <w:marTop w:val="0"/>
      <w:marBottom w:val="0"/>
      <w:divBdr>
        <w:top w:val="none" w:sz="0" w:space="0" w:color="auto"/>
        <w:left w:val="none" w:sz="0" w:space="0" w:color="auto"/>
        <w:bottom w:val="none" w:sz="0" w:space="0" w:color="auto"/>
        <w:right w:val="none" w:sz="0" w:space="0" w:color="auto"/>
      </w:divBdr>
    </w:div>
    <w:div w:id="1969772458">
      <w:bodyDiv w:val="1"/>
      <w:marLeft w:val="0"/>
      <w:marRight w:val="0"/>
      <w:marTop w:val="0"/>
      <w:marBottom w:val="0"/>
      <w:divBdr>
        <w:top w:val="none" w:sz="0" w:space="0" w:color="auto"/>
        <w:left w:val="none" w:sz="0" w:space="0" w:color="auto"/>
        <w:bottom w:val="none" w:sz="0" w:space="0" w:color="auto"/>
        <w:right w:val="none" w:sz="0" w:space="0" w:color="auto"/>
      </w:divBdr>
    </w:div>
    <w:div w:id="2039115326">
      <w:bodyDiv w:val="1"/>
      <w:marLeft w:val="0"/>
      <w:marRight w:val="0"/>
      <w:marTop w:val="0"/>
      <w:marBottom w:val="0"/>
      <w:divBdr>
        <w:top w:val="none" w:sz="0" w:space="0" w:color="auto"/>
        <w:left w:val="none" w:sz="0" w:space="0" w:color="auto"/>
        <w:bottom w:val="none" w:sz="0" w:space="0" w:color="auto"/>
        <w:right w:val="none" w:sz="0" w:space="0" w:color="auto"/>
      </w:divBdr>
    </w:div>
    <w:div w:id="2055886693">
      <w:bodyDiv w:val="1"/>
      <w:marLeft w:val="0"/>
      <w:marRight w:val="0"/>
      <w:marTop w:val="0"/>
      <w:marBottom w:val="0"/>
      <w:divBdr>
        <w:top w:val="none" w:sz="0" w:space="0" w:color="auto"/>
        <w:left w:val="none" w:sz="0" w:space="0" w:color="auto"/>
        <w:bottom w:val="none" w:sz="0" w:space="0" w:color="auto"/>
        <w:right w:val="none" w:sz="0" w:space="0" w:color="auto"/>
      </w:divBdr>
    </w:div>
    <w:div w:id="20627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26" Type="http://schemas.openxmlformats.org/officeDocument/2006/relationships/customXml" Target="../customXml/item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25"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theme" Target="theme/theme1.xml"/><Relationship Id="rId23" Type="http://schemas.openxmlformats.org/officeDocument/2006/relationships/customXml" Target="../customXml/item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commentsExtended" Target="commentsExtended.xml"/><Relationship Id="rId27"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www.imf.org/external/pubs/ft/scr/2014/cr1427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0E55C544C39A3142B0047D57FB75883F" ma:contentTypeVersion="0" ma:contentTypeDescription="A content type to manage public (operations) IDB documents" ma:contentTypeScope="" ma:versionID="ca82f8c195b8f183231b3d7a263a9fd6">
  <xsd:schema xmlns:xsd="http://www.w3.org/2001/XMLSchema" xmlns:xs="http://www.w3.org/2001/XMLSchema" xmlns:p="http://schemas.microsoft.com/office/2006/metadata/properties" xmlns:ns2="9c571b2f-e523-4ab2-ba2e-09e151a03ef4" targetNamespace="http://schemas.microsoft.com/office/2006/metadata/properties" ma:root="true" ma:fieldsID="937caba5ef611e13f9a97f1691dd91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dcc9c2e-de7c-4e25-b077-150b0a612304}" ma:internalName="TaxCatchAll" ma:showField="CatchAllData" ma:web="56cfd1fd-a78f-46b0-bb34-6cbdf6c9e9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dcc9c2e-de7c-4e25-b077-150b0a612304}" ma:internalName="TaxCatchAllLabel" ma:readOnly="true" ma:showField="CatchAllDataLabel" ma:web="56cfd1fd-a78f-46b0-bb34-6cbdf6c9e9de">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39270171</IDBDocs_x0020_Number>
    <Document_x0020_Author xmlns="9c571b2f-e523-4ab2-ba2e-09e151a03ef4">King, Dana Michael</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TT-L1042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Proposal&lt;/USER_STAGE&gt;&lt;PD_OBJ_TYPE&gt;0&lt;/PD_OBJ_TYPE&gt;&lt;MAKERECORD&gt;N&lt;/MAKERECORD&gt;&lt;PD_FILEPT_NO&gt;PO-TT-L1042-Anl&lt;/PD_FILEPT_NO&gt;&lt;/Data&gt;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RM-GIP</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8BED8324-EF26-4008-9E93-02F7D4936BA4}"/>
</file>

<file path=customXml/itemProps2.xml><?xml version="1.0" encoding="utf-8"?>
<ds:datastoreItem xmlns:ds="http://schemas.openxmlformats.org/officeDocument/2006/customXml" ds:itemID="{6B632D23-AF2C-4F53-9599-0C27A4F91598}"/>
</file>

<file path=customXml/itemProps3.xml><?xml version="1.0" encoding="utf-8"?>
<ds:datastoreItem xmlns:ds="http://schemas.openxmlformats.org/officeDocument/2006/customXml" ds:itemID="{CF3574D1-3D3D-4CEA-8C99-25B4EE0E6DE9}"/>
</file>

<file path=customXml/itemProps4.xml><?xml version="1.0" encoding="utf-8"?>
<ds:datastoreItem xmlns:ds="http://schemas.openxmlformats.org/officeDocument/2006/customXml" ds:itemID="{67BDDB34-7079-4574-B2F0-4C76D233EB1D}"/>
</file>

<file path=customXml/itemProps5.xml><?xml version="1.0" encoding="utf-8"?>
<ds:datastoreItem xmlns:ds="http://schemas.openxmlformats.org/officeDocument/2006/customXml" ds:itemID="{1B4836E7-F55A-4E60-9BFF-D14FCCB52B56}"/>
</file>

<file path=customXml/itemProps6.xml><?xml version="1.0" encoding="utf-8"?>
<ds:datastoreItem xmlns:ds="http://schemas.openxmlformats.org/officeDocument/2006/customXml" ds:itemID="{A142878B-6FF4-416A-8D38-1FDF8D3F36FF}"/>
</file>

<file path=docProps/app.xml><?xml version="1.0" encoding="utf-8"?>
<Properties xmlns="http://schemas.openxmlformats.org/officeDocument/2006/extended-properties" xmlns:vt="http://schemas.openxmlformats.org/officeDocument/2006/docPropsVTypes">
  <Template>Normal.dotm</Template>
  <TotalTime>21</TotalTime>
  <Pages>12</Pages>
  <Words>2850</Words>
  <Characters>16247</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dc:title>
  <dc:creator>Administrator</dc:creator>
  <cp:lastModifiedBy>Melissa</cp:lastModifiedBy>
  <cp:revision>7</cp:revision>
  <cp:lastPrinted>2015-01-21T22:03:00Z</cp:lastPrinted>
  <dcterms:created xsi:type="dcterms:W3CDTF">2015-02-25T18:13:00Z</dcterms:created>
  <dcterms:modified xsi:type="dcterms:W3CDTF">2015-03-02T18:59:00Z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0x01010046CF21643EE8D14686A648AA6DAD0892000E55C544C39A3142B0047D57FB75883F</vt:lpwstr>
  </property>
  <property fmtid="{D5CDD505-2E9C-101B-9397-08002B2CF9AE}" pid="5" name="TaxKeywordTaxHTField">
    <vt:lpwstr/>
  </property>
  <property fmtid="{D5CDD505-2E9C-101B-9397-08002B2CF9AE}" pid="6" name="Series Operations IDB">
    <vt:lpwstr>5;#Loan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4;#Project Preparation, Planning and Design|29ca0c72-1fc4-435f-a09c-28585cb5eac9</vt:lpwstr>
  </property>
</Properties>
</file>