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71" w:rsidRPr="004411DA" w:rsidRDefault="00CF5271" w:rsidP="00CF5271">
      <w:pPr>
        <w:pStyle w:val="Title"/>
        <w:tabs>
          <w:tab w:val="clear" w:pos="1440"/>
          <w:tab w:val="clear" w:pos="3060"/>
        </w:tabs>
        <w:outlineLvl w:val="9"/>
        <w:rPr>
          <w:smallCaps/>
          <w:sz w:val="28"/>
          <w:szCs w:val="28"/>
        </w:rPr>
      </w:pPr>
      <w:bookmarkStart w:id="0" w:name="_GoBack"/>
      <w:bookmarkEnd w:id="0"/>
      <w:r w:rsidRPr="004411DA">
        <w:rPr>
          <w:smallCaps/>
          <w:sz w:val="28"/>
          <w:szCs w:val="28"/>
        </w:rPr>
        <w:t>Document of the Inter-American Development Bank</w:t>
      </w:r>
    </w:p>
    <w:p w:rsidR="00CF5271" w:rsidRDefault="00CF5271" w:rsidP="00CF5271">
      <w:pPr>
        <w:pStyle w:val="ListParagraph"/>
        <w:spacing w:before="120" w:after="0" w:line="360" w:lineRule="auto"/>
        <w:ind w:left="0"/>
        <w:jc w:val="center"/>
        <w:rPr>
          <w:b/>
          <w:sz w:val="28"/>
          <w:szCs w:val="28"/>
        </w:rPr>
      </w:pPr>
    </w:p>
    <w:p w:rsidR="004411DA" w:rsidRDefault="004411DA" w:rsidP="00CF5271">
      <w:pPr>
        <w:pStyle w:val="ListParagraph"/>
        <w:spacing w:before="120" w:after="0" w:line="360" w:lineRule="auto"/>
        <w:ind w:left="0"/>
        <w:jc w:val="center"/>
        <w:rPr>
          <w:b/>
          <w:sz w:val="28"/>
          <w:szCs w:val="28"/>
        </w:rPr>
      </w:pPr>
    </w:p>
    <w:p w:rsidR="004411DA" w:rsidRPr="004411DA" w:rsidRDefault="004411DA" w:rsidP="00CF5271">
      <w:pPr>
        <w:pStyle w:val="ListParagraph"/>
        <w:spacing w:before="120" w:after="0" w:line="360" w:lineRule="auto"/>
        <w:ind w:left="0"/>
        <w:jc w:val="center"/>
        <w:rPr>
          <w:b/>
          <w:sz w:val="28"/>
          <w:szCs w:val="28"/>
        </w:rPr>
      </w:pPr>
    </w:p>
    <w:p w:rsidR="00CF5271" w:rsidRPr="004411DA" w:rsidRDefault="00CF5271" w:rsidP="00CF5271">
      <w:pPr>
        <w:tabs>
          <w:tab w:val="left" w:pos="1440"/>
          <w:tab w:val="left" w:pos="3060"/>
        </w:tabs>
        <w:jc w:val="center"/>
        <w:rPr>
          <w:b/>
          <w:smallCaps/>
          <w:sz w:val="28"/>
          <w:szCs w:val="28"/>
        </w:rPr>
      </w:pPr>
    </w:p>
    <w:p w:rsidR="00CF5271" w:rsidRPr="004411DA" w:rsidRDefault="00CF5271" w:rsidP="00CF5271">
      <w:pPr>
        <w:tabs>
          <w:tab w:val="left" w:pos="1440"/>
          <w:tab w:val="left" w:pos="3060"/>
        </w:tabs>
        <w:jc w:val="center"/>
        <w:rPr>
          <w:b/>
          <w:smallCaps/>
          <w:sz w:val="28"/>
          <w:szCs w:val="28"/>
        </w:rPr>
      </w:pPr>
    </w:p>
    <w:p w:rsidR="00CF5271" w:rsidRPr="004411DA" w:rsidRDefault="009A1C11" w:rsidP="00CF5271">
      <w:pPr>
        <w:tabs>
          <w:tab w:val="left" w:pos="1440"/>
          <w:tab w:val="left" w:pos="3060"/>
        </w:tabs>
        <w:jc w:val="center"/>
        <w:rPr>
          <w:b/>
          <w:smallCaps/>
          <w:sz w:val="28"/>
          <w:szCs w:val="28"/>
          <w:highlight w:val="lightGray"/>
          <w:lang w:val="fr-FR"/>
        </w:rPr>
      </w:pPr>
      <w:r w:rsidRPr="004411DA">
        <w:rPr>
          <w:b/>
          <w:smallCaps/>
          <w:sz w:val="28"/>
          <w:szCs w:val="28"/>
          <w:highlight w:val="lightGray"/>
          <w:lang w:val="fr-FR"/>
        </w:rPr>
        <w:t>Haiti</w:t>
      </w:r>
    </w:p>
    <w:p w:rsidR="00CF5271" w:rsidRPr="004411DA" w:rsidRDefault="00CF5271" w:rsidP="00CF5271">
      <w:pPr>
        <w:tabs>
          <w:tab w:val="left" w:pos="1440"/>
          <w:tab w:val="left" w:pos="3060"/>
        </w:tabs>
        <w:jc w:val="center"/>
        <w:rPr>
          <w:b/>
          <w:smallCaps/>
          <w:sz w:val="28"/>
          <w:szCs w:val="28"/>
          <w:highlight w:val="lightGray"/>
          <w:lang w:val="fr-FR"/>
        </w:rPr>
      </w:pPr>
    </w:p>
    <w:p w:rsidR="00CF5271" w:rsidRDefault="00CF5271" w:rsidP="00CF5271">
      <w:pPr>
        <w:tabs>
          <w:tab w:val="left" w:pos="1440"/>
          <w:tab w:val="left" w:pos="3060"/>
        </w:tabs>
        <w:jc w:val="center"/>
        <w:rPr>
          <w:b/>
          <w:smallCaps/>
          <w:sz w:val="28"/>
          <w:szCs w:val="28"/>
          <w:highlight w:val="lightGray"/>
          <w:lang w:val="fr-FR"/>
        </w:rPr>
      </w:pPr>
    </w:p>
    <w:p w:rsidR="004411DA" w:rsidRDefault="004411DA" w:rsidP="00CF5271">
      <w:pPr>
        <w:tabs>
          <w:tab w:val="left" w:pos="1440"/>
          <w:tab w:val="left" w:pos="3060"/>
        </w:tabs>
        <w:jc w:val="center"/>
        <w:rPr>
          <w:b/>
          <w:smallCaps/>
          <w:sz w:val="28"/>
          <w:szCs w:val="28"/>
          <w:highlight w:val="lightGray"/>
          <w:lang w:val="fr-FR"/>
        </w:rPr>
      </w:pPr>
    </w:p>
    <w:p w:rsidR="004411DA" w:rsidRPr="004411DA" w:rsidRDefault="004411DA" w:rsidP="00CF5271">
      <w:pPr>
        <w:tabs>
          <w:tab w:val="left" w:pos="1440"/>
          <w:tab w:val="left" w:pos="3060"/>
        </w:tabs>
        <w:jc w:val="center"/>
        <w:rPr>
          <w:b/>
          <w:smallCaps/>
          <w:sz w:val="28"/>
          <w:szCs w:val="28"/>
          <w:highlight w:val="lightGray"/>
          <w:lang w:val="fr-FR"/>
        </w:rPr>
      </w:pPr>
    </w:p>
    <w:p w:rsidR="00CF5271" w:rsidRDefault="009A1C11" w:rsidP="00CF5271">
      <w:pPr>
        <w:tabs>
          <w:tab w:val="left" w:pos="1440"/>
          <w:tab w:val="left" w:pos="3060"/>
        </w:tabs>
        <w:jc w:val="center"/>
        <w:rPr>
          <w:b/>
          <w:smallCaps/>
          <w:sz w:val="28"/>
          <w:szCs w:val="28"/>
          <w:highlight w:val="lightGray"/>
          <w:lang w:val="fr-FR"/>
        </w:rPr>
      </w:pPr>
      <w:r w:rsidRPr="004411DA">
        <w:rPr>
          <w:b/>
          <w:smallCaps/>
          <w:sz w:val="28"/>
          <w:szCs w:val="28"/>
          <w:highlight w:val="lightGray"/>
          <w:lang w:val="fr-FR"/>
        </w:rPr>
        <w:t>Productive Infrastructure Program III</w:t>
      </w:r>
    </w:p>
    <w:p w:rsidR="004411DA" w:rsidRPr="004411DA" w:rsidRDefault="004411DA" w:rsidP="00CF5271">
      <w:pPr>
        <w:tabs>
          <w:tab w:val="left" w:pos="1440"/>
          <w:tab w:val="left" w:pos="3060"/>
        </w:tabs>
        <w:jc w:val="center"/>
        <w:rPr>
          <w:b/>
          <w:smallCaps/>
          <w:sz w:val="28"/>
          <w:szCs w:val="28"/>
          <w:highlight w:val="lightGray"/>
          <w:lang w:val="fr-FR"/>
        </w:rPr>
      </w:pPr>
    </w:p>
    <w:p w:rsidR="00CF5271" w:rsidRPr="004411DA" w:rsidRDefault="00CF5271" w:rsidP="00CF5271">
      <w:pPr>
        <w:tabs>
          <w:tab w:val="left" w:pos="1440"/>
          <w:tab w:val="left" w:pos="3060"/>
        </w:tabs>
        <w:jc w:val="center"/>
        <w:rPr>
          <w:b/>
          <w:smallCaps/>
          <w:sz w:val="28"/>
          <w:szCs w:val="28"/>
          <w:lang w:val="fr-FR"/>
        </w:rPr>
      </w:pPr>
      <w:r w:rsidRPr="004411DA">
        <w:rPr>
          <w:b/>
          <w:smallCaps/>
          <w:sz w:val="28"/>
          <w:szCs w:val="28"/>
          <w:highlight w:val="lightGray"/>
          <w:lang w:val="fr-FR"/>
        </w:rPr>
        <w:t>(</w:t>
      </w:r>
      <w:r w:rsidR="009A1C11" w:rsidRPr="004411DA">
        <w:rPr>
          <w:b/>
          <w:smallCaps/>
          <w:sz w:val="28"/>
          <w:szCs w:val="28"/>
          <w:highlight w:val="lightGray"/>
          <w:lang w:val="fr-FR"/>
        </w:rPr>
        <w:t>HA-L1091</w:t>
      </w:r>
      <w:r w:rsidR="00446A8E">
        <w:rPr>
          <w:b/>
          <w:smallCaps/>
          <w:sz w:val="28"/>
          <w:szCs w:val="28"/>
          <w:highlight w:val="lightGray"/>
          <w:lang w:val="fr-FR"/>
        </w:rPr>
        <w:t>/HA-X1036</w:t>
      </w:r>
      <w:r w:rsidRPr="004411DA">
        <w:rPr>
          <w:b/>
          <w:smallCaps/>
          <w:sz w:val="28"/>
          <w:szCs w:val="28"/>
          <w:highlight w:val="lightGray"/>
          <w:lang w:val="fr-FR"/>
        </w:rPr>
        <w:t>)</w:t>
      </w:r>
    </w:p>
    <w:p w:rsidR="00CF5271" w:rsidRDefault="00CF5271" w:rsidP="00CF5271">
      <w:pPr>
        <w:tabs>
          <w:tab w:val="left" w:pos="1440"/>
          <w:tab w:val="left" w:pos="3060"/>
        </w:tabs>
        <w:jc w:val="center"/>
        <w:rPr>
          <w:smallCaps/>
          <w:sz w:val="28"/>
          <w:szCs w:val="28"/>
          <w:lang w:val="fr-FR"/>
        </w:rPr>
      </w:pPr>
    </w:p>
    <w:p w:rsidR="004411DA" w:rsidRDefault="004411DA" w:rsidP="00CF5271">
      <w:pPr>
        <w:tabs>
          <w:tab w:val="left" w:pos="1440"/>
          <w:tab w:val="left" w:pos="3060"/>
        </w:tabs>
        <w:jc w:val="center"/>
        <w:rPr>
          <w:smallCaps/>
          <w:sz w:val="28"/>
          <w:szCs w:val="28"/>
          <w:lang w:val="fr-FR"/>
        </w:rPr>
      </w:pPr>
    </w:p>
    <w:p w:rsidR="004411DA" w:rsidRDefault="004411DA" w:rsidP="00CF5271">
      <w:pPr>
        <w:tabs>
          <w:tab w:val="left" w:pos="1440"/>
          <w:tab w:val="left" w:pos="3060"/>
        </w:tabs>
        <w:jc w:val="center"/>
        <w:rPr>
          <w:smallCaps/>
          <w:sz w:val="28"/>
          <w:szCs w:val="28"/>
          <w:lang w:val="fr-FR"/>
        </w:rPr>
      </w:pPr>
    </w:p>
    <w:p w:rsidR="004411DA" w:rsidRPr="004411DA" w:rsidRDefault="004411DA" w:rsidP="00CF5271">
      <w:pPr>
        <w:tabs>
          <w:tab w:val="left" w:pos="1440"/>
          <w:tab w:val="left" w:pos="3060"/>
        </w:tabs>
        <w:jc w:val="center"/>
        <w:rPr>
          <w:smallCaps/>
          <w:sz w:val="28"/>
          <w:szCs w:val="28"/>
          <w:lang w:val="fr-FR"/>
        </w:rPr>
      </w:pPr>
    </w:p>
    <w:p w:rsidR="00CF5271" w:rsidRPr="004411DA" w:rsidRDefault="00CF5271" w:rsidP="00CF5271">
      <w:pPr>
        <w:tabs>
          <w:tab w:val="left" w:pos="1440"/>
          <w:tab w:val="left" w:pos="3060"/>
        </w:tabs>
        <w:jc w:val="center"/>
        <w:outlineLvl w:val="0"/>
        <w:rPr>
          <w:b/>
          <w:smallCaps/>
          <w:sz w:val="28"/>
          <w:szCs w:val="28"/>
        </w:rPr>
      </w:pPr>
      <w:r w:rsidRPr="004411DA">
        <w:rPr>
          <w:b/>
          <w:smallCaps/>
          <w:sz w:val="28"/>
          <w:szCs w:val="28"/>
        </w:rPr>
        <w:t>Economic Analysis Annex</w:t>
      </w:r>
    </w:p>
    <w:p w:rsidR="00CF5271" w:rsidRPr="00C60591" w:rsidRDefault="00CF5271" w:rsidP="00CF5271">
      <w:pPr>
        <w:pStyle w:val="ListParagraph"/>
        <w:spacing w:before="120" w:after="0" w:line="360" w:lineRule="auto"/>
        <w:ind w:left="1080"/>
        <w:jc w:val="center"/>
        <w:rPr>
          <w:b/>
        </w:rPr>
      </w:pPr>
    </w:p>
    <w:p w:rsidR="00CF5271" w:rsidRPr="00C60591" w:rsidRDefault="00CF5271" w:rsidP="00CF5271">
      <w:pPr>
        <w:pStyle w:val="ListParagraph"/>
        <w:spacing w:before="120" w:after="0" w:line="360" w:lineRule="auto"/>
        <w:ind w:left="1080"/>
        <w:jc w:val="center"/>
        <w:rPr>
          <w:b/>
        </w:rPr>
      </w:pPr>
    </w:p>
    <w:p w:rsidR="00CF5271" w:rsidRPr="00C60591" w:rsidRDefault="00CF5271" w:rsidP="00CF5271">
      <w:pPr>
        <w:pStyle w:val="ListParagraph"/>
        <w:spacing w:before="120" w:after="0" w:line="360" w:lineRule="auto"/>
        <w:ind w:left="1080"/>
        <w:jc w:val="center"/>
        <w:rPr>
          <w:b/>
        </w:rPr>
      </w:pPr>
    </w:p>
    <w:p w:rsidR="00CF5271" w:rsidRPr="00C60591" w:rsidRDefault="00CF5271" w:rsidP="00CF5271">
      <w:pPr>
        <w:pStyle w:val="ListParagraph"/>
        <w:spacing w:before="120" w:after="0" w:line="360" w:lineRule="auto"/>
        <w:ind w:left="1080"/>
        <w:jc w:val="center"/>
        <w:rPr>
          <w:b/>
        </w:rPr>
      </w:pPr>
    </w:p>
    <w:p w:rsidR="00CF5271" w:rsidRPr="00DA03C6" w:rsidRDefault="003541EC" w:rsidP="003541EC">
      <w:pPr>
        <w:pStyle w:val="TOC3"/>
      </w:pPr>
      <w:r>
        <w:rPr>
          <w:b/>
        </w:rPr>
        <w:br w:type="page"/>
      </w:r>
    </w:p>
    <w:p w:rsidR="00CF5271" w:rsidRPr="00DA03C6" w:rsidRDefault="001C3DCA" w:rsidP="00637A31">
      <w:pPr>
        <w:numPr>
          <w:ilvl w:val="0"/>
          <w:numId w:val="5"/>
        </w:numPr>
        <w:spacing w:before="360"/>
        <w:rPr>
          <w:b/>
        </w:rPr>
      </w:pPr>
      <w:r>
        <w:rPr>
          <w:b/>
        </w:rPr>
        <w:lastRenderedPageBreak/>
        <w:t>Introduction</w:t>
      </w:r>
    </w:p>
    <w:p w:rsidR="00CF5271" w:rsidRDefault="00CF5271" w:rsidP="00A21C7A">
      <w:r w:rsidRPr="00D5312B">
        <w:t xml:space="preserve">This </w:t>
      </w:r>
      <w:r w:rsidR="00A21C7A">
        <w:t xml:space="preserve">report provides an economic evaluation of the </w:t>
      </w:r>
      <w:r w:rsidR="00D528FF">
        <w:t xml:space="preserve"> fourth operation of</w:t>
      </w:r>
      <w:r w:rsidR="00A21C7A">
        <w:t xml:space="preserve"> the Caracol </w:t>
      </w:r>
      <w:r w:rsidR="00EB440D">
        <w:t xml:space="preserve">Industrial Park </w:t>
      </w:r>
      <w:r w:rsidR="00A21C7A">
        <w:t>(“PIC” as its acronym in French). The economic viability of th</w:t>
      </w:r>
      <w:r w:rsidR="00D528FF">
        <w:t>is operation</w:t>
      </w:r>
      <w:r w:rsidR="00A21C7A">
        <w:t xml:space="preserve"> is assessed through a </w:t>
      </w:r>
      <w:r w:rsidRPr="00DA03C6">
        <w:t>Cost-Benefit Analysis.</w:t>
      </w:r>
    </w:p>
    <w:p w:rsidR="0013043C" w:rsidRDefault="00A21C7A" w:rsidP="00A21C7A">
      <w:r>
        <w:t xml:space="preserve">After the January 2010 earthquake, </w:t>
      </w:r>
      <w:r w:rsidR="0013043C">
        <w:t>the Government of Haiti (GoH) designed a National Recovery Action Plan, primarily based on a Regional Growth Pole Strategy; in order to decrease economic and financial concentration in Port-au-Prince, the capital severally damaged by the earthquake. As part of this strategy, the Northern Region was identified as a Pole to build productive infrastructures, to develop the industr</w:t>
      </w:r>
      <w:r w:rsidR="00790B2C">
        <w:t>ial</w:t>
      </w:r>
      <w:r w:rsidR="0013043C">
        <w:t>, agricultur</w:t>
      </w:r>
      <w:r w:rsidR="00790B2C">
        <w:t>al</w:t>
      </w:r>
      <w:r w:rsidR="0013043C">
        <w:t>, agribusiness and</w:t>
      </w:r>
      <w:r w:rsidR="0013043C" w:rsidRPr="0013043C">
        <w:t xml:space="preserve"> tourism </w:t>
      </w:r>
      <w:r w:rsidR="0013043C">
        <w:t xml:space="preserve">sectors </w:t>
      </w:r>
      <w:r w:rsidR="0013043C" w:rsidRPr="0013043C">
        <w:t xml:space="preserve">and </w:t>
      </w:r>
      <w:r w:rsidR="0013043C">
        <w:t xml:space="preserve">promote </w:t>
      </w:r>
      <w:r w:rsidR="0013043C" w:rsidRPr="0013043C">
        <w:t>private sector development.</w:t>
      </w:r>
      <w:r w:rsidR="0013043C">
        <w:t xml:space="preserve"> The Caracol Industrial Park is the biggest infrastructure project developed within this program.</w:t>
      </w:r>
    </w:p>
    <w:p w:rsidR="00090118" w:rsidRDefault="00EB440D" w:rsidP="00EB440D">
      <w:r>
        <w:t>The</w:t>
      </w:r>
      <w:r w:rsidRPr="00EB440D">
        <w:t xml:space="preserve"> objective </w:t>
      </w:r>
      <w:r>
        <w:t>of Caracol Industrial Park project is to</w:t>
      </w:r>
      <w:r w:rsidRPr="00EB440D">
        <w:t xml:space="preserve"> contribut</w:t>
      </w:r>
      <w:r>
        <w:t>e</w:t>
      </w:r>
      <w:r w:rsidRPr="00EB440D">
        <w:t xml:space="preserve"> to the socioeconomic development of Northern Haiti by creating conditions for the establishment of manufacturing firms </w:t>
      </w:r>
      <w:r>
        <w:t>in the Caracol Industrial Park</w:t>
      </w:r>
      <w:r w:rsidRPr="00EB440D">
        <w:t xml:space="preserve"> and thus generating employment opportunities for the local population. </w:t>
      </w:r>
      <w:r>
        <w:t>The primary benefits of the park will be quantified through the salary paid to</w:t>
      </w:r>
      <w:r w:rsidR="001C731B">
        <w:t xml:space="preserve"> the additional</w:t>
      </w:r>
      <w:r>
        <w:t xml:space="preserve"> </w:t>
      </w:r>
      <w:r w:rsidR="001C731B">
        <w:t xml:space="preserve">employment generated by this project. </w:t>
      </w:r>
      <w:r w:rsidR="00090118">
        <w:t>Prior to investing in the PIC, a study on the Development of the Industrial Park Model to Improve Trade was conducted by Koios. In this study, alternative locations were studied and the Northern Region of Haiti was identified as the most attractive, given (a) the vast amount of available land; (b) the proximity to the Dominican Republic and Cap-Haitien international port and airport, Haiti closest transport facilities to the United States; (c) abundant water resources; and (d) large pool of potential workers.</w:t>
      </w:r>
    </w:p>
    <w:p w:rsidR="00CF5271" w:rsidRDefault="00CF5271" w:rsidP="00637A31">
      <w:pPr>
        <w:numPr>
          <w:ilvl w:val="0"/>
          <w:numId w:val="5"/>
        </w:numPr>
        <w:spacing w:before="360"/>
        <w:rPr>
          <w:b/>
        </w:rPr>
      </w:pPr>
      <w:r w:rsidRPr="006F5B22">
        <w:rPr>
          <w:b/>
        </w:rPr>
        <w:t>Assumptions</w:t>
      </w:r>
      <w:r>
        <w:rPr>
          <w:b/>
        </w:rPr>
        <w:t xml:space="preserve"> and Methodology</w:t>
      </w:r>
    </w:p>
    <w:p w:rsidR="00CF5271" w:rsidRDefault="009A1C11" w:rsidP="00CF5271">
      <w:r>
        <w:t xml:space="preserve">This cost benefit analysis was conducted on the </w:t>
      </w:r>
      <w:r w:rsidR="00D528FF">
        <w:t xml:space="preserve">fourth </w:t>
      </w:r>
      <w:r>
        <w:t xml:space="preserve">investment grant operation </w:t>
      </w:r>
      <w:r w:rsidR="00D528FF">
        <w:t xml:space="preserve">to be </w:t>
      </w:r>
      <w:r>
        <w:t>financed by IDB</w:t>
      </w:r>
      <w:r w:rsidR="00564329">
        <w:t xml:space="preserve"> for the Caracol Industrial Park</w:t>
      </w:r>
      <w:r>
        <w:t>. The alternatives considered are with or without</w:t>
      </w:r>
      <w:r w:rsidR="00A66A78">
        <w:t xml:space="preserve"> th</w:t>
      </w:r>
      <w:r w:rsidR="00D528FF">
        <w:t>is</w:t>
      </w:r>
      <w:r w:rsidR="00A66A78">
        <w:t xml:space="preserve"> </w:t>
      </w:r>
      <w:r w:rsidR="00D528FF">
        <w:t>operation</w:t>
      </w:r>
      <w:r w:rsidR="00A66A78">
        <w:t>.</w:t>
      </w:r>
      <w:r w:rsidR="00790B2C">
        <w:t xml:space="preserve">  Only the benefits and costs </w:t>
      </w:r>
      <w:r w:rsidR="001C731B">
        <w:t xml:space="preserve">generated by this project </w:t>
      </w:r>
      <w:r w:rsidR="00790B2C">
        <w:t>are considered.</w:t>
      </w:r>
    </w:p>
    <w:p w:rsidR="00A66A78" w:rsidRDefault="00A66A78" w:rsidP="00A66A78">
      <w:r>
        <w:t xml:space="preserve">The methodology used </w:t>
      </w:r>
      <w:r w:rsidRPr="00A66A78">
        <w:t>follows the Jayanthakumaran’s (2003) framework on the Export Processing Zones (EPZs).</w:t>
      </w:r>
      <w:r w:rsidR="00BD1FF5">
        <w:rPr>
          <w:rStyle w:val="FootnoteReference"/>
        </w:rPr>
        <w:footnoteReference w:id="1"/>
      </w:r>
      <w:r w:rsidRPr="00A66A78">
        <w:t xml:space="preserve"> Under this approach, the benefits and c</w:t>
      </w:r>
      <w:r>
        <w:t>osts are calculated as follows:</w:t>
      </w:r>
    </w:p>
    <w:p w:rsidR="00A66A78" w:rsidRDefault="00A66A78" w:rsidP="00A66A78">
      <w:pPr>
        <w:numPr>
          <w:ilvl w:val="0"/>
          <w:numId w:val="15"/>
        </w:numPr>
      </w:pPr>
      <w:r>
        <w:t>Expected benefits:</w:t>
      </w:r>
    </w:p>
    <w:p w:rsidR="00A66A78" w:rsidRDefault="00A66A78" w:rsidP="00A66A78">
      <w:pPr>
        <w:numPr>
          <w:ilvl w:val="1"/>
          <w:numId w:val="15"/>
        </w:numPr>
      </w:pPr>
      <w:r w:rsidRPr="00A66A78">
        <w:t>The difference between wages paid to local labor (MWR) and the shadow wage (SWR);</w:t>
      </w:r>
    </w:p>
    <w:p w:rsidR="00A66A78" w:rsidRDefault="00A66A78" w:rsidP="00A66A78">
      <w:pPr>
        <w:numPr>
          <w:ilvl w:val="1"/>
          <w:numId w:val="15"/>
        </w:numPr>
      </w:pPr>
      <w:r w:rsidRPr="00A66A78">
        <w:t xml:space="preserve">The difference between payments by </w:t>
      </w:r>
      <w:r w:rsidR="00790B2C">
        <w:t xml:space="preserve">foreign </w:t>
      </w:r>
      <w:r w:rsidRPr="00A66A78">
        <w:t>firms for public utilities and locally purchased inputs (LP) and the opportunity cost of these public utilities and locally purchased inputs (MSC)</w:t>
      </w:r>
    </w:p>
    <w:p w:rsidR="00A66A78" w:rsidRDefault="00A66A78" w:rsidP="00A66A78">
      <w:pPr>
        <w:numPr>
          <w:ilvl w:val="1"/>
          <w:numId w:val="15"/>
        </w:numPr>
      </w:pPr>
      <w:r w:rsidRPr="00A66A78">
        <w:lastRenderedPageBreak/>
        <w:t xml:space="preserve">All tax payments by </w:t>
      </w:r>
      <w:r w:rsidR="00BD1FF5">
        <w:t xml:space="preserve">foreign </w:t>
      </w:r>
      <w:r w:rsidRPr="00A66A78">
        <w:t>firms (TAX), and</w:t>
      </w:r>
    </w:p>
    <w:p w:rsidR="00A66A78" w:rsidRDefault="00A66A78" w:rsidP="00A66A78">
      <w:pPr>
        <w:numPr>
          <w:ilvl w:val="1"/>
          <w:numId w:val="15"/>
        </w:numPr>
      </w:pPr>
      <w:r w:rsidRPr="00A66A78">
        <w:t>Net profit income that goes to local equity shareholders in the EPZ firms (NP).</w:t>
      </w:r>
    </w:p>
    <w:p w:rsidR="00A66A78" w:rsidRDefault="00A66A78" w:rsidP="00A66A78">
      <w:pPr>
        <w:numPr>
          <w:ilvl w:val="0"/>
          <w:numId w:val="15"/>
        </w:numPr>
      </w:pPr>
      <w:r w:rsidRPr="00A66A78">
        <w:t>Expected costs:</w:t>
      </w:r>
    </w:p>
    <w:p w:rsidR="00A66A78" w:rsidRDefault="00A66A78" w:rsidP="00A66A78">
      <w:pPr>
        <w:numPr>
          <w:ilvl w:val="1"/>
          <w:numId w:val="15"/>
        </w:numPr>
      </w:pPr>
      <w:r>
        <w:t>C</w:t>
      </w:r>
      <w:r w:rsidRPr="00A66A78">
        <w:t>apital infrastructure cost (CAP) of the establishment of the EPZs; and</w:t>
      </w:r>
    </w:p>
    <w:p w:rsidR="00A66A78" w:rsidRPr="00A66A78" w:rsidRDefault="00A66A78" w:rsidP="00A66A78">
      <w:pPr>
        <w:numPr>
          <w:ilvl w:val="1"/>
          <w:numId w:val="15"/>
        </w:numPr>
      </w:pPr>
      <w:r>
        <w:t>A</w:t>
      </w:r>
      <w:r w:rsidRPr="00A66A78">
        <w:t>dministrative expenditure fo</w:t>
      </w:r>
      <w:r>
        <w:t xml:space="preserve">r the zone operation </w:t>
      </w:r>
      <w:r w:rsidRPr="00A66A78">
        <w:t>(ADM).</w:t>
      </w:r>
    </w:p>
    <w:p w:rsidR="00A66A78" w:rsidRPr="00A66A78" w:rsidRDefault="00A66A78" w:rsidP="00A66A78">
      <w:r w:rsidRPr="00A66A78">
        <w:t>Thus, an economic net benefit-cost position in any year may be expressed for year t as:</w:t>
      </w:r>
    </w:p>
    <w:p w:rsidR="000B5A41" w:rsidRDefault="00A66A78" w:rsidP="000B5A41">
      <w:pPr>
        <w:jc w:val="center"/>
        <w:rPr>
          <w:vertAlign w:val="subscript"/>
        </w:rPr>
      </w:pPr>
      <w:r w:rsidRPr="00A66A78">
        <w:t>NBC</w:t>
      </w:r>
      <w:r w:rsidRPr="00A66A78">
        <w:rPr>
          <w:vertAlign w:val="subscript"/>
        </w:rPr>
        <w:t>t</w:t>
      </w:r>
      <w:r w:rsidRPr="00A66A78">
        <w:t xml:space="preserve"> = (MWR – SWR)</w:t>
      </w:r>
      <w:r w:rsidRPr="00A66A78">
        <w:rPr>
          <w:vertAlign w:val="subscript"/>
        </w:rPr>
        <w:t>t</w:t>
      </w:r>
      <w:r w:rsidRPr="00A66A78">
        <w:t>L + (LP-MSC)</w:t>
      </w:r>
      <w:r w:rsidRPr="00A66A78">
        <w:rPr>
          <w:vertAlign w:val="subscript"/>
        </w:rPr>
        <w:t>t</w:t>
      </w:r>
      <w:r w:rsidRPr="00A66A78">
        <w:t>Q + TAX</w:t>
      </w:r>
      <w:r w:rsidRPr="00A66A78">
        <w:rPr>
          <w:vertAlign w:val="subscript"/>
        </w:rPr>
        <w:t>t</w:t>
      </w:r>
      <w:r w:rsidRPr="00A66A78">
        <w:t xml:space="preserve"> + NP</w:t>
      </w:r>
      <w:r w:rsidRPr="00A66A78">
        <w:rPr>
          <w:vertAlign w:val="subscript"/>
        </w:rPr>
        <w:t>t</w:t>
      </w:r>
      <w:r w:rsidRPr="00A66A78">
        <w:t xml:space="preserve"> – CAP</w:t>
      </w:r>
      <w:r w:rsidRPr="00A66A78">
        <w:rPr>
          <w:vertAlign w:val="subscript"/>
        </w:rPr>
        <w:t>t</w:t>
      </w:r>
      <w:r w:rsidRPr="00A66A78">
        <w:t xml:space="preserve"> – ADM</w:t>
      </w:r>
      <w:r w:rsidRPr="00A66A78">
        <w:rPr>
          <w:vertAlign w:val="subscript"/>
        </w:rPr>
        <w:t>t</w:t>
      </w:r>
    </w:p>
    <w:p w:rsidR="00A66A78" w:rsidRDefault="00D528FF" w:rsidP="000B5A41">
      <w:r>
        <w:t xml:space="preserve">The </w:t>
      </w:r>
      <w:r w:rsidRPr="00D528FF">
        <w:t>Jayanthakumaran’s (2003) framework on the Export Processing Zones</w:t>
      </w:r>
      <w:r>
        <w:t xml:space="preserve"> recommends </w:t>
      </w:r>
      <w:r w:rsidR="00790B2C">
        <w:t>evaluating</w:t>
      </w:r>
      <w:r>
        <w:t xml:space="preserve"> this type of project in average over 20 years.</w:t>
      </w:r>
    </w:p>
    <w:p w:rsidR="00C144C8" w:rsidRDefault="00C144C8" w:rsidP="000B5A41">
      <w:r>
        <w:t>The Economic Rate of Return (ERR) and Net Present Value (NPV) are calculated as follows:</w:t>
      </w:r>
    </w:p>
    <w:p w:rsidR="00C144C8" w:rsidRPr="00742E3B" w:rsidRDefault="00D11156" w:rsidP="000B5A41">
      <w:pPr>
        <w:rPr>
          <w:vertAlign w:val="subscript"/>
        </w:rPr>
      </w:pPr>
      <m:oMathPara>
        <m:oMath>
          <m:nary>
            <m:naryPr>
              <m:chr m:val="∑"/>
              <m:grow m:val="1"/>
              <m:ctrlPr>
                <w:rPr>
                  <w:rFonts w:ascii="Cambria Math" w:hAnsi="Cambria Math"/>
                  <w:vertAlign w:val="subscript"/>
                </w:rPr>
              </m:ctrlPr>
            </m:naryPr>
            <m:sub>
              <m:r>
                <w:rPr>
                  <w:rFonts w:ascii="Cambria Math" w:eastAsia="Cambria Math" w:hAnsi="Cambria Math" w:cs="Cambria Math"/>
                  <w:vertAlign w:val="subscript"/>
                </w:rPr>
                <m:t>t=2015</m:t>
              </m:r>
            </m:sub>
            <m:sup>
              <m:r>
                <w:rPr>
                  <w:rFonts w:ascii="Cambria Math" w:eastAsia="Cambria Math" w:hAnsi="Cambria Math" w:cs="Cambria Math"/>
                  <w:vertAlign w:val="subscript"/>
                </w:rPr>
                <m:t>2034</m:t>
              </m:r>
            </m:sup>
            <m:e>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NBC</m:t>
                      </m:r>
                    </m:e>
                    <m:sub>
                      <m:r>
                        <w:rPr>
                          <w:rFonts w:ascii="Cambria Math" w:hAnsi="Cambria Math"/>
                          <w:vertAlign w:val="subscript"/>
                        </w:rPr>
                        <m:t>t</m:t>
                      </m:r>
                    </m:sub>
                  </m:sSub>
                </m:num>
                <m:den>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1+ERR</m:t>
                          </m:r>
                        </m:e>
                      </m:d>
                    </m:e>
                    <m:sup>
                      <m:r>
                        <w:rPr>
                          <w:rFonts w:ascii="Cambria Math" w:hAnsi="Cambria Math"/>
                          <w:vertAlign w:val="subscript"/>
                        </w:rPr>
                        <m:t>t-2015</m:t>
                      </m:r>
                    </m:sup>
                  </m:sSup>
                </m:den>
              </m:f>
            </m:e>
          </m:nary>
          <m:r>
            <w:rPr>
              <w:rFonts w:ascii="Cambria Math" w:hAnsi="Cambria Math"/>
              <w:vertAlign w:val="subscript"/>
            </w:rPr>
            <m:t>=0</m:t>
          </m:r>
        </m:oMath>
      </m:oMathPara>
    </w:p>
    <w:p w:rsidR="004A0C8C" w:rsidRDefault="004A0C8C" w:rsidP="004A0C8C">
      <w:pPr>
        <w:jc w:val="center"/>
        <w:rPr>
          <w:vertAlign w:val="subscript"/>
        </w:rPr>
      </w:pPr>
      <m:oMath>
        <m:r>
          <w:rPr>
            <w:rFonts w:ascii="Cambria Math" w:hAnsi="Cambria Math"/>
            <w:vertAlign w:val="subscript"/>
          </w:rPr>
          <m:t>NPV=</m:t>
        </m:r>
        <m:nary>
          <m:naryPr>
            <m:chr m:val="∑"/>
            <m:grow m:val="1"/>
            <m:ctrlPr>
              <w:rPr>
                <w:rFonts w:ascii="Cambria Math" w:hAnsi="Cambria Math"/>
                <w:vertAlign w:val="subscript"/>
              </w:rPr>
            </m:ctrlPr>
          </m:naryPr>
          <m:sub>
            <m:r>
              <w:rPr>
                <w:rFonts w:ascii="Cambria Math" w:eastAsia="Cambria Math" w:hAnsi="Cambria Math" w:cs="Cambria Math"/>
                <w:vertAlign w:val="subscript"/>
              </w:rPr>
              <m:t>t=2015</m:t>
            </m:r>
          </m:sub>
          <m:sup>
            <m:r>
              <w:rPr>
                <w:rFonts w:ascii="Cambria Math" w:eastAsia="Cambria Math" w:hAnsi="Cambria Math" w:cs="Cambria Math"/>
                <w:vertAlign w:val="subscript"/>
              </w:rPr>
              <m:t>2034</m:t>
            </m:r>
          </m:sup>
          <m:e>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NBC</m:t>
                    </m:r>
                  </m:e>
                  <m:sub>
                    <m:r>
                      <w:rPr>
                        <w:rFonts w:ascii="Cambria Math" w:hAnsi="Cambria Math"/>
                        <w:vertAlign w:val="subscript"/>
                      </w:rPr>
                      <m:t>t</m:t>
                    </m:r>
                  </m:sub>
                </m:sSub>
              </m:num>
              <m:den>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1+r</m:t>
                        </m:r>
                      </m:e>
                    </m:d>
                  </m:e>
                  <m:sup>
                    <m:r>
                      <w:rPr>
                        <w:rFonts w:ascii="Cambria Math" w:hAnsi="Cambria Math"/>
                        <w:vertAlign w:val="subscript"/>
                      </w:rPr>
                      <m:t>t-2015</m:t>
                    </m:r>
                  </m:sup>
                </m:sSup>
              </m:den>
            </m:f>
          </m:e>
        </m:nary>
      </m:oMath>
      <w:r>
        <w:rPr>
          <w:vertAlign w:val="subscript"/>
        </w:rPr>
        <w:t xml:space="preserve"> </w:t>
      </w:r>
    </w:p>
    <w:p w:rsidR="004A0C8C" w:rsidRPr="004A0C8C" w:rsidRDefault="004A0C8C" w:rsidP="004A0C8C">
      <w:pPr>
        <w:rPr>
          <w:vertAlign w:val="subscript"/>
        </w:rPr>
      </w:pPr>
      <w:r>
        <w:t>With r equal to the discount rate</w:t>
      </w:r>
    </w:p>
    <w:p w:rsidR="00E26B9C" w:rsidRPr="009E4347" w:rsidRDefault="004A0C8C" w:rsidP="00C144C8">
      <w:r>
        <w:t xml:space="preserve">The discount rate </w:t>
      </w:r>
      <w:r w:rsidR="009A1C11">
        <w:t>used for this cost benefit analysis is 12%, following the IDB standard.</w:t>
      </w:r>
    </w:p>
    <w:p w:rsidR="00CF5271" w:rsidRPr="00484B30" w:rsidRDefault="00CF5271" w:rsidP="00637A31">
      <w:pPr>
        <w:numPr>
          <w:ilvl w:val="0"/>
          <w:numId w:val="5"/>
        </w:numPr>
        <w:spacing w:before="360"/>
        <w:rPr>
          <w:b/>
        </w:rPr>
      </w:pPr>
      <w:r w:rsidRPr="00484B30">
        <w:rPr>
          <w:b/>
        </w:rPr>
        <w:t>Economic Benefits</w:t>
      </w:r>
    </w:p>
    <w:p w:rsidR="007F7956" w:rsidRDefault="00637C05" w:rsidP="00C8610C">
      <w:r>
        <w:t xml:space="preserve">According to the methodology described above, the </w:t>
      </w:r>
      <w:r w:rsidR="00150114">
        <w:t>fourth operation</w:t>
      </w:r>
      <w:r>
        <w:t xml:space="preserve"> </w:t>
      </w:r>
      <w:r w:rsidR="00BD1FF5">
        <w:t xml:space="preserve">utilized the following economic benefits to calculate its economic viability: </w:t>
      </w:r>
      <w:r w:rsidR="00BD1FF5">
        <w:rPr>
          <w:i/>
        </w:rPr>
        <w:t xml:space="preserve">Wage and shadow wage differential: </w:t>
      </w:r>
      <w:r w:rsidRPr="00A621DC">
        <w:rPr>
          <w:i/>
        </w:rPr>
        <w:t>:</w:t>
      </w:r>
      <w:r>
        <w:t xml:space="preserve"> </w:t>
      </w:r>
      <w:r w:rsidR="00837DFB">
        <w:t xml:space="preserve">According to the forecast of the </w:t>
      </w:r>
      <w:r w:rsidR="00BD1FF5">
        <w:t xml:space="preserve">firms actually settled in the PIC and those that have already signed contracts to settle in the PIC </w:t>
      </w:r>
      <w:r w:rsidR="00A621DC">
        <w:t xml:space="preserve"> the </w:t>
      </w:r>
      <w:r w:rsidR="00D528FF">
        <w:t xml:space="preserve">fourth operation </w:t>
      </w:r>
      <w:r w:rsidR="00A621DC">
        <w:t xml:space="preserve">will create around </w:t>
      </w:r>
      <w:r w:rsidR="00BD1FF5">
        <w:t>6,800</w:t>
      </w:r>
      <w:r w:rsidR="00C50EB0" w:rsidRPr="0051322C">
        <w:t xml:space="preserve"> </w:t>
      </w:r>
      <w:r w:rsidR="00A621DC" w:rsidRPr="0051322C">
        <w:t xml:space="preserve"> jobs by 20</w:t>
      </w:r>
      <w:r w:rsidR="00212556">
        <w:t>18</w:t>
      </w:r>
      <w:r w:rsidR="00A621DC" w:rsidRPr="0051322C">
        <w:t>.</w:t>
      </w:r>
      <w:r w:rsidR="00A621DC">
        <w:t xml:space="preserve"> The economic benefit of employment is </w:t>
      </w:r>
      <w:r w:rsidR="00212556">
        <w:t xml:space="preserve">quantified </w:t>
      </w:r>
      <w:r w:rsidR="00A621DC">
        <w:t xml:space="preserve">as the difference between the minimum salary </w:t>
      </w:r>
      <w:r w:rsidR="00212556">
        <w:t xml:space="preserve"> paid to PIC workers </w:t>
      </w:r>
      <w:r w:rsidR="00A621DC">
        <w:t xml:space="preserve">of US$5/day and the shadow cost </w:t>
      </w:r>
      <w:r w:rsidR="00212556">
        <w:t>of labor</w:t>
      </w:r>
      <w:r w:rsidR="00A621DC">
        <w:t xml:space="preserve">. The shadow cost of </w:t>
      </w:r>
      <w:r w:rsidR="00212556">
        <w:t>labor</w:t>
      </w:r>
      <w:r w:rsidR="00A621DC">
        <w:t xml:space="preserve"> is </w:t>
      </w:r>
      <w:r w:rsidR="007F7956">
        <w:t>estimated at US$1/day for 70% of the workers and US$2/day for the remaining. In addition, the annual value is calculated based on 284 working days per year.</w:t>
      </w:r>
    </w:p>
    <w:p w:rsidR="002144EA" w:rsidRDefault="002144EA" w:rsidP="0051322C">
      <w:pPr>
        <w:pStyle w:val="ListParagraph"/>
      </w:pPr>
    </w:p>
    <w:p w:rsidR="000954AF" w:rsidRPr="000954AF" w:rsidRDefault="00212556" w:rsidP="00982A67">
      <w:pPr>
        <w:pStyle w:val="ListParagraph"/>
        <w:numPr>
          <w:ilvl w:val="0"/>
          <w:numId w:val="15"/>
        </w:numPr>
      </w:pPr>
      <w:r>
        <w:rPr>
          <w:i/>
        </w:rPr>
        <w:t>Social Benefits</w:t>
      </w:r>
      <w:r w:rsidR="000954AF" w:rsidRPr="00DA5B71">
        <w:rPr>
          <w:i/>
        </w:rPr>
        <w:t xml:space="preserve"> paid by </w:t>
      </w:r>
      <w:r>
        <w:rPr>
          <w:i/>
        </w:rPr>
        <w:t xml:space="preserve">foreign firms </w:t>
      </w:r>
      <w:r w:rsidR="000954AF" w:rsidRPr="00DA5B71">
        <w:rPr>
          <w:i/>
        </w:rPr>
        <w:t>to the Government of Haiti</w:t>
      </w:r>
      <w:r w:rsidR="000954AF">
        <w:rPr>
          <w:i/>
        </w:rPr>
        <w:t xml:space="preserve"> </w:t>
      </w:r>
      <w:r w:rsidR="000954AF" w:rsidRPr="000954AF">
        <w:rPr>
          <w:b/>
        </w:rPr>
        <w:t>TAX</w:t>
      </w:r>
      <w:r w:rsidR="000954AF" w:rsidRPr="000954AF">
        <w:rPr>
          <w:b/>
          <w:vertAlign w:val="subscript"/>
        </w:rPr>
        <w:t>t</w:t>
      </w:r>
      <w:r w:rsidR="000954AF" w:rsidRPr="00DA5B71">
        <w:rPr>
          <w:i/>
        </w:rPr>
        <w:t>:</w:t>
      </w:r>
      <w:r w:rsidR="000954AF">
        <w:t xml:space="preserve"> </w:t>
      </w:r>
      <w:r w:rsidR="00D528FF">
        <w:t xml:space="preserve">The </w:t>
      </w:r>
      <w:r>
        <w:t>forth</w:t>
      </w:r>
      <w:r w:rsidR="00D528FF">
        <w:t xml:space="preserve"> operation will finance buildings to be rented </w:t>
      </w:r>
      <w:r w:rsidR="00150114">
        <w:t xml:space="preserve">mainly </w:t>
      </w:r>
      <w:r w:rsidR="00D528FF">
        <w:t xml:space="preserve">to </w:t>
      </w:r>
      <w:r w:rsidR="00150114">
        <w:t xml:space="preserve">one </w:t>
      </w:r>
      <w:r w:rsidR="00D528FF">
        <w:t xml:space="preserve">foreign </w:t>
      </w:r>
      <w:r w:rsidR="00150114">
        <w:t>company</w:t>
      </w:r>
      <w:r w:rsidR="00D528FF">
        <w:t>, who currently benefit</w:t>
      </w:r>
      <w:r>
        <w:t>s</w:t>
      </w:r>
      <w:r w:rsidR="00D528FF">
        <w:t xml:space="preserve"> from tax holidays for corporate and import taxes. Therefore only social security benefits paid for workers w</w:t>
      </w:r>
      <w:r w:rsidR="00982A67">
        <w:t>ere considered.</w:t>
      </w:r>
      <w:r w:rsidR="00150114">
        <w:t xml:space="preserve"> </w:t>
      </w:r>
      <w:r w:rsidR="00982A67" w:rsidRPr="00982A67">
        <w:t>This social</w:t>
      </w:r>
      <w:r>
        <w:t xml:space="preserve"> security</w:t>
      </w:r>
      <w:r w:rsidR="00982A67" w:rsidRPr="00982A67">
        <w:t xml:space="preserve"> benefit </w:t>
      </w:r>
      <w:r>
        <w:t xml:space="preserve">corresponds to </w:t>
      </w:r>
      <w:r w:rsidR="00982A67" w:rsidRPr="00982A67">
        <w:t xml:space="preserve"> the contributions to ONA (3%) and OFATMA (9%).</w:t>
      </w:r>
      <w:r w:rsidR="000954AF">
        <w:t xml:space="preserve"> </w:t>
      </w:r>
    </w:p>
    <w:p w:rsidR="006C11E0" w:rsidRPr="006C11E0" w:rsidRDefault="002144EA" w:rsidP="006C11E0">
      <w:pPr>
        <w:pStyle w:val="ListParagraph"/>
        <w:numPr>
          <w:ilvl w:val="0"/>
          <w:numId w:val="15"/>
        </w:numPr>
      </w:pPr>
      <w:r w:rsidRPr="006C11E0">
        <w:rPr>
          <w:i/>
        </w:rPr>
        <w:lastRenderedPageBreak/>
        <w:t>Rental Income</w:t>
      </w:r>
      <w:r>
        <w:t xml:space="preserve">: </w:t>
      </w:r>
      <w:r w:rsidR="001E5E45">
        <w:t xml:space="preserve"> </w:t>
      </w:r>
      <w:r w:rsidR="000954AF">
        <w:t>The rental income includes</w:t>
      </w:r>
      <w:r>
        <w:t xml:space="preserve"> rent </w:t>
      </w:r>
      <w:r w:rsidR="006C11E0">
        <w:t xml:space="preserve">paid by foreign </w:t>
      </w:r>
      <w:r w:rsidR="00C8610C">
        <w:t>firms</w:t>
      </w:r>
      <w:r w:rsidR="006C11E0">
        <w:t xml:space="preserve"> </w:t>
      </w:r>
      <w:r w:rsidR="00150114">
        <w:t>of b</w:t>
      </w:r>
      <w:r w:rsidR="00C8610C">
        <w:t>`</w:t>
      </w:r>
      <w:r w:rsidR="00150114">
        <w:t>uildings constructed with th</w:t>
      </w:r>
      <w:r w:rsidR="006C11E0">
        <w:t>is project.</w:t>
      </w:r>
      <w:r w:rsidR="006C11E0" w:rsidRPr="006C11E0">
        <w:t xml:space="preserve"> In addition, the base case scenario assumes that tenants will rent the buildings for their rental agreement contractual term.</w:t>
      </w:r>
    </w:p>
    <w:p w:rsidR="00DA64AA" w:rsidRDefault="00DA64AA">
      <w:pPr>
        <w:pStyle w:val="ListParagraph"/>
        <w:numPr>
          <w:ilvl w:val="0"/>
          <w:numId w:val="15"/>
        </w:numPr>
      </w:pPr>
      <w:r w:rsidRPr="00C8610C">
        <w:rPr>
          <w:i/>
        </w:rPr>
        <w:t>Payment for public utilities and services</w:t>
      </w:r>
      <w:r>
        <w:t xml:space="preserve">: This </w:t>
      </w:r>
      <w:r w:rsidR="00C8610C">
        <w:t>benefit</w:t>
      </w:r>
      <w:r>
        <w:t xml:space="preserve"> includes the difference between the incremental payments made by the foreign firms in the PIC for services (water, sanitation and transportation) and the opportunity cost for these services.  </w:t>
      </w:r>
    </w:p>
    <w:p w:rsidR="00DA64AA" w:rsidRDefault="00DA64AA">
      <w:pPr>
        <w:pStyle w:val="ListParagraph"/>
        <w:numPr>
          <w:ilvl w:val="0"/>
          <w:numId w:val="15"/>
        </w:numPr>
      </w:pPr>
    </w:p>
    <w:p w:rsidR="006C11E0" w:rsidRDefault="006C11E0" w:rsidP="00DA64AA"/>
    <w:p w:rsidR="00DA64AA" w:rsidRDefault="00DA64AA" w:rsidP="00DA64AA"/>
    <w:p w:rsidR="00DA64AA" w:rsidRDefault="00DA64AA" w:rsidP="00DA64AA"/>
    <w:p w:rsidR="00DA64AA" w:rsidRDefault="00DA64AA" w:rsidP="00DA64AA"/>
    <w:p w:rsidR="00DA64AA" w:rsidRDefault="00DA64AA" w:rsidP="00DA64AA"/>
    <w:p w:rsidR="006C11E0" w:rsidRDefault="006C11E0" w:rsidP="00C8610C"/>
    <w:p w:rsidR="001E5E45" w:rsidRPr="00DA64AA" w:rsidRDefault="001E5E45" w:rsidP="00C8610C">
      <w:pPr>
        <w:pStyle w:val="ListParagraph"/>
        <w:numPr>
          <w:ilvl w:val="0"/>
          <w:numId w:val="15"/>
        </w:numPr>
        <w:pBdr>
          <w:top w:val="single" w:sz="4" w:space="1" w:color="auto"/>
          <w:left w:val="single" w:sz="4" w:space="4" w:color="auto"/>
          <w:bottom w:val="single" w:sz="4" w:space="0" w:color="auto"/>
          <w:right w:val="single" w:sz="4" w:space="4" w:color="auto"/>
        </w:pBdr>
        <w:rPr>
          <w:sz w:val="18"/>
          <w:szCs w:val="18"/>
        </w:rPr>
      </w:pPr>
      <w:r w:rsidRPr="00DA64AA">
        <w:rPr>
          <w:sz w:val="18"/>
          <w:szCs w:val="18"/>
        </w:rPr>
        <w:t>BOX 1: Non quantified economic project benefits:</w:t>
      </w:r>
    </w:p>
    <w:p w:rsidR="001E5E45" w:rsidRPr="001415FA" w:rsidRDefault="001E5E45" w:rsidP="00C8610C">
      <w:pPr>
        <w:pStyle w:val="ListParagraph"/>
        <w:numPr>
          <w:ilvl w:val="0"/>
          <w:numId w:val="15"/>
        </w:numPr>
        <w:pBdr>
          <w:top w:val="single" w:sz="4" w:space="1" w:color="auto"/>
          <w:left w:val="single" w:sz="4" w:space="4" w:color="auto"/>
          <w:bottom w:val="single" w:sz="4" w:space="1" w:color="auto"/>
          <w:right w:val="single" w:sz="4" w:space="4" w:color="auto"/>
        </w:pBdr>
        <w:ind w:left="270" w:hanging="270"/>
        <w:rPr>
          <w:sz w:val="18"/>
          <w:szCs w:val="18"/>
        </w:rPr>
      </w:pPr>
      <w:r w:rsidRPr="001415FA">
        <w:rPr>
          <w:i/>
          <w:sz w:val="18"/>
          <w:szCs w:val="18"/>
        </w:rPr>
        <w:t>Income tax from foreign companies:</w:t>
      </w:r>
      <w:r w:rsidRPr="001415FA">
        <w:rPr>
          <w:sz w:val="18"/>
          <w:szCs w:val="18"/>
        </w:rPr>
        <w:t xml:space="preserve"> Foreign PIC tenants will benefit from at least a 15-year exemption on income taxes. Given the uncertainty on future net income generated by these companies, the future income tax payments of the foreign companies have not been quantified in this analysis.</w:t>
      </w:r>
    </w:p>
    <w:p w:rsidR="001E5E45" w:rsidRPr="001415FA" w:rsidRDefault="001E5E45" w:rsidP="00C8610C">
      <w:pPr>
        <w:pStyle w:val="ListParagraph"/>
        <w:numPr>
          <w:ilvl w:val="0"/>
          <w:numId w:val="15"/>
        </w:numPr>
        <w:pBdr>
          <w:top w:val="single" w:sz="4" w:space="1" w:color="auto"/>
          <w:left w:val="single" w:sz="4" w:space="4" w:color="auto"/>
          <w:bottom w:val="single" w:sz="4" w:space="1" w:color="auto"/>
          <w:right w:val="single" w:sz="4" w:space="4" w:color="auto"/>
        </w:pBdr>
        <w:ind w:left="270" w:hanging="270"/>
        <w:rPr>
          <w:sz w:val="18"/>
          <w:szCs w:val="18"/>
        </w:rPr>
      </w:pPr>
      <w:r w:rsidRPr="001415FA">
        <w:rPr>
          <w:i/>
          <w:sz w:val="18"/>
          <w:szCs w:val="18"/>
        </w:rPr>
        <w:t>Foreign direct investments:</w:t>
      </w:r>
      <w:r w:rsidRPr="001415FA">
        <w:rPr>
          <w:sz w:val="18"/>
          <w:szCs w:val="18"/>
        </w:rPr>
        <w:t xml:space="preserve"> So far, foreign tenants of the PIC have invested around US$ 85 million to set up in the park. </w:t>
      </w:r>
    </w:p>
    <w:p w:rsidR="001E5E45" w:rsidRPr="001415FA" w:rsidRDefault="001E5E45" w:rsidP="00C8610C">
      <w:pPr>
        <w:pStyle w:val="ListParagraph"/>
        <w:numPr>
          <w:ilvl w:val="0"/>
          <w:numId w:val="15"/>
        </w:numPr>
        <w:pBdr>
          <w:top w:val="single" w:sz="4" w:space="1" w:color="auto"/>
          <w:left w:val="single" w:sz="4" w:space="4" w:color="auto"/>
          <w:bottom w:val="single" w:sz="4" w:space="1" w:color="auto"/>
          <w:right w:val="single" w:sz="4" w:space="4" w:color="auto"/>
        </w:pBdr>
        <w:ind w:left="270" w:hanging="270"/>
        <w:rPr>
          <w:sz w:val="18"/>
          <w:szCs w:val="18"/>
        </w:rPr>
      </w:pPr>
      <w:r w:rsidRPr="001415FA">
        <w:rPr>
          <w:i/>
          <w:sz w:val="18"/>
          <w:szCs w:val="18"/>
        </w:rPr>
        <w:t>Indirect jobs:</w:t>
      </w:r>
      <w:r w:rsidRPr="001415FA">
        <w:rPr>
          <w:sz w:val="18"/>
          <w:szCs w:val="18"/>
        </w:rPr>
        <w:t xml:space="preserve"> The economic evaluation does not take into account indirect jobs. For this type of project, an average employment multiplier of 2.0 is usually expected. This means that for every jobs created at the PIC at least one job outside the PIC wi</w:t>
      </w:r>
      <w:r>
        <w:rPr>
          <w:sz w:val="18"/>
          <w:szCs w:val="18"/>
        </w:rPr>
        <w:t>ll be created. Therefore the fourth potential</w:t>
      </w:r>
      <w:r w:rsidRPr="001415FA">
        <w:rPr>
          <w:sz w:val="18"/>
          <w:szCs w:val="18"/>
        </w:rPr>
        <w:t xml:space="preserve"> has the potential to create at least </w:t>
      </w:r>
      <w:r>
        <w:rPr>
          <w:sz w:val="18"/>
          <w:szCs w:val="18"/>
        </w:rPr>
        <w:t>18</w:t>
      </w:r>
      <w:r w:rsidRPr="001415FA">
        <w:rPr>
          <w:sz w:val="18"/>
          <w:szCs w:val="18"/>
        </w:rPr>
        <w:t>,</w:t>
      </w:r>
      <w:r>
        <w:rPr>
          <w:sz w:val="18"/>
          <w:szCs w:val="18"/>
        </w:rPr>
        <w:t>54</w:t>
      </w:r>
      <w:r w:rsidRPr="001415FA">
        <w:rPr>
          <w:sz w:val="18"/>
          <w:szCs w:val="18"/>
        </w:rPr>
        <w:t>0 jobs.</w:t>
      </w:r>
    </w:p>
    <w:p w:rsidR="001E5E45" w:rsidRPr="00C8610C" w:rsidRDefault="001E5E45" w:rsidP="00C8610C">
      <w:pPr>
        <w:pStyle w:val="ListParagraph"/>
        <w:numPr>
          <w:ilvl w:val="0"/>
          <w:numId w:val="15"/>
        </w:numPr>
        <w:pBdr>
          <w:top w:val="single" w:sz="4" w:space="1" w:color="auto"/>
          <w:left w:val="single" w:sz="4" w:space="4" w:color="auto"/>
          <w:bottom w:val="single" w:sz="4" w:space="1" w:color="auto"/>
          <w:right w:val="single" w:sz="4" w:space="4" w:color="auto"/>
        </w:pBdr>
        <w:ind w:left="270" w:hanging="270"/>
        <w:rPr>
          <w:i/>
          <w:sz w:val="18"/>
          <w:szCs w:val="18"/>
        </w:rPr>
      </w:pPr>
      <w:r w:rsidRPr="001415FA">
        <w:rPr>
          <w:i/>
          <w:sz w:val="18"/>
          <w:szCs w:val="18"/>
        </w:rPr>
        <w:t xml:space="preserve">Creation and growth of local businesses: </w:t>
      </w:r>
      <w:r w:rsidRPr="001415FA">
        <w:rPr>
          <w:sz w:val="18"/>
          <w:szCs w:val="18"/>
        </w:rPr>
        <w:t>It is expected that local workers will spend 75% of their salary in the local economy on items such as food, housing, clothes, school fees and leisure. As such, it will create opportunities for local entrepreneurs to create and/ or expand businesses to meet the new standards of living of local workers.</w:t>
      </w:r>
    </w:p>
    <w:p w:rsidR="001E5E45" w:rsidRPr="00C8610C" w:rsidRDefault="001E5E45" w:rsidP="00C8610C">
      <w:pPr>
        <w:pStyle w:val="ListParagraph"/>
        <w:numPr>
          <w:ilvl w:val="0"/>
          <w:numId w:val="15"/>
        </w:numPr>
        <w:pBdr>
          <w:top w:val="single" w:sz="4" w:space="1" w:color="auto"/>
          <w:left w:val="single" w:sz="4" w:space="4" w:color="auto"/>
          <w:bottom w:val="single" w:sz="4" w:space="1" w:color="auto"/>
          <w:right w:val="single" w:sz="4" w:space="4" w:color="auto"/>
        </w:pBdr>
        <w:ind w:left="270" w:hanging="270"/>
        <w:rPr>
          <w:i/>
          <w:sz w:val="18"/>
          <w:szCs w:val="18"/>
        </w:rPr>
      </w:pPr>
      <w:r w:rsidRPr="00C8610C">
        <w:rPr>
          <w:i/>
          <w:sz w:val="18"/>
          <w:szCs w:val="18"/>
        </w:rPr>
        <w:t>Women empowerment:</w:t>
      </w:r>
      <w:r w:rsidRPr="00C8610C">
        <w:rPr>
          <w:sz w:val="18"/>
          <w:szCs w:val="18"/>
        </w:rPr>
        <w:t xml:space="preserve"> As </w:t>
      </w:r>
      <w:r w:rsidR="00DA64AA">
        <w:rPr>
          <w:sz w:val="18"/>
          <w:szCs w:val="18"/>
        </w:rPr>
        <w:t>6</w:t>
      </w:r>
      <w:r w:rsidRPr="00C8610C">
        <w:rPr>
          <w:sz w:val="18"/>
          <w:szCs w:val="18"/>
        </w:rPr>
        <w:t>5% of PIC of employees are expected to be women, the PIC will contribute to their empowerment and magnify the PIC impact on the community, given that women participation in the labor force usually have a high potential for poverty rate reduction.</w:t>
      </w:r>
    </w:p>
    <w:p w:rsidR="00DA64AA" w:rsidRDefault="00DA64AA" w:rsidP="00DA64AA">
      <w:pPr>
        <w:pStyle w:val="ListParagraph"/>
        <w:rPr>
          <w:i/>
        </w:rPr>
      </w:pPr>
    </w:p>
    <w:p w:rsidR="00DA64AA" w:rsidRDefault="00DA64AA" w:rsidP="00DA64AA">
      <w:pPr>
        <w:pStyle w:val="ListParagraph"/>
        <w:rPr>
          <w:i/>
        </w:rPr>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6C11E0" w:rsidRDefault="006C11E0" w:rsidP="00C8610C">
      <w:pPr>
        <w:pStyle w:val="ListParagraph"/>
      </w:pPr>
    </w:p>
    <w:p w:rsidR="005C5811" w:rsidRDefault="009B5E7D" w:rsidP="006F3073">
      <w:r>
        <w:lastRenderedPageBreak/>
        <w:t xml:space="preserve">The table below summarizes the quantified </w:t>
      </w:r>
      <w:r w:rsidR="001027A5">
        <w:t xml:space="preserve"> </w:t>
      </w:r>
      <w:r>
        <w:t>economic benefits</w:t>
      </w:r>
      <w:r w:rsidR="001027A5">
        <w:t xml:space="preserve"> of the project</w:t>
      </w:r>
      <w:r>
        <w:t>.</w:t>
      </w:r>
      <w:r w:rsidR="00DA40EF">
        <w:t xml:space="preserve"> </w:t>
      </w:r>
    </w:p>
    <w:p w:rsidR="00DA40EF" w:rsidRPr="00DA40EF" w:rsidRDefault="00DA40EF" w:rsidP="006F3073">
      <w:pPr>
        <w:rPr>
          <w:b/>
        </w:rPr>
      </w:pPr>
      <w:r w:rsidRPr="00DA40EF">
        <w:rPr>
          <w:b/>
        </w:rPr>
        <w:t>Table 1: Economic Benefits (in US$ 1.000)</w:t>
      </w:r>
    </w:p>
    <w:tbl>
      <w:tblPr>
        <w:tblW w:w="5000" w:type="pct"/>
        <w:tblLayout w:type="fixed"/>
        <w:tblLook w:val="04A0" w:firstRow="1" w:lastRow="0" w:firstColumn="1" w:lastColumn="0" w:noHBand="0" w:noVBand="1"/>
      </w:tblPr>
      <w:tblGrid>
        <w:gridCol w:w="1799"/>
        <w:gridCol w:w="784"/>
        <w:gridCol w:w="784"/>
        <w:gridCol w:w="785"/>
        <w:gridCol w:w="785"/>
        <w:gridCol w:w="785"/>
        <w:gridCol w:w="785"/>
        <w:gridCol w:w="785"/>
        <w:gridCol w:w="785"/>
        <w:gridCol w:w="779"/>
      </w:tblGrid>
      <w:tr w:rsidR="00184E4C" w:rsidRPr="00184E4C" w:rsidTr="00DA40EF">
        <w:trPr>
          <w:trHeight w:val="855"/>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4C" w:rsidRPr="00DA40EF" w:rsidRDefault="00DA40EF" w:rsidP="00DA40EF">
            <w:pPr>
              <w:spacing w:after="0" w:line="240" w:lineRule="auto"/>
              <w:jc w:val="center"/>
              <w:rPr>
                <w:rFonts w:ascii="Calibri" w:eastAsia="Times New Roman" w:hAnsi="Calibri"/>
                <w:b/>
                <w:color w:val="000000"/>
              </w:rPr>
            </w:pPr>
            <w:r w:rsidRPr="00DA40EF">
              <w:rPr>
                <w:rFonts w:eastAsia="Times New Roman"/>
                <w:b/>
                <w:color w:val="000000"/>
                <w:sz w:val="18"/>
              </w:rPr>
              <w:t>Benefit</w:t>
            </w:r>
          </w:p>
        </w:tc>
        <w:tc>
          <w:tcPr>
            <w:tcW w:w="443" w:type="pct"/>
            <w:tcBorders>
              <w:top w:val="single" w:sz="8" w:space="0" w:color="auto"/>
              <w:left w:val="single" w:sz="4"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201</w:t>
            </w:r>
            <w:r w:rsidR="00C50EB0">
              <w:rPr>
                <w:rFonts w:eastAsia="Times New Roman"/>
                <w:b/>
                <w:bCs/>
                <w:color w:val="FFFFFF"/>
                <w:sz w:val="18"/>
              </w:rPr>
              <w:t>5</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201</w:t>
            </w:r>
            <w:r w:rsidR="00C50EB0">
              <w:rPr>
                <w:rFonts w:eastAsia="Times New Roman"/>
                <w:b/>
                <w:bCs/>
                <w:color w:val="FFFFFF"/>
                <w:sz w:val="18"/>
              </w:rPr>
              <w:t>6</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201</w:t>
            </w:r>
            <w:r w:rsidR="00C50EB0">
              <w:rPr>
                <w:rFonts w:eastAsia="Times New Roman"/>
                <w:b/>
                <w:bCs/>
                <w:color w:val="FFFFFF"/>
                <w:sz w:val="18"/>
              </w:rPr>
              <w:t>7</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201</w:t>
            </w:r>
            <w:r w:rsidR="00C50EB0">
              <w:rPr>
                <w:rFonts w:eastAsia="Times New Roman"/>
                <w:b/>
                <w:bCs/>
                <w:color w:val="FFFFFF"/>
                <w:sz w:val="18"/>
              </w:rPr>
              <w:t>8</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201</w:t>
            </w:r>
            <w:r w:rsidR="00C50EB0">
              <w:rPr>
                <w:rFonts w:eastAsia="Times New Roman"/>
                <w:b/>
                <w:bCs/>
                <w:color w:val="FFFFFF"/>
                <w:sz w:val="18"/>
              </w:rPr>
              <w:t>9</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w:t>
            </w:r>
            <w:r w:rsidR="00C50EB0">
              <w:rPr>
                <w:rFonts w:eastAsia="Times New Roman"/>
                <w:b/>
                <w:bCs/>
                <w:color w:val="FFFFFF"/>
                <w:sz w:val="18"/>
              </w:rPr>
              <w:t>20</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w:t>
            </w:r>
            <w:r w:rsidR="00C50EB0">
              <w:rPr>
                <w:rFonts w:eastAsia="Times New Roman"/>
                <w:b/>
                <w:bCs/>
                <w:color w:val="FFFFFF"/>
                <w:sz w:val="18"/>
              </w:rPr>
              <w:t>2</w:t>
            </w:r>
            <w:r w:rsidRPr="00184E4C">
              <w:rPr>
                <w:rFonts w:eastAsia="Times New Roman"/>
                <w:b/>
                <w:bCs/>
                <w:color w:val="FFFFFF"/>
                <w:sz w:val="18"/>
              </w:rPr>
              <w:t>1</w:t>
            </w:r>
          </w:p>
        </w:tc>
        <w:tc>
          <w:tcPr>
            <w:tcW w:w="443"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202</w:t>
            </w:r>
            <w:r w:rsidR="00C50EB0">
              <w:rPr>
                <w:rFonts w:eastAsia="Times New Roman"/>
                <w:b/>
                <w:bCs/>
                <w:color w:val="FFFFFF"/>
                <w:sz w:val="18"/>
              </w:rPr>
              <w:t>2</w:t>
            </w:r>
          </w:p>
        </w:tc>
        <w:tc>
          <w:tcPr>
            <w:tcW w:w="440" w:type="pct"/>
            <w:tcBorders>
              <w:top w:val="single" w:sz="8" w:space="0" w:color="auto"/>
              <w:left w:val="single" w:sz="8" w:space="0" w:color="auto"/>
              <w:bottom w:val="nil"/>
              <w:right w:val="nil"/>
            </w:tcBorders>
            <w:shd w:val="clear" w:color="000000" w:fill="000000"/>
            <w:vAlign w:val="center"/>
            <w:hideMark/>
          </w:tcPr>
          <w:p w:rsidR="00184E4C" w:rsidRPr="00184E4C" w:rsidRDefault="00184E4C" w:rsidP="00C50EB0">
            <w:pPr>
              <w:spacing w:after="0" w:line="240" w:lineRule="auto"/>
              <w:jc w:val="center"/>
              <w:rPr>
                <w:rFonts w:eastAsia="Times New Roman"/>
                <w:b/>
                <w:bCs/>
                <w:color w:val="FFFFFF"/>
                <w:sz w:val="18"/>
              </w:rPr>
            </w:pPr>
            <w:r w:rsidRPr="00184E4C">
              <w:rPr>
                <w:rFonts w:eastAsia="Times New Roman"/>
                <w:b/>
                <w:bCs/>
                <w:color w:val="FFFFFF"/>
                <w:sz w:val="18"/>
              </w:rPr>
              <w:t>202</w:t>
            </w:r>
            <w:r w:rsidR="00C50EB0">
              <w:rPr>
                <w:rFonts w:eastAsia="Times New Roman"/>
                <w:b/>
                <w:bCs/>
                <w:color w:val="FFFFFF"/>
                <w:sz w:val="18"/>
              </w:rPr>
              <w:t>3</w:t>
            </w:r>
            <w:r w:rsidRPr="00184E4C">
              <w:rPr>
                <w:rFonts w:eastAsia="Times New Roman"/>
                <w:b/>
                <w:bCs/>
                <w:color w:val="FFFFFF"/>
                <w:sz w:val="18"/>
              </w:rPr>
              <w:t xml:space="preserve"> and after</w:t>
            </w:r>
          </w:p>
        </w:tc>
      </w:tr>
      <w:tr w:rsidR="00184E4C" w:rsidRPr="00184E4C" w:rsidTr="00DA40EF">
        <w:trPr>
          <w:trHeight w:val="242"/>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E4C" w:rsidRPr="00184E4C" w:rsidRDefault="00184E4C" w:rsidP="00184E4C">
            <w:pPr>
              <w:spacing w:after="0" w:line="240" w:lineRule="auto"/>
              <w:jc w:val="left"/>
              <w:rPr>
                <w:rFonts w:eastAsia="Times New Roman"/>
                <w:color w:val="000000"/>
                <w:sz w:val="18"/>
              </w:rPr>
            </w:pPr>
            <w:r w:rsidRPr="00184E4C">
              <w:rPr>
                <w:rFonts w:eastAsia="Times New Roman"/>
                <w:color w:val="000000"/>
                <w:sz w:val="18"/>
              </w:rPr>
              <w:t>Total jobs expected</w:t>
            </w:r>
            <w:r w:rsidR="005C5811">
              <w:rPr>
                <w:rFonts w:eastAsia="Times New Roman"/>
                <w:color w:val="000000"/>
                <w:sz w:val="18"/>
              </w:rPr>
              <w:t xml:space="preserve"> </w:t>
            </w:r>
            <w:r w:rsidR="005C5811" w:rsidRPr="00DA40EF">
              <w:rPr>
                <w:rFonts w:eastAsia="Times New Roman"/>
                <w:i/>
                <w:color w:val="000000"/>
                <w:sz w:val="18"/>
              </w:rPr>
              <w:t>(not included in benefits</w:t>
            </w:r>
            <w:r w:rsidR="005C5811">
              <w:rPr>
                <w:rFonts w:eastAsia="Times New Roman"/>
                <w:color w:val="000000"/>
                <w:sz w:val="18"/>
              </w:rPr>
              <w: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982A67" w:rsidP="000A37FD">
            <w:pPr>
              <w:spacing w:after="0" w:line="240" w:lineRule="auto"/>
              <w:jc w:val="center"/>
              <w:rPr>
                <w:rFonts w:eastAsia="Times New Roman"/>
                <w:color w:val="000000"/>
                <w:sz w:val="18"/>
              </w:rPr>
            </w:pPr>
            <w:r>
              <w:rPr>
                <w:rFonts w:eastAsia="Times New Roman"/>
                <w:color w:val="000000"/>
                <w:sz w:val="18"/>
              </w:rPr>
              <w:t>2</w:t>
            </w:r>
            <w:r w:rsidR="003C11C2">
              <w:rPr>
                <w:rFonts w:eastAsia="Times New Roman"/>
                <w:color w:val="000000"/>
                <w:sz w:val="18"/>
              </w:rPr>
              <w:t>5</w:t>
            </w:r>
            <w:r>
              <w:rPr>
                <w:rFonts w:eastAsia="Times New Roman"/>
                <w:color w:val="000000"/>
                <w:sz w:val="18"/>
              </w:rPr>
              <w:t>11</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6799</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50EB0" w:rsidRPr="00184E4C" w:rsidRDefault="00C370B8" w:rsidP="00C50EB0">
            <w:pPr>
              <w:spacing w:after="0" w:line="240" w:lineRule="auto"/>
              <w:jc w:val="center"/>
              <w:rPr>
                <w:rFonts w:eastAsia="Times New Roman"/>
                <w:color w:val="000000"/>
                <w:sz w:val="18"/>
              </w:rPr>
            </w:pPr>
            <w:r>
              <w:rPr>
                <w:rFonts w:eastAsia="Times New Roman"/>
                <w:color w:val="000000"/>
                <w:sz w:val="18"/>
              </w:rPr>
              <w:t>9270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9270</w:t>
            </w:r>
          </w:p>
        </w:tc>
      </w:tr>
      <w:tr w:rsidR="00184E4C" w:rsidRPr="00184E4C" w:rsidTr="005C5811">
        <w:trPr>
          <w:trHeight w:val="300"/>
        </w:trPr>
        <w:tc>
          <w:tcPr>
            <w:tcW w:w="1016" w:type="pct"/>
            <w:tcBorders>
              <w:top w:val="nil"/>
              <w:left w:val="single" w:sz="4" w:space="0" w:color="auto"/>
              <w:bottom w:val="single" w:sz="4" w:space="0" w:color="auto"/>
              <w:right w:val="single" w:sz="4" w:space="0" w:color="auto"/>
            </w:tcBorders>
            <w:shd w:val="clear" w:color="auto" w:fill="auto"/>
            <w:noWrap/>
            <w:vAlign w:val="bottom"/>
            <w:hideMark/>
          </w:tcPr>
          <w:p w:rsidR="00184E4C" w:rsidRPr="00184E4C" w:rsidRDefault="00184E4C" w:rsidP="00184E4C">
            <w:pPr>
              <w:spacing w:after="0" w:line="240" w:lineRule="auto"/>
              <w:jc w:val="left"/>
              <w:rPr>
                <w:rFonts w:eastAsia="Times New Roman"/>
                <w:color w:val="000000"/>
                <w:sz w:val="18"/>
              </w:rPr>
            </w:pPr>
            <w:r w:rsidRPr="00184E4C">
              <w:rPr>
                <w:rFonts w:eastAsia="Times New Roman"/>
                <w:color w:val="000000"/>
                <w:sz w:val="18"/>
              </w:rPr>
              <w:t>Net salary paid to local workers</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pPr>
              <w:spacing w:after="0" w:line="240" w:lineRule="auto"/>
              <w:jc w:val="center"/>
              <w:rPr>
                <w:rFonts w:eastAsia="Times New Roman"/>
                <w:color w:val="000000"/>
                <w:sz w:val="18"/>
              </w:rPr>
            </w:pPr>
            <w:r>
              <w:rPr>
                <w:rFonts w:eastAsia="Times New Roman"/>
                <w:color w:val="000000"/>
                <w:sz w:val="18"/>
              </w:rPr>
              <w:t>2639</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pPr>
              <w:spacing w:after="0" w:line="240" w:lineRule="auto"/>
              <w:jc w:val="center"/>
              <w:rPr>
                <w:rFonts w:eastAsia="Times New Roman"/>
                <w:color w:val="000000"/>
                <w:sz w:val="18"/>
              </w:rPr>
            </w:pPr>
            <w:r>
              <w:rPr>
                <w:rFonts w:eastAsia="Times New Roman"/>
                <w:color w:val="000000"/>
                <w:sz w:val="18"/>
              </w:rPr>
              <w:t>7144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c>
          <w:tcPr>
            <w:tcW w:w="440"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9740</w:t>
            </w:r>
          </w:p>
        </w:tc>
      </w:tr>
      <w:tr w:rsidR="00184E4C" w:rsidRPr="00184E4C" w:rsidTr="005C5811">
        <w:trPr>
          <w:trHeight w:val="300"/>
        </w:trPr>
        <w:tc>
          <w:tcPr>
            <w:tcW w:w="1016" w:type="pct"/>
            <w:tcBorders>
              <w:top w:val="nil"/>
              <w:left w:val="single" w:sz="4" w:space="0" w:color="auto"/>
              <w:bottom w:val="single" w:sz="4" w:space="0" w:color="auto"/>
              <w:right w:val="single" w:sz="4" w:space="0" w:color="auto"/>
            </w:tcBorders>
            <w:shd w:val="clear" w:color="auto" w:fill="auto"/>
            <w:noWrap/>
            <w:vAlign w:val="bottom"/>
            <w:hideMark/>
          </w:tcPr>
          <w:p w:rsidR="00184E4C" w:rsidRPr="00184E4C" w:rsidRDefault="00184E4C" w:rsidP="00184E4C">
            <w:pPr>
              <w:spacing w:after="0" w:line="240" w:lineRule="auto"/>
              <w:jc w:val="left"/>
              <w:rPr>
                <w:rFonts w:eastAsia="Times New Roman"/>
                <w:color w:val="000000"/>
                <w:sz w:val="18"/>
              </w:rPr>
            </w:pPr>
            <w:r w:rsidRPr="00184E4C">
              <w:rPr>
                <w:rFonts w:eastAsia="Times New Roman"/>
                <w:color w:val="000000"/>
                <w:sz w:val="18"/>
              </w:rPr>
              <w:t>Social security paid for workers</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982A67" w:rsidP="000A37FD">
            <w:pPr>
              <w:spacing w:after="0" w:line="240" w:lineRule="auto"/>
              <w:jc w:val="center"/>
              <w:rPr>
                <w:rFonts w:eastAsia="Times New Roman"/>
                <w:color w:val="000000"/>
                <w:sz w:val="18"/>
              </w:rPr>
            </w:pPr>
            <w:r>
              <w:rPr>
                <w:rFonts w:eastAsia="Times New Roman"/>
                <w:color w:val="000000"/>
                <w:sz w:val="18"/>
              </w:rPr>
              <w:t>3</w:t>
            </w:r>
            <w:r w:rsidR="003C11C2">
              <w:rPr>
                <w:rFonts w:eastAsia="Times New Roman"/>
                <w:color w:val="000000"/>
                <w:sz w:val="18"/>
              </w:rPr>
              <w:t>21</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869</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c>
          <w:tcPr>
            <w:tcW w:w="440" w:type="pct"/>
            <w:tcBorders>
              <w:top w:val="nil"/>
              <w:left w:val="nil"/>
              <w:bottom w:val="single" w:sz="4" w:space="0" w:color="auto"/>
              <w:right w:val="single" w:sz="4" w:space="0" w:color="auto"/>
            </w:tcBorders>
            <w:shd w:val="clear" w:color="auto" w:fill="auto"/>
            <w:noWrap/>
            <w:vAlign w:val="center"/>
            <w:hideMark/>
          </w:tcPr>
          <w:p w:rsidR="00184E4C" w:rsidRPr="00184E4C" w:rsidRDefault="00C370B8" w:rsidP="000A37FD">
            <w:pPr>
              <w:spacing w:after="0" w:line="240" w:lineRule="auto"/>
              <w:jc w:val="center"/>
              <w:rPr>
                <w:rFonts w:eastAsia="Times New Roman"/>
                <w:color w:val="000000"/>
                <w:sz w:val="18"/>
              </w:rPr>
            </w:pPr>
            <w:r>
              <w:rPr>
                <w:rFonts w:eastAsia="Times New Roman"/>
                <w:color w:val="000000"/>
                <w:sz w:val="18"/>
              </w:rPr>
              <w:t>1184</w:t>
            </w:r>
          </w:p>
        </w:tc>
      </w:tr>
      <w:tr w:rsidR="00184E4C" w:rsidRPr="00184E4C" w:rsidTr="005C5811">
        <w:trPr>
          <w:trHeight w:val="300"/>
        </w:trPr>
        <w:tc>
          <w:tcPr>
            <w:tcW w:w="1016" w:type="pct"/>
            <w:tcBorders>
              <w:top w:val="nil"/>
              <w:left w:val="single" w:sz="4" w:space="0" w:color="auto"/>
              <w:bottom w:val="single" w:sz="4" w:space="0" w:color="auto"/>
              <w:right w:val="single" w:sz="4" w:space="0" w:color="auto"/>
            </w:tcBorders>
            <w:shd w:val="clear" w:color="auto" w:fill="auto"/>
            <w:noWrap/>
            <w:vAlign w:val="bottom"/>
            <w:hideMark/>
          </w:tcPr>
          <w:p w:rsidR="00184E4C" w:rsidRPr="00184E4C" w:rsidRDefault="001027A5" w:rsidP="001027A5">
            <w:pPr>
              <w:spacing w:after="0" w:line="240" w:lineRule="auto"/>
              <w:jc w:val="left"/>
              <w:rPr>
                <w:rFonts w:eastAsia="Times New Roman"/>
                <w:color w:val="000000"/>
                <w:sz w:val="18"/>
              </w:rPr>
            </w:pPr>
            <w:r>
              <w:rPr>
                <w:rFonts w:eastAsia="Times New Roman"/>
                <w:color w:val="000000"/>
                <w:sz w:val="18"/>
              </w:rPr>
              <w:t xml:space="preserve">Differential of services paid by foreign firms and their opportunity cost </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6B4776" w:rsidP="000A37FD">
            <w:pPr>
              <w:spacing w:after="0" w:line="240" w:lineRule="auto"/>
              <w:jc w:val="center"/>
              <w:rPr>
                <w:rFonts w:eastAsia="Times New Roman"/>
                <w:color w:val="000000"/>
                <w:sz w:val="18"/>
              </w:rPr>
            </w:pPr>
            <w:r>
              <w:rPr>
                <w:rFonts w:eastAsia="Times New Roman"/>
                <w:color w:val="000000"/>
                <w:sz w:val="18"/>
              </w:rPr>
              <w:t>1</w:t>
            </w:r>
            <w:r w:rsidR="003C11C2">
              <w:rPr>
                <w:rFonts w:eastAsia="Times New Roman"/>
                <w:color w:val="000000"/>
                <w:sz w:val="18"/>
              </w:rPr>
              <w:t>65</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259</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268</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c>
          <w:tcPr>
            <w:tcW w:w="443"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c>
          <w:tcPr>
            <w:tcW w:w="440" w:type="pct"/>
            <w:tcBorders>
              <w:top w:val="nil"/>
              <w:left w:val="nil"/>
              <w:bottom w:val="single" w:sz="4" w:space="0" w:color="auto"/>
              <w:right w:val="single" w:sz="4" w:space="0" w:color="auto"/>
            </w:tcBorders>
            <w:shd w:val="clear" w:color="auto" w:fill="auto"/>
            <w:noWrap/>
            <w:vAlign w:val="center"/>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289</w:t>
            </w:r>
          </w:p>
        </w:tc>
      </w:tr>
      <w:tr w:rsidR="00184E4C" w:rsidRPr="00184E4C" w:rsidTr="005C5811">
        <w:trPr>
          <w:trHeight w:val="300"/>
        </w:trPr>
        <w:tc>
          <w:tcPr>
            <w:tcW w:w="1016" w:type="pct"/>
            <w:tcBorders>
              <w:top w:val="nil"/>
              <w:left w:val="single" w:sz="4" w:space="0" w:color="auto"/>
              <w:bottom w:val="single" w:sz="4" w:space="0" w:color="auto"/>
              <w:right w:val="single" w:sz="4" w:space="0" w:color="auto"/>
            </w:tcBorders>
            <w:shd w:val="clear" w:color="auto" w:fill="auto"/>
            <w:noWrap/>
            <w:vAlign w:val="bottom"/>
            <w:hideMark/>
          </w:tcPr>
          <w:p w:rsidR="00184E4C" w:rsidRPr="00184E4C" w:rsidRDefault="00C370B8" w:rsidP="00C370B8">
            <w:pPr>
              <w:spacing w:after="0" w:line="240" w:lineRule="auto"/>
              <w:jc w:val="left"/>
              <w:rPr>
                <w:rFonts w:eastAsia="Times New Roman"/>
                <w:color w:val="000000"/>
                <w:sz w:val="18"/>
              </w:rPr>
            </w:pPr>
            <w:r>
              <w:rPr>
                <w:rFonts w:eastAsia="Times New Roman"/>
                <w:color w:val="000000"/>
                <w:sz w:val="18"/>
              </w:rPr>
              <w:t>R</w:t>
            </w:r>
            <w:r w:rsidR="00184E4C" w:rsidRPr="00184E4C">
              <w:rPr>
                <w:rFonts w:eastAsia="Times New Roman"/>
                <w:color w:val="000000"/>
                <w:sz w:val="18"/>
              </w:rPr>
              <w:t>ent</w:t>
            </w:r>
            <w:r>
              <w:rPr>
                <w:rFonts w:eastAsia="Times New Roman"/>
                <w:color w:val="000000"/>
                <w:sz w:val="18"/>
              </w:rPr>
              <w:t xml:space="preserve">s paid by </w:t>
            </w:r>
            <w:r w:rsidR="001027A5">
              <w:rPr>
                <w:rFonts w:eastAsia="Times New Roman"/>
                <w:color w:val="000000"/>
                <w:sz w:val="18"/>
              </w:rPr>
              <w:t xml:space="preserve">foreign </w:t>
            </w:r>
            <w:r>
              <w:rPr>
                <w:rFonts w:eastAsia="Times New Roman"/>
                <w:color w:val="000000"/>
                <w:sz w:val="18"/>
              </w:rPr>
              <w:t>tenants</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66</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DA40EF">
            <w:pPr>
              <w:spacing w:after="0" w:line="240" w:lineRule="auto"/>
              <w:jc w:val="center"/>
              <w:rPr>
                <w:rFonts w:eastAsia="Times New Roman"/>
                <w:color w:val="000000"/>
                <w:sz w:val="18"/>
              </w:rPr>
            </w:pPr>
            <w:r>
              <w:rPr>
                <w:rFonts w:eastAsia="Times New Roman"/>
                <w:color w:val="000000"/>
                <w:sz w:val="18"/>
              </w:rPr>
              <w:t>205</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DA40EF">
            <w:pPr>
              <w:spacing w:after="0" w:line="240" w:lineRule="auto"/>
              <w:rPr>
                <w:rFonts w:eastAsia="Times New Roman"/>
                <w:color w:val="000000"/>
                <w:sz w:val="18"/>
              </w:rPr>
            </w:pPr>
            <w:r>
              <w:rPr>
                <w:rFonts w:eastAsia="Times New Roman"/>
                <w:color w:val="000000"/>
                <w:sz w:val="18"/>
              </w:rPr>
              <w:t>205</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DA40EF">
            <w:pPr>
              <w:spacing w:after="0" w:line="240" w:lineRule="auto"/>
              <w:jc w:val="center"/>
              <w:rPr>
                <w:rFonts w:eastAsia="Times New Roman"/>
                <w:color w:val="000000"/>
                <w:sz w:val="18"/>
              </w:rPr>
            </w:pPr>
            <w:r>
              <w:rPr>
                <w:rFonts w:eastAsia="Times New Roman"/>
                <w:color w:val="000000"/>
                <w:sz w:val="18"/>
              </w:rPr>
              <w:t>205</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DA40EF">
            <w:pPr>
              <w:spacing w:after="0" w:line="240" w:lineRule="auto"/>
              <w:jc w:val="center"/>
              <w:rPr>
                <w:rFonts w:eastAsia="Times New Roman"/>
                <w:color w:val="000000"/>
                <w:sz w:val="18"/>
              </w:rPr>
            </w:pPr>
            <w:r>
              <w:rPr>
                <w:rFonts w:eastAsia="Times New Roman"/>
                <w:color w:val="000000"/>
                <w:sz w:val="18"/>
              </w:rPr>
              <w:t>298</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color w:val="000000"/>
                <w:sz w:val="18"/>
              </w:rPr>
            </w:pPr>
            <w:r>
              <w:rPr>
                <w:rFonts w:eastAsia="Times New Roman"/>
                <w:color w:val="000000"/>
                <w:sz w:val="18"/>
              </w:rPr>
              <w:t>806</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6B4776">
            <w:pPr>
              <w:spacing w:after="0" w:line="240" w:lineRule="auto"/>
              <w:jc w:val="center"/>
              <w:rPr>
                <w:rFonts w:eastAsia="Times New Roman"/>
                <w:color w:val="000000"/>
                <w:sz w:val="18"/>
              </w:rPr>
            </w:pPr>
            <w:r>
              <w:rPr>
                <w:rFonts w:eastAsia="Times New Roman"/>
                <w:color w:val="000000"/>
                <w:sz w:val="18"/>
              </w:rPr>
              <w:t>1163</w:t>
            </w:r>
          </w:p>
        </w:tc>
        <w:tc>
          <w:tcPr>
            <w:tcW w:w="443"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6B4776">
            <w:pPr>
              <w:spacing w:after="0" w:line="240" w:lineRule="auto"/>
              <w:jc w:val="center"/>
              <w:rPr>
                <w:rFonts w:eastAsia="Times New Roman"/>
                <w:color w:val="000000"/>
                <w:sz w:val="18"/>
              </w:rPr>
            </w:pPr>
            <w:r>
              <w:rPr>
                <w:rFonts w:eastAsia="Times New Roman"/>
                <w:color w:val="000000"/>
                <w:sz w:val="18"/>
              </w:rPr>
              <w:t>1163</w:t>
            </w:r>
          </w:p>
        </w:tc>
        <w:tc>
          <w:tcPr>
            <w:tcW w:w="440" w:type="pct"/>
            <w:tcBorders>
              <w:top w:val="nil"/>
              <w:left w:val="nil"/>
              <w:bottom w:val="single" w:sz="4" w:space="0" w:color="auto"/>
              <w:right w:val="single" w:sz="4" w:space="0" w:color="auto"/>
            </w:tcBorders>
            <w:shd w:val="clear" w:color="auto" w:fill="auto"/>
            <w:noWrap/>
            <w:vAlign w:val="center"/>
            <w:hideMark/>
          </w:tcPr>
          <w:p w:rsidR="00184E4C" w:rsidRPr="00184E4C" w:rsidRDefault="003C11C2" w:rsidP="006B4776">
            <w:pPr>
              <w:spacing w:after="0" w:line="240" w:lineRule="auto"/>
              <w:jc w:val="center"/>
              <w:rPr>
                <w:rFonts w:eastAsia="Times New Roman"/>
                <w:color w:val="000000"/>
                <w:sz w:val="18"/>
              </w:rPr>
            </w:pPr>
            <w:r>
              <w:rPr>
                <w:rFonts w:eastAsia="Times New Roman"/>
                <w:color w:val="000000"/>
                <w:sz w:val="18"/>
              </w:rPr>
              <w:t>1163</w:t>
            </w:r>
          </w:p>
        </w:tc>
      </w:tr>
      <w:tr w:rsidR="00184E4C" w:rsidRPr="00184E4C" w:rsidTr="005C5811">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E4C" w:rsidRPr="00184E4C" w:rsidRDefault="00184E4C" w:rsidP="00184E4C">
            <w:pPr>
              <w:spacing w:after="0" w:line="240" w:lineRule="auto"/>
              <w:jc w:val="left"/>
              <w:rPr>
                <w:rFonts w:eastAsia="Times New Roman"/>
                <w:b/>
                <w:bCs/>
                <w:color w:val="000000"/>
                <w:sz w:val="18"/>
              </w:rPr>
            </w:pPr>
            <w:r w:rsidRPr="00184E4C">
              <w:rPr>
                <w:rFonts w:eastAsia="Times New Roman"/>
                <w:b/>
                <w:bCs/>
                <w:color w:val="000000"/>
                <w:sz w:val="18"/>
              </w:rPr>
              <w:t>Total Economic Benefits</w:t>
            </w:r>
            <w:r w:rsidR="006B4776">
              <w:rPr>
                <w:rFonts w:eastAsia="Times New Roman"/>
                <w:b/>
                <w:bCs/>
                <w:color w:val="000000"/>
                <w:sz w:val="18"/>
              </w:rPr>
              <w:t xml:space="preserve">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803E3E">
            <w:pPr>
              <w:spacing w:after="0" w:line="240" w:lineRule="auto"/>
              <w:jc w:val="center"/>
              <w:rPr>
                <w:rFonts w:eastAsia="Times New Roman"/>
                <w:b/>
                <w:bCs/>
                <w:color w:val="000000"/>
                <w:sz w:val="18"/>
              </w:rPr>
            </w:pPr>
            <w:r>
              <w:rPr>
                <w:rFonts w:eastAsia="Times New Roman"/>
                <w:b/>
                <w:bCs/>
                <w:color w:val="000000"/>
                <w:sz w:val="18"/>
              </w:rPr>
              <w:t>3</w:t>
            </w:r>
            <w:r w:rsidR="00DA40EF">
              <w:rPr>
                <w:rFonts w:eastAsia="Times New Roman"/>
                <w:b/>
                <w:bCs/>
                <w:color w:val="000000"/>
                <w:sz w:val="18"/>
              </w:rPr>
              <w:t>,</w:t>
            </w:r>
            <w:r>
              <w:rPr>
                <w:rFonts w:eastAsia="Times New Roman"/>
                <w:b/>
                <w:bCs/>
                <w:color w:val="000000"/>
                <w:sz w:val="18"/>
              </w:rPr>
              <w:t>19</w:t>
            </w:r>
            <w:r w:rsidR="001240FE">
              <w:rPr>
                <w:rFonts w:eastAsia="Times New Roman"/>
                <w:b/>
                <w:bCs/>
                <w:color w:val="000000"/>
                <w:sz w:val="18"/>
              </w:rPr>
              <w:t>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8,477</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11,399</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11,419</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11,513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6B4776">
            <w:pPr>
              <w:spacing w:after="0" w:line="240" w:lineRule="auto"/>
              <w:jc w:val="center"/>
              <w:rPr>
                <w:rFonts w:eastAsia="Times New Roman"/>
                <w:b/>
                <w:bCs/>
                <w:color w:val="000000"/>
                <w:sz w:val="18"/>
              </w:rPr>
            </w:pPr>
            <w:r>
              <w:rPr>
                <w:rFonts w:eastAsia="Times New Roman"/>
                <w:b/>
                <w:bCs/>
                <w:color w:val="000000"/>
                <w:sz w:val="18"/>
              </w:rPr>
              <w:t>12</w:t>
            </w:r>
            <w:r w:rsidR="00DA40EF">
              <w:rPr>
                <w:rFonts w:eastAsia="Times New Roman"/>
                <w:b/>
                <w:bCs/>
                <w:color w:val="000000"/>
                <w:sz w:val="18"/>
              </w:rPr>
              <w:t>,</w:t>
            </w:r>
            <w:r w:rsidR="003C11C2">
              <w:rPr>
                <w:rFonts w:eastAsia="Times New Roman"/>
                <w:b/>
                <w:bCs/>
                <w:color w:val="000000"/>
                <w:sz w:val="18"/>
              </w:rPr>
              <w:t>020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6B4776" w:rsidP="000A37FD">
            <w:pPr>
              <w:spacing w:after="0" w:line="240" w:lineRule="auto"/>
              <w:jc w:val="center"/>
              <w:rPr>
                <w:rFonts w:eastAsia="Times New Roman"/>
                <w:b/>
                <w:bCs/>
                <w:color w:val="000000"/>
                <w:sz w:val="18"/>
              </w:rPr>
            </w:pPr>
            <w:r>
              <w:rPr>
                <w:rFonts w:eastAsia="Times New Roman"/>
                <w:b/>
                <w:bCs/>
                <w:color w:val="000000"/>
                <w:sz w:val="18"/>
              </w:rPr>
              <w:t>1</w:t>
            </w:r>
            <w:r w:rsidR="003C11C2">
              <w:rPr>
                <w:rFonts w:eastAsia="Times New Roman"/>
                <w:b/>
                <w:bCs/>
                <w:color w:val="000000"/>
                <w:sz w:val="18"/>
              </w:rPr>
              <w:t>2</w:t>
            </w:r>
            <w:r w:rsidR="00DA40EF">
              <w:rPr>
                <w:rFonts w:eastAsia="Times New Roman"/>
                <w:b/>
                <w:bCs/>
                <w:color w:val="000000"/>
                <w:sz w:val="18"/>
              </w:rPr>
              <w:t>,</w:t>
            </w:r>
            <w:r w:rsidR="003C11C2">
              <w:rPr>
                <w:rFonts w:eastAsia="Times New Roman"/>
                <w:b/>
                <w:bCs/>
                <w:color w:val="000000"/>
                <w:sz w:val="18"/>
              </w:rPr>
              <w:t>3</w:t>
            </w:r>
            <w:r>
              <w:rPr>
                <w:rFonts w:eastAsia="Times New Roman"/>
                <w:b/>
                <w:bCs/>
                <w:color w:val="000000"/>
                <w:sz w:val="18"/>
              </w:rPr>
              <w:t>7</w:t>
            </w:r>
            <w:r w:rsidR="003C11C2">
              <w:rPr>
                <w:rFonts w:eastAsia="Times New Roman"/>
                <w:b/>
                <w:bCs/>
                <w:color w:val="000000"/>
                <w:sz w:val="18"/>
              </w:rPr>
              <w:t>7</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12,377</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184E4C" w:rsidRPr="00184E4C" w:rsidRDefault="003C11C2" w:rsidP="000A37FD">
            <w:pPr>
              <w:spacing w:after="0" w:line="240" w:lineRule="auto"/>
              <w:jc w:val="center"/>
              <w:rPr>
                <w:rFonts w:eastAsia="Times New Roman"/>
                <w:b/>
                <w:bCs/>
                <w:color w:val="000000"/>
                <w:sz w:val="18"/>
              </w:rPr>
            </w:pPr>
            <w:r>
              <w:rPr>
                <w:rFonts w:eastAsia="Times New Roman"/>
                <w:b/>
                <w:bCs/>
                <w:color w:val="000000"/>
                <w:sz w:val="18"/>
              </w:rPr>
              <w:t>12,377</w:t>
            </w:r>
          </w:p>
        </w:tc>
      </w:tr>
      <w:tr w:rsidR="005C5811" w:rsidRPr="00184E4C" w:rsidTr="005C5811">
        <w:trPr>
          <w:trHeight w:val="300"/>
        </w:trPr>
        <w:tc>
          <w:tcPr>
            <w:tcW w:w="5000" w:type="pct"/>
            <w:gridSpan w:val="10"/>
            <w:tcBorders>
              <w:top w:val="single" w:sz="4" w:space="0" w:color="auto"/>
            </w:tcBorders>
            <w:shd w:val="clear" w:color="auto" w:fill="auto"/>
            <w:noWrap/>
            <w:vAlign w:val="bottom"/>
          </w:tcPr>
          <w:p w:rsidR="005C5811" w:rsidRPr="005C5811" w:rsidRDefault="005C5811" w:rsidP="005C5811">
            <w:pPr>
              <w:spacing w:after="0" w:line="240" w:lineRule="auto"/>
              <w:jc w:val="left"/>
              <w:rPr>
                <w:rFonts w:eastAsia="Times New Roman"/>
                <w:bCs/>
                <w:color w:val="000000"/>
                <w:sz w:val="18"/>
              </w:rPr>
            </w:pPr>
            <w:r w:rsidRPr="005C5811">
              <w:rPr>
                <w:rFonts w:eastAsia="Times New Roman"/>
                <w:bCs/>
                <w:color w:val="000000"/>
                <w:sz w:val="18"/>
              </w:rPr>
              <w:t>(*) Differences due to rounding</w:t>
            </w:r>
          </w:p>
        </w:tc>
      </w:tr>
    </w:tbl>
    <w:p w:rsidR="005C5811" w:rsidRPr="005C5811" w:rsidRDefault="00CF5271" w:rsidP="005C5811">
      <w:pPr>
        <w:pStyle w:val="ListParagraph"/>
        <w:numPr>
          <w:ilvl w:val="0"/>
          <w:numId w:val="5"/>
        </w:numPr>
        <w:spacing w:before="360"/>
        <w:contextualSpacing w:val="0"/>
        <w:rPr>
          <w:b/>
        </w:rPr>
      </w:pPr>
      <w:r w:rsidRPr="00270E99">
        <w:rPr>
          <w:b/>
        </w:rPr>
        <w:t>Economic Costs</w:t>
      </w:r>
    </w:p>
    <w:p w:rsidR="00DD7B8A" w:rsidRDefault="00B32E6C" w:rsidP="00CF5271">
      <w:r>
        <w:t xml:space="preserve">The </w:t>
      </w:r>
      <w:r w:rsidR="001240FE">
        <w:t xml:space="preserve">fourth operation of the </w:t>
      </w:r>
      <w:r>
        <w:t xml:space="preserve">Caracol Industrial Park </w:t>
      </w:r>
      <w:r w:rsidR="001027A5">
        <w:t xml:space="preserve">has an investment cost of </w:t>
      </w:r>
      <w:r>
        <w:t xml:space="preserve">US$ </w:t>
      </w:r>
      <w:r w:rsidR="001240FE">
        <w:t>70</w:t>
      </w:r>
      <w:r w:rsidR="00DD7B8A">
        <w:t xml:space="preserve"> million. The disbursement profile of </w:t>
      </w:r>
      <w:r w:rsidR="001240FE">
        <w:t xml:space="preserve">this </w:t>
      </w:r>
      <w:r w:rsidR="00DD7B8A">
        <w:t>grant is shown in the below table</w:t>
      </w:r>
      <w:r w:rsidR="001240FE">
        <w:t>, with the incremental operation and maintenance costs associated with the buildings financed by the fourth operation.</w:t>
      </w:r>
    </w:p>
    <w:p w:rsidR="00DA40EF" w:rsidRPr="00DA40EF" w:rsidRDefault="00DA40EF" w:rsidP="00DA40EF">
      <w:pPr>
        <w:rPr>
          <w:b/>
        </w:rPr>
      </w:pPr>
      <w:r w:rsidRPr="00DA40EF">
        <w:rPr>
          <w:b/>
        </w:rPr>
        <w:t xml:space="preserve">Table </w:t>
      </w:r>
      <w:r>
        <w:rPr>
          <w:b/>
        </w:rPr>
        <w:t>2</w:t>
      </w:r>
      <w:r w:rsidRPr="00DA40EF">
        <w:rPr>
          <w:b/>
        </w:rPr>
        <w:t xml:space="preserve">: Economic </w:t>
      </w:r>
      <w:r>
        <w:rPr>
          <w:b/>
        </w:rPr>
        <w:t>Costs</w:t>
      </w:r>
      <w:r w:rsidRPr="00DA40EF">
        <w:rPr>
          <w:b/>
        </w:rPr>
        <w:t xml:space="preserve"> (in US$ 1.000)</w:t>
      </w:r>
    </w:p>
    <w:tbl>
      <w:tblPr>
        <w:tblW w:w="7035" w:type="dxa"/>
        <w:tblInd w:w="93" w:type="dxa"/>
        <w:tblLook w:val="04A0" w:firstRow="1" w:lastRow="0" w:firstColumn="1" w:lastColumn="0" w:noHBand="0" w:noVBand="1"/>
      </w:tblPr>
      <w:tblGrid>
        <w:gridCol w:w="3705"/>
        <w:gridCol w:w="990"/>
        <w:gridCol w:w="1170"/>
        <w:gridCol w:w="1170"/>
      </w:tblGrid>
      <w:tr w:rsidR="00DA40EF" w:rsidRPr="00433B27" w:rsidTr="00220DBA">
        <w:trPr>
          <w:cantSplit/>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0EF" w:rsidRPr="00DA40EF" w:rsidRDefault="00DA40EF" w:rsidP="00D528FF">
            <w:pPr>
              <w:spacing w:after="0" w:line="240" w:lineRule="auto"/>
              <w:jc w:val="center"/>
              <w:rPr>
                <w:rFonts w:eastAsia="Times New Roman"/>
                <w:b/>
                <w:color w:val="000000"/>
                <w:sz w:val="18"/>
              </w:rPr>
            </w:pPr>
            <w:r w:rsidRPr="00DA40EF">
              <w:rPr>
                <w:rFonts w:eastAsia="Times New Roman"/>
                <w:b/>
                <w:color w:val="000000"/>
                <w:sz w:val="18"/>
              </w:rPr>
              <w:t>Costs</w:t>
            </w:r>
          </w:p>
        </w:tc>
        <w:tc>
          <w:tcPr>
            <w:tcW w:w="990" w:type="dxa"/>
            <w:tcBorders>
              <w:top w:val="single" w:sz="8" w:space="0" w:color="auto"/>
              <w:left w:val="single" w:sz="4" w:space="0" w:color="auto"/>
              <w:bottom w:val="nil"/>
              <w:right w:val="nil"/>
            </w:tcBorders>
            <w:shd w:val="clear" w:color="000000" w:fill="000000"/>
            <w:vAlign w:val="center"/>
            <w:hideMark/>
          </w:tcPr>
          <w:p w:rsidR="00DA40EF" w:rsidRPr="00433B27" w:rsidRDefault="00DA40EF" w:rsidP="005C5811">
            <w:pPr>
              <w:spacing w:after="0" w:line="240" w:lineRule="auto"/>
              <w:jc w:val="center"/>
              <w:rPr>
                <w:rFonts w:eastAsia="Times New Roman"/>
                <w:b/>
                <w:bCs/>
                <w:color w:val="FFFFFF"/>
                <w:sz w:val="20"/>
              </w:rPr>
            </w:pPr>
            <w:r w:rsidRPr="00433B27">
              <w:rPr>
                <w:rFonts w:eastAsia="Times New Roman"/>
                <w:b/>
                <w:bCs/>
                <w:color w:val="FFFFFF"/>
                <w:sz w:val="20"/>
              </w:rPr>
              <w:t>201</w:t>
            </w:r>
            <w:r>
              <w:rPr>
                <w:rFonts w:eastAsia="Times New Roman"/>
                <w:b/>
                <w:bCs/>
                <w:color w:val="FFFFFF"/>
                <w:sz w:val="20"/>
              </w:rPr>
              <w:t>5</w:t>
            </w:r>
          </w:p>
        </w:tc>
        <w:tc>
          <w:tcPr>
            <w:tcW w:w="1170" w:type="dxa"/>
            <w:tcBorders>
              <w:top w:val="single" w:sz="8" w:space="0" w:color="auto"/>
              <w:left w:val="single" w:sz="8" w:space="0" w:color="auto"/>
              <w:bottom w:val="nil"/>
              <w:right w:val="nil"/>
            </w:tcBorders>
            <w:shd w:val="clear" w:color="000000" w:fill="000000"/>
            <w:vAlign w:val="center"/>
            <w:hideMark/>
          </w:tcPr>
          <w:p w:rsidR="00DA40EF" w:rsidRPr="00433B27" w:rsidRDefault="00DA40EF" w:rsidP="005C5811">
            <w:pPr>
              <w:spacing w:after="0" w:line="240" w:lineRule="auto"/>
              <w:jc w:val="center"/>
              <w:rPr>
                <w:rFonts w:eastAsia="Times New Roman"/>
                <w:b/>
                <w:bCs/>
                <w:color w:val="FFFFFF"/>
                <w:sz w:val="20"/>
              </w:rPr>
            </w:pPr>
            <w:r w:rsidRPr="00433B27">
              <w:rPr>
                <w:rFonts w:eastAsia="Times New Roman"/>
                <w:b/>
                <w:bCs/>
                <w:color w:val="FFFFFF"/>
                <w:sz w:val="20"/>
              </w:rPr>
              <w:t>201</w:t>
            </w:r>
            <w:r>
              <w:rPr>
                <w:rFonts w:eastAsia="Times New Roman"/>
                <w:b/>
                <w:bCs/>
                <w:color w:val="FFFFFF"/>
                <w:sz w:val="20"/>
              </w:rPr>
              <w:t>6</w:t>
            </w:r>
          </w:p>
        </w:tc>
        <w:tc>
          <w:tcPr>
            <w:tcW w:w="1170" w:type="dxa"/>
            <w:tcBorders>
              <w:top w:val="single" w:sz="8" w:space="0" w:color="auto"/>
              <w:left w:val="single" w:sz="8" w:space="0" w:color="auto"/>
              <w:bottom w:val="nil"/>
              <w:right w:val="nil"/>
            </w:tcBorders>
            <w:shd w:val="clear" w:color="000000" w:fill="000000"/>
            <w:vAlign w:val="center"/>
            <w:hideMark/>
          </w:tcPr>
          <w:p w:rsidR="00DA40EF" w:rsidRPr="00433B27" w:rsidRDefault="00DA40EF" w:rsidP="005C5811">
            <w:pPr>
              <w:spacing w:after="0" w:line="240" w:lineRule="auto"/>
              <w:jc w:val="center"/>
              <w:rPr>
                <w:rFonts w:eastAsia="Times New Roman"/>
                <w:b/>
                <w:bCs/>
                <w:color w:val="FFFFFF"/>
                <w:sz w:val="20"/>
              </w:rPr>
            </w:pPr>
            <w:r w:rsidRPr="00433B27">
              <w:rPr>
                <w:rFonts w:eastAsia="Times New Roman"/>
                <w:b/>
                <w:bCs/>
                <w:color w:val="FFFFFF"/>
                <w:sz w:val="20"/>
              </w:rPr>
              <w:t>201</w:t>
            </w:r>
            <w:r>
              <w:rPr>
                <w:rFonts w:eastAsia="Times New Roman"/>
                <w:b/>
                <w:bCs/>
                <w:color w:val="FFFFFF"/>
                <w:sz w:val="20"/>
              </w:rPr>
              <w:t>7 and after</w:t>
            </w:r>
          </w:p>
        </w:tc>
      </w:tr>
      <w:tr w:rsidR="00DA40EF" w:rsidRPr="00433B27" w:rsidTr="00220DBA">
        <w:trPr>
          <w:cantSplit/>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DA40EF" w:rsidRPr="00433B27" w:rsidRDefault="00DA40EF" w:rsidP="00433B27">
            <w:pPr>
              <w:spacing w:after="0" w:line="240" w:lineRule="auto"/>
              <w:jc w:val="left"/>
              <w:rPr>
                <w:rFonts w:eastAsia="Times New Roman"/>
                <w:color w:val="000000"/>
                <w:sz w:val="20"/>
              </w:rPr>
            </w:pPr>
            <w:r>
              <w:rPr>
                <w:rFonts w:eastAsia="Times New Roman"/>
                <w:color w:val="000000"/>
                <w:sz w:val="20"/>
              </w:rPr>
              <w:t>Component I</w:t>
            </w:r>
          </w:p>
        </w:tc>
        <w:tc>
          <w:tcPr>
            <w:tcW w:w="990" w:type="dxa"/>
            <w:tcBorders>
              <w:top w:val="single" w:sz="4" w:space="0" w:color="auto"/>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r>
              <w:rPr>
                <w:rFonts w:eastAsia="Times New Roman"/>
                <w:color w:val="000000"/>
                <w:sz w:val="20"/>
              </w:rPr>
              <w:t>21</w:t>
            </w:r>
            <w:r w:rsidR="00220DBA">
              <w:rPr>
                <w:rFonts w:eastAsia="Times New Roman"/>
                <w:color w:val="000000"/>
                <w:sz w:val="20"/>
              </w:rPr>
              <w:t>,</w:t>
            </w:r>
            <w:r>
              <w:rPr>
                <w:rFonts w:eastAsia="Times New Roman"/>
                <w:color w:val="000000"/>
                <w:sz w:val="20"/>
              </w:rPr>
              <w:t>250</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r>
              <w:rPr>
                <w:rFonts w:eastAsia="Times New Roman"/>
                <w:color w:val="000000"/>
                <w:sz w:val="20"/>
              </w:rPr>
              <w:t>40</w:t>
            </w:r>
            <w:r w:rsidR="00220DBA">
              <w:rPr>
                <w:rFonts w:eastAsia="Times New Roman"/>
                <w:color w:val="000000"/>
                <w:sz w:val="20"/>
              </w:rPr>
              <w:t>,</w:t>
            </w:r>
            <w:r>
              <w:rPr>
                <w:rFonts w:eastAsia="Times New Roman"/>
                <w:color w:val="000000"/>
                <w:sz w:val="20"/>
              </w:rPr>
              <w:t>750</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w:t>
            </w:r>
          </w:p>
        </w:tc>
      </w:tr>
      <w:tr w:rsidR="00DA40EF" w:rsidRPr="00433B27" w:rsidTr="00220DBA">
        <w:trPr>
          <w:cantSplit/>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DA40EF" w:rsidRPr="00433B27" w:rsidRDefault="00DA40EF" w:rsidP="00433B27">
            <w:pPr>
              <w:spacing w:after="0" w:line="240" w:lineRule="auto"/>
              <w:jc w:val="left"/>
              <w:rPr>
                <w:rFonts w:eastAsia="Times New Roman"/>
                <w:color w:val="000000"/>
                <w:sz w:val="20"/>
              </w:rPr>
            </w:pPr>
            <w:r>
              <w:rPr>
                <w:rFonts w:eastAsia="Times New Roman"/>
                <w:color w:val="000000"/>
                <w:sz w:val="20"/>
              </w:rPr>
              <w:t>Component II</w:t>
            </w:r>
          </w:p>
        </w:tc>
        <w:tc>
          <w:tcPr>
            <w:tcW w:w="990" w:type="dxa"/>
            <w:tcBorders>
              <w:top w:val="nil"/>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r>
              <w:rPr>
                <w:rFonts w:eastAsia="Times New Roman"/>
                <w:color w:val="000000"/>
                <w:sz w:val="20"/>
              </w:rPr>
              <w:t>2</w:t>
            </w:r>
            <w:r w:rsidR="00220DBA">
              <w:rPr>
                <w:rFonts w:eastAsia="Times New Roman"/>
                <w:color w:val="000000"/>
                <w:sz w:val="20"/>
              </w:rPr>
              <w:t>,</w:t>
            </w:r>
            <w:r>
              <w:rPr>
                <w:rFonts w:eastAsia="Times New Roman"/>
                <w:color w:val="000000"/>
                <w:sz w:val="20"/>
              </w:rPr>
              <w:t>000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r>
              <w:rPr>
                <w:rFonts w:eastAsia="Times New Roman"/>
                <w:color w:val="000000"/>
                <w:sz w:val="20"/>
              </w:rPr>
              <w:t>15</w:t>
            </w:r>
            <w:r w:rsidR="00220DBA">
              <w:rPr>
                <w:rFonts w:eastAsia="Times New Roman"/>
                <w:color w:val="000000"/>
                <w:sz w:val="20"/>
              </w:rPr>
              <w:t>,</w:t>
            </w:r>
            <w:r>
              <w:rPr>
                <w:rFonts w:eastAsia="Times New Roman"/>
                <w:color w:val="000000"/>
                <w:sz w:val="20"/>
              </w:rPr>
              <w:t>000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w:t>
            </w:r>
          </w:p>
        </w:tc>
      </w:tr>
      <w:tr w:rsidR="00DA40EF" w:rsidRPr="00433B27" w:rsidTr="00220DBA">
        <w:trPr>
          <w:cantSplit/>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DA40EF" w:rsidRPr="00433B27" w:rsidRDefault="00DA40EF" w:rsidP="00433B27">
            <w:pPr>
              <w:spacing w:after="0" w:line="240" w:lineRule="auto"/>
              <w:jc w:val="left"/>
              <w:rPr>
                <w:rFonts w:eastAsia="Times New Roman"/>
                <w:color w:val="000000"/>
                <w:sz w:val="20"/>
              </w:rPr>
            </w:pPr>
            <w:r>
              <w:rPr>
                <w:rFonts w:eastAsia="Times New Roman"/>
                <w:color w:val="000000"/>
                <w:sz w:val="20"/>
              </w:rPr>
              <w:t>Component III</w:t>
            </w:r>
          </w:p>
        </w:tc>
        <w:tc>
          <w:tcPr>
            <w:tcW w:w="990" w:type="dxa"/>
            <w:tcBorders>
              <w:top w:val="nil"/>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500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500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p>
        </w:tc>
      </w:tr>
      <w:tr w:rsidR="00DA40EF" w:rsidRPr="00433B27" w:rsidTr="00220DBA">
        <w:trPr>
          <w:cantSplit/>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DA40EF" w:rsidRPr="00433B27" w:rsidRDefault="00DA40EF" w:rsidP="00433B27">
            <w:pPr>
              <w:spacing w:after="0" w:line="240" w:lineRule="auto"/>
              <w:jc w:val="left"/>
              <w:rPr>
                <w:rFonts w:eastAsia="Times New Roman"/>
                <w:color w:val="000000"/>
                <w:sz w:val="20"/>
              </w:rPr>
            </w:pPr>
            <w:r>
              <w:rPr>
                <w:rFonts w:eastAsia="Times New Roman"/>
                <w:color w:val="000000"/>
                <w:sz w:val="20"/>
              </w:rPr>
              <w:t>Program Management</w:t>
            </w:r>
          </w:p>
        </w:tc>
        <w:tc>
          <w:tcPr>
            <w:tcW w:w="990" w:type="dxa"/>
            <w:tcBorders>
              <w:top w:val="nil"/>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25,000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220DBA" w:rsidP="00220DBA">
            <w:pPr>
              <w:spacing w:after="0" w:line="240" w:lineRule="auto"/>
              <w:jc w:val="right"/>
              <w:rPr>
                <w:rFonts w:eastAsia="Times New Roman"/>
                <w:color w:val="000000"/>
                <w:sz w:val="20"/>
              </w:rPr>
            </w:pPr>
            <w:r>
              <w:rPr>
                <w:rFonts w:eastAsia="Times New Roman"/>
                <w:color w:val="000000"/>
                <w:sz w:val="20"/>
              </w:rPr>
              <w:t>45,000</w:t>
            </w:r>
          </w:p>
        </w:tc>
        <w:tc>
          <w:tcPr>
            <w:tcW w:w="1170" w:type="dxa"/>
            <w:tcBorders>
              <w:top w:val="nil"/>
              <w:left w:val="nil"/>
              <w:bottom w:val="single" w:sz="4" w:space="0" w:color="auto"/>
              <w:right w:val="single" w:sz="4" w:space="0" w:color="auto"/>
            </w:tcBorders>
            <w:shd w:val="clear" w:color="auto" w:fill="auto"/>
            <w:vAlign w:val="center"/>
          </w:tcPr>
          <w:p w:rsidR="00DA40EF" w:rsidRPr="00433B27" w:rsidRDefault="00DA40EF" w:rsidP="00220DBA">
            <w:pPr>
              <w:spacing w:after="0" w:line="240" w:lineRule="auto"/>
              <w:jc w:val="right"/>
              <w:rPr>
                <w:rFonts w:eastAsia="Times New Roman"/>
                <w:color w:val="000000"/>
                <w:sz w:val="20"/>
              </w:rPr>
            </w:pPr>
          </w:p>
        </w:tc>
      </w:tr>
      <w:tr w:rsidR="00DA40EF" w:rsidRPr="00433B27" w:rsidTr="00220DBA">
        <w:trPr>
          <w:cantSplit/>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A40EF" w:rsidRPr="00433B27" w:rsidRDefault="00DA40EF" w:rsidP="00433B27">
            <w:pPr>
              <w:spacing w:after="0" w:line="240" w:lineRule="auto"/>
              <w:jc w:val="left"/>
              <w:rPr>
                <w:rFonts w:eastAsia="Times New Roman"/>
                <w:color w:val="000000"/>
                <w:sz w:val="20"/>
              </w:rPr>
            </w:pPr>
            <w:r>
              <w:rPr>
                <w:rFonts w:eastAsia="Times New Roman"/>
                <w:color w:val="000000"/>
                <w:sz w:val="20"/>
              </w:rPr>
              <w:t>Incremental O&amp;M costs</w:t>
            </w:r>
          </w:p>
        </w:tc>
        <w:tc>
          <w:tcPr>
            <w:tcW w:w="990" w:type="dxa"/>
            <w:tcBorders>
              <w:top w:val="nil"/>
              <w:left w:val="nil"/>
              <w:bottom w:val="single" w:sz="4" w:space="0" w:color="auto"/>
              <w:right w:val="single" w:sz="4" w:space="0" w:color="auto"/>
            </w:tcBorders>
            <w:shd w:val="clear" w:color="auto" w:fill="auto"/>
            <w:vAlign w:val="center"/>
            <w:hideMark/>
          </w:tcPr>
          <w:p w:rsidR="00DA40EF" w:rsidRPr="00433B27" w:rsidRDefault="00220DBA">
            <w:pPr>
              <w:spacing w:after="0" w:line="240" w:lineRule="auto"/>
              <w:jc w:val="right"/>
              <w:rPr>
                <w:rFonts w:eastAsia="Times New Roman"/>
                <w:color w:val="000000"/>
                <w:sz w:val="20"/>
              </w:rPr>
            </w:pPr>
            <w:r>
              <w:rPr>
                <w:rFonts w:eastAsia="Times New Roman"/>
                <w:color w:val="000000"/>
                <w:sz w:val="20"/>
              </w:rPr>
              <w:t>1,</w:t>
            </w:r>
            <w:r w:rsidR="001E5E45">
              <w:rPr>
                <w:rFonts w:eastAsia="Times New Roman"/>
                <w:color w:val="000000"/>
                <w:sz w:val="20"/>
              </w:rPr>
              <w:t>381</w:t>
            </w:r>
          </w:p>
        </w:tc>
        <w:tc>
          <w:tcPr>
            <w:tcW w:w="1170" w:type="dxa"/>
            <w:tcBorders>
              <w:top w:val="nil"/>
              <w:left w:val="nil"/>
              <w:bottom w:val="single" w:sz="4" w:space="0" w:color="auto"/>
              <w:right w:val="single" w:sz="4" w:space="0" w:color="auto"/>
            </w:tcBorders>
            <w:shd w:val="clear" w:color="auto" w:fill="auto"/>
            <w:vAlign w:val="center"/>
            <w:hideMark/>
          </w:tcPr>
          <w:p w:rsidR="00DA40EF" w:rsidRPr="00433B27" w:rsidRDefault="00220DBA">
            <w:pPr>
              <w:spacing w:after="0" w:line="240" w:lineRule="auto"/>
              <w:jc w:val="right"/>
              <w:rPr>
                <w:rFonts w:eastAsia="Times New Roman"/>
                <w:color w:val="000000"/>
                <w:sz w:val="20"/>
              </w:rPr>
            </w:pPr>
            <w:r>
              <w:rPr>
                <w:rFonts w:eastAsia="Times New Roman"/>
                <w:color w:val="000000"/>
                <w:sz w:val="20"/>
              </w:rPr>
              <w:t>1,</w:t>
            </w:r>
            <w:r w:rsidR="001E5E45">
              <w:rPr>
                <w:rFonts w:eastAsia="Times New Roman"/>
                <w:color w:val="000000"/>
                <w:sz w:val="20"/>
              </w:rPr>
              <w:t>381</w:t>
            </w:r>
          </w:p>
        </w:tc>
        <w:tc>
          <w:tcPr>
            <w:tcW w:w="1170" w:type="dxa"/>
            <w:tcBorders>
              <w:top w:val="nil"/>
              <w:left w:val="nil"/>
              <w:bottom w:val="single" w:sz="4" w:space="0" w:color="auto"/>
              <w:right w:val="single" w:sz="4" w:space="0" w:color="auto"/>
            </w:tcBorders>
            <w:shd w:val="clear" w:color="auto" w:fill="auto"/>
            <w:vAlign w:val="center"/>
            <w:hideMark/>
          </w:tcPr>
          <w:p w:rsidR="00DA40EF" w:rsidRPr="00433B27" w:rsidRDefault="00220DBA">
            <w:pPr>
              <w:spacing w:after="0" w:line="240" w:lineRule="auto"/>
              <w:jc w:val="right"/>
              <w:rPr>
                <w:rFonts w:eastAsia="Times New Roman"/>
                <w:color w:val="000000"/>
                <w:sz w:val="20"/>
              </w:rPr>
            </w:pPr>
            <w:r>
              <w:rPr>
                <w:rFonts w:eastAsia="Times New Roman"/>
                <w:color w:val="000000"/>
                <w:sz w:val="20"/>
              </w:rPr>
              <w:t>1,</w:t>
            </w:r>
            <w:r w:rsidR="001E5E45">
              <w:rPr>
                <w:rFonts w:eastAsia="Times New Roman"/>
                <w:color w:val="000000"/>
                <w:sz w:val="20"/>
              </w:rPr>
              <w:t>381</w:t>
            </w:r>
          </w:p>
        </w:tc>
      </w:tr>
      <w:tr w:rsidR="00DA40EF" w:rsidRPr="00433B27" w:rsidTr="00220DBA">
        <w:trPr>
          <w:cantSplit/>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A40EF" w:rsidRPr="00433B27" w:rsidRDefault="00DA40EF" w:rsidP="00433B27">
            <w:pPr>
              <w:spacing w:after="0" w:line="240" w:lineRule="auto"/>
              <w:jc w:val="left"/>
              <w:rPr>
                <w:rFonts w:eastAsia="Times New Roman"/>
                <w:b/>
                <w:bCs/>
                <w:color w:val="000000"/>
                <w:sz w:val="20"/>
              </w:rPr>
            </w:pPr>
            <w:r>
              <w:rPr>
                <w:rFonts w:eastAsia="Times New Roman"/>
                <w:b/>
                <w:bCs/>
                <w:color w:val="000000"/>
                <w:sz w:val="20"/>
              </w:rPr>
              <w:t xml:space="preserve"> CAP</w:t>
            </w:r>
            <w:r w:rsidRPr="00433B27">
              <w:rPr>
                <w:rFonts w:eastAsia="Times New Roman"/>
                <w:b/>
                <w:bCs/>
                <w:color w:val="000000"/>
                <w:sz w:val="20"/>
                <w:vertAlign w:val="subscript"/>
              </w:rPr>
              <w:t>t</w:t>
            </w:r>
          </w:p>
        </w:tc>
        <w:tc>
          <w:tcPr>
            <w:tcW w:w="990" w:type="dxa"/>
            <w:tcBorders>
              <w:top w:val="nil"/>
              <w:left w:val="nil"/>
              <w:bottom w:val="single" w:sz="4" w:space="0" w:color="auto"/>
              <w:right w:val="single" w:sz="4" w:space="0" w:color="auto"/>
            </w:tcBorders>
            <w:shd w:val="clear" w:color="auto" w:fill="auto"/>
            <w:vAlign w:val="center"/>
            <w:hideMark/>
          </w:tcPr>
          <w:p w:rsidR="00DA40EF" w:rsidRPr="00433B27" w:rsidRDefault="00DA40EF">
            <w:pPr>
              <w:spacing w:after="0" w:line="240" w:lineRule="auto"/>
              <w:jc w:val="right"/>
              <w:rPr>
                <w:rFonts w:eastAsia="Times New Roman"/>
                <w:b/>
                <w:bCs/>
                <w:color w:val="000000"/>
                <w:sz w:val="20"/>
                <w:szCs w:val="20"/>
              </w:rPr>
            </w:pPr>
            <w:r w:rsidRPr="00433B27">
              <w:rPr>
                <w:rFonts w:eastAsia="Times New Roman"/>
                <w:b/>
                <w:bCs/>
                <w:color w:val="000000"/>
                <w:sz w:val="20"/>
                <w:szCs w:val="20"/>
              </w:rPr>
              <w:t xml:space="preserve">   </w:t>
            </w:r>
            <w:r w:rsidR="00220DBA">
              <w:rPr>
                <w:rFonts w:eastAsia="Times New Roman"/>
                <w:b/>
                <w:bCs/>
                <w:color w:val="000000"/>
                <w:sz w:val="20"/>
                <w:szCs w:val="20"/>
              </w:rPr>
              <w:t>26,</w:t>
            </w:r>
            <w:r w:rsidR="001E5E45">
              <w:rPr>
                <w:rFonts w:eastAsia="Times New Roman"/>
                <w:b/>
                <w:bCs/>
                <w:color w:val="000000"/>
                <w:sz w:val="20"/>
                <w:szCs w:val="20"/>
              </w:rPr>
              <w:t>381</w:t>
            </w:r>
            <w:r w:rsidR="001E5E45" w:rsidRPr="00433B27">
              <w:rPr>
                <w:rFonts w:eastAsia="Times New Roman"/>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DA40EF" w:rsidRPr="00433B27" w:rsidRDefault="00220DBA">
            <w:pPr>
              <w:spacing w:after="0" w:line="240" w:lineRule="auto"/>
              <w:jc w:val="right"/>
              <w:rPr>
                <w:rFonts w:eastAsia="Times New Roman"/>
                <w:b/>
                <w:bCs/>
                <w:color w:val="000000"/>
                <w:sz w:val="20"/>
                <w:szCs w:val="20"/>
              </w:rPr>
            </w:pPr>
            <w:r>
              <w:rPr>
                <w:rFonts w:eastAsia="Times New Roman"/>
                <w:b/>
                <w:bCs/>
                <w:color w:val="000000"/>
                <w:sz w:val="20"/>
                <w:szCs w:val="20"/>
              </w:rPr>
              <w:t>46,</w:t>
            </w:r>
            <w:r w:rsidR="001E5E45">
              <w:rPr>
                <w:rFonts w:eastAsia="Times New Roman"/>
                <w:b/>
                <w:bCs/>
                <w:color w:val="000000"/>
                <w:sz w:val="20"/>
                <w:szCs w:val="20"/>
              </w:rPr>
              <w:t>381</w:t>
            </w:r>
          </w:p>
        </w:tc>
        <w:tc>
          <w:tcPr>
            <w:tcW w:w="1170" w:type="dxa"/>
            <w:tcBorders>
              <w:top w:val="nil"/>
              <w:left w:val="nil"/>
              <w:bottom w:val="single" w:sz="4" w:space="0" w:color="auto"/>
              <w:right w:val="single" w:sz="4" w:space="0" w:color="auto"/>
            </w:tcBorders>
            <w:shd w:val="clear" w:color="auto" w:fill="auto"/>
            <w:vAlign w:val="center"/>
            <w:hideMark/>
          </w:tcPr>
          <w:p w:rsidR="00DA40EF" w:rsidRPr="00433B27" w:rsidRDefault="00220DBA">
            <w:pPr>
              <w:spacing w:after="0" w:line="240" w:lineRule="auto"/>
              <w:jc w:val="right"/>
              <w:rPr>
                <w:rFonts w:eastAsia="Times New Roman"/>
                <w:b/>
                <w:bCs/>
                <w:color w:val="000000"/>
                <w:sz w:val="20"/>
                <w:szCs w:val="20"/>
              </w:rPr>
            </w:pPr>
            <w:r>
              <w:rPr>
                <w:rFonts w:eastAsia="Times New Roman"/>
                <w:b/>
                <w:bCs/>
                <w:color w:val="000000"/>
                <w:sz w:val="20"/>
                <w:szCs w:val="20"/>
              </w:rPr>
              <w:t>1,</w:t>
            </w:r>
            <w:r w:rsidR="001E5E45">
              <w:rPr>
                <w:rFonts w:eastAsia="Times New Roman"/>
                <w:b/>
                <w:bCs/>
                <w:color w:val="000000"/>
                <w:sz w:val="20"/>
                <w:szCs w:val="20"/>
              </w:rPr>
              <w:t>381</w:t>
            </w:r>
          </w:p>
        </w:tc>
      </w:tr>
    </w:tbl>
    <w:p w:rsidR="00220DBA" w:rsidRDefault="00220DBA" w:rsidP="00CF5271"/>
    <w:p w:rsidR="00D60BB5" w:rsidRDefault="00D60BB5" w:rsidP="0051322C">
      <w:pPr>
        <w:jc w:val="left"/>
      </w:pPr>
    </w:p>
    <w:p w:rsidR="00220DBA" w:rsidRDefault="00220DBA" w:rsidP="0051322C">
      <w:pPr>
        <w:jc w:val="left"/>
      </w:pPr>
    </w:p>
    <w:p w:rsidR="003541EC" w:rsidRPr="003541EC" w:rsidRDefault="003541EC" w:rsidP="003541EC">
      <w:pPr>
        <w:sectPr w:rsidR="003541EC" w:rsidRPr="003541EC" w:rsidSect="00DD3A50">
          <w:headerReference w:type="default" r:id="rId9"/>
          <w:pgSz w:w="12240" w:h="15840"/>
          <w:pgMar w:top="1440" w:right="1800" w:bottom="1440" w:left="1800" w:header="720" w:footer="720" w:gutter="0"/>
          <w:pgNumType w:start="1"/>
          <w:cols w:space="720"/>
          <w:titlePg/>
          <w:docGrid w:linePitch="360"/>
        </w:sectPr>
      </w:pPr>
    </w:p>
    <w:p w:rsidR="00CF5271" w:rsidRPr="00D60676" w:rsidRDefault="00CF5271" w:rsidP="00637A31">
      <w:pPr>
        <w:pStyle w:val="ListParagraph"/>
        <w:numPr>
          <w:ilvl w:val="0"/>
          <w:numId w:val="5"/>
        </w:numPr>
        <w:spacing w:before="360"/>
        <w:contextualSpacing w:val="0"/>
        <w:rPr>
          <w:b/>
        </w:rPr>
      </w:pPr>
      <w:r w:rsidRPr="00D60676">
        <w:rPr>
          <w:b/>
        </w:rPr>
        <w:lastRenderedPageBreak/>
        <w:t>Economic Returns</w:t>
      </w:r>
    </w:p>
    <w:p w:rsidR="00803E3E" w:rsidRDefault="003C11C2" w:rsidP="00C8610C">
      <w:r w:rsidRPr="003C11C2">
        <w:rPr>
          <w:noProof/>
        </w:rPr>
        <w:drawing>
          <wp:inline distT="0" distB="0" distL="0" distR="0" wp14:anchorId="77D208ED" wp14:editId="4FAD7477">
            <wp:extent cx="9471546" cy="2518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4513" cy="2518801"/>
                    </a:xfrm>
                    <a:prstGeom prst="rect">
                      <a:avLst/>
                    </a:prstGeom>
                    <a:noFill/>
                    <a:ln>
                      <a:noFill/>
                    </a:ln>
                  </pic:spPr>
                </pic:pic>
              </a:graphicData>
            </a:graphic>
          </wp:inline>
        </w:drawing>
      </w:r>
    </w:p>
    <w:p w:rsidR="00803E3E" w:rsidRDefault="00803E3E" w:rsidP="0051322C">
      <w:r w:rsidRPr="00803E3E">
        <w:t xml:space="preserve">It should be noted that the Economic Internal Rate of Return calculated </w:t>
      </w:r>
      <w:r>
        <w:t>on the 20-</w:t>
      </w:r>
      <w:r w:rsidRPr="00803E3E">
        <w:t xml:space="preserve">year timeline indicates an </w:t>
      </w:r>
      <w:r>
        <w:t>economic rate of return of 1</w:t>
      </w:r>
      <w:r w:rsidR="003C11C2">
        <w:t>3.8</w:t>
      </w:r>
      <w:r>
        <w:t>%, and a</w:t>
      </w:r>
      <w:r w:rsidRPr="00803E3E">
        <w:t xml:space="preserve"> Net</w:t>
      </w:r>
      <w:r>
        <w:t xml:space="preserve"> Present Value of Net</w:t>
      </w:r>
      <w:r w:rsidRPr="00803E3E">
        <w:t xml:space="preserve"> Benefits-Costs </w:t>
      </w:r>
      <w:r>
        <w:t xml:space="preserve">US$ </w:t>
      </w:r>
      <w:r w:rsidR="003C11C2">
        <w:t>5</w:t>
      </w:r>
      <w:r>
        <w:t>.</w:t>
      </w:r>
      <w:r w:rsidR="003C11C2">
        <w:t>7</w:t>
      </w:r>
      <w:r>
        <w:t xml:space="preserve"> million</w:t>
      </w:r>
      <w:r w:rsidRPr="00803E3E">
        <w:t xml:space="preserve">. These figures mean that the </w:t>
      </w:r>
      <w:r>
        <w:t>fourth operation has the potential to provide substantial benefits</w:t>
      </w:r>
      <w:r w:rsidRPr="00803E3E">
        <w:t>.</w:t>
      </w:r>
    </w:p>
    <w:p w:rsidR="005C4F80" w:rsidRDefault="00803E3E" w:rsidP="0051322C">
      <w:pPr>
        <w:rPr>
          <w:b/>
        </w:rPr>
        <w:sectPr w:rsidR="005C4F80" w:rsidSect="0051322C">
          <w:pgSz w:w="15840" w:h="12240" w:orient="landscape"/>
          <w:pgMar w:top="1440" w:right="1800" w:bottom="1440" w:left="450" w:header="720" w:footer="720" w:gutter="0"/>
          <w:cols w:space="720"/>
          <w:docGrid w:linePitch="360"/>
        </w:sectPr>
      </w:pPr>
      <w:r w:rsidRPr="00803E3E">
        <w:t xml:space="preserve"> </w:t>
      </w:r>
    </w:p>
    <w:p w:rsidR="00CF5271" w:rsidRPr="00D60676" w:rsidRDefault="00CF5271" w:rsidP="00637A31">
      <w:pPr>
        <w:pStyle w:val="ListParagraph"/>
        <w:numPr>
          <w:ilvl w:val="0"/>
          <w:numId w:val="5"/>
        </w:numPr>
        <w:spacing w:before="360"/>
        <w:contextualSpacing w:val="0"/>
        <w:rPr>
          <w:b/>
        </w:rPr>
      </w:pPr>
      <w:r w:rsidRPr="00D60676">
        <w:rPr>
          <w:b/>
        </w:rPr>
        <w:lastRenderedPageBreak/>
        <w:t xml:space="preserve">Sensitivity analysis </w:t>
      </w:r>
    </w:p>
    <w:p w:rsidR="008F49BF" w:rsidRDefault="008F49BF" w:rsidP="00CF5271">
      <w:pPr>
        <w:pStyle w:val="ListParagraph"/>
        <w:spacing w:before="120" w:after="0" w:line="360" w:lineRule="auto"/>
        <w:ind w:left="0"/>
        <w:rPr>
          <w:rFonts w:cs="Arial"/>
        </w:rPr>
      </w:pPr>
      <w:r>
        <w:rPr>
          <w:rFonts w:cs="Arial"/>
        </w:rPr>
        <w:t>The NPV</w:t>
      </w:r>
      <w:r w:rsidR="00DA64AA">
        <w:rPr>
          <w:rFonts w:cs="Arial"/>
        </w:rPr>
        <w:t xml:space="preserve"> and ERR can be affected by key assumptions</w:t>
      </w:r>
      <w:r>
        <w:rPr>
          <w:rFonts w:cs="Arial"/>
        </w:rPr>
        <w:t xml:space="preserve">. In order to evaluate the impact of a change in </w:t>
      </w:r>
      <w:r w:rsidR="00DA64AA">
        <w:rPr>
          <w:rFonts w:cs="Arial"/>
        </w:rPr>
        <w:t xml:space="preserve">assumptions </w:t>
      </w:r>
      <w:r>
        <w:rPr>
          <w:rFonts w:cs="Arial"/>
        </w:rPr>
        <w:t>, a sensitivity analysis was conducted and the main assumptions are summarized in the below table.</w:t>
      </w:r>
    </w:p>
    <w:tbl>
      <w:tblPr>
        <w:tblW w:w="5000" w:type="pct"/>
        <w:tblLook w:val="04A0" w:firstRow="1" w:lastRow="0" w:firstColumn="1" w:lastColumn="0" w:noHBand="0" w:noVBand="1"/>
      </w:tblPr>
      <w:tblGrid>
        <w:gridCol w:w="698"/>
        <w:gridCol w:w="8158"/>
      </w:tblGrid>
      <w:tr w:rsidR="003541EC" w:rsidRPr="00184E4C" w:rsidTr="0051322C">
        <w:trPr>
          <w:trHeight w:hRule="exact" w:val="288"/>
        </w:trPr>
        <w:tc>
          <w:tcPr>
            <w:tcW w:w="394" w:type="pct"/>
            <w:tcBorders>
              <w:top w:val="single" w:sz="8" w:space="0" w:color="auto"/>
              <w:left w:val="single" w:sz="8" w:space="0" w:color="auto"/>
              <w:bottom w:val="nil"/>
              <w:right w:val="nil"/>
            </w:tcBorders>
            <w:shd w:val="clear" w:color="000000" w:fill="000000"/>
            <w:noWrap/>
            <w:vAlign w:val="bottom"/>
            <w:hideMark/>
          </w:tcPr>
          <w:p w:rsidR="003541EC" w:rsidRPr="00184E4C" w:rsidRDefault="003541EC" w:rsidP="003541EC">
            <w:pPr>
              <w:spacing w:after="0" w:line="240" w:lineRule="auto"/>
              <w:jc w:val="left"/>
              <w:rPr>
                <w:rFonts w:eastAsia="Times New Roman"/>
                <w:b/>
                <w:bCs/>
                <w:color w:val="FFFFFF"/>
                <w:sz w:val="18"/>
              </w:rPr>
            </w:pPr>
            <w:r w:rsidRPr="00184E4C">
              <w:rPr>
                <w:rFonts w:eastAsia="Times New Roman"/>
                <w:b/>
                <w:bCs/>
                <w:color w:val="FFFFFF"/>
                <w:sz w:val="18"/>
              </w:rPr>
              <w:t>CASE</w:t>
            </w:r>
          </w:p>
        </w:tc>
        <w:tc>
          <w:tcPr>
            <w:tcW w:w="4606" w:type="pct"/>
            <w:tcBorders>
              <w:top w:val="single" w:sz="8" w:space="0" w:color="auto"/>
              <w:left w:val="nil"/>
              <w:bottom w:val="nil"/>
              <w:right w:val="single" w:sz="8" w:space="0" w:color="auto"/>
            </w:tcBorders>
            <w:shd w:val="clear" w:color="000000" w:fill="000000"/>
            <w:vAlign w:val="bottom"/>
            <w:hideMark/>
          </w:tcPr>
          <w:p w:rsidR="003541EC" w:rsidRPr="00184E4C" w:rsidRDefault="003541EC" w:rsidP="003541EC">
            <w:pPr>
              <w:spacing w:after="0" w:line="240" w:lineRule="auto"/>
              <w:jc w:val="left"/>
              <w:rPr>
                <w:rFonts w:eastAsia="Times New Roman"/>
                <w:b/>
                <w:bCs/>
                <w:color w:val="FFFFFF"/>
                <w:sz w:val="18"/>
              </w:rPr>
            </w:pPr>
            <w:r w:rsidRPr="00184E4C">
              <w:rPr>
                <w:rFonts w:eastAsia="Times New Roman"/>
                <w:b/>
                <w:bCs/>
                <w:color w:val="FFFFFF"/>
                <w:sz w:val="18"/>
              </w:rPr>
              <w:t>MAIN ASSUMPTIONS</w:t>
            </w:r>
          </w:p>
        </w:tc>
      </w:tr>
      <w:tr w:rsidR="003541EC" w:rsidRPr="00184E4C" w:rsidTr="00184E4C">
        <w:trPr>
          <w:trHeight w:hRule="exact" w:val="288"/>
        </w:trPr>
        <w:tc>
          <w:tcPr>
            <w:tcW w:w="5000" w:type="pct"/>
            <w:gridSpan w:val="2"/>
            <w:tcBorders>
              <w:top w:val="nil"/>
              <w:left w:val="single" w:sz="8" w:space="0" w:color="auto"/>
              <w:bottom w:val="nil"/>
              <w:right w:val="single" w:sz="8" w:space="0" w:color="000000"/>
            </w:tcBorders>
            <w:shd w:val="clear" w:color="000000" w:fill="D9D9D9"/>
            <w:noWrap/>
            <w:vAlign w:val="bottom"/>
            <w:hideMark/>
          </w:tcPr>
          <w:p w:rsidR="003541EC" w:rsidRPr="00184E4C" w:rsidRDefault="003541EC" w:rsidP="003541EC">
            <w:pPr>
              <w:spacing w:after="0" w:line="240" w:lineRule="auto"/>
              <w:jc w:val="left"/>
              <w:rPr>
                <w:rFonts w:eastAsia="Times New Roman"/>
                <w:b/>
                <w:bCs/>
                <w:sz w:val="18"/>
              </w:rPr>
            </w:pPr>
            <w:r w:rsidRPr="00184E4C">
              <w:rPr>
                <w:rFonts w:eastAsia="Times New Roman"/>
                <w:b/>
                <w:bCs/>
                <w:sz w:val="18"/>
              </w:rPr>
              <w:t>Base case</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803E3E">
            <w:pPr>
              <w:spacing w:after="0" w:line="240" w:lineRule="auto"/>
              <w:jc w:val="left"/>
              <w:rPr>
                <w:rFonts w:eastAsia="Times New Roman"/>
                <w:color w:val="000000"/>
                <w:sz w:val="18"/>
              </w:rPr>
            </w:pPr>
            <w:r w:rsidRPr="00184E4C">
              <w:rPr>
                <w:rFonts w:eastAsia="Times New Roman"/>
                <w:color w:val="000000"/>
                <w:sz w:val="18"/>
              </w:rPr>
              <w:t>Number of workers: Actual tenant forecast</w:t>
            </w:r>
            <w:r w:rsidR="00E11E28">
              <w:rPr>
                <w:rFonts w:eastAsia="Times New Roman"/>
                <w:color w:val="000000"/>
                <w:sz w:val="18"/>
              </w:rPr>
              <w:t xml:space="preserve"> for buildings of the fourth operation</w:t>
            </w:r>
          </w:p>
        </w:tc>
      </w:tr>
      <w:tr w:rsidR="003541EC" w:rsidRPr="00184E4C" w:rsidTr="0051322C">
        <w:trPr>
          <w:trHeight w:hRule="exact" w:val="19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pPr>
              <w:spacing w:after="0" w:line="240" w:lineRule="auto"/>
              <w:jc w:val="left"/>
              <w:rPr>
                <w:rFonts w:eastAsia="Times New Roman"/>
                <w:color w:val="000000"/>
                <w:sz w:val="18"/>
              </w:rPr>
            </w:pPr>
            <w:r w:rsidRPr="00184E4C">
              <w:rPr>
                <w:rFonts w:eastAsia="Times New Roman"/>
                <w:color w:val="000000"/>
                <w:sz w:val="18"/>
              </w:rPr>
              <w:t>Rent</w:t>
            </w:r>
            <w:r w:rsidR="00283CFA">
              <w:rPr>
                <w:rFonts w:eastAsia="Times New Roman"/>
                <w:color w:val="000000"/>
                <w:sz w:val="18"/>
              </w:rPr>
              <w:t>ed area</w:t>
            </w:r>
            <w:r w:rsidRPr="00184E4C">
              <w:rPr>
                <w:rFonts w:eastAsia="Times New Roman"/>
                <w:color w:val="000000"/>
                <w:sz w:val="18"/>
              </w:rPr>
              <w:t xml:space="preserve">: Actual </w:t>
            </w:r>
            <w:r w:rsidR="00E11E28">
              <w:rPr>
                <w:rFonts w:eastAsia="Times New Roman"/>
                <w:color w:val="000000"/>
                <w:sz w:val="18"/>
              </w:rPr>
              <w:t xml:space="preserve">foreign </w:t>
            </w:r>
            <w:r w:rsidRPr="00184E4C">
              <w:rPr>
                <w:rFonts w:eastAsia="Times New Roman"/>
                <w:color w:val="000000"/>
                <w:sz w:val="18"/>
              </w:rPr>
              <w:t>tenants firmed commitments</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Rent: Base rent as per rental agreement and $380/ month per room in the dormitories</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283CFA" w:rsidP="003541EC">
            <w:pPr>
              <w:spacing w:after="0" w:line="240" w:lineRule="auto"/>
              <w:jc w:val="left"/>
              <w:rPr>
                <w:rFonts w:eastAsia="Times New Roman"/>
                <w:color w:val="000000"/>
                <w:sz w:val="18"/>
              </w:rPr>
            </w:pPr>
            <w:r>
              <w:rPr>
                <w:rFonts w:eastAsia="Times New Roman"/>
                <w:color w:val="000000"/>
                <w:sz w:val="18"/>
              </w:rPr>
              <w:t>Lease length: Actual tenants firmed commitments (30 years for SAE-A and 10 years for Goal Export)</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803E3E">
            <w:pPr>
              <w:spacing w:after="0" w:line="240" w:lineRule="auto"/>
              <w:jc w:val="left"/>
              <w:rPr>
                <w:rFonts w:eastAsia="Times New Roman"/>
                <w:color w:val="000000"/>
                <w:sz w:val="18"/>
              </w:rPr>
            </w:pPr>
            <w:r w:rsidRPr="00184E4C">
              <w:rPr>
                <w:rFonts w:eastAsia="Times New Roman"/>
                <w:color w:val="000000"/>
                <w:sz w:val="18"/>
              </w:rPr>
              <w:t>Salary paid to workers: based on 284 working days per year, a minimum wage of $5/day</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Social security paid to workers: 3% for ONA + 6% for OFATMA so in total 9%</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D92329" w:rsidP="003541EC">
            <w:pPr>
              <w:spacing w:after="0" w:line="240" w:lineRule="auto"/>
              <w:jc w:val="left"/>
              <w:rPr>
                <w:rFonts w:eastAsia="Times New Roman"/>
                <w:color w:val="000000"/>
                <w:sz w:val="18"/>
              </w:rPr>
            </w:pPr>
            <w:r>
              <w:rPr>
                <w:rFonts w:eastAsia="Times New Roman"/>
                <w:color w:val="000000"/>
                <w:sz w:val="18"/>
              </w:rPr>
              <w:t xml:space="preserve">Water supply charges at US$0.8 per cubic meter and </w:t>
            </w:r>
            <w:r w:rsidR="0032075F">
              <w:rPr>
                <w:rFonts w:eastAsia="Times New Roman"/>
                <w:color w:val="000000"/>
                <w:sz w:val="18"/>
              </w:rPr>
              <w:t>sewage charge at US$0.8 per cubic meter</w:t>
            </w:r>
            <w:r>
              <w:rPr>
                <w:rFonts w:eastAsia="Times New Roman"/>
                <w:color w:val="000000"/>
                <w:sz w:val="18"/>
              </w:rPr>
              <w:t xml:space="preserve"> </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803E3E">
            <w:pPr>
              <w:spacing w:after="0" w:line="240" w:lineRule="auto"/>
              <w:jc w:val="left"/>
              <w:rPr>
                <w:rFonts w:eastAsia="Times New Roman"/>
                <w:color w:val="000000"/>
                <w:sz w:val="18"/>
              </w:rPr>
            </w:pPr>
            <w:r w:rsidRPr="00184E4C">
              <w:rPr>
                <w:rFonts w:eastAsia="Times New Roman"/>
                <w:color w:val="000000"/>
                <w:sz w:val="18"/>
              </w:rPr>
              <w:t xml:space="preserve">O&amp;M costs: US$ </w:t>
            </w:r>
            <w:r w:rsidR="00D92329">
              <w:rPr>
                <w:rFonts w:eastAsia="Times New Roman"/>
                <w:color w:val="000000"/>
                <w:sz w:val="18"/>
              </w:rPr>
              <w:t>1.</w:t>
            </w:r>
            <w:r w:rsidR="00E11E28">
              <w:rPr>
                <w:rFonts w:eastAsia="Times New Roman"/>
                <w:color w:val="000000"/>
                <w:sz w:val="18"/>
              </w:rPr>
              <w:t>381</w:t>
            </w:r>
            <w:r w:rsidRPr="00184E4C">
              <w:rPr>
                <w:rFonts w:eastAsia="Times New Roman"/>
                <w:color w:val="000000"/>
                <w:sz w:val="18"/>
              </w:rPr>
              <w:t xml:space="preserve"> million per year</w:t>
            </w:r>
          </w:p>
        </w:tc>
      </w:tr>
      <w:tr w:rsidR="003541EC" w:rsidRPr="00184E4C" w:rsidTr="0051322C">
        <w:trPr>
          <w:trHeight w:hRule="exact" w:val="288"/>
        </w:trPr>
        <w:tc>
          <w:tcPr>
            <w:tcW w:w="394" w:type="pct"/>
            <w:tcBorders>
              <w:top w:val="nil"/>
              <w:left w:val="single" w:sz="8" w:space="0" w:color="auto"/>
              <w:bottom w:val="single" w:sz="8" w:space="0" w:color="auto"/>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single" w:sz="8" w:space="0" w:color="auto"/>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40% of transport cost covered by tenants</w:t>
            </w:r>
          </w:p>
        </w:tc>
      </w:tr>
      <w:tr w:rsidR="003541EC" w:rsidRPr="00184E4C" w:rsidTr="00184E4C">
        <w:trPr>
          <w:trHeight w:hRule="exact" w:val="288"/>
        </w:trPr>
        <w:tc>
          <w:tcPr>
            <w:tcW w:w="5000" w:type="pct"/>
            <w:gridSpan w:val="2"/>
            <w:tcBorders>
              <w:top w:val="single" w:sz="8" w:space="0" w:color="auto"/>
              <w:left w:val="single" w:sz="8" w:space="0" w:color="auto"/>
              <w:bottom w:val="nil"/>
              <w:right w:val="single" w:sz="8" w:space="0" w:color="000000"/>
            </w:tcBorders>
            <w:shd w:val="clear" w:color="000000" w:fill="D9D9D9"/>
            <w:noWrap/>
            <w:vAlign w:val="bottom"/>
            <w:hideMark/>
          </w:tcPr>
          <w:p w:rsidR="003541EC" w:rsidRPr="00184E4C" w:rsidRDefault="003541EC" w:rsidP="00803E3E">
            <w:pPr>
              <w:spacing w:after="0" w:line="240" w:lineRule="auto"/>
              <w:jc w:val="left"/>
              <w:rPr>
                <w:rFonts w:eastAsia="Times New Roman"/>
                <w:b/>
                <w:bCs/>
                <w:sz w:val="18"/>
              </w:rPr>
            </w:pPr>
            <w:r w:rsidRPr="00184E4C">
              <w:rPr>
                <w:rFonts w:eastAsia="Times New Roman"/>
                <w:b/>
                <w:bCs/>
                <w:sz w:val="18"/>
              </w:rPr>
              <w:t xml:space="preserve">Case 2: </w:t>
            </w:r>
            <w:r w:rsidR="0032075F">
              <w:rPr>
                <w:rFonts w:eastAsia="Times New Roman"/>
                <w:b/>
                <w:bCs/>
                <w:sz w:val="18"/>
              </w:rPr>
              <w:t>Salary Deflation</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2075F" w:rsidP="003541EC">
            <w:pPr>
              <w:spacing w:after="0" w:line="240" w:lineRule="auto"/>
              <w:jc w:val="left"/>
              <w:rPr>
                <w:rFonts w:eastAsia="Times New Roman"/>
                <w:color w:val="000000"/>
                <w:sz w:val="18"/>
              </w:rPr>
            </w:pPr>
            <w:r>
              <w:rPr>
                <w:rFonts w:eastAsia="Times New Roman"/>
                <w:color w:val="000000"/>
                <w:sz w:val="18"/>
              </w:rPr>
              <w:t>Case 2 has the same assumption as the Base Case, except for:</w:t>
            </w:r>
          </w:p>
        </w:tc>
      </w:tr>
      <w:tr w:rsidR="003541EC" w:rsidRPr="00184E4C" w:rsidTr="00C8610C">
        <w:trPr>
          <w:trHeight w:hRule="exact" w:val="459"/>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2075F" w:rsidP="003541EC">
            <w:pPr>
              <w:spacing w:after="0" w:line="240" w:lineRule="auto"/>
              <w:jc w:val="left"/>
              <w:rPr>
                <w:rFonts w:eastAsia="Times New Roman"/>
                <w:color w:val="000000"/>
                <w:sz w:val="18"/>
              </w:rPr>
            </w:pPr>
            <w:r>
              <w:rPr>
                <w:rFonts w:eastAsia="Times New Roman"/>
                <w:color w:val="000000"/>
                <w:sz w:val="18"/>
              </w:rPr>
              <w:t>Minimum salary reducing by 2% per year</w:t>
            </w:r>
            <w:r w:rsidR="00E11E28">
              <w:rPr>
                <w:rFonts w:eastAsia="Times New Roman"/>
                <w:color w:val="000000"/>
                <w:sz w:val="18"/>
              </w:rPr>
              <w:t xml:space="preserve"> (Corresponding to a loss in purchasing power of workers in dollar terms)</w:t>
            </w:r>
          </w:p>
        </w:tc>
      </w:tr>
      <w:tr w:rsidR="003541EC" w:rsidRPr="00184E4C" w:rsidTr="00184E4C">
        <w:trPr>
          <w:trHeight w:hRule="exact" w:val="288"/>
        </w:trPr>
        <w:tc>
          <w:tcPr>
            <w:tcW w:w="5000" w:type="pct"/>
            <w:gridSpan w:val="2"/>
            <w:tcBorders>
              <w:top w:val="single" w:sz="8" w:space="0" w:color="auto"/>
              <w:left w:val="single" w:sz="8" w:space="0" w:color="auto"/>
              <w:bottom w:val="nil"/>
              <w:right w:val="single" w:sz="8" w:space="0" w:color="000000"/>
            </w:tcBorders>
            <w:shd w:val="clear" w:color="000000" w:fill="D9D9D9"/>
            <w:noWrap/>
            <w:vAlign w:val="bottom"/>
            <w:hideMark/>
          </w:tcPr>
          <w:p w:rsidR="003541EC" w:rsidRPr="00184E4C" w:rsidRDefault="003541EC" w:rsidP="003541EC">
            <w:pPr>
              <w:spacing w:after="0" w:line="240" w:lineRule="auto"/>
              <w:jc w:val="left"/>
              <w:rPr>
                <w:rFonts w:eastAsia="Times New Roman"/>
                <w:b/>
                <w:bCs/>
                <w:sz w:val="18"/>
              </w:rPr>
            </w:pPr>
            <w:r w:rsidRPr="00184E4C">
              <w:rPr>
                <w:rFonts w:eastAsia="Times New Roman"/>
                <w:b/>
                <w:bCs/>
                <w:sz w:val="18"/>
              </w:rPr>
              <w:t xml:space="preserve">Case 3: -30% on job </w:t>
            </w:r>
            <w:r w:rsidR="0032075F" w:rsidRPr="00184E4C">
              <w:rPr>
                <w:rFonts w:eastAsia="Times New Roman"/>
                <w:b/>
                <w:bCs/>
                <w:sz w:val="18"/>
              </w:rPr>
              <w:t>forecast</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2075F" w:rsidP="00803E3E">
            <w:pPr>
              <w:spacing w:after="0" w:line="240" w:lineRule="auto"/>
              <w:jc w:val="left"/>
              <w:rPr>
                <w:rFonts w:eastAsia="Times New Roman"/>
                <w:color w:val="000000"/>
                <w:sz w:val="18"/>
              </w:rPr>
            </w:pPr>
            <w:r>
              <w:rPr>
                <w:rFonts w:eastAsia="Times New Roman"/>
                <w:color w:val="000000"/>
                <w:sz w:val="18"/>
              </w:rPr>
              <w:t>Case 3 has the same assumption as the Base Case, except for:</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30% less job creation compared to the Base case</w:t>
            </w:r>
          </w:p>
        </w:tc>
      </w:tr>
      <w:tr w:rsidR="003541EC" w:rsidRPr="00184E4C" w:rsidTr="00184E4C">
        <w:trPr>
          <w:trHeight w:hRule="exact" w:val="288"/>
        </w:trPr>
        <w:tc>
          <w:tcPr>
            <w:tcW w:w="5000" w:type="pct"/>
            <w:gridSpan w:val="2"/>
            <w:tcBorders>
              <w:top w:val="single" w:sz="8" w:space="0" w:color="auto"/>
              <w:left w:val="single" w:sz="8" w:space="0" w:color="auto"/>
              <w:bottom w:val="nil"/>
              <w:right w:val="single" w:sz="8" w:space="0" w:color="000000"/>
            </w:tcBorders>
            <w:shd w:val="clear" w:color="000000" w:fill="D9D9D9"/>
            <w:noWrap/>
            <w:vAlign w:val="bottom"/>
            <w:hideMark/>
          </w:tcPr>
          <w:p w:rsidR="003541EC" w:rsidRPr="00184E4C" w:rsidRDefault="003541EC" w:rsidP="003541EC">
            <w:pPr>
              <w:spacing w:after="0" w:line="240" w:lineRule="auto"/>
              <w:jc w:val="left"/>
              <w:rPr>
                <w:rFonts w:eastAsia="Times New Roman"/>
                <w:b/>
                <w:bCs/>
                <w:sz w:val="18"/>
              </w:rPr>
            </w:pPr>
            <w:r w:rsidRPr="00184E4C">
              <w:rPr>
                <w:rFonts w:eastAsia="Times New Roman"/>
                <w:b/>
                <w:bCs/>
                <w:sz w:val="18"/>
              </w:rPr>
              <w:t>Case 4: -30% on rental income</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2075F" w:rsidP="00803E3E">
            <w:pPr>
              <w:spacing w:after="0" w:line="240" w:lineRule="auto"/>
              <w:jc w:val="left"/>
              <w:rPr>
                <w:rFonts w:eastAsia="Times New Roman"/>
                <w:color w:val="000000"/>
                <w:sz w:val="18"/>
              </w:rPr>
            </w:pPr>
            <w:r>
              <w:rPr>
                <w:rFonts w:eastAsia="Times New Roman"/>
                <w:color w:val="000000"/>
                <w:sz w:val="18"/>
              </w:rPr>
              <w:t>Case 4 has the same assumption as the Base Case, except for:</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Rental rate 30% lower than the base case</w:t>
            </w:r>
          </w:p>
        </w:tc>
      </w:tr>
      <w:tr w:rsidR="003541EC" w:rsidRPr="00184E4C" w:rsidTr="00184E4C">
        <w:trPr>
          <w:trHeight w:hRule="exact" w:val="288"/>
        </w:trPr>
        <w:tc>
          <w:tcPr>
            <w:tcW w:w="5000" w:type="pct"/>
            <w:gridSpan w:val="2"/>
            <w:tcBorders>
              <w:top w:val="single" w:sz="8" w:space="0" w:color="auto"/>
              <w:left w:val="single" w:sz="8" w:space="0" w:color="auto"/>
              <w:bottom w:val="nil"/>
              <w:right w:val="single" w:sz="8" w:space="0" w:color="000000"/>
            </w:tcBorders>
            <w:shd w:val="clear" w:color="000000" w:fill="D9D9D9"/>
            <w:noWrap/>
            <w:vAlign w:val="bottom"/>
            <w:hideMark/>
          </w:tcPr>
          <w:p w:rsidR="003541EC" w:rsidRPr="00184E4C" w:rsidRDefault="003541EC">
            <w:pPr>
              <w:spacing w:after="0" w:line="240" w:lineRule="auto"/>
              <w:jc w:val="left"/>
              <w:rPr>
                <w:rFonts w:eastAsia="Times New Roman"/>
                <w:b/>
                <w:bCs/>
                <w:sz w:val="18"/>
              </w:rPr>
            </w:pPr>
            <w:r w:rsidRPr="00184E4C">
              <w:rPr>
                <w:rFonts w:eastAsia="Times New Roman"/>
                <w:b/>
                <w:bCs/>
                <w:sz w:val="18"/>
              </w:rPr>
              <w:t xml:space="preserve">Case </w:t>
            </w:r>
            <w:r w:rsidR="00777CE5">
              <w:rPr>
                <w:rFonts w:eastAsia="Times New Roman"/>
                <w:b/>
                <w:bCs/>
                <w:sz w:val="18"/>
              </w:rPr>
              <w:t>5</w:t>
            </w:r>
            <w:r w:rsidRPr="00184E4C">
              <w:rPr>
                <w:rFonts w:eastAsia="Times New Roman"/>
                <w:b/>
                <w:bCs/>
                <w:sz w:val="18"/>
              </w:rPr>
              <w:t>: One-year strike</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Same as base case except for:</w:t>
            </w:r>
          </w:p>
        </w:tc>
      </w:tr>
      <w:tr w:rsidR="003541EC" w:rsidRPr="00184E4C" w:rsidTr="0051322C">
        <w:trPr>
          <w:trHeight w:hRule="exact" w:val="288"/>
        </w:trPr>
        <w:tc>
          <w:tcPr>
            <w:tcW w:w="394" w:type="pct"/>
            <w:tcBorders>
              <w:top w:val="nil"/>
              <w:left w:val="single" w:sz="8" w:space="0" w:color="auto"/>
              <w:bottom w:val="single" w:sz="8" w:space="0" w:color="auto"/>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single" w:sz="8" w:space="0" w:color="auto"/>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xml:space="preserve">No revenue </w:t>
            </w:r>
            <w:r w:rsidR="0087005D">
              <w:rPr>
                <w:rFonts w:eastAsia="Times New Roman"/>
                <w:color w:val="000000"/>
                <w:sz w:val="18"/>
              </w:rPr>
              <w:t xml:space="preserve">for workers and services for the PIC </w:t>
            </w:r>
            <w:r w:rsidRPr="00184E4C">
              <w:rPr>
                <w:rFonts w:eastAsia="Times New Roman"/>
                <w:color w:val="000000"/>
                <w:sz w:val="18"/>
              </w:rPr>
              <w:t>in 2017 except for rent due to a one-year strike</w:t>
            </w:r>
          </w:p>
        </w:tc>
      </w:tr>
      <w:tr w:rsidR="003541EC" w:rsidRPr="00184E4C" w:rsidTr="00184E4C">
        <w:trPr>
          <w:trHeight w:hRule="exact" w:val="288"/>
        </w:trPr>
        <w:tc>
          <w:tcPr>
            <w:tcW w:w="5000" w:type="pct"/>
            <w:gridSpan w:val="2"/>
            <w:tcBorders>
              <w:top w:val="single" w:sz="8" w:space="0" w:color="auto"/>
              <w:left w:val="single" w:sz="8" w:space="0" w:color="auto"/>
              <w:bottom w:val="nil"/>
              <w:right w:val="single" w:sz="8" w:space="0" w:color="000000"/>
            </w:tcBorders>
            <w:shd w:val="clear" w:color="000000" w:fill="D9D9D9"/>
            <w:noWrap/>
            <w:vAlign w:val="bottom"/>
            <w:hideMark/>
          </w:tcPr>
          <w:p w:rsidR="003541EC" w:rsidRPr="00184E4C" w:rsidRDefault="003541EC">
            <w:pPr>
              <w:spacing w:after="0" w:line="240" w:lineRule="auto"/>
              <w:jc w:val="left"/>
              <w:rPr>
                <w:rFonts w:eastAsia="Times New Roman"/>
                <w:b/>
                <w:bCs/>
                <w:sz w:val="18"/>
              </w:rPr>
            </w:pPr>
            <w:r w:rsidRPr="00184E4C">
              <w:rPr>
                <w:rFonts w:eastAsia="Times New Roman"/>
                <w:b/>
                <w:bCs/>
                <w:sz w:val="18"/>
              </w:rPr>
              <w:t xml:space="preserve">Case </w:t>
            </w:r>
            <w:r w:rsidR="00777CE5">
              <w:rPr>
                <w:rFonts w:eastAsia="Times New Roman"/>
                <w:b/>
                <w:bCs/>
                <w:sz w:val="18"/>
              </w:rPr>
              <w:t>6</w:t>
            </w:r>
            <w:r w:rsidRPr="00184E4C">
              <w:rPr>
                <w:rFonts w:eastAsia="Times New Roman"/>
                <w:b/>
                <w:bCs/>
                <w:sz w:val="18"/>
              </w:rPr>
              <w:t xml:space="preserve">: </w:t>
            </w:r>
            <w:r w:rsidR="003C0441">
              <w:rPr>
                <w:rFonts w:eastAsia="Times New Roman"/>
                <w:b/>
                <w:bCs/>
                <w:sz w:val="18"/>
              </w:rPr>
              <w:t>Goal Export Renews its Lease</w:t>
            </w:r>
          </w:p>
        </w:tc>
      </w:tr>
      <w:tr w:rsidR="003541EC" w:rsidRPr="00184E4C" w:rsidTr="0051322C">
        <w:trPr>
          <w:trHeight w:hRule="exact" w:val="288"/>
        </w:trPr>
        <w:tc>
          <w:tcPr>
            <w:tcW w:w="394" w:type="pct"/>
            <w:tcBorders>
              <w:top w:val="nil"/>
              <w:left w:val="single" w:sz="8" w:space="0" w:color="auto"/>
              <w:bottom w:val="nil"/>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nil"/>
              <w:right w:val="single" w:sz="8" w:space="0" w:color="auto"/>
            </w:tcBorders>
            <w:shd w:val="clear" w:color="auto" w:fill="auto"/>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Same as base case except for:</w:t>
            </w:r>
          </w:p>
        </w:tc>
      </w:tr>
      <w:tr w:rsidR="003541EC" w:rsidRPr="00184E4C" w:rsidTr="0051322C">
        <w:trPr>
          <w:trHeight w:hRule="exact" w:val="288"/>
        </w:trPr>
        <w:tc>
          <w:tcPr>
            <w:tcW w:w="394" w:type="pct"/>
            <w:tcBorders>
              <w:top w:val="nil"/>
              <w:left w:val="single" w:sz="8" w:space="0" w:color="auto"/>
              <w:bottom w:val="single" w:sz="8" w:space="0" w:color="auto"/>
              <w:right w:val="nil"/>
            </w:tcBorders>
            <w:shd w:val="clear" w:color="auto" w:fill="auto"/>
            <w:noWrap/>
            <w:vAlign w:val="bottom"/>
            <w:hideMark/>
          </w:tcPr>
          <w:p w:rsidR="003541EC" w:rsidRPr="00184E4C" w:rsidRDefault="003541EC" w:rsidP="003541EC">
            <w:pPr>
              <w:spacing w:after="0" w:line="240" w:lineRule="auto"/>
              <w:jc w:val="left"/>
              <w:rPr>
                <w:rFonts w:eastAsia="Times New Roman"/>
                <w:color w:val="000000"/>
                <w:sz w:val="18"/>
              </w:rPr>
            </w:pPr>
            <w:r w:rsidRPr="00184E4C">
              <w:rPr>
                <w:rFonts w:eastAsia="Times New Roman"/>
                <w:color w:val="000000"/>
                <w:sz w:val="18"/>
              </w:rPr>
              <w:t> </w:t>
            </w:r>
          </w:p>
        </w:tc>
        <w:tc>
          <w:tcPr>
            <w:tcW w:w="4606" w:type="pct"/>
            <w:tcBorders>
              <w:top w:val="nil"/>
              <w:left w:val="nil"/>
              <w:bottom w:val="single" w:sz="8" w:space="0" w:color="auto"/>
              <w:right w:val="single" w:sz="8" w:space="0" w:color="auto"/>
            </w:tcBorders>
            <w:shd w:val="clear" w:color="auto" w:fill="auto"/>
            <w:vAlign w:val="bottom"/>
            <w:hideMark/>
          </w:tcPr>
          <w:p w:rsidR="003541EC" w:rsidRPr="00184E4C" w:rsidRDefault="0087005D" w:rsidP="003541EC">
            <w:pPr>
              <w:spacing w:after="0" w:line="240" w:lineRule="auto"/>
              <w:jc w:val="left"/>
              <w:rPr>
                <w:rFonts w:eastAsia="Times New Roman"/>
                <w:color w:val="000000"/>
                <w:sz w:val="18"/>
              </w:rPr>
            </w:pPr>
            <w:r>
              <w:rPr>
                <w:rFonts w:eastAsia="Times New Roman"/>
                <w:color w:val="000000"/>
                <w:sz w:val="18"/>
              </w:rPr>
              <w:t>Goal Export renews its 10-year lease for an additional 10-year.</w:t>
            </w:r>
          </w:p>
        </w:tc>
      </w:tr>
    </w:tbl>
    <w:p w:rsidR="00EC6EE6" w:rsidRDefault="00EC6EE6" w:rsidP="00CF5271">
      <w:pPr>
        <w:pStyle w:val="ListParagraph"/>
        <w:spacing w:before="120" w:after="0" w:line="360" w:lineRule="auto"/>
        <w:ind w:left="0"/>
        <w:rPr>
          <w:rFonts w:cs="Arial"/>
        </w:rPr>
      </w:pPr>
    </w:p>
    <w:p w:rsidR="005C4F80" w:rsidRDefault="008F49BF" w:rsidP="00CF5271">
      <w:pPr>
        <w:pStyle w:val="ListParagraph"/>
        <w:spacing w:before="120" w:after="0" w:line="360" w:lineRule="auto"/>
        <w:ind w:left="0"/>
        <w:rPr>
          <w:rFonts w:cs="Arial"/>
        </w:rPr>
      </w:pPr>
      <w:r>
        <w:rPr>
          <w:rFonts w:cs="Arial"/>
        </w:rPr>
        <w:t>The below table summarize</w:t>
      </w:r>
      <w:r w:rsidR="005C4F80">
        <w:rPr>
          <w:rFonts w:cs="Arial"/>
        </w:rPr>
        <w:t>s the ERR and NPV in each case:</w:t>
      </w:r>
    </w:p>
    <w:tbl>
      <w:tblPr>
        <w:tblW w:w="4499" w:type="pct"/>
        <w:tblInd w:w="468" w:type="dxa"/>
        <w:tblLook w:val="04A0" w:firstRow="1" w:lastRow="0" w:firstColumn="1" w:lastColumn="0" w:noHBand="0" w:noVBand="1"/>
      </w:tblPr>
      <w:tblGrid>
        <w:gridCol w:w="4770"/>
        <w:gridCol w:w="1809"/>
        <w:gridCol w:w="1390"/>
      </w:tblGrid>
      <w:tr w:rsidR="0087005D" w:rsidRPr="000A37FD" w:rsidTr="0051322C">
        <w:trPr>
          <w:trHeight w:hRule="exact" w:val="288"/>
        </w:trPr>
        <w:tc>
          <w:tcPr>
            <w:tcW w:w="2993"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7005D" w:rsidRPr="000A37FD" w:rsidRDefault="0087005D" w:rsidP="0075683D">
            <w:r w:rsidRPr="000A37FD">
              <w:t>Case</w:t>
            </w:r>
          </w:p>
        </w:tc>
        <w:tc>
          <w:tcPr>
            <w:tcW w:w="1135" w:type="pct"/>
            <w:tcBorders>
              <w:top w:val="single" w:sz="4" w:space="0" w:color="auto"/>
              <w:left w:val="nil"/>
              <w:bottom w:val="single" w:sz="4" w:space="0" w:color="auto"/>
              <w:right w:val="nil"/>
            </w:tcBorders>
            <w:shd w:val="clear" w:color="000000" w:fill="000000"/>
          </w:tcPr>
          <w:p w:rsidR="0087005D" w:rsidRPr="000A37FD" w:rsidRDefault="0087005D">
            <w:pPr>
              <w:jc w:val="center"/>
            </w:pPr>
            <w:r>
              <w:t>NPV (US$ m)</w:t>
            </w:r>
          </w:p>
        </w:tc>
        <w:tc>
          <w:tcPr>
            <w:tcW w:w="872" w:type="pct"/>
            <w:tcBorders>
              <w:top w:val="single" w:sz="4" w:space="0" w:color="auto"/>
              <w:left w:val="nil"/>
              <w:bottom w:val="single" w:sz="4" w:space="0" w:color="auto"/>
              <w:right w:val="single" w:sz="4" w:space="0" w:color="auto"/>
            </w:tcBorders>
            <w:shd w:val="clear" w:color="000000" w:fill="000000"/>
            <w:noWrap/>
            <w:vAlign w:val="bottom"/>
            <w:hideMark/>
          </w:tcPr>
          <w:p w:rsidR="0087005D" w:rsidRPr="000A37FD" w:rsidRDefault="0087005D" w:rsidP="0051322C">
            <w:pPr>
              <w:jc w:val="center"/>
            </w:pPr>
            <w:r w:rsidRPr="000A37FD">
              <w:t>EIRR</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hideMark/>
          </w:tcPr>
          <w:p w:rsidR="0087005D" w:rsidRPr="000A37FD" w:rsidRDefault="0087005D" w:rsidP="0075683D">
            <w:pPr>
              <w:rPr>
                <w:color w:val="000000"/>
              </w:rPr>
            </w:pPr>
            <w:r w:rsidRPr="000A37FD">
              <w:rPr>
                <w:color w:val="000000"/>
              </w:rPr>
              <w:t>Base Case</w:t>
            </w:r>
          </w:p>
        </w:tc>
        <w:tc>
          <w:tcPr>
            <w:tcW w:w="1135" w:type="pct"/>
            <w:tcBorders>
              <w:top w:val="single" w:sz="4" w:space="0" w:color="auto"/>
              <w:left w:val="nil"/>
              <w:bottom w:val="single" w:sz="4" w:space="0" w:color="auto"/>
              <w:right w:val="single" w:sz="4" w:space="0" w:color="auto"/>
            </w:tcBorders>
          </w:tcPr>
          <w:p w:rsidR="0087005D" w:rsidDel="0087005D" w:rsidRDefault="00E11E28">
            <w:pPr>
              <w:jc w:val="center"/>
              <w:rPr>
                <w:color w:val="000000"/>
              </w:rPr>
            </w:pPr>
            <w:r>
              <w:rPr>
                <w:color w:val="000000"/>
              </w:rPr>
              <w:t>5.7</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5D" w:rsidRPr="000A37FD" w:rsidRDefault="0087005D" w:rsidP="0051322C">
            <w:pPr>
              <w:jc w:val="center"/>
              <w:rPr>
                <w:color w:val="000000"/>
              </w:rPr>
            </w:pPr>
            <w:r>
              <w:rPr>
                <w:color w:val="000000"/>
              </w:rPr>
              <w:t>1</w:t>
            </w:r>
            <w:r w:rsidR="00E11E28">
              <w:rPr>
                <w:color w:val="000000"/>
              </w:rPr>
              <w:t>3.8</w:t>
            </w:r>
            <w:r w:rsidRPr="000A37FD">
              <w:rPr>
                <w:color w:val="000000"/>
              </w:rPr>
              <w:t>%</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hideMark/>
          </w:tcPr>
          <w:p w:rsidR="0087005D" w:rsidRPr="000A37FD" w:rsidRDefault="0087005D" w:rsidP="00803E3E">
            <w:pPr>
              <w:rPr>
                <w:color w:val="000000"/>
              </w:rPr>
            </w:pPr>
            <w:r w:rsidRPr="000A37FD">
              <w:rPr>
                <w:color w:val="000000"/>
              </w:rPr>
              <w:t>Case 2: -</w:t>
            </w:r>
            <w:r>
              <w:rPr>
                <w:color w:val="000000"/>
              </w:rPr>
              <w:t>2% per year on salaries</w:t>
            </w:r>
          </w:p>
        </w:tc>
        <w:tc>
          <w:tcPr>
            <w:tcW w:w="1135" w:type="pct"/>
            <w:tcBorders>
              <w:top w:val="single" w:sz="4" w:space="0" w:color="auto"/>
              <w:left w:val="nil"/>
              <w:bottom w:val="single" w:sz="4" w:space="0" w:color="auto"/>
              <w:right w:val="single" w:sz="4" w:space="0" w:color="auto"/>
            </w:tcBorders>
          </w:tcPr>
          <w:p w:rsidR="0087005D" w:rsidRPr="000A37FD" w:rsidDel="00877D7A" w:rsidRDefault="00E11E28">
            <w:pPr>
              <w:jc w:val="center"/>
              <w:rPr>
                <w:color w:val="000000"/>
              </w:rPr>
            </w:pPr>
            <w:r>
              <w:rPr>
                <w:color w:val="000000"/>
              </w:rPr>
              <w:t>0.4</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5D" w:rsidRPr="000A37FD" w:rsidRDefault="0087005D" w:rsidP="0051322C">
            <w:pPr>
              <w:jc w:val="center"/>
              <w:rPr>
                <w:color w:val="000000"/>
              </w:rPr>
            </w:pPr>
            <w:r>
              <w:rPr>
                <w:color w:val="000000"/>
              </w:rPr>
              <w:t>1</w:t>
            </w:r>
            <w:r w:rsidR="00E11E28">
              <w:rPr>
                <w:color w:val="000000"/>
              </w:rPr>
              <w:t>2.1</w:t>
            </w:r>
            <w:r w:rsidRPr="000A37FD">
              <w:rPr>
                <w:color w:val="000000"/>
              </w:rPr>
              <w:t>%</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hideMark/>
          </w:tcPr>
          <w:p w:rsidR="0087005D" w:rsidRPr="000A37FD" w:rsidRDefault="0087005D" w:rsidP="0075683D">
            <w:pPr>
              <w:rPr>
                <w:color w:val="000000"/>
              </w:rPr>
            </w:pPr>
            <w:r w:rsidRPr="000A37FD">
              <w:rPr>
                <w:color w:val="000000"/>
              </w:rPr>
              <w:t>Case 3: -</w:t>
            </w:r>
            <w:r>
              <w:rPr>
                <w:color w:val="000000"/>
              </w:rPr>
              <w:t>3</w:t>
            </w:r>
            <w:r w:rsidRPr="000A37FD">
              <w:rPr>
                <w:color w:val="000000"/>
              </w:rPr>
              <w:t>0% on job forecast</w:t>
            </w:r>
          </w:p>
        </w:tc>
        <w:tc>
          <w:tcPr>
            <w:tcW w:w="1135" w:type="pct"/>
            <w:tcBorders>
              <w:top w:val="single" w:sz="4" w:space="0" w:color="auto"/>
              <w:left w:val="nil"/>
              <w:bottom w:val="single" w:sz="4" w:space="0" w:color="auto"/>
              <w:right w:val="single" w:sz="4" w:space="0" w:color="auto"/>
            </w:tcBorders>
          </w:tcPr>
          <w:p w:rsidR="0087005D" w:rsidRPr="000A37FD" w:rsidDel="00877D7A" w:rsidRDefault="0087005D">
            <w:pPr>
              <w:jc w:val="center"/>
              <w:rPr>
                <w:color w:val="000000"/>
              </w:rPr>
            </w:pPr>
            <w:r>
              <w:rPr>
                <w:color w:val="000000"/>
              </w:rPr>
              <w:t>-1</w:t>
            </w:r>
            <w:r w:rsidR="00E11E28">
              <w:rPr>
                <w:color w:val="000000"/>
              </w:rPr>
              <w:t>4</w:t>
            </w:r>
            <w:r>
              <w:rPr>
                <w:color w:val="000000"/>
              </w:rPr>
              <w:t>.</w:t>
            </w:r>
            <w:r w:rsidR="00E11E28">
              <w:rPr>
                <w:color w:val="000000"/>
              </w:rPr>
              <w:t>5</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5D" w:rsidRPr="000A37FD" w:rsidRDefault="00E11E28" w:rsidP="0051322C">
            <w:pPr>
              <w:jc w:val="center"/>
              <w:rPr>
                <w:color w:val="000000"/>
              </w:rPr>
            </w:pPr>
            <w:r>
              <w:rPr>
                <w:color w:val="000000"/>
              </w:rPr>
              <w:t>7.2</w:t>
            </w:r>
            <w:r w:rsidR="0087005D" w:rsidRPr="000A37FD">
              <w:rPr>
                <w:color w:val="000000"/>
              </w:rPr>
              <w:t>%</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hideMark/>
          </w:tcPr>
          <w:p w:rsidR="0087005D" w:rsidRPr="000A37FD" w:rsidRDefault="0087005D" w:rsidP="0075683D">
            <w:pPr>
              <w:rPr>
                <w:color w:val="000000"/>
              </w:rPr>
            </w:pPr>
            <w:r w:rsidRPr="000A37FD">
              <w:rPr>
                <w:color w:val="000000"/>
              </w:rPr>
              <w:t>Case 4: -</w:t>
            </w:r>
            <w:r>
              <w:rPr>
                <w:color w:val="000000"/>
              </w:rPr>
              <w:t>3</w:t>
            </w:r>
            <w:r w:rsidRPr="000A37FD">
              <w:rPr>
                <w:color w:val="000000"/>
              </w:rPr>
              <w:t>0% on rental income</w:t>
            </w:r>
          </w:p>
        </w:tc>
        <w:tc>
          <w:tcPr>
            <w:tcW w:w="1135" w:type="pct"/>
            <w:tcBorders>
              <w:top w:val="single" w:sz="4" w:space="0" w:color="auto"/>
              <w:left w:val="nil"/>
              <w:bottom w:val="single" w:sz="4" w:space="0" w:color="auto"/>
              <w:right w:val="single" w:sz="4" w:space="0" w:color="auto"/>
            </w:tcBorders>
          </w:tcPr>
          <w:p w:rsidR="0087005D" w:rsidRPr="000A37FD" w:rsidDel="00877D7A" w:rsidRDefault="00E11E28" w:rsidP="0087005D">
            <w:pPr>
              <w:jc w:val="center"/>
              <w:rPr>
                <w:color w:val="000000"/>
              </w:rPr>
            </w:pPr>
            <w:r>
              <w:rPr>
                <w:color w:val="000000"/>
              </w:rPr>
              <w:t>4</w:t>
            </w:r>
            <w:r w:rsidR="0087005D">
              <w:rPr>
                <w:color w:val="000000"/>
              </w:rPr>
              <w:t>.</w:t>
            </w:r>
            <w:r>
              <w:rPr>
                <w:color w:val="000000"/>
              </w:rPr>
              <w:t>2</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5D" w:rsidRPr="000A37FD" w:rsidRDefault="0087005D" w:rsidP="0051322C">
            <w:pPr>
              <w:jc w:val="center"/>
              <w:rPr>
                <w:color w:val="000000"/>
              </w:rPr>
            </w:pPr>
            <w:r>
              <w:rPr>
                <w:color w:val="000000"/>
              </w:rPr>
              <w:t>1</w:t>
            </w:r>
            <w:r w:rsidR="00E11E28">
              <w:rPr>
                <w:color w:val="000000"/>
              </w:rPr>
              <w:t>3.</w:t>
            </w:r>
            <w:r>
              <w:rPr>
                <w:color w:val="000000"/>
              </w:rPr>
              <w:t>4</w:t>
            </w:r>
            <w:r w:rsidRPr="000A37FD">
              <w:rPr>
                <w:color w:val="000000"/>
              </w:rPr>
              <w:t>%</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hideMark/>
          </w:tcPr>
          <w:p w:rsidR="0087005D" w:rsidRPr="000A37FD" w:rsidRDefault="0087005D" w:rsidP="0051322C">
            <w:pPr>
              <w:jc w:val="left"/>
              <w:rPr>
                <w:color w:val="000000"/>
              </w:rPr>
            </w:pPr>
            <w:r w:rsidRPr="000A37FD">
              <w:rPr>
                <w:color w:val="000000"/>
              </w:rPr>
              <w:t xml:space="preserve">Case </w:t>
            </w:r>
            <w:r>
              <w:rPr>
                <w:color w:val="000000"/>
              </w:rPr>
              <w:t>5</w:t>
            </w:r>
            <w:r w:rsidRPr="000A37FD">
              <w:rPr>
                <w:color w:val="000000"/>
              </w:rPr>
              <w:t>: One-year strike in 2017</w:t>
            </w:r>
          </w:p>
        </w:tc>
        <w:tc>
          <w:tcPr>
            <w:tcW w:w="1135" w:type="pct"/>
            <w:tcBorders>
              <w:top w:val="single" w:sz="4" w:space="0" w:color="auto"/>
              <w:left w:val="nil"/>
              <w:bottom w:val="single" w:sz="4" w:space="0" w:color="auto"/>
              <w:right w:val="single" w:sz="4" w:space="0" w:color="auto"/>
            </w:tcBorders>
          </w:tcPr>
          <w:p w:rsidR="0087005D" w:rsidRPr="000A37FD" w:rsidRDefault="00E11E28" w:rsidP="0087005D">
            <w:pPr>
              <w:jc w:val="center"/>
              <w:rPr>
                <w:color w:val="000000"/>
              </w:rPr>
            </w:pPr>
            <w:r>
              <w:rPr>
                <w:color w:val="000000"/>
              </w:rPr>
              <w:t>-2.3</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05D" w:rsidRPr="000A37FD" w:rsidRDefault="0087005D" w:rsidP="0051322C">
            <w:pPr>
              <w:jc w:val="center"/>
              <w:rPr>
                <w:color w:val="000000"/>
              </w:rPr>
            </w:pPr>
            <w:r w:rsidRPr="000A37FD">
              <w:rPr>
                <w:color w:val="000000"/>
              </w:rPr>
              <w:t>1</w:t>
            </w:r>
            <w:r w:rsidR="00E11E28">
              <w:rPr>
                <w:color w:val="000000"/>
              </w:rPr>
              <w:t>1.3</w:t>
            </w:r>
            <w:r w:rsidRPr="000A37FD">
              <w:rPr>
                <w:color w:val="000000"/>
              </w:rPr>
              <w:t>%</w:t>
            </w:r>
          </w:p>
        </w:tc>
      </w:tr>
      <w:tr w:rsidR="0087005D" w:rsidRPr="000A37FD" w:rsidTr="0051322C">
        <w:trPr>
          <w:trHeight w:hRule="exact" w:val="288"/>
        </w:trPr>
        <w:tc>
          <w:tcPr>
            <w:tcW w:w="2993" w:type="pct"/>
            <w:tcBorders>
              <w:top w:val="nil"/>
              <w:left w:val="single" w:sz="4" w:space="0" w:color="auto"/>
              <w:bottom w:val="single" w:sz="4" w:space="0" w:color="auto"/>
              <w:right w:val="single" w:sz="4" w:space="0" w:color="auto"/>
            </w:tcBorders>
            <w:shd w:val="clear" w:color="auto" w:fill="auto"/>
            <w:vAlign w:val="bottom"/>
          </w:tcPr>
          <w:p w:rsidR="0087005D" w:rsidRPr="000A37FD" w:rsidRDefault="0087005D">
            <w:pPr>
              <w:rPr>
                <w:color w:val="000000"/>
              </w:rPr>
            </w:pPr>
            <w:r>
              <w:rPr>
                <w:color w:val="000000"/>
              </w:rPr>
              <w:t>Case 6</w:t>
            </w:r>
            <w:r w:rsidRPr="000A37FD">
              <w:rPr>
                <w:color w:val="000000"/>
              </w:rPr>
              <w:t xml:space="preserve">: </w:t>
            </w:r>
            <w:r w:rsidRPr="0051322C">
              <w:rPr>
                <w:i/>
                <w:color w:val="000000"/>
              </w:rPr>
              <w:t>Goal Export</w:t>
            </w:r>
            <w:r>
              <w:rPr>
                <w:color w:val="000000"/>
              </w:rPr>
              <w:t xml:space="preserve"> company Renews Lease </w:t>
            </w:r>
          </w:p>
        </w:tc>
        <w:tc>
          <w:tcPr>
            <w:tcW w:w="1135" w:type="pct"/>
            <w:tcBorders>
              <w:top w:val="single" w:sz="4" w:space="0" w:color="auto"/>
              <w:left w:val="nil"/>
              <w:bottom w:val="single" w:sz="4" w:space="0" w:color="auto"/>
              <w:right w:val="single" w:sz="4" w:space="0" w:color="auto"/>
            </w:tcBorders>
          </w:tcPr>
          <w:p w:rsidR="0087005D" w:rsidRDefault="0087005D" w:rsidP="0087005D">
            <w:pPr>
              <w:jc w:val="center"/>
              <w:rPr>
                <w:color w:val="000000"/>
              </w:rPr>
            </w:pPr>
            <w:r>
              <w:rPr>
                <w:color w:val="000000"/>
              </w:rPr>
              <w:t>1</w:t>
            </w:r>
            <w:r w:rsidR="00E11E28">
              <w:rPr>
                <w:color w:val="000000"/>
              </w:rPr>
              <w:t>0.7</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005D" w:rsidRPr="000A37FD" w:rsidRDefault="0087005D" w:rsidP="0051322C">
            <w:pPr>
              <w:jc w:val="center"/>
              <w:rPr>
                <w:color w:val="000000"/>
              </w:rPr>
            </w:pPr>
            <w:r>
              <w:rPr>
                <w:color w:val="000000"/>
              </w:rPr>
              <w:t>1</w:t>
            </w:r>
            <w:r w:rsidR="00E11E28">
              <w:rPr>
                <w:color w:val="000000"/>
              </w:rPr>
              <w:t>5.1</w:t>
            </w:r>
            <w:r>
              <w:rPr>
                <w:color w:val="000000"/>
              </w:rPr>
              <w:t>%</w:t>
            </w:r>
          </w:p>
        </w:tc>
      </w:tr>
    </w:tbl>
    <w:p w:rsidR="00EC6EE6" w:rsidRDefault="00EC6EE6" w:rsidP="0075683D"/>
    <w:p w:rsidR="00CF5271" w:rsidRPr="003541EC" w:rsidRDefault="005C4F80" w:rsidP="0075683D">
      <w:r w:rsidRPr="005C4F80">
        <w:lastRenderedPageBreak/>
        <w:t xml:space="preserve">The most important parameter is the </w:t>
      </w:r>
      <w:r w:rsidRPr="005C4F80">
        <w:rPr>
          <w:b/>
        </w:rPr>
        <w:t>number of jobs created</w:t>
      </w:r>
      <w:r w:rsidRPr="005C4F80">
        <w:t xml:space="preserve"> and this parameter should be monitored ca</w:t>
      </w:r>
      <w:r>
        <w:t xml:space="preserve">refully. </w:t>
      </w:r>
      <w:r w:rsidR="0087005D">
        <w:t>T</w:t>
      </w:r>
      <w:r w:rsidR="0087005D" w:rsidRPr="005C4F80">
        <w:t>h</w:t>
      </w:r>
      <w:r w:rsidR="0087005D">
        <w:t>e</w:t>
      </w:r>
      <w:r w:rsidR="0087005D" w:rsidRPr="005C4F80">
        <w:t xml:space="preserve"> </w:t>
      </w:r>
      <w:r w:rsidRPr="005C4F80">
        <w:t>Jayanthakumaran (2003) economic model</w:t>
      </w:r>
      <w:r>
        <w:t xml:space="preserve"> </w:t>
      </w:r>
      <w:r w:rsidR="00EC6EE6">
        <w:t xml:space="preserve">will </w:t>
      </w:r>
      <w:r>
        <w:t>also</w:t>
      </w:r>
      <w:r w:rsidRPr="005C4F80">
        <w:t xml:space="preserve"> be applied to the </w:t>
      </w:r>
      <w:r w:rsidR="00DA64AA">
        <w:t xml:space="preserve">project </w:t>
      </w:r>
      <w:r w:rsidR="00EC6EE6">
        <w:t xml:space="preserve">in the ex post economic evaluation. </w:t>
      </w:r>
    </w:p>
    <w:p w:rsidR="00CF5271" w:rsidRPr="00A46302" w:rsidRDefault="00CF5271" w:rsidP="00637A31">
      <w:pPr>
        <w:pStyle w:val="ListParagraph"/>
        <w:numPr>
          <w:ilvl w:val="0"/>
          <w:numId w:val="5"/>
        </w:numPr>
        <w:spacing w:before="360"/>
        <w:contextualSpacing w:val="0"/>
        <w:rPr>
          <w:rFonts w:eastAsia="Times New Roman"/>
          <w:b/>
          <w:color w:val="000000"/>
        </w:rPr>
      </w:pPr>
      <w:r>
        <w:rPr>
          <w:rFonts w:eastAsia="Times New Roman"/>
          <w:b/>
          <w:color w:val="000000"/>
        </w:rPr>
        <w:t>Conclusions</w:t>
      </w:r>
    </w:p>
    <w:p w:rsidR="00733A2B" w:rsidRDefault="00184E4C" w:rsidP="0075683D">
      <w:r w:rsidRPr="005E4354">
        <w:t xml:space="preserve">The economic analysis shows that under conservative assumptions the </w:t>
      </w:r>
      <w:r w:rsidR="00E11E28">
        <w:t>fourth operation</w:t>
      </w:r>
      <w:r w:rsidR="00E11E28" w:rsidRPr="005E4354">
        <w:t xml:space="preserve"> </w:t>
      </w:r>
      <w:r w:rsidRPr="005E4354">
        <w:t>has the potential to generate an economic rate of return of 1</w:t>
      </w:r>
      <w:r w:rsidR="00E11E28">
        <w:t>3</w:t>
      </w:r>
      <w:r w:rsidRPr="005E4354">
        <w:t>.</w:t>
      </w:r>
      <w:r w:rsidR="00E11E28">
        <w:t>8</w:t>
      </w:r>
      <w:r w:rsidRPr="005E4354">
        <w:t xml:space="preserve">%. </w:t>
      </w:r>
      <w:r w:rsidR="00692A13">
        <w:t xml:space="preserve">Sensitivity analysis </w:t>
      </w:r>
      <w:r w:rsidR="00733A2B">
        <w:t xml:space="preserve">yielded similar positive results, except in </w:t>
      </w:r>
      <w:r w:rsidR="00E11E28">
        <w:t>two</w:t>
      </w:r>
      <w:r w:rsidR="00733A2B">
        <w:t xml:space="preserve"> case</w:t>
      </w:r>
      <w:r w:rsidR="00E11E28">
        <w:t>s</w:t>
      </w:r>
      <w:r w:rsidR="00733A2B">
        <w:t xml:space="preserve"> (a </w:t>
      </w:r>
      <w:r w:rsidR="00EC6EE6">
        <w:t xml:space="preserve">reduction in jobs </w:t>
      </w:r>
      <w:r w:rsidR="00733A2B">
        <w:t xml:space="preserve">of </w:t>
      </w:r>
      <w:r w:rsidR="00EC6EE6">
        <w:t>30%</w:t>
      </w:r>
      <w:r w:rsidR="00E11E28">
        <w:t xml:space="preserve"> and a one-year striske in 2017</w:t>
      </w:r>
      <w:r w:rsidR="00EC6EE6">
        <w:t>) - which is unlikely to occur in the medium term</w:t>
      </w:r>
      <w:r w:rsidR="00733A2B">
        <w:t>.  All</w:t>
      </w:r>
      <w:r w:rsidR="00EC6EE6">
        <w:t xml:space="preserve"> other scenarios </w:t>
      </w:r>
      <w:r w:rsidR="00733A2B">
        <w:t>resulted in</w:t>
      </w:r>
      <w:r w:rsidR="00EC6EE6">
        <w:t xml:space="preserve"> IRR above 12%.   </w:t>
      </w:r>
    </w:p>
    <w:p w:rsidR="00E104DA" w:rsidRDefault="00E104DA" w:rsidP="00900401"/>
    <w:p w:rsidR="00E104DA" w:rsidRDefault="00E104DA" w:rsidP="00900401"/>
    <w:p w:rsidR="00900401" w:rsidRPr="0075683D" w:rsidRDefault="00900401" w:rsidP="00900401">
      <w:pPr>
        <w:rPr>
          <w:highlight w:val="yellow"/>
        </w:rPr>
      </w:pPr>
    </w:p>
    <w:p w:rsidR="00900401" w:rsidRDefault="00900401">
      <w:pPr>
        <w:spacing w:after="0" w:line="240" w:lineRule="auto"/>
        <w:jc w:val="left"/>
      </w:pPr>
      <w:r>
        <w:br w:type="page"/>
      </w:r>
    </w:p>
    <w:p w:rsidR="00900401" w:rsidRDefault="00900401" w:rsidP="0075683D">
      <w:pPr>
        <w:sectPr w:rsidR="00900401" w:rsidSect="00DD3A50">
          <w:pgSz w:w="12240" w:h="15840"/>
          <w:pgMar w:top="1440" w:right="1800" w:bottom="1440" w:left="1800" w:header="720" w:footer="720" w:gutter="0"/>
          <w:cols w:space="720"/>
          <w:docGrid w:linePitch="360"/>
        </w:sectPr>
      </w:pPr>
    </w:p>
    <w:p w:rsidR="0087005D" w:rsidRPr="0051322C" w:rsidRDefault="0087005D" w:rsidP="0051322C">
      <w:pPr>
        <w:pStyle w:val="ListParagraph"/>
        <w:numPr>
          <w:ilvl w:val="0"/>
          <w:numId w:val="5"/>
        </w:numPr>
        <w:spacing w:before="360"/>
        <w:contextualSpacing w:val="0"/>
        <w:rPr>
          <w:rFonts w:eastAsia="Times New Roman"/>
          <w:b/>
          <w:color w:val="000000"/>
        </w:rPr>
      </w:pPr>
      <w:r w:rsidRPr="0051322C">
        <w:rPr>
          <w:rFonts w:eastAsia="Times New Roman"/>
          <w:b/>
          <w:color w:val="000000"/>
        </w:rPr>
        <w:lastRenderedPageBreak/>
        <w:t xml:space="preserve">ANNEX </w:t>
      </w:r>
    </w:p>
    <w:p w:rsidR="0087005D" w:rsidRDefault="0087005D" w:rsidP="0087005D">
      <w:r>
        <w:t xml:space="preserve">The following tables contain the calculations used in this economic analysis. </w:t>
      </w:r>
    </w:p>
    <w:p w:rsidR="00B51B25" w:rsidRDefault="00E104DA" w:rsidP="00C8610C">
      <w:pPr>
        <w:jc w:val="left"/>
        <w:rPr>
          <w:noProof/>
        </w:rPr>
      </w:pPr>
      <w:r>
        <w:t>TABLE1 : Benefits and Costs Summary</w:t>
      </w:r>
      <w:r w:rsidR="0084546C" w:rsidRPr="0084546C">
        <w:rPr>
          <w:noProof/>
        </w:rPr>
        <w:t xml:space="preserve"> </w:t>
      </w:r>
    </w:p>
    <w:p w:rsidR="00900401" w:rsidRDefault="00B51B25" w:rsidP="00C8610C">
      <w:pPr>
        <w:jc w:val="left"/>
        <w:rPr>
          <w:highlight w:val="yellow"/>
        </w:rPr>
      </w:pPr>
      <w:r w:rsidRPr="00B51B25">
        <w:rPr>
          <w:noProof/>
        </w:rPr>
        <w:drawing>
          <wp:inline distT="0" distB="0" distL="0" distR="0" wp14:anchorId="0B31B0B4" wp14:editId="0C54B05A">
            <wp:extent cx="9300949" cy="4312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467" cy="4313396"/>
                    </a:xfrm>
                    <a:prstGeom prst="rect">
                      <a:avLst/>
                    </a:prstGeom>
                    <a:noFill/>
                    <a:ln>
                      <a:noFill/>
                    </a:ln>
                  </pic:spPr>
                </pic:pic>
              </a:graphicData>
            </a:graphic>
          </wp:inline>
        </w:drawing>
      </w:r>
    </w:p>
    <w:p w:rsidR="00900401" w:rsidRPr="0075683D" w:rsidRDefault="00E11E28" w:rsidP="0051322C">
      <w:pPr>
        <w:spacing w:after="0" w:line="240" w:lineRule="auto"/>
        <w:jc w:val="left"/>
        <w:rPr>
          <w:highlight w:val="yellow"/>
        </w:rPr>
      </w:pPr>
      <w:r w:rsidRPr="00E11E28">
        <w:rPr>
          <w:noProof/>
        </w:rPr>
        <w:lastRenderedPageBreak/>
        <w:drawing>
          <wp:inline distT="0" distB="0" distL="0" distR="0" wp14:anchorId="658111B0" wp14:editId="2390874C">
            <wp:extent cx="8686800" cy="6153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153918"/>
                    </a:xfrm>
                    <a:prstGeom prst="rect">
                      <a:avLst/>
                    </a:prstGeom>
                    <a:noFill/>
                    <a:ln>
                      <a:noFill/>
                    </a:ln>
                  </pic:spPr>
                </pic:pic>
              </a:graphicData>
            </a:graphic>
          </wp:inline>
        </w:drawing>
      </w:r>
    </w:p>
    <w:sectPr w:rsidR="00900401" w:rsidRPr="0075683D" w:rsidSect="0051322C">
      <w:pgSz w:w="15840" w:h="12240" w:orient="landscape"/>
      <w:pgMar w:top="1800" w:right="144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8E" w:rsidRDefault="0038148E" w:rsidP="00CF5271">
      <w:pPr>
        <w:spacing w:after="0" w:line="240" w:lineRule="auto"/>
      </w:pPr>
      <w:r>
        <w:separator/>
      </w:r>
    </w:p>
  </w:endnote>
  <w:endnote w:type="continuationSeparator" w:id="0">
    <w:p w:rsidR="0038148E" w:rsidRDefault="0038148E"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8E" w:rsidRDefault="0038148E" w:rsidP="00CF5271">
      <w:pPr>
        <w:spacing w:after="0" w:line="240" w:lineRule="auto"/>
      </w:pPr>
      <w:r>
        <w:separator/>
      </w:r>
    </w:p>
  </w:footnote>
  <w:footnote w:type="continuationSeparator" w:id="0">
    <w:p w:rsidR="0038148E" w:rsidRDefault="0038148E" w:rsidP="00CF5271">
      <w:pPr>
        <w:spacing w:after="0" w:line="240" w:lineRule="auto"/>
      </w:pPr>
      <w:r>
        <w:continuationSeparator/>
      </w:r>
    </w:p>
  </w:footnote>
  <w:footnote w:id="1">
    <w:p w:rsidR="00BD1FF5" w:rsidRPr="00C8610C" w:rsidRDefault="00BD1FF5">
      <w:pPr>
        <w:pStyle w:val="FootnoteText"/>
        <w:rPr>
          <w:sz w:val="16"/>
          <w:szCs w:val="16"/>
        </w:rPr>
      </w:pPr>
      <w:r>
        <w:rPr>
          <w:rStyle w:val="FootnoteReference"/>
        </w:rPr>
        <w:footnoteRef/>
      </w:r>
      <w:r>
        <w:t xml:space="preserve"> “</w:t>
      </w:r>
      <w:r w:rsidRPr="00C8610C">
        <w:rPr>
          <w:sz w:val="16"/>
          <w:szCs w:val="16"/>
        </w:rPr>
        <w:t>Benefit-Cost Appraisals of Export Processing Zones: A Survey of the Literatur” Kankesu Jayanthakumaran, Development Policy Review, 21,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FF" w:rsidRDefault="00D528FF">
    <w:pPr>
      <w:pStyle w:val="Header"/>
      <w:jc w:val="center"/>
    </w:pPr>
    <w:r>
      <w:t xml:space="preserve">- </w:t>
    </w:r>
    <w:sdt>
      <w:sdtPr>
        <w:id w:val="1677762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1156">
          <w:rPr>
            <w:noProof/>
          </w:rPr>
          <w:t>10</w:t>
        </w:r>
        <w:r>
          <w:rPr>
            <w:noProof/>
          </w:rPr>
          <w:fldChar w:fldCharType="end"/>
        </w:r>
        <w:r>
          <w:rPr>
            <w:noProof/>
          </w:rPr>
          <w:t xml:space="preserve"> -</w:t>
        </w:r>
      </w:sdtContent>
    </w:sdt>
  </w:p>
  <w:p w:rsidR="00D528FF" w:rsidRDefault="00D5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FF8"/>
    <w:multiLevelType w:val="multilevel"/>
    <w:tmpl w:val="B98CC69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A40F4"/>
    <w:multiLevelType w:val="multilevel"/>
    <w:tmpl w:val="49EA04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B1A6EE8"/>
    <w:multiLevelType w:val="multilevel"/>
    <w:tmpl w:val="118A386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03A0DE8"/>
    <w:multiLevelType w:val="multilevel"/>
    <w:tmpl w:val="B49AF164"/>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1741A53"/>
    <w:multiLevelType w:val="hybridMultilevel"/>
    <w:tmpl w:val="314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20862"/>
    <w:multiLevelType w:val="multilevel"/>
    <w:tmpl w:val="8EFCEF3A"/>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31C121F"/>
    <w:multiLevelType w:val="hybridMultilevel"/>
    <w:tmpl w:val="BDC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2051C"/>
    <w:multiLevelType w:val="hybridMultilevel"/>
    <w:tmpl w:val="844CC5E0"/>
    <w:lvl w:ilvl="0" w:tplc="9A5ADBF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C72F3"/>
    <w:multiLevelType w:val="multilevel"/>
    <w:tmpl w:val="77009F5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928FB"/>
    <w:multiLevelType w:val="hybridMultilevel"/>
    <w:tmpl w:val="D9B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824E9"/>
    <w:multiLevelType w:val="hybridMultilevel"/>
    <w:tmpl w:val="847CE97E"/>
    <w:lvl w:ilvl="0" w:tplc="9A5ADBF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51D6491F"/>
    <w:multiLevelType w:val="multilevel"/>
    <w:tmpl w:val="226039C4"/>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AA8319C"/>
    <w:multiLevelType w:val="hybridMultilevel"/>
    <w:tmpl w:val="ED1879C8"/>
    <w:lvl w:ilvl="0" w:tplc="9A5ADBF0">
      <w:start w:val="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6727022C"/>
    <w:multiLevelType w:val="multilevel"/>
    <w:tmpl w:val="13EA714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62D44"/>
    <w:multiLevelType w:val="multilevel"/>
    <w:tmpl w:val="BF2CA6D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74E82A12"/>
    <w:multiLevelType w:val="multilevel"/>
    <w:tmpl w:val="2946B08E"/>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24"/>
  </w:num>
  <w:num w:numId="5">
    <w:abstractNumId w:val="9"/>
  </w:num>
  <w:num w:numId="6">
    <w:abstractNumId w:val="7"/>
  </w:num>
  <w:num w:numId="7">
    <w:abstractNumId w:val="21"/>
  </w:num>
  <w:num w:numId="8">
    <w:abstractNumId w:val="5"/>
  </w:num>
  <w:num w:numId="9">
    <w:abstractNumId w:val="11"/>
  </w:num>
  <w:num w:numId="10">
    <w:abstractNumId w:val="13"/>
  </w:num>
  <w:num w:numId="11">
    <w:abstractNumId w:val="19"/>
  </w:num>
  <w:num w:numId="12">
    <w:abstractNumId w:val="23"/>
  </w:num>
  <w:num w:numId="13">
    <w:abstractNumId w:val="18"/>
  </w:num>
  <w:num w:numId="14">
    <w:abstractNumId w:val="17"/>
  </w:num>
  <w:num w:numId="15">
    <w:abstractNumId w:val="15"/>
  </w:num>
  <w:num w:numId="16">
    <w:abstractNumId w:val="22"/>
  </w:num>
  <w:num w:numId="17">
    <w:abstractNumId w:val="6"/>
  </w:num>
  <w:num w:numId="18">
    <w:abstractNumId w:val="3"/>
  </w:num>
  <w:num w:numId="19">
    <w:abstractNumId w:val="0"/>
  </w:num>
  <w:num w:numId="20">
    <w:abstractNumId w:val="2"/>
  </w:num>
  <w:num w:numId="21">
    <w:abstractNumId w:val="14"/>
  </w:num>
  <w:num w:numId="22">
    <w:abstractNumId w:val="4"/>
  </w:num>
  <w:num w:numId="23">
    <w:abstractNumId w:val="2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259A4"/>
    <w:rsid w:val="000420E7"/>
    <w:rsid w:val="00090118"/>
    <w:rsid w:val="000954AF"/>
    <w:rsid w:val="000A37FD"/>
    <w:rsid w:val="000B5A41"/>
    <w:rsid w:val="000F4BF7"/>
    <w:rsid w:val="001027A5"/>
    <w:rsid w:val="00111647"/>
    <w:rsid w:val="001240FE"/>
    <w:rsid w:val="0013043C"/>
    <w:rsid w:val="00150114"/>
    <w:rsid w:val="00184E4C"/>
    <w:rsid w:val="001C3DCA"/>
    <w:rsid w:val="001C731B"/>
    <w:rsid w:val="001E5E45"/>
    <w:rsid w:val="00212556"/>
    <w:rsid w:val="002144EA"/>
    <w:rsid w:val="00220DBA"/>
    <w:rsid w:val="00283CFA"/>
    <w:rsid w:val="002B77EE"/>
    <w:rsid w:val="002F6B67"/>
    <w:rsid w:val="0032075F"/>
    <w:rsid w:val="003541EC"/>
    <w:rsid w:val="00354D21"/>
    <w:rsid w:val="0038148E"/>
    <w:rsid w:val="003A73D6"/>
    <w:rsid w:val="003C0441"/>
    <w:rsid w:val="003C0446"/>
    <w:rsid w:val="003C11C2"/>
    <w:rsid w:val="003E01E7"/>
    <w:rsid w:val="00433B27"/>
    <w:rsid w:val="004411DA"/>
    <w:rsid w:val="00446A8E"/>
    <w:rsid w:val="004A0C8C"/>
    <w:rsid w:val="0051322C"/>
    <w:rsid w:val="00564329"/>
    <w:rsid w:val="00581F2C"/>
    <w:rsid w:val="00582A50"/>
    <w:rsid w:val="005C4F80"/>
    <w:rsid w:val="005C5811"/>
    <w:rsid w:val="005E4354"/>
    <w:rsid w:val="005F7A38"/>
    <w:rsid w:val="0062604A"/>
    <w:rsid w:val="00637A31"/>
    <w:rsid w:val="00637C05"/>
    <w:rsid w:val="00692A13"/>
    <w:rsid w:val="006B4776"/>
    <w:rsid w:val="006C11E0"/>
    <w:rsid w:val="006C37FF"/>
    <w:rsid w:val="006F3073"/>
    <w:rsid w:val="006F4099"/>
    <w:rsid w:val="00723FEF"/>
    <w:rsid w:val="00733A2B"/>
    <w:rsid w:val="00742E3B"/>
    <w:rsid w:val="00743682"/>
    <w:rsid w:val="0075683D"/>
    <w:rsid w:val="00777CE5"/>
    <w:rsid w:val="00790B2C"/>
    <w:rsid w:val="00794228"/>
    <w:rsid w:val="007F7956"/>
    <w:rsid w:val="00803E3E"/>
    <w:rsid w:val="00837DFB"/>
    <w:rsid w:val="0084546C"/>
    <w:rsid w:val="0087005D"/>
    <w:rsid w:val="00877D7A"/>
    <w:rsid w:val="008C01A3"/>
    <w:rsid w:val="008F3317"/>
    <w:rsid w:val="008F49BF"/>
    <w:rsid w:val="00900401"/>
    <w:rsid w:val="009400A1"/>
    <w:rsid w:val="00982A67"/>
    <w:rsid w:val="009A1C11"/>
    <w:rsid w:val="009B5E7D"/>
    <w:rsid w:val="00A03B14"/>
    <w:rsid w:val="00A21C7A"/>
    <w:rsid w:val="00A621DC"/>
    <w:rsid w:val="00A66A78"/>
    <w:rsid w:val="00A67B0C"/>
    <w:rsid w:val="00AC02AC"/>
    <w:rsid w:val="00AC5430"/>
    <w:rsid w:val="00B32E6C"/>
    <w:rsid w:val="00B51B25"/>
    <w:rsid w:val="00B91993"/>
    <w:rsid w:val="00BD1FF5"/>
    <w:rsid w:val="00BF1F1C"/>
    <w:rsid w:val="00C144C8"/>
    <w:rsid w:val="00C32A84"/>
    <w:rsid w:val="00C370B8"/>
    <w:rsid w:val="00C50EB0"/>
    <w:rsid w:val="00C8610C"/>
    <w:rsid w:val="00CF5271"/>
    <w:rsid w:val="00D11156"/>
    <w:rsid w:val="00D17E6C"/>
    <w:rsid w:val="00D332FF"/>
    <w:rsid w:val="00D528FF"/>
    <w:rsid w:val="00D60BB5"/>
    <w:rsid w:val="00D62392"/>
    <w:rsid w:val="00D92329"/>
    <w:rsid w:val="00DA03C6"/>
    <w:rsid w:val="00DA40EF"/>
    <w:rsid w:val="00DA5B71"/>
    <w:rsid w:val="00DA64AA"/>
    <w:rsid w:val="00DC0396"/>
    <w:rsid w:val="00DD3A50"/>
    <w:rsid w:val="00DD7B8A"/>
    <w:rsid w:val="00DF3C59"/>
    <w:rsid w:val="00E104DA"/>
    <w:rsid w:val="00E11E28"/>
    <w:rsid w:val="00E26B9C"/>
    <w:rsid w:val="00EB440D"/>
    <w:rsid w:val="00EC6EE6"/>
    <w:rsid w:val="00EE0318"/>
    <w:rsid w:val="00EE39AF"/>
    <w:rsid w:val="00F466D3"/>
    <w:rsid w:val="00F6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78"/>
    <w:pPr>
      <w:spacing w:after="200" w:line="276" w:lineRule="auto"/>
      <w:jc w:val="both"/>
    </w:pPr>
    <w:rPr>
      <w:rFonts w:ascii="Times New Roman" w:hAnsi="Times New Roman"/>
      <w:sz w:val="22"/>
      <w:szCs w:val="22"/>
    </w:rPr>
  </w:style>
  <w:style w:type="paragraph" w:styleId="Heading2">
    <w:name w:val="heading 2"/>
    <w:basedOn w:val="Normal"/>
    <w:next w:val="Normal"/>
    <w:link w:val="Heading2Char"/>
    <w:uiPriority w:val="9"/>
    <w:semiHidden/>
    <w:unhideWhenUsed/>
    <w:qFormat/>
    <w:rsid w:val="003541EC"/>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41E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1EC"/>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41EC"/>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1EC"/>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1E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1E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1E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02F77"/>
    <w:pPr>
      <w:keepNext/>
      <w:keepLines/>
      <w:spacing w:after="120" w:line="240" w:lineRule="auto"/>
      <w:ind w:left="288" w:hanging="288"/>
    </w:pPr>
    <w:rPr>
      <w:spacing w:val="-3"/>
      <w:sz w:val="20"/>
      <w:szCs w:val="24"/>
    </w:rPr>
  </w:style>
  <w:style w:type="character" w:customStyle="1" w:styleId="FootnoteTextChar">
    <w:name w:val="Footnote Text Char"/>
    <w:link w:val="FootnoteText"/>
    <w:uiPriority w:val="99"/>
    <w:semiHidden/>
    <w:rsid w:val="00902F77"/>
    <w:rPr>
      <w:rFonts w:ascii="Times New Roman" w:hAnsi="Times New Roman"/>
      <w:spacing w:val="-3"/>
      <w:szCs w:val="24"/>
    </w:rPr>
  </w:style>
  <w:style w:type="character" w:styleId="FootnoteReference">
    <w:name w:val="footnote reference"/>
    <w:uiPriority w:val="99"/>
    <w:semiHidden/>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eastAsia="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eastAsia="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link w:val="CommentSubject"/>
    <w:rsid w:val="009365EC"/>
    <w:rPr>
      <w:b/>
      <w:bCs/>
    </w:rPr>
  </w:style>
  <w:style w:type="table" w:customStyle="1" w:styleId="NoteLevel3">
    <w:name w:val="Note Level 3"/>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1">
    <w:name w:val="Medium Shading 2 - Accent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pter">
    <w:name w:val="Chapter"/>
    <w:basedOn w:val="Normal"/>
    <w:next w:val="Normal"/>
    <w:link w:val="ChapterChar"/>
    <w:rsid w:val="003541EC"/>
    <w:pPr>
      <w:keepNext/>
      <w:numPr>
        <w:numId w:val="16"/>
      </w:numPr>
      <w:tabs>
        <w:tab w:val="num" w:pos="648"/>
        <w:tab w:val="left" w:pos="1440"/>
      </w:tabs>
      <w:spacing w:before="240" w:after="240" w:line="240" w:lineRule="auto"/>
      <w:ind w:left="0" w:firstLine="288"/>
      <w:jc w:val="center"/>
    </w:pPr>
    <w:rPr>
      <w:b/>
      <w:smallCaps/>
      <w:sz w:val="24"/>
    </w:rPr>
  </w:style>
  <w:style w:type="character" w:customStyle="1" w:styleId="ListParagraphChar">
    <w:name w:val="List Paragraph Char"/>
    <w:basedOn w:val="DefaultParagraphFont"/>
    <w:link w:val="ListParagraph"/>
    <w:uiPriority w:val="34"/>
    <w:rsid w:val="003541EC"/>
    <w:rPr>
      <w:rFonts w:ascii="Times New Roman" w:hAnsi="Times New Roman"/>
      <w:sz w:val="22"/>
      <w:szCs w:val="22"/>
    </w:rPr>
  </w:style>
  <w:style w:type="character" w:customStyle="1" w:styleId="ChapterChar">
    <w:name w:val="Chapter Char"/>
    <w:basedOn w:val="ListParagraphChar"/>
    <w:link w:val="Chapter"/>
    <w:rsid w:val="003541EC"/>
    <w:rPr>
      <w:rFonts w:ascii="Times New Roman" w:hAnsi="Times New Roman"/>
      <w:b/>
      <w:smallCaps/>
      <w:sz w:val="24"/>
      <w:szCs w:val="22"/>
    </w:rPr>
  </w:style>
  <w:style w:type="paragraph" w:customStyle="1" w:styleId="FirstHeading">
    <w:name w:val="FirstHeading"/>
    <w:basedOn w:val="Normal"/>
    <w:next w:val="Normal"/>
    <w:link w:val="FirstHeadingChar"/>
    <w:rsid w:val="003541EC"/>
    <w:pPr>
      <w:keepNext/>
      <w:tabs>
        <w:tab w:val="left" w:pos="0"/>
        <w:tab w:val="left" w:pos="86"/>
      </w:tabs>
      <w:spacing w:before="120" w:after="120" w:line="240" w:lineRule="auto"/>
      <w:ind w:hanging="720"/>
      <w:jc w:val="left"/>
    </w:pPr>
    <w:rPr>
      <w:b/>
      <w:sz w:val="24"/>
    </w:rPr>
  </w:style>
  <w:style w:type="character" w:customStyle="1" w:styleId="FirstHeadingChar">
    <w:name w:val="FirstHeading Char"/>
    <w:basedOn w:val="ListParagraphChar"/>
    <w:link w:val="FirstHeading"/>
    <w:rsid w:val="003541EC"/>
    <w:rPr>
      <w:rFonts w:ascii="Times New Roman" w:hAnsi="Times New Roman"/>
      <w:b/>
      <w:sz w:val="24"/>
      <w:szCs w:val="22"/>
    </w:rPr>
  </w:style>
  <w:style w:type="paragraph" w:customStyle="1" w:styleId="SecHeading">
    <w:name w:val="SecHeading"/>
    <w:basedOn w:val="Normal"/>
    <w:next w:val="Paragraph"/>
    <w:link w:val="SecHeadingChar"/>
    <w:rsid w:val="003541EC"/>
    <w:pPr>
      <w:keepNext/>
      <w:tabs>
        <w:tab w:val="num" w:pos="1296"/>
      </w:tabs>
      <w:spacing w:before="120" w:after="120" w:line="240" w:lineRule="auto"/>
      <w:ind w:left="1296" w:hanging="576"/>
      <w:jc w:val="left"/>
    </w:pPr>
    <w:rPr>
      <w:b/>
      <w:sz w:val="24"/>
    </w:rPr>
  </w:style>
  <w:style w:type="character" w:customStyle="1" w:styleId="SecHeadingChar">
    <w:name w:val="SecHeading Char"/>
    <w:basedOn w:val="ListParagraphChar"/>
    <w:link w:val="SecHeading"/>
    <w:rsid w:val="003541EC"/>
    <w:rPr>
      <w:rFonts w:ascii="Times New Roman" w:hAnsi="Times New Roman"/>
      <w:b/>
      <w:sz w:val="24"/>
      <w:szCs w:val="22"/>
    </w:rPr>
  </w:style>
  <w:style w:type="paragraph" w:customStyle="1" w:styleId="SubHeading1">
    <w:name w:val="SubHeading1"/>
    <w:basedOn w:val="SecHeading"/>
    <w:link w:val="SubHeading1Char"/>
    <w:rsid w:val="003541EC"/>
    <w:pPr>
      <w:tabs>
        <w:tab w:val="clear" w:pos="1296"/>
        <w:tab w:val="num" w:pos="1872"/>
      </w:tabs>
      <w:ind w:left="1872"/>
    </w:pPr>
  </w:style>
  <w:style w:type="character" w:customStyle="1" w:styleId="SubHeading1Char">
    <w:name w:val="SubHeading1 Char"/>
    <w:basedOn w:val="ListParagraphChar"/>
    <w:link w:val="SubHeading1"/>
    <w:rsid w:val="003541EC"/>
    <w:rPr>
      <w:rFonts w:ascii="Times New Roman" w:hAnsi="Times New Roman"/>
      <w:b/>
      <w:sz w:val="24"/>
      <w:szCs w:val="22"/>
    </w:rPr>
  </w:style>
  <w:style w:type="paragraph" w:customStyle="1" w:styleId="Subheading2">
    <w:name w:val="Subheading2"/>
    <w:basedOn w:val="SecHeading"/>
    <w:link w:val="Subheading2Char"/>
    <w:rsid w:val="003541EC"/>
    <w:pPr>
      <w:tabs>
        <w:tab w:val="clear" w:pos="1296"/>
        <w:tab w:val="num" w:pos="2376"/>
      </w:tabs>
      <w:ind w:left="2376" w:hanging="288"/>
    </w:pPr>
  </w:style>
  <w:style w:type="character" w:customStyle="1" w:styleId="Subheading2Char">
    <w:name w:val="Subheading2 Char"/>
    <w:basedOn w:val="ListParagraphChar"/>
    <w:link w:val="Subheading2"/>
    <w:rsid w:val="003541EC"/>
    <w:rPr>
      <w:rFonts w:ascii="Times New Roman" w:hAnsi="Times New Roman"/>
      <w:b/>
      <w:sz w:val="24"/>
      <w:szCs w:val="22"/>
    </w:rPr>
  </w:style>
  <w:style w:type="paragraph" w:customStyle="1" w:styleId="Paragraph">
    <w:name w:val="Paragraph"/>
    <w:basedOn w:val="BodyTextIndent"/>
    <w:link w:val="ParagraphChar"/>
    <w:rsid w:val="003541EC"/>
    <w:pPr>
      <w:tabs>
        <w:tab w:val="num" w:pos="720"/>
      </w:tabs>
      <w:spacing w:before="120"/>
      <w:ind w:hanging="720"/>
      <w:outlineLvl w:val="1"/>
    </w:pPr>
  </w:style>
  <w:style w:type="character" w:customStyle="1" w:styleId="ParagraphChar">
    <w:name w:val="Paragraph Char"/>
    <w:basedOn w:val="ListParagraphChar"/>
    <w:link w:val="Paragraph"/>
    <w:rsid w:val="003541EC"/>
    <w:rPr>
      <w:rFonts w:ascii="Times New Roman" w:hAnsi="Times New Roman"/>
      <w:sz w:val="24"/>
      <w:szCs w:val="22"/>
    </w:rPr>
  </w:style>
  <w:style w:type="paragraph" w:customStyle="1" w:styleId="subpar">
    <w:name w:val="subpar"/>
    <w:basedOn w:val="BodyTextIndent3"/>
    <w:link w:val="subparChar"/>
    <w:rsid w:val="003541EC"/>
    <w:pPr>
      <w:tabs>
        <w:tab w:val="num" w:pos="1152"/>
      </w:tabs>
      <w:spacing w:before="120"/>
      <w:ind w:left="1152" w:hanging="432"/>
      <w:outlineLvl w:val="2"/>
    </w:pPr>
  </w:style>
  <w:style w:type="character" w:customStyle="1" w:styleId="subparChar">
    <w:name w:val="subpar Char"/>
    <w:basedOn w:val="ListParagraphChar"/>
    <w:link w:val="subpar"/>
    <w:rsid w:val="003541EC"/>
    <w:rPr>
      <w:rFonts w:ascii="Times New Roman" w:hAnsi="Times New Roman"/>
      <w:sz w:val="24"/>
      <w:szCs w:val="16"/>
    </w:rPr>
  </w:style>
  <w:style w:type="paragraph" w:customStyle="1" w:styleId="SubSubPar">
    <w:name w:val="SubSubPar"/>
    <w:basedOn w:val="subpar"/>
    <w:link w:val="SubSubParChar"/>
    <w:rsid w:val="003541EC"/>
    <w:pPr>
      <w:tabs>
        <w:tab w:val="left" w:pos="0"/>
        <w:tab w:val="num" w:pos="1296"/>
      </w:tabs>
      <w:ind w:left="1296" w:hanging="288"/>
    </w:pPr>
  </w:style>
  <w:style w:type="character" w:customStyle="1" w:styleId="SubSubParChar">
    <w:name w:val="SubSubPar Char"/>
    <w:basedOn w:val="ListParagraphChar"/>
    <w:link w:val="SubSubPar"/>
    <w:rsid w:val="003541EC"/>
    <w:rPr>
      <w:rFonts w:ascii="Times New Roman" w:hAnsi="Times New Roman"/>
      <w:sz w:val="24"/>
      <w:szCs w:val="16"/>
    </w:rPr>
  </w:style>
  <w:style w:type="paragraph" w:customStyle="1" w:styleId="Regtable">
    <w:name w:val="Regtable"/>
    <w:basedOn w:val="Normal"/>
    <w:link w:val="RegtableChar"/>
    <w:rsid w:val="003541EC"/>
    <w:pPr>
      <w:keepLines/>
      <w:framePr w:wrap="around" w:vAnchor="text" w:hAnchor="text" w:y="1"/>
      <w:spacing w:before="20" w:after="20" w:line="240" w:lineRule="auto"/>
      <w:jc w:val="left"/>
    </w:pPr>
  </w:style>
  <w:style w:type="character" w:customStyle="1" w:styleId="RegtableChar">
    <w:name w:val="Regtable Char"/>
    <w:basedOn w:val="ListParagraphChar"/>
    <w:link w:val="Regtable"/>
    <w:rsid w:val="003541EC"/>
    <w:rPr>
      <w:rFonts w:ascii="Times New Roman" w:hAnsi="Times New Roman"/>
      <w:sz w:val="22"/>
      <w:szCs w:val="22"/>
    </w:rPr>
  </w:style>
  <w:style w:type="paragraph" w:customStyle="1" w:styleId="TableTitle">
    <w:name w:val="TableTitle"/>
    <w:basedOn w:val="Normal"/>
    <w:link w:val="TableTitleChar"/>
    <w:rsid w:val="003541EC"/>
    <w:pPr>
      <w:keepNext/>
      <w:framePr w:wrap="around" w:vAnchor="text" w:hAnchor="text" w:y="1"/>
      <w:spacing w:before="20" w:after="20" w:line="240" w:lineRule="auto"/>
      <w:jc w:val="center"/>
    </w:pPr>
    <w:rPr>
      <w:rFonts w:ascii="Times New Roman Bold" w:hAnsi="Times New Roman Bold"/>
      <w:b/>
      <w:spacing w:val="-3"/>
    </w:rPr>
  </w:style>
  <w:style w:type="character" w:customStyle="1" w:styleId="TableTitleChar">
    <w:name w:val="TableTitle Char"/>
    <w:basedOn w:val="ListParagraphChar"/>
    <w:link w:val="TableTitle"/>
    <w:rsid w:val="003541EC"/>
    <w:rPr>
      <w:rFonts w:ascii="Times New Roman Bold" w:hAnsi="Times New Roman Bold"/>
      <w:b/>
      <w:spacing w:val="-3"/>
      <w:sz w:val="22"/>
      <w:szCs w:val="22"/>
    </w:rPr>
  </w:style>
  <w:style w:type="character" w:customStyle="1" w:styleId="Heading2Char">
    <w:name w:val="Heading 2 Char"/>
    <w:basedOn w:val="DefaultParagraphFont"/>
    <w:link w:val="Heading2"/>
    <w:uiPriority w:val="9"/>
    <w:semiHidden/>
    <w:rsid w:val="003541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41E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3541E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3541E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541E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541E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541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541E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3541EC"/>
    <w:pPr>
      <w:spacing w:after="120" w:line="240" w:lineRule="auto"/>
      <w:ind w:left="360"/>
      <w:jc w:val="left"/>
    </w:pPr>
    <w:rPr>
      <w:sz w:val="24"/>
    </w:rPr>
  </w:style>
  <w:style w:type="character" w:customStyle="1" w:styleId="BodyTextIndentChar">
    <w:name w:val="Body Text Indent Char"/>
    <w:basedOn w:val="DefaultParagraphFont"/>
    <w:link w:val="BodyTextIndent"/>
    <w:uiPriority w:val="99"/>
    <w:semiHidden/>
    <w:rsid w:val="003541EC"/>
    <w:rPr>
      <w:rFonts w:ascii="Times New Roman" w:hAnsi="Times New Roman"/>
      <w:sz w:val="24"/>
      <w:szCs w:val="22"/>
    </w:rPr>
  </w:style>
  <w:style w:type="paragraph" w:styleId="BodyTextIndent3">
    <w:name w:val="Body Text Indent 3"/>
    <w:basedOn w:val="Normal"/>
    <w:link w:val="BodyTextIndent3Char"/>
    <w:uiPriority w:val="99"/>
    <w:semiHidden/>
    <w:unhideWhenUsed/>
    <w:rsid w:val="003541EC"/>
    <w:pPr>
      <w:spacing w:after="120" w:line="240" w:lineRule="auto"/>
      <w:ind w:left="360"/>
      <w:jc w:val="left"/>
    </w:pPr>
    <w:rPr>
      <w:sz w:val="24"/>
      <w:szCs w:val="16"/>
    </w:rPr>
  </w:style>
  <w:style w:type="character" w:customStyle="1" w:styleId="BodyTextIndent3Char">
    <w:name w:val="Body Text Indent 3 Char"/>
    <w:basedOn w:val="DefaultParagraphFont"/>
    <w:link w:val="BodyTextIndent3"/>
    <w:uiPriority w:val="99"/>
    <w:semiHidden/>
    <w:rsid w:val="003541EC"/>
    <w:rPr>
      <w:rFonts w:ascii="Times New Roman" w:hAnsi="Times New Roman"/>
      <w:sz w:val="24"/>
      <w:szCs w:val="16"/>
    </w:rPr>
  </w:style>
  <w:style w:type="paragraph" w:styleId="TOC1">
    <w:name w:val="toc 1"/>
    <w:basedOn w:val="Normal"/>
    <w:next w:val="Normal"/>
    <w:autoRedefine/>
    <w:uiPriority w:val="39"/>
    <w:unhideWhenUsed/>
    <w:rsid w:val="003541EC"/>
    <w:pPr>
      <w:tabs>
        <w:tab w:val="right" w:leader="dot" w:pos="8741"/>
      </w:tabs>
      <w:spacing w:before="240" w:after="240" w:line="240" w:lineRule="auto"/>
      <w:ind w:left="547" w:hanging="547"/>
      <w:jc w:val="left"/>
    </w:pPr>
    <w:rPr>
      <w:smallCaps/>
      <w:sz w:val="24"/>
    </w:rPr>
  </w:style>
  <w:style w:type="paragraph" w:styleId="TOC2">
    <w:name w:val="toc 2"/>
    <w:basedOn w:val="Normal"/>
    <w:next w:val="Normal"/>
    <w:autoRedefine/>
    <w:uiPriority w:val="39"/>
    <w:unhideWhenUsed/>
    <w:rsid w:val="003541EC"/>
    <w:pPr>
      <w:tabs>
        <w:tab w:val="left" w:pos="1152"/>
        <w:tab w:val="right" w:leader="dot" w:pos="8741"/>
      </w:tabs>
      <w:spacing w:after="0" w:line="240" w:lineRule="auto"/>
      <w:ind w:left="1166" w:hanging="605"/>
      <w:jc w:val="left"/>
    </w:pPr>
    <w:rPr>
      <w:sz w:val="24"/>
    </w:rPr>
  </w:style>
  <w:style w:type="paragraph" w:styleId="TOC3">
    <w:name w:val="toc 3"/>
    <w:basedOn w:val="Normal"/>
    <w:next w:val="Normal"/>
    <w:autoRedefine/>
    <w:uiPriority w:val="39"/>
    <w:unhideWhenUsed/>
    <w:rsid w:val="003541EC"/>
    <w:pPr>
      <w:tabs>
        <w:tab w:val="left" w:pos="1728"/>
        <w:tab w:val="right" w:leader="dot" w:pos="8741"/>
      </w:tabs>
      <w:spacing w:after="0" w:line="240" w:lineRule="auto"/>
      <w:ind w:left="1714" w:hanging="562"/>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78"/>
    <w:pPr>
      <w:spacing w:after="200" w:line="276" w:lineRule="auto"/>
      <w:jc w:val="both"/>
    </w:pPr>
    <w:rPr>
      <w:rFonts w:ascii="Times New Roman" w:hAnsi="Times New Roman"/>
      <w:sz w:val="22"/>
      <w:szCs w:val="22"/>
    </w:rPr>
  </w:style>
  <w:style w:type="paragraph" w:styleId="Heading2">
    <w:name w:val="heading 2"/>
    <w:basedOn w:val="Normal"/>
    <w:next w:val="Normal"/>
    <w:link w:val="Heading2Char"/>
    <w:uiPriority w:val="9"/>
    <w:semiHidden/>
    <w:unhideWhenUsed/>
    <w:qFormat/>
    <w:rsid w:val="003541EC"/>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41E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1EC"/>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41EC"/>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1EC"/>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1E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1E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1E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02F77"/>
    <w:pPr>
      <w:keepNext/>
      <w:keepLines/>
      <w:spacing w:after="120" w:line="240" w:lineRule="auto"/>
      <w:ind w:left="288" w:hanging="288"/>
    </w:pPr>
    <w:rPr>
      <w:spacing w:val="-3"/>
      <w:sz w:val="20"/>
      <w:szCs w:val="24"/>
    </w:rPr>
  </w:style>
  <w:style w:type="character" w:customStyle="1" w:styleId="FootnoteTextChar">
    <w:name w:val="Footnote Text Char"/>
    <w:link w:val="FootnoteText"/>
    <w:uiPriority w:val="99"/>
    <w:semiHidden/>
    <w:rsid w:val="00902F77"/>
    <w:rPr>
      <w:rFonts w:ascii="Times New Roman" w:hAnsi="Times New Roman"/>
      <w:spacing w:val="-3"/>
      <w:szCs w:val="24"/>
    </w:rPr>
  </w:style>
  <w:style w:type="character" w:styleId="FootnoteReference">
    <w:name w:val="footnote reference"/>
    <w:uiPriority w:val="99"/>
    <w:semiHidden/>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eastAsia="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eastAsia="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link w:val="CommentSubject"/>
    <w:rsid w:val="009365EC"/>
    <w:rPr>
      <w:b/>
      <w:bCs/>
    </w:rPr>
  </w:style>
  <w:style w:type="table" w:customStyle="1" w:styleId="NoteLevel3">
    <w:name w:val="Note Level 3"/>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1">
    <w:name w:val="Medium Shading 2 - Accent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pter">
    <w:name w:val="Chapter"/>
    <w:basedOn w:val="Normal"/>
    <w:next w:val="Normal"/>
    <w:link w:val="ChapterChar"/>
    <w:rsid w:val="003541EC"/>
    <w:pPr>
      <w:keepNext/>
      <w:numPr>
        <w:numId w:val="16"/>
      </w:numPr>
      <w:tabs>
        <w:tab w:val="num" w:pos="648"/>
        <w:tab w:val="left" w:pos="1440"/>
      </w:tabs>
      <w:spacing w:before="240" w:after="240" w:line="240" w:lineRule="auto"/>
      <w:ind w:left="0" w:firstLine="288"/>
      <w:jc w:val="center"/>
    </w:pPr>
    <w:rPr>
      <w:b/>
      <w:smallCaps/>
      <w:sz w:val="24"/>
    </w:rPr>
  </w:style>
  <w:style w:type="character" w:customStyle="1" w:styleId="ListParagraphChar">
    <w:name w:val="List Paragraph Char"/>
    <w:basedOn w:val="DefaultParagraphFont"/>
    <w:link w:val="ListParagraph"/>
    <w:uiPriority w:val="34"/>
    <w:rsid w:val="003541EC"/>
    <w:rPr>
      <w:rFonts w:ascii="Times New Roman" w:hAnsi="Times New Roman"/>
      <w:sz w:val="22"/>
      <w:szCs w:val="22"/>
    </w:rPr>
  </w:style>
  <w:style w:type="character" w:customStyle="1" w:styleId="ChapterChar">
    <w:name w:val="Chapter Char"/>
    <w:basedOn w:val="ListParagraphChar"/>
    <w:link w:val="Chapter"/>
    <w:rsid w:val="003541EC"/>
    <w:rPr>
      <w:rFonts w:ascii="Times New Roman" w:hAnsi="Times New Roman"/>
      <w:b/>
      <w:smallCaps/>
      <w:sz w:val="24"/>
      <w:szCs w:val="22"/>
    </w:rPr>
  </w:style>
  <w:style w:type="paragraph" w:customStyle="1" w:styleId="FirstHeading">
    <w:name w:val="FirstHeading"/>
    <w:basedOn w:val="Normal"/>
    <w:next w:val="Normal"/>
    <w:link w:val="FirstHeadingChar"/>
    <w:rsid w:val="003541EC"/>
    <w:pPr>
      <w:keepNext/>
      <w:tabs>
        <w:tab w:val="left" w:pos="0"/>
        <w:tab w:val="left" w:pos="86"/>
      </w:tabs>
      <w:spacing w:before="120" w:after="120" w:line="240" w:lineRule="auto"/>
      <w:ind w:hanging="720"/>
      <w:jc w:val="left"/>
    </w:pPr>
    <w:rPr>
      <w:b/>
      <w:sz w:val="24"/>
    </w:rPr>
  </w:style>
  <w:style w:type="character" w:customStyle="1" w:styleId="FirstHeadingChar">
    <w:name w:val="FirstHeading Char"/>
    <w:basedOn w:val="ListParagraphChar"/>
    <w:link w:val="FirstHeading"/>
    <w:rsid w:val="003541EC"/>
    <w:rPr>
      <w:rFonts w:ascii="Times New Roman" w:hAnsi="Times New Roman"/>
      <w:b/>
      <w:sz w:val="24"/>
      <w:szCs w:val="22"/>
    </w:rPr>
  </w:style>
  <w:style w:type="paragraph" w:customStyle="1" w:styleId="SecHeading">
    <w:name w:val="SecHeading"/>
    <w:basedOn w:val="Normal"/>
    <w:next w:val="Paragraph"/>
    <w:link w:val="SecHeadingChar"/>
    <w:rsid w:val="003541EC"/>
    <w:pPr>
      <w:keepNext/>
      <w:tabs>
        <w:tab w:val="num" w:pos="1296"/>
      </w:tabs>
      <w:spacing w:before="120" w:after="120" w:line="240" w:lineRule="auto"/>
      <w:ind w:left="1296" w:hanging="576"/>
      <w:jc w:val="left"/>
    </w:pPr>
    <w:rPr>
      <w:b/>
      <w:sz w:val="24"/>
    </w:rPr>
  </w:style>
  <w:style w:type="character" w:customStyle="1" w:styleId="SecHeadingChar">
    <w:name w:val="SecHeading Char"/>
    <w:basedOn w:val="ListParagraphChar"/>
    <w:link w:val="SecHeading"/>
    <w:rsid w:val="003541EC"/>
    <w:rPr>
      <w:rFonts w:ascii="Times New Roman" w:hAnsi="Times New Roman"/>
      <w:b/>
      <w:sz w:val="24"/>
      <w:szCs w:val="22"/>
    </w:rPr>
  </w:style>
  <w:style w:type="paragraph" w:customStyle="1" w:styleId="SubHeading1">
    <w:name w:val="SubHeading1"/>
    <w:basedOn w:val="SecHeading"/>
    <w:link w:val="SubHeading1Char"/>
    <w:rsid w:val="003541EC"/>
    <w:pPr>
      <w:tabs>
        <w:tab w:val="clear" w:pos="1296"/>
        <w:tab w:val="num" w:pos="1872"/>
      </w:tabs>
      <w:ind w:left="1872"/>
    </w:pPr>
  </w:style>
  <w:style w:type="character" w:customStyle="1" w:styleId="SubHeading1Char">
    <w:name w:val="SubHeading1 Char"/>
    <w:basedOn w:val="ListParagraphChar"/>
    <w:link w:val="SubHeading1"/>
    <w:rsid w:val="003541EC"/>
    <w:rPr>
      <w:rFonts w:ascii="Times New Roman" w:hAnsi="Times New Roman"/>
      <w:b/>
      <w:sz w:val="24"/>
      <w:szCs w:val="22"/>
    </w:rPr>
  </w:style>
  <w:style w:type="paragraph" w:customStyle="1" w:styleId="Subheading2">
    <w:name w:val="Subheading2"/>
    <w:basedOn w:val="SecHeading"/>
    <w:link w:val="Subheading2Char"/>
    <w:rsid w:val="003541EC"/>
    <w:pPr>
      <w:tabs>
        <w:tab w:val="clear" w:pos="1296"/>
        <w:tab w:val="num" w:pos="2376"/>
      </w:tabs>
      <w:ind w:left="2376" w:hanging="288"/>
    </w:pPr>
  </w:style>
  <w:style w:type="character" w:customStyle="1" w:styleId="Subheading2Char">
    <w:name w:val="Subheading2 Char"/>
    <w:basedOn w:val="ListParagraphChar"/>
    <w:link w:val="Subheading2"/>
    <w:rsid w:val="003541EC"/>
    <w:rPr>
      <w:rFonts w:ascii="Times New Roman" w:hAnsi="Times New Roman"/>
      <w:b/>
      <w:sz w:val="24"/>
      <w:szCs w:val="22"/>
    </w:rPr>
  </w:style>
  <w:style w:type="paragraph" w:customStyle="1" w:styleId="Paragraph">
    <w:name w:val="Paragraph"/>
    <w:basedOn w:val="BodyTextIndent"/>
    <w:link w:val="ParagraphChar"/>
    <w:rsid w:val="003541EC"/>
    <w:pPr>
      <w:tabs>
        <w:tab w:val="num" w:pos="720"/>
      </w:tabs>
      <w:spacing w:before="120"/>
      <w:ind w:hanging="720"/>
      <w:outlineLvl w:val="1"/>
    </w:pPr>
  </w:style>
  <w:style w:type="character" w:customStyle="1" w:styleId="ParagraphChar">
    <w:name w:val="Paragraph Char"/>
    <w:basedOn w:val="ListParagraphChar"/>
    <w:link w:val="Paragraph"/>
    <w:rsid w:val="003541EC"/>
    <w:rPr>
      <w:rFonts w:ascii="Times New Roman" w:hAnsi="Times New Roman"/>
      <w:sz w:val="24"/>
      <w:szCs w:val="22"/>
    </w:rPr>
  </w:style>
  <w:style w:type="paragraph" w:customStyle="1" w:styleId="subpar">
    <w:name w:val="subpar"/>
    <w:basedOn w:val="BodyTextIndent3"/>
    <w:link w:val="subparChar"/>
    <w:rsid w:val="003541EC"/>
    <w:pPr>
      <w:tabs>
        <w:tab w:val="num" w:pos="1152"/>
      </w:tabs>
      <w:spacing w:before="120"/>
      <w:ind w:left="1152" w:hanging="432"/>
      <w:outlineLvl w:val="2"/>
    </w:pPr>
  </w:style>
  <w:style w:type="character" w:customStyle="1" w:styleId="subparChar">
    <w:name w:val="subpar Char"/>
    <w:basedOn w:val="ListParagraphChar"/>
    <w:link w:val="subpar"/>
    <w:rsid w:val="003541EC"/>
    <w:rPr>
      <w:rFonts w:ascii="Times New Roman" w:hAnsi="Times New Roman"/>
      <w:sz w:val="24"/>
      <w:szCs w:val="16"/>
    </w:rPr>
  </w:style>
  <w:style w:type="paragraph" w:customStyle="1" w:styleId="SubSubPar">
    <w:name w:val="SubSubPar"/>
    <w:basedOn w:val="subpar"/>
    <w:link w:val="SubSubParChar"/>
    <w:rsid w:val="003541EC"/>
    <w:pPr>
      <w:tabs>
        <w:tab w:val="left" w:pos="0"/>
        <w:tab w:val="num" w:pos="1296"/>
      </w:tabs>
      <w:ind w:left="1296" w:hanging="288"/>
    </w:pPr>
  </w:style>
  <w:style w:type="character" w:customStyle="1" w:styleId="SubSubParChar">
    <w:name w:val="SubSubPar Char"/>
    <w:basedOn w:val="ListParagraphChar"/>
    <w:link w:val="SubSubPar"/>
    <w:rsid w:val="003541EC"/>
    <w:rPr>
      <w:rFonts w:ascii="Times New Roman" w:hAnsi="Times New Roman"/>
      <w:sz w:val="24"/>
      <w:szCs w:val="16"/>
    </w:rPr>
  </w:style>
  <w:style w:type="paragraph" w:customStyle="1" w:styleId="Regtable">
    <w:name w:val="Regtable"/>
    <w:basedOn w:val="Normal"/>
    <w:link w:val="RegtableChar"/>
    <w:rsid w:val="003541EC"/>
    <w:pPr>
      <w:keepLines/>
      <w:framePr w:wrap="around" w:vAnchor="text" w:hAnchor="text" w:y="1"/>
      <w:spacing w:before="20" w:after="20" w:line="240" w:lineRule="auto"/>
      <w:jc w:val="left"/>
    </w:pPr>
  </w:style>
  <w:style w:type="character" w:customStyle="1" w:styleId="RegtableChar">
    <w:name w:val="Regtable Char"/>
    <w:basedOn w:val="ListParagraphChar"/>
    <w:link w:val="Regtable"/>
    <w:rsid w:val="003541EC"/>
    <w:rPr>
      <w:rFonts w:ascii="Times New Roman" w:hAnsi="Times New Roman"/>
      <w:sz w:val="22"/>
      <w:szCs w:val="22"/>
    </w:rPr>
  </w:style>
  <w:style w:type="paragraph" w:customStyle="1" w:styleId="TableTitle">
    <w:name w:val="TableTitle"/>
    <w:basedOn w:val="Normal"/>
    <w:link w:val="TableTitleChar"/>
    <w:rsid w:val="003541EC"/>
    <w:pPr>
      <w:keepNext/>
      <w:framePr w:wrap="around" w:vAnchor="text" w:hAnchor="text" w:y="1"/>
      <w:spacing w:before="20" w:after="20" w:line="240" w:lineRule="auto"/>
      <w:jc w:val="center"/>
    </w:pPr>
    <w:rPr>
      <w:rFonts w:ascii="Times New Roman Bold" w:hAnsi="Times New Roman Bold"/>
      <w:b/>
      <w:spacing w:val="-3"/>
    </w:rPr>
  </w:style>
  <w:style w:type="character" w:customStyle="1" w:styleId="TableTitleChar">
    <w:name w:val="TableTitle Char"/>
    <w:basedOn w:val="ListParagraphChar"/>
    <w:link w:val="TableTitle"/>
    <w:rsid w:val="003541EC"/>
    <w:rPr>
      <w:rFonts w:ascii="Times New Roman Bold" w:hAnsi="Times New Roman Bold"/>
      <w:b/>
      <w:spacing w:val="-3"/>
      <w:sz w:val="22"/>
      <w:szCs w:val="22"/>
    </w:rPr>
  </w:style>
  <w:style w:type="character" w:customStyle="1" w:styleId="Heading2Char">
    <w:name w:val="Heading 2 Char"/>
    <w:basedOn w:val="DefaultParagraphFont"/>
    <w:link w:val="Heading2"/>
    <w:uiPriority w:val="9"/>
    <w:semiHidden/>
    <w:rsid w:val="003541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41E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3541E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3541E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541E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541E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541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541E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3541EC"/>
    <w:pPr>
      <w:spacing w:after="120" w:line="240" w:lineRule="auto"/>
      <w:ind w:left="360"/>
      <w:jc w:val="left"/>
    </w:pPr>
    <w:rPr>
      <w:sz w:val="24"/>
    </w:rPr>
  </w:style>
  <w:style w:type="character" w:customStyle="1" w:styleId="BodyTextIndentChar">
    <w:name w:val="Body Text Indent Char"/>
    <w:basedOn w:val="DefaultParagraphFont"/>
    <w:link w:val="BodyTextIndent"/>
    <w:uiPriority w:val="99"/>
    <w:semiHidden/>
    <w:rsid w:val="003541EC"/>
    <w:rPr>
      <w:rFonts w:ascii="Times New Roman" w:hAnsi="Times New Roman"/>
      <w:sz w:val="24"/>
      <w:szCs w:val="22"/>
    </w:rPr>
  </w:style>
  <w:style w:type="paragraph" w:styleId="BodyTextIndent3">
    <w:name w:val="Body Text Indent 3"/>
    <w:basedOn w:val="Normal"/>
    <w:link w:val="BodyTextIndent3Char"/>
    <w:uiPriority w:val="99"/>
    <w:semiHidden/>
    <w:unhideWhenUsed/>
    <w:rsid w:val="003541EC"/>
    <w:pPr>
      <w:spacing w:after="120" w:line="240" w:lineRule="auto"/>
      <w:ind w:left="360"/>
      <w:jc w:val="left"/>
    </w:pPr>
    <w:rPr>
      <w:sz w:val="24"/>
      <w:szCs w:val="16"/>
    </w:rPr>
  </w:style>
  <w:style w:type="character" w:customStyle="1" w:styleId="BodyTextIndent3Char">
    <w:name w:val="Body Text Indent 3 Char"/>
    <w:basedOn w:val="DefaultParagraphFont"/>
    <w:link w:val="BodyTextIndent3"/>
    <w:uiPriority w:val="99"/>
    <w:semiHidden/>
    <w:rsid w:val="003541EC"/>
    <w:rPr>
      <w:rFonts w:ascii="Times New Roman" w:hAnsi="Times New Roman"/>
      <w:sz w:val="24"/>
      <w:szCs w:val="16"/>
    </w:rPr>
  </w:style>
  <w:style w:type="paragraph" w:styleId="TOC1">
    <w:name w:val="toc 1"/>
    <w:basedOn w:val="Normal"/>
    <w:next w:val="Normal"/>
    <w:autoRedefine/>
    <w:uiPriority w:val="39"/>
    <w:unhideWhenUsed/>
    <w:rsid w:val="003541EC"/>
    <w:pPr>
      <w:tabs>
        <w:tab w:val="right" w:leader="dot" w:pos="8741"/>
      </w:tabs>
      <w:spacing w:before="240" w:after="240" w:line="240" w:lineRule="auto"/>
      <w:ind w:left="547" w:hanging="547"/>
      <w:jc w:val="left"/>
    </w:pPr>
    <w:rPr>
      <w:smallCaps/>
      <w:sz w:val="24"/>
    </w:rPr>
  </w:style>
  <w:style w:type="paragraph" w:styleId="TOC2">
    <w:name w:val="toc 2"/>
    <w:basedOn w:val="Normal"/>
    <w:next w:val="Normal"/>
    <w:autoRedefine/>
    <w:uiPriority w:val="39"/>
    <w:unhideWhenUsed/>
    <w:rsid w:val="003541EC"/>
    <w:pPr>
      <w:tabs>
        <w:tab w:val="left" w:pos="1152"/>
        <w:tab w:val="right" w:leader="dot" w:pos="8741"/>
      </w:tabs>
      <w:spacing w:after="0" w:line="240" w:lineRule="auto"/>
      <w:ind w:left="1166" w:hanging="605"/>
      <w:jc w:val="left"/>
    </w:pPr>
    <w:rPr>
      <w:sz w:val="24"/>
    </w:rPr>
  </w:style>
  <w:style w:type="paragraph" w:styleId="TOC3">
    <w:name w:val="toc 3"/>
    <w:basedOn w:val="Normal"/>
    <w:next w:val="Normal"/>
    <w:autoRedefine/>
    <w:uiPriority w:val="39"/>
    <w:unhideWhenUsed/>
    <w:rsid w:val="003541EC"/>
    <w:pPr>
      <w:tabs>
        <w:tab w:val="left" w:pos="1728"/>
        <w:tab w:val="right" w:leader="dot" w:pos="8741"/>
      </w:tabs>
      <w:spacing w:after="0" w:line="240" w:lineRule="auto"/>
      <w:ind w:left="1714" w:hanging="562"/>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7082">
      <w:bodyDiv w:val="1"/>
      <w:marLeft w:val="0"/>
      <w:marRight w:val="0"/>
      <w:marTop w:val="0"/>
      <w:marBottom w:val="0"/>
      <w:divBdr>
        <w:top w:val="none" w:sz="0" w:space="0" w:color="auto"/>
        <w:left w:val="none" w:sz="0" w:space="0" w:color="auto"/>
        <w:bottom w:val="none" w:sz="0" w:space="0" w:color="auto"/>
        <w:right w:val="none" w:sz="0" w:space="0" w:color="auto"/>
      </w:divBdr>
    </w:div>
    <w:div w:id="219903995">
      <w:bodyDiv w:val="1"/>
      <w:marLeft w:val="0"/>
      <w:marRight w:val="0"/>
      <w:marTop w:val="0"/>
      <w:marBottom w:val="0"/>
      <w:divBdr>
        <w:top w:val="none" w:sz="0" w:space="0" w:color="auto"/>
        <w:left w:val="none" w:sz="0" w:space="0" w:color="auto"/>
        <w:bottom w:val="none" w:sz="0" w:space="0" w:color="auto"/>
        <w:right w:val="none" w:sz="0" w:space="0" w:color="auto"/>
      </w:divBdr>
    </w:div>
    <w:div w:id="410740013">
      <w:bodyDiv w:val="1"/>
      <w:marLeft w:val="0"/>
      <w:marRight w:val="0"/>
      <w:marTop w:val="0"/>
      <w:marBottom w:val="0"/>
      <w:divBdr>
        <w:top w:val="none" w:sz="0" w:space="0" w:color="auto"/>
        <w:left w:val="none" w:sz="0" w:space="0" w:color="auto"/>
        <w:bottom w:val="none" w:sz="0" w:space="0" w:color="auto"/>
        <w:right w:val="none" w:sz="0" w:space="0" w:color="auto"/>
      </w:divBdr>
    </w:div>
    <w:div w:id="645399772">
      <w:bodyDiv w:val="1"/>
      <w:marLeft w:val="0"/>
      <w:marRight w:val="0"/>
      <w:marTop w:val="0"/>
      <w:marBottom w:val="0"/>
      <w:divBdr>
        <w:top w:val="none" w:sz="0" w:space="0" w:color="auto"/>
        <w:left w:val="none" w:sz="0" w:space="0" w:color="auto"/>
        <w:bottom w:val="none" w:sz="0" w:space="0" w:color="auto"/>
        <w:right w:val="none" w:sz="0" w:space="0" w:color="auto"/>
      </w:divBdr>
    </w:div>
    <w:div w:id="796610778">
      <w:bodyDiv w:val="1"/>
      <w:marLeft w:val="0"/>
      <w:marRight w:val="0"/>
      <w:marTop w:val="0"/>
      <w:marBottom w:val="0"/>
      <w:divBdr>
        <w:top w:val="none" w:sz="0" w:space="0" w:color="auto"/>
        <w:left w:val="none" w:sz="0" w:space="0" w:color="auto"/>
        <w:bottom w:val="none" w:sz="0" w:space="0" w:color="auto"/>
        <w:right w:val="none" w:sz="0" w:space="0" w:color="auto"/>
      </w:divBdr>
    </w:div>
    <w:div w:id="1100875098">
      <w:bodyDiv w:val="1"/>
      <w:marLeft w:val="0"/>
      <w:marRight w:val="0"/>
      <w:marTop w:val="0"/>
      <w:marBottom w:val="0"/>
      <w:divBdr>
        <w:top w:val="none" w:sz="0" w:space="0" w:color="auto"/>
        <w:left w:val="none" w:sz="0" w:space="0" w:color="auto"/>
        <w:bottom w:val="none" w:sz="0" w:space="0" w:color="auto"/>
        <w:right w:val="none" w:sz="0" w:space="0" w:color="auto"/>
      </w:divBdr>
    </w:div>
    <w:div w:id="1181579157">
      <w:bodyDiv w:val="1"/>
      <w:marLeft w:val="0"/>
      <w:marRight w:val="0"/>
      <w:marTop w:val="0"/>
      <w:marBottom w:val="0"/>
      <w:divBdr>
        <w:top w:val="none" w:sz="0" w:space="0" w:color="auto"/>
        <w:left w:val="none" w:sz="0" w:space="0" w:color="auto"/>
        <w:bottom w:val="none" w:sz="0" w:space="0" w:color="auto"/>
        <w:right w:val="none" w:sz="0" w:space="0" w:color="auto"/>
      </w:divBdr>
    </w:div>
    <w:div w:id="1213613829">
      <w:bodyDiv w:val="1"/>
      <w:marLeft w:val="0"/>
      <w:marRight w:val="0"/>
      <w:marTop w:val="0"/>
      <w:marBottom w:val="0"/>
      <w:divBdr>
        <w:top w:val="none" w:sz="0" w:space="0" w:color="auto"/>
        <w:left w:val="none" w:sz="0" w:space="0" w:color="auto"/>
        <w:bottom w:val="none" w:sz="0" w:space="0" w:color="auto"/>
        <w:right w:val="none" w:sz="0" w:space="0" w:color="auto"/>
      </w:divBdr>
    </w:div>
    <w:div w:id="1236208922">
      <w:bodyDiv w:val="1"/>
      <w:marLeft w:val="0"/>
      <w:marRight w:val="0"/>
      <w:marTop w:val="0"/>
      <w:marBottom w:val="0"/>
      <w:divBdr>
        <w:top w:val="none" w:sz="0" w:space="0" w:color="auto"/>
        <w:left w:val="none" w:sz="0" w:space="0" w:color="auto"/>
        <w:bottom w:val="none" w:sz="0" w:space="0" w:color="auto"/>
        <w:right w:val="none" w:sz="0" w:space="0" w:color="auto"/>
      </w:divBdr>
    </w:div>
    <w:div w:id="1287932535">
      <w:bodyDiv w:val="1"/>
      <w:marLeft w:val="0"/>
      <w:marRight w:val="0"/>
      <w:marTop w:val="0"/>
      <w:marBottom w:val="0"/>
      <w:divBdr>
        <w:top w:val="none" w:sz="0" w:space="0" w:color="auto"/>
        <w:left w:val="none" w:sz="0" w:space="0" w:color="auto"/>
        <w:bottom w:val="none" w:sz="0" w:space="0" w:color="auto"/>
        <w:right w:val="none" w:sz="0" w:space="0" w:color="auto"/>
      </w:divBdr>
    </w:div>
    <w:div w:id="1525091880">
      <w:bodyDiv w:val="1"/>
      <w:marLeft w:val="0"/>
      <w:marRight w:val="0"/>
      <w:marTop w:val="0"/>
      <w:marBottom w:val="0"/>
      <w:divBdr>
        <w:top w:val="none" w:sz="0" w:space="0" w:color="auto"/>
        <w:left w:val="none" w:sz="0" w:space="0" w:color="auto"/>
        <w:bottom w:val="none" w:sz="0" w:space="0" w:color="auto"/>
        <w:right w:val="none" w:sz="0" w:space="0" w:color="auto"/>
      </w:divBdr>
    </w:div>
    <w:div w:id="1985818743">
      <w:bodyDiv w:val="1"/>
      <w:marLeft w:val="0"/>
      <w:marRight w:val="0"/>
      <w:marTop w:val="0"/>
      <w:marBottom w:val="0"/>
      <w:divBdr>
        <w:top w:val="none" w:sz="0" w:space="0" w:color="auto"/>
        <w:left w:val="none" w:sz="0" w:space="0" w:color="auto"/>
        <w:bottom w:val="none" w:sz="0" w:space="0" w:color="auto"/>
        <w:right w:val="none" w:sz="0" w:space="0" w:color="auto"/>
      </w:divBdr>
    </w:div>
    <w:div w:id="20483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04E9479E6DD124D9C3A103952FB1B7C" ma:contentTypeVersion="0" ma:contentTypeDescription="A content type to manage public (operations) IDB documents" ma:contentTypeScope="" ma:versionID="376062ae21251a9abee760ea57cffe0a">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39065348</IDBDocs_x0020_Number>
    <Document_x0020_Author xmlns="9c571b2f-e523-4ab2-ba2e-09e151a03ef4">Saiz, Ana Maria</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HA-L1091,HA-X1036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DU-OBR</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D27AF49-FB07-4DBE-8CB4-BAEFFD89F52A}"/>
</file>

<file path=customXml/itemProps2.xml><?xml version="1.0" encoding="utf-8"?>
<ds:datastoreItem xmlns:ds="http://schemas.openxmlformats.org/officeDocument/2006/customXml" ds:itemID="{2131FC0C-E877-4826-8A70-B84D425303A2}"/>
</file>

<file path=customXml/itemProps3.xml><?xml version="1.0" encoding="utf-8"?>
<ds:datastoreItem xmlns:ds="http://schemas.openxmlformats.org/officeDocument/2006/customXml" ds:itemID="{3D25CB8C-85F0-465C-95DA-F0C6301F06A3}"/>
</file>

<file path=customXml/itemProps4.xml><?xml version="1.0" encoding="utf-8"?>
<ds:datastoreItem xmlns:ds="http://schemas.openxmlformats.org/officeDocument/2006/customXml" ds:itemID="{6E841820-113D-405D-8C84-9459EC0C0C85}"/>
</file>

<file path=customXml/itemProps5.xml><?xml version="1.0" encoding="utf-8"?>
<ds:datastoreItem xmlns:ds="http://schemas.openxmlformats.org/officeDocument/2006/customXml" ds:itemID="{966C2148-26A0-4107-A31A-CC9E7C66DA2D}"/>
</file>

<file path=customXml/itemProps6.xml><?xml version="1.0" encoding="utf-8"?>
<ds:datastoreItem xmlns:ds="http://schemas.openxmlformats.org/officeDocument/2006/customXml" ds:itemID="{EA0F06F2-13F9-4033-B85A-5064F72A1358}"/>
</file>

<file path=docProps/app.xml><?xml version="1.0" encoding="utf-8"?>
<Properties xmlns="http://schemas.openxmlformats.org/officeDocument/2006/extended-properties" xmlns:vt="http://schemas.openxmlformats.org/officeDocument/2006/docPropsVTypes">
  <Template>Normal.dotm</Template>
  <TotalTime>0</TotalTime>
  <Pages>10</Pages>
  <Words>1653</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Annex (HA-L1091)</dc:title>
  <dc:creator>Champi Ticona, Diana Carla</dc:creator>
  <cp:lastModifiedBy>IADB</cp:lastModifiedBy>
  <cp:revision>2</cp:revision>
  <cp:lastPrinted>2011-01-21T17:26:00Z</cp:lastPrinted>
  <dcterms:created xsi:type="dcterms:W3CDTF">2014-11-04T21:02:00Z</dcterms:created>
  <dcterms:modified xsi:type="dcterms:W3CDTF">2014-11-04T21:02:00Z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0x01010046CF21643EE8D14686A648AA6DAD089200F04E9479E6DD124D9C3A103952FB1B7C</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