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FFA40" w14:textId="77777777" w:rsidR="00482E0C" w:rsidRPr="00482E0C" w:rsidRDefault="00482E0C" w:rsidP="00482E0C">
      <w:pPr>
        <w:tabs>
          <w:tab w:val="left" w:pos="1440"/>
          <w:tab w:val="left" w:pos="3060"/>
        </w:tabs>
        <w:jc w:val="center"/>
        <w:rPr>
          <w:b/>
        </w:rPr>
      </w:pPr>
      <w:r w:rsidRPr="00482E0C">
        <w:rPr>
          <w:b/>
        </w:rPr>
        <w:t>INTER-AMERICAN DEVELOPMENT BANK DOCUMENT</w:t>
      </w:r>
    </w:p>
    <w:p w14:paraId="3170177B" w14:textId="77777777" w:rsidR="00482E0C" w:rsidRPr="00482E0C" w:rsidRDefault="00482E0C" w:rsidP="00482E0C">
      <w:pPr>
        <w:tabs>
          <w:tab w:val="left" w:pos="1440"/>
          <w:tab w:val="left" w:pos="3060"/>
        </w:tabs>
        <w:jc w:val="center"/>
      </w:pPr>
    </w:p>
    <w:p w14:paraId="3441A64C" w14:textId="77777777" w:rsidR="00482E0C" w:rsidRPr="00482E0C" w:rsidRDefault="00482E0C" w:rsidP="00482E0C">
      <w:pPr>
        <w:tabs>
          <w:tab w:val="left" w:pos="1440"/>
          <w:tab w:val="left" w:pos="3060"/>
        </w:tabs>
        <w:jc w:val="center"/>
      </w:pPr>
    </w:p>
    <w:p w14:paraId="559586F4" w14:textId="77777777" w:rsidR="00482E0C" w:rsidRPr="00482E0C" w:rsidRDefault="00482E0C" w:rsidP="00482E0C">
      <w:pPr>
        <w:tabs>
          <w:tab w:val="left" w:pos="1440"/>
          <w:tab w:val="left" w:pos="3060"/>
        </w:tabs>
        <w:jc w:val="center"/>
      </w:pPr>
    </w:p>
    <w:p w14:paraId="64671435" w14:textId="77777777" w:rsidR="00482E0C" w:rsidRPr="00482E0C" w:rsidRDefault="00482E0C" w:rsidP="00482E0C">
      <w:pPr>
        <w:tabs>
          <w:tab w:val="left" w:pos="1440"/>
          <w:tab w:val="left" w:pos="3060"/>
        </w:tabs>
        <w:jc w:val="center"/>
      </w:pPr>
    </w:p>
    <w:p w14:paraId="617F1FBA" w14:textId="77777777" w:rsidR="00482E0C" w:rsidRPr="00482E0C" w:rsidRDefault="00482E0C" w:rsidP="00482E0C">
      <w:pPr>
        <w:tabs>
          <w:tab w:val="left" w:pos="1440"/>
          <w:tab w:val="left" w:pos="3060"/>
        </w:tabs>
        <w:jc w:val="center"/>
      </w:pPr>
    </w:p>
    <w:p w14:paraId="64F100AE" w14:textId="77777777" w:rsidR="00482E0C" w:rsidRPr="00482E0C" w:rsidRDefault="00482E0C" w:rsidP="00482E0C">
      <w:pPr>
        <w:tabs>
          <w:tab w:val="left" w:pos="1440"/>
          <w:tab w:val="left" w:pos="3060"/>
        </w:tabs>
        <w:jc w:val="center"/>
      </w:pPr>
    </w:p>
    <w:p w14:paraId="0CB3F273" w14:textId="77777777" w:rsidR="00482E0C" w:rsidRPr="00482E0C" w:rsidRDefault="00482E0C" w:rsidP="00482E0C">
      <w:pPr>
        <w:tabs>
          <w:tab w:val="left" w:pos="1440"/>
          <w:tab w:val="left" w:pos="3060"/>
        </w:tabs>
        <w:jc w:val="center"/>
      </w:pPr>
    </w:p>
    <w:p w14:paraId="6E68D415" w14:textId="77777777" w:rsidR="00482E0C" w:rsidRPr="00482E0C" w:rsidRDefault="00482E0C" w:rsidP="00482E0C">
      <w:pPr>
        <w:tabs>
          <w:tab w:val="left" w:pos="1440"/>
          <w:tab w:val="left" w:pos="3060"/>
        </w:tabs>
        <w:jc w:val="center"/>
      </w:pPr>
    </w:p>
    <w:p w14:paraId="469D0D35" w14:textId="77777777" w:rsidR="00482E0C" w:rsidRPr="00482E0C" w:rsidRDefault="00482E0C" w:rsidP="00482E0C">
      <w:pPr>
        <w:pStyle w:val="Heading2"/>
        <w:jc w:val="center"/>
        <w:rPr>
          <w:rFonts w:ascii="Times New Roman" w:hAnsi="Times New Roman" w:cs="Times New Roman"/>
          <w:color w:val="auto"/>
          <w:sz w:val="24"/>
          <w:szCs w:val="24"/>
        </w:rPr>
      </w:pPr>
      <w:r w:rsidRPr="00482E0C">
        <w:rPr>
          <w:rFonts w:ascii="Times New Roman" w:hAnsi="Times New Roman" w:cs="Times New Roman"/>
          <w:color w:val="auto"/>
          <w:sz w:val="24"/>
          <w:szCs w:val="24"/>
        </w:rPr>
        <w:t>SURINAME</w:t>
      </w:r>
    </w:p>
    <w:p w14:paraId="12109388" w14:textId="77777777" w:rsidR="00482E0C" w:rsidRPr="00482E0C" w:rsidRDefault="00482E0C" w:rsidP="00482E0C">
      <w:pPr>
        <w:tabs>
          <w:tab w:val="left" w:pos="1440"/>
          <w:tab w:val="left" w:pos="3060"/>
        </w:tabs>
        <w:jc w:val="center"/>
        <w:rPr>
          <w:smallCaps/>
        </w:rPr>
      </w:pPr>
    </w:p>
    <w:p w14:paraId="20F883C0" w14:textId="77777777" w:rsidR="00482E0C" w:rsidRPr="00482E0C" w:rsidRDefault="00482E0C" w:rsidP="00482E0C">
      <w:pPr>
        <w:tabs>
          <w:tab w:val="left" w:pos="1440"/>
          <w:tab w:val="left" w:pos="3060"/>
        </w:tabs>
        <w:jc w:val="center"/>
        <w:rPr>
          <w:smallCaps/>
        </w:rPr>
      </w:pPr>
    </w:p>
    <w:p w14:paraId="78E33131" w14:textId="77777777" w:rsidR="00482E0C" w:rsidRPr="00482E0C" w:rsidRDefault="00482E0C" w:rsidP="00482E0C">
      <w:pPr>
        <w:tabs>
          <w:tab w:val="left" w:pos="1440"/>
          <w:tab w:val="left" w:pos="3060"/>
        </w:tabs>
        <w:jc w:val="center"/>
        <w:rPr>
          <w:smallCaps/>
        </w:rPr>
      </w:pPr>
    </w:p>
    <w:p w14:paraId="3EE319D7" w14:textId="77777777" w:rsidR="00482E0C" w:rsidRPr="00482E0C" w:rsidRDefault="00482E0C" w:rsidP="00482E0C">
      <w:pPr>
        <w:tabs>
          <w:tab w:val="left" w:pos="1440"/>
          <w:tab w:val="left" w:pos="3060"/>
        </w:tabs>
        <w:jc w:val="center"/>
        <w:rPr>
          <w:smallCaps/>
        </w:rPr>
      </w:pPr>
    </w:p>
    <w:p w14:paraId="29631C75" w14:textId="77777777" w:rsidR="00482E0C" w:rsidRPr="00482E0C" w:rsidRDefault="00482E0C" w:rsidP="00482E0C">
      <w:pPr>
        <w:tabs>
          <w:tab w:val="left" w:pos="1440"/>
          <w:tab w:val="left" w:pos="3060"/>
        </w:tabs>
        <w:jc w:val="center"/>
        <w:rPr>
          <w:smallCaps/>
        </w:rPr>
      </w:pPr>
    </w:p>
    <w:p w14:paraId="5A4775B1" w14:textId="77777777" w:rsidR="00482E0C" w:rsidRPr="002204FE" w:rsidRDefault="00482E0C" w:rsidP="00482E0C">
      <w:pPr>
        <w:tabs>
          <w:tab w:val="left" w:pos="1440"/>
          <w:tab w:val="left" w:pos="3060"/>
        </w:tabs>
        <w:jc w:val="center"/>
        <w:rPr>
          <w:b/>
          <w:bCs/>
          <w:smallCaps/>
          <w:sz w:val="22"/>
          <w:szCs w:val="22"/>
        </w:rPr>
      </w:pPr>
      <w:r w:rsidRPr="002204FE">
        <w:rPr>
          <w:b/>
          <w:bCs/>
          <w:smallCaps/>
          <w:sz w:val="22"/>
          <w:szCs w:val="22"/>
        </w:rPr>
        <w:t>Support for the Implementation of the EBS Investment Plan</w:t>
      </w:r>
    </w:p>
    <w:p w14:paraId="027AE231" w14:textId="77777777" w:rsidR="00482E0C" w:rsidRPr="002204FE" w:rsidRDefault="00482E0C" w:rsidP="00482E0C">
      <w:pPr>
        <w:tabs>
          <w:tab w:val="left" w:pos="1440"/>
          <w:tab w:val="left" w:pos="3060"/>
        </w:tabs>
        <w:jc w:val="center"/>
        <w:rPr>
          <w:smallCaps/>
          <w:sz w:val="22"/>
          <w:szCs w:val="22"/>
        </w:rPr>
      </w:pPr>
    </w:p>
    <w:p w14:paraId="3F4431F1" w14:textId="2C053B39" w:rsidR="00482E0C" w:rsidRPr="002204FE" w:rsidRDefault="000F6CC8" w:rsidP="00482E0C">
      <w:pPr>
        <w:tabs>
          <w:tab w:val="left" w:pos="1440"/>
          <w:tab w:val="left" w:pos="3060"/>
        </w:tabs>
        <w:jc w:val="center"/>
        <w:rPr>
          <w:b/>
          <w:smallCaps/>
          <w:sz w:val="22"/>
          <w:szCs w:val="22"/>
        </w:rPr>
      </w:pPr>
      <w:r>
        <w:rPr>
          <w:b/>
          <w:smallCaps/>
          <w:sz w:val="22"/>
          <w:szCs w:val="22"/>
        </w:rPr>
        <w:t>(SU</w:t>
      </w:r>
      <w:r w:rsidR="00482E0C" w:rsidRPr="002204FE">
        <w:rPr>
          <w:b/>
          <w:smallCaps/>
          <w:sz w:val="22"/>
          <w:szCs w:val="22"/>
        </w:rPr>
        <w:t>-</w:t>
      </w:r>
      <w:r>
        <w:rPr>
          <w:b/>
          <w:smallCaps/>
          <w:sz w:val="22"/>
          <w:szCs w:val="22"/>
        </w:rPr>
        <w:t>L</w:t>
      </w:r>
      <w:r w:rsidR="00482E0C" w:rsidRPr="002204FE">
        <w:rPr>
          <w:b/>
          <w:smallCaps/>
          <w:sz w:val="22"/>
          <w:szCs w:val="22"/>
        </w:rPr>
        <w:t>1039)</w:t>
      </w:r>
    </w:p>
    <w:p w14:paraId="363CB09D" w14:textId="77777777" w:rsidR="00482E0C" w:rsidRPr="00260F1A" w:rsidRDefault="00482E0C" w:rsidP="00482E0C">
      <w:pPr>
        <w:tabs>
          <w:tab w:val="left" w:pos="1440"/>
          <w:tab w:val="left" w:pos="3060"/>
        </w:tabs>
        <w:jc w:val="center"/>
        <w:rPr>
          <w:smallCaps/>
        </w:rPr>
      </w:pPr>
    </w:p>
    <w:p w14:paraId="51503B25" w14:textId="77777777" w:rsidR="00482E0C" w:rsidRPr="00260F1A" w:rsidRDefault="00482E0C" w:rsidP="00482E0C">
      <w:pPr>
        <w:tabs>
          <w:tab w:val="left" w:pos="1440"/>
          <w:tab w:val="left" w:pos="3060"/>
        </w:tabs>
        <w:jc w:val="center"/>
        <w:rPr>
          <w:b/>
          <w:smallCaps/>
        </w:rPr>
      </w:pPr>
    </w:p>
    <w:p w14:paraId="0DF9D88E" w14:textId="77777777" w:rsidR="00482E0C" w:rsidRPr="00260F1A" w:rsidRDefault="00482E0C" w:rsidP="00482E0C">
      <w:pPr>
        <w:tabs>
          <w:tab w:val="left" w:pos="1440"/>
          <w:tab w:val="left" w:pos="3060"/>
        </w:tabs>
        <w:jc w:val="center"/>
        <w:rPr>
          <w:smallCaps/>
        </w:rPr>
      </w:pPr>
    </w:p>
    <w:p w14:paraId="44F57875" w14:textId="77777777" w:rsidR="00482E0C" w:rsidRPr="00260F1A" w:rsidRDefault="00482E0C" w:rsidP="00482E0C">
      <w:pPr>
        <w:tabs>
          <w:tab w:val="left" w:pos="1440"/>
          <w:tab w:val="left" w:pos="3060"/>
        </w:tabs>
        <w:jc w:val="center"/>
        <w:rPr>
          <w:smallCaps/>
        </w:rPr>
      </w:pPr>
    </w:p>
    <w:p w14:paraId="181AF52D" w14:textId="77777777" w:rsidR="00482E0C" w:rsidRPr="00260F1A" w:rsidRDefault="00482E0C" w:rsidP="00482E0C">
      <w:pPr>
        <w:tabs>
          <w:tab w:val="left" w:pos="1440"/>
          <w:tab w:val="left" w:pos="3060"/>
        </w:tabs>
        <w:jc w:val="center"/>
        <w:rPr>
          <w:smallCaps/>
        </w:rPr>
      </w:pPr>
    </w:p>
    <w:p w14:paraId="5D3C7C90" w14:textId="77777777" w:rsidR="00482E0C" w:rsidRPr="00260F1A" w:rsidRDefault="00482E0C" w:rsidP="00482E0C">
      <w:pPr>
        <w:tabs>
          <w:tab w:val="left" w:pos="1440"/>
          <w:tab w:val="left" w:pos="3060"/>
        </w:tabs>
        <w:jc w:val="center"/>
        <w:rPr>
          <w:smallCaps/>
        </w:rPr>
      </w:pPr>
    </w:p>
    <w:p w14:paraId="74838982" w14:textId="77777777" w:rsidR="00482E0C" w:rsidRPr="00260F1A" w:rsidRDefault="00482E0C" w:rsidP="00482E0C">
      <w:pPr>
        <w:tabs>
          <w:tab w:val="left" w:pos="1440"/>
          <w:tab w:val="left" w:pos="3060"/>
        </w:tabs>
        <w:jc w:val="center"/>
        <w:rPr>
          <w:smallCaps/>
        </w:rPr>
      </w:pPr>
    </w:p>
    <w:p w14:paraId="16BA0C29" w14:textId="77777777" w:rsidR="00482E0C" w:rsidRPr="002204FE" w:rsidRDefault="00482E0C" w:rsidP="00482E0C">
      <w:pPr>
        <w:tabs>
          <w:tab w:val="left" w:pos="1440"/>
          <w:tab w:val="left" w:pos="3060"/>
        </w:tabs>
        <w:jc w:val="center"/>
        <w:rPr>
          <w:b/>
          <w:smallCaps/>
          <w:sz w:val="22"/>
          <w:szCs w:val="22"/>
        </w:rPr>
      </w:pPr>
      <w:r w:rsidRPr="002204FE">
        <w:rPr>
          <w:b/>
          <w:smallCaps/>
          <w:sz w:val="22"/>
          <w:szCs w:val="22"/>
        </w:rPr>
        <w:t>environmental and social management report</w:t>
      </w:r>
    </w:p>
    <w:p w14:paraId="7A712FDF" w14:textId="77777777" w:rsidR="00482E0C" w:rsidRPr="002204FE" w:rsidRDefault="00482E0C" w:rsidP="00482E0C">
      <w:pPr>
        <w:tabs>
          <w:tab w:val="left" w:pos="1440"/>
          <w:tab w:val="left" w:pos="3060"/>
        </w:tabs>
        <w:jc w:val="center"/>
        <w:rPr>
          <w:b/>
          <w:sz w:val="22"/>
          <w:szCs w:val="22"/>
        </w:rPr>
      </w:pPr>
      <w:r w:rsidRPr="002204FE">
        <w:rPr>
          <w:b/>
          <w:sz w:val="22"/>
          <w:szCs w:val="22"/>
        </w:rPr>
        <w:t xml:space="preserve">(ESMR) </w:t>
      </w:r>
    </w:p>
    <w:p w14:paraId="634679F1" w14:textId="77777777" w:rsidR="00482E0C" w:rsidRPr="00D10089" w:rsidRDefault="00482E0C" w:rsidP="00482E0C">
      <w:pPr>
        <w:tabs>
          <w:tab w:val="left" w:pos="1440"/>
          <w:tab w:val="left" w:pos="3060"/>
        </w:tabs>
        <w:jc w:val="center"/>
        <w:rPr>
          <w:b/>
        </w:rPr>
      </w:pPr>
    </w:p>
    <w:p w14:paraId="21C0FD2D" w14:textId="77777777" w:rsidR="00482E0C" w:rsidRPr="00D10089" w:rsidRDefault="00482E0C" w:rsidP="00482E0C">
      <w:pPr>
        <w:tabs>
          <w:tab w:val="left" w:pos="1440"/>
          <w:tab w:val="left" w:pos="3060"/>
        </w:tabs>
        <w:jc w:val="center"/>
        <w:rPr>
          <w:b/>
        </w:rPr>
      </w:pPr>
    </w:p>
    <w:p w14:paraId="03BD6D09" w14:textId="77777777" w:rsidR="00482E0C" w:rsidRPr="00D10089" w:rsidRDefault="00482E0C" w:rsidP="00482E0C">
      <w:pPr>
        <w:tabs>
          <w:tab w:val="left" w:pos="1440"/>
          <w:tab w:val="left" w:pos="3060"/>
        </w:tabs>
        <w:jc w:val="center"/>
        <w:rPr>
          <w:b/>
        </w:rPr>
      </w:pPr>
    </w:p>
    <w:p w14:paraId="150CA2E7" w14:textId="350CBC19" w:rsidR="00482E0C" w:rsidRPr="00D10089" w:rsidRDefault="000F6CC8" w:rsidP="00482E0C">
      <w:pPr>
        <w:tabs>
          <w:tab w:val="left" w:pos="1440"/>
          <w:tab w:val="left" w:pos="3060"/>
        </w:tabs>
        <w:jc w:val="center"/>
        <w:rPr>
          <w:b/>
        </w:rPr>
      </w:pPr>
      <w:r>
        <w:rPr>
          <w:b/>
        </w:rPr>
        <w:t>October</w:t>
      </w:r>
      <w:r w:rsidR="00482E0C" w:rsidRPr="00D10089">
        <w:rPr>
          <w:b/>
        </w:rPr>
        <w:t xml:space="preserve"> 1</w:t>
      </w:r>
      <w:r w:rsidR="002204FE">
        <w:rPr>
          <w:b/>
        </w:rPr>
        <w:t>5</w:t>
      </w:r>
      <w:r w:rsidR="00482E0C" w:rsidRPr="00D10089">
        <w:rPr>
          <w:b/>
        </w:rPr>
        <w:t>, 2014</w:t>
      </w:r>
    </w:p>
    <w:p w14:paraId="20D226FA" w14:textId="77777777" w:rsidR="00482E0C" w:rsidRPr="00D10089" w:rsidRDefault="00482E0C" w:rsidP="00482E0C">
      <w:pPr>
        <w:tabs>
          <w:tab w:val="left" w:pos="1440"/>
          <w:tab w:val="left" w:pos="3060"/>
        </w:tabs>
        <w:jc w:val="center"/>
        <w:rPr>
          <w:b/>
        </w:rPr>
      </w:pPr>
    </w:p>
    <w:p w14:paraId="392DFAFF" w14:textId="77777777" w:rsidR="00482E0C" w:rsidRPr="00D10089" w:rsidRDefault="00482E0C" w:rsidP="00482E0C">
      <w:pPr>
        <w:tabs>
          <w:tab w:val="left" w:pos="1440"/>
          <w:tab w:val="left" w:pos="3060"/>
        </w:tabs>
        <w:jc w:val="center"/>
        <w:rPr>
          <w:b/>
        </w:rPr>
      </w:pPr>
    </w:p>
    <w:p w14:paraId="3402C8A0" w14:textId="77777777" w:rsidR="00482E0C" w:rsidRPr="00D10089" w:rsidRDefault="00482E0C" w:rsidP="00482E0C">
      <w:pPr>
        <w:tabs>
          <w:tab w:val="left" w:pos="1440"/>
          <w:tab w:val="left" w:pos="3060"/>
        </w:tabs>
        <w:jc w:val="center"/>
        <w:rPr>
          <w:b/>
        </w:rPr>
      </w:pPr>
    </w:p>
    <w:p w14:paraId="69D7809B" w14:textId="77777777" w:rsidR="00482E0C" w:rsidRPr="00D10089" w:rsidRDefault="00482E0C" w:rsidP="00482E0C">
      <w:pPr>
        <w:tabs>
          <w:tab w:val="left" w:pos="1440"/>
          <w:tab w:val="left" w:pos="3060"/>
        </w:tabs>
        <w:jc w:val="center"/>
        <w:rPr>
          <w:b/>
        </w:rPr>
      </w:pPr>
    </w:p>
    <w:p w14:paraId="0B6DBC63" w14:textId="77777777" w:rsidR="00482E0C" w:rsidRPr="00D10089" w:rsidRDefault="00482E0C" w:rsidP="00482E0C">
      <w:pPr>
        <w:tabs>
          <w:tab w:val="left" w:pos="1440"/>
          <w:tab w:val="left" w:pos="3060"/>
        </w:tabs>
        <w:jc w:val="center"/>
        <w:rPr>
          <w:b/>
        </w:rPr>
      </w:pPr>
    </w:p>
    <w:p w14:paraId="0BE0E208" w14:textId="77777777" w:rsidR="00482E0C" w:rsidRPr="00D10089" w:rsidRDefault="00482E0C" w:rsidP="00482E0C">
      <w:pPr>
        <w:tabs>
          <w:tab w:val="left" w:pos="1440"/>
          <w:tab w:val="left" w:pos="3060"/>
        </w:tabs>
        <w:jc w:val="center"/>
        <w:rPr>
          <w:b/>
        </w:rPr>
      </w:pPr>
    </w:p>
    <w:p w14:paraId="4D4C0BFF" w14:textId="362BDF15" w:rsidR="00301336" w:rsidRPr="00D10089" w:rsidRDefault="00260F1A" w:rsidP="00D10089">
      <w:pPr>
        <w:pStyle w:val="BodyText"/>
        <w:pBdr>
          <w:top w:val="single" w:sz="4" w:space="1" w:color="auto"/>
          <w:left w:val="single" w:sz="4" w:space="4" w:color="auto"/>
          <w:bottom w:val="single" w:sz="4" w:space="1" w:color="auto"/>
          <w:right w:val="single" w:sz="4" w:space="4" w:color="auto"/>
        </w:pBdr>
        <w:tabs>
          <w:tab w:val="left" w:pos="1440"/>
        </w:tabs>
        <w:jc w:val="both"/>
      </w:pPr>
      <w:r w:rsidRPr="00260F1A">
        <w:rPr>
          <w:b/>
          <w:u w:val="single"/>
        </w:rPr>
        <w:t>Project Team</w:t>
      </w:r>
      <w:r w:rsidR="00482E0C" w:rsidRPr="00260F1A">
        <w:rPr>
          <w:b/>
        </w:rPr>
        <w:t>:</w:t>
      </w:r>
      <w:r w:rsidRPr="00260F1A">
        <w:rPr>
          <w:b/>
        </w:rPr>
        <w:t xml:space="preserve">  </w:t>
      </w:r>
      <w:r w:rsidR="008F4886" w:rsidRPr="008F4886">
        <w:t>Carlos Echeverria (ENE/CGY); Malaika Masson (INE/ENE);</w:t>
      </w:r>
      <w:r w:rsidR="008F4886">
        <w:rPr>
          <w:b/>
        </w:rPr>
        <w:t xml:space="preserve"> </w:t>
      </w:r>
      <w:r>
        <w:t xml:space="preserve">Alejandro Melandri (INE/ENE); </w:t>
      </w:r>
      <w:r w:rsidRPr="00CF060B">
        <w:t>Roger Sallent (INE/ENE); Wilkferg Vanegas (INE/ENE);</w:t>
      </w:r>
      <w:r>
        <w:t xml:space="preserve"> Virginia Snyder (INE/ENE);</w:t>
      </w:r>
      <w:r w:rsidRPr="00CF060B">
        <w:t xml:space="preserve"> Haydemar Cova (INE/ENE); Paula Louis-Grant (FMP/CGY); Shirley Gayle (FMP/CTT); Steven Hofwijks (CCB/CSU); Maria Elisa Arango (LEG/SGO)</w:t>
      </w:r>
      <w:r w:rsidR="000F6CC8">
        <w:t>.</w:t>
      </w:r>
    </w:p>
    <w:p w14:paraId="79750D3A" w14:textId="77777777" w:rsidR="00F25B43" w:rsidRPr="00260F1A" w:rsidRDefault="00F25B43" w:rsidP="00301336">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b/>
          <w:sz w:val="24"/>
        </w:rPr>
      </w:pPr>
      <w:r w:rsidRPr="00260F1A">
        <w:rPr>
          <w:b/>
          <w:sz w:val="24"/>
        </w:rPr>
        <w:br w:type="page"/>
      </w:r>
    </w:p>
    <w:p w14:paraId="1A8950E0" w14:textId="77777777" w:rsidR="00301336" w:rsidRPr="00300A41" w:rsidRDefault="00301336" w:rsidP="00301336">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sz w:val="24"/>
        </w:rPr>
      </w:pPr>
      <w:r w:rsidRPr="00300A41">
        <w:rPr>
          <w:b/>
          <w:sz w:val="24"/>
        </w:rPr>
        <w:lastRenderedPageBreak/>
        <w:t>TABLE OF CONTENTS (</w:t>
      </w:r>
      <w:r w:rsidRPr="00300A41">
        <w:rPr>
          <w:sz w:val="24"/>
        </w:rPr>
        <w:t>including TABLES, FIGURES, MAPS, ANNEXES)</w:t>
      </w:r>
    </w:p>
    <w:p w14:paraId="3C7CBE46" w14:textId="77777777" w:rsidR="00A3701F" w:rsidRDefault="00381528">
      <w:pPr>
        <w:pStyle w:val="TOC1"/>
        <w:rPr>
          <w:rFonts w:asciiTheme="minorHAnsi" w:eastAsiaTheme="minorEastAsia" w:hAnsiTheme="minorHAnsi" w:cstheme="minorBidi"/>
          <w:smallCaps w:val="0"/>
          <w:noProof/>
          <w:sz w:val="22"/>
          <w:szCs w:val="22"/>
        </w:rPr>
      </w:pPr>
      <w:r>
        <w:fldChar w:fldCharType="begin"/>
      </w:r>
      <w:r>
        <w:instrText xml:space="preserve"> TOC \f \t "Chapter,1,FirstHeading,2,SecHeading,3" </w:instrText>
      </w:r>
      <w:r>
        <w:fldChar w:fldCharType="separate"/>
      </w:r>
      <w:r w:rsidR="00A3701F">
        <w:rPr>
          <w:noProof/>
        </w:rPr>
        <w:t>I.</w:t>
      </w:r>
      <w:r w:rsidR="00A3701F">
        <w:rPr>
          <w:rFonts w:asciiTheme="minorHAnsi" w:eastAsiaTheme="minorEastAsia" w:hAnsiTheme="minorHAnsi" w:cstheme="minorBidi"/>
          <w:smallCaps w:val="0"/>
          <w:noProof/>
          <w:sz w:val="22"/>
          <w:szCs w:val="22"/>
        </w:rPr>
        <w:tab/>
      </w:r>
      <w:r w:rsidR="00A3701F">
        <w:rPr>
          <w:noProof/>
        </w:rPr>
        <w:t>INTRODUCTION</w:t>
      </w:r>
      <w:r w:rsidR="00A3701F">
        <w:rPr>
          <w:noProof/>
        </w:rPr>
        <w:tab/>
      </w:r>
      <w:r w:rsidR="00A3701F">
        <w:rPr>
          <w:noProof/>
        </w:rPr>
        <w:fldChar w:fldCharType="begin"/>
      </w:r>
      <w:r w:rsidR="00A3701F">
        <w:rPr>
          <w:noProof/>
        </w:rPr>
        <w:instrText xml:space="preserve"> PAGEREF _Toc401912136 \h </w:instrText>
      </w:r>
      <w:r w:rsidR="00A3701F">
        <w:rPr>
          <w:noProof/>
        </w:rPr>
      </w:r>
      <w:r w:rsidR="00A3701F">
        <w:rPr>
          <w:noProof/>
        </w:rPr>
        <w:fldChar w:fldCharType="separate"/>
      </w:r>
      <w:r w:rsidR="004E02DD">
        <w:rPr>
          <w:noProof/>
        </w:rPr>
        <w:t>1</w:t>
      </w:r>
      <w:r w:rsidR="00A3701F">
        <w:rPr>
          <w:noProof/>
        </w:rPr>
        <w:fldChar w:fldCharType="end"/>
      </w:r>
    </w:p>
    <w:p w14:paraId="189C5302" w14:textId="77777777" w:rsidR="00A3701F" w:rsidRDefault="00A3701F">
      <w:pPr>
        <w:pStyle w:val="TOC1"/>
        <w:rPr>
          <w:rFonts w:asciiTheme="minorHAnsi" w:eastAsiaTheme="minorEastAsia" w:hAnsiTheme="minorHAnsi" w:cstheme="minorBidi"/>
          <w:smallCaps w:val="0"/>
          <w:noProof/>
          <w:sz w:val="22"/>
          <w:szCs w:val="22"/>
        </w:rPr>
      </w:pPr>
      <w:r>
        <w:rPr>
          <w:noProof/>
        </w:rPr>
        <w:t>II.</w:t>
      </w:r>
      <w:r>
        <w:rPr>
          <w:rFonts w:asciiTheme="minorHAnsi" w:eastAsiaTheme="minorEastAsia" w:hAnsiTheme="minorHAnsi" w:cstheme="minorBidi"/>
          <w:smallCaps w:val="0"/>
          <w:noProof/>
          <w:sz w:val="22"/>
          <w:szCs w:val="22"/>
        </w:rPr>
        <w:tab/>
      </w:r>
      <w:r>
        <w:rPr>
          <w:noProof/>
        </w:rPr>
        <w:t>PROJECT DESCRIPTION</w:t>
      </w:r>
      <w:r>
        <w:rPr>
          <w:noProof/>
        </w:rPr>
        <w:tab/>
      </w:r>
      <w:r>
        <w:rPr>
          <w:noProof/>
        </w:rPr>
        <w:fldChar w:fldCharType="begin"/>
      </w:r>
      <w:r>
        <w:rPr>
          <w:noProof/>
        </w:rPr>
        <w:instrText xml:space="preserve"> PAGEREF _Toc401912137 \h </w:instrText>
      </w:r>
      <w:r>
        <w:rPr>
          <w:noProof/>
        </w:rPr>
      </w:r>
      <w:r>
        <w:rPr>
          <w:noProof/>
        </w:rPr>
        <w:fldChar w:fldCharType="separate"/>
      </w:r>
      <w:r w:rsidR="004E02DD">
        <w:rPr>
          <w:noProof/>
        </w:rPr>
        <w:t>1</w:t>
      </w:r>
      <w:r>
        <w:rPr>
          <w:noProof/>
        </w:rPr>
        <w:fldChar w:fldCharType="end"/>
      </w:r>
    </w:p>
    <w:p w14:paraId="40293A76" w14:textId="77777777" w:rsidR="00A3701F" w:rsidRDefault="00A3701F">
      <w:pPr>
        <w:pStyle w:val="TOC1"/>
        <w:rPr>
          <w:rFonts w:asciiTheme="minorHAnsi" w:eastAsiaTheme="minorEastAsia" w:hAnsiTheme="minorHAnsi" w:cstheme="minorBidi"/>
          <w:smallCaps w:val="0"/>
          <w:noProof/>
          <w:sz w:val="22"/>
          <w:szCs w:val="22"/>
        </w:rPr>
      </w:pPr>
      <w:r>
        <w:rPr>
          <w:noProof/>
        </w:rPr>
        <w:t>III.</w:t>
      </w:r>
      <w:r>
        <w:rPr>
          <w:rFonts w:asciiTheme="minorHAnsi" w:eastAsiaTheme="minorEastAsia" w:hAnsiTheme="minorHAnsi" w:cstheme="minorBidi"/>
          <w:smallCaps w:val="0"/>
          <w:noProof/>
          <w:sz w:val="22"/>
          <w:szCs w:val="22"/>
        </w:rPr>
        <w:tab/>
      </w:r>
      <w:r>
        <w:rPr>
          <w:noProof/>
        </w:rPr>
        <w:t>COMPLIANCE STATUS AND PROJECT STANDARDS</w:t>
      </w:r>
      <w:r>
        <w:rPr>
          <w:noProof/>
        </w:rPr>
        <w:tab/>
      </w:r>
      <w:r>
        <w:rPr>
          <w:noProof/>
        </w:rPr>
        <w:fldChar w:fldCharType="begin"/>
      </w:r>
      <w:r>
        <w:rPr>
          <w:noProof/>
        </w:rPr>
        <w:instrText xml:space="preserve"> PAGEREF _Toc401912138 \h </w:instrText>
      </w:r>
      <w:r>
        <w:rPr>
          <w:noProof/>
        </w:rPr>
      </w:r>
      <w:r>
        <w:rPr>
          <w:noProof/>
        </w:rPr>
        <w:fldChar w:fldCharType="separate"/>
      </w:r>
      <w:r w:rsidR="004E02DD">
        <w:rPr>
          <w:noProof/>
        </w:rPr>
        <w:t>4</w:t>
      </w:r>
      <w:r>
        <w:rPr>
          <w:noProof/>
        </w:rPr>
        <w:fldChar w:fldCharType="end"/>
      </w:r>
    </w:p>
    <w:p w14:paraId="08B48654" w14:textId="77777777" w:rsidR="00A3701F" w:rsidRDefault="00A3701F">
      <w:pPr>
        <w:pStyle w:val="TOC3"/>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Environmental and Social Appraisal Process:</w:t>
      </w:r>
      <w:r>
        <w:rPr>
          <w:noProof/>
        </w:rPr>
        <w:tab/>
      </w:r>
      <w:r>
        <w:rPr>
          <w:noProof/>
        </w:rPr>
        <w:fldChar w:fldCharType="begin"/>
      </w:r>
      <w:r>
        <w:rPr>
          <w:noProof/>
        </w:rPr>
        <w:instrText xml:space="preserve"> PAGEREF _Toc401912139 \h </w:instrText>
      </w:r>
      <w:r>
        <w:rPr>
          <w:noProof/>
        </w:rPr>
      </w:r>
      <w:r>
        <w:rPr>
          <w:noProof/>
        </w:rPr>
        <w:fldChar w:fldCharType="separate"/>
      </w:r>
      <w:r w:rsidR="004E02DD">
        <w:rPr>
          <w:noProof/>
        </w:rPr>
        <w:t>4</w:t>
      </w:r>
      <w:r>
        <w:rPr>
          <w:noProof/>
        </w:rPr>
        <w:fldChar w:fldCharType="end"/>
      </w:r>
    </w:p>
    <w:p w14:paraId="1092069B" w14:textId="77777777" w:rsidR="00A3701F" w:rsidRDefault="00A3701F">
      <w:pPr>
        <w:pStyle w:val="TOC3"/>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Consistency with IDB Policies and Directives</w:t>
      </w:r>
      <w:r>
        <w:rPr>
          <w:noProof/>
        </w:rPr>
        <w:tab/>
      </w:r>
      <w:r>
        <w:rPr>
          <w:noProof/>
        </w:rPr>
        <w:fldChar w:fldCharType="begin"/>
      </w:r>
      <w:r>
        <w:rPr>
          <w:noProof/>
        </w:rPr>
        <w:instrText xml:space="preserve"> PAGEREF _Toc401912140 \h </w:instrText>
      </w:r>
      <w:r>
        <w:rPr>
          <w:noProof/>
        </w:rPr>
      </w:r>
      <w:r>
        <w:rPr>
          <w:noProof/>
        </w:rPr>
        <w:fldChar w:fldCharType="separate"/>
      </w:r>
      <w:r w:rsidR="004E02DD">
        <w:rPr>
          <w:noProof/>
        </w:rPr>
        <w:t>4</w:t>
      </w:r>
      <w:r>
        <w:rPr>
          <w:noProof/>
        </w:rPr>
        <w:fldChar w:fldCharType="end"/>
      </w:r>
    </w:p>
    <w:p w14:paraId="4D1423BA" w14:textId="77777777" w:rsidR="00A3701F" w:rsidRDefault="00A3701F">
      <w:pPr>
        <w:pStyle w:val="TOC3"/>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Project Standards and Requirements</w:t>
      </w:r>
      <w:r>
        <w:rPr>
          <w:noProof/>
        </w:rPr>
        <w:tab/>
      </w:r>
      <w:r>
        <w:rPr>
          <w:noProof/>
        </w:rPr>
        <w:fldChar w:fldCharType="begin"/>
      </w:r>
      <w:r>
        <w:rPr>
          <w:noProof/>
        </w:rPr>
        <w:instrText xml:space="preserve"> PAGEREF _Toc401912141 \h </w:instrText>
      </w:r>
      <w:r>
        <w:rPr>
          <w:noProof/>
        </w:rPr>
      </w:r>
      <w:r>
        <w:rPr>
          <w:noProof/>
        </w:rPr>
        <w:fldChar w:fldCharType="separate"/>
      </w:r>
      <w:r w:rsidR="004E02DD">
        <w:rPr>
          <w:noProof/>
        </w:rPr>
        <w:t>5</w:t>
      </w:r>
      <w:r>
        <w:rPr>
          <w:noProof/>
        </w:rPr>
        <w:fldChar w:fldCharType="end"/>
      </w:r>
    </w:p>
    <w:p w14:paraId="18AB71FC" w14:textId="77777777" w:rsidR="00A3701F" w:rsidRDefault="00A3701F">
      <w:pPr>
        <w:pStyle w:val="TOC3"/>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Other Key Compliance Information</w:t>
      </w:r>
      <w:r>
        <w:rPr>
          <w:noProof/>
        </w:rPr>
        <w:tab/>
      </w:r>
      <w:r>
        <w:rPr>
          <w:noProof/>
        </w:rPr>
        <w:fldChar w:fldCharType="begin"/>
      </w:r>
      <w:r>
        <w:rPr>
          <w:noProof/>
        </w:rPr>
        <w:instrText xml:space="preserve"> PAGEREF _Toc401912142 \h </w:instrText>
      </w:r>
      <w:r>
        <w:rPr>
          <w:noProof/>
        </w:rPr>
      </w:r>
      <w:r>
        <w:rPr>
          <w:noProof/>
        </w:rPr>
        <w:fldChar w:fldCharType="separate"/>
      </w:r>
      <w:r w:rsidR="004E02DD">
        <w:rPr>
          <w:noProof/>
        </w:rPr>
        <w:t>6</w:t>
      </w:r>
      <w:r>
        <w:rPr>
          <w:noProof/>
        </w:rPr>
        <w:fldChar w:fldCharType="end"/>
      </w:r>
    </w:p>
    <w:p w14:paraId="04409B1B" w14:textId="77777777" w:rsidR="00A3701F" w:rsidRDefault="00A3701F">
      <w:pPr>
        <w:pStyle w:val="TOC1"/>
        <w:rPr>
          <w:rFonts w:asciiTheme="minorHAnsi" w:eastAsiaTheme="minorEastAsia" w:hAnsiTheme="minorHAnsi" w:cstheme="minorBidi"/>
          <w:smallCaps w:val="0"/>
          <w:noProof/>
          <w:sz w:val="22"/>
          <w:szCs w:val="22"/>
        </w:rPr>
      </w:pPr>
      <w:r>
        <w:rPr>
          <w:noProof/>
        </w:rPr>
        <w:t>IV.</w:t>
      </w:r>
      <w:r>
        <w:rPr>
          <w:rFonts w:asciiTheme="minorHAnsi" w:eastAsiaTheme="minorEastAsia" w:hAnsiTheme="minorHAnsi" w:cstheme="minorBidi"/>
          <w:smallCaps w:val="0"/>
          <w:noProof/>
          <w:sz w:val="22"/>
          <w:szCs w:val="22"/>
        </w:rPr>
        <w:tab/>
      </w:r>
      <w:r>
        <w:rPr>
          <w:noProof/>
        </w:rPr>
        <w:t>ENVIRONMENTAL AND SOCIAL IMPACTS AND RISKS AND MITIGATION</w:t>
      </w:r>
      <w:r>
        <w:rPr>
          <w:noProof/>
        </w:rPr>
        <w:tab/>
      </w:r>
      <w:r>
        <w:rPr>
          <w:noProof/>
        </w:rPr>
        <w:fldChar w:fldCharType="begin"/>
      </w:r>
      <w:r>
        <w:rPr>
          <w:noProof/>
        </w:rPr>
        <w:instrText xml:space="preserve"> PAGEREF _Toc401912143 \h </w:instrText>
      </w:r>
      <w:r>
        <w:rPr>
          <w:noProof/>
        </w:rPr>
      </w:r>
      <w:r>
        <w:rPr>
          <w:noProof/>
        </w:rPr>
        <w:fldChar w:fldCharType="separate"/>
      </w:r>
      <w:r w:rsidR="004E02DD">
        <w:rPr>
          <w:noProof/>
        </w:rPr>
        <w:t>6</w:t>
      </w:r>
      <w:r>
        <w:rPr>
          <w:noProof/>
        </w:rPr>
        <w:fldChar w:fldCharType="end"/>
      </w:r>
    </w:p>
    <w:p w14:paraId="3D8B0405" w14:textId="77777777" w:rsidR="00A3701F" w:rsidRDefault="00A3701F">
      <w:pPr>
        <w:pStyle w:val="TOC3"/>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Environmental Impacts and Risks</w:t>
      </w:r>
      <w:r>
        <w:rPr>
          <w:noProof/>
        </w:rPr>
        <w:tab/>
      </w:r>
      <w:r>
        <w:rPr>
          <w:noProof/>
        </w:rPr>
        <w:fldChar w:fldCharType="begin"/>
      </w:r>
      <w:r>
        <w:rPr>
          <w:noProof/>
        </w:rPr>
        <w:instrText xml:space="preserve"> PAGEREF _Toc401912144 \h </w:instrText>
      </w:r>
      <w:r>
        <w:rPr>
          <w:noProof/>
        </w:rPr>
      </w:r>
      <w:r>
        <w:rPr>
          <w:noProof/>
        </w:rPr>
        <w:fldChar w:fldCharType="separate"/>
      </w:r>
      <w:r w:rsidR="004E02DD">
        <w:rPr>
          <w:noProof/>
        </w:rPr>
        <w:t>6</w:t>
      </w:r>
      <w:r>
        <w:rPr>
          <w:noProof/>
        </w:rPr>
        <w:fldChar w:fldCharType="end"/>
      </w:r>
    </w:p>
    <w:p w14:paraId="192609E9" w14:textId="77777777" w:rsidR="00A3701F" w:rsidRDefault="00A3701F">
      <w:pPr>
        <w:pStyle w:val="TOC3"/>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Social Impacts and Risks</w:t>
      </w:r>
      <w:r>
        <w:rPr>
          <w:noProof/>
        </w:rPr>
        <w:tab/>
      </w:r>
      <w:r>
        <w:rPr>
          <w:noProof/>
        </w:rPr>
        <w:fldChar w:fldCharType="begin"/>
      </w:r>
      <w:r>
        <w:rPr>
          <w:noProof/>
        </w:rPr>
        <w:instrText xml:space="preserve"> PAGEREF _Toc401912145 \h </w:instrText>
      </w:r>
      <w:r>
        <w:rPr>
          <w:noProof/>
        </w:rPr>
      </w:r>
      <w:r>
        <w:rPr>
          <w:noProof/>
        </w:rPr>
        <w:fldChar w:fldCharType="separate"/>
      </w:r>
      <w:r w:rsidR="004E02DD">
        <w:rPr>
          <w:noProof/>
        </w:rPr>
        <w:t>7</w:t>
      </w:r>
      <w:r>
        <w:rPr>
          <w:noProof/>
        </w:rPr>
        <w:fldChar w:fldCharType="end"/>
      </w:r>
    </w:p>
    <w:p w14:paraId="6356FE2B" w14:textId="77777777" w:rsidR="00A3701F" w:rsidRDefault="00A3701F">
      <w:pPr>
        <w:pStyle w:val="TOC3"/>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IDB Additionality</w:t>
      </w:r>
      <w:r>
        <w:rPr>
          <w:noProof/>
        </w:rPr>
        <w:tab/>
      </w:r>
      <w:r>
        <w:rPr>
          <w:noProof/>
        </w:rPr>
        <w:fldChar w:fldCharType="begin"/>
      </w:r>
      <w:r>
        <w:rPr>
          <w:noProof/>
        </w:rPr>
        <w:instrText xml:space="preserve"> PAGEREF _Toc401912146 \h </w:instrText>
      </w:r>
      <w:r>
        <w:rPr>
          <w:noProof/>
        </w:rPr>
      </w:r>
      <w:r>
        <w:rPr>
          <w:noProof/>
        </w:rPr>
        <w:fldChar w:fldCharType="separate"/>
      </w:r>
      <w:r w:rsidR="004E02DD">
        <w:rPr>
          <w:noProof/>
        </w:rPr>
        <w:t>7</w:t>
      </w:r>
      <w:r>
        <w:rPr>
          <w:noProof/>
        </w:rPr>
        <w:fldChar w:fldCharType="end"/>
      </w:r>
    </w:p>
    <w:p w14:paraId="1B619F40" w14:textId="77777777" w:rsidR="00A3701F" w:rsidRDefault="00A3701F">
      <w:pPr>
        <w:pStyle w:val="TOC1"/>
        <w:rPr>
          <w:rFonts w:asciiTheme="minorHAnsi" w:eastAsiaTheme="minorEastAsia" w:hAnsiTheme="minorHAnsi" w:cstheme="minorBidi"/>
          <w:smallCaps w:val="0"/>
          <w:noProof/>
          <w:sz w:val="22"/>
          <w:szCs w:val="22"/>
        </w:rPr>
      </w:pPr>
      <w:r>
        <w:rPr>
          <w:noProof/>
        </w:rPr>
        <w:t>V.</w:t>
      </w:r>
      <w:r>
        <w:rPr>
          <w:rFonts w:asciiTheme="minorHAnsi" w:eastAsiaTheme="minorEastAsia" w:hAnsiTheme="minorHAnsi" w:cstheme="minorBidi"/>
          <w:smallCaps w:val="0"/>
          <w:noProof/>
          <w:sz w:val="22"/>
          <w:szCs w:val="22"/>
        </w:rPr>
        <w:tab/>
      </w:r>
      <w:r>
        <w:rPr>
          <w:noProof/>
        </w:rPr>
        <w:t>MANAGEMENT AND MONITORING OF ENVIRONMENTAL, SOCIAL, HEALTH AND SAFETY AND LABOR IMPACTS AND RISKS</w:t>
      </w:r>
      <w:r>
        <w:rPr>
          <w:noProof/>
        </w:rPr>
        <w:tab/>
      </w:r>
      <w:r>
        <w:rPr>
          <w:noProof/>
        </w:rPr>
        <w:fldChar w:fldCharType="begin"/>
      </w:r>
      <w:r>
        <w:rPr>
          <w:noProof/>
        </w:rPr>
        <w:instrText xml:space="preserve"> PAGEREF _Toc401912147 \h </w:instrText>
      </w:r>
      <w:r>
        <w:rPr>
          <w:noProof/>
        </w:rPr>
      </w:r>
      <w:r>
        <w:rPr>
          <w:noProof/>
        </w:rPr>
        <w:fldChar w:fldCharType="separate"/>
      </w:r>
      <w:r w:rsidR="004E02DD">
        <w:rPr>
          <w:noProof/>
        </w:rPr>
        <w:t>8</w:t>
      </w:r>
      <w:r>
        <w:rPr>
          <w:noProof/>
        </w:rPr>
        <w:fldChar w:fldCharType="end"/>
      </w:r>
    </w:p>
    <w:p w14:paraId="0B2715BF" w14:textId="77777777" w:rsidR="00A3701F" w:rsidRDefault="00A3701F">
      <w:pPr>
        <w:pStyle w:val="TOC3"/>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Management Systems and Plans</w:t>
      </w:r>
      <w:r>
        <w:rPr>
          <w:noProof/>
        </w:rPr>
        <w:tab/>
      </w:r>
      <w:r>
        <w:rPr>
          <w:noProof/>
        </w:rPr>
        <w:fldChar w:fldCharType="begin"/>
      </w:r>
      <w:r>
        <w:rPr>
          <w:noProof/>
        </w:rPr>
        <w:instrText xml:space="preserve"> PAGEREF _Toc401912148 \h </w:instrText>
      </w:r>
      <w:r>
        <w:rPr>
          <w:noProof/>
        </w:rPr>
      </w:r>
      <w:r>
        <w:rPr>
          <w:noProof/>
        </w:rPr>
        <w:fldChar w:fldCharType="separate"/>
      </w:r>
      <w:r w:rsidR="004E02DD">
        <w:rPr>
          <w:noProof/>
        </w:rPr>
        <w:t>8</w:t>
      </w:r>
      <w:r>
        <w:rPr>
          <w:noProof/>
        </w:rPr>
        <w:fldChar w:fldCharType="end"/>
      </w:r>
    </w:p>
    <w:p w14:paraId="7579FC67" w14:textId="77777777" w:rsidR="00A3701F" w:rsidRDefault="00A3701F">
      <w:pPr>
        <w:pStyle w:val="TOC3"/>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The Environmental and Social Management Plan</w:t>
      </w:r>
      <w:r>
        <w:rPr>
          <w:noProof/>
        </w:rPr>
        <w:tab/>
      </w:r>
      <w:r>
        <w:rPr>
          <w:noProof/>
        </w:rPr>
        <w:fldChar w:fldCharType="begin"/>
      </w:r>
      <w:r>
        <w:rPr>
          <w:noProof/>
        </w:rPr>
        <w:instrText xml:space="preserve"> PAGEREF _Toc401912149 \h </w:instrText>
      </w:r>
      <w:r>
        <w:rPr>
          <w:noProof/>
        </w:rPr>
      </w:r>
      <w:r>
        <w:rPr>
          <w:noProof/>
        </w:rPr>
        <w:fldChar w:fldCharType="separate"/>
      </w:r>
      <w:r w:rsidR="004E02DD">
        <w:rPr>
          <w:noProof/>
        </w:rPr>
        <w:t>8</w:t>
      </w:r>
      <w:r>
        <w:rPr>
          <w:noProof/>
        </w:rPr>
        <w:fldChar w:fldCharType="end"/>
      </w:r>
    </w:p>
    <w:p w14:paraId="63D4E836" w14:textId="77777777" w:rsidR="00A3701F" w:rsidRDefault="00A3701F">
      <w:pPr>
        <w:pStyle w:val="TOC3"/>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Monitoring and Supervision</w:t>
      </w:r>
      <w:r>
        <w:rPr>
          <w:noProof/>
        </w:rPr>
        <w:tab/>
      </w:r>
      <w:r>
        <w:rPr>
          <w:noProof/>
        </w:rPr>
        <w:fldChar w:fldCharType="begin"/>
      </w:r>
      <w:r>
        <w:rPr>
          <w:noProof/>
        </w:rPr>
        <w:instrText xml:space="preserve"> PAGEREF _Toc401912150 \h </w:instrText>
      </w:r>
      <w:r>
        <w:rPr>
          <w:noProof/>
        </w:rPr>
      </w:r>
      <w:r>
        <w:rPr>
          <w:noProof/>
        </w:rPr>
        <w:fldChar w:fldCharType="separate"/>
      </w:r>
      <w:r w:rsidR="004E02DD">
        <w:rPr>
          <w:noProof/>
        </w:rPr>
        <w:t>8</w:t>
      </w:r>
      <w:r>
        <w:rPr>
          <w:noProof/>
        </w:rPr>
        <w:fldChar w:fldCharType="end"/>
      </w:r>
    </w:p>
    <w:p w14:paraId="79DD55ED" w14:textId="77777777" w:rsidR="00A3701F" w:rsidRDefault="00A3701F">
      <w:pPr>
        <w:pStyle w:val="TOC3"/>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Environmental and Social Safeguard Performance Indicators</w:t>
      </w:r>
      <w:r>
        <w:rPr>
          <w:noProof/>
        </w:rPr>
        <w:tab/>
      </w:r>
      <w:r>
        <w:rPr>
          <w:noProof/>
        </w:rPr>
        <w:fldChar w:fldCharType="begin"/>
      </w:r>
      <w:r>
        <w:rPr>
          <w:noProof/>
        </w:rPr>
        <w:instrText xml:space="preserve"> PAGEREF _Toc401912151 \h </w:instrText>
      </w:r>
      <w:r>
        <w:rPr>
          <w:noProof/>
        </w:rPr>
      </w:r>
      <w:r>
        <w:rPr>
          <w:noProof/>
        </w:rPr>
        <w:fldChar w:fldCharType="separate"/>
      </w:r>
      <w:r w:rsidR="004E02DD">
        <w:rPr>
          <w:noProof/>
        </w:rPr>
        <w:t>8</w:t>
      </w:r>
      <w:r>
        <w:rPr>
          <w:noProof/>
        </w:rPr>
        <w:fldChar w:fldCharType="end"/>
      </w:r>
    </w:p>
    <w:p w14:paraId="3B365E08" w14:textId="77777777" w:rsidR="00A3701F" w:rsidRDefault="00A3701F">
      <w:pPr>
        <w:pStyle w:val="TOC1"/>
        <w:rPr>
          <w:rFonts w:asciiTheme="minorHAnsi" w:eastAsiaTheme="minorEastAsia" w:hAnsiTheme="minorHAnsi" w:cstheme="minorBidi"/>
          <w:smallCaps w:val="0"/>
          <w:noProof/>
          <w:sz w:val="22"/>
          <w:szCs w:val="22"/>
        </w:rPr>
      </w:pPr>
      <w:r>
        <w:rPr>
          <w:noProof/>
        </w:rPr>
        <w:t>VI.</w:t>
      </w:r>
      <w:r>
        <w:rPr>
          <w:rFonts w:asciiTheme="minorHAnsi" w:eastAsiaTheme="minorEastAsia" w:hAnsiTheme="minorHAnsi" w:cstheme="minorBidi"/>
          <w:smallCaps w:val="0"/>
          <w:noProof/>
          <w:sz w:val="22"/>
          <w:szCs w:val="22"/>
        </w:rPr>
        <w:tab/>
      </w:r>
      <w:r>
        <w:rPr>
          <w:noProof/>
        </w:rPr>
        <w:t>REQUIREMENTS TO BE INCLUDED IN THE LEGAL AGREEMENTS</w:t>
      </w:r>
      <w:r>
        <w:rPr>
          <w:noProof/>
        </w:rPr>
        <w:tab/>
      </w:r>
      <w:r>
        <w:rPr>
          <w:noProof/>
        </w:rPr>
        <w:fldChar w:fldCharType="begin"/>
      </w:r>
      <w:r>
        <w:rPr>
          <w:noProof/>
        </w:rPr>
        <w:instrText xml:space="preserve"> PAGEREF _Toc401912152 \h </w:instrText>
      </w:r>
      <w:r>
        <w:rPr>
          <w:noProof/>
        </w:rPr>
      </w:r>
      <w:r>
        <w:rPr>
          <w:noProof/>
        </w:rPr>
        <w:fldChar w:fldCharType="separate"/>
      </w:r>
      <w:r w:rsidR="004E02DD">
        <w:rPr>
          <w:noProof/>
        </w:rPr>
        <w:t>9</w:t>
      </w:r>
      <w:r>
        <w:rPr>
          <w:noProof/>
        </w:rPr>
        <w:fldChar w:fldCharType="end"/>
      </w:r>
    </w:p>
    <w:p w14:paraId="2FC23931" w14:textId="77777777" w:rsidR="00A3701F" w:rsidRDefault="00A3701F">
      <w:pPr>
        <w:pStyle w:val="TOC3"/>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During the duration of the loan</w:t>
      </w:r>
      <w:r>
        <w:rPr>
          <w:noProof/>
        </w:rPr>
        <w:tab/>
      </w:r>
      <w:r>
        <w:rPr>
          <w:noProof/>
        </w:rPr>
        <w:fldChar w:fldCharType="begin"/>
      </w:r>
      <w:r>
        <w:rPr>
          <w:noProof/>
        </w:rPr>
        <w:instrText xml:space="preserve"> PAGEREF _Toc401912153 \h </w:instrText>
      </w:r>
      <w:r>
        <w:rPr>
          <w:noProof/>
        </w:rPr>
      </w:r>
      <w:r>
        <w:rPr>
          <w:noProof/>
        </w:rPr>
        <w:fldChar w:fldCharType="separate"/>
      </w:r>
      <w:r w:rsidR="004E02DD">
        <w:rPr>
          <w:noProof/>
        </w:rPr>
        <w:t>9</w:t>
      </w:r>
      <w:r>
        <w:rPr>
          <w:noProof/>
        </w:rPr>
        <w:fldChar w:fldCharType="end"/>
      </w:r>
    </w:p>
    <w:p w14:paraId="4918CFF0" w14:textId="77777777" w:rsidR="00A3701F" w:rsidRDefault="00A3701F">
      <w:pPr>
        <w:pStyle w:val="TOC3"/>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Prior to the Commencement of Tender</w:t>
      </w:r>
      <w:r>
        <w:rPr>
          <w:noProof/>
        </w:rPr>
        <w:tab/>
      </w:r>
      <w:r>
        <w:rPr>
          <w:noProof/>
        </w:rPr>
        <w:fldChar w:fldCharType="begin"/>
      </w:r>
      <w:r>
        <w:rPr>
          <w:noProof/>
        </w:rPr>
        <w:instrText xml:space="preserve"> PAGEREF _Toc401912154 \h </w:instrText>
      </w:r>
      <w:r>
        <w:rPr>
          <w:noProof/>
        </w:rPr>
      </w:r>
      <w:r>
        <w:rPr>
          <w:noProof/>
        </w:rPr>
        <w:fldChar w:fldCharType="separate"/>
      </w:r>
      <w:r w:rsidR="004E02DD">
        <w:rPr>
          <w:noProof/>
        </w:rPr>
        <w:t>9</w:t>
      </w:r>
      <w:r>
        <w:rPr>
          <w:noProof/>
        </w:rPr>
        <w:fldChar w:fldCharType="end"/>
      </w:r>
    </w:p>
    <w:p w14:paraId="57EDFA6F" w14:textId="77777777" w:rsidR="00A3701F" w:rsidRDefault="00A3701F">
      <w:pPr>
        <w:pStyle w:val="TOC1"/>
        <w:rPr>
          <w:rFonts w:asciiTheme="minorHAnsi" w:eastAsiaTheme="minorEastAsia" w:hAnsiTheme="minorHAnsi" w:cstheme="minorBidi"/>
          <w:smallCaps w:val="0"/>
          <w:noProof/>
          <w:sz w:val="22"/>
          <w:szCs w:val="22"/>
        </w:rPr>
      </w:pPr>
      <w:r>
        <w:rPr>
          <w:noProof/>
        </w:rPr>
        <w:t>ANNEX I</w:t>
      </w:r>
      <w:r>
        <w:rPr>
          <w:noProof/>
        </w:rPr>
        <w:tab/>
      </w:r>
      <w:r>
        <w:rPr>
          <w:noProof/>
        </w:rPr>
        <w:fldChar w:fldCharType="begin"/>
      </w:r>
      <w:r>
        <w:rPr>
          <w:noProof/>
        </w:rPr>
        <w:instrText xml:space="preserve"> PAGEREF _Toc401912155 \h </w:instrText>
      </w:r>
      <w:r>
        <w:rPr>
          <w:noProof/>
        </w:rPr>
      </w:r>
      <w:r>
        <w:rPr>
          <w:noProof/>
        </w:rPr>
        <w:fldChar w:fldCharType="separate"/>
      </w:r>
      <w:r w:rsidR="004E02DD">
        <w:rPr>
          <w:noProof/>
        </w:rPr>
        <w:t>1</w:t>
      </w:r>
      <w:r>
        <w:rPr>
          <w:noProof/>
        </w:rPr>
        <w:fldChar w:fldCharType="end"/>
      </w:r>
    </w:p>
    <w:p w14:paraId="5FAD62C4" w14:textId="77777777" w:rsidR="00A3701F" w:rsidRDefault="00A3701F">
      <w:pPr>
        <w:pStyle w:val="TOC1"/>
        <w:rPr>
          <w:rFonts w:asciiTheme="minorHAnsi" w:eastAsiaTheme="minorEastAsia" w:hAnsiTheme="minorHAnsi" w:cstheme="minorBidi"/>
          <w:smallCaps w:val="0"/>
          <w:noProof/>
          <w:sz w:val="22"/>
          <w:szCs w:val="22"/>
        </w:rPr>
      </w:pPr>
      <w:r>
        <w:rPr>
          <w:noProof/>
        </w:rPr>
        <w:t>ANNEX II</w:t>
      </w:r>
      <w:r>
        <w:rPr>
          <w:noProof/>
        </w:rPr>
        <w:tab/>
      </w:r>
      <w:r>
        <w:rPr>
          <w:noProof/>
        </w:rPr>
        <w:fldChar w:fldCharType="begin"/>
      </w:r>
      <w:r>
        <w:rPr>
          <w:noProof/>
        </w:rPr>
        <w:instrText xml:space="preserve"> PAGEREF _Toc401912156 \h </w:instrText>
      </w:r>
      <w:r>
        <w:rPr>
          <w:noProof/>
        </w:rPr>
      </w:r>
      <w:r>
        <w:rPr>
          <w:noProof/>
        </w:rPr>
        <w:fldChar w:fldCharType="separate"/>
      </w:r>
      <w:r w:rsidR="004E02DD">
        <w:rPr>
          <w:noProof/>
        </w:rPr>
        <w:t>3</w:t>
      </w:r>
      <w:r>
        <w:rPr>
          <w:noProof/>
        </w:rPr>
        <w:fldChar w:fldCharType="end"/>
      </w:r>
    </w:p>
    <w:p w14:paraId="1FA6ED51" w14:textId="77777777" w:rsidR="00381528" w:rsidRDefault="00381528" w:rsidP="00381528">
      <w:pPr>
        <w:pStyle w:val="TOC3"/>
      </w:pPr>
      <w:r>
        <w:fldChar w:fldCharType="end"/>
      </w:r>
    </w:p>
    <w:p w14:paraId="61EB009C" w14:textId="77777777" w:rsidR="009F1E86" w:rsidRDefault="009F1E86" w:rsidP="009F1E86"/>
    <w:p w14:paraId="0F8345C1" w14:textId="77777777" w:rsidR="009F1E86" w:rsidRPr="009F1E86" w:rsidRDefault="009F1E86" w:rsidP="009F1E86"/>
    <w:p w14:paraId="3A17B1DD" w14:textId="77777777" w:rsidR="00381528" w:rsidRDefault="00381528" w:rsidP="00381528">
      <w:r>
        <w:br w:type="page"/>
      </w:r>
    </w:p>
    <w:p w14:paraId="3A0F4054" w14:textId="77777777" w:rsidR="00301336" w:rsidRDefault="00D10089" w:rsidP="00C93BF6">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center"/>
        <w:rPr>
          <w:b/>
          <w:sz w:val="24"/>
        </w:rPr>
      </w:pPr>
      <w:r>
        <w:rPr>
          <w:b/>
          <w:sz w:val="24"/>
        </w:rPr>
        <w:lastRenderedPageBreak/>
        <w:t>LIST OF ACRONYMS</w:t>
      </w:r>
    </w:p>
    <w:p w14:paraId="7623B692" w14:textId="77777777" w:rsidR="00C93BF6" w:rsidRDefault="00C93BF6" w:rsidP="006B56BC">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b/>
          <w:sz w:val="24"/>
        </w:rPr>
      </w:pPr>
    </w:p>
    <w:tbl>
      <w:tblPr>
        <w:tblW w:w="8592" w:type="dxa"/>
        <w:jc w:val="center"/>
        <w:tblLayout w:type="fixed"/>
        <w:tblCellMar>
          <w:left w:w="0" w:type="dxa"/>
          <w:right w:w="0" w:type="dxa"/>
        </w:tblCellMar>
        <w:tblLook w:val="0000" w:firstRow="0" w:lastRow="0" w:firstColumn="0" w:lastColumn="0" w:noHBand="0" w:noVBand="0"/>
      </w:tblPr>
      <w:tblGrid>
        <w:gridCol w:w="1323"/>
        <w:gridCol w:w="7269"/>
      </w:tblGrid>
      <w:tr w:rsidR="00381528" w:rsidRPr="00381528" w14:paraId="3768A614" w14:textId="77777777" w:rsidTr="00381528">
        <w:trPr>
          <w:cantSplit/>
          <w:trHeight w:val="326"/>
          <w:jc w:val="center"/>
        </w:trPr>
        <w:tc>
          <w:tcPr>
            <w:tcW w:w="1323" w:type="dxa"/>
            <w:noWrap/>
            <w:vAlign w:val="center"/>
          </w:tcPr>
          <w:p w14:paraId="531FF9FF"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ANSI</w:t>
            </w:r>
          </w:p>
        </w:tc>
        <w:tc>
          <w:tcPr>
            <w:tcW w:w="7269" w:type="dxa"/>
            <w:vAlign w:val="center"/>
          </w:tcPr>
          <w:p w14:paraId="0CC68854"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 xml:space="preserve">American National Standards Institute </w:t>
            </w:r>
          </w:p>
        </w:tc>
      </w:tr>
      <w:tr w:rsidR="00381528" w:rsidRPr="00381528" w14:paraId="463B5552" w14:textId="77777777" w:rsidTr="00381528">
        <w:trPr>
          <w:cantSplit/>
          <w:trHeight w:val="326"/>
          <w:jc w:val="center"/>
        </w:trPr>
        <w:tc>
          <w:tcPr>
            <w:tcW w:w="1323" w:type="dxa"/>
            <w:noWrap/>
          </w:tcPr>
          <w:p w14:paraId="44B82382"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DEV</w:t>
            </w:r>
          </w:p>
        </w:tc>
        <w:tc>
          <w:tcPr>
            <w:tcW w:w="7269" w:type="dxa"/>
          </w:tcPr>
          <w:p w14:paraId="67370EB0"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Rural Electrification Agency</w:t>
            </w:r>
          </w:p>
        </w:tc>
      </w:tr>
      <w:tr w:rsidR="00381528" w:rsidRPr="00381528" w14:paraId="14BD7192" w14:textId="77777777" w:rsidTr="00381528">
        <w:trPr>
          <w:cantSplit/>
          <w:trHeight w:val="326"/>
          <w:jc w:val="center"/>
        </w:trPr>
        <w:tc>
          <w:tcPr>
            <w:tcW w:w="1323" w:type="dxa"/>
            <w:noWrap/>
            <w:vAlign w:val="center"/>
          </w:tcPr>
          <w:p w14:paraId="6D450D64"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EA</w:t>
            </w:r>
          </w:p>
        </w:tc>
        <w:tc>
          <w:tcPr>
            <w:tcW w:w="7269" w:type="dxa"/>
            <w:vAlign w:val="center"/>
          </w:tcPr>
          <w:p w14:paraId="0D1FB708"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Executing Agency</w:t>
            </w:r>
          </w:p>
        </w:tc>
      </w:tr>
      <w:tr w:rsidR="00381528" w:rsidRPr="00381528" w14:paraId="561E5E50" w14:textId="77777777" w:rsidTr="00381528">
        <w:trPr>
          <w:cantSplit/>
          <w:trHeight w:val="326"/>
          <w:jc w:val="center"/>
        </w:trPr>
        <w:tc>
          <w:tcPr>
            <w:tcW w:w="1323" w:type="dxa"/>
            <w:noWrap/>
            <w:vAlign w:val="center"/>
          </w:tcPr>
          <w:p w14:paraId="42BAA257"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EBS</w:t>
            </w:r>
          </w:p>
        </w:tc>
        <w:tc>
          <w:tcPr>
            <w:tcW w:w="7269" w:type="dxa"/>
            <w:vAlign w:val="center"/>
          </w:tcPr>
          <w:p w14:paraId="0CF2B535"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National Electricity Company</w:t>
            </w:r>
          </w:p>
        </w:tc>
      </w:tr>
      <w:tr w:rsidR="00381528" w:rsidRPr="00381528" w14:paraId="1ADD4C2E" w14:textId="77777777" w:rsidTr="00381528">
        <w:trPr>
          <w:cantSplit/>
          <w:trHeight w:val="326"/>
          <w:jc w:val="center"/>
        </w:trPr>
        <w:tc>
          <w:tcPr>
            <w:tcW w:w="1323" w:type="dxa"/>
            <w:noWrap/>
            <w:vAlign w:val="center"/>
          </w:tcPr>
          <w:p w14:paraId="6614F568"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ENICK</w:t>
            </w:r>
          </w:p>
        </w:tc>
        <w:tc>
          <w:tcPr>
            <w:tcW w:w="7269" w:type="dxa"/>
            <w:vAlign w:val="center"/>
          </w:tcPr>
          <w:p w14:paraId="4D178886"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 xml:space="preserve">Electricity </w:t>
            </w:r>
            <w:r w:rsidRPr="00C93BF6">
              <w:rPr>
                <w:rFonts w:eastAsia="MS Mincho"/>
                <w:i/>
                <w:sz w:val="22"/>
                <w:szCs w:val="22"/>
              </w:rPr>
              <w:t>Nieuw Nickerie</w:t>
            </w:r>
          </w:p>
        </w:tc>
      </w:tr>
      <w:tr w:rsidR="00381528" w:rsidRPr="00381528" w14:paraId="0C939838" w14:textId="77777777" w:rsidTr="00381528">
        <w:trPr>
          <w:cantSplit/>
          <w:trHeight w:val="326"/>
          <w:jc w:val="center"/>
        </w:trPr>
        <w:tc>
          <w:tcPr>
            <w:tcW w:w="1323" w:type="dxa"/>
            <w:noWrap/>
            <w:vAlign w:val="center"/>
          </w:tcPr>
          <w:p w14:paraId="36C04FD6"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EPAR</w:t>
            </w:r>
          </w:p>
        </w:tc>
        <w:tc>
          <w:tcPr>
            <w:tcW w:w="7269" w:type="dxa"/>
            <w:vAlign w:val="center"/>
          </w:tcPr>
          <w:p w14:paraId="0AC39764"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Electricity Supply Paramaribo and Surroundings</w:t>
            </w:r>
          </w:p>
        </w:tc>
      </w:tr>
      <w:tr w:rsidR="00381528" w:rsidRPr="00381528" w14:paraId="37A5F5EB" w14:textId="77777777" w:rsidTr="00381528">
        <w:trPr>
          <w:cantSplit/>
          <w:trHeight w:val="326"/>
          <w:jc w:val="center"/>
        </w:trPr>
        <w:tc>
          <w:tcPr>
            <w:tcW w:w="1323" w:type="dxa"/>
            <w:noWrap/>
            <w:vAlign w:val="center"/>
          </w:tcPr>
          <w:p w14:paraId="15435B5D" w14:textId="77777777" w:rsidR="00381528" w:rsidRPr="00C93BF6" w:rsidRDefault="00381528" w:rsidP="00381528">
            <w:pPr>
              <w:keepNext/>
              <w:widowControl w:val="0"/>
              <w:spacing w:before="40" w:after="40"/>
              <w:rPr>
                <w:rFonts w:eastAsia="MS Mincho"/>
                <w:sz w:val="22"/>
                <w:szCs w:val="22"/>
              </w:rPr>
            </w:pPr>
            <w:r w:rsidRPr="00C93BF6">
              <w:rPr>
                <w:rFonts w:eastAsia="MS Mincho"/>
                <w:sz w:val="22"/>
                <w:szCs w:val="22"/>
              </w:rPr>
              <w:t>ESMR</w:t>
            </w:r>
          </w:p>
        </w:tc>
        <w:tc>
          <w:tcPr>
            <w:tcW w:w="7269" w:type="dxa"/>
            <w:vAlign w:val="center"/>
          </w:tcPr>
          <w:p w14:paraId="5414A90B" w14:textId="77777777" w:rsidR="00381528" w:rsidRPr="00C93BF6" w:rsidRDefault="00381528" w:rsidP="00381528">
            <w:pPr>
              <w:keepNext/>
              <w:widowControl w:val="0"/>
              <w:spacing w:before="40" w:after="40"/>
              <w:rPr>
                <w:rFonts w:eastAsia="MS Mincho"/>
                <w:sz w:val="22"/>
                <w:szCs w:val="22"/>
              </w:rPr>
            </w:pPr>
            <w:r w:rsidRPr="00C93BF6">
              <w:rPr>
                <w:rFonts w:eastAsia="MS Mincho"/>
                <w:sz w:val="22"/>
                <w:szCs w:val="22"/>
              </w:rPr>
              <w:t>Environmental and Social Management Report</w:t>
            </w:r>
          </w:p>
        </w:tc>
      </w:tr>
      <w:tr w:rsidR="00381528" w:rsidRPr="00381528" w14:paraId="1B8B5217" w14:textId="77777777" w:rsidTr="00381528">
        <w:trPr>
          <w:cantSplit/>
          <w:trHeight w:val="326"/>
          <w:jc w:val="center"/>
        </w:trPr>
        <w:tc>
          <w:tcPr>
            <w:tcW w:w="1323" w:type="dxa"/>
            <w:noWrap/>
            <w:vAlign w:val="center"/>
          </w:tcPr>
          <w:p w14:paraId="74D819ED"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ESA</w:t>
            </w:r>
          </w:p>
        </w:tc>
        <w:tc>
          <w:tcPr>
            <w:tcW w:w="7269" w:type="dxa"/>
            <w:vAlign w:val="center"/>
          </w:tcPr>
          <w:p w14:paraId="216785F8"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Environmental and Social Assessment</w:t>
            </w:r>
          </w:p>
        </w:tc>
      </w:tr>
      <w:tr w:rsidR="00381528" w:rsidRPr="00381528" w14:paraId="71E9B48F" w14:textId="77777777" w:rsidTr="00381528">
        <w:trPr>
          <w:cantSplit/>
          <w:trHeight w:val="326"/>
          <w:jc w:val="center"/>
        </w:trPr>
        <w:tc>
          <w:tcPr>
            <w:tcW w:w="1323" w:type="dxa"/>
            <w:noWrap/>
            <w:vAlign w:val="center"/>
          </w:tcPr>
          <w:p w14:paraId="4AD8EB69"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ESMP</w:t>
            </w:r>
          </w:p>
        </w:tc>
        <w:tc>
          <w:tcPr>
            <w:tcW w:w="7269" w:type="dxa"/>
            <w:vAlign w:val="center"/>
          </w:tcPr>
          <w:p w14:paraId="7ECBF7AD" w14:textId="77777777" w:rsidR="00381528" w:rsidRPr="00C93BF6" w:rsidRDefault="00381528" w:rsidP="00381528">
            <w:pPr>
              <w:keepNext/>
              <w:widowControl w:val="0"/>
              <w:spacing w:before="40" w:after="40"/>
              <w:rPr>
                <w:rFonts w:eastAsia="MS Mincho"/>
                <w:sz w:val="22"/>
                <w:szCs w:val="22"/>
              </w:rPr>
            </w:pPr>
            <w:r w:rsidRPr="00C93BF6">
              <w:rPr>
                <w:rFonts w:eastAsia="MS Mincho"/>
                <w:sz w:val="22"/>
                <w:szCs w:val="22"/>
              </w:rPr>
              <w:t xml:space="preserve">Environmental and Social Management Plan </w:t>
            </w:r>
          </w:p>
        </w:tc>
      </w:tr>
      <w:tr w:rsidR="00381528" w:rsidRPr="00381528" w14:paraId="3D16B15E" w14:textId="77777777" w:rsidTr="00381528">
        <w:trPr>
          <w:cantSplit/>
          <w:trHeight w:val="326"/>
          <w:jc w:val="center"/>
        </w:trPr>
        <w:tc>
          <w:tcPr>
            <w:tcW w:w="1323" w:type="dxa"/>
            <w:noWrap/>
            <w:vAlign w:val="center"/>
          </w:tcPr>
          <w:p w14:paraId="2DC0D6F3"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ESS</w:t>
            </w:r>
          </w:p>
        </w:tc>
        <w:tc>
          <w:tcPr>
            <w:tcW w:w="7269" w:type="dxa"/>
            <w:vAlign w:val="center"/>
          </w:tcPr>
          <w:p w14:paraId="5A02EBA3"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Environmental and Social Strategy</w:t>
            </w:r>
          </w:p>
        </w:tc>
      </w:tr>
      <w:tr w:rsidR="00381528" w:rsidRPr="00381528" w14:paraId="30E6B87E" w14:textId="77777777" w:rsidTr="00381528">
        <w:trPr>
          <w:cantSplit/>
          <w:trHeight w:val="326"/>
          <w:jc w:val="center"/>
        </w:trPr>
        <w:tc>
          <w:tcPr>
            <w:tcW w:w="1323" w:type="dxa"/>
            <w:noWrap/>
            <w:vAlign w:val="center"/>
          </w:tcPr>
          <w:p w14:paraId="2A9F453B"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GOS</w:t>
            </w:r>
          </w:p>
        </w:tc>
        <w:tc>
          <w:tcPr>
            <w:tcW w:w="7269" w:type="dxa"/>
            <w:vAlign w:val="center"/>
          </w:tcPr>
          <w:p w14:paraId="3B2FB95B"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Government of Suriname</w:t>
            </w:r>
          </w:p>
        </w:tc>
      </w:tr>
      <w:tr w:rsidR="00381528" w:rsidRPr="00381528" w14:paraId="1077F6F0" w14:textId="77777777" w:rsidTr="00381528">
        <w:trPr>
          <w:cantSplit/>
          <w:trHeight w:val="326"/>
          <w:jc w:val="center"/>
        </w:trPr>
        <w:tc>
          <w:tcPr>
            <w:tcW w:w="1323" w:type="dxa"/>
            <w:noWrap/>
            <w:vAlign w:val="center"/>
          </w:tcPr>
          <w:p w14:paraId="1E408AD9"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IDB</w:t>
            </w:r>
          </w:p>
        </w:tc>
        <w:tc>
          <w:tcPr>
            <w:tcW w:w="7269" w:type="dxa"/>
            <w:vAlign w:val="center"/>
          </w:tcPr>
          <w:p w14:paraId="2D1B6ED7"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Inter-American Development Bank</w:t>
            </w:r>
          </w:p>
        </w:tc>
      </w:tr>
      <w:tr w:rsidR="00381528" w:rsidRPr="00381528" w14:paraId="6685554C" w14:textId="77777777" w:rsidTr="00381528">
        <w:trPr>
          <w:cantSplit/>
          <w:trHeight w:val="326"/>
          <w:jc w:val="center"/>
        </w:trPr>
        <w:tc>
          <w:tcPr>
            <w:tcW w:w="1323" w:type="dxa"/>
            <w:noWrap/>
            <w:vAlign w:val="center"/>
          </w:tcPr>
          <w:p w14:paraId="65491DF1"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ICT</w:t>
            </w:r>
          </w:p>
        </w:tc>
        <w:tc>
          <w:tcPr>
            <w:tcW w:w="7269" w:type="dxa"/>
            <w:vAlign w:val="center"/>
          </w:tcPr>
          <w:p w14:paraId="410E8EB4"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Information and Communication Technology</w:t>
            </w:r>
          </w:p>
        </w:tc>
      </w:tr>
      <w:tr w:rsidR="00381528" w:rsidRPr="00381528" w14:paraId="23540BD2" w14:textId="77777777" w:rsidTr="00381528">
        <w:trPr>
          <w:cantSplit/>
          <w:trHeight w:val="326"/>
          <w:jc w:val="center"/>
        </w:trPr>
        <w:tc>
          <w:tcPr>
            <w:tcW w:w="1323" w:type="dxa"/>
            <w:noWrap/>
            <w:vAlign w:val="center"/>
          </w:tcPr>
          <w:p w14:paraId="24263082"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kV</w:t>
            </w:r>
          </w:p>
        </w:tc>
        <w:tc>
          <w:tcPr>
            <w:tcW w:w="7269" w:type="dxa"/>
            <w:vAlign w:val="center"/>
          </w:tcPr>
          <w:p w14:paraId="681FB448"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kilovolt</w:t>
            </w:r>
          </w:p>
        </w:tc>
      </w:tr>
      <w:tr w:rsidR="00381528" w:rsidRPr="00381528" w14:paraId="607195EC" w14:textId="77777777" w:rsidTr="00381528">
        <w:trPr>
          <w:cantSplit/>
          <w:trHeight w:val="326"/>
          <w:jc w:val="center"/>
        </w:trPr>
        <w:tc>
          <w:tcPr>
            <w:tcW w:w="1323" w:type="dxa"/>
            <w:noWrap/>
            <w:vAlign w:val="center"/>
          </w:tcPr>
          <w:p w14:paraId="6A562CB6"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kW</w:t>
            </w:r>
          </w:p>
        </w:tc>
        <w:tc>
          <w:tcPr>
            <w:tcW w:w="7269" w:type="dxa"/>
            <w:vAlign w:val="center"/>
          </w:tcPr>
          <w:p w14:paraId="06FE2F84"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kilowatt</w:t>
            </w:r>
          </w:p>
        </w:tc>
      </w:tr>
      <w:tr w:rsidR="00381528" w:rsidRPr="00381528" w14:paraId="46244807" w14:textId="77777777" w:rsidTr="00381528">
        <w:trPr>
          <w:cantSplit/>
          <w:trHeight w:val="326"/>
          <w:jc w:val="center"/>
        </w:trPr>
        <w:tc>
          <w:tcPr>
            <w:tcW w:w="1323" w:type="dxa"/>
            <w:noWrap/>
            <w:vAlign w:val="center"/>
          </w:tcPr>
          <w:p w14:paraId="009156B4"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kWh</w:t>
            </w:r>
          </w:p>
        </w:tc>
        <w:tc>
          <w:tcPr>
            <w:tcW w:w="7269" w:type="dxa"/>
            <w:vAlign w:val="center"/>
          </w:tcPr>
          <w:p w14:paraId="62B7F44E"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kiloWatt-hour</w:t>
            </w:r>
          </w:p>
        </w:tc>
      </w:tr>
      <w:tr w:rsidR="00381528" w:rsidRPr="00381528" w14:paraId="7DF9A9C7" w14:textId="77777777" w:rsidTr="00381528">
        <w:trPr>
          <w:cantSplit/>
          <w:trHeight w:val="326"/>
          <w:jc w:val="center"/>
        </w:trPr>
        <w:tc>
          <w:tcPr>
            <w:tcW w:w="1323" w:type="dxa"/>
            <w:noWrap/>
            <w:vAlign w:val="center"/>
          </w:tcPr>
          <w:p w14:paraId="78EC04DD"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M&amp;E</w:t>
            </w:r>
          </w:p>
        </w:tc>
        <w:tc>
          <w:tcPr>
            <w:tcW w:w="7269" w:type="dxa"/>
            <w:vAlign w:val="center"/>
          </w:tcPr>
          <w:p w14:paraId="118387B3" w14:textId="77777777" w:rsidR="00381528" w:rsidRPr="00C93BF6" w:rsidRDefault="00381528" w:rsidP="00381528">
            <w:pPr>
              <w:keepNext/>
              <w:widowControl w:val="0"/>
              <w:spacing w:before="40" w:after="40"/>
              <w:rPr>
                <w:rFonts w:eastAsia="MS Mincho"/>
                <w:sz w:val="22"/>
                <w:szCs w:val="22"/>
              </w:rPr>
            </w:pPr>
            <w:r w:rsidRPr="00C93BF6">
              <w:rPr>
                <w:rFonts w:eastAsia="MS Mincho"/>
                <w:sz w:val="22"/>
                <w:szCs w:val="22"/>
              </w:rPr>
              <w:t>Monitoring and Evaluation Plan</w:t>
            </w:r>
          </w:p>
        </w:tc>
      </w:tr>
      <w:tr w:rsidR="00381528" w:rsidRPr="0011199E" w14:paraId="6BA81CA1" w14:textId="77777777" w:rsidTr="00381528">
        <w:trPr>
          <w:cantSplit/>
          <w:trHeight w:val="326"/>
          <w:jc w:val="center"/>
        </w:trPr>
        <w:tc>
          <w:tcPr>
            <w:tcW w:w="1323" w:type="dxa"/>
            <w:noWrap/>
            <w:vAlign w:val="center"/>
          </w:tcPr>
          <w:p w14:paraId="6DF329A2"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MNH</w:t>
            </w:r>
          </w:p>
        </w:tc>
        <w:tc>
          <w:tcPr>
            <w:tcW w:w="7269" w:type="dxa"/>
            <w:vAlign w:val="center"/>
          </w:tcPr>
          <w:p w14:paraId="24910CE3" w14:textId="77777777" w:rsidR="00381528" w:rsidRPr="007769BB" w:rsidRDefault="00381528" w:rsidP="00381528">
            <w:pPr>
              <w:keepNext/>
              <w:widowControl w:val="0"/>
              <w:spacing w:before="40" w:after="40"/>
              <w:ind w:left="40"/>
              <w:rPr>
                <w:rFonts w:eastAsia="MS Mincho"/>
                <w:sz w:val="22"/>
                <w:szCs w:val="22"/>
                <w:lang w:val="nl-NL"/>
              </w:rPr>
            </w:pPr>
            <w:r w:rsidRPr="007769BB">
              <w:rPr>
                <w:rFonts w:eastAsia="MS Mincho"/>
                <w:sz w:val="22"/>
                <w:szCs w:val="22"/>
                <w:lang w:val="nl-NL"/>
              </w:rPr>
              <w:t>Ministry of Natural Resources (Ministerie van Natuurlijke Hulpbronnen)</w:t>
            </w:r>
          </w:p>
        </w:tc>
      </w:tr>
      <w:tr w:rsidR="00381528" w:rsidRPr="00381528" w14:paraId="7A46FE91" w14:textId="77777777" w:rsidTr="00381528">
        <w:trPr>
          <w:cantSplit/>
          <w:trHeight w:val="326"/>
          <w:jc w:val="center"/>
        </w:trPr>
        <w:tc>
          <w:tcPr>
            <w:tcW w:w="1323" w:type="dxa"/>
            <w:noWrap/>
            <w:vAlign w:val="center"/>
          </w:tcPr>
          <w:p w14:paraId="2B5F4739"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MRD</w:t>
            </w:r>
          </w:p>
        </w:tc>
        <w:tc>
          <w:tcPr>
            <w:tcW w:w="7269" w:type="dxa"/>
            <w:vAlign w:val="center"/>
          </w:tcPr>
          <w:p w14:paraId="013C1D91"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Ministry of Regional Development</w:t>
            </w:r>
          </w:p>
        </w:tc>
      </w:tr>
      <w:tr w:rsidR="00381528" w:rsidRPr="00381528" w14:paraId="7C0C1763" w14:textId="77777777" w:rsidTr="00381528">
        <w:trPr>
          <w:cantSplit/>
          <w:trHeight w:val="326"/>
          <w:jc w:val="center"/>
        </w:trPr>
        <w:tc>
          <w:tcPr>
            <w:tcW w:w="1323" w:type="dxa"/>
            <w:noWrap/>
            <w:vAlign w:val="center"/>
          </w:tcPr>
          <w:p w14:paraId="10A0F80A"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MW</w:t>
            </w:r>
          </w:p>
        </w:tc>
        <w:tc>
          <w:tcPr>
            <w:tcW w:w="7269" w:type="dxa"/>
            <w:vAlign w:val="center"/>
          </w:tcPr>
          <w:p w14:paraId="0A58644A"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Megawatts</w:t>
            </w:r>
          </w:p>
        </w:tc>
      </w:tr>
      <w:tr w:rsidR="00381528" w:rsidRPr="00381528" w14:paraId="5D3F707C" w14:textId="77777777" w:rsidTr="00381528">
        <w:trPr>
          <w:cantSplit/>
          <w:trHeight w:val="326"/>
          <w:jc w:val="center"/>
        </w:trPr>
        <w:tc>
          <w:tcPr>
            <w:tcW w:w="1323" w:type="dxa"/>
            <w:noWrap/>
            <w:vAlign w:val="center"/>
          </w:tcPr>
          <w:p w14:paraId="76EA2D1E"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NIMOS</w:t>
            </w:r>
          </w:p>
        </w:tc>
        <w:tc>
          <w:tcPr>
            <w:tcW w:w="7269" w:type="dxa"/>
            <w:vAlign w:val="center"/>
          </w:tcPr>
          <w:p w14:paraId="10D1D75B" w14:textId="3603934A" w:rsidR="00381528" w:rsidRPr="00C93BF6" w:rsidRDefault="00381528" w:rsidP="00DE30FA">
            <w:pPr>
              <w:keepNext/>
              <w:widowControl w:val="0"/>
              <w:spacing w:before="40" w:after="40"/>
              <w:ind w:left="40"/>
              <w:rPr>
                <w:rFonts w:eastAsia="MS Mincho"/>
                <w:sz w:val="22"/>
                <w:szCs w:val="22"/>
              </w:rPr>
            </w:pPr>
            <w:r w:rsidRPr="00C93BF6">
              <w:rPr>
                <w:rFonts w:eastAsia="MS Mincho"/>
                <w:sz w:val="22"/>
                <w:szCs w:val="22"/>
              </w:rPr>
              <w:t xml:space="preserve"> National Institute for Environment and Development</w:t>
            </w:r>
            <w:r w:rsidR="00DE30FA">
              <w:rPr>
                <w:rFonts w:eastAsia="MS Mincho"/>
                <w:sz w:val="22"/>
                <w:szCs w:val="22"/>
              </w:rPr>
              <w:t xml:space="preserve"> in</w:t>
            </w:r>
            <w:r w:rsidRPr="00C93BF6">
              <w:rPr>
                <w:rFonts w:eastAsia="MS Mincho"/>
                <w:sz w:val="22"/>
                <w:szCs w:val="22"/>
              </w:rPr>
              <w:t xml:space="preserve"> </w:t>
            </w:r>
            <w:r w:rsidR="00DE30FA" w:rsidRPr="00C93BF6">
              <w:rPr>
                <w:rFonts w:eastAsia="MS Mincho"/>
                <w:sz w:val="22"/>
                <w:szCs w:val="22"/>
              </w:rPr>
              <w:t xml:space="preserve">Suriname </w:t>
            </w:r>
            <w:r w:rsidRPr="00C93BF6">
              <w:rPr>
                <w:rFonts w:eastAsia="MS Mincho"/>
                <w:sz w:val="22"/>
                <w:szCs w:val="22"/>
              </w:rPr>
              <w:t>(Nationaal Instituut voor Milieu en Ontwikkeling in Suriname)</w:t>
            </w:r>
          </w:p>
        </w:tc>
      </w:tr>
      <w:tr w:rsidR="00381528" w:rsidRPr="00381528" w14:paraId="0ADC1871" w14:textId="77777777" w:rsidTr="00381528">
        <w:trPr>
          <w:cantSplit/>
          <w:trHeight w:val="326"/>
          <w:jc w:val="center"/>
        </w:trPr>
        <w:tc>
          <w:tcPr>
            <w:tcW w:w="1323" w:type="dxa"/>
            <w:noWrap/>
            <w:vAlign w:val="center"/>
          </w:tcPr>
          <w:p w14:paraId="65CB2840"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PEU</w:t>
            </w:r>
          </w:p>
        </w:tc>
        <w:tc>
          <w:tcPr>
            <w:tcW w:w="7269" w:type="dxa"/>
            <w:vAlign w:val="center"/>
          </w:tcPr>
          <w:p w14:paraId="3DD40BF9"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Project Execution Unit</w:t>
            </w:r>
          </w:p>
        </w:tc>
      </w:tr>
      <w:tr w:rsidR="00381528" w:rsidRPr="00381528" w14:paraId="404EEC76" w14:textId="77777777" w:rsidTr="00381528">
        <w:trPr>
          <w:cantSplit/>
          <w:trHeight w:val="326"/>
          <w:jc w:val="center"/>
        </w:trPr>
        <w:tc>
          <w:tcPr>
            <w:tcW w:w="1323" w:type="dxa"/>
            <w:noWrap/>
            <w:vAlign w:val="center"/>
          </w:tcPr>
          <w:p w14:paraId="38A25761"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PPA</w:t>
            </w:r>
          </w:p>
        </w:tc>
        <w:tc>
          <w:tcPr>
            <w:tcW w:w="7269" w:type="dxa"/>
            <w:vAlign w:val="center"/>
          </w:tcPr>
          <w:p w14:paraId="46FF0425"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Power Purchase Agreement</w:t>
            </w:r>
          </w:p>
        </w:tc>
      </w:tr>
      <w:tr w:rsidR="00381528" w:rsidRPr="00381528" w14:paraId="741FEDE9" w14:textId="77777777" w:rsidTr="00381528">
        <w:trPr>
          <w:cantSplit/>
          <w:trHeight w:val="326"/>
          <w:jc w:val="center"/>
        </w:trPr>
        <w:tc>
          <w:tcPr>
            <w:tcW w:w="1323" w:type="dxa"/>
            <w:noWrap/>
            <w:vAlign w:val="center"/>
          </w:tcPr>
          <w:p w14:paraId="2ED24FB9"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PV</w:t>
            </w:r>
          </w:p>
        </w:tc>
        <w:tc>
          <w:tcPr>
            <w:tcW w:w="7269" w:type="dxa"/>
            <w:vAlign w:val="center"/>
          </w:tcPr>
          <w:p w14:paraId="5549326A"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Photovoltaic</w:t>
            </w:r>
          </w:p>
        </w:tc>
      </w:tr>
      <w:tr w:rsidR="00381528" w:rsidRPr="00381528" w14:paraId="5B3BC7B0" w14:textId="77777777" w:rsidTr="00381528">
        <w:trPr>
          <w:cantSplit/>
          <w:trHeight w:val="326"/>
          <w:jc w:val="center"/>
        </w:trPr>
        <w:tc>
          <w:tcPr>
            <w:tcW w:w="1323" w:type="dxa"/>
            <w:noWrap/>
            <w:vAlign w:val="center"/>
          </w:tcPr>
          <w:p w14:paraId="07F708F2"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RE (T)</w:t>
            </w:r>
          </w:p>
        </w:tc>
        <w:tc>
          <w:tcPr>
            <w:tcW w:w="7269" w:type="dxa"/>
            <w:vAlign w:val="center"/>
          </w:tcPr>
          <w:p w14:paraId="2B1EE4C9"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Renewable Energy (Technology)</w:t>
            </w:r>
          </w:p>
        </w:tc>
      </w:tr>
      <w:tr w:rsidR="00381528" w:rsidRPr="00381528" w14:paraId="1C267DE9" w14:textId="77777777" w:rsidTr="00381528">
        <w:trPr>
          <w:cantSplit/>
          <w:trHeight w:val="326"/>
          <w:jc w:val="center"/>
        </w:trPr>
        <w:tc>
          <w:tcPr>
            <w:tcW w:w="1323" w:type="dxa"/>
            <w:noWrap/>
            <w:vAlign w:val="center"/>
          </w:tcPr>
          <w:p w14:paraId="1F688E85"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ROW</w:t>
            </w:r>
          </w:p>
        </w:tc>
        <w:tc>
          <w:tcPr>
            <w:tcW w:w="7269" w:type="dxa"/>
            <w:vAlign w:val="center"/>
          </w:tcPr>
          <w:p w14:paraId="09304728"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Right of Way</w:t>
            </w:r>
          </w:p>
        </w:tc>
      </w:tr>
      <w:tr w:rsidR="00381528" w:rsidRPr="00381528" w14:paraId="3CD0FF13" w14:textId="77777777" w:rsidTr="00381528">
        <w:trPr>
          <w:cantSplit/>
          <w:trHeight w:val="326"/>
          <w:jc w:val="center"/>
        </w:trPr>
        <w:tc>
          <w:tcPr>
            <w:tcW w:w="1323" w:type="dxa"/>
            <w:noWrap/>
            <w:vAlign w:val="center"/>
          </w:tcPr>
          <w:p w14:paraId="0BB905DA"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SCADA</w:t>
            </w:r>
          </w:p>
        </w:tc>
        <w:tc>
          <w:tcPr>
            <w:tcW w:w="7269" w:type="dxa"/>
            <w:vAlign w:val="center"/>
          </w:tcPr>
          <w:p w14:paraId="54222422"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Supervisory Control And Data Acquisition</w:t>
            </w:r>
          </w:p>
        </w:tc>
      </w:tr>
      <w:tr w:rsidR="00381528" w:rsidRPr="00381528" w14:paraId="0029DF4C" w14:textId="77777777" w:rsidTr="00381528">
        <w:trPr>
          <w:cantSplit/>
          <w:trHeight w:val="326"/>
          <w:jc w:val="center"/>
        </w:trPr>
        <w:tc>
          <w:tcPr>
            <w:tcW w:w="1323" w:type="dxa"/>
            <w:noWrap/>
            <w:vAlign w:val="center"/>
          </w:tcPr>
          <w:p w14:paraId="38D643C2"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S/S</w:t>
            </w:r>
          </w:p>
        </w:tc>
        <w:tc>
          <w:tcPr>
            <w:tcW w:w="7269" w:type="dxa"/>
            <w:vAlign w:val="center"/>
          </w:tcPr>
          <w:p w14:paraId="0EF24ABD"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Substation</w:t>
            </w:r>
          </w:p>
        </w:tc>
      </w:tr>
      <w:tr w:rsidR="00381528" w:rsidRPr="00381528" w14:paraId="080632BF" w14:textId="77777777" w:rsidTr="00381528">
        <w:trPr>
          <w:cantSplit/>
          <w:trHeight w:val="326"/>
          <w:jc w:val="center"/>
        </w:trPr>
        <w:tc>
          <w:tcPr>
            <w:tcW w:w="1323" w:type="dxa"/>
            <w:noWrap/>
            <w:vAlign w:val="center"/>
          </w:tcPr>
          <w:p w14:paraId="616827A5"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TL</w:t>
            </w:r>
          </w:p>
        </w:tc>
        <w:tc>
          <w:tcPr>
            <w:tcW w:w="7269" w:type="dxa"/>
            <w:vAlign w:val="center"/>
          </w:tcPr>
          <w:p w14:paraId="73C5D841"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Transmission Line</w:t>
            </w:r>
          </w:p>
        </w:tc>
      </w:tr>
      <w:tr w:rsidR="00381528" w:rsidRPr="00381528" w14:paraId="54EE8C4D" w14:textId="77777777" w:rsidTr="00381528">
        <w:trPr>
          <w:cantSplit/>
          <w:trHeight w:val="326"/>
          <w:jc w:val="center"/>
        </w:trPr>
        <w:tc>
          <w:tcPr>
            <w:tcW w:w="1323" w:type="dxa"/>
            <w:noWrap/>
            <w:vAlign w:val="center"/>
          </w:tcPr>
          <w:p w14:paraId="70D58A0C"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USR</w:t>
            </w:r>
          </w:p>
        </w:tc>
        <w:tc>
          <w:tcPr>
            <w:tcW w:w="7269" w:type="dxa"/>
            <w:vAlign w:val="center"/>
          </w:tcPr>
          <w:p w14:paraId="4B1DE532" w14:textId="77777777" w:rsidR="00381528" w:rsidRPr="00C93BF6" w:rsidRDefault="00381528" w:rsidP="00381528">
            <w:pPr>
              <w:keepNext/>
              <w:widowControl w:val="0"/>
              <w:spacing w:before="40" w:after="40"/>
              <w:ind w:left="40"/>
              <w:rPr>
                <w:rFonts w:eastAsia="MS Mincho"/>
                <w:sz w:val="22"/>
                <w:szCs w:val="22"/>
              </w:rPr>
            </w:pPr>
            <w:r w:rsidRPr="00C93BF6">
              <w:rPr>
                <w:rFonts w:eastAsia="MS Mincho"/>
                <w:sz w:val="22"/>
                <w:szCs w:val="22"/>
              </w:rPr>
              <w:t>Upper Suriname River-area</w:t>
            </w:r>
          </w:p>
        </w:tc>
      </w:tr>
    </w:tbl>
    <w:p w14:paraId="5E893758" w14:textId="77777777" w:rsidR="00EC45E8" w:rsidRDefault="00EC45E8" w:rsidP="00D10089">
      <w:pPr>
        <w:rPr>
          <w:sz w:val="22"/>
          <w:szCs w:val="22"/>
        </w:rPr>
      </w:pPr>
    </w:p>
    <w:p w14:paraId="511D0ED9" w14:textId="77777777" w:rsidR="00EC45E8" w:rsidRDefault="00EC45E8" w:rsidP="00D10089">
      <w:pPr>
        <w:rPr>
          <w:sz w:val="22"/>
          <w:szCs w:val="22"/>
        </w:rPr>
      </w:pPr>
    </w:p>
    <w:p w14:paraId="62CF798A" w14:textId="77777777" w:rsidR="00EC45E8" w:rsidRDefault="00EC45E8" w:rsidP="00D10089">
      <w:pPr>
        <w:rPr>
          <w:sz w:val="22"/>
          <w:szCs w:val="22"/>
        </w:rPr>
        <w:sectPr w:rsidR="00EC45E8" w:rsidSect="00381528">
          <w:headerReference w:type="default" r:id="rId10"/>
          <w:footerReference w:type="default" r:id="rId11"/>
          <w:pgSz w:w="12240" w:h="15840"/>
          <w:pgMar w:top="1440" w:right="1440" w:bottom="1440" w:left="1440" w:header="720" w:footer="720" w:gutter="0"/>
          <w:pgNumType w:start="1"/>
          <w:cols w:space="720"/>
          <w:docGrid w:linePitch="360"/>
        </w:sectPr>
      </w:pPr>
    </w:p>
    <w:p w14:paraId="4C7693C0" w14:textId="77777777" w:rsidR="00301336" w:rsidRPr="00300A41" w:rsidRDefault="00301336" w:rsidP="00381528">
      <w:pPr>
        <w:pStyle w:val="Chapter"/>
        <w:numPr>
          <w:ilvl w:val="0"/>
          <w:numId w:val="7"/>
        </w:numPr>
        <w:ind w:firstLine="0"/>
        <w:jc w:val="left"/>
        <w:rPr>
          <w:b w:val="0"/>
        </w:rPr>
      </w:pPr>
      <w:bookmarkStart w:id="0" w:name="_Toc401912136"/>
      <w:r w:rsidRPr="00300A41">
        <w:lastRenderedPageBreak/>
        <w:t>INTRODUCTION</w:t>
      </w:r>
      <w:bookmarkEnd w:id="0"/>
      <w:r w:rsidRPr="00300A41">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5688"/>
      </w:tblGrid>
      <w:tr w:rsidR="00301336" w:rsidRPr="00AA0CBF" w14:paraId="3CC860F9" w14:textId="77777777" w:rsidTr="004E02DD">
        <w:tc>
          <w:tcPr>
            <w:tcW w:w="3888" w:type="dxa"/>
            <w:shd w:val="clear" w:color="auto" w:fill="B8CCE4"/>
          </w:tcPr>
          <w:p w14:paraId="7DFA722D" w14:textId="77777777" w:rsidR="00301336" w:rsidRPr="00AA0CBF" w:rsidRDefault="00301336" w:rsidP="00C240B9">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right"/>
              <w:rPr>
                <w:sz w:val="24"/>
              </w:rPr>
            </w:pPr>
            <w:r w:rsidRPr="00AA0CBF">
              <w:rPr>
                <w:sz w:val="24"/>
              </w:rPr>
              <w:t>Country</w:t>
            </w:r>
          </w:p>
        </w:tc>
        <w:tc>
          <w:tcPr>
            <w:tcW w:w="5688" w:type="dxa"/>
            <w:shd w:val="clear" w:color="auto" w:fill="B8CCE4"/>
          </w:tcPr>
          <w:p w14:paraId="0BFB2508" w14:textId="77777777" w:rsidR="00301336" w:rsidRPr="00AA0CBF" w:rsidRDefault="00A522AB" w:rsidP="00C240B9">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sz w:val="24"/>
              </w:rPr>
            </w:pPr>
            <w:r>
              <w:rPr>
                <w:sz w:val="24"/>
              </w:rPr>
              <w:t>Suriname</w:t>
            </w:r>
          </w:p>
        </w:tc>
      </w:tr>
      <w:tr w:rsidR="00301336" w:rsidRPr="00AA0CBF" w14:paraId="4E499A8B" w14:textId="77777777" w:rsidTr="004E02DD">
        <w:tc>
          <w:tcPr>
            <w:tcW w:w="3888" w:type="dxa"/>
            <w:shd w:val="clear" w:color="auto" w:fill="B8CCE4"/>
          </w:tcPr>
          <w:p w14:paraId="6E3D0BB8" w14:textId="77777777" w:rsidR="00301336" w:rsidRPr="00AA0CBF" w:rsidRDefault="00301336" w:rsidP="00C240B9">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right"/>
              <w:rPr>
                <w:sz w:val="24"/>
              </w:rPr>
            </w:pPr>
            <w:r w:rsidRPr="00AA0CBF">
              <w:rPr>
                <w:sz w:val="24"/>
              </w:rPr>
              <w:t>Sector</w:t>
            </w:r>
          </w:p>
        </w:tc>
        <w:tc>
          <w:tcPr>
            <w:tcW w:w="5688" w:type="dxa"/>
            <w:shd w:val="clear" w:color="auto" w:fill="B8CCE4"/>
          </w:tcPr>
          <w:p w14:paraId="36F774D3" w14:textId="77777777" w:rsidR="00301336" w:rsidRPr="00AA0CBF" w:rsidRDefault="00A522AB" w:rsidP="00C240B9">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sz w:val="24"/>
              </w:rPr>
            </w:pPr>
            <w:r>
              <w:rPr>
                <w:sz w:val="24"/>
              </w:rPr>
              <w:t>INE/ENE</w:t>
            </w:r>
          </w:p>
        </w:tc>
      </w:tr>
      <w:tr w:rsidR="00301336" w:rsidRPr="00AA0CBF" w14:paraId="6DF994DD" w14:textId="77777777" w:rsidTr="004E02DD">
        <w:tc>
          <w:tcPr>
            <w:tcW w:w="3888" w:type="dxa"/>
            <w:shd w:val="clear" w:color="auto" w:fill="B8CCE4"/>
          </w:tcPr>
          <w:p w14:paraId="78BAA2CE" w14:textId="77777777" w:rsidR="00301336" w:rsidRPr="00AA0CBF" w:rsidRDefault="00301336" w:rsidP="00C240B9">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right"/>
              <w:rPr>
                <w:sz w:val="24"/>
              </w:rPr>
            </w:pPr>
            <w:r w:rsidRPr="00AA0CBF">
              <w:rPr>
                <w:sz w:val="24"/>
              </w:rPr>
              <w:t>Project Name</w:t>
            </w:r>
          </w:p>
        </w:tc>
        <w:tc>
          <w:tcPr>
            <w:tcW w:w="5688" w:type="dxa"/>
            <w:shd w:val="clear" w:color="auto" w:fill="B8CCE4"/>
          </w:tcPr>
          <w:p w14:paraId="2B04B0A6" w14:textId="77777777" w:rsidR="00301336" w:rsidRPr="00AA0CBF" w:rsidRDefault="0056754A" w:rsidP="00C240B9">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sz w:val="24"/>
              </w:rPr>
            </w:pPr>
            <w:r w:rsidRPr="0056754A">
              <w:rPr>
                <w:sz w:val="24"/>
              </w:rPr>
              <w:t>Support for the Implementation of the EBS Investment Plan</w:t>
            </w:r>
          </w:p>
        </w:tc>
      </w:tr>
      <w:tr w:rsidR="00301336" w:rsidRPr="00AA0CBF" w14:paraId="58D63C7A" w14:textId="77777777" w:rsidTr="004E02DD">
        <w:tc>
          <w:tcPr>
            <w:tcW w:w="3888" w:type="dxa"/>
            <w:shd w:val="clear" w:color="auto" w:fill="B8CCE4"/>
          </w:tcPr>
          <w:p w14:paraId="1AD0C3D8" w14:textId="77777777" w:rsidR="00301336" w:rsidRPr="00AA0CBF" w:rsidRDefault="00301336" w:rsidP="00C240B9">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right"/>
              <w:rPr>
                <w:sz w:val="24"/>
              </w:rPr>
            </w:pPr>
            <w:r w:rsidRPr="00AA0CBF">
              <w:rPr>
                <w:sz w:val="24"/>
              </w:rPr>
              <w:t>Borrower</w:t>
            </w:r>
            <w:r>
              <w:rPr>
                <w:sz w:val="24"/>
              </w:rPr>
              <w:t xml:space="preserve"> and / or Sponsor</w:t>
            </w:r>
          </w:p>
        </w:tc>
        <w:tc>
          <w:tcPr>
            <w:tcW w:w="5688" w:type="dxa"/>
            <w:shd w:val="clear" w:color="auto" w:fill="B8CCE4"/>
          </w:tcPr>
          <w:p w14:paraId="55F5FC20" w14:textId="77777777" w:rsidR="00301336" w:rsidRPr="00AA0CBF" w:rsidRDefault="00AB2377" w:rsidP="00C240B9">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sz w:val="24"/>
              </w:rPr>
            </w:pPr>
            <w:r w:rsidRPr="00AB2377">
              <w:rPr>
                <w:sz w:val="24"/>
              </w:rPr>
              <w:t>Republic of Suriname</w:t>
            </w:r>
          </w:p>
        </w:tc>
      </w:tr>
      <w:tr w:rsidR="00301336" w:rsidRPr="0011199E" w14:paraId="26E838BC" w14:textId="77777777" w:rsidTr="004E02DD">
        <w:tc>
          <w:tcPr>
            <w:tcW w:w="3888" w:type="dxa"/>
            <w:shd w:val="clear" w:color="auto" w:fill="B8CCE4"/>
          </w:tcPr>
          <w:p w14:paraId="2DDB00E5" w14:textId="77777777" w:rsidR="00301336" w:rsidRPr="00AA0CBF" w:rsidRDefault="00301336" w:rsidP="00C240B9">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right"/>
              <w:rPr>
                <w:sz w:val="24"/>
              </w:rPr>
            </w:pPr>
            <w:r w:rsidRPr="00AA0CBF">
              <w:rPr>
                <w:sz w:val="24"/>
              </w:rPr>
              <w:t>Executing Agency</w:t>
            </w:r>
            <w:r>
              <w:rPr>
                <w:sz w:val="24"/>
              </w:rPr>
              <w:t xml:space="preserve"> and / or Company</w:t>
            </w:r>
          </w:p>
        </w:tc>
        <w:tc>
          <w:tcPr>
            <w:tcW w:w="5688" w:type="dxa"/>
            <w:shd w:val="clear" w:color="auto" w:fill="B8CCE4"/>
          </w:tcPr>
          <w:p w14:paraId="45BE0C3C" w14:textId="019A92DB" w:rsidR="00301336" w:rsidRPr="004E02DD" w:rsidRDefault="00090481" w:rsidP="00C240B9">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sz w:val="24"/>
                <w:lang w:val="nl-NL"/>
              </w:rPr>
            </w:pPr>
            <w:r w:rsidRPr="004E02DD">
              <w:rPr>
                <w:i/>
                <w:sz w:val="24"/>
                <w:lang w:val="nl-NL"/>
              </w:rPr>
              <w:t xml:space="preserve">N.V. </w:t>
            </w:r>
            <w:r w:rsidR="00AB2377" w:rsidRPr="004E02DD">
              <w:rPr>
                <w:i/>
                <w:sz w:val="24"/>
                <w:lang w:val="nl-NL"/>
              </w:rPr>
              <w:t>Energiebedrijven</w:t>
            </w:r>
            <w:r w:rsidR="00AB2377" w:rsidRPr="004E02DD">
              <w:rPr>
                <w:sz w:val="24"/>
                <w:lang w:val="nl-NL"/>
              </w:rPr>
              <w:t xml:space="preserve"> Suriname (EBS)</w:t>
            </w:r>
          </w:p>
        </w:tc>
      </w:tr>
      <w:tr w:rsidR="00301336" w:rsidRPr="00AA0CBF" w14:paraId="14ABE393" w14:textId="77777777" w:rsidTr="004E02DD">
        <w:tc>
          <w:tcPr>
            <w:tcW w:w="3888" w:type="dxa"/>
            <w:shd w:val="clear" w:color="auto" w:fill="B8CCE4"/>
          </w:tcPr>
          <w:p w14:paraId="35D53D18" w14:textId="77777777" w:rsidR="00301336" w:rsidRPr="00AA0CBF" w:rsidRDefault="00301336" w:rsidP="00C240B9">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right"/>
              <w:rPr>
                <w:sz w:val="24"/>
              </w:rPr>
            </w:pPr>
            <w:r w:rsidRPr="00AA0CBF">
              <w:rPr>
                <w:sz w:val="24"/>
              </w:rPr>
              <w:t>Transaction Type</w:t>
            </w:r>
          </w:p>
        </w:tc>
        <w:tc>
          <w:tcPr>
            <w:tcW w:w="5688" w:type="dxa"/>
            <w:shd w:val="clear" w:color="auto" w:fill="B8CCE4"/>
          </w:tcPr>
          <w:p w14:paraId="50958F6B" w14:textId="77777777" w:rsidR="00301336" w:rsidRPr="00AA0CBF" w:rsidRDefault="00AB2377" w:rsidP="00C240B9">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sz w:val="24"/>
              </w:rPr>
            </w:pPr>
            <w:r>
              <w:rPr>
                <w:sz w:val="24"/>
              </w:rPr>
              <w:t>Specific Investment Operation</w:t>
            </w:r>
          </w:p>
        </w:tc>
      </w:tr>
      <w:tr w:rsidR="00301336" w:rsidRPr="00AA0CBF" w14:paraId="0BA68DAC" w14:textId="77777777" w:rsidTr="004E02DD">
        <w:tc>
          <w:tcPr>
            <w:tcW w:w="3888" w:type="dxa"/>
            <w:shd w:val="clear" w:color="auto" w:fill="B8CCE4"/>
          </w:tcPr>
          <w:p w14:paraId="214640DE" w14:textId="77777777" w:rsidR="00301336" w:rsidRPr="00AA0CBF" w:rsidRDefault="00301336" w:rsidP="00C240B9">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right"/>
              <w:rPr>
                <w:sz w:val="24"/>
              </w:rPr>
            </w:pPr>
            <w:r w:rsidRPr="00AA0CBF">
              <w:rPr>
                <w:sz w:val="24"/>
              </w:rPr>
              <w:t>Total Project Cost (in US Dollars)</w:t>
            </w:r>
          </w:p>
        </w:tc>
        <w:tc>
          <w:tcPr>
            <w:tcW w:w="5688" w:type="dxa"/>
            <w:shd w:val="clear" w:color="auto" w:fill="B8CCE4"/>
          </w:tcPr>
          <w:p w14:paraId="1F333C8C" w14:textId="33D8E4FD" w:rsidR="00301336" w:rsidRPr="00AA0CBF" w:rsidRDefault="00AB2377" w:rsidP="000F6CC8">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sz w:val="24"/>
              </w:rPr>
            </w:pPr>
            <w:r w:rsidRPr="00AB2377">
              <w:rPr>
                <w:sz w:val="24"/>
              </w:rPr>
              <w:t>US$</w:t>
            </w:r>
            <w:r w:rsidR="009577CD">
              <w:rPr>
                <w:sz w:val="24"/>
              </w:rPr>
              <w:t xml:space="preserve"> 3</w:t>
            </w:r>
            <w:r w:rsidR="000F6CC8">
              <w:rPr>
                <w:sz w:val="24"/>
              </w:rPr>
              <w:t>3</w:t>
            </w:r>
            <w:r w:rsidR="009577CD">
              <w:rPr>
                <w:sz w:val="24"/>
              </w:rPr>
              <w:t>,</w:t>
            </w:r>
            <w:r w:rsidR="000F6CC8">
              <w:rPr>
                <w:sz w:val="24"/>
              </w:rPr>
              <w:t>000</w:t>
            </w:r>
            <w:r w:rsidR="009577CD">
              <w:rPr>
                <w:sz w:val="24"/>
              </w:rPr>
              <w:t>,000</w:t>
            </w:r>
          </w:p>
        </w:tc>
      </w:tr>
      <w:tr w:rsidR="00301336" w:rsidRPr="00AA0CBF" w14:paraId="4FCBA398" w14:textId="77777777" w:rsidTr="004E02DD">
        <w:tc>
          <w:tcPr>
            <w:tcW w:w="3888" w:type="dxa"/>
            <w:shd w:val="clear" w:color="auto" w:fill="B8CCE4"/>
          </w:tcPr>
          <w:p w14:paraId="0F95A58D" w14:textId="77777777" w:rsidR="00301336" w:rsidRPr="00AA0CBF" w:rsidRDefault="00301336" w:rsidP="00C240B9">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right"/>
              <w:rPr>
                <w:sz w:val="24"/>
              </w:rPr>
            </w:pPr>
            <w:r w:rsidRPr="00AA0CBF">
              <w:rPr>
                <w:sz w:val="24"/>
              </w:rPr>
              <w:t>Environmental Category</w:t>
            </w:r>
          </w:p>
        </w:tc>
        <w:tc>
          <w:tcPr>
            <w:tcW w:w="5688" w:type="dxa"/>
            <w:shd w:val="clear" w:color="auto" w:fill="B8CCE4"/>
          </w:tcPr>
          <w:p w14:paraId="7AFCD02F" w14:textId="77777777" w:rsidR="00301336" w:rsidRPr="00AA0CBF" w:rsidRDefault="00AB2377" w:rsidP="00C240B9">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sz w:val="24"/>
              </w:rPr>
            </w:pPr>
            <w:r>
              <w:rPr>
                <w:sz w:val="24"/>
              </w:rPr>
              <w:t>B</w:t>
            </w:r>
          </w:p>
        </w:tc>
      </w:tr>
    </w:tbl>
    <w:p w14:paraId="524FD642" w14:textId="77777777" w:rsidR="00301336" w:rsidRDefault="00301336" w:rsidP="00301336">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b/>
          <w:sz w:val="24"/>
        </w:rPr>
      </w:pPr>
    </w:p>
    <w:p w14:paraId="109F5647" w14:textId="77777777" w:rsidR="00301336" w:rsidRPr="00381528" w:rsidRDefault="00301336" w:rsidP="00381528">
      <w:pPr>
        <w:pStyle w:val="Chapter"/>
        <w:numPr>
          <w:ilvl w:val="0"/>
          <w:numId w:val="7"/>
        </w:numPr>
        <w:ind w:firstLine="0"/>
        <w:jc w:val="left"/>
      </w:pPr>
      <w:bookmarkStart w:id="1" w:name="_Toc269284795"/>
      <w:bookmarkStart w:id="2" w:name="_Toc401912137"/>
      <w:r w:rsidRPr="00AB2AC0">
        <w:t>PROJECT DESCRIPTION</w:t>
      </w:r>
      <w:bookmarkEnd w:id="1"/>
      <w:bookmarkEnd w:id="2"/>
    </w:p>
    <w:p w14:paraId="45BD8B17" w14:textId="77777777" w:rsidR="00301336" w:rsidRDefault="00301336" w:rsidP="00301336">
      <w:pPr>
        <w:numPr>
          <w:ilvl w:val="0"/>
          <w:numId w:val="3"/>
        </w:numPr>
        <w:ind w:left="540" w:hanging="540"/>
        <w:rPr>
          <w:rFonts w:eastAsia="ヒラギノ角ゴ Pro W3"/>
          <w:b/>
          <w:sz w:val="24"/>
          <w:szCs w:val="24"/>
        </w:rPr>
      </w:pPr>
      <w:r w:rsidRPr="00300A41">
        <w:rPr>
          <w:rFonts w:eastAsia="ヒラギノ角ゴ Pro W3"/>
          <w:b/>
          <w:sz w:val="24"/>
          <w:szCs w:val="24"/>
        </w:rPr>
        <w:t xml:space="preserve">Key Project Infrastructure Components and Schedule </w:t>
      </w:r>
    </w:p>
    <w:p w14:paraId="138DB924" w14:textId="77777777" w:rsidR="008B716E" w:rsidRPr="00300A41" w:rsidRDefault="008B716E" w:rsidP="008B716E">
      <w:pPr>
        <w:ind w:left="540"/>
        <w:rPr>
          <w:rFonts w:eastAsia="ヒラギノ角ゴ Pro W3"/>
          <w:b/>
          <w:sz w:val="24"/>
          <w:szCs w:val="24"/>
        </w:rPr>
      </w:pPr>
    </w:p>
    <w:p w14:paraId="3F044E01" w14:textId="26D5C90D" w:rsidR="008B716E" w:rsidRPr="0047583C" w:rsidRDefault="008B716E" w:rsidP="000F6CC8">
      <w:pPr>
        <w:pStyle w:val="ListParagraph"/>
        <w:numPr>
          <w:ilvl w:val="1"/>
          <w:numId w:val="7"/>
        </w:numPr>
        <w:ind w:left="540" w:hanging="540"/>
        <w:jc w:val="both"/>
        <w:rPr>
          <w:b/>
          <w:bCs/>
          <w:sz w:val="24"/>
        </w:rPr>
      </w:pPr>
      <w:r w:rsidRPr="008B716E">
        <w:rPr>
          <w:sz w:val="24"/>
        </w:rPr>
        <w:t xml:space="preserve">The </w:t>
      </w:r>
      <w:r w:rsidR="0047583C" w:rsidRPr="0047583C">
        <w:rPr>
          <w:bCs/>
          <w:sz w:val="24"/>
        </w:rPr>
        <w:t xml:space="preserve">Support for the Implementation of the EBS Investment Plan </w:t>
      </w:r>
      <w:r w:rsidR="0047583C" w:rsidRPr="0047583C">
        <w:rPr>
          <w:sz w:val="24"/>
        </w:rPr>
        <w:t>Program</w:t>
      </w:r>
      <w:r w:rsidRPr="0047583C">
        <w:rPr>
          <w:sz w:val="24"/>
        </w:rPr>
        <w:t xml:space="preserve"> </w:t>
      </w:r>
      <w:r w:rsidR="0047583C">
        <w:rPr>
          <w:sz w:val="24"/>
        </w:rPr>
        <w:t xml:space="preserve">(“Program”) </w:t>
      </w:r>
      <w:r w:rsidR="00CA05B6" w:rsidRPr="0047583C">
        <w:rPr>
          <w:sz w:val="24"/>
        </w:rPr>
        <w:t xml:space="preserve">will </w:t>
      </w:r>
      <w:r w:rsidR="0047583C" w:rsidRPr="0047583C">
        <w:rPr>
          <w:sz w:val="24"/>
        </w:rPr>
        <w:t>consist of</w:t>
      </w:r>
      <w:r w:rsidR="00CA05B6" w:rsidRPr="0047583C">
        <w:rPr>
          <w:sz w:val="24"/>
        </w:rPr>
        <w:t xml:space="preserve"> t</w:t>
      </w:r>
      <w:r w:rsidR="006577B2">
        <w:rPr>
          <w:sz w:val="24"/>
        </w:rPr>
        <w:t>wo</w:t>
      </w:r>
      <w:r w:rsidR="00CA05B6" w:rsidRPr="0047583C">
        <w:rPr>
          <w:sz w:val="24"/>
        </w:rPr>
        <w:t xml:space="preserve"> (</w:t>
      </w:r>
      <w:r w:rsidR="006577B2">
        <w:rPr>
          <w:sz w:val="24"/>
        </w:rPr>
        <w:t>2</w:t>
      </w:r>
      <w:r w:rsidR="00CA05B6" w:rsidRPr="0047583C">
        <w:rPr>
          <w:sz w:val="24"/>
        </w:rPr>
        <w:t>) components</w:t>
      </w:r>
      <w:r w:rsidRPr="0047583C">
        <w:rPr>
          <w:sz w:val="24"/>
        </w:rPr>
        <w:t>. The first will be dedicated to institutional and operational strengthening of EBS</w:t>
      </w:r>
      <w:r w:rsidR="002A488A" w:rsidRPr="0047583C">
        <w:rPr>
          <w:sz w:val="24"/>
        </w:rPr>
        <w:t xml:space="preserve">, </w:t>
      </w:r>
      <w:r w:rsidR="002A488A" w:rsidRPr="0047583C">
        <w:rPr>
          <w:sz w:val="22"/>
          <w:szCs w:val="22"/>
        </w:rPr>
        <w:t xml:space="preserve">National </w:t>
      </w:r>
      <w:r w:rsidR="00090481">
        <w:rPr>
          <w:sz w:val="22"/>
          <w:szCs w:val="22"/>
        </w:rPr>
        <w:t xml:space="preserve">Energy </w:t>
      </w:r>
      <w:r w:rsidR="002A488A" w:rsidRPr="0047583C">
        <w:rPr>
          <w:sz w:val="22"/>
          <w:szCs w:val="22"/>
        </w:rPr>
        <w:t>Company,</w:t>
      </w:r>
      <w:r w:rsidRPr="0047583C">
        <w:rPr>
          <w:sz w:val="24"/>
        </w:rPr>
        <w:t xml:space="preserve"> the </w:t>
      </w:r>
      <w:r w:rsidR="006577B2">
        <w:rPr>
          <w:sz w:val="24"/>
        </w:rPr>
        <w:t xml:space="preserve">second </w:t>
      </w:r>
      <w:r w:rsidRPr="0047583C">
        <w:rPr>
          <w:sz w:val="24"/>
        </w:rPr>
        <w:t xml:space="preserve">will cover the implementation of critical infrastructure as explained below.   </w:t>
      </w:r>
    </w:p>
    <w:p w14:paraId="2331517C" w14:textId="77777777" w:rsidR="008B716E" w:rsidRDefault="008B716E" w:rsidP="008B716E">
      <w:pPr>
        <w:pStyle w:val="ListParagraph"/>
        <w:ind w:left="540" w:hanging="540"/>
        <w:rPr>
          <w:sz w:val="24"/>
        </w:rPr>
      </w:pPr>
    </w:p>
    <w:p w14:paraId="193C4056" w14:textId="7867A431" w:rsidR="003206F2" w:rsidRPr="000F6CC8" w:rsidRDefault="006577B2" w:rsidP="000F6CC8">
      <w:pPr>
        <w:pStyle w:val="ListParagraph"/>
        <w:numPr>
          <w:ilvl w:val="1"/>
          <w:numId w:val="7"/>
        </w:numPr>
        <w:ind w:left="540" w:hanging="540"/>
        <w:jc w:val="both"/>
        <w:rPr>
          <w:sz w:val="24"/>
          <w:szCs w:val="24"/>
        </w:rPr>
      </w:pPr>
      <w:r w:rsidRPr="00B30E74">
        <w:rPr>
          <w:b/>
          <w:sz w:val="24"/>
          <w:szCs w:val="24"/>
          <w:lang w:val="en-GB"/>
        </w:rPr>
        <w:t>Component I</w:t>
      </w:r>
      <w:r w:rsidRPr="00B30E74">
        <w:rPr>
          <w:sz w:val="24"/>
          <w:szCs w:val="24"/>
          <w:lang w:val="en-GB"/>
        </w:rPr>
        <w:t xml:space="preserve">. Improvement of EBS’s Operations (US$12,853,000). Component I will support EBS’s institutional and operational strengthening by: (i) implementing a Distribution/Outage Management System (DMS/OMS) and training activities; (ii) financing the implementation of an Enterprise Resource Planning (ERP) platform and training activities; (iii) assisting EBS during the transition to the new unbundled corporate model; and (iv) implementing a program to promote RE and EE. </w:t>
      </w:r>
    </w:p>
    <w:p w14:paraId="3B12F299" w14:textId="77777777" w:rsidR="000F6CC8" w:rsidRPr="00545D83" w:rsidRDefault="000F6CC8" w:rsidP="000F6CC8">
      <w:pPr>
        <w:pStyle w:val="ListParagraph"/>
        <w:ind w:left="540"/>
        <w:jc w:val="both"/>
        <w:rPr>
          <w:sz w:val="24"/>
          <w:szCs w:val="24"/>
        </w:rPr>
      </w:pPr>
    </w:p>
    <w:p w14:paraId="15AD9098" w14:textId="134C0C83" w:rsidR="006577B2" w:rsidRPr="00545D83" w:rsidRDefault="006577B2" w:rsidP="000F6CC8">
      <w:pPr>
        <w:pStyle w:val="ListParagraph"/>
        <w:numPr>
          <w:ilvl w:val="1"/>
          <w:numId w:val="7"/>
        </w:numPr>
        <w:ind w:left="540" w:hanging="540"/>
        <w:jc w:val="both"/>
        <w:rPr>
          <w:sz w:val="24"/>
          <w:szCs w:val="24"/>
        </w:rPr>
      </w:pPr>
      <w:r w:rsidRPr="00545D83">
        <w:rPr>
          <w:b/>
          <w:sz w:val="24"/>
          <w:szCs w:val="24"/>
          <w:lang w:val="en-GB"/>
        </w:rPr>
        <w:t>Component II</w:t>
      </w:r>
      <w:r w:rsidRPr="00545D83">
        <w:rPr>
          <w:sz w:val="24"/>
          <w:szCs w:val="24"/>
          <w:lang w:val="en-GB"/>
        </w:rPr>
        <w:t xml:space="preserve">. Critical Infrastructure (US$18,000,000). Component II will contribute to the upgrade and retrofitting of the National Power System’s critical infrastructure, with aim of improving the reliability of the EPAR sub-system. Activities to be financed include: (i) upgrade of two existing S/S in the EPAR network (J and F); and (ii) construction of a new S/S in the EPAR network (Boma). S/S J is one of the main providers of energy to the central zone of Paramaribo. With the current expansion in generation and transmission, its design ratings will be exceeded. The upgrade will consist of: (i) the renovation of the existing building; (ii) the </w:t>
      </w:r>
      <w:r w:rsidR="004E02DD">
        <w:rPr>
          <w:sz w:val="24"/>
          <w:szCs w:val="24"/>
          <w:lang w:val="en-GB"/>
        </w:rPr>
        <w:t>replacement of switchgears</w:t>
      </w:r>
      <w:r w:rsidRPr="00545D83">
        <w:rPr>
          <w:sz w:val="24"/>
          <w:szCs w:val="24"/>
          <w:lang w:val="en-GB"/>
        </w:rPr>
        <w:t xml:space="preserve"> to facilitate the dispatch of </w:t>
      </w:r>
      <w:r w:rsidR="004E02DD">
        <w:rPr>
          <w:sz w:val="24"/>
          <w:szCs w:val="24"/>
          <w:lang w:val="en-GB"/>
        </w:rPr>
        <w:t xml:space="preserve">EBS’s generation from </w:t>
      </w:r>
      <w:r w:rsidRPr="00545D83">
        <w:rPr>
          <w:sz w:val="24"/>
          <w:szCs w:val="24"/>
          <w:lang w:val="en-GB"/>
        </w:rPr>
        <w:t>D</w:t>
      </w:r>
      <w:r w:rsidR="004E02DD">
        <w:rPr>
          <w:sz w:val="24"/>
          <w:szCs w:val="24"/>
          <w:lang w:val="en-GB"/>
        </w:rPr>
        <w:t>P</w:t>
      </w:r>
      <w:r w:rsidRPr="00545D83">
        <w:rPr>
          <w:sz w:val="24"/>
          <w:szCs w:val="24"/>
          <w:lang w:val="en-GB"/>
        </w:rPr>
        <w:t>P2; (iii) the replacement of protections and accessories; and (</w:t>
      </w:r>
      <w:r w:rsidR="004E02DD">
        <w:rPr>
          <w:sz w:val="24"/>
          <w:szCs w:val="24"/>
          <w:lang w:val="en-GB"/>
        </w:rPr>
        <w:t>i</w:t>
      </w:r>
      <w:r w:rsidRPr="00545D83">
        <w:rPr>
          <w:sz w:val="24"/>
          <w:szCs w:val="24"/>
          <w:lang w:val="en-GB"/>
        </w:rPr>
        <w:t>v) the incorporation into the SCADA system.  S/S F is an open air substation located in Para</w:t>
      </w:r>
      <w:r w:rsidR="004E02DD">
        <w:rPr>
          <w:sz w:val="24"/>
          <w:szCs w:val="24"/>
          <w:lang w:val="en-GB"/>
        </w:rPr>
        <w:t xml:space="preserve"> district</w:t>
      </w:r>
      <w:r w:rsidRPr="00545D83">
        <w:rPr>
          <w:sz w:val="24"/>
          <w:szCs w:val="24"/>
          <w:lang w:val="en-GB"/>
        </w:rPr>
        <w:t xml:space="preserve">. The substation needs to be upgraded to improve the reliability and to facilitate the connection of future customers. The retrofit will mainly include: (i) construction of the substation building; (ii) installation of a 25-MVA transformer; (iii) installation of switchgears; and (iv) integration into the SCADA system. The new S/S Boma will improve the quality and reliability of the electricity supply in the </w:t>
      </w:r>
      <w:r w:rsidR="00090481">
        <w:rPr>
          <w:sz w:val="24"/>
          <w:szCs w:val="24"/>
          <w:lang w:val="en-GB"/>
        </w:rPr>
        <w:t xml:space="preserve">Santo </w:t>
      </w:r>
      <w:r w:rsidRPr="00545D83">
        <w:rPr>
          <w:sz w:val="24"/>
          <w:szCs w:val="24"/>
          <w:lang w:val="en-GB"/>
        </w:rPr>
        <w:t xml:space="preserve">Boma area, and allow for the connection of new customers. The activities include: (i) construction of S/S Boma and provision of equipment; (ii) construction of a new 33-kV line to connect the new S/S to the </w:t>
      </w:r>
      <w:r w:rsidRPr="00545D83">
        <w:rPr>
          <w:sz w:val="24"/>
          <w:szCs w:val="24"/>
          <w:lang w:val="en-GB"/>
        </w:rPr>
        <w:lastRenderedPageBreak/>
        <w:t>existing S/S HL; (iii) construction of a new 33-kV line to connect the new S/S to the existing S/S E; and (iv) the upgrade of the existing S/S E.</w:t>
      </w:r>
    </w:p>
    <w:p w14:paraId="54359AE7" w14:textId="77777777" w:rsidR="002E3B3A" w:rsidRPr="002E3B3A" w:rsidRDefault="002E3B3A" w:rsidP="00545D83">
      <w:pPr>
        <w:pStyle w:val="ListParagraph"/>
      </w:pPr>
    </w:p>
    <w:p w14:paraId="20976998" w14:textId="6788BEDA" w:rsidR="008938A2" w:rsidRPr="008938A2" w:rsidRDefault="008938A2" w:rsidP="00CA5083">
      <w:pPr>
        <w:pStyle w:val="Paragraph"/>
        <w:keepNext/>
        <w:numPr>
          <w:ilvl w:val="0"/>
          <w:numId w:val="0"/>
        </w:numPr>
        <w:pBdr>
          <w:top w:val="none" w:sz="0" w:space="0" w:color="auto"/>
          <w:left w:val="none" w:sz="0" w:space="0" w:color="auto"/>
          <w:bottom w:val="none" w:sz="0" w:space="0" w:color="auto"/>
          <w:right w:val="none" w:sz="0" w:space="0" w:color="auto"/>
        </w:pBdr>
        <w:shd w:val="clear" w:color="auto" w:fill="auto"/>
        <w:spacing w:before="0"/>
        <w:ind w:left="540"/>
        <w:jc w:val="center"/>
        <w:rPr>
          <w:b/>
          <w:i/>
        </w:rPr>
      </w:pPr>
      <w:bookmarkStart w:id="3" w:name="OLE_LINK16"/>
      <w:bookmarkStart w:id="4" w:name="OLE_LINK17"/>
      <w:r w:rsidRPr="008938A2">
        <w:rPr>
          <w:b/>
        </w:rPr>
        <w:t>Table 1</w:t>
      </w:r>
      <w:r w:rsidR="00C6219C">
        <w:rPr>
          <w:b/>
        </w:rPr>
        <w:t>.</w:t>
      </w:r>
      <w:r w:rsidRPr="008938A2">
        <w:rPr>
          <w:b/>
        </w:rPr>
        <w:t xml:space="preserve"> </w:t>
      </w:r>
      <w:r w:rsidR="0042296E">
        <w:rPr>
          <w:b/>
        </w:rPr>
        <w:t>General Setting of Activities under</w:t>
      </w:r>
      <w:r w:rsidR="007C1E0F">
        <w:rPr>
          <w:b/>
        </w:rPr>
        <w:t xml:space="preserve"> Component </w:t>
      </w:r>
      <w:r w:rsidR="00661D69">
        <w:rPr>
          <w:b/>
        </w:rPr>
        <w:t>II</w:t>
      </w:r>
    </w:p>
    <w:tbl>
      <w:tblPr>
        <w:tblStyle w:val="TableGrid"/>
        <w:tblW w:w="0" w:type="auto"/>
        <w:jc w:val="center"/>
        <w:tblInd w:w="540" w:type="dxa"/>
        <w:tblLook w:val="04A0" w:firstRow="1" w:lastRow="0" w:firstColumn="1" w:lastColumn="0" w:noHBand="0" w:noVBand="1"/>
      </w:tblPr>
      <w:tblGrid>
        <w:gridCol w:w="1638"/>
        <w:gridCol w:w="7398"/>
      </w:tblGrid>
      <w:tr w:rsidR="00741AC0" w:rsidRPr="008938A2" w14:paraId="4488FA1E" w14:textId="77777777" w:rsidTr="008938A2">
        <w:trPr>
          <w:trHeight w:val="1727"/>
          <w:jc w:val="center"/>
        </w:trPr>
        <w:tc>
          <w:tcPr>
            <w:tcW w:w="1638" w:type="dxa"/>
            <w:vAlign w:val="center"/>
          </w:tcPr>
          <w:p w14:paraId="6BBABD83" w14:textId="77777777" w:rsidR="00741AC0" w:rsidRPr="00462B1A" w:rsidRDefault="00AE4D93" w:rsidP="002E3B3A">
            <w:pPr>
              <w:keepNext/>
              <w:spacing w:after="200" w:line="276" w:lineRule="auto"/>
              <w:jc w:val="center"/>
              <w:rPr>
                <w:rFonts w:eastAsia="Calibri"/>
                <w:sz w:val="24"/>
                <w:szCs w:val="24"/>
              </w:rPr>
            </w:pPr>
            <w:r w:rsidRPr="00265EF2">
              <w:rPr>
                <w:rFonts w:eastAsia="Calibri"/>
                <w:sz w:val="24"/>
                <w:szCs w:val="24"/>
              </w:rPr>
              <w:t xml:space="preserve">Substation </w:t>
            </w:r>
            <w:r w:rsidR="00741AC0" w:rsidRPr="00462B1A">
              <w:rPr>
                <w:rFonts w:eastAsia="Calibri"/>
                <w:sz w:val="24"/>
                <w:szCs w:val="24"/>
              </w:rPr>
              <w:t xml:space="preserve"> J</w:t>
            </w:r>
          </w:p>
        </w:tc>
        <w:tc>
          <w:tcPr>
            <w:tcW w:w="7398" w:type="dxa"/>
          </w:tcPr>
          <w:p w14:paraId="76054DDC" w14:textId="420A9E3E" w:rsidR="00741AC0" w:rsidRPr="00545D83" w:rsidRDefault="008A114B" w:rsidP="004E02DD">
            <w:pPr>
              <w:pStyle w:val="Paragraph"/>
              <w:keepNext/>
              <w:numPr>
                <w:ilvl w:val="0"/>
                <w:numId w:val="0"/>
              </w:numPr>
              <w:pBdr>
                <w:top w:val="none" w:sz="0" w:space="0" w:color="auto"/>
                <w:left w:val="none" w:sz="0" w:space="0" w:color="auto"/>
                <w:bottom w:val="none" w:sz="0" w:space="0" w:color="auto"/>
                <w:right w:val="none" w:sz="0" w:space="0" w:color="auto"/>
              </w:pBdr>
              <w:shd w:val="clear" w:color="auto" w:fill="auto"/>
              <w:rPr>
                <w:i/>
                <w:szCs w:val="24"/>
              </w:rPr>
            </w:pPr>
            <w:r w:rsidRPr="00545D83">
              <w:rPr>
                <w:rFonts w:eastAsia="Calibri"/>
                <w:szCs w:val="24"/>
              </w:rPr>
              <w:t>This substation is the m</w:t>
            </w:r>
            <w:r w:rsidR="00AE4D93" w:rsidRPr="00545D83">
              <w:rPr>
                <w:rFonts w:eastAsia="Calibri"/>
                <w:szCs w:val="24"/>
              </w:rPr>
              <w:t xml:space="preserve">ain provider of energy to the central zone of Paramaribo. With the current expansion in generation and transmission, its design ratings will be exceeded. The upgrade will consist of: (i) the renovation of the existing building; (ii) the </w:t>
            </w:r>
            <w:r w:rsidR="004E02DD">
              <w:rPr>
                <w:rFonts w:eastAsia="Calibri"/>
                <w:szCs w:val="24"/>
              </w:rPr>
              <w:t xml:space="preserve">replacement of switchgears </w:t>
            </w:r>
            <w:r w:rsidR="00AE4D93" w:rsidRPr="00545D83">
              <w:rPr>
                <w:rFonts w:eastAsia="Calibri"/>
                <w:szCs w:val="24"/>
              </w:rPr>
              <w:t xml:space="preserve">to facilitate the dispatch of </w:t>
            </w:r>
            <w:r w:rsidR="004E02DD">
              <w:rPr>
                <w:rFonts w:eastAsia="Calibri"/>
                <w:szCs w:val="24"/>
              </w:rPr>
              <w:t xml:space="preserve">EBS’s generation from </w:t>
            </w:r>
            <w:r w:rsidR="00AE4D93" w:rsidRPr="00545D83">
              <w:rPr>
                <w:rFonts w:eastAsia="Calibri"/>
                <w:szCs w:val="24"/>
              </w:rPr>
              <w:t>D</w:t>
            </w:r>
            <w:r w:rsidR="004E02DD">
              <w:rPr>
                <w:rFonts w:eastAsia="Calibri"/>
                <w:szCs w:val="24"/>
              </w:rPr>
              <w:t>P</w:t>
            </w:r>
            <w:r w:rsidR="00AE4D93" w:rsidRPr="00545D83">
              <w:rPr>
                <w:rFonts w:eastAsia="Calibri"/>
                <w:szCs w:val="24"/>
              </w:rPr>
              <w:t>P2; (iii) the replacement of protections and accessories; and (</w:t>
            </w:r>
            <w:r w:rsidR="004E02DD">
              <w:rPr>
                <w:rFonts w:eastAsia="Calibri"/>
                <w:szCs w:val="24"/>
              </w:rPr>
              <w:t>i</w:t>
            </w:r>
            <w:r w:rsidR="00AE4D93" w:rsidRPr="00545D83">
              <w:rPr>
                <w:rFonts w:eastAsia="Calibri"/>
                <w:szCs w:val="24"/>
              </w:rPr>
              <w:t>v) the incorporation into the SCADA system.</w:t>
            </w:r>
          </w:p>
        </w:tc>
      </w:tr>
      <w:tr w:rsidR="00741AC0" w:rsidRPr="008938A2" w14:paraId="60A6F372" w14:textId="77777777" w:rsidTr="008938A2">
        <w:trPr>
          <w:jc w:val="center"/>
        </w:trPr>
        <w:tc>
          <w:tcPr>
            <w:tcW w:w="1638" w:type="dxa"/>
            <w:vAlign w:val="center"/>
          </w:tcPr>
          <w:p w14:paraId="55F01ADA" w14:textId="2CF409AA" w:rsidR="00741AC0" w:rsidRPr="00265EF2" w:rsidRDefault="00AE4D93" w:rsidP="00462B1A">
            <w:pPr>
              <w:spacing w:after="200" w:line="276" w:lineRule="auto"/>
              <w:jc w:val="center"/>
              <w:rPr>
                <w:rFonts w:eastAsia="Calibri"/>
                <w:sz w:val="24"/>
                <w:szCs w:val="24"/>
              </w:rPr>
            </w:pPr>
            <w:r w:rsidRPr="00265EF2">
              <w:rPr>
                <w:rFonts w:eastAsia="Calibri"/>
                <w:sz w:val="24"/>
                <w:szCs w:val="24"/>
              </w:rPr>
              <w:t>Substa</w:t>
            </w:r>
            <w:r w:rsidRPr="00462B1A">
              <w:rPr>
                <w:rFonts w:eastAsia="Calibri"/>
                <w:sz w:val="24"/>
                <w:szCs w:val="24"/>
              </w:rPr>
              <w:t>tion  F</w:t>
            </w:r>
            <w:r w:rsidR="00EA0776" w:rsidRPr="00462B1A">
              <w:rPr>
                <w:rFonts w:eastAsia="Calibri"/>
                <w:sz w:val="24"/>
                <w:szCs w:val="24"/>
              </w:rPr>
              <w:t xml:space="preserve"> (La Vigilantia)</w:t>
            </w:r>
          </w:p>
        </w:tc>
        <w:tc>
          <w:tcPr>
            <w:tcW w:w="7398" w:type="dxa"/>
          </w:tcPr>
          <w:p w14:paraId="774301BF" w14:textId="2C658079" w:rsidR="00741AC0" w:rsidRPr="00462B1A" w:rsidRDefault="00AE4D93" w:rsidP="004E02DD">
            <w:pPr>
              <w:pStyle w:val="Paragraph"/>
              <w:numPr>
                <w:ilvl w:val="0"/>
                <w:numId w:val="0"/>
              </w:numPr>
              <w:pBdr>
                <w:top w:val="none" w:sz="0" w:space="0" w:color="auto"/>
                <w:left w:val="none" w:sz="0" w:space="0" w:color="auto"/>
                <w:bottom w:val="none" w:sz="0" w:space="0" w:color="auto"/>
                <w:right w:val="none" w:sz="0" w:space="0" w:color="auto"/>
              </w:pBdr>
              <w:shd w:val="clear" w:color="auto" w:fill="auto"/>
              <w:rPr>
                <w:i/>
                <w:szCs w:val="24"/>
              </w:rPr>
            </w:pPr>
            <w:r w:rsidRPr="00462B1A">
              <w:rPr>
                <w:rFonts w:eastAsia="Calibri"/>
                <w:szCs w:val="24"/>
              </w:rPr>
              <w:t>Open air substation located in Para</w:t>
            </w:r>
            <w:r w:rsidR="004E02DD">
              <w:rPr>
                <w:rFonts w:eastAsia="Calibri"/>
                <w:szCs w:val="24"/>
              </w:rPr>
              <w:t xml:space="preserve"> district</w:t>
            </w:r>
            <w:r w:rsidRPr="00462B1A">
              <w:rPr>
                <w:rFonts w:eastAsia="Calibri"/>
                <w:szCs w:val="24"/>
              </w:rPr>
              <w:t>. The substation needs to be upgraded in order to improve the reliability and to facilitate the connection of future customers. The retrofit will mainly include: (i) construction of the substation building; (ii) installation of a 25-MVA transformer; (iii) installation of switchgears; and (iv) integration into the SCADA system.</w:t>
            </w:r>
          </w:p>
        </w:tc>
      </w:tr>
      <w:tr w:rsidR="006947EE" w:rsidRPr="008938A2" w14:paraId="4F2353B4" w14:textId="77777777" w:rsidTr="008938A2">
        <w:trPr>
          <w:jc w:val="center"/>
        </w:trPr>
        <w:tc>
          <w:tcPr>
            <w:tcW w:w="1638" w:type="dxa"/>
            <w:vAlign w:val="center"/>
          </w:tcPr>
          <w:p w14:paraId="7FD64E60" w14:textId="77777777" w:rsidR="006947EE" w:rsidRPr="00462B1A" w:rsidRDefault="006947EE" w:rsidP="006947EE">
            <w:pPr>
              <w:pStyle w:val="Paragraph"/>
              <w:numPr>
                <w:ilvl w:val="0"/>
                <w:numId w:val="0"/>
              </w:numPr>
              <w:pBdr>
                <w:top w:val="none" w:sz="0" w:space="0" w:color="auto"/>
                <w:left w:val="none" w:sz="0" w:space="0" w:color="auto"/>
                <w:bottom w:val="none" w:sz="0" w:space="0" w:color="auto"/>
                <w:right w:val="none" w:sz="0" w:space="0" w:color="auto"/>
              </w:pBdr>
              <w:shd w:val="clear" w:color="auto" w:fill="auto"/>
              <w:jc w:val="center"/>
              <w:rPr>
                <w:rFonts w:eastAsia="Calibri"/>
                <w:i/>
                <w:szCs w:val="24"/>
              </w:rPr>
            </w:pPr>
            <w:r w:rsidRPr="00265EF2">
              <w:rPr>
                <w:rFonts w:eastAsia="Calibri"/>
                <w:szCs w:val="24"/>
              </w:rPr>
              <w:t>Boma</w:t>
            </w:r>
          </w:p>
        </w:tc>
        <w:tc>
          <w:tcPr>
            <w:tcW w:w="7398" w:type="dxa"/>
          </w:tcPr>
          <w:p w14:paraId="5B89C3A4" w14:textId="1B9D89D6" w:rsidR="006947EE" w:rsidRPr="00462B1A" w:rsidRDefault="00C5615C" w:rsidP="00CA5083">
            <w:pPr>
              <w:spacing w:after="200"/>
              <w:jc w:val="both"/>
              <w:rPr>
                <w:rFonts w:eastAsia="Calibri"/>
                <w:sz w:val="24"/>
                <w:szCs w:val="24"/>
              </w:rPr>
            </w:pPr>
            <w:r w:rsidRPr="00462B1A">
              <w:rPr>
                <w:rFonts w:eastAsia="Calibri"/>
                <w:sz w:val="24"/>
                <w:szCs w:val="24"/>
              </w:rPr>
              <w:t xml:space="preserve">For the new substation at </w:t>
            </w:r>
            <w:r w:rsidR="00090481">
              <w:rPr>
                <w:rFonts w:eastAsia="Calibri"/>
                <w:sz w:val="24"/>
                <w:szCs w:val="24"/>
              </w:rPr>
              <w:t xml:space="preserve">Santo </w:t>
            </w:r>
            <w:r w:rsidRPr="00462B1A">
              <w:rPr>
                <w:rFonts w:eastAsia="Calibri"/>
                <w:sz w:val="24"/>
                <w:szCs w:val="24"/>
              </w:rPr>
              <w:t xml:space="preserve">Boma, the land is not yet owned by EBS. Currently, the Ministry of Natural Resources on behalf of EBS is in the process of acquiring the title to the land for the new Boma substation.  The land is observed to be approximately one half acre (exact size TBD) of former agricultural land in </w:t>
            </w:r>
            <w:r w:rsidR="00090481">
              <w:rPr>
                <w:rFonts w:eastAsia="Calibri"/>
                <w:sz w:val="24"/>
                <w:szCs w:val="24"/>
              </w:rPr>
              <w:t xml:space="preserve">Santo </w:t>
            </w:r>
            <w:r w:rsidRPr="00462B1A">
              <w:rPr>
                <w:rFonts w:eastAsia="Calibri"/>
                <w:sz w:val="24"/>
                <w:szCs w:val="24"/>
              </w:rPr>
              <w:t>Boma community in the District of Wanica located by the roadside that is growing back to bush and that does not appear to have been cultivated or used as pasture for one or two years.</w:t>
            </w:r>
          </w:p>
        </w:tc>
      </w:tr>
    </w:tbl>
    <w:p w14:paraId="194EF42A" w14:textId="77777777" w:rsidR="007C359C" w:rsidRPr="0042296E" w:rsidRDefault="0095308A" w:rsidP="0003121F">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rsidRPr="0042296E">
        <w:t>The schedule for implementation of work</w:t>
      </w:r>
      <w:bookmarkEnd w:id="3"/>
      <w:bookmarkEnd w:id="4"/>
      <w:r w:rsidR="00260F1A" w:rsidRPr="0042296E">
        <w:t xml:space="preserve">s </w:t>
      </w:r>
      <w:r w:rsidR="0027687E">
        <w:t xml:space="preserve">can be accessed here: </w:t>
      </w:r>
      <w:hyperlink r:id="rId12" w:history="1">
        <w:r w:rsidR="0027687E" w:rsidRPr="0027687E">
          <w:rPr>
            <w:rStyle w:val="Hyperlink"/>
          </w:rPr>
          <w:t>Pluriannual Execution Plan</w:t>
        </w:r>
      </w:hyperlink>
      <w:r w:rsidR="007C359C" w:rsidRPr="0042296E">
        <w:t xml:space="preserve">.  </w:t>
      </w:r>
    </w:p>
    <w:p w14:paraId="04F9A596" w14:textId="77777777" w:rsidR="00301336" w:rsidRPr="00300A41" w:rsidRDefault="00301336" w:rsidP="0027687E">
      <w:pPr>
        <w:numPr>
          <w:ilvl w:val="0"/>
          <w:numId w:val="3"/>
        </w:numPr>
        <w:spacing w:before="240"/>
        <w:ind w:left="540" w:hanging="540"/>
        <w:rPr>
          <w:rFonts w:eastAsia="ヒラギノ角ゴ Pro W3"/>
          <w:b/>
          <w:sz w:val="24"/>
          <w:szCs w:val="24"/>
        </w:rPr>
      </w:pPr>
      <w:r w:rsidRPr="00300A41">
        <w:rPr>
          <w:rFonts w:eastAsia="ヒラギノ角ゴ Pro W3"/>
          <w:b/>
          <w:sz w:val="24"/>
          <w:szCs w:val="24"/>
        </w:rPr>
        <w:t>Environmental and Social Setting</w:t>
      </w:r>
    </w:p>
    <w:p w14:paraId="7852130D" w14:textId="7D26AA4A" w:rsidR="0042296E" w:rsidRDefault="0042296E" w:rsidP="00F44BA0">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t xml:space="preserve">Therefore, this ESMR is prepared based on the information included in the </w:t>
      </w:r>
      <w:hyperlink r:id="rId13" w:history="1">
        <w:r w:rsidRPr="00ED1383">
          <w:rPr>
            <w:rStyle w:val="Hyperlink"/>
          </w:rPr>
          <w:t>E</w:t>
        </w:r>
        <w:r w:rsidR="00ED1383" w:rsidRPr="00ED1383">
          <w:rPr>
            <w:rStyle w:val="Hyperlink"/>
          </w:rPr>
          <w:t xml:space="preserve">nvironmental and </w:t>
        </w:r>
        <w:r w:rsidRPr="00ED1383">
          <w:rPr>
            <w:rStyle w:val="Hyperlink"/>
          </w:rPr>
          <w:t>S</w:t>
        </w:r>
        <w:r w:rsidR="00ED1383" w:rsidRPr="00ED1383">
          <w:rPr>
            <w:rStyle w:val="Hyperlink"/>
          </w:rPr>
          <w:t xml:space="preserve">ocial </w:t>
        </w:r>
        <w:r w:rsidRPr="00ED1383">
          <w:rPr>
            <w:rStyle w:val="Hyperlink"/>
          </w:rPr>
          <w:t>A</w:t>
        </w:r>
        <w:r w:rsidR="00ED1383" w:rsidRPr="00ED1383">
          <w:rPr>
            <w:rStyle w:val="Hyperlink"/>
          </w:rPr>
          <w:t>ssessment</w:t>
        </w:r>
      </w:hyperlink>
      <w:r w:rsidR="00ED1383">
        <w:t xml:space="preserve"> (ESA)</w:t>
      </w:r>
      <w:r w:rsidR="0003121F">
        <w:t xml:space="preserve"> and the environmental and social consultant observations.</w:t>
      </w:r>
    </w:p>
    <w:p w14:paraId="7FB1D653" w14:textId="0116A2EC" w:rsidR="00301336" w:rsidRPr="00F66872" w:rsidRDefault="00E876F9" w:rsidP="00F44BA0">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t>The proposed project activities</w:t>
      </w:r>
      <w:r w:rsidR="00C81AD0">
        <w:t xml:space="preserve"> will be located in rural and urban areas</w:t>
      </w:r>
      <w:r>
        <w:t xml:space="preserve"> of Suriname</w:t>
      </w:r>
      <w:r w:rsidR="00C81AD0">
        <w:t xml:space="preserve">. Activities under Component II will be mainly located in the </w:t>
      </w:r>
      <w:r>
        <w:t>Greater Paramaribo Area</w:t>
      </w:r>
      <w:r w:rsidR="00C81AD0">
        <w:t xml:space="preserve"> within the Districts of, Para and Wanica.  </w:t>
      </w:r>
    </w:p>
    <w:p w14:paraId="6478310D" w14:textId="77777777" w:rsidR="008938A2" w:rsidRPr="008938A2" w:rsidRDefault="008938A2" w:rsidP="008938A2">
      <w:pPr>
        <w:pStyle w:val="Paragraph"/>
        <w:numPr>
          <w:ilvl w:val="0"/>
          <w:numId w:val="0"/>
        </w:numPr>
        <w:pBdr>
          <w:top w:val="none" w:sz="0" w:space="0" w:color="auto"/>
          <w:left w:val="none" w:sz="0" w:space="0" w:color="auto"/>
          <w:bottom w:val="none" w:sz="0" w:space="0" w:color="auto"/>
          <w:right w:val="none" w:sz="0" w:space="0" w:color="auto"/>
        </w:pBdr>
        <w:shd w:val="clear" w:color="auto" w:fill="auto"/>
        <w:ind w:left="630"/>
        <w:jc w:val="center"/>
        <w:rPr>
          <w:b/>
          <w:i/>
        </w:rPr>
      </w:pPr>
      <w:r w:rsidRPr="008938A2">
        <w:rPr>
          <w:b/>
        </w:rPr>
        <w:t>Table 2 Relevant Districts</w:t>
      </w:r>
      <w:r>
        <w:rPr>
          <w:rStyle w:val="FootnoteReference"/>
          <w:b/>
        </w:rPr>
        <w:footnoteReference w:id="2"/>
      </w:r>
    </w:p>
    <w:tbl>
      <w:tblPr>
        <w:tblStyle w:val="TableGrid"/>
        <w:tblW w:w="0" w:type="auto"/>
        <w:jc w:val="center"/>
        <w:tblLook w:val="04A0" w:firstRow="1" w:lastRow="0" w:firstColumn="1" w:lastColumn="0" w:noHBand="0" w:noVBand="1"/>
      </w:tblPr>
      <w:tblGrid>
        <w:gridCol w:w="1458"/>
        <w:gridCol w:w="1841"/>
        <w:gridCol w:w="3118"/>
      </w:tblGrid>
      <w:tr w:rsidR="008938A2" w14:paraId="73E91D37" w14:textId="77777777" w:rsidTr="00CA5083">
        <w:trPr>
          <w:trHeight w:val="332"/>
          <w:jc w:val="center"/>
        </w:trPr>
        <w:tc>
          <w:tcPr>
            <w:tcW w:w="1458" w:type="dxa"/>
            <w:tcBorders>
              <w:top w:val="single" w:sz="4" w:space="0" w:color="auto"/>
              <w:left w:val="single" w:sz="4" w:space="0" w:color="auto"/>
              <w:bottom w:val="single" w:sz="4" w:space="0" w:color="auto"/>
              <w:right w:val="single" w:sz="4" w:space="0" w:color="auto"/>
            </w:tcBorders>
            <w:hideMark/>
          </w:tcPr>
          <w:p w14:paraId="71FEA626" w14:textId="77777777" w:rsidR="008938A2" w:rsidRPr="008938A2" w:rsidRDefault="008938A2">
            <w:pPr>
              <w:rPr>
                <w:b/>
                <w:sz w:val="24"/>
                <w:szCs w:val="24"/>
                <w:lang w:val="pt-BR"/>
              </w:rPr>
            </w:pPr>
            <w:r w:rsidRPr="008938A2">
              <w:rPr>
                <w:b/>
                <w:sz w:val="24"/>
                <w:szCs w:val="24"/>
                <w:lang w:val="pt-BR"/>
              </w:rPr>
              <w:t xml:space="preserve">District </w:t>
            </w:r>
          </w:p>
        </w:tc>
        <w:tc>
          <w:tcPr>
            <w:tcW w:w="1841" w:type="dxa"/>
            <w:tcBorders>
              <w:top w:val="single" w:sz="4" w:space="0" w:color="auto"/>
              <w:left w:val="single" w:sz="4" w:space="0" w:color="auto"/>
              <w:bottom w:val="single" w:sz="4" w:space="0" w:color="auto"/>
              <w:right w:val="single" w:sz="4" w:space="0" w:color="auto"/>
            </w:tcBorders>
            <w:hideMark/>
          </w:tcPr>
          <w:p w14:paraId="5138E542" w14:textId="77777777" w:rsidR="008938A2" w:rsidRPr="008938A2" w:rsidRDefault="008938A2">
            <w:pPr>
              <w:rPr>
                <w:b/>
                <w:sz w:val="24"/>
                <w:szCs w:val="24"/>
              </w:rPr>
            </w:pPr>
            <w:r w:rsidRPr="008938A2">
              <w:rPr>
                <w:b/>
                <w:sz w:val="24"/>
                <w:szCs w:val="24"/>
              </w:rPr>
              <w:t>Area (sq.km.)</w:t>
            </w:r>
          </w:p>
        </w:tc>
        <w:tc>
          <w:tcPr>
            <w:tcW w:w="3118" w:type="dxa"/>
            <w:tcBorders>
              <w:top w:val="single" w:sz="4" w:space="0" w:color="auto"/>
              <w:left w:val="single" w:sz="4" w:space="0" w:color="auto"/>
              <w:bottom w:val="single" w:sz="4" w:space="0" w:color="auto"/>
              <w:right w:val="single" w:sz="4" w:space="0" w:color="auto"/>
            </w:tcBorders>
            <w:hideMark/>
          </w:tcPr>
          <w:p w14:paraId="0EBFECB9" w14:textId="240D34F0" w:rsidR="008938A2" w:rsidRPr="008938A2" w:rsidRDefault="008938A2" w:rsidP="00A72D8B">
            <w:pPr>
              <w:rPr>
                <w:sz w:val="24"/>
                <w:szCs w:val="24"/>
              </w:rPr>
            </w:pPr>
            <w:r w:rsidRPr="008938A2">
              <w:rPr>
                <w:b/>
                <w:bCs/>
                <w:sz w:val="24"/>
                <w:szCs w:val="24"/>
              </w:rPr>
              <w:t>Population</w:t>
            </w:r>
            <w:r w:rsidR="00A72D8B">
              <w:rPr>
                <w:b/>
                <w:bCs/>
                <w:sz w:val="24"/>
                <w:szCs w:val="24"/>
              </w:rPr>
              <w:t xml:space="preserve"> </w:t>
            </w:r>
            <w:r w:rsidRPr="008938A2">
              <w:rPr>
                <w:b/>
                <w:bCs/>
                <w:sz w:val="24"/>
                <w:szCs w:val="24"/>
              </w:rPr>
              <w:t>Census (2012)</w:t>
            </w:r>
          </w:p>
        </w:tc>
      </w:tr>
      <w:tr w:rsidR="008938A2" w14:paraId="7CCB3112" w14:textId="77777777" w:rsidTr="00CA5083">
        <w:trPr>
          <w:trHeight w:val="107"/>
          <w:jc w:val="center"/>
        </w:trPr>
        <w:tc>
          <w:tcPr>
            <w:tcW w:w="1458" w:type="dxa"/>
            <w:tcBorders>
              <w:top w:val="single" w:sz="4" w:space="0" w:color="auto"/>
              <w:left w:val="single" w:sz="4" w:space="0" w:color="auto"/>
              <w:bottom w:val="single" w:sz="4" w:space="0" w:color="auto"/>
              <w:right w:val="single" w:sz="4" w:space="0" w:color="auto"/>
            </w:tcBorders>
            <w:vAlign w:val="center"/>
            <w:hideMark/>
          </w:tcPr>
          <w:p w14:paraId="5112C708" w14:textId="77777777" w:rsidR="008938A2" w:rsidRPr="008938A2" w:rsidRDefault="008938A2" w:rsidP="00F66872">
            <w:pPr>
              <w:rPr>
                <w:sz w:val="24"/>
                <w:szCs w:val="24"/>
                <w:lang w:val="pt-BR"/>
              </w:rPr>
            </w:pPr>
            <w:r w:rsidRPr="008938A2">
              <w:rPr>
                <w:sz w:val="24"/>
                <w:szCs w:val="24"/>
                <w:lang w:val="pt-BR"/>
              </w:rPr>
              <w:t>Paramaribo</w:t>
            </w:r>
          </w:p>
        </w:tc>
        <w:tc>
          <w:tcPr>
            <w:tcW w:w="1841" w:type="dxa"/>
            <w:tcBorders>
              <w:top w:val="single" w:sz="4" w:space="0" w:color="auto"/>
              <w:left w:val="single" w:sz="4" w:space="0" w:color="auto"/>
              <w:bottom w:val="single" w:sz="4" w:space="0" w:color="auto"/>
              <w:right w:val="single" w:sz="4" w:space="0" w:color="auto"/>
            </w:tcBorders>
            <w:vAlign w:val="center"/>
          </w:tcPr>
          <w:p w14:paraId="0527AFDF" w14:textId="1EDAF68D" w:rsidR="008938A2" w:rsidRPr="00F66872" w:rsidRDefault="008938A2" w:rsidP="00F66872">
            <w:pPr>
              <w:jc w:val="center"/>
              <w:rPr>
                <w:rFonts w:cstheme="minorBidi"/>
                <w:sz w:val="24"/>
                <w:szCs w:val="24"/>
              </w:rPr>
            </w:pPr>
            <w:r w:rsidRPr="008938A2">
              <w:rPr>
                <w:sz w:val="24"/>
                <w:szCs w:val="24"/>
              </w:rPr>
              <w:t>182</w:t>
            </w:r>
          </w:p>
        </w:tc>
        <w:tc>
          <w:tcPr>
            <w:tcW w:w="3118" w:type="dxa"/>
            <w:tcBorders>
              <w:top w:val="single" w:sz="4" w:space="0" w:color="auto"/>
              <w:left w:val="single" w:sz="4" w:space="0" w:color="auto"/>
              <w:bottom w:val="single" w:sz="4" w:space="0" w:color="auto"/>
              <w:right w:val="single" w:sz="4" w:space="0" w:color="auto"/>
            </w:tcBorders>
            <w:vAlign w:val="center"/>
          </w:tcPr>
          <w:p w14:paraId="3A377689" w14:textId="51314548" w:rsidR="008938A2" w:rsidRPr="00F66872" w:rsidRDefault="008938A2" w:rsidP="00F66872">
            <w:pPr>
              <w:jc w:val="center"/>
              <w:rPr>
                <w:rFonts w:cstheme="minorBidi"/>
                <w:sz w:val="24"/>
                <w:szCs w:val="24"/>
              </w:rPr>
            </w:pPr>
            <w:r w:rsidRPr="008938A2">
              <w:rPr>
                <w:sz w:val="24"/>
                <w:szCs w:val="24"/>
              </w:rPr>
              <w:t>240,924</w:t>
            </w:r>
          </w:p>
        </w:tc>
      </w:tr>
      <w:tr w:rsidR="008938A2" w14:paraId="725F40C1" w14:textId="77777777" w:rsidTr="00CA5083">
        <w:trPr>
          <w:trHeight w:val="188"/>
          <w:jc w:val="center"/>
        </w:trPr>
        <w:tc>
          <w:tcPr>
            <w:tcW w:w="1458" w:type="dxa"/>
            <w:tcBorders>
              <w:top w:val="single" w:sz="4" w:space="0" w:color="auto"/>
              <w:left w:val="single" w:sz="4" w:space="0" w:color="auto"/>
              <w:bottom w:val="single" w:sz="4" w:space="0" w:color="auto"/>
              <w:right w:val="single" w:sz="4" w:space="0" w:color="auto"/>
            </w:tcBorders>
            <w:vAlign w:val="center"/>
          </w:tcPr>
          <w:p w14:paraId="4D96924F" w14:textId="7F655353" w:rsidR="008938A2" w:rsidRPr="008938A2" w:rsidRDefault="008938A2" w:rsidP="00F66872">
            <w:pPr>
              <w:rPr>
                <w:sz w:val="24"/>
                <w:szCs w:val="24"/>
                <w:lang w:val="pt-BR"/>
              </w:rPr>
            </w:pPr>
            <w:r w:rsidRPr="008938A2">
              <w:rPr>
                <w:sz w:val="24"/>
                <w:szCs w:val="24"/>
                <w:lang w:val="pt-BR"/>
              </w:rPr>
              <w:t>Wanica</w:t>
            </w:r>
          </w:p>
        </w:tc>
        <w:tc>
          <w:tcPr>
            <w:tcW w:w="1841" w:type="dxa"/>
            <w:tcBorders>
              <w:top w:val="single" w:sz="4" w:space="0" w:color="auto"/>
              <w:left w:val="single" w:sz="4" w:space="0" w:color="auto"/>
              <w:bottom w:val="single" w:sz="4" w:space="0" w:color="auto"/>
              <w:right w:val="single" w:sz="4" w:space="0" w:color="auto"/>
            </w:tcBorders>
            <w:vAlign w:val="center"/>
          </w:tcPr>
          <w:p w14:paraId="22C5B494" w14:textId="42883BA7" w:rsidR="008938A2" w:rsidRPr="00F66872" w:rsidRDefault="008938A2" w:rsidP="00F66872">
            <w:pPr>
              <w:jc w:val="center"/>
              <w:rPr>
                <w:rFonts w:cstheme="minorBidi"/>
                <w:sz w:val="24"/>
                <w:szCs w:val="24"/>
              </w:rPr>
            </w:pPr>
            <w:r w:rsidRPr="008938A2">
              <w:rPr>
                <w:sz w:val="24"/>
                <w:szCs w:val="24"/>
              </w:rPr>
              <w:t>443</w:t>
            </w:r>
          </w:p>
        </w:tc>
        <w:tc>
          <w:tcPr>
            <w:tcW w:w="3118" w:type="dxa"/>
            <w:tcBorders>
              <w:top w:val="single" w:sz="4" w:space="0" w:color="auto"/>
              <w:left w:val="single" w:sz="4" w:space="0" w:color="auto"/>
              <w:bottom w:val="single" w:sz="4" w:space="0" w:color="auto"/>
              <w:right w:val="single" w:sz="4" w:space="0" w:color="auto"/>
            </w:tcBorders>
            <w:vAlign w:val="center"/>
          </w:tcPr>
          <w:p w14:paraId="375C7E1F" w14:textId="2E8BC16D" w:rsidR="008938A2" w:rsidRPr="00F66872" w:rsidRDefault="008938A2" w:rsidP="00F66872">
            <w:pPr>
              <w:jc w:val="center"/>
              <w:rPr>
                <w:rFonts w:cstheme="minorBidi"/>
                <w:sz w:val="24"/>
                <w:szCs w:val="24"/>
              </w:rPr>
            </w:pPr>
            <w:r w:rsidRPr="008938A2">
              <w:rPr>
                <w:sz w:val="24"/>
                <w:szCs w:val="24"/>
              </w:rPr>
              <w:t>118,222</w:t>
            </w:r>
          </w:p>
        </w:tc>
      </w:tr>
      <w:tr w:rsidR="008938A2" w14:paraId="32049BD2" w14:textId="77777777" w:rsidTr="00CA5083">
        <w:trPr>
          <w:jc w:val="center"/>
        </w:trPr>
        <w:tc>
          <w:tcPr>
            <w:tcW w:w="1458" w:type="dxa"/>
            <w:tcBorders>
              <w:top w:val="single" w:sz="4" w:space="0" w:color="auto"/>
              <w:left w:val="single" w:sz="4" w:space="0" w:color="auto"/>
              <w:bottom w:val="single" w:sz="4" w:space="0" w:color="auto"/>
              <w:right w:val="single" w:sz="4" w:space="0" w:color="auto"/>
            </w:tcBorders>
            <w:vAlign w:val="center"/>
            <w:hideMark/>
          </w:tcPr>
          <w:p w14:paraId="7CA6DB6B" w14:textId="77777777" w:rsidR="008938A2" w:rsidRPr="008938A2" w:rsidRDefault="008938A2" w:rsidP="00F66872">
            <w:pPr>
              <w:rPr>
                <w:sz w:val="24"/>
                <w:szCs w:val="24"/>
                <w:lang w:val="pt-BR"/>
              </w:rPr>
            </w:pPr>
            <w:r w:rsidRPr="008938A2">
              <w:rPr>
                <w:sz w:val="24"/>
                <w:szCs w:val="24"/>
                <w:lang w:val="pt-BR"/>
              </w:rPr>
              <w:t>Para</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83C9A06" w14:textId="77777777" w:rsidR="008938A2" w:rsidRPr="008938A2" w:rsidRDefault="008938A2" w:rsidP="00F66872">
            <w:pPr>
              <w:jc w:val="center"/>
              <w:rPr>
                <w:sz w:val="24"/>
                <w:szCs w:val="24"/>
              </w:rPr>
            </w:pPr>
            <w:r w:rsidRPr="008938A2">
              <w:rPr>
                <w:sz w:val="24"/>
                <w:szCs w:val="24"/>
              </w:rPr>
              <w:t>5,393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ED9F4A" w14:textId="77777777" w:rsidR="008938A2" w:rsidRPr="008938A2" w:rsidRDefault="008938A2" w:rsidP="00F66872">
            <w:pPr>
              <w:jc w:val="center"/>
              <w:rPr>
                <w:sz w:val="24"/>
                <w:szCs w:val="24"/>
              </w:rPr>
            </w:pPr>
            <w:r w:rsidRPr="008938A2">
              <w:rPr>
                <w:sz w:val="24"/>
                <w:szCs w:val="24"/>
              </w:rPr>
              <w:t>24,700</w:t>
            </w:r>
          </w:p>
        </w:tc>
      </w:tr>
    </w:tbl>
    <w:p w14:paraId="6118A2A9" w14:textId="6757E1DF" w:rsidR="00225D09" w:rsidRPr="00225D09" w:rsidRDefault="00EA0776" w:rsidP="00225D09">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lastRenderedPageBreak/>
        <w:t xml:space="preserve">The </w:t>
      </w:r>
      <w:r w:rsidR="00225D09" w:rsidRPr="00225D09">
        <w:t>Greater Paramaribo</w:t>
      </w:r>
      <w:r>
        <w:t xml:space="preserve"> Area</w:t>
      </w:r>
      <w:r w:rsidR="00225D09" w:rsidRPr="00225D09">
        <w:t xml:space="preserve">, the area linked by </w:t>
      </w:r>
      <w:r>
        <w:t>Substation J</w:t>
      </w:r>
      <w:r w:rsidR="00225D09" w:rsidRPr="00225D09">
        <w:t xml:space="preserve">, and the area linking with </w:t>
      </w:r>
      <w:r>
        <w:t>Substation</w:t>
      </w:r>
      <w:r w:rsidR="00225D09" w:rsidRPr="00225D09">
        <w:t xml:space="preserve"> F (La</w:t>
      </w:r>
      <w:r w:rsidR="006F03F5">
        <w:t xml:space="preserve"> </w:t>
      </w:r>
      <w:r w:rsidR="00225D09" w:rsidRPr="00225D09">
        <w:t>Vigilan</w:t>
      </w:r>
      <w:r w:rsidR="0047583C">
        <w:t>t</w:t>
      </w:r>
      <w:r w:rsidR="00225D09" w:rsidRPr="00225D09">
        <w:t xml:space="preserve">ia) </w:t>
      </w:r>
      <w:r w:rsidR="00E876F9">
        <w:t xml:space="preserve">are considered to have </w:t>
      </w:r>
      <w:r w:rsidR="00225D09" w:rsidRPr="00225D09">
        <w:t xml:space="preserve">a low level of </w:t>
      </w:r>
      <w:r w:rsidR="00E876F9">
        <w:t xml:space="preserve">environmental </w:t>
      </w:r>
      <w:r w:rsidR="00225D09" w:rsidRPr="00225D09">
        <w:t xml:space="preserve">sensitivity </w:t>
      </w:r>
      <w:r w:rsidR="00E876F9">
        <w:t xml:space="preserve">due to </w:t>
      </w:r>
      <w:r w:rsidR="00225D09" w:rsidRPr="00225D09">
        <w:t>the following aspects:</w:t>
      </w:r>
    </w:p>
    <w:p w14:paraId="09250DAE" w14:textId="77777777" w:rsidR="00225D09" w:rsidRPr="00F66872" w:rsidRDefault="00225D09" w:rsidP="00C6219C">
      <w:pPr>
        <w:pStyle w:val="ListParagraph"/>
        <w:widowControl w:val="0"/>
        <w:numPr>
          <w:ilvl w:val="0"/>
          <w:numId w:val="20"/>
        </w:numPr>
        <w:autoSpaceDE w:val="0"/>
        <w:autoSpaceDN w:val="0"/>
        <w:adjustRightInd w:val="0"/>
        <w:spacing w:after="240"/>
        <w:ind w:left="1080"/>
        <w:rPr>
          <w:sz w:val="24"/>
          <w:szCs w:val="22"/>
        </w:rPr>
      </w:pPr>
      <w:r w:rsidRPr="00F66872">
        <w:rPr>
          <w:sz w:val="24"/>
          <w:szCs w:val="22"/>
        </w:rPr>
        <w:t>No observed protected areas</w:t>
      </w:r>
      <w:r w:rsidRPr="00F66872">
        <w:rPr>
          <w:rFonts w:ascii="MS Mincho" w:eastAsia="MS Mincho" w:hAnsi="MS Mincho" w:cs="MS Mincho" w:hint="eastAsia"/>
          <w:sz w:val="24"/>
          <w:szCs w:val="22"/>
        </w:rPr>
        <w:t> </w:t>
      </w:r>
    </w:p>
    <w:p w14:paraId="6D8A8F58" w14:textId="77777777" w:rsidR="00225D09" w:rsidRPr="00F66872" w:rsidRDefault="00225D09" w:rsidP="00C6219C">
      <w:pPr>
        <w:pStyle w:val="ListParagraph"/>
        <w:widowControl w:val="0"/>
        <w:numPr>
          <w:ilvl w:val="0"/>
          <w:numId w:val="20"/>
        </w:numPr>
        <w:autoSpaceDE w:val="0"/>
        <w:autoSpaceDN w:val="0"/>
        <w:adjustRightInd w:val="0"/>
        <w:spacing w:after="240"/>
        <w:ind w:left="1080"/>
        <w:rPr>
          <w:sz w:val="24"/>
          <w:szCs w:val="22"/>
        </w:rPr>
      </w:pPr>
      <w:r w:rsidRPr="00F66872">
        <w:rPr>
          <w:sz w:val="24"/>
          <w:szCs w:val="22"/>
        </w:rPr>
        <w:t xml:space="preserve">No </w:t>
      </w:r>
      <w:r w:rsidR="00E876F9" w:rsidRPr="00F66872">
        <w:rPr>
          <w:sz w:val="24"/>
          <w:szCs w:val="22"/>
        </w:rPr>
        <w:t>p</w:t>
      </w:r>
      <w:r w:rsidRPr="00F66872">
        <w:rPr>
          <w:sz w:val="24"/>
          <w:szCs w:val="22"/>
        </w:rPr>
        <w:t>resence of ecosystems recognized as of high or critical sensitivity (wetlands, primary or secondary forests)</w:t>
      </w:r>
    </w:p>
    <w:p w14:paraId="77AA1994" w14:textId="77777777" w:rsidR="00225D09" w:rsidRPr="00F66872" w:rsidRDefault="00225D09" w:rsidP="00C6219C">
      <w:pPr>
        <w:pStyle w:val="ListParagraph"/>
        <w:widowControl w:val="0"/>
        <w:numPr>
          <w:ilvl w:val="0"/>
          <w:numId w:val="20"/>
        </w:numPr>
        <w:autoSpaceDE w:val="0"/>
        <w:autoSpaceDN w:val="0"/>
        <w:adjustRightInd w:val="0"/>
        <w:spacing w:after="240"/>
        <w:ind w:left="1080"/>
        <w:rPr>
          <w:sz w:val="24"/>
          <w:szCs w:val="22"/>
        </w:rPr>
      </w:pPr>
      <w:r w:rsidRPr="00F66872">
        <w:rPr>
          <w:sz w:val="24"/>
          <w:szCs w:val="22"/>
        </w:rPr>
        <w:t xml:space="preserve">Dominantly </w:t>
      </w:r>
      <w:r w:rsidR="00E876F9" w:rsidRPr="00F66872">
        <w:rPr>
          <w:sz w:val="24"/>
          <w:szCs w:val="22"/>
        </w:rPr>
        <w:t>f</w:t>
      </w:r>
      <w:r w:rsidRPr="00F66872">
        <w:rPr>
          <w:sz w:val="24"/>
          <w:szCs w:val="22"/>
        </w:rPr>
        <w:t xml:space="preserve">lat terrains (slope &lt;15%) </w:t>
      </w:r>
    </w:p>
    <w:p w14:paraId="53A43149" w14:textId="77777777" w:rsidR="00225D09" w:rsidRPr="00F66872" w:rsidRDefault="00225D09" w:rsidP="00C6219C">
      <w:pPr>
        <w:pStyle w:val="ListParagraph"/>
        <w:widowControl w:val="0"/>
        <w:numPr>
          <w:ilvl w:val="0"/>
          <w:numId w:val="20"/>
        </w:numPr>
        <w:autoSpaceDE w:val="0"/>
        <w:autoSpaceDN w:val="0"/>
        <w:adjustRightInd w:val="0"/>
        <w:spacing w:after="240"/>
        <w:ind w:left="1080"/>
        <w:rPr>
          <w:sz w:val="24"/>
          <w:szCs w:val="22"/>
        </w:rPr>
      </w:pPr>
      <w:r w:rsidRPr="00F66872">
        <w:rPr>
          <w:sz w:val="24"/>
          <w:szCs w:val="22"/>
        </w:rPr>
        <w:t>Mostly built up areas for residential, commercial and institutional purposes</w:t>
      </w:r>
    </w:p>
    <w:p w14:paraId="3A17692D" w14:textId="0A69AFE9" w:rsidR="004F758B" w:rsidRPr="00406BB5" w:rsidRDefault="002A488A" w:rsidP="004F758B">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rsidRPr="002A488A">
        <w:t xml:space="preserve">Detailed topographical surveys for the new </w:t>
      </w:r>
      <w:r w:rsidR="0027687E">
        <w:t>sub</w:t>
      </w:r>
      <w:r w:rsidRPr="002A488A">
        <w:t xml:space="preserve">station at </w:t>
      </w:r>
      <w:r w:rsidR="00090481">
        <w:t xml:space="preserve">Santo </w:t>
      </w:r>
      <w:r w:rsidRPr="002A488A">
        <w:t>Boma, as well as the upgraded and new 33</w:t>
      </w:r>
      <w:r w:rsidR="00F66872">
        <w:t>-</w:t>
      </w:r>
      <w:r w:rsidRPr="002A488A">
        <w:t>k</w:t>
      </w:r>
      <w:r w:rsidR="00F66872">
        <w:t>V</w:t>
      </w:r>
      <w:r w:rsidRPr="002A488A">
        <w:t xml:space="preserve"> electricity transmission lines (TL) to be buried along existing utility corridors </w:t>
      </w:r>
      <w:r w:rsidR="00E876F9">
        <w:t>may not be necessary if the stations and the TL</w:t>
      </w:r>
      <w:r w:rsidRPr="002A488A">
        <w:t xml:space="preserve"> follow the existing utility corridor lines. </w:t>
      </w:r>
      <w:r w:rsidR="004F758B" w:rsidRPr="00BA531E">
        <w:t>Although Suriname is characterized by a rich biodiversity, an ecological survey is not deemed necessary at this stage since none of the proposed activities are within environmentally sensitive areas</w:t>
      </w:r>
      <w:r w:rsidR="004F758B" w:rsidRPr="004F758B">
        <w:t xml:space="preserve">. The Greater Paramaribo area is mostly covered by swamps, shrubs and common grass species in Suriname. The area has no other specific ecological resources and/or protected nature areas in its surroundings. There are no rare or endangered species within the project construction area. </w:t>
      </w:r>
      <w:r w:rsidR="004F758B" w:rsidRPr="00BA531E">
        <w:t>A survey is only necessary if the project activities will have a significant impact on the biodiversity within a specific ecological resource or/and protected area.</w:t>
      </w:r>
      <w:r w:rsidR="004F758B" w:rsidRPr="004F758B">
        <w:t xml:space="preserve"> Generally TLs will be built along the public roads that already have an impact on the environment. </w:t>
      </w:r>
    </w:p>
    <w:p w14:paraId="3580E67C" w14:textId="77777777" w:rsidR="006F553C" w:rsidRPr="00406BB5" w:rsidRDefault="006F553C" w:rsidP="00406BB5"/>
    <w:p w14:paraId="0308C47C" w14:textId="77777777" w:rsidR="00301336" w:rsidRPr="002E3B3A" w:rsidRDefault="00301336" w:rsidP="00301336">
      <w:pPr>
        <w:numPr>
          <w:ilvl w:val="0"/>
          <w:numId w:val="3"/>
        </w:numPr>
        <w:ind w:left="540" w:hanging="540"/>
        <w:rPr>
          <w:rFonts w:eastAsia="ヒラギノ角ゴ Pro W3"/>
          <w:b/>
          <w:sz w:val="24"/>
          <w:szCs w:val="24"/>
        </w:rPr>
      </w:pPr>
      <w:r w:rsidRPr="002E3B3A">
        <w:rPr>
          <w:rFonts w:eastAsia="ヒラギノ角ゴ Pro W3"/>
          <w:b/>
          <w:sz w:val="24"/>
          <w:szCs w:val="24"/>
        </w:rPr>
        <w:t>Alternative Analysis</w:t>
      </w:r>
    </w:p>
    <w:p w14:paraId="0266885E" w14:textId="5A788972" w:rsidR="00301336" w:rsidRPr="00215562" w:rsidRDefault="000B37E8" w:rsidP="00215562">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rsidRPr="002E3B3A">
        <w:t xml:space="preserve">An alternative analysis was not </w:t>
      </w:r>
      <w:r w:rsidR="00EA0776">
        <w:t>performed</w:t>
      </w:r>
      <w:r w:rsidR="008D0369">
        <w:t xml:space="preserve"> </w:t>
      </w:r>
      <w:r w:rsidR="002E3B3A" w:rsidRPr="002E3B3A">
        <w:t xml:space="preserve">during the </w:t>
      </w:r>
      <w:r w:rsidR="000F6CC8">
        <w:t>ESA</w:t>
      </w:r>
      <w:r w:rsidR="00215562">
        <w:t xml:space="preserve"> process for this operation and </w:t>
      </w:r>
      <w:r w:rsidR="00976134">
        <w:t>ESA did not identify the presence of any sensitive</w:t>
      </w:r>
      <w:r w:rsidR="00976134" w:rsidRPr="005D7A96">
        <w:t xml:space="preserve"> </w:t>
      </w:r>
      <w:r w:rsidR="00976134">
        <w:t xml:space="preserve">biodiversity areas or </w:t>
      </w:r>
      <w:r w:rsidR="00976134" w:rsidRPr="005D7A96">
        <w:t>cultural sites</w:t>
      </w:r>
      <w:r w:rsidR="00976134">
        <w:t xml:space="preserve"> within the areas of the projects.  </w:t>
      </w:r>
      <w:r w:rsidR="002E3B3A" w:rsidRPr="00215562">
        <w:t xml:space="preserve">However, it </w:t>
      </w:r>
      <w:r w:rsidR="007C1E0F" w:rsidRPr="00215562">
        <w:t xml:space="preserve">is important to note that the </w:t>
      </w:r>
      <w:r w:rsidR="00F66872">
        <w:t xml:space="preserve">land had not been acquired for the </w:t>
      </w:r>
      <w:r w:rsidR="007C1E0F" w:rsidRPr="00215562">
        <w:t xml:space="preserve">specific location for the new substation of </w:t>
      </w:r>
      <w:r w:rsidR="00090481">
        <w:t xml:space="preserve">Santo </w:t>
      </w:r>
      <w:r w:rsidR="007C1E0F" w:rsidRPr="00215562">
        <w:t xml:space="preserve">Boma at the time the environmental and social due diligence was conducted. </w:t>
      </w:r>
      <w:r w:rsidR="008D0369" w:rsidRPr="00215562">
        <w:t>Given these circumstances, t</w:t>
      </w:r>
      <w:r w:rsidR="007C1E0F" w:rsidRPr="00215562">
        <w:t>he Bank considers</w:t>
      </w:r>
      <w:r w:rsidR="008D0369" w:rsidRPr="00215562">
        <w:t xml:space="preserve"> it necessary to establish </w:t>
      </w:r>
      <w:r w:rsidR="00F44BA0" w:rsidRPr="00215562">
        <w:t>a set of required</w:t>
      </w:r>
      <w:r w:rsidR="008D0369" w:rsidRPr="00215562">
        <w:t xml:space="preserve"> </w:t>
      </w:r>
      <w:r w:rsidR="007C1E0F" w:rsidRPr="00215562">
        <w:t xml:space="preserve">criteria </w:t>
      </w:r>
      <w:r w:rsidR="00F44BA0" w:rsidRPr="00215562">
        <w:t>to be applied during</w:t>
      </w:r>
      <w:r w:rsidR="007C1E0F" w:rsidRPr="00215562">
        <w:t xml:space="preserve"> the selection of </w:t>
      </w:r>
      <w:r w:rsidR="00F44BA0" w:rsidRPr="00215562">
        <w:t xml:space="preserve">remaining </w:t>
      </w:r>
      <w:r w:rsidR="007C1E0F" w:rsidRPr="00215562">
        <w:t xml:space="preserve">sites </w:t>
      </w:r>
      <w:r w:rsidR="00F44BA0" w:rsidRPr="00215562">
        <w:t>to ensure compliance with IDB Policy requirements and consistency with the project’s environmental categorization</w:t>
      </w:r>
      <w:r w:rsidR="008D0369" w:rsidRPr="00215562">
        <w:t>.</w:t>
      </w:r>
      <w:r w:rsidR="00F44BA0" w:rsidRPr="00215562">
        <w:t xml:space="preserve"> </w:t>
      </w:r>
    </w:p>
    <w:p w14:paraId="328A1DEC" w14:textId="77777777" w:rsidR="008D0369" w:rsidRPr="008D0369" w:rsidRDefault="008D0369"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rsidRPr="008D0369">
        <w:t xml:space="preserve">The proposed activities under the Program </w:t>
      </w:r>
      <w:r w:rsidR="00F44BA0">
        <w:t>shall</w:t>
      </w:r>
      <w:r w:rsidRPr="008D0369">
        <w:t xml:space="preserve"> not:</w:t>
      </w:r>
    </w:p>
    <w:p w14:paraId="77AAB1CE" w14:textId="2B2E608C" w:rsidR="008D0369" w:rsidRPr="008D0369" w:rsidRDefault="008D0369" w:rsidP="007459CB">
      <w:pPr>
        <w:pStyle w:val="Paragraph"/>
        <w:numPr>
          <w:ilvl w:val="1"/>
          <w:numId w:val="13"/>
        </w:numPr>
        <w:pBdr>
          <w:top w:val="none" w:sz="0" w:space="0" w:color="auto"/>
          <w:left w:val="none" w:sz="0" w:space="0" w:color="auto"/>
          <w:bottom w:val="none" w:sz="0" w:space="0" w:color="auto"/>
          <w:right w:val="none" w:sz="0" w:space="0" w:color="auto"/>
        </w:pBdr>
        <w:shd w:val="clear" w:color="auto" w:fill="auto"/>
        <w:spacing w:before="0" w:after="0"/>
        <w:ind w:left="1080" w:hanging="446"/>
        <w:rPr>
          <w:i/>
        </w:rPr>
      </w:pPr>
      <w:r w:rsidRPr="008D0369">
        <w:t xml:space="preserve">Cause significant </w:t>
      </w:r>
      <w:r w:rsidR="00F66872">
        <w:t xml:space="preserve">negative </w:t>
      </w:r>
      <w:r w:rsidRPr="008D0369">
        <w:t>impacts on protected areas;</w:t>
      </w:r>
    </w:p>
    <w:p w14:paraId="6A74248B" w14:textId="77777777" w:rsidR="008D0369" w:rsidRPr="008D0369" w:rsidRDefault="008D0369" w:rsidP="007459CB">
      <w:pPr>
        <w:pStyle w:val="Paragraph"/>
        <w:numPr>
          <w:ilvl w:val="1"/>
          <w:numId w:val="13"/>
        </w:numPr>
        <w:pBdr>
          <w:top w:val="none" w:sz="0" w:space="0" w:color="auto"/>
          <w:left w:val="none" w:sz="0" w:space="0" w:color="auto"/>
          <w:bottom w:val="none" w:sz="0" w:space="0" w:color="auto"/>
          <w:right w:val="none" w:sz="0" w:space="0" w:color="auto"/>
        </w:pBdr>
        <w:shd w:val="clear" w:color="auto" w:fill="auto"/>
        <w:spacing w:before="0" w:after="0"/>
        <w:ind w:left="1080" w:hanging="446"/>
        <w:rPr>
          <w:i/>
        </w:rPr>
      </w:pPr>
      <w:r w:rsidRPr="008D0369">
        <w:t>Cause significant conversion or partial degradation of natural habitats, so to result in extensive changes in the socio-environmental context;</w:t>
      </w:r>
    </w:p>
    <w:p w14:paraId="04AADA51" w14:textId="77777777" w:rsidR="008D0369" w:rsidRPr="008D0369" w:rsidRDefault="008D0369" w:rsidP="007459CB">
      <w:pPr>
        <w:pStyle w:val="Paragraph"/>
        <w:numPr>
          <w:ilvl w:val="1"/>
          <w:numId w:val="13"/>
        </w:numPr>
        <w:pBdr>
          <w:top w:val="none" w:sz="0" w:space="0" w:color="auto"/>
          <w:left w:val="none" w:sz="0" w:space="0" w:color="auto"/>
          <w:bottom w:val="none" w:sz="0" w:space="0" w:color="auto"/>
          <w:right w:val="none" w:sz="0" w:space="0" w:color="auto"/>
        </w:pBdr>
        <w:shd w:val="clear" w:color="auto" w:fill="auto"/>
        <w:spacing w:before="0" w:after="0"/>
        <w:ind w:left="1080" w:hanging="446"/>
        <w:rPr>
          <w:i/>
        </w:rPr>
      </w:pPr>
      <w:r w:rsidRPr="008D0369">
        <w:t xml:space="preserve">Cause immitigable adverse impacts on culturally sensitive sites or objects, including archaeological, historical or paleontological sites; </w:t>
      </w:r>
    </w:p>
    <w:p w14:paraId="29860588" w14:textId="77777777" w:rsidR="00F44BA0" w:rsidRPr="008D0369" w:rsidRDefault="00F44BA0" w:rsidP="007459CB">
      <w:pPr>
        <w:pStyle w:val="Paragraph"/>
        <w:numPr>
          <w:ilvl w:val="1"/>
          <w:numId w:val="13"/>
        </w:numPr>
        <w:pBdr>
          <w:top w:val="none" w:sz="0" w:space="0" w:color="auto"/>
          <w:left w:val="none" w:sz="0" w:space="0" w:color="auto"/>
          <w:bottom w:val="none" w:sz="0" w:space="0" w:color="auto"/>
          <w:right w:val="none" w:sz="0" w:space="0" w:color="auto"/>
        </w:pBdr>
        <w:shd w:val="clear" w:color="auto" w:fill="auto"/>
        <w:spacing w:before="0" w:after="0"/>
        <w:ind w:left="1080" w:hanging="446"/>
        <w:rPr>
          <w:i/>
        </w:rPr>
      </w:pPr>
      <w:r w:rsidRPr="008D0369">
        <w:t xml:space="preserve">Cause immitigable adverse impacts of resettlement, by means of a Resettlement Plan; </w:t>
      </w:r>
    </w:p>
    <w:p w14:paraId="158EFD6A" w14:textId="77777777" w:rsidR="008D0369" w:rsidRPr="008D0369" w:rsidRDefault="008D0369" w:rsidP="007459CB">
      <w:pPr>
        <w:pStyle w:val="Paragraph"/>
        <w:numPr>
          <w:ilvl w:val="1"/>
          <w:numId w:val="13"/>
        </w:numPr>
        <w:pBdr>
          <w:top w:val="none" w:sz="0" w:space="0" w:color="auto"/>
          <w:left w:val="none" w:sz="0" w:space="0" w:color="auto"/>
          <w:bottom w:val="none" w:sz="0" w:space="0" w:color="auto"/>
          <w:right w:val="none" w:sz="0" w:space="0" w:color="auto"/>
        </w:pBdr>
        <w:shd w:val="clear" w:color="auto" w:fill="auto"/>
        <w:spacing w:before="0" w:after="0"/>
        <w:ind w:left="1080" w:hanging="446"/>
        <w:rPr>
          <w:i/>
        </w:rPr>
      </w:pPr>
      <w:r w:rsidRPr="008D0369">
        <w:t>Be located in areas for which land titling or land use agreements have not been properly obtained by the Executing Agency;</w:t>
      </w:r>
    </w:p>
    <w:p w14:paraId="299C782B" w14:textId="77777777" w:rsidR="008D0369" w:rsidRPr="008D0369" w:rsidRDefault="008D0369" w:rsidP="007459CB">
      <w:pPr>
        <w:pStyle w:val="Paragraph"/>
        <w:numPr>
          <w:ilvl w:val="1"/>
          <w:numId w:val="13"/>
        </w:numPr>
        <w:pBdr>
          <w:top w:val="none" w:sz="0" w:space="0" w:color="auto"/>
          <w:left w:val="none" w:sz="0" w:space="0" w:color="auto"/>
          <w:bottom w:val="none" w:sz="0" w:space="0" w:color="auto"/>
          <w:right w:val="none" w:sz="0" w:space="0" w:color="auto"/>
        </w:pBdr>
        <w:shd w:val="clear" w:color="auto" w:fill="auto"/>
        <w:spacing w:before="0" w:after="0"/>
        <w:ind w:left="1080" w:hanging="446"/>
        <w:rPr>
          <w:i/>
        </w:rPr>
      </w:pPr>
      <w:r w:rsidRPr="008D0369">
        <w:t>Be located in areas of inconsistent zoning or land use planning patterns;</w:t>
      </w:r>
      <w:r w:rsidR="00F44BA0">
        <w:t xml:space="preserve"> and</w:t>
      </w:r>
    </w:p>
    <w:p w14:paraId="72BAC6FC" w14:textId="77777777" w:rsidR="008D0369" w:rsidRPr="008D0369" w:rsidRDefault="00F44BA0" w:rsidP="007459CB">
      <w:pPr>
        <w:pStyle w:val="Paragraph"/>
        <w:numPr>
          <w:ilvl w:val="1"/>
          <w:numId w:val="13"/>
        </w:numPr>
        <w:pBdr>
          <w:top w:val="none" w:sz="0" w:space="0" w:color="auto"/>
          <w:left w:val="none" w:sz="0" w:space="0" w:color="auto"/>
          <w:bottom w:val="none" w:sz="0" w:space="0" w:color="auto"/>
          <w:right w:val="none" w:sz="0" w:space="0" w:color="auto"/>
        </w:pBdr>
        <w:shd w:val="clear" w:color="auto" w:fill="auto"/>
        <w:spacing w:before="0" w:after="0"/>
        <w:ind w:left="1080" w:hanging="446"/>
        <w:rPr>
          <w:i/>
        </w:rPr>
      </w:pPr>
      <w:r>
        <w:t>Cause</w:t>
      </w:r>
      <w:r w:rsidR="008D0369" w:rsidRPr="008D0369">
        <w:t xml:space="preserve"> strong opposition from the community, where it can become a high risk factor against the implementation of the activities or the reputation of the Bank. </w:t>
      </w:r>
    </w:p>
    <w:p w14:paraId="37041439" w14:textId="77777777" w:rsidR="00301336" w:rsidRDefault="00301336" w:rsidP="00976134">
      <w:pPr>
        <w:pStyle w:val="Chapter"/>
        <w:numPr>
          <w:ilvl w:val="0"/>
          <w:numId w:val="7"/>
        </w:numPr>
        <w:ind w:firstLine="0"/>
        <w:jc w:val="left"/>
      </w:pPr>
      <w:bookmarkStart w:id="5" w:name="_Toc401912138"/>
      <w:r w:rsidRPr="00B83281">
        <w:lastRenderedPageBreak/>
        <w:t>COMPLIANCE STATUS AND PROJECT STANDARDS</w:t>
      </w:r>
      <w:bookmarkEnd w:id="5"/>
    </w:p>
    <w:p w14:paraId="3BF9B69A" w14:textId="77777777" w:rsidR="00301336" w:rsidRDefault="00301336" w:rsidP="00F17134">
      <w:pPr>
        <w:pStyle w:val="SecHeading"/>
        <w:numPr>
          <w:ilvl w:val="0"/>
          <w:numId w:val="4"/>
        </w:numPr>
        <w:tabs>
          <w:tab w:val="left" w:pos="630"/>
        </w:tabs>
        <w:spacing w:before="0"/>
        <w:ind w:left="720" w:hanging="720"/>
      </w:pPr>
      <w:bookmarkStart w:id="6" w:name="_Toc401912139"/>
      <w:r w:rsidRPr="00300A41">
        <w:t xml:space="preserve">Environmental and Social </w:t>
      </w:r>
      <w:r>
        <w:t>Appraisal Process:</w:t>
      </w:r>
      <w:bookmarkEnd w:id="6"/>
      <w:r>
        <w:t xml:space="preserve"> </w:t>
      </w:r>
    </w:p>
    <w:p w14:paraId="75DEF980" w14:textId="64C7FC36" w:rsidR="00DE2F43" w:rsidRPr="00A93CFB" w:rsidRDefault="00630078"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rsidRPr="00A93CFB">
        <w:t>The legal framework for Environmental Impact Assessments (EIA) in Surinam</w:t>
      </w:r>
      <w:r w:rsidR="00090481">
        <w:t>e</w:t>
      </w:r>
      <w:r w:rsidRPr="00A93CFB">
        <w:t xml:space="preserve"> is currently under development.</w:t>
      </w:r>
      <w:r w:rsidRPr="00EF3D25">
        <w:rPr>
          <w:vertAlign w:val="superscript"/>
        </w:rPr>
        <w:footnoteReference w:id="3"/>
      </w:r>
      <w:r w:rsidRPr="00A93CFB">
        <w:t xml:space="preserve"> </w:t>
      </w:r>
      <w:r w:rsidR="00570F5F">
        <w:t>Five</w:t>
      </w:r>
      <w:r w:rsidR="00EF3D25" w:rsidRPr="00A93CFB">
        <w:t xml:space="preserve"> institutions are tasked with environmental protection: (</w:t>
      </w:r>
      <w:r w:rsidR="00A93CFB">
        <w:t>i</w:t>
      </w:r>
      <w:r w:rsidR="00EF3D25" w:rsidRPr="00A93CFB">
        <w:t xml:space="preserve">) Ministry of </w:t>
      </w:r>
      <w:r w:rsidR="00A93CFB">
        <w:t>Natural Resources (</w:t>
      </w:r>
      <w:r w:rsidR="00A93CFB" w:rsidRPr="00A93CFB">
        <w:t>MNH)</w:t>
      </w:r>
      <w:r w:rsidR="00EF3D25" w:rsidRPr="00A93CFB">
        <w:t>; (</w:t>
      </w:r>
      <w:r w:rsidR="00A93CFB" w:rsidRPr="00A93CFB">
        <w:t>ii</w:t>
      </w:r>
      <w:r w:rsidR="00EF3D25" w:rsidRPr="00A93CFB">
        <w:t>) National Institute</w:t>
      </w:r>
      <w:r w:rsidR="00A93CFB" w:rsidRPr="00A93CFB">
        <w:t xml:space="preserve"> for Environment and Development</w:t>
      </w:r>
      <w:r w:rsidR="003E2E95">
        <w:t xml:space="preserve"> in Suriname (NIMOS)</w:t>
      </w:r>
      <w:r w:rsidR="00EF3D25" w:rsidRPr="00A93CFB">
        <w:t xml:space="preserve">; </w:t>
      </w:r>
      <w:r w:rsidR="00A93CFB" w:rsidRPr="00A93CFB">
        <w:t xml:space="preserve">(iii) </w:t>
      </w:r>
      <w:r w:rsidR="00EF3D25" w:rsidRPr="00A93CFB">
        <w:t xml:space="preserve">Ministry of Public Works; </w:t>
      </w:r>
      <w:r w:rsidR="00A93CFB" w:rsidRPr="00A93CFB">
        <w:t xml:space="preserve">(iv) </w:t>
      </w:r>
      <w:r w:rsidR="00EF3D25" w:rsidRPr="00A93CFB">
        <w:t>Ministry of Regional Development</w:t>
      </w:r>
      <w:r w:rsidR="00570F5F">
        <w:t xml:space="preserve">; </w:t>
      </w:r>
      <w:r w:rsidR="00DC5CBE">
        <w:t>(v)</w:t>
      </w:r>
      <w:r w:rsidR="00DC5CBE" w:rsidRPr="00DC5CBE">
        <w:t xml:space="preserve"> Ministry of Labor, Technological Development and Environment (ATM)</w:t>
      </w:r>
      <w:r w:rsidR="00EF3D25" w:rsidRPr="00A93CFB">
        <w:t xml:space="preserve">. These authorities </w:t>
      </w:r>
      <w:r w:rsidR="00DE2F43" w:rsidRPr="00A93CFB">
        <w:t xml:space="preserve">should provide environmental protection, rational use of natural resources, preservation of natural and cultural heritage and biodiversity, and environmental information and education. </w:t>
      </w:r>
      <w:r w:rsidR="00A93CFB">
        <w:t xml:space="preserve">The </w:t>
      </w:r>
      <w:r w:rsidR="00A93CFB" w:rsidRPr="00A93CFB">
        <w:t>MNH has the responsibility for the management of natural resource exploitation and for energy policy and supervision of the energy sector. MNH also supervises EBS,</w:t>
      </w:r>
      <w:r w:rsidR="005207B9">
        <w:t xml:space="preserve"> the </w:t>
      </w:r>
      <w:r w:rsidR="005207B9" w:rsidRPr="00A93CFB">
        <w:t>state-owned utility company</w:t>
      </w:r>
      <w:r w:rsidR="005207B9">
        <w:t xml:space="preserve"> and Executing Agency for the Program</w:t>
      </w:r>
      <w:r w:rsidR="00A93CFB" w:rsidRPr="00A93CFB">
        <w:t xml:space="preserve">. </w:t>
      </w:r>
    </w:p>
    <w:p w14:paraId="06168F40" w14:textId="0A009AE9" w:rsidR="00EF3D25" w:rsidRDefault="005207B9"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rsidRPr="00630078">
        <w:t xml:space="preserve">An </w:t>
      </w:r>
      <w:hyperlink r:id="rId14" w:history="1">
        <w:r w:rsidRPr="00ED1383">
          <w:rPr>
            <w:rStyle w:val="Hyperlink"/>
          </w:rPr>
          <w:t>Environmental and Social Assessment</w:t>
        </w:r>
      </w:hyperlink>
      <w:r w:rsidRPr="00630078">
        <w:t xml:space="preserve"> (ESA) </w:t>
      </w:r>
      <w:r w:rsidR="00F17134">
        <w:t xml:space="preserve">and corresponding </w:t>
      </w:r>
      <w:hyperlink r:id="rId15" w:history="1">
        <w:r w:rsidR="00F17134" w:rsidRPr="00ED1383">
          <w:rPr>
            <w:rStyle w:val="Hyperlink"/>
          </w:rPr>
          <w:t>E</w:t>
        </w:r>
        <w:r w:rsidR="00F44BA0" w:rsidRPr="00ED1383">
          <w:rPr>
            <w:rStyle w:val="Hyperlink"/>
          </w:rPr>
          <w:t xml:space="preserve">nvironmental and </w:t>
        </w:r>
        <w:r w:rsidR="00F17134" w:rsidRPr="00ED1383">
          <w:rPr>
            <w:rStyle w:val="Hyperlink"/>
          </w:rPr>
          <w:t>S</w:t>
        </w:r>
        <w:r w:rsidR="00F44BA0" w:rsidRPr="00ED1383">
          <w:rPr>
            <w:rStyle w:val="Hyperlink"/>
          </w:rPr>
          <w:t xml:space="preserve">ocial </w:t>
        </w:r>
        <w:r w:rsidR="00F17134" w:rsidRPr="00ED1383">
          <w:rPr>
            <w:rStyle w:val="Hyperlink"/>
          </w:rPr>
          <w:t>M</w:t>
        </w:r>
        <w:r w:rsidR="00F44BA0" w:rsidRPr="00ED1383">
          <w:rPr>
            <w:rStyle w:val="Hyperlink"/>
          </w:rPr>
          <w:t xml:space="preserve">anagement </w:t>
        </w:r>
        <w:r w:rsidR="00F17134" w:rsidRPr="00ED1383">
          <w:rPr>
            <w:rStyle w:val="Hyperlink"/>
          </w:rPr>
          <w:t>P</w:t>
        </w:r>
        <w:r w:rsidR="00F44BA0" w:rsidRPr="00ED1383">
          <w:rPr>
            <w:rStyle w:val="Hyperlink"/>
          </w:rPr>
          <w:t>lan</w:t>
        </w:r>
      </w:hyperlink>
      <w:r w:rsidR="00F44BA0">
        <w:t xml:space="preserve"> (ESMP)</w:t>
      </w:r>
      <w:r w:rsidR="00F17134">
        <w:t xml:space="preserve"> were</w:t>
      </w:r>
      <w:r w:rsidRPr="00630078">
        <w:t xml:space="preserve"> prepared</w:t>
      </w:r>
      <w:r>
        <w:t xml:space="preserve"> for the</w:t>
      </w:r>
      <w:r w:rsidRPr="00630078">
        <w:t xml:space="preserve"> project</w:t>
      </w:r>
      <w:r>
        <w:t xml:space="preserve"> per the guidelines in the Bank’s policy. </w:t>
      </w:r>
      <w:r w:rsidR="00E461E8">
        <w:t xml:space="preserve">The Bank retained a consultant to elaborate the ESA and ESMP for the Program. It is important to mention that due to the limited information available during the environmental and social due diligence, the consultant was not able to complete certain sections of the ESA. </w:t>
      </w:r>
      <w:r>
        <w:t xml:space="preserve">Recommendations presented in the ESA </w:t>
      </w:r>
      <w:r w:rsidR="00F17134">
        <w:t>were</w:t>
      </w:r>
      <w:r>
        <w:t xml:space="preserve"> used as a base for the ESMP,</w:t>
      </w:r>
      <w:r w:rsidRPr="005207B9">
        <w:t xml:space="preserve"> which will be applied to the entire </w:t>
      </w:r>
      <w:r>
        <w:t>Program to</w:t>
      </w:r>
      <w:r w:rsidRPr="005207B9">
        <w:t xml:space="preserve"> facilitate adequate environmental and social management, including the management of risks and potential environmental and social impacts associated with the </w:t>
      </w:r>
      <w:r>
        <w:t xml:space="preserve">proposed </w:t>
      </w:r>
      <w:r w:rsidRPr="005207B9">
        <w:t>works</w:t>
      </w:r>
      <w:r>
        <w:t xml:space="preserve">. </w:t>
      </w:r>
      <w:r w:rsidRPr="005207B9">
        <w:t xml:space="preserve"> The ESM</w:t>
      </w:r>
      <w:r>
        <w:t>P</w:t>
      </w:r>
      <w:r w:rsidRPr="005207B9">
        <w:t xml:space="preserve"> is framed within local regulations and supplemented with the requirements of Bank policies to ensure that each </w:t>
      </w:r>
      <w:r>
        <w:t>activity</w:t>
      </w:r>
      <w:r w:rsidRPr="005207B9">
        <w:t xml:space="preserve"> is aligned with the Bank's requirements</w:t>
      </w:r>
      <w:r w:rsidR="00F66872">
        <w:t>, and also in compliance with any applicable local laws</w:t>
      </w:r>
      <w:r>
        <w:t>.</w:t>
      </w:r>
      <w:r w:rsidR="00F17134">
        <w:t xml:space="preserve"> </w:t>
      </w:r>
    </w:p>
    <w:p w14:paraId="62B1CCCA" w14:textId="77777777" w:rsidR="00301336" w:rsidRDefault="00301336" w:rsidP="00301336"/>
    <w:p w14:paraId="5A0A5A8A" w14:textId="77777777" w:rsidR="00301336" w:rsidRPr="00AB2AC0" w:rsidRDefault="00301336" w:rsidP="00F17134">
      <w:pPr>
        <w:pStyle w:val="SecHeading"/>
        <w:numPr>
          <w:ilvl w:val="0"/>
          <w:numId w:val="4"/>
        </w:numPr>
        <w:tabs>
          <w:tab w:val="left" w:pos="630"/>
        </w:tabs>
        <w:spacing w:before="0"/>
        <w:ind w:left="720" w:hanging="720"/>
      </w:pPr>
      <w:bookmarkStart w:id="7" w:name="_Toc401912140"/>
      <w:r w:rsidRPr="00AB2AC0">
        <w:t>Consistency with IDB Policies and Directives</w:t>
      </w:r>
      <w:bookmarkEnd w:id="7"/>
      <w:r w:rsidRPr="00AB2AC0">
        <w:t xml:space="preserve"> </w:t>
      </w:r>
    </w:p>
    <w:p w14:paraId="5A405552" w14:textId="14E22F15" w:rsidR="005D7A96" w:rsidRPr="00976134" w:rsidRDefault="005D7A96"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 w:val="num" w:pos="1296"/>
        </w:tabs>
        <w:ind w:left="630" w:hanging="630"/>
        <w:rPr>
          <w:i/>
        </w:rPr>
      </w:pPr>
      <w:r>
        <w:t xml:space="preserve">The </w:t>
      </w:r>
      <w:r w:rsidRPr="005D7A96">
        <w:t xml:space="preserve">Environmental Safeguards Policy OP-703 and its relevant </w:t>
      </w:r>
      <w:r>
        <w:t>directives</w:t>
      </w:r>
      <w:r w:rsidRPr="005D7A96">
        <w:t xml:space="preserve"> have been activated as follows: OP-703</w:t>
      </w:r>
      <w:r w:rsidR="00A366C4">
        <w:t xml:space="preserve">, Directives </w:t>
      </w:r>
      <w:r w:rsidRPr="005D7A96">
        <w:t>B.</w:t>
      </w:r>
      <w:r w:rsidR="00242C77">
        <w:t>1</w:t>
      </w:r>
      <w:r w:rsidR="00A366C4">
        <w:t xml:space="preserve"> (</w:t>
      </w:r>
      <w:r w:rsidR="00242C77">
        <w:t>Access to Information</w:t>
      </w:r>
      <w:r w:rsidR="00A366C4">
        <w:t xml:space="preserve">), B.5 (Environmental Assessment Requirements), </w:t>
      </w:r>
      <w:r w:rsidRPr="005D7A96">
        <w:t xml:space="preserve">B.07 (Monitoring and Compliance), </w:t>
      </w:r>
      <w:r w:rsidR="00A366C4">
        <w:t>and</w:t>
      </w:r>
      <w:r w:rsidRPr="005D7A96">
        <w:t xml:space="preserve"> B.10 (Hazardous Materials)</w:t>
      </w:r>
      <w:r w:rsidR="00A366C4">
        <w:t xml:space="preserve">. </w:t>
      </w:r>
      <w:r w:rsidR="007D471D">
        <w:t>T</w:t>
      </w:r>
      <w:r w:rsidRPr="005D7A96">
        <w:t xml:space="preserve">he need for resettlement </w:t>
      </w:r>
      <w:r w:rsidR="007D471D">
        <w:t>is not anticipated</w:t>
      </w:r>
      <w:r w:rsidRPr="005D7A96">
        <w:t xml:space="preserve">, </w:t>
      </w:r>
      <w:r w:rsidR="007D471D">
        <w:t>however</w:t>
      </w:r>
      <w:r w:rsidRPr="005D7A96">
        <w:t xml:space="preserve"> if necessary, </w:t>
      </w:r>
      <w:r w:rsidR="007D471D" w:rsidRPr="005D7A96">
        <w:t>Policy OP-710</w:t>
      </w:r>
      <w:r w:rsidR="007D471D">
        <w:t xml:space="preserve"> (Involuntary Resettlement) </w:t>
      </w:r>
      <w:r w:rsidRPr="005D7A96">
        <w:t xml:space="preserve">will be applied to each case. Major policies and guidelines </w:t>
      </w:r>
      <w:r w:rsidR="007D471D">
        <w:t xml:space="preserve">are </w:t>
      </w:r>
      <w:r w:rsidRPr="005D7A96">
        <w:t xml:space="preserve">outlined below while a summary of the identified risks is presented in Section IV, and the current state of compliance and required actions are detailed in Appendix </w:t>
      </w:r>
      <w:r w:rsidR="007D471D">
        <w:t>I of this Report.</w:t>
      </w:r>
      <w:r w:rsidRPr="005D7A96">
        <w:t xml:space="preserve"> </w:t>
      </w:r>
    </w:p>
    <w:p w14:paraId="753AE078" w14:textId="160D5F61" w:rsidR="005D7A96" w:rsidRPr="00976134" w:rsidRDefault="005D7A96"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 w:val="num" w:pos="1296"/>
        </w:tabs>
        <w:ind w:left="630" w:hanging="630"/>
        <w:rPr>
          <w:i/>
        </w:rPr>
      </w:pPr>
      <w:r w:rsidRPr="007D471D">
        <w:rPr>
          <w:b/>
        </w:rPr>
        <w:t>B.7 Supervision and Monitoring.</w:t>
      </w:r>
      <w:r w:rsidRPr="005D7A96">
        <w:t xml:space="preserve"> The </w:t>
      </w:r>
      <w:r w:rsidR="007C359C">
        <w:t xml:space="preserve">Program’s </w:t>
      </w:r>
      <w:r w:rsidRPr="005D7A96">
        <w:t>ESM</w:t>
      </w:r>
      <w:r w:rsidR="007D471D">
        <w:t>P will</w:t>
      </w:r>
      <w:r w:rsidRPr="005D7A96">
        <w:t xml:space="preserve"> include guidelines for developing the monitoring program and monitoring reports that form part of the semiannual reports to be submitted to the Bank. Within the monitoring reports issues </w:t>
      </w:r>
      <w:r w:rsidR="00BD0D94">
        <w:t xml:space="preserve">such </w:t>
      </w:r>
      <w:r w:rsidRPr="005D7A96">
        <w:t xml:space="preserve">as the responsibilities and associated costs will be included in the monitoring of each </w:t>
      </w:r>
      <w:r w:rsidRPr="005D7A96">
        <w:lastRenderedPageBreak/>
        <w:t>project as well as the progress in the implementation of plans for environmental, social management, and occupational health</w:t>
      </w:r>
      <w:r w:rsidR="007C359C">
        <w:t xml:space="preserve"> and safety</w:t>
      </w:r>
      <w:r w:rsidRPr="005D7A96">
        <w:t xml:space="preserve">. </w:t>
      </w:r>
    </w:p>
    <w:p w14:paraId="6EC23F9F" w14:textId="77777777" w:rsidR="005D7A96" w:rsidRPr="00976134" w:rsidRDefault="005D7A96"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 w:val="num" w:pos="1296"/>
        </w:tabs>
        <w:ind w:left="630" w:hanging="630"/>
        <w:rPr>
          <w:b/>
          <w:i/>
        </w:rPr>
      </w:pPr>
      <w:r w:rsidRPr="00976134">
        <w:rPr>
          <w:b/>
        </w:rPr>
        <w:t xml:space="preserve">Hazardous Materials B.10. </w:t>
      </w:r>
      <w:r w:rsidRPr="00976134">
        <w:t xml:space="preserve">To ensure compliance with this </w:t>
      </w:r>
      <w:r w:rsidR="007C359C" w:rsidRPr="00976134">
        <w:t>Directive</w:t>
      </w:r>
      <w:r w:rsidRPr="00976134">
        <w:t>, the ESM</w:t>
      </w:r>
      <w:r w:rsidR="00CB5F0B" w:rsidRPr="00976134">
        <w:t xml:space="preserve">P </w:t>
      </w:r>
      <w:r w:rsidR="00670E6D" w:rsidRPr="00976134">
        <w:t xml:space="preserve">will include </w:t>
      </w:r>
      <w:r w:rsidR="00CB5F0B" w:rsidRPr="00976134">
        <w:t xml:space="preserve">a </w:t>
      </w:r>
      <w:r w:rsidR="00976134" w:rsidRPr="00976134">
        <w:t xml:space="preserve">comprehensive </w:t>
      </w:r>
      <w:r w:rsidR="00CB5F0B" w:rsidRPr="00976134">
        <w:t xml:space="preserve">waste management </w:t>
      </w:r>
      <w:r w:rsidR="00976134" w:rsidRPr="00976134">
        <w:t xml:space="preserve">plan that includes transportation, handling, disposal, and treatment of the most significant hazardous waste and hazardous materials to be used, </w:t>
      </w:r>
      <w:r w:rsidR="00CB5F0B" w:rsidRPr="00976134">
        <w:t>to address potential impacts from the disposal of hazardous waste.  The ESMP will also include guidelines on the use of hazardous materials</w:t>
      </w:r>
      <w:r w:rsidRPr="00976134">
        <w:t xml:space="preserve"> referenced in the </w:t>
      </w:r>
      <w:r w:rsidR="00CB5F0B" w:rsidRPr="00976134">
        <w:t>IDB’s E</w:t>
      </w:r>
      <w:r w:rsidRPr="00976134">
        <w:t xml:space="preserve">xclusion </w:t>
      </w:r>
      <w:r w:rsidR="00CB5F0B" w:rsidRPr="00976134">
        <w:t>L</w:t>
      </w:r>
      <w:r w:rsidRPr="00976134">
        <w:t>ist of activities to be financed</w:t>
      </w:r>
      <w:r w:rsidR="00976134" w:rsidRPr="00976134">
        <w:t xml:space="preserve">. The ESMP must be presented to the Bank and obtain </w:t>
      </w:r>
      <w:r w:rsidR="00F34517" w:rsidRPr="00976134">
        <w:t>the non</w:t>
      </w:r>
      <w:r w:rsidR="00976134" w:rsidRPr="00976134">
        <w:t>-objection before initiating the tendering process for the proposed works.</w:t>
      </w:r>
      <w:r w:rsidR="00976134" w:rsidRPr="00976134">
        <w:rPr>
          <w:b/>
        </w:rPr>
        <w:t xml:space="preserve"> </w:t>
      </w:r>
      <w:r w:rsidRPr="00976134">
        <w:rPr>
          <w:b/>
        </w:rPr>
        <w:t xml:space="preserve"> </w:t>
      </w:r>
    </w:p>
    <w:p w14:paraId="2707E41C" w14:textId="4434F432" w:rsidR="00301336" w:rsidRDefault="005D7A96"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 w:val="num" w:pos="1296"/>
        </w:tabs>
        <w:ind w:left="630" w:hanging="630"/>
        <w:rPr>
          <w:i/>
        </w:rPr>
      </w:pPr>
      <w:r w:rsidRPr="00EB6A25">
        <w:rPr>
          <w:b/>
        </w:rPr>
        <w:t xml:space="preserve">OP-704 Disaster Risk. </w:t>
      </w:r>
      <w:r w:rsidR="00EB6A25" w:rsidRPr="00EB6A25">
        <w:t xml:space="preserve">The </w:t>
      </w:r>
      <w:r w:rsidR="00FF38D2">
        <w:t xml:space="preserve">disaster risk category of the </w:t>
      </w:r>
      <w:r w:rsidR="00EB6A25" w:rsidRPr="00EB6A25">
        <w:t xml:space="preserve">project was evaluated </w:t>
      </w:r>
      <w:r w:rsidR="00FF38D2">
        <w:t xml:space="preserve">and found to be low. </w:t>
      </w:r>
      <w:r w:rsidR="00E461E8">
        <w:t xml:space="preserve">The Bank has developed site selection criteria to avoid, among others, areas prone to natural disaster risks. </w:t>
      </w:r>
      <w:r w:rsidR="00FF38D2" w:rsidRPr="00BA531E">
        <w:t>A</w:t>
      </w:r>
      <w:r w:rsidRPr="00BA531E">
        <w:t xml:space="preserve">ccording to the Directive A.2 of Disaster Risk Policy OP-704 operations with </w:t>
      </w:r>
      <w:r w:rsidR="00CE5341" w:rsidRPr="00BA531E">
        <w:t>low</w:t>
      </w:r>
      <w:r w:rsidRPr="00BA531E">
        <w:t xml:space="preserve"> risk </w:t>
      </w:r>
      <w:r w:rsidR="00FF38D2" w:rsidRPr="00BA531E">
        <w:t xml:space="preserve">level </w:t>
      </w:r>
      <w:r w:rsidRPr="00BA531E">
        <w:t xml:space="preserve">of </w:t>
      </w:r>
      <w:r w:rsidR="00FF38D2" w:rsidRPr="00BA531E">
        <w:t xml:space="preserve">natural </w:t>
      </w:r>
      <w:r w:rsidRPr="00BA531E">
        <w:t xml:space="preserve">disasters generally do not require </w:t>
      </w:r>
      <w:r w:rsidR="00FF38D2" w:rsidRPr="00BA531E">
        <w:t>specific disaster risk management measures.</w:t>
      </w:r>
      <w:r w:rsidRPr="00BA531E">
        <w:t xml:space="preserve"> </w:t>
      </w:r>
    </w:p>
    <w:p w14:paraId="0717A39E" w14:textId="77777777" w:rsidR="00301336" w:rsidRDefault="00301336" w:rsidP="00301336">
      <w:pPr>
        <w:pStyle w:val="SecHeading"/>
        <w:numPr>
          <w:ilvl w:val="0"/>
          <w:numId w:val="4"/>
        </w:numPr>
        <w:tabs>
          <w:tab w:val="left" w:pos="720"/>
        </w:tabs>
        <w:spacing w:before="0"/>
        <w:ind w:left="720" w:hanging="720"/>
      </w:pPr>
      <w:bookmarkStart w:id="8" w:name="_Toc401912141"/>
      <w:r>
        <w:t xml:space="preserve">Project </w:t>
      </w:r>
      <w:r w:rsidRPr="00223034">
        <w:t xml:space="preserve">Standards </w:t>
      </w:r>
      <w:r>
        <w:t>and Requirements</w:t>
      </w:r>
      <w:bookmarkEnd w:id="8"/>
    </w:p>
    <w:p w14:paraId="30EC9F5E" w14:textId="77777777" w:rsidR="00301336" w:rsidRDefault="001B52D7"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 w:val="num" w:pos="1296"/>
        </w:tabs>
        <w:ind w:left="630" w:hanging="630"/>
        <w:rPr>
          <w:i/>
        </w:rPr>
      </w:pPr>
      <w:r>
        <w:t>Annex I of this ESMR shows the requirements to achieve compliance</w:t>
      </w:r>
      <w:r w:rsidR="00DD0696">
        <w:t xml:space="preserve"> with IDB Policy requirements</w:t>
      </w:r>
      <w:r>
        <w:t xml:space="preserve">. </w:t>
      </w:r>
    </w:p>
    <w:p w14:paraId="00AAB11E" w14:textId="7F42C997" w:rsidR="002E3B3A" w:rsidRDefault="00DD0696"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 w:val="num" w:pos="1296"/>
        </w:tabs>
        <w:ind w:left="630" w:hanging="630"/>
        <w:rPr>
          <w:i/>
        </w:rPr>
      </w:pPr>
      <w:r w:rsidRPr="00DD0696">
        <w:t xml:space="preserve">According to the information gathered during the </w:t>
      </w:r>
      <w:r w:rsidR="00242C77">
        <w:t>ESA</w:t>
      </w:r>
      <w:r w:rsidRPr="00DD0696">
        <w:t xml:space="preserve"> of the Program, </w:t>
      </w:r>
      <w:r>
        <w:t xml:space="preserve">in Suriname </w:t>
      </w:r>
      <w:r w:rsidRPr="00DD0696">
        <w:t>power sector regulations, standards, guidelines and design criteria mainly follow the United States guidelines, ANSI (American National Standards Institute</w:t>
      </w:r>
      <w:r w:rsidRPr="00DD0696">
        <w:footnoteReference w:id="4"/>
      </w:r>
      <w:r w:rsidRPr="00DD0696">
        <w:t xml:space="preserve">) and the National Electrical Code (NEC), which includes NFPA 70, a United States standard for the safe installation of electrical wiring and equipment. It is part of the National Fire Codes series published by the National Fire Protection Association (NFPA). </w:t>
      </w:r>
      <w:r w:rsidRPr="002E3B3A">
        <w:t xml:space="preserve">The use of NEC is commonly mandated by state or local law </w:t>
      </w:r>
      <w:r w:rsidR="002E3B3A" w:rsidRPr="002E3B3A">
        <w:t>in the U.S</w:t>
      </w:r>
      <w:r w:rsidRPr="002E3B3A">
        <w:t>, as well as in many jurisdictions outside of the United States. NEC codifies the requirements for safe electrical installations into a single, standardized source. In Suriname, EBS will be responsible for ensuring compliance with these minimum standards</w:t>
      </w:r>
      <w:r w:rsidRPr="002E3B3A">
        <w:rPr>
          <w:vertAlign w:val="superscript"/>
        </w:rPr>
        <w:footnoteReference w:id="5"/>
      </w:r>
      <w:r w:rsidRPr="002E3B3A">
        <w:rPr>
          <w:vertAlign w:val="superscript"/>
        </w:rPr>
        <w:t>.</w:t>
      </w:r>
      <w:r w:rsidRPr="002E3B3A">
        <w:t xml:space="preserve"> </w:t>
      </w:r>
    </w:p>
    <w:p w14:paraId="2F5988D1" w14:textId="77777777" w:rsidR="00DD0696" w:rsidRPr="002E3B3A" w:rsidRDefault="00DD0696"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 w:val="num" w:pos="1296"/>
        </w:tabs>
        <w:ind w:left="630" w:hanging="630"/>
        <w:rPr>
          <w:i/>
        </w:rPr>
      </w:pPr>
      <w:r w:rsidRPr="002E3B3A">
        <w:t xml:space="preserve">Currently, EBS applies the NEC codes and IFC regulations concerning removal and disposal of toxic wastes, but no laws currently exist to enforce these standards. The Government of Suriname does not have specific laws or regulations pertaining to the safe disposal of toxic materials, however EBS regularly requests NIMOS to allow EBS to follow the highest standards for individual projects (IFC, IDB).  </w:t>
      </w:r>
    </w:p>
    <w:p w14:paraId="2F9AA994" w14:textId="77777777" w:rsidR="00A9364D" w:rsidRDefault="002E3B3A" w:rsidP="00A9364D">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 w:val="num" w:pos="1296"/>
        </w:tabs>
        <w:ind w:left="630" w:hanging="630"/>
        <w:rPr>
          <w:i/>
        </w:rPr>
      </w:pPr>
      <w:r>
        <w:t xml:space="preserve">Additionally, </w:t>
      </w:r>
      <w:r w:rsidR="00DD0696" w:rsidRPr="00DD0696">
        <w:t>Suriname has ratified the Basel Convention</w:t>
      </w:r>
      <w:r w:rsidR="00DD0696" w:rsidRPr="002E3B3A">
        <w:rPr>
          <w:vertAlign w:val="superscript"/>
        </w:rPr>
        <w:footnoteReference w:id="6"/>
      </w:r>
      <w:r w:rsidR="00DD0696" w:rsidRPr="00DD0696">
        <w:t>, on the Control of Transboundary Movements of Hazardous Wastes and Their Disposal, and the Stockholm Convention</w:t>
      </w:r>
      <w:r w:rsidR="00DD0696" w:rsidRPr="002E3B3A">
        <w:rPr>
          <w:vertAlign w:val="superscript"/>
        </w:rPr>
        <w:footnoteReference w:id="7"/>
      </w:r>
      <w:r w:rsidR="00DD0696" w:rsidRPr="00DD0696">
        <w:t xml:space="preserve"> Stockholm Convention, on Persistent Organic Pollutants (POPs). Both </w:t>
      </w:r>
      <w:r w:rsidR="00DD0696" w:rsidRPr="00DD0696">
        <w:lastRenderedPageBreak/>
        <w:t>conventions are intended to minimize the amount and toxicity of wastes generated, to ensure their environmentally sound management as closely as possible to the source of generation, and to assist less developed countries in environmentally sound management of the hazardous and other wastes they generate.</w:t>
      </w:r>
    </w:p>
    <w:p w14:paraId="4BD86E2C" w14:textId="5B684CAF" w:rsidR="00C240B9" w:rsidRPr="00A9364D" w:rsidRDefault="00DD0696" w:rsidP="00A9364D">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 w:val="num" w:pos="1296"/>
        </w:tabs>
        <w:ind w:left="630" w:hanging="630"/>
        <w:rPr>
          <w:i/>
        </w:rPr>
      </w:pPr>
      <w:bookmarkStart w:id="9" w:name="_GoBack"/>
      <w:bookmarkEnd w:id="9"/>
      <w:r w:rsidRPr="00DD0696">
        <w:t xml:space="preserve">A draft Environmental Health and Safety Plan and Waste Management Plan are currently being developed by EBS following the American power sector standards. Both plans are required to be completed as part of the ESMP for the Program, as specified in Annex I. </w:t>
      </w:r>
    </w:p>
    <w:p w14:paraId="49076ABF" w14:textId="77777777" w:rsidR="00301336" w:rsidRPr="002E3B3A" w:rsidRDefault="00301336" w:rsidP="00301336">
      <w:pPr>
        <w:pStyle w:val="SecHeading"/>
        <w:numPr>
          <w:ilvl w:val="0"/>
          <w:numId w:val="4"/>
        </w:numPr>
        <w:tabs>
          <w:tab w:val="left" w:pos="720"/>
        </w:tabs>
        <w:spacing w:before="0"/>
        <w:ind w:left="720" w:hanging="720"/>
      </w:pPr>
      <w:bookmarkStart w:id="10" w:name="_Toc401912142"/>
      <w:r w:rsidRPr="002E3B3A">
        <w:t>Other Key Compliance Information</w:t>
      </w:r>
      <w:bookmarkEnd w:id="10"/>
    </w:p>
    <w:p w14:paraId="3C96F648" w14:textId="77777777" w:rsidR="00301336" w:rsidRPr="00F17134" w:rsidRDefault="002E3B3A"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 w:val="num" w:pos="1296"/>
        </w:tabs>
        <w:ind w:left="630" w:hanging="630"/>
        <w:rPr>
          <w:i/>
        </w:rPr>
      </w:pPr>
      <w:r>
        <w:t>In addition to compliance</w:t>
      </w:r>
      <w:r w:rsidR="00C240B9">
        <w:t xml:space="preserve"> with </w:t>
      </w:r>
      <w:r w:rsidR="00C240B9" w:rsidRPr="00C240B9">
        <w:t>obligations under the Stockholm and Basel Conventions pertaining to management &amp; disposal of P</w:t>
      </w:r>
      <w:r w:rsidR="001B52D7">
        <w:t xml:space="preserve">CBs, </w:t>
      </w:r>
      <w:r>
        <w:t xml:space="preserve">and </w:t>
      </w:r>
      <w:r w:rsidR="001B52D7">
        <w:t>extending to</w:t>
      </w:r>
      <w:r w:rsidR="00C240B9" w:rsidRPr="00C240B9">
        <w:t xml:space="preserve"> licensing of contractors who do disposal of heavy metals</w:t>
      </w:r>
      <w:r>
        <w:t>,</w:t>
      </w:r>
      <w:r w:rsidR="00DF11E8">
        <w:t xml:space="preserve"> the Program will take into account the IFC’s</w:t>
      </w:r>
      <w:r w:rsidR="00DF11E8" w:rsidRPr="00DF11E8">
        <w:t xml:space="preserve"> </w:t>
      </w:r>
      <w:r w:rsidR="00DF11E8" w:rsidRPr="00C240B9">
        <w:t>General Guidelines on Environment, Health and Safety</w:t>
      </w:r>
      <w:r w:rsidR="001B52D7">
        <w:t>.</w:t>
      </w:r>
    </w:p>
    <w:p w14:paraId="0672FA48" w14:textId="77777777" w:rsidR="00301336" w:rsidRDefault="00301336" w:rsidP="00976134">
      <w:pPr>
        <w:pStyle w:val="Chapter"/>
        <w:numPr>
          <w:ilvl w:val="0"/>
          <w:numId w:val="7"/>
        </w:numPr>
        <w:tabs>
          <w:tab w:val="clear" w:pos="1440"/>
          <w:tab w:val="num" w:pos="720"/>
        </w:tabs>
        <w:ind w:left="720" w:hanging="720"/>
        <w:jc w:val="left"/>
      </w:pPr>
      <w:bookmarkStart w:id="11" w:name="_Toc269284804"/>
      <w:bookmarkStart w:id="12" w:name="_Toc401912143"/>
      <w:r w:rsidRPr="00A02F11">
        <w:t>ENVIRONMENTAL AND SOCIAL IMPACTS AND RISKS</w:t>
      </w:r>
      <w:bookmarkEnd w:id="11"/>
      <w:r>
        <w:t xml:space="preserve"> AND MITIGATION</w:t>
      </w:r>
      <w:bookmarkEnd w:id="12"/>
    </w:p>
    <w:p w14:paraId="03F852A2" w14:textId="77777777" w:rsidR="00301336" w:rsidRPr="00AB2AC0" w:rsidRDefault="00301336" w:rsidP="00301336">
      <w:pPr>
        <w:pStyle w:val="SecHeading"/>
        <w:numPr>
          <w:ilvl w:val="0"/>
          <w:numId w:val="5"/>
        </w:numPr>
        <w:tabs>
          <w:tab w:val="left" w:pos="720"/>
        </w:tabs>
        <w:spacing w:before="0"/>
        <w:ind w:left="720" w:hanging="720"/>
      </w:pPr>
      <w:bookmarkStart w:id="13" w:name="_Toc401912144"/>
      <w:bookmarkStart w:id="14" w:name="_Toc269284805"/>
      <w:r w:rsidRPr="00AB2AC0">
        <w:t>Environmental Impacts and Risks</w:t>
      </w:r>
      <w:bookmarkEnd w:id="13"/>
    </w:p>
    <w:p w14:paraId="6886C659" w14:textId="45B4EC04" w:rsidR="000A6869" w:rsidRPr="000A6869" w:rsidRDefault="000A6869"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t xml:space="preserve">The Bank has reviewed the potential environmental and social risks and impacts of the proposed activities under the Program. Based on this review, the Bank has categorized the project as a “B”. </w:t>
      </w:r>
      <w:r w:rsidRPr="000A6869">
        <w:t>As a result</w:t>
      </w:r>
      <w:r>
        <w:t xml:space="preserve">, </w:t>
      </w:r>
      <w:r w:rsidR="00597DF5">
        <w:t>effects</w:t>
      </w:r>
      <w:r>
        <w:t xml:space="preserve"> are expected to be</w:t>
      </w:r>
      <w:r w:rsidRPr="000A6869">
        <w:t xml:space="preserve"> localized and short-term </w:t>
      </w:r>
      <w:r w:rsidR="00597DF5">
        <w:t xml:space="preserve">that </w:t>
      </w:r>
      <w:r w:rsidR="00597DF5" w:rsidRPr="000A6869">
        <w:t>usually results</w:t>
      </w:r>
      <w:r w:rsidRPr="000A6869">
        <w:t xml:space="preserve"> from the construction of </w:t>
      </w:r>
      <w:r w:rsidR="00555E69">
        <w:t xml:space="preserve">the </w:t>
      </w:r>
      <w:r>
        <w:t>proposed activities</w:t>
      </w:r>
      <w:r w:rsidRPr="000A6869">
        <w:t xml:space="preserve">. </w:t>
      </w:r>
    </w:p>
    <w:p w14:paraId="157438B3" w14:textId="4D9895F7" w:rsidR="000A6869" w:rsidRPr="000A6869" w:rsidRDefault="000A6869"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rsidRPr="000A6869">
        <w:t xml:space="preserve">The most important for the mitigation of environmental and social impacts of </w:t>
      </w:r>
      <w:r w:rsidR="00555E69">
        <w:t xml:space="preserve">the Program </w:t>
      </w:r>
      <w:r w:rsidRPr="000A6869">
        <w:t xml:space="preserve">is the proper implementation of the ESMP updated according to the needs of each project and appropriate supervision, monitoring, and monitoring measures described there. </w:t>
      </w:r>
    </w:p>
    <w:p w14:paraId="26AFE1E0" w14:textId="77777777" w:rsidR="000A6869" w:rsidRDefault="00597DF5"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rsidRPr="00597DF5">
        <w:rPr>
          <w:b/>
        </w:rPr>
        <w:t>Construction.</w:t>
      </w:r>
      <w:r>
        <w:t xml:space="preserve">  At</w:t>
      </w:r>
      <w:r w:rsidR="000A6869" w:rsidRPr="000A6869">
        <w:t xml:space="preserve"> this stage it is expected that infrastructure projects generate both negative and positive environmental impacts. The negative impacts are considered moderate and relatively short duration. </w:t>
      </w:r>
      <w:r>
        <w:t>Primarily, it is expected that nuisances</w:t>
      </w:r>
      <w:r w:rsidR="000A6869" w:rsidRPr="000A6869">
        <w:t xml:space="preserve"> </w:t>
      </w:r>
      <w:r w:rsidRPr="000A6869">
        <w:t xml:space="preserve">to the surrounding </w:t>
      </w:r>
      <w:r>
        <w:t>communities will</w:t>
      </w:r>
      <w:r w:rsidR="000A6869" w:rsidRPr="000A6869">
        <w:t xml:space="preserve"> increase</w:t>
      </w:r>
      <w:r w:rsidR="00FE4559">
        <w:t xml:space="preserve"> during the construction phase</w:t>
      </w:r>
      <w:r>
        <w:t xml:space="preserve">.  </w:t>
      </w:r>
      <w:r w:rsidR="00FE4559">
        <w:t xml:space="preserve">Table 3 includes some identified impacts for the construction phase.  </w:t>
      </w:r>
      <w:r w:rsidR="000A6869" w:rsidRPr="000A6869">
        <w:t>These impacts are not considered significant and can be mitigated by following the reco</w:t>
      </w:r>
      <w:r w:rsidR="00FE4559">
        <w:t xml:space="preserve">mmendations specified in the ESMP.  </w:t>
      </w:r>
    </w:p>
    <w:tbl>
      <w:tblPr>
        <w:tblStyle w:val="TableGrid"/>
        <w:tblW w:w="0" w:type="auto"/>
        <w:tblInd w:w="567" w:type="dxa"/>
        <w:tblLook w:val="04A0" w:firstRow="1" w:lastRow="0" w:firstColumn="1" w:lastColumn="0" w:noHBand="0" w:noVBand="1"/>
      </w:tblPr>
      <w:tblGrid>
        <w:gridCol w:w="4511"/>
        <w:gridCol w:w="4498"/>
      </w:tblGrid>
      <w:tr w:rsidR="00597DF5" w:rsidRPr="006B23F7" w14:paraId="76CF1A3C" w14:textId="77777777" w:rsidTr="00597DF5">
        <w:tc>
          <w:tcPr>
            <w:tcW w:w="9009" w:type="dxa"/>
            <w:gridSpan w:val="2"/>
            <w:shd w:val="clear" w:color="auto" w:fill="4F81BD" w:themeFill="accent1"/>
          </w:tcPr>
          <w:p w14:paraId="447926B7" w14:textId="77777777" w:rsidR="00597DF5" w:rsidRPr="00597DF5" w:rsidRDefault="00597DF5" w:rsidP="007459CB">
            <w:pPr>
              <w:keepNext/>
              <w:jc w:val="center"/>
              <w:rPr>
                <w:b/>
              </w:rPr>
            </w:pPr>
            <w:r w:rsidRPr="00597DF5">
              <w:rPr>
                <w:b/>
              </w:rPr>
              <w:lastRenderedPageBreak/>
              <w:t xml:space="preserve">Table </w:t>
            </w:r>
            <w:r w:rsidR="00CE1BB2">
              <w:rPr>
                <w:b/>
              </w:rPr>
              <w:t>3</w:t>
            </w:r>
            <w:r>
              <w:rPr>
                <w:b/>
              </w:rPr>
              <w:t xml:space="preserve"> </w:t>
            </w:r>
            <w:r w:rsidRPr="00597DF5">
              <w:rPr>
                <w:b/>
              </w:rPr>
              <w:t xml:space="preserve"> </w:t>
            </w:r>
            <w:r>
              <w:rPr>
                <w:b/>
              </w:rPr>
              <w:t xml:space="preserve">IMPACTS DURING </w:t>
            </w:r>
            <w:r w:rsidRPr="00597DF5">
              <w:rPr>
                <w:b/>
              </w:rPr>
              <w:t>CONSTRUCTION PHASE</w:t>
            </w:r>
          </w:p>
        </w:tc>
      </w:tr>
      <w:tr w:rsidR="00597DF5" w:rsidRPr="006B23F7" w14:paraId="0C3E5119" w14:textId="77777777" w:rsidTr="00597DF5">
        <w:tc>
          <w:tcPr>
            <w:tcW w:w="4511" w:type="dxa"/>
            <w:shd w:val="clear" w:color="auto" w:fill="95B3D7" w:themeFill="accent1" w:themeFillTint="99"/>
            <w:vAlign w:val="center"/>
          </w:tcPr>
          <w:p w14:paraId="022E7540" w14:textId="77777777" w:rsidR="00597DF5" w:rsidRPr="005454D9" w:rsidRDefault="00597DF5" w:rsidP="007459CB">
            <w:pPr>
              <w:keepNext/>
              <w:jc w:val="center"/>
              <w:rPr>
                <w:b/>
                <w:lang w:val="es-ES"/>
              </w:rPr>
            </w:pPr>
            <w:r w:rsidRPr="005454D9">
              <w:rPr>
                <w:b/>
                <w:lang w:val="es-ES"/>
              </w:rPr>
              <w:t>NEGATIV</w:t>
            </w:r>
            <w:r>
              <w:rPr>
                <w:b/>
                <w:lang w:val="es-ES"/>
              </w:rPr>
              <w:t>E</w:t>
            </w:r>
          </w:p>
        </w:tc>
        <w:tc>
          <w:tcPr>
            <w:tcW w:w="4498" w:type="dxa"/>
            <w:shd w:val="clear" w:color="auto" w:fill="95B3D7" w:themeFill="accent1" w:themeFillTint="99"/>
            <w:vAlign w:val="center"/>
          </w:tcPr>
          <w:p w14:paraId="4B54B8B2" w14:textId="77777777" w:rsidR="00597DF5" w:rsidRPr="005454D9" w:rsidRDefault="00597DF5" w:rsidP="007459CB">
            <w:pPr>
              <w:keepNext/>
              <w:jc w:val="center"/>
              <w:rPr>
                <w:b/>
                <w:lang w:val="es-ES"/>
              </w:rPr>
            </w:pPr>
            <w:r w:rsidRPr="005454D9">
              <w:rPr>
                <w:b/>
                <w:lang w:val="es-ES"/>
              </w:rPr>
              <w:t>POSITIV</w:t>
            </w:r>
            <w:r>
              <w:rPr>
                <w:b/>
                <w:lang w:val="es-ES"/>
              </w:rPr>
              <w:t>E</w:t>
            </w:r>
          </w:p>
        </w:tc>
      </w:tr>
      <w:tr w:rsidR="00597DF5" w:rsidRPr="00597DF5" w14:paraId="7EB1AC7F" w14:textId="77777777" w:rsidTr="00597DF5">
        <w:trPr>
          <w:trHeight w:val="2567"/>
        </w:trPr>
        <w:tc>
          <w:tcPr>
            <w:tcW w:w="4511" w:type="dxa"/>
          </w:tcPr>
          <w:p w14:paraId="4DB9DAB0" w14:textId="77777777" w:rsidR="00597DF5" w:rsidRPr="00597DF5" w:rsidRDefault="00597DF5" w:rsidP="007459CB">
            <w:pPr>
              <w:pStyle w:val="ListParagraph"/>
              <w:keepNext/>
              <w:numPr>
                <w:ilvl w:val="0"/>
                <w:numId w:val="11"/>
              </w:numPr>
              <w:ind w:left="333" w:hanging="270"/>
            </w:pPr>
            <w:r w:rsidRPr="00597DF5">
              <w:t xml:space="preserve">Increased Particulate matter, dust and noise in the surrounding environment </w:t>
            </w:r>
          </w:p>
          <w:p w14:paraId="6E076B06" w14:textId="77777777" w:rsidR="00597DF5" w:rsidRPr="00597DF5" w:rsidRDefault="00597DF5" w:rsidP="007459CB">
            <w:pPr>
              <w:pStyle w:val="ListParagraph"/>
              <w:keepNext/>
              <w:numPr>
                <w:ilvl w:val="0"/>
                <w:numId w:val="11"/>
              </w:numPr>
              <w:ind w:left="333" w:hanging="270"/>
            </w:pPr>
            <w:r w:rsidRPr="00597DF5">
              <w:t xml:space="preserve">Risk Fuel spill </w:t>
            </w:r>
            <w:r w:rsidR="003E7107">
              <w:t xml:space="preserve">and oils </w:t>
            </w:r>
            <w:r w:rsidRPr="00597DF5">
              <w:t xml:space="preserve">of machinery during construction work. </w:t>
            </w:r>
          </w:p>
          <w:p w14:paraId="2DA1C442" w14:textId="77777777" w:rsidR="00597DF5" w:rsidRPr="00597DF5" w:rsidRDefault="00597DF5" w:rsidP="007459CB">
            <w:pPr>
              <w:pStyle w:val="ListParagraph"/>
              <w:keepNext/>
              <w:numPr>
                <w:ilvl w:val="0"/>
                <w:numId w:val="11"/>
              </w:numPr>
              <w:ind w:left="333" w:hanging="270"/>
            </w:pPr>
            <w:r w:rsidRPr="00597DF5">
              <w:t>Altered surfac</w:t>
            </w:r>
            <w:r w:rsidR="001B52D7">
              <w:t>e runoff due to soil movements</w:t>
            </w:r>
          </w:p>
          <w:p w14:paraId="31F2F437" w14:textId="77777777" w:rsidR="00597DF5" w:rsidRPr="00597DF5" w:rsidRDefault="00597DF5" w:rsidP="007459CB">
            <w:pPr>
              <w:pStyle w:val="ListParagraph"/>
              <w:keepNext/>
              <w:numPr>
                <w:ilvl w:val="0"/>
                <w:numId w:val="11"/>
              </w:numPr>
              <w:ind w:left="333" w:hanging="270"/>
            </w:pPr>
            <w:r w:rsidRPr="00597DF5">
              <w:t>Erosi</w:t>
            </w:r>
            <w:r>
              <w:t>o</w:t>
            </w:r>
            <w:r w:rsidRPr="00597DF5">
              <w:t>n Natural terrai</w:t>
            </w:r>
            <w:r w:rsidR="001B52D7">
              <w:t>n and elimination of native flora</w:t>
            </w:r>
          </w:p>
          <w:p w14:paraId="508FAC75" w14:textId="77777777" w:rsidR="00597DF5" w:rsidRPr="00597DF5" w:rsidRDefault="00597DF5" w:rsidP="007459CB">
            <w:pPr>
              <w:pStyle w:val="ListParagraph"/>
              <w:keepNext/>
              <w:numPr>
                <w:ilvl w:val="0"/>
                <w:numId w:val="11"/>
              </w:numPr>
              <w:ind w:left="333" w:hanging="270"/>
            </w:pPr>
            <w:r w:rsidRPr="00597DF5">
              <w:t>Increase of transit m</w:t>
            </w:r>
            <w:r w:rsidR="001B52D7">
              <w:t>ovement of trucks for the work</w:t>
            </w:r>
          </w:p>
          <w:p w14:paraId="32D7F379" w14:textId="77777777" w:rsidR="00597DF5" w:rsidRPr="00597DF5" w:rsidRDefault="00597DF5" w:rsidP="007459CB">
            <w:pPr>
              <w:pStyle w:val="ListParagraph"/>
              <w:keepNext/>
              <w:numPr>
                <w:ilvl w:val="0"/>
                <w:numId w:val="11"/>
              </w:numPr>
              <w:ind w:left="333" w:hanging="270"/>
            </w:pPr>
            <w:r>
              <w:t>Nuisances</w:t>
            </w:r>
            <w:r w:rsidRPr="00597DF5">
              <w:t xml:space="preserve"> to neighbors because of increased noise and dust</w:t>
            </w:r>
          </w:p>
        </w:tc>
        <w:tc>
          <w:tcPr>
            <w:tcW w:w="4498" w:type="dxa"/>
          </w:tcPr>
          <w:p w14:paraId="21A4432C" w14:textId="3AB47A7E" w:rsidR="00597DF5" w:rsidRPr="00597DF5" w:rsidRDefault="00597DF5" w:rsidP="007459CB">
            <w:pPr>
              <w:keepNext/>
            </w:pPr>
            <w:r w:rsidRPr="00597DF5">
              <w:t>Increase of the demand for labor for construction work</w:t>
            </w:r>
            <w:r w:rsidR="007B6797">
              <w:t xml:space="preserve"> (short term effect).</w:t>
            </w:r>
          </w:p>
          <w:p w14:paraId="35B1BD23" w14:textId="77777777" w:rsidR="00597DF5" w:rsidRPr="00597DF5" w:rsidRDefault="00597DF5" w:rsidP="007459CB">
            <w:pPr>
              <w:keepNext/>
            </w:pPr>
          </w:p>
        </w:tc>
      </w:tr>
    </w:tbl>
    <w:p w14:paraId="01337A9A" w14:textId="77777777" w:rsidR="00597DF5" w:rsidRPr="000A6869" w:rsidRDefault="00597DF5" w:rsidP="00597DF5">
      <w:pPr>
        <w:pStyle w:val="Paragraph"/>
        <w:numPr>
          <w:ilvl w:val="0"/>
          <w:numId w:val="0"/>
        </w:numPr>
        <w:pBdr>
          <w:top w:val="none" w:sz="0" w:space="0" w:color="auto"/>
          <w:left w:val="none" w:sz="0" w:space="0" w:color="auto"/>
          <w:bottom w:val="none" w:sz="0" w:space="0" w:color="auto"/>
          <w:right w:val="none" w:sz="0" w:space="0" w:color="auto"/>
        </w:pBdr>
        <w:shd w:val="clear" w:color="auto" w:fill="auto"/>
        <w:ind w:left="630"/>
        <w:rPr>
          <w:i/>
        </w:rPr>
      </w:pPr>
    </w:p>
    <w:p w14:paraId="2EF3202A" w14:textId="77777777" w:rsidR="00301336" w:rsidRDefault="0018557C"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720"/>
        </w:tabs>
        <w:ind w:left="720" w:hanging="720"/>
        <w:rPr>
          <w:i/>
        </w:rPr>
      </w:pPr>
      <w:r>
        <w:rPr>
          <w:b/>
        </w:rPr>
        <w:t>Operational Phase</w:t>
      </w:r>
      <w:r w:rsidR="00AF4111">
        <w:rPr>
          <w:b/>
        </w:rPr>
        <w:t xml:space="preserve">. </w:t>
      </w:r>
      <w:r w:rsidR="00AF4111" w:rsidRPr="00AF4111">
        <w:t>During this stage</w:t>
      </w:r>
      <w:r w:rsidR="00CE1BB2">
        <w:t xml:space="preserve"> the most significant environmental risks and impacts are related to the disposal and maintenance of equipment. In particular, the removal and disposal of hazardous waste, such as </w:t>
      </w:r>
      <w:r w:rsidR="007A77BF">
        <w:t>p</w:t>
      </w:r>
      <w:r w:rsidR="00CE1BB2">
        <w:t xml:space="preserve">olychlorinated biphenyls </w:t>
      </w:r>
      <w:r w:rsidR="007A77BF">
        <w:t xml:space="preserve">(PCBs) </w:t>
      </w:r>
      <w:r w:rsidR="00CE1BB2">
        <w:t>traditionally found in</w:t>
      </w:r>
      <w:r w:rsidR="007A77BF">
        <w:t xml:space="preserve"> electric</w:t>
      </w:r>
      <w:r w:rsidR="00CE1BB2">
        <w:t xml:space="preserve"> transformers dating back to </w:t>
      </w:r>
      <w:r w:rsidR="007A77BF">
        <w:t>the 1970’s and typically used as fire retardants. Table 4 expands on the most significant operational impacts and benefits expected as a result of the proposed works.</w:t>
      </w:r>
    </w:p>
    <w:p w14:paraId="4025CA45" w14:textId="77777777" w:rsidR="007A77BF" w:rsidRDefault="007A77BF" w:rsidP="00471F78">
      <w:pPr>
        <w:pStyle w:val="Paragraph"/>
        <w:numPr>
          <w:ilvl w:val="0"/>
          <w:numId w:val="0"/>
        </w:numPr>
        <w:pBdr>
          <w:top w:val="none" w:sz="0" w:space="0" w:color="auto"/>
          <w:left w:val="none" w:sz="0" w:space="0" w:color="auto"/>
          <w:bottom w:val="none" w:sz="0" w:space="0" w:color="auto"/>
          <w:right w:val="none" w:sz="0" w:space="0" w:color="auto"/>
        </w:pBdr>
        <w:shd w:val="clear" w:color="auto" w:fill="auto"/>
        <w:ind w:left="720"/>
        <w:rPr>
          <w:i/>
        </w:rPr>
      </w:pPr>
    </w:p>
    <w:tbl>
      <w:tblPr>
        <w:tblStyle w:val="TableGrid"/>
        <w:tblW w:w="0" w:type="auto"/>
        <w:tblInd w:w="567" w:type="dxa"/>
        <w:tblLook w:val="04A0" w:firstRow="1" w:lastRow="0" w:firstColumn="1" w:lastColumn="0" w:noHBand="0" w:noVBand="1"/>
      </w:tblPr>
      <w:tblGrid>
        <w:gridCol w:w="4506"/>
        <w:gridCol w:w="4503"/>
      </w:tblGrid>
      <w:tr w:rsidR="00AF4111" w:rsidRPr="00AF4111" w14:paraId="5B5A8925" w14:textId="77777777" w:rsidTr="00AF4111">
        <w:tc>
          <w:tcPr>
            <w:tcW w:w="9009" w:type="dxa"/>
            <w:gridSpan w:val="2"/>
            <w:shd w:val="clear" w:color="auto" w:fill="4F81BD" w:themeFill="accent1"/>
            <w:vAlign w:val="center"/>
          </w:tcPr>
          <w:p w14:paraId="04CD8456" w14:textId="77777777" w:rsidR="00AF4111" w:rsidRPr="00AF4111" w:rsidRDefault="00AF4111" w:rsidP="00CE1BB2">
            <w:pPr>
              <w:keepNext/>
              <w:jc w:val="center"/>
              <w:rPr>
                <w:b/>
              </w:rPr>
            </w:pPr>
            <w:r w:rsidRPr="00AF4111">
              <w:rPr>
                <w:b/>
              </w:rPr>
              <w:t>Tabl</w:t>
            </w:r>
            <w:r>
              <w:rPr>
                <w:b/>
              </w:rPr>
              <w:t>e</w:t>
            </w:r>
            <w:r w:rsidR="00CE1BB2">
              <w:rPr>
                <w:b/>
              </w:rPr>
              <w:t xml:space="preserve"> 4</w:t>
            </w:r>
            <w:r w:rsidRPr="00AF4111">
              <w:rPr>
                <w:b/>
              </w:rPr>
              <w:t xml:space="preserve"> IMPACTS DURING </w:t>
            </w:r>
            <w:r>
              <w:rPr>
                <w:b/>
              </w:rPr>
              <w:t>OPERATIONAL</w:t>
            </w:r>
            <w:r w:rsidRPr="00AF4111">
              <w:rPr>
                <w:b/>
              </w:rPr>
              <w:t xml:space="preserve"> PHASE</w:t>
            </w:r>
          </w:p>
        </w:tc>
      </w:tr>
      <w:tr w:rsidR="00AF4111" w:rsidRPr="005454D9" w14:paraId="0BB71CF0" w14:textId="77777777" w:rsidTr="00AF4111">
        <w:tc>
          <w:tcPr>
            <w:tcW w:w="4506" w:type="dxa"/>
            <w:shd w:val="clear" w:color="auto" w:fill="95B3D7" w:themeFill="accent1" w:themeFillTint="99"/>
            <w:vAlign w:val="center"/>
          </w:tcPr>
          <w:p w14:paraId="3B4C293B" w14:textId="77777777" w:rsidR="00AF4111" w:rsidRPr="005454D9" w:rsidRDefault="00AF4111" w:rsidP="00AF4111">
            <w:pPr>
              <w:keepNext/>
              <w:jc w:val="center"/>
              <w:rPr>
                <w:b/>
                <w:lang w:val="es-ES"/>
              </w:rPr>
            </w:pPr>
            <w:r w:rsidRPr="005454D9">
              <w:rPr>
                <w:b/>
                <w:lang w:val="es-ES"/>
              </w:rPr>
              <w:t>NEGATIV</w:t>
            </w:r>
            <w:r>
              <w:rPr>
                <w:b/>
                <w:lang w:val="es-ES"/>
              </w:rPr>
              <w:t>E</w:t>
            </w:r>
          </w:p>
        </w:tc>
        <w:tc>
          <w:tcPr>
            <w:tcW w:w="4503" w:type="dxa"/>
            <w:shd w:val="clear" w:color="auto" w:fill="95B3D7" w:themeFill="accent1" w:themeFillTint="99"/>
            <w:vAlign w:val="center"/>
          </w:tcPr>
          <w:p w14:paraId="73D69FA3" w14:textId="77777777" w:rsidR="00AF4111" w:rsidRPr="005454D9" w:rsidRDefault="00AF4111" w:rsidP="00AF4111">
            <w:pPr>
              <w:keepNext/>
              <w:jc w:val="center"/>
              <w:rPr>
                <w:b/>
                <w:lang w:val="es-ES"/>
              </w:rPr>
            </w:pPr>
            <w:r w:rsidRPr="005454D9">
              <w:rPr>
                <w:b/>
                <w:lang w:val="es-ES"/>
              </w:rPr>
              <w:t>POSITIV</w:t>
            </w:r>
            <w:r>
              <w:rPr>
                <w:b/>
                <w:lang w:val="es-ES"/>
              </w:rPr>
              <w:t>E</w:t>
            </w:r>
          </w:p>
        </w:tc>
      </w:tr>
      <w:tr w:rsidR="00AF4111" w:rsidRPr="00535CA9" w14:paraId="326DED26" w14:textId="77777777" w:rsidTr="00AF4111">
        <w:trPr>
          <w:trHeight w:val="1817"/>
        </w:trPr>
        <w:tc>
          <w:tcPr>
            <w:tcW w:w="4506" w:type="dxa"/>
          </w:tcPr>
          <w:p w14:paraId="0ADDEC3F" w14:textId="77777777" w:rsidR="006533E9" w:rsidRPr="0009095F" w:rsidRDefault="0009095F" w:rsidP="00F44BA0">
            <w:pPr>
              <w:pStyle w:val="ListParagraph"/>
              <w:keepNext/>
              <w:numPr>
                <w:ilvl w:val="0"/>
                <w:numId w:val="10"/>
              </w:numPr>
              <w:ind w:left="333" w:hanging="333"/>
            </w:pPr>
            <w:r w:rsidRPr="0009095F">
              <w:t>Risk of contamination to environmental receptors due to inadequate handling and disposal of hazardou</w:t>
            </w:r>
            <w:r w:rsidR="006533E9">
              <w:t>s materials and hazardous waste and during equipment maintenance activities.</w:t>
            </w:r>
          </w:p>
          <w:p w14:paraId="7EBCE42E" w14:textId="77777777" w:rsidR="00AF4111" w:rsidRPr="0009095F" w:rsidRDefault="00AF4111" w:rsidP="00F44BA0">
            <w:pPr>
              <w:pStyle w:val="ListParagraph"/>
              <w:keepNext/>
              <w:numPr>
                <w:ilvl w:val="0"/>
                <w:numId w:val="10"/>
              </w:numPr>
              <w:ind w:left="333" w:hanging="333"/>
            </w:pPr>
            <w:r w:rsidRPr="0009095F">
              <w:t>Occupational-accide</w:t>
            </w:r>
            <w:r w:rsidR="0009095F" w:rsidRPr="0009095F">
              <w:t>nts related to the operation of distribution / transmission equipment.</w:t>
            </w:r>
          </w:p>
          <w:p w14:paraId="2F8ABADD" w14:textId="77777777" w:rsidR="0009095F" w:rsidRPr="0009095F" w:rsidRDefault="0009095F" w:rsidP="009B1686">
            <w:pPr>
              <w:keepNext/>
            </w:pPr>
          </w:p>
        </w:tc>
        <w:tc>
          <w:tcPr>
            <w:tcW w:w="4503" w:type="dxa"/>
          </w:tcPr>
          <w:p w14:paraId="782F7764" w14:textId="77777777" w:rsidR="00535CA9" w:rsidRPr="0009095F" w:rsidRDefault="0009095F" w:rsidP="00F44BA0">
            <w:pPr>
              <w:pStyle w:val="ListParagraph"/>
              <w:keepNext/>
              <w:numPr>
                <w:ilvl w:val="0"/>
                <w:numId w:val="9"/>
              </w:numPr>
              <w:ind w:left="417"/>
            </w:pPr>
            <w:r>
              <w:t>Development of adequate environmental and social management plans</w:t>
            </w:r>
            <w:r w:rsidR="00535CA9" w:rsidRPr="0009095F">
              <w:t xml:space="preserve"> </w:t>
            </w:r>
          </w:p>
          <w:p w14:paraId="50041FA1" w14:textId="77777777" w:rsidR="00535CA9" w:rsidRPr="0009095F" w:rsidRDefault="0009095F" w:rsidP="00F44BA0">
            <w:pPr>
              <w:pStyle w:val="ListParagraph"/>
              <w:keepNext/>
              <w:numPr>
                <w:ilvl w:val="0"/>
                <w:numId w:val="9"/>
              </w:numPr>
              <w:ind w:left="417"/>
            </w:pPr>
            <w:r>
              <w:t xml:space="preserve">Improvement to the quality of life of the beneficiary population </w:t>
            </w:r>
          </w:p>
          <w:p w14:paraId="493E3755" w14:textId="77777777" w:rsidR="00535CA9" w:rsidRDefault="0009095F" w:rsidP="00F44BA0">
            <w:pPr>
              <w:pStyle w:val="ListParagraph"/>
              <w:keepNext/>
              <w:numPr>
                <w:ilvl w:val="0"/>
                <w:numId w:val="9"/>
              </w:numPr>
              <w:ind w:left="417"/>
            </w:pPr>
            <w:r>
              <w:t xml:space="preserve">Implementation of environmental  </w:t>
            </w:r>
            <w:r w:rsidR="00535CA9" w:rsidRPr="0009095F">
              <w:t xml:space="preserve">controls </w:t>
            </w:r>
          </w:p>
          <w:p w14:paraId="1910BEA1" w14:textId="24587BAF" w:rsidR="00AF4111" w:rsidRPr="0009095F" w:rsidRDefault="003E7107" w:rsidP="00471F78">
            <w:pPr>
              <w:pStyle w:val="ListParagraph"/>
              <w:keepNext/>
              <w:numPr>
                <w:ilvl w:val="0"/>
                <w:numId w:val="9"/>
              </w:numPr>
              <w:ind w:left="417"/>
            </w:pPr>
            <w:r>
              <w:t>M</w:t>
            </w:r>
            <w:r w:rsidRPr="003E7107">
              <w:t>ore reliable electricity service to the population</w:t>
            </w:r>
          </w:p>
        </w:tc>
      </w:tr>
    </w:tbl>
    <w:p w14:paraId="3E2F894C" w14:textId="77777777" w:rsidR="00AF4111" w:rsidRPr="00535CA9" w:rsidRDefault="00AF4111" w:rsidP="00AF4111">
      <w:pPr>
        <w:pStyle w:val="Paragraph"/>
        <w:numPr>
          <w:ilvl w:val="0"/>
          <w:numId w:val="0"/>
        </w:numPr>
        <w:pBdr>
          <w:top w:val="none" w:sz="0" w:space="0" w:color="auto"/>
          <w:left w:val="none" w:sz="0" w:space="0" w:color="auto"/>
          <w:bottom w:val="none" w:sz="0" w:space="0" w:color="auto"/>
          <w:right w:val="none" w:sz="0" w:space="0" w:color="auto"/>
        </w:pBdr>
        <w:shd w:val="clear" w:color="auto" w:fill="auto"/>
        <w:rPr>
          <w:i/>
        </w:rPr>
      </w:pPr>
    </w:p>
    <w:p w14:paraId="40B2EED1" w14:textId="77777777" w:rsidR="00301336" w:rsidRDefault="00301336" w:rsidP="00301336">
      <w:pPr>
        <w:pStyle w:val="SecHeading"/>
        <w:numPr>
          <w:ilvl w:val="0"/>
          <w:numId w:val="5"/>
        </w:numPr>
        <w:tabs>
          <w:tab w:val="left" w:pos="720"/>
        </w:tabs>
        <w:spacing w:before="0"/>
        <w:ind w:left="720" w:hanging="720"/>
      </w:pPr>
      <w:bookmarkStart w:id="15" w:name="_Toc401912145"/>
      <w:r w:rsidRPr="00E6118A">
        <w:t>Social Impacts and Risks</w:t>
      </w:r>
      <w:bookmarkEnd w:id="15"/>
      <w:r w:rsidRPr="00E6118A">
        <w:t xml:space="preserve"> </w:t>
      </w:r>
    </w:p>
    <w:p w14:paraId="2B80A956" w14:textId="02AB9AAD" w:rsidR="00CE1BB2" w:rsidRPr="00F17134" w:rsidRDefault="003238A6"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rsidRPr="003238A6">
        <w:t>It is anticipated that investments under the P</w:t>
      </w:r>
      <w:r>
        <w:t>rogram will</w:t>
      </w:r>
      <w:r w:rsidRPr="003238A6">
        <w:t xml:space="preserve"> pr</w:t>
      </w:r>
      <w:r>
        <w:t xml:space="preserve">oduce a net positive social </w:t>
      </w:r>
      <w:r w:rsidRPr="003238A6">
        <w:t xml:space="preserve">impact on </w:t>
      </w:r>
      <w:r>
        <w:t xml:space="preserve">the </w:t>
      </w:r>
      <w:r w:rsidRPr="003238A6">
        <w:t>quality of life</w:t>
      </w:r>
      <w:r>
        <w:t xml:space="preserve"> and </w:t>
      </w:r>
      <w:r w:rsidRPr="003238A6">
        <w:t xml:space="preserve">welfare </w:t>
      </w:r>
      <w:r>
        <w:t xml:space="preserve">of </w:t>
      </w:r>
      <w:r w:rsidR="002851C9">
        <w:t xml:space="preserve">beneficiaries through the overall improvement on the reliability of the service through upgrades to critical infrastructure in the </w:t>
      </w:r>
      <w:r w:rsidR="00B22541">
        <w:t>National Power System</w:t>
      </w:r>
      <w:r>
        <w:t xml:space="preserve">. </w:t>
      </w:r>
    </w:p>
    <w:bookmarkEnd w:id="14"/>
    <w:p w14:paraId="01ED00D1" w14:textId="77777777" w:rsidR="00301336" w:rsidRDefault="00301336" w:rsidP="00301336"/>
    <w:p w14:paraId="7C450AB8" w14:textId="77777777" w:rsidR="00301336" w:rsidRPr="00E6118A" w:rsidRDefault="00301336" w:rsidP="00301336">
      <w:pPr>
        <w:pStyle w:val="SecHeading"/>
        <w:numPr>
          <w:ilvl w:val="0"/>
          <w:numId w:val="5"/>
        </w:numPr>
        <w:tabs>
          <w:tab w:val="left" w:pos="720"/>
        </w:tabs>
        <w:spacing w:before="0"/>
        <w:ind w:left="720" w:hanging="720"/>
      </w:pPr>
      <w:bookmarkStart w:id="16" w:name="_Toc401912146"/>
      <w:bookmarkStart w:id="17" w:name="_Toc269284806"/>
      <w:r>
        <w:t>IDB</w:t>
      </w:r>
      <w:r w:rsidRPr="00E6118A">
        <w:t xml:space="preserve"> Additionality</w:t>
      </w:r>
      <w:bookmarkEnd w:id="16"/>
    </w:p>
    <w:bookmarkEnd w:id="17"/>
    <w:p w14:paraId="7FB928E8" w14:textId="2C1AC1BC" w:rsidR="00B22541" w:rsidRPr="00B22541" w:rsidRDefault="00B22541"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t>T</w:t>
      </w:r>
      <w:r w:rsidR="00C521CE">
        <w:t>he Program will support the</w:t>
      </w:r>
      <w:r w:rsidR="00C521CE" w:rsidRPr="00C521CE">
        <w:t xml:space="preserve"> implementation of modern and integrated data collection and management systems to allow EBS to </w:t>
      </w:r>
      <w:r w:rsidR="00C521CE">
        <w:t xml:space="preserve">improve its capabilities in customer service, among others. The Program </w:t>
      </w:r>
      <w:r w:rsidRPr="00B22541">
        <w:t>supports the implementation of integrated actions that will result in more positive impact on society and particularly in the population affected by the improvement</w:t>
      </w:r>
      <w:r w:rsidR="00C521CE">
        <w:t>s.</w:t>
      </w:r>
    </w:p>
    <w:p w14:paraId="65408561" w14:textId="77777777" w:rsidR="00301336" w:rsidRDefault="00301336" w:rsidP="00976134">
      <w:pPr>
        <w:pStyle w:val="Chapter"/>
        <w:numPr>
          <w:ilvl w:val="0"/>
          <w:numId w:val="7"/>
        </w:numPr>
        <w:tabs>
          <w:tab w:val="clear" w:pos="1440"/>
          <w:tab w:val="left" w:pos="720"/>
        </w:tabs>
        <w:ind w:left="720" w:hanging="720"/>
        <w:jc w:val="left"/>
      </w:pPr>
      <w:bookmarkStart w:id="18" w:name="OLE_LINK29"/>
      <w:bookmarkStart w:id="19" w:name="OLE_LINK30"/>
      <w:bookmarkStart w:id="20" w:name="_Toc269284807"/>
      <w:bookmarkStart w:id="21" w:name="_Toc401912147"/>
      <w:r w:rsidRPr="00A02F11">
        <w:lastRenderedPageBreak/>
        <w:t xml:space="preserve">MANAGEMENT </w:t>
      </w:r>
      <w:r>
        <w:t xml:space="preserve">AND MONITORING </w:t>
      </w:r>
      <w:r w:rsidRPr="00A02F11">
        <w:t>OF ENVIRONMENTAL, SOCIAL, HEALTH AND SAFETY AND LABOR IMPACTS AND RISKS</w:t>
      </w:r>
      <w:bookmarkEnd w:id="18"/>
      <w:bookmarkEnd w:id="19"/>
      <w:bookmarkEnd w:id="20"/>
      <w:bookmarkEnd w:id="21"/>
    </w:p>
    <w:p w14:paraId="63659FBA" w14:textId="77777777" w:rsidR="00301336" w:rsidRDefault="00301336" w:rsidP="00301336">
      <w:pPr>
        <w:pStyle w:val="SecHeading"/>
        <w:numPr>
          <w:ilvl w:val="0"/>
          <w:numId w:val="6"/>
        </w:numPr>
        <w:tabs>
          <w:tab w:val="left" w:pos="720"/>
        </w:tabs>
        <w:spacing w:before="0"/>
        <w:ind w:left="720" w:hanging="720"/>
      </w:pPr>
      <w:bookmarkStart w:id="22" w:name="_Toc401912148"/>
      <w:r w:rsidRPr="00514440">
        <w:t>Management Systems and Plans</w:t>
      </w:r>
      <w:bookmarkEnd w:id="22"/>
    </w:p>
    <w:p w14:paraId="4CAD8ACC" w14:textId="4B792BD2" w:rsidR="007A77BF" w:rsidRDefault="007A77BF"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t xml:space="preserve">To address the impacts and risks presented in Section IV, the Bank will require that an </w:t>
      </w:r>
      <w:hyperlink r:id="rId16" w:history="1">
        <w:r w:rsidRPr="008F5372">
          <w:rPr>
            <w:rStyle w:val="Hyperlink"/>
          </w:rPr>
          <w:t xml:space="preserve">Environmental and Social Management Plan </w:t>
        </w:r>
        <w:r w:rsidR="008F5372" w:rsidRPr="008F5372">
          <w:rPr>
            <w:rStyle w:val="Hyperlink"/>
          </w:rPr>
          <w:t>(ESMP)</w:t>
        </w:r>
      </w:hyperlink>
      <w:r w:rsidR="008F5372">
        <w:t xml:space="preserve"> </w:t>
      </w:r>
      <w:r>
        <w:t xml:space="preserve">is developed by EBS. The Plan will be required to include at a minimum a series of sub-plans developed for each area of concern such as: (i) a health and safety plan; (ii) a hazardous material, waste / hazardous waste management plan; </w:t>
      </w:r>
      <w:r w:rsidR="00471F78">
        <w:t xml:space="preserve">and </w:t>
      </w:r>
      <w:r>
        <w:t>(iii) a training plan for workers involved in the construction and operation of the works</w:t>
      </w:r>
      <w:r w:rsidR="008F5372">
        <w:t>.</w:t>
      </w:r>
    </w:p>
    <w:p w14:paraId="38B280FD" w14:textId="21EFA1E2" w:rsidR="00866D59" w:rsidRPr="009B1686" w:rsidRDefault="00471F78"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t>T</w:t>
      </w:r>
      <w:r w:rsidR="00866D59" w:rsidRPr="009B1686">
        <w:t>he ESMP should also be adjusted during the construction and operation</w:t>
      </w:r>
      <w:r w:rsidR="00866D59">
        <w:t>al</w:t>
      </w:r>
      <w:r w:rsidR="00866D59" w:rsidRPr="009B1686">
        <w:t xml:space="preserve"> of the project to reflect any changes in the original project design.</w:t>
      </w:r>
    </w:p>
    <w:p w14:paraId="330B2B53" w14:textId="5D83556D" w:rsidR="009B1686" w:rsidRPr="00E35548" w:rsidRDefault="00C521CE"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t>Execution of the Program is responsibility of the Executing Agency</w:t>
      </w:r>
      <w:r w:rsidR="00D04E9D">
        <w:t xml:space="preserve"> (EA)</w:t>
      </w:r>
      <w:r>
        <w:t xml:space="preserve">, EBS. </w:t>
      </w:r>
      <w:r w:rsidRPr="00C521CE">
        <w:t xml:space="preserve">The </w:t>
      </w:r>
      <w:r>
        <w:t>EA</w:t>
      </w:r>
      <w:r w:rsidRPr="00C521CE">
        <w:t xml:space="preserve"> will be responsible for administering the loan and financing of counterpart funding</w:t>
      </w:r>
      <w:r w:rsidR="00D04E9D" w:rsidRPr="00D04E9D">
        <w:t xml:space="preserve"> </w:t>
      </w:r>
      <w:r w:rsidR="00D04E9D">
        <w:t xml:space="preserve">in a </w:t>
      </w:r>
      <w:r w:rsidR="00D04E9D" w:rsidRPr="00C521CE">
        <w:t>timely</w:t>
      </w:r>
      <w:r w:rsidR="00D04E9D">
        <w:t xml:space="preserve"> manner</w:t>
      </w:r>
      <w:r>
        <w:t xml:space="preserve">. </w:t>
      </w:r>
      <w:r w:rsidR="00D04E9D">
        <w:t>R</w:t>
      </w:r>
      <w:r w:rsidR="00D04E9D" w:rsidRPr="00C521CE">
        <w:t>esponsibilities of the E</w:t>
      </w:r>
      <w:r w:rsidR="00D04E9D">
        <w:t>A</w:t>
      </w:r>
      <w:r w:rsidR="00D04E9D" w:rsidRPr="00C521CE">
        <w:t xml:space="preserve"> also include </w:t>
      </w:r>
      <w:r w:rsidR="00D04E9D">
        <w:t xml:space="preserve">the development of </w:t>
      </w:r>
      <w:r w:rsidR="00D04E9D" w:rsidRPr="00C521CE">
        <w:t>preliminary studies, design, construction and supervision of the works</w:t>
      </w:r>
      <w:r w:rsidR="00D04E9D">
        <w:t xml:space="preserve"> </w:t>
      </w:r>
      <w:r w:rsidR="00D04E9D" w:rsidRPr="00C521CE">
        <w:t xml:space="preserve">in order to ensure compliance with </w:t>
      </w:r>
      <w:r w:rsidR="00D04E9D">
        <w:t xml:space="preserve">local legislation and </w:t>
      </w:r>
      <w:r w:rsidR="00D04E9D" w:rsidRPr="00C521CE">
        <w:t>regulations</w:t>
      </w:r>
      <w:r w:rsidR="00D04E9D">
        <w:t xml:space="preserve">, the Bank’s </w:t>
      </w:r>
      <w:r w:rsidR="00D04E9D" w:rsidRPr="00C521CE">
        <w:t xml:space="preserve">environmental </w:t>
      </w:r>
      <w:r w:rsidR="00D04E9D">
        <w:t xml:space="preserve">and social </w:t>
      </w:r>
      <w:r w:rsidR="00D04E9D" w:rsidRPr="00C521CE">
        <w:t>safeguards</w:t>
      </w:r>
      <w:r w:rsidR="00D04E9D">
        <w:t>, and</w:t>
      </w:r>
      <w:r w:rsidR="00D04E9D" w:rsidRPr="00C521CE">
        <w:t xml:space="preserve"> guidelines and procedures set out in the ESM</w:t>
      </w:r>
      <w:r w:rsidR="00D04E9D">
        <w:t>P and agreed with the Bank</w:t>
      </w:r>
      <w:r w:rsidR="00D04E9D" w:rsidRPr="00C521CE">
        <w:t xml:space="preserve">. </w:t>
      </w:r>
    </w:p>
    <w:p w14:paraId="4E89D895" w14:textId="77777777" w:rsidR="00301336" w:rsidRPr="00976134" w:rsidRDefault="00301336" w:rsidP="00301336">
      <w:pPr>
        <w:rPr>
          <w:b/>
        </w:rPr>
      </w:pPr>
    </w:p>
    <w:p w14:paraId="1946A645" w14:textId="6F1E0D7E" w:rsidR="00301336" w:rsidRPr="00976134" w:rsidRDefault="00301336" w:rsidP="009B1686">
      <w:pPr>
        <w:pStyle w:val="SecHeading"/>
        <w:numPr>
          <w:ilvl w:val="0"/>
          <w:numId w:val="6"/>
        </w:numPr>
        <w:tabs>
          <w:tab w:val="left" w:pos="720"/>
        </w:tabs>
        <w:spacing w:before="0"/>
        <w:ind w:left="720" w:hanging="720"/>
      </w:pPr>
      <w:bookmarkStart w:id="23" w:name="_Toc401912149"/>
      <w:r w:rsidRPr="00976134">
        <w:t xml:space="preserve">The Environmental and Social </w:t>
      </w:r>
      <w:r w:rsidR="00471F78">
        <w:t>Management</w:t>
      </w:r>
      <w:r w:rsidRPr="00976134">
        <w:t xml:space="preserve"> Plan</w:t>
      </w:r>
      <w:bookmarkEnd w:id="23"/>
    </w:p>
    <w:p w14:paraId="46656C40" w14:textId="08CF0B80" w:rsidR="00301336" w:rsidRPr="0037309D" w:rsidRDefault="0037309D"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rsidRPr="0037309D">
        <w:t xml:space="preserve">An </w:t>
      </w:r>
      <w:r w:rsidR="00F17134">
        <w:t>E</w:t>
      </w:r>
      <w:r w:rsidRPr="0037309D">
        <w:t xml:space="preserve">nvironmental and </w:t>
      </w:r>
      <w:r w:rsidR="00F17134">
        <w:t>S</w:t>
      </w:r>
      <w:r w:rsidRPr="0037309D">
        <w:t xml:space="preserve">ocial </w:t>
      </w:r>
      <w:r w:rsidR="00244B50">
        <w:t>Action</w:t>
      </w:r>
      <w:r w:rsidR="00471F78">
        <w:t xml:space="preserve"> </w:t>
      </w:r>
      <w:r w:rsidR="00F17134">
        <w:t>P</w:t>
      </w:r>
      <w:r w:rsidRPr="0037309D">
        <w:t>lan has been developed for th</w:t>
      </w:r>
      <w:r w:rsidR="001B52D7">
        <w:t>e</w:t>
      </w:r>
      <w:r w:rsidRPr="0037309D">
        <w:t xml:space="preserve"> Program and included in Annex I of this ESMR. </w:t>
      </w:r>
      <w:r w:rsidR="0042296E">
        <w:t xml:space="preserve">The plan has been prepared based on the information gathered during the environmental and social due diligence of the Program. </w:t>
      </w:r>
      <w:r w:rsidRPr="0037309D">
        <w:t xml:space="preserve">The </w:t>
      </w:r>
      <w:r w:rsidR="00244B50">
        <w:t xml:space="preserve">Action </w:t>
      </w:r>
      <w:r w:rsidR="00471F78">
        <w:t>P</w:t>
      </w:r>
      <w:r w:rsidR="00244B50">
        <w:t>lan</w:t>
      </w:r>
      <w:r w:rsidRPr="0037309D">
        <w:t xml:space="preserve"> must be followed as recommended in order to assure compliance with IDB Policies. </w:t>
      </w:r>
    </w:p>
    <w:p w14:paraId="3BF69C28" w14:textId="77777777" w:rsidR="00301336" w:rsidRDefault="00301336" w:rsidP="009B1686">
      <w:pPr>
        <w:pStyle w:val="SecHeading"/>
        <w:numPr>
          <w:ilvl w:val="0"/>
          <w:numId w:val="6"/>
        </w:numPr>
        <w:tabs>
          <w:tab w:val="left" w:pos="720"/>
        </w:tabs>
        <w:spacing w:before="0"/>
        <w:ind w:left="720" w:hanging="720"/>
      </w:pPr>
      <w:bookmarkStart w:id="24" w:name="_Toc401912150"/>
      <w:r w:rsidRPr="00514440">
        <w:t>Monitoring and Supervision</w:t>
      </w:r>
      <w:bookmarkEnd w:id="24"/>
    </w:p>
    <w:p w14:paraId="7ED17A40" w14:textId="77777777" w:rsidR="00301336" w:rsidRDefault="00116C59"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rsidRPr="00116C59">
        <w:t xml:space="preserve">The Environmental and Social Specialists of </w:t>
      </w:r>
      <w:r>
        <w:t xml:space="preserve">the EA will conduct </w:t>
      </w:r>
      <w:r w:rsidRPr="00116C59">
        <w:t xml:space="preserve">supervision and monitoring of projects, understood as the realization of visits that result in reporting for internal use of the Program. The </w:t>
      </w:r>
      <w:r>
        <w:t>EA</w:t>
      </w:r>
      <w:r w:rsidRPr="00116C59">
        <w:t xml:space="preserve"> will report semi-annually on environmental, social, and occupational health and safety to the IDB. These reports will include descriptions of the proper implementation of the ESMP and indicators. Monitoring reports must </w:t>
      </w:r>
      <w:r>
        <w:t>include environmental and social</w:t>
      </w:r>
      <w:r w:rsidRPr="00116C59">
        <w:t xml:space="preserve"> indicators, monitoring frequency, responsibility and associated costs, the need to improve operational management, education and training.</w:t>
      </w:r>
    </w:p>
    <w:p w14:paraId="454BF3A4" w14:textId="77777777" w:rsidR="00F2029D" w:rsidRDefault="00F2029D"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t>D</w:t>
      </w:r>
      <w:r w:rsidRPr="00F2029D">
        <w:t xml:space="preserve">uring the operation </w:t>
      </w:r>
      <w:r>
        <w:t xml:space="preserve">phase </w:t>
      </w:r>
      <w:r w:rsidRPr="00F2029D">
        <w:t>and maintenance of the work</w:t>
      </w:r>
      <w:r>
        <w:t>s</w:t>
      </w:r>
      <w:r w:rsidRPr="00F2029D">
        <w:t xml:space="preserve">, the contractor </w:t>
      </w:r>
      <w:r>
        <w:t>will be responsible</w:t>
      </w:r>
      <w:r w:rsidRPr="00F2029D">
        <w:t xml:space="preserve"> for </w:t>
      </w:r>
      <w:r>
        <w:t xml:space="preserve">the </w:t>
      </w:r>
      <w:r w:rsidRPr="00F2029D">
        <w:t xml:space="preserve">implementation of prevention and mitigation </w:t>
      </w:r>
      <w:r>
        <w:t xml:space="preserve">measures comprised in the management tools and the environmental licensing process, which </w:t>
      </w:r>
      <w:r w:rsidRPr="00F2029D">
        <w:t>shall be clearly established in the bidding documents.</w:t>
      </w:r>
    </w:p>
    <w:p w14:paraId="0DCEC74D" w14:textId="77777777" w:rsidR="00301336" w:rsidRPr="00514440" w:rsidRDefault="00301336" w:rsidP="00381528">
      <w:pPr>
        <w:pStyle w:val="SecHeading"/>
        <w:numPr>
          <w:ilvl w:val="0"/>
          <w:numId w:val="6"/>
        </w:numPr>
        <w:tabs>
          <w:tab w:val="left" w:pos="540"/>
        </w:tabs>
        <w:spacing w:before="0"/>
        <w:ind w:left="720" w:hanging="720"/>
      </w:pPr>
      <w:bookmarkStart w:id="25" w:name="_Toc401912151"/>
      <w:r w:rsidRPr="006F49A5">
        <w:t xml:space="preserve">Environmental and Social Safeguard Performance </w:t>
      </w:r>
      <w:r>
        <w:t>Indicators</w:t>
      </w:r>
      <w:bookmarkEnd w:id="25"/>
    </w:p>
    <w:p w14:paraId="50C09DF4" w14:textId="24FA87DB" w:rsidR="00301336" w:rsidRDefault="00B54494"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rsidRPr="00B54494">
        <w:t xml:space="preserve">The ESMP </w:t>
      </w:r>
      <w:r w:rsidR="0029529A">
        <w:t>for the</w:t>
      </w:r>
      <w:r w:rsidRPr="00B54494">
        <w:t xml:space="preserve"> project </w:t>
      </w:r>
      <w:r w:rsidR="0029529A">
        <w:t xml:space="preserve">contains </w:t>
      </w:r>
      <w:r w:rsidRPr="00B54494">
        <w:t xml:space="preserve">environmental </w:t>
      </w:r>
      <w:r w:rsidR="0029529A">
        <w:t xml:space="preserve">and social </w:t>
      </w:r>
      <w:r w:rsidRPr="00B54494">
        <w:t>aspects. Environmental and social E</w:t>
      </w:r>
      <w:r w:rsidR="0029529A">
        <w:t>A</w:t>
      </w:r>
      <w:r w:rsidRPr="00B54494">
        <w:t xml:space="preserve"> teams </w:t>
      </w:r>
      <w:r w:rsidR="0029529A">
        <w:t>should</w:t>
      </w:r>
      <w:r w:rsidRPr="00B54494">
        <w:t xml:space="preserve"> develop a system of indicators to follow up the works during its </w:t>
      </w:r>
      <w:r w:rsidRPr="00B54494">
        <w:lastRenderedPageBreak/>
        <w:t>different phases. The E</w:t>
      </w:r>
      <w:r w:rsidR="0029529A">
        <w:t>A</w:t>
      </w:r>
      <w:r w:rsidRPr="00B54494">
        <w:t xml:space="preserve"> should present the various indicators </w:t>
      </w:r>
      <w:r w:rsidR="0029529A">
        <w:t xml:space="preserve">to </w:t>
      </w:r>
      <w:r w:rsidRPr="00B54494">
        <w:t>the Bank and include them in the semi-annual reports to IDB.</w:t>
      </w:r>
    </w:p>
    <w:p w14:paraId="08787056" w14:textId="77777777" w:rsidR="00301336" w:rsidRDefault="00301336" w:rsidP="00976134">
      <w:pPr>
        <w:pStyle w:val="Chapter"/>
        <w:numPr>
          <w:ilvl w:val="0"/>
          <w:numId w:val="7"/>
        </w:numPr>
        <w:tabs>
          <w:tab w:val="clear" w:pos="1440"/>
          <w:tab w:val="left" w:pos="540"/>
        </w:tabs>
        <w:ind w:left="540" w:hanging="540"/>
        <w:jc w:val="left"/>
      </w:pPr>
      <w:bookmarkStart w:id="26" w:name="_Toc269284813"/>
      <w:bookmarkStart w:id="27" w:name="_Toc401912152"/>
      <w:r w:rsidRPr="00A02F11">
        <w:t>REQUIREMENTS</w:t>
      </w:r>
      <w:bookmarkEnd w:id="26"/>
      <w:r w:rsidRPr="00A02F11">
        <w:t xml:space="preserve"> </w:t>
      </w:r>
      <w:r w:rsidRPr="00514440">
        <w:t>TO BE INCLUDED IN THE LEGAL AGREEMENTS</w:t>
      </w:r>
      <w:bookmarkEnd w:id="27"/>
    </w:p>
    <w:p w14:paraId="0F7A4CCA" w14:textId="2091869C" w:rsidR="00301336" w:rsidRPr="00B54494" w:rsidRDefault="000E3B27"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t>C</w:t>
      </w:r>
      <w:r w:rsidRPr="00B54494">
        <w:t xml:space="preserve">onditions and specific steps for </w:t>
      </w:r>
      <w:r>
        <w:t xml:space="preserve">the various </w:t>
      </w:r>
      <w:r w:rsidRPr="00B54494">
        <w:t xml:space="preserve">stages of the loan </w:t>
      </w:r>
      <w:r>
        <w:t xml:space="preserve">process </w:t>
      </w:r>
      <w:r w:rsidRPr="00B54494">
        <w:t xml:space="preserve">were determined </w:t>
      </w:r>
      <w:r>
        <w:t xml:space="preserve">based on the </w:t>
      </w:r>
      <w:r w:rsidR="00B54494" w:rsidRPr="00B54494">
        <w:t xml:space="preserve">findings presented in the Environmental and Social Analysis </w:t>
      </w:r>
      <w:r w:rsidR="000B37E8">
        <w:t>for the</w:t>
      </w:r>
      <w:r>
        <w:t xml:space="preserve"> </w:t>
      </w:r>
      <w:r w:rsidR="00B54494" w:rsidRPr="00B54494">
        <w:t xml:space="preserve">Program. Annex I further presents an </w:t>
      </w:r>
      <w:r w:rsidR="000B37E8" w:rsidRPr="00B54494">
        <w:t xml:space="preserve">Environmental and Social </w:t>
      </w:r>
      <w:r w:rsidR="00244B50">
        <w:t>Action</w:t>
      </w:r>
      <w:r w:rsidR="00B54494" w:rsidRPr="00B54494">
        <w:t xml:space="preserve"> Plan for the Pro</w:t>
      </w:r>
      <w:r w:rsidR="000B37E8">
        <w:t>gram</w:t>
      </w:r>
      <w:r w:rsidR="00B54494" w:rsidRPr="00B54494">
        <w:t xml:space="preserve"> describing actions to be taken to ensure compliance with Bank policies.</w:t>
      </w:r>
    </w:p>
    <w:p w14:paraId="029B6C7E" w14:textId="77777777" w:rsidR="00301336" w:rsidRDefault="00301336" w:rsidP="00301336">
      <w:pPr>
        <w:tabs>
          <w:tab w:val="left" w:pos="720"/>
        </w:tabs>
        <w:ind w:left="720" w:hanging="720"/>
      </w:pPr>
    </w:p>
    <w:p w14:paraId="1F9DBD9F" w14:textId="77777777" w:rsidR="00301336" w:rsidRPr="00381528" w:rsidRDefault="0029529A" w:rsidP="00381528">
      <w:pPr>
        <w:pStyle w:val="SecHeading"/>
        <w:numPr>
          <w:ilvl w:val="0"/>
          <w:numId w:val="31"/>
        </w:numPr>
        <w:tabs>
          <w:tab w:val="left" w:pos="720"/>
        </w:tabs>
        <w:spacing w:before="0"/>
        <w:ind w:left="630" w:hanging="630"/>
      </w:pPr>
      <w:bookmarkStart w:id="28" w:name="_Toc401912153"/>
      <w:r w:rsidRPr="0029529A">
        <w:t xml:space="preserve">During the </w:t>
      </w:r>
      <w:r w:rsidR="0037309D">
        <w:t xml:space="preserve">duration </w:t>
      </w:r>
      <w:r w:rsidRPr="0029529A">
        <w:t>of the loan</w:t>
      </w:r>
      <w:bookmarkEnd w:id="28"/>
    </w:p>
    <w:p w14:paraId="018037D0" w14:textId="77777777" w:rsidR="00922F5E" w:rsidRPr="00922F5E" w:rsidRDefault="00922F5E"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rsidRPr="00922F5E">
        <w:t>IDB will require as part of the project</w:t>
      </w:r>
      <w:r w:rsidR="003A0952">
        <w:t xml:space="preserve"> that </w:t>
      </w:r>
      <w:r w:rsidRPr="00922F5E">
        <w:t>the borrower and the E</w:t>
      </w:r>
      <w:r w:rsidR="003A0952">
        <w:t>A</w:t>
      </w:r>
      <w:r w:rsidRPr="00922F5E">
        <w:t xml:space="preserve"> are in compliance with the following requirements for the duration of the loan: </w:t>
      </w:r>
    </w:p>
    <w:p w14:paraId="2EE9CFC6" w14:textId="3D509DBF" w:rsidR="00922F5E" w:rsidRPr="00922F5E" w:rsidRDefault="00922F5E" w:rsidP="00F44BA0">
      <w:pPr>
        <w:pStyle w:val="Paragraph"/>
        <w:numPr>
          <w:ilvl w:val="1"/>
          <w:numId w:val="12"/>
        </w:numPr>
        <w:pBdr>
          <w:top w:val="none" w:sz="0" w:space="0" w:color="auto"/>
          <w:left w:val="none" w:sz="0" w:space="0" w:color="auto"/>
          <w:bottom w:val="none" w:sz="0" w:space="0" w:color="auto"/>
          <w:right w:val="none" w:sz="0" w:space="0" w:color="auto"/>
        </w:pBdr>
        <w:shd w:val="clear" w:color="auto" w:fill="auto"/>
        <w:ind w:left="1080" w:hanging="450"/>
        <w:rPr>
          <w:i/>
        </w:rPr>
      </w:pPr>
      <w:r w:rsidRPr="00922F5E">
        <w:t xml:space="preserve">All the relevant Bank policies: Environment and Safeguards Compliance Policy (OP-703), the Access to Information </w:t>
      </w:r>
      <w:r w:rsidR="003A0952" w:rsidRPr="00922F5E">
        <w:t xml:space="preserve">Policy </w:t>
      </w:r>
      <w:r w:rsidRPr="00922F5E">
        <w:t xml:space="preserve">(OP-102) and their respective implementation guides. </w:t>
      </w:r>
    </w:p>
    <w:p w14:paraId="5AD4B506" w14:textId="77777777" w:rsidR="00922F5E" w:rsidRPr="00922F5E" w:rsidRDefault="00922F5E" w:rsidP="00F44BA0">
      <w:pPr>
        <w:pStyle w:val="Paragraph"/>
        <w:numPr>
          <w:ilvl w:val="1"/>
          <w:numId w:val="12"/>
        </w:numPr>
        <w:pBdr>
          <w:top w:val="none" w:sz="0" w:space="0" w:color="auto"/>
          <w:left w:val="none" w:sz="0" w:space="0" w:color="auto"/>
          <w:bottom w:val="none" w:sz="0" w:space="0" w:color="auto"/>
          <w:right w:val="none" w:sz="0" w:space="0" w:color="auto"/>
        </w:pBdr>
        <w:shd w:val="clear" w:color="auto" w:fill="auto"/>
        <w:ind w:left="1080" w:hanging="450"/>
        <w:rPr>
          <w:i/>
        </w:rPr>
      </w:pPr>
      <w:r w:rsidRPr="00922F5E">
        <w:t xml:space="preserve">All legal environmental, health and safety, social and labor </w:t>
      </w:r>
      <w:r w:rsidR="003A0952" w:rsidRPr="00922F5E">
        <w:t xml:space="preserve">requirements </w:t>
      </w:r>
      <w:r w:rsidR="003A0952">
        <w:t>in Suriname</w:t>
      </w:r>
      <w:r w:rsidR="003A0952" w:rsidRPr="00922F5E">
        <w:t xml:space="preserve"> </w:t>
      </w:r>
      <w:r w:rsidRPr="00922F5E">
        <w:t xml:space="preserve">including all requirements associated with permits, environmental permits or licenses, health and safety, social work and apply to the program, the borrower and any entity responsible for implementing the program and / or mitigation measures. </w:t>
      </w:r>
    </w:p>
    <w:p w14:paraId="2D318135" w14:textId="77777777" w:rsidR="00922F5E" w:rsidRPr="00922F5E" w:rsidRDefault="00922F5E" w:rsidP="00F44BA0">
      <w:pPr>
        <w:pStyle w:val="Paragraph"/>
        <w:numPr>
          <w:ilvl w:val="1"/>
          <w:numId w:val="12"/>
        </w:numPr>
        <w:pBdr>
          <w:top w:val="none" w:sz="0" w:space="0" w:color="auto"/>
          <w:left w:val="none" w:sz="0" w:space="0" w:color="auto"/>
          <w:bottom w:val="none" w:sz="0" w:space="0" w:color="auto"/>
          <w:right w:val="none" w:sz="0" w:space="0" w:color="auto"/>
        </w:pBdr>
        <w:shd w:val="clear" w:color="auto" w:fill="auto"/>
        <w:ind w:left="1080" w:hanging="450"/>
        <w:rPr>
          <w:i/>
        </w:rPr>
      </w:pPr>
      <w:r w:rsidRPr="00922F5E">
        <w:t>All aspects and components included in the environmental, social, health and safety documents including the ESM</w:t>
      </w:r>
      <w:r w:rsidR="00356BC1">
        <w:t>P</w:t>
      </w:r>
      <w:r w:rsidRPr="00922F5E">
        <w:t xml:space="preserve"> and other environmental and social management </w:t>
      </w:r>
      <w:r w:rsidR="00E732FB" w:rsidRPr="00922F5E">
        <w:t>plans</w:t>
      </w:r>
      <w:r w:rsidR="00E732FB">
        <w:t xml:space="preserve">, such as </w:t>
      </w:r>
      <w:r w:rsidRPr="00922F5E">
        <w:t xml:space="preserve">monitoring plans. </w:t>
      </w:r>
    </w:p>
    <w:p w14:paraId="5F369E20" w14:textId="58C07A82" w:rsidR="00922F5E" w:rsidRPr="00922F5E" w:rsidRDefault="00922F5E" w:rsidP="00F44BA0">
      <w:pPr>
        <w:pStyle w:val="Paragraph"/>
        <w:numPr>
          <w:ilvl w:val="1"/>
          <w:numId w:val="12"/>
        </w:numPr>
        <w:pBdr>
          <w:top w:val="none" w:sz="0" w:space="0" w:color="auto"/>
          <w:left w:val="none" w:sz="0" w:space="0" w:color="auto"/>
          <w:bottom w:val="none" w:sz="0" w:space="0" w:color="auto"/>
          <w:right w:val="none" w:sz="0" w:space="0" w:color="auto"/>
        </w:pBdr>
        <w:shd w:val="clear" w:color="auto" w:fill="auto"/>
        <w:ind w:left="1080" w:hanging="450"/>
        <w:rPr>
          <w:i/>
        </w:rPr>
      </w:pPr>
      <w:r w:rsidRPr="00922F5E">
        <w:t xml:space="preserve">All standards and guidelines included in the </w:t>
      </w:r>
      <w:r w:rsidR="00E732FB">
        <w:t>ESMP</w:t>
      </w:r>
      <w:r w:rsidRPr="00922F5E">
        <w:t xml:space="preserve"> and standards listed in Annex I. </w:t>
      </w:r>
    </w:p>
    <w:p w14:paraId="092B3C43" w14:textId="77777777" w:rsidR="0029529A" w:rsidRPr="00F44BA0" w:rsidRDefault="00922F5E" w:rsidP="00F44BA0">
      <w:pPr>
        <w:pStyle w:val="Paragraph"/>
        <w:numPr>
          <w:ilvl w:val="1"/>
          <w:numId w:val="12"/>
        </w:numPr>
        <w:pBdr>
          <w:top w:val="none" w:sz="0" w:space="0" w:color="auto"/>
          <w:left w:val="none" w:sz="0" w:space="0" w:color="auto"/>
          <w:bottom w:val="none" w:sz="0" w:space="0" w:color="auto"/>
          <w:right w:val="none" w:sz="0" w:space="0" w:color="auto"/>
        </w:pBdr>
        <w:shd w:val="clear" w:color="auto" w:fill="auto"/>
        <w:ind w:left="1080" w:hanging="450"/>
        <w:rPr>
          <w:i/>
        </w:rPr>
      </w:pPr>
      <w:r w:rsidRPr="00922F5E">
        <w:t>Provision of information to the Bank including: (i) notification to the Bank of any non-compliance with environmental, social, health and safety and labor</w:t>
      </w:r>
      <w:r w:rsidR="00482E0C">
        <w:t xml:space="preserve"> requirements; and (ii) </w:t>
      </w:r>
      <w:r w:rsidRPr="00922F5E">
        <w:t xml:space="preserve">any accident or other new environmental, social, health and safety </w:t>
      </w:r>
      <w:r w:rsidR="00482E0C" w:rsidRPr="00922F5E">
        <w:t xml:space="preserve">risk </w:t>
      </w:r>
      <w:r w:rsidRPr="00922F5E">
        <w:t>related to the program and proposed cor</w:t>
      </w:r>
      <w:r w:rsidR="00482E0C">
        <w:t>rective actions.</w:t>
      </w:r>
    </w:p>
    <w:p w14:paraId="37054E37" w14:textId="77777777" w:rsidR="00852B0F" w:rsidRPr="00381528" w:rsidRDefault="00852B0F" w:rsidP="00381528">
      <w:pPr>
        <w:pStyle w:val="SecHeading"/>
        <w:numPr>
          <w:ilvl w:val="0"/>
          <w:numId w:val="31"/>
        </w:numPr>
        <w:tabs>
          <w:tab w:val="left" w:pos="720"/>
        </w:tabs>
        <w:spacing w:before="0"/>
        <w:ind w:left="630" w:hanging="630"/>
      </w:pPr>
      <w:bookmarkStart w:id="29" w:name="_Toc401912154"/>
      <w:r w:rsidRPr="00852B0F">
        <w:t>Prior to the Commencement of Tender</w:t>
      </w:r>
      <w:bookmarkEnd w:id="29"/>
    </w:p>
    <w:p w14:paraId="619670AA" w14:textId="77777777" w:rsidR="00852B0F" w:rsidRPr="00852B0F" w:rsidRDefault="000B37E8" w:rsidP="00976134">
      <w:pPr>
        <w:pStyle w:val="Paragraph"/>
        <w:numPr>
          <w:ilvl w:val="1"/>
          <w:numId w:val="7"/>
        </w:numPr>
        <w:pBdr>
          <w:top w:val="none" w:sz="0" w:space="0" w:color="auto"/>
          <w:left w:val="none" w:sz="0" w:space="0" w:color="auto"/>
          <w:bottom w:val="none" w:sz="0" w:space="0" w:color="auto"/>
          <w:right w:val="none" w:sz="0" w:space="0" w:color="auto"/>
        </w:pBdr>
        <w:shd w:val="clear" w:color="auto" w:fill="auto"/>
        <w:tabs>
          <w:tab w:val="num" w:pos="630"/>
        </w:tabs>
        <w:ind w:left="630" w:hanging="630"/>
        <w:rPr>
          <w:i/>
        </w:rPr>
      </w:pPr>
      <w:r w:rsidRPr="000B37E8">
        <w:t xml:space="preserve">Prior to tendering of the works the </w:t>
      </w:r>
      <w:r w:rsidR="003049EB">
        <w:t>Borrower</w:t>
      </w:r>
      <w:r w:rsidRPr="000B37E8">
        <w:t xml:space="preserve"> must present evidence, for the Bank's non-objection, that all requirements </w:t>
      </w:r>
      <w:r w:rsidR="00914726">
        <w:t>per Annex I of</w:t>
      </w:r>
      <w:r w:rsidRPr="000B37E8">
        <w:t xml:space="preserve"> the ESMR have been met.  </w:t>
      </w:r>
    </w:p>
    <w:p w14:paraId="1D535869" w14:textId="77777777" w:rsidR="00423D66" w:rsidRDefault="00423D66" w:rsidP="00301336">
      <w:pPr>
        <w:rPr>
          <w:b/>
        </w:rPr>
      </w:pPr>
    </w:p>
    <w:p w14:paraId="21736D51" w14:textId="77777777" w:rsidR="00EC45E8" w:rsidRDefault="00EC45E8" w:rsidP="00301336">
      <w:pPr>
        <w:rPr>
          <w:b/>
        </w:rPr>
        <w:sectPr w:rsidR="00EC45E8" w:rsidSect="00381528">
          <w:footerReference w:type="default" r:id="rId17"/>
          <w:pgSz w:w="12240" w:h="15840"/>
          <w:pgMar w:top="1440" w:right="1440" w:bottom="1440" w:left="1440" w:header="720" w:footer="720" w:gutter="0"/>
          <w:pgNumType w:start="1"/>
          <w:cols w:space="720"/>
          <w:docGrid w:linePitch="360"/>
        </w:sectPr>
      </w:pPr>
    </w:p>
    <w:p w14:paraId="6435869A" w14:textId="77777777" w:rsidR="00423D66" w:rsidRPr="009F1E86" w:rsidRDefault="00423D66" w:rsidP="009F1E86">
      <w:pPr>
        <w:pStyle w:val="Chapter"/>
        <w:numPr>
          <w:ilvl w:val="0"/>
          <w:numId w:val="0"/>
        </w:numPr>
        <w:tabs>
          <w:tab w:val="clear" w:pos="1440"/>
          <w:tab w:val="left" w:pos="540"/>
        </w:tabs>
        <w:ind w:left="540"/>
        <w:jc w:val="left"/>
      </w:pPr>
      <w:bookmarkStart w:id="30" w:name="_Toc398560436"/>
      <w:bookmarkStart w:id="31" w:name="_Toc401912155"/>
      <w:r w:rsidRPr="009F1E86">
        <w:lastRenderedPageBreak/>
        <w:t>ANNEX I</w:t>
      </w:r>
      <w:bookmarkEnd w:id="30"/>
      <w:bookmarkEnd w:id="31"/>
    </w:p>
    <w:p w14:paraId="7479BB67" w14:textId="77777777" w:rsidR="00423D66" w:rsidRPr="00423D66" w:rsidRDefault="00423D66" w:rsidP="00F45F41">
      <w:pPr>
        <w:rPr>
          <w:b/>
          <w:sz w:val="24"/>
          <w:szCs w:val="24"/>
          <w:lang w:val="es-ES"/>
        </w:rPr>
      </w:pPr>
      <w:r>
        <w:rPr>
          <w:b/>
          <w:sz w:val="24"/>
          <w:szCs w:val="24"/>
          <w:lang w:val="es-ES"/>
        </w:rPr>
        <w:t>Environmental and Social Action Plan</w:t>
      </w:r>
    </w:p>
    <w:p w14:paraId="7D17491D" w14:textId="77777777" w:rsidR="00423D66" w:rsidRPr="00423D66" w:rsidRDefault="00423D66" w:rsidP="00423D66">
      <w:pPr>
        <w:autoSpaceDE w:val="0"/>
        <w:autoSpaceDN w:val="0"/>
        <w:adjustRightInd w:val="0"/>
        <w:jc w:val="both"/>
        <w:rPr>
          <w:sz w:val="24"/>
          <w:szCs w:val="24"/>
          <w:lang w:val="es-ES"/>
        </w:rPr>
      </w:pPr>
    </w:p>
    <w:tbl>
      <w:tblPr>
        <w:tblW w:w="13519"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980"/>
        <w:gridCol w:w="2970"/>
        <w:gridCol w:w="6939"/>
      </w:tblGrid>
      <w:tr w:rsidR="00423D66" w:rsidRPr="00F45F41" w14:paraId="5EEC6C78" w14:textId="77777777" w:rsidTr="00C240B9">
        <w:trPr>
          <w:tblHeader/>
          <w:jc w:val="center"/>
        </w:trPr>
        <w:tc>
          <w:tcPr>
            <w:tcW w:w="1630" w:type="dxa"/>
            <w:tcBorders>
              <w:bottom w:val="single" w:sz="4" w:space="0" w:color="auto"/>
            </w:tcBorders>
            <w:shd w:val="clear" w:color="auto" w:fill="548DD4" w:themeFill="text2" w:themeFillTint="99"/>
          </w:tcPr>
          <w:p w14:paraId="015CD08E" w14:textId="77777777" w:rsidR="00423D66" w:rsidRPr="00F45F41" w:rsidRDefault="00423D66" w:rsidP="00260F1A">
            <w:pPr>
              <w:jc w:val="center"/>
              <w:rPr>
                <w:b/>
                <w:sz w:val="24"/>
                <w:szCs w:val="24"/>
              </w:rPr>
            </w:pPr>
            <w:r w:rsidRPr="00F45F41">
              <w:rPr>
                <w:b/>
                <w:sz w:val="22"/>
                <w:szCs w:val="22"/>
              </w:rPr>
              <w:t>Pol</w:t>
            </w:r>
            <w:r w:rsidR="00260F1A" w:rsidRPr="00F45F41">
              <w:rPr>
                <w:b/>
                <w:sz w:val="22"/>
                <w:szCs w:val="22"/>
              </w:rPr>
              <w:t>icy</w:t>
            </w:r>
          </w:p>
        </w:tc>
        <w:tc>
          <w:tcPr>
            <w:tcW w:w="1980" w:type="dxa"/>
            <w:tcBorders>
              <w:bottom w:val="single" w:sz="4" w:space="0" w:color="auto"/>
            </w:tcBorders>
            <w:shd w:val="clear" w:color="auto" w:fill="548DD4" w:themeFill="text2" w:themeFillTint="99"/>
          </w:tcPr>
          <w:p w14:paraId="60B9842B" w14:textId="77777777" w:rsidR="00423D66" w:rsidRPr="00F45F41" w:rsidRDefault="00260F1A" w:rsidP="00423D66">
            <w:pPr>
              <w:jc w:val="center"/>
              <w:rPr>
                <w:b/>
                <w:sz w:val="24"/>
                <w:szCs w:val="24"/>
              </w:rPr>
            </w:pPr>
            <w:r w:rsidRPr="00F45F41">
              <w:rPr>
                <w:b/>
                <w:sz w:val="22"/>
                <w:szCs w:val="22"/>
              </w:rPr>
              <w:t>Applicable   Aspects</w:t>
            </w:r>
          </w:p>
        </w:tc>
        <w:tc>
          <w:tcPr>
            <w:tcW w:w="2970" w:type="dxa"/>
            <w:tcBorders>
              <w:bottom w:val="single" w:sz="4" w:space="0" w:color="auto"/>
            </w:tcBorders>
            <w:shd w:val="clear" w:color="auto" w:fill="548DD4" w:themeFill="text2" w:themeFillTint="99"/>
          </w:tcPr>
          <w:p w14:paraId="48104262" w14:textId="77777777" w:rsidR="00423D66" w:rsidRPr="00F45F41" w:rsidRDefault="00260F1A" w:rsidP="00423D66">
            <w:pPr>
              <w:jc w:val="center"/>
              <w:rPr>
                <w:b/>
                <w:sz w:val="24"/>
                <w:szCs w:val="24"/>
              </w:rPr>
            </w:pPr>
            <w:r w:rsidRPr="00F45F41">
              <w:rPr>
                <w:b/>
                <w:sz w:val="22"/>
                <w:szCs w:val="22"/>
              </w:rPr>
              <w:t>Status of compliance</w:t>
            </w:r>
          </w:p>
        </w:tc>
        <w:tc>
          <w:tcPr>
            <w:tcW w:w="6939" w:type="dxa"/>
            <w:tcBorders>
              <w:bottom w:val="single" w:sz="4" w:space="0" w:color="auto"/>
            </w:tcBorders>
            <w:shd w:val="clear" w:color="auto" w:fill="548DD4" w:themeFill="text2" w:themeFillTint="99"/>
          </w:tcPr>
          <w:p w14:paraId="32CF89F6" w14:textId="77777777" w:rsidR="00423D66" w:rsidRPr="00F45F41" w:rsidRDefault="00260F1A" w:rsidP="00423D66">
            <w:pPr>
              <w:jc w:val="center"/>
              <w:rPr>
                <w:b/>
                <w:sz w:val="24"/>
                <w:szCs w:val="24"/>
              </w:rPr>
            </w:pPr>
            <w:r w:rsidRPr="00F45F41">
              <w:rPr>
                <w:b/>
                <w:sz w:val="22"/>
                <w:szCs w:val="22"/>
              </w:rPr>
              <w:t>Required action</w:t>
            </w:r>
          </w:p>
        </w:tc>
      </w:tr>
      <w:tr w:rsidR="00423D66" w:rsidRPr="00F45F41" w14:paraId="33FD5673" w14:textId="77777777" w:rsidTr="00C240B9">
        <w:trPr>
          <w:jc w:val="center"/>
        </w:trPr>
        <w:tc>
          <w:tcPr>
            <w:tcW w:w="13519" w:type="dxa"/>
            <w:gridSpan w:val="4"/>
            <w:tcBorders>
              <w:bottom w:val="single" w:sz="4" w:space="0" w:color="auto"/>
            </w:tcBorders>
            <w:shd w:val="clear" w:color="auto" w:fill="95B3D7" w:themeFill="accent1" w:themeFillTint="99"/>
          </w:tcPr>
          <w:p w14:paraId="2F0A2A16" w14:textId="77777777" w:rsidR="00423D66" w:rsidRPr="00F45F41" w:rsidRDefault="00F45F41" w:rsidP="00423D66">
            <w:pPr>
              <w:ind w:right="-3084"/>
              <w:rPr>
                <w:b/>
                <w:i/>
                <w:sz w:val="24"/>
                <w:szCs w:val="24"/>
              </w:rPr>
            </w:pPr>
            <w:r>
              <w:rPr>
                <w:b/>
                <w:i/>
                <w:sz w:val="22"/>
                <w:szCs w:val="22"/>
              </w:rPr>
              <w:t>Conditions to be met before loan approval</w:t>
            </w:r>
          </w:p>
        </w:tc>
      </w:tr>
      <w:tr w:rsidR="00423D66" w:rsidRPr="00F45F41" w14:paraId="62A0A287" w14:textId="77777777" w:rsidTr="00C47A73">
        <w:trPr>
          <w:trHeight w:val="4022"/>
          <w:jc w:val="center"/>
        </w:trPr>
        <w:tc>
          <w:tcPr>
            <w:tcW w:w="1630" w:type="dxa"/>
            <w:tcBorders>
              <w:bottom w:val="single" w:sz="4" w:space="0" w:color="auto"/>
            </w:tcBorders>
            <w:shd w:val="clear" w:color="auto" w:fill="auto"/>
          </w:tcPr>
          <w:p w14:paraId="18EA460F" w14:textId="77777777" w:rsidR="00423D66" w:rsidRPr="00F45F41" w:rsidRDefault="00423D66" w:rsidP="00423D66">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sz w:val="24"/>
                <w:szCs w:val="24"/>
              </w:rPr>
            </w:pPr>
            <w:r w:rsidRPr="00F45F41">
              <w:rPr>
                <w:sz w:val="22"/>
                <w:szCs w:val="22"/>
              </w:rPr>
              <w:t>OP-102</w:t>
            </w:r>
          </w:p>
        </w:tc>
        <w:tc>
          <w:tcPr>
            <w:tcW w:w="1980" w:type="dxa"/>
            <w:tcBorders>
              <w:bottom w:val="single" w:sz="4" w:space="0" w:color="auto"/>
            </w:tcBorders>
            <w:shd w:val="clear" w:color="auto" w:fill="auto"/>
          </w:tcPr>
          <w:p w14:paraId="6E8E5D7A" w14:textId="77777777" w:rsidR="00423D66" w:rsidRPr="00F45F41" w:rsidRDefault="00260F1A" w:rsidP="00260F1A">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sz w:val="24"/>
                <w:szCs w:val="24"/>
              </w:rPr>
            </w:pPr>
            <w:r w:rsidRPr="00F45F41">
              <w:rPr>
                <w:sz w:val="22"/>
                <w:szCs w:val="22"/>
              </w:rPr>
              <w:t xml:space="preserve">Access  to </w:t>
            </w:r>
            <w:r w:rsidR="00F45F41" w:rsidRPr="00F45F41">
              <w:rPr>
                <w:sz w:val="22"/>
                <w:szCs w:val="22"/>
              </w:rPr>
              <w:t>Information</w:t>
            </w:r>
            <w:r w:rsidRPr="00F45F41">
              <w:rPr>
                <w:sz w:val="22"/>
                <w:szCs w:val="22"/>
              </w:rPr>
              <w:t xml:space="preserve"> </w:t>
            </w:r>
          </w:p>
        </w:tc>
        <w:tc>
          <w:tcPr>
            <w:tcW w:w="2970" w:type="dxa"/>
            <w:tcBorders>
              <w:bottom w:val="single" w:sz="4" w:space="0" w:color="auto"/>
            </w:tcBorders>
            <w:shd w:val="clear" w:color="auto" w:fill="auto"/>
          </w:tcPr>
          <w:p w14:paraId="66A4FBB7" w14:textId="77777777" w:rsidR="00423D66" w:rsidRPr="00F45F41" w:rsidRDefault="00260F1A" w:rsidP="00423D66">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sz w:val="24"/>
                <w:szCs w:val="24"/>
              </w:rPr>
            </w:pPr>
            <w:r w:rsidRPr="00F45F41">
              <w:rPr>
                <w:sz w:val="22"/>
                <w:szCs w:val="22"/>
              </w:rPr>
              <w:t xml:space="preserve">All </w:t>
            </w:r>
            <w:r w:rsidR="00F45F41" w:rsidRPr="00F45F41">
              <w:rPr>
                <w:sz w:val="22"/>
                <w:szCs w:val="22"/>
              </w:rPr>
              <w:t>relevant documentation</w:t>
            </w:r>
            <w:r w:rsidRPr="00F45F41">
              <w:rPr>
                <w:sz w:val="22"/>
                <w:szCs w:val="22"/>
              </w:rPr>
              <w:t xml:space="preserve"> must be </w:t>
            </w:r>
            <w:r w:rsidR="009C07CA" w:rsidRPr="00F45F41">
              <w:rPr>
                <w:sz w:val="22"/>
                <w:szCs w:val="22"/>
              </w:rPr>
              <w:t>up</w:t>
            </w:r>
            <w:r w:rsidRPr="00F45F41">
              <w:rPr>
                <w:sz w:val="22"/>
                <w:szCs w:val="22"/>
              </w:rPr>
              <w:t xml:space="preserve">loaded to the </w:t>
            </w:r>
            <w:r w:rsidR="009C07CA" w:rsidRPr="00F45F41">
              <w:rPr>
                <w:sz w:val="22"/>
                <w:szCs w:val="22"/>
              </w:rPr>
              <w:t>E</w:t>
            </w:r>
            <w:r w:rsidR="00BF0D1E">
              <w:rPr>
                <w:sz w:val="22"/>
                <w:szCs w:val="22"/>
              </w:rPr>
              <w:t>xecuting Agency</w:t>
            </w:r>
            <w:r w:rsidR="009C07CA" w:rsidRPr="00F45F41">
              <w:rPr>
                <w:sz w:val="22"/>
                <w:szCs w:val="22"/>
              </w:rPr>
              <w:t>’s website.</w:t>
            </w:r>
          </w:p>
          <w:p w14:paraId="625998FC" w14:textId="77777777" w:rsidR="00423D66" w:rsidRPr="00F45F41" w:rsidRDefault="00423D66" w:rsidP="00423D66">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sz w:val="24"/>
                <w:szCs w:val="24"/>
              </w:rPr>
            </w:pPr>
          </w:p>
          <w:p w14:paraId="224EDEE7" w14:textId="77777777" w:rsidR="00423D66" w:rsidRDefault="009C07CA" w:rsidP="00423D66">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sz w:val="22"/>
                <w:szCs w:val="22"/>
              </w:rPr>
            </w:pPr>
            <w:r w:rsidRPr="00F45F41">
              <w:rPr>
                <w:sz w:val="22"/>
                <w:szCs w:val="22"/>
              </w:rPr>
              <w:t>The ESA has been received and analyzed by the team. The consultant is incorporating Bank’s comments. The publication process for the draft ESA has initiated.</w:t>
            </w:r>
            <w:r w:rsidR="00E23262">
              <w:rPr>
                <w:sz w:val="22"/>
                <w:szCs w:val="22"/>
              </w:rPr>
              <w:t xml:space="preserve"> </w:t>
            </w:r>
          </w:p>
          <w:p w14:paraId="46CA1836" w14:textId="77777777" w:rsidR="00E23262" w:rsidRDefault="00E23262" w:rsidP="00423D66">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sz w:val="22"/>
                <w:szCs w:val="22"/>
              </w:rPr>
            </w:pPr>
          </w:p>
          <w:p w14:paraId="3FE18849" w14:textId="4BE5366B" w:rsidR="00423D66" w:rsidRPr="00F45F41" w:rsidRDefault="00E23262" w:rsidP="00423D66">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sz w:val="24"/>
                <w:szCs w:val="24"/>
              </w:rPr>
            </w:pPr>
            <w:r>
              <w:rPr>
                <w:sz w:val="22"/>
                <w:szCs w:val="22"/>
              </w:rPr>
              <w:t>Compliance is expected once required actions are completed.</w:t>
            </w:r>
          </w:p>
        </w:tc>
        <w:tc>
          <w:tcPr>
            <w:tcW w:w="6939" w:type="dxa"/>
            <w:tcBorders>
              <w:bottom w:val="single" w:sz="4" w:space="0" w:color="auto"/>
            </w:tcBorders>
            <w:shd w:val="clear" w:color="auto" w:fill="auto"/>
          </w:tcPr>
          <w:p w14:paraId="4A363162" w14:textId="77777777" w:rsidR="00423D66" w:rsidRPr="00F45F41" w:rsidRDefault="00E23262" w:rsidP="00423D66">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sz w:val="24"/>
                <w:szCs w:val="24"/>
              </w:rPr>
            </w:pPr>
            <w:r>
              <w:rPr>
                <w:sz w:val="24"/>
                <w:szCs w:val="24"/>
              </w:rPr>
              <w:t>Publish all pertinent documentation per OP-102, in particular the ESA</w:t>
            </w:r>
            <w:r w:rsidR="00BF0D1E">
              <w:rPr>
                <w:sz w:val="24"/>
                <w:szCs w:val="24"/>
              </w:rPr>
              <w:t xml:space="preserve"> and ESMP for the Program</w:t>
            </w:r>
            <w:r>
              <w:rPr>
                <w:sz w:val="24"/>
                <w:szCs w:val="24"/>
              </w:rPr>
              <w:t>.</w:t>
            </w:r>
          </w:p>
          <w:p w14:paraId="1C1166C7" w14:textId="77777777" w:rsidR="00423D66" w:rsidRPr="00F45F41" w:rsidRDefault="00423D66" w:rsidP="00423D66">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sz w:val="24"/>
                <w:szCs w:val="24"/>
              </w:rPr>
            </w:pPr>
          </w:p>
        </w:tc>
      </w:tr>
      <w:tr w:rsidR="00423D66" w:rsidRPr="00F45F41" w14:paraId="482B8003" w14:textId="77777777" w:rsidTr="00C240B9">
        <w:trPr>
          <w:jc w:val="center"/>
        </w:trPr>
        <w:tc>
          <w:tcPr>
            <w:tcW w:w="13519" w:type="dxa"/>
            <w:gridSpan w:val="4"/>
            <w:shd w:val="clear" w:color="auto" w:fill="95B3D7" w:themeFill="accent1" w:themeFillTint="99"/>
          </w:tcPr>
          <w:p w14:paraId="478804C3" w14:textId="77777777" w:rsidR="00423D66" w:rsidRPr="00F45F41" w:rsidDel="00EE6F3D" w:rsidRDefault="00E23262" w:rsidP="00423D66">
            <w:pPr>
              <w:ind w:right="-3084"/>
              <w:rPr>
                <w:b/>
                <w:i/>
                <w:sz w:val="24"/>
                <w:szCs w:val="24"/>
              </w:rPr>
            </w:pPr>
            <w:r>
              <w:rPr>
                <w:b/>
                <w:i/>
                <w:sz w:val="22"/>
                <w:szCs w:val="22"/>
              </w:rPr>
              <w:t>Conditions to be met before first disbursement</w:t>
            </w:r>
          </w:p>
        </w:tc>
      </w:tr>
      <w:tr w:rsidR="00244B50" w:rsidRPr="00F45F41" w14:paraId="6E112AB2" w14:textId="77777777" w:rsidTr="00C47A73">
        <w:trPr>
          <w:trHeight w:val="1808"/>
          <w:jc w:val="center"/>
        </w:trPr>
        <w:tc>
          <w:tcPr>
            <w:tcW w:w="1630" w:type="dxa"/>
          </w:tcPr>
          <w:p w14:paraId="47DABE65" w14:textId="77777777" w:rsidR="00244B50" w:rsidRPr="00F45F41" w:rsidRDefault="00244B50" w:rsidP="00423D66">
            <w:pPr>
              <w:rPr>
                <w:sz w:val="24"/>
                <w:szCs w:val="24"/>
              </w:rPr>
            </w:pPr>
            <w:r w:rsidRPr="00F45F41">
              <w:rPr>
                <w:sz w:val="22"/>
                <w:szCs w:val="22"/>
              </w:rPr>
              <w:t>OP-703 B.4, B.7</w:t>
            </w:r>
          </w:p>
          <w:p w14:paraId="2DC6F139" w14:textId="77777777" w:rsidR="00244B50" w:rsidRPr="00F45F41" w:rsidRDefault="00244B50" w:rsidP="00617F0E">
            <w:pPr>
              <w:jc w:val="center"/>
              <w:rPr>
                <w:sz w:val="24"/>
                <w:szCs w:val="24"/>
              </w:rPr>
            </w:pPr>
          </w:p>
        </w:tc>
        <w:tc>
          <w:tcPr>
            <w:tcW w:w="1980" w:type="dxa"/>
          </w:tcPr>
          <w:p w14:paraId="4420EAF4" w14:textId="77777777" w:rsidR="00244B50" w:rsidRPr="00F45F41" w:rsidRDefault="00244B50" w:rsidP="00423D66">
            <w:pPr>
              <w:rPr>
                <w:sz w:val="24"/>
                <w:szCs w:val="24"/>
              </w:rPr>
            </w:pPr>
            <w:r w:rsidRPr="0042296E">
              <w:rPr>
                <w:sz w:val="22"/>
                <w:szCs w:val="22"/>
              </w:rPr>
              <w:t>Capacity / Institutional Deficiencies</w:t>
            </w:r>
          </w:p>
          <w:p w14:paraId="3DE264EA" w14:textId="77777777" w:rsidR="00244B50" w:rsidRPr="00F45F41" w:rsidRDefault="00244B50" w:rsidP="00423D66">
            <w:pPr>
              <w:rPr>
                <w:sz w:val="24"/>
                <w:szCs w:val="24"/>
              </w:rPr>
            </w:pPr>
          </w:p>
          <w:p w14:paraId="3146296B" w14:textId="77777777" w:rsidR="00244B50" w:rsidRPr="00F45F41" w:rsidRDefault="00244B50" w:rsidP="00423D66">
            <w:pPr>
              <w:rPr>
                <w:sz w:val="24"/>
                <w:szCs w:val="24"/>
              </w:rPr>
            </w:pPr>
            <w:r>
              <w:rPr>
                <w:sz w:val="22"/>
                <w:szCs w:val="22"/>
              </w:rPr>
              <w:t>Supervision and Monitoring</w:t>
            </w:r>
          </w:p>
        </w:tc>
        <w:tc>
          <w:tcPr>
            <w:tcW w:w="2970" w:type="dxa"/>
          </w:tcPr>
          <w:p w14:paraId="70484C02" w14:textId="77777777" w:rsidR="00244B50" w:rsidRPr="00E23262" w:rsidRDefault="00244B50" w:rsidP="00C91F08">
            <w:pPr>
              <w:rPr>
                <w:sz w:val="22"/>
                <w:szCs w:val="22"/>
              </w:rPr>
            </w:pPr>
            <w:r w:rsidRPr="00E23262">
              <w:rPr>
                <w:sz w:val="22"/>
                <w:szCs w:val="22"/>
              </w:rPr>
              <w:t>Compliance is expected once required actions are completed.</w:t>
            </w:r>
          </w:p>
          <w:p w14:paraId="509ECD86" w14:textId="77777777" w:rsidR="00244B50" w:rsidRPr="00F45F41" w:rsidRDefault="00244B50" w:rsidP="00423D66">
            <w:pPr>
              <w:rPr>
                <w:sz w:val="24"/>
                <w:szCs w:val="24"/>
              </w:rPr>
            </w:pPr>
          </w:p>
        </w:tc>
        <w:tc>
          <w:tcPr>
            <w:tcW w:w="6939" w:type="dxa"/>
          </w:tcPr>
          <w:p w14:paraId="55E93132" w14:textId="2098EE2D" w:rsidR="00244B50" w:rsidRPr="00F45F41" w:rsidRDefault="00244B50" w:rsidP="00423D66">
            <w:pPr>
              <w:rPr>
                <w:sz w:val="24"/>
                <w:szCs w:val="24"/>
              </w:rPr>
            </w:pPr>
            <w:r w:rsidRPr="00E23262">
              <w:rPr>
                <w:sz w:val="22"/>
                <w:szCs w:val="22"/>
              </w:rPr>
              <w:t xml:space="preserve">Submit final version of the Operating </w:t>
            </w:r>
            <w:r>
              <w:rPr>
                <w:sz w:val="22"/>
                <w:szCs w:val="22"/>
              </w:rPr>
              <w:t>Manual (“Reglamento Operativo”)</w:t>
            </w:r>
            <w:r w:rsidRPr="00E23262">
              <w:rPr>
                <w:sz w:val="22"/>
                <w:szCs w:val="22"/>
              </w:rPr>
              <w:t xml:space="preserve"> </w:t>
            </w:r>
            <w:r>
              <w:rPr>
                <w:sz w:val="22"/>
                <w:szCs w:val="22"/>
              </w:rPr>
              <w:t>for review of</w:t>
            </w:r>
            <w:r w:rsidRPr="00E23262">
              <w:rPr>
                <w:sz w:val="22"/>
                <w:szCs w:val="22"/>
              </w:rPr>
              <w:t xml:space="preserve"> all the environmental and social specifications for</w:t>
            </w:r>
            <w:r>
              <w:rPr>
                <w:sz w:val="22"/>
                <w:szCs w:val="22"/>
              </w:rPr>
              <w:t xml:space="preserve"> the projects under the Program.</w:t>
            </w:r>
          </w:p>
        </w:tc>
      </w:tr>
      <w:tr w:rsidR="00244B50" w:rsidRPr="00F45F41" w14:paraId="4C229B26" w14:textId="77777777" w:rsidTr="00C240B9">
        <w:trPr>
          <w:jc w:val="center"/>
        </w:trPr>
        <w:tc>
          <w:tcPr>
            <w:tcW w:w="13519" w:type="dxa"/>
            <w:gridSpan w:val="4"/>
            <w:tcBorders>
              <w:bottom w:val="single" w:sz="4" w:space="0" w:color="auto"/>
            </w:tcBorders>
            <w:shd w:val="clear" w:color="auto" w:fill="95B3D7" w:themeFill="accent1" w:themeFillTint="99"/>
          </w:tcPr>
          <w:p w14:paraId="2EB76175" w14:textId="77777777" w:rsidR="00244B50" w:rsidRPr="00F45F41" w:rsidRDefault="00244B50" w:rsidP="00E23262">
            <w:pPr>
              <w:ind w:right="-3084"/>
              <w:rPr>
                <w:b/>
                <w:i/>
                <w:sz w:val="24"/>
                <w:szCs w:val="24"/>
              </w:rPr>
            </w:pPr>
            <w:r>
              <w:rPr>
                <w:b/>
                <w:i/>
                <w:sz w:val="22"/>
                <w:szCs w:val="22"/>
              </w:rPr>
              <w:t>Conditions to be met before tendering the Program activities</w:t>
            </w:r>
          </w:p>
        </w:tc>
      </w:tr>
      <w:tr w:rsidR="00244B50" w:rsidRPr="00F45F41" w14:paraId="208593EF" w14:textId="77777777" w:rsidTr="00C240B9">
        <w:trPr>
          <w:jc w:val="center"/>
        </w:trPr>
        <w:tc>
          <w:tcPr>
            <w:tcW w:w="1630" w:type="dxa"/>
          </w:tcPr>
          <w:p w14:paraId="66A6CBE1" w14:textId="77777777" w:rsidR="00244B50" w:rsidRPr="00F45F41" w:rsidDel="00D830F5" w:rsidRDefault="00244B50" w:rsidP="000B21DC">
            <w:pPr>
              <w:rPr>
                <w:sz w:val="24"/>
                <w:szCs w:val="24"/>
              </w:rPr>
            </w:pPr>
            <w:r>
              <w:rPr>
                <w:sz w:val="22"/>
                <w:szCs w:val="22"/>
              </w:rPr>
              <w:t>OP-703 B.5</w:t>
            </w:r>
            <w:r w:rsidRPr="00F45F41">
              <w:rPr>
                <w:sz w:val="22"/>
                <w:szCs w:val="22"/>
              </w:rPr>
              <w:t>, B.10</w:t>
            </w:r>
          </w:p>
        </w:tc>
        <w:tc>
          <w:tcPr>
            <w:tcW w:w="1980" w:type="dxa"/>
          </w:tcPr>
          <w:p w14:paraId="27E87718" w14:textId="77777777" w:rsidR="00244B50" w:rsidRPr="00F45F41" w:rsidDel="00D830F5" w:rsidRDefault="00244B50" w:rsidP="00E23262">
            <w:pPr>
              <w:rPr>
                <w:sz w:val="24"/>
                <w:szCs w:val="24"/>
              </w:rPr>
            </w:pPr>
            <w:r>
              <w:rPr>
                <w:sz w:val="22"/>
                <w:szCs w:val="22"/>
              </w:rPr>
              <w:t>Environmental Assessment</w:t>
            </w:r>
          </w:p>
        </w:tc>
        <w:tc>
          <w:tcPr>
            <w:tcW w:w="2970" w:type="dxa"/>
          </w:tcPr>
          <w:p w14:paraId="1C2D8CF7" w14:textId="77777777" w:rsidR="00244B50" w:rsidRPr="00F45F41" w:rsidDel="00D830F5" w:rsidRDefault="00244B50" w:rsidP="00BF0D1E">
            <w:pPr>
              <w:rPr>
                <w:sz w:val="24"/>
                <w:szCs w:val="24"/>
              </w:rPr>
            </w:pPr>
            <w:r>
              <w:rPr>
                <w:sz w:val="24"/>
                <w:szCs w:val="24"/>
              </w:rPr>
              <w:t>Full c</w:t>
            </w:r>
            <w:r w:rsidRPr="00BF0D1E">
              <w:rPr>
                <w:sz w:val="24"/>
                <w:szCs w:val="24"/>
              </w:rPr>
              <w:t>ompliance is expected once required actions are completed.</w:t>
            </w:r>
          </w:p>
        </w:tc>
        <w:tc>
          <w:tcPr>
            <w:tcW w:w="6939" w:type="dxa"/>
          </w:tcPr>
          <w:p w14:paraId="1A85B0E1" w14:textId="77777777" w:rsidR="00244B50" w:rsidRDefault="00244B50" w:rsidP="000B21DC">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sz w:val="22"/>
                <w:szCs w:val="22"/>
              </w:rPr>
            </w:pPr>
            <w:r>
              <w:rPr>
                <w:sz w:val="22"/>
                <w:szCs w:val="22"/>
              </w:rPr>
              <w:t>Finalize the ESA and ESMP per the Bank’s observations</w:t>
            </w:r>
            <w:r w:rsidRPr="00F45F41">
              <w:rPr>
                <w:sz w:val="22"/>
                <w:szCs w:val="22"/>
              </w:rPr>
              <w:t xml:space="preserve">. </w:t>
            </w:r>
          </w:p>
          <w:p w14:paraId="15DF76B7" w14:textId="77777777" w:rsidR="00244B50" w:rsidRDefault="00244B50" w:rsidP="000B21DC">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sz w:val="22"/>
                <w:szCs w:val="22"/>
              </w:rPr>
            </w:pPr>
          </w:p>
          <w:p w14:paraId="38DA0F31" w14:textId="77777777" w:rsidR="00244B50" w:rsidRPr="002E3B3A" w:rsidRDefault="00244B50" w:rsidP="000B21DC">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sz w:val="22"/>
                <w:szCs w:val="22"/>
              </w:rPr>
            </w:pPr>
            <w:r w:rsidRPr="002E3B3A">
              <w:rPr>
                <w:sz w:val="22"/>
                <w:szCs w:val="22"/>
              </w:rPr>
              <w:t>The Environmental Health and Safety</w:t>
            </w:r>
            <w:r>
              <w:rPr>
                <w:sz w:val="22"/>
                <w:szCs w:val="22"/>
              </w:rPr>
              <w:t xml:space="preserve"> Plan and Waste Management Plan, </w:t>
            </w:r>
            <w:r w:rsidRPr="002E3B3A">
              <w:rPr>
                <w:sz w:val="22"/>
                <w:szCs w:val="22"/>
              </w:rPr>
              <w:lastRenderedPageBreak/>
              <w:t>currently being developed by EBS</w:t>
            </w:r>
            <w:r>
              <w:rPr>
                <w:sz w:val="22"/>
                <w:szCs w:val="22"/>
              </w:rPr>
              <w:t xml:space="preserve">, must be finalized as part of the Program’s ESMP and submitted to the Bank for its non-objection. </w:t>
            </w:r>
            <w:r w:rsidRPr="002E3B3A">
              <w:rPr>
                <w:sz w:val="22"/>
                <w:szCs w:val="22"/>
              </w:rPr>
              <w:t xml:space="preserve"> </w:t>
            </w:r>
          </w:p>
        </w:tc>
      </w:tr>
      <w:tr w:rsidR="00244B50" w:rsidRPr="00F45F41" w14:paraId="5D16F09E" w14:textId="77777777" w:rsidTr="00C240B9">
        <w:trPr>
          <w:jc w:val="center"/>
        </w:trPr>
        <w:tc>
          <w:tcPr>
            <w:tcW w:w="1630" w:type="dxa"/>
          </w:tcPr>
          <w:p w14:paraId="70C5F9E4" w14:textId="77777777" w:rsidR="00244B50" w:rsidRPr="00F45F41" w:rsidRDefault="00244B50" w:rsidP="00BF0D1E">
            <w:pPr>
              <w:contextualSpacing/>
              <w:rPr>
                <w:sz w:val="22"/>
                <w:szCs w:val="22"/>
              </w:rPr>
            </w:pPr>
            <w:r w:rsidRPr="00F45F41">
              <w:rPr>
                <w:sz w:val="22"/>
                <w:szCs w:val="22"/>
              </w:rPr>
              <w:lastRenderedPageBreak/>
              <w:t>OP-710</w:t>
            </w:r>
          </w:p>
        </w:tc>
        <w:tc>
          <w:tcPr>
            <w:tcW w:w="1980" w:type="dxa"/>
          </w:tcPr>
          <w:p w14:paraId="761088E0" w14:textId="20CC7CFF" w:rsidR="00244B50" w:rsidRPr="00F45F41" w:rsidRDefault="00244B50" w:rsidP="00423D66">
            <w:pPr>
              <w:autoSpaceDE w:val="0"/>
              <w:autoSpaceDN w:val="0"/>
              <w:adjustRightInd w:val="0"/>
              <w:jc w:val="both"/>
              <w:rPr>
                <w:rFonts w:eastAsiaTheme="minorHAnsi"/>
                <w:sz w:val="22"/>
                <w:szCs w:val="22"/>
              </w:rPr>
            </w:pPr>
            <w:r>
              <w:rPr>
                <w:rFonts w:eastAsiaTheme="minorHAnsi"/>
                <w:color w:val="000000"/>
                <w:sz w:val="22"/>
                <w:szCs w:val="22"/>
              </w:rPr>
              <w:t>Land titling</w:t>
            </w:r>
          </w:p>
        </w:tc>
        <w:tc>
          <w:tcPr>
            <w:tcW w:w="2970" w:type="dxa"/>
          </w:tcPr>
          <w:p w14:paraId="735FECB0" w14:textId="5FE407B8" w:rsidR="00244B50" w:rsidRPr="000B21DC" w:rsidRDefault="00244B50" w:rsidP="00BF0D1E">
            <w:pPr>
              <w:contextualSpacing/>
              <w:rPr>
                <w:sz w:val="22"/>
                <w:szCs w:val="22"/>
              </w:rPr>
            </w:pPr>
            <w:r w:rsidRPr="001D5480">
              <w:rPr>
                <w:sz w:val="22"/>
                <w:szCs w:val="22"/>
              </w:rPr>
              <w:t>Compliance is expected once required actions are completed.</w:t>
            </w:r>
          </w:p>
        </w:tc>
        <w:tc>
          <w:tcPr>
            <w:tcW w:w="6939" w:type="dxa"/>
          </w:tcPr>
          <w:p w14:paraId="557AA4F3" w14:textId="4A0909D1" w:rsidR="00244B50" w:rsidRPr="00651618" w:rsidRDefault="00244B50" w:rsidP="00423D66">
            <w:pPr>
              <w:autoSpaceDE w:val="0"/>
              <w:autoSpaceDN w:val="0"/>
              <w:adjustRightInd w:val="0"/>
              <w:jc w:val="both"/>
              <w:rPr>
                <w:rFonts w:eastAsiaTheme="minorHAnsi"/>
                <w:color w:val="000000"/>
                <w:sz w:val="22"/>
                <w:szCs w:val="22"/>
              </w:rPr>
            </w:pPr>
            <w:r w:rsidRPr="000B21DC">
              <w:rPr>
                <w:sz w:val="22"/>
                <w:szCs w:val="22"/>
              </w:rPr>
              <w:t>Present evidence of land titling of the properties</w:t>
            </w:r>
            <w:r>
              <w:rPr>
                <w:sz w:val="22"/>
                <w:szCs w:val="22"/>
              </w:rPr>
              <w:t xml:space="preserve"> / sites</w:t>
            </w:r>
            <w:r w:rsidRPr="000B21DC">
              <w:rPr>
                <w:sz w:val="22"/>
                <w:szCs w:val="22"/>
              </w:rPr>
              <w:t xml:space="preserve"> where the proposed activities will be developed. </w:t>
            </w:r>
            <w:r>
              <w:rPr>
                <w:sz w:val="22"/>
                <w:szCs w:val="22"/>
              </w:rPr>
              <w:t xml:space="preserve"> </w:t>
            </w:r>
          </w:p>
        </w:tc>
      </w:tr>
      <w:tr w:rsidR="00244B50" w:rsidRPr="00F45F41" w14:paraId="068F1352" w14:textId="77777777" w:rsidTr="00C240B9">
        <w:trPr>
          <w:jc w:val="center"/>
        </w:trPr>
        <w:tc>
          <w:tcPr>
            <w:tcW w:w="1630" w:type="dxa"/>
            <w:tcBorders>
              <w:bottom w:val="single" w:sz="4" w:space="0" w:color="auto"/>
            </w:tcBorders>
          </w:tcPr>
          <w:p w14:paraId="79B76E2D" w14:textId="77777777" w:rsidR="00244B50" w:rsidRPr="00F45F41" w:rsidRDefault="00244B50" w:rsidP="000E3B27">
            <w:pPr>
              <w:contextualSpacing/>
              <w:rPr>
                <w:sz w:val="24"/>
                <w:szCs w:val="24"/>
              </w:rPr>
            </w:pPr>
            <w:r w:rsidRPr="00F45F41">
              <w:rPr>
                <w:sz w:val="22"/>
                <w:szCs w:val="22"/>
              </w:rPr>
              <w:t>OP-703 B.2, B.4, B.5, B.6, B.1</w:t>
            </w:r>
            <w:r>
              <w:rPr>
                <w:sz w:val="22"/>
                <w:szCs w:val="22"/>
              </w:rPr>
              <w:t>0</w:t>
            </w:r>
          </w:p>
        </w:tc>
        <w:tc>
          <w:tcPr>
            <w:tcW w:w="1980" w:type="dxa"/>
            <w:tcBorders>
              <w:bottom w:val="single" w:sz="4" w:space="0" w:color="auto"/>
            </w:tcBorders>
          </w:tcPr>
          <w:p w14:paraId="0D0AAA97" w14:textId="77777777" w:rsidR="00244B50" w:rsidRPr="00F45F41" w:rsidDel="00D830F5" w:rsidRDefault="00244B50" w:rsidP="00423D66">
            <w:pPr>
              <w:rPr>
                <w:sz w:val="24"/>
                <w:szCs w:val="24"/>
              </w:rPr>
            </w:pPr>
            <w:r w:rsidRPr="00651618">
              <w:rPr>
                <w:sz w:val="22"/>
                <w:szCs w:val="22"/>
              </w:rPr>
              <w:t>Compliance with Environmental Requirements</w:t>
            </w:r>
          </w:p>
        </w:tc>
        <w:tc>
          <w:tcPr>
            <w:tcW w:w="2970" w:type="dxa"/>
            <w:tcBorders>
              <w:bottom w:val="single" w:sz="4" w:space="0" w:color="auto"/>
            </w:tcBorders>
          </w:tcPr>
          <w:p w14:paraId="6D3F083E" w14:textId="77777777" w:rsidR="00244B50" w:rsidRPr="00F45F41" w:rsidDel="00D830F5" w:rsidRDefault="00244B50" w:rsidP="00651618">
            <w:pPr>
              <w:rPr>
                <w:sz w:val="24"/>
                <w:szCs w:val="24"/>
              </w:rPr>
            </w:pPr>
            <w:r w:rsidRPr="001D5480">
              <w:rPr>
                <w:sz w:val="24"/>
                <w:szCs w:val="24"/>
              </w:rPr>
              <w:t>Compliance is expected once required actions are completed.</w:t>
            </w:r>
          </w:p>
        </w:tc>
        <w:tc>
          <w:tcPr>
            <w:tcW w:w="6939" w:type="dxa"/>
            <w:tcBorders>
              <w:bottom w:val="single" w:sz="4" w:space="0" w:color="auto"/>
            </w:tcBorders>
          </w:tcPr>
          <w:p w14:paraId="262C24DE" w14:textId="77777777" w:rsidR="00244B50" w:rsidRPr="00651618" w:rsidRDefault="00244B50" w:rsidP="000E3B27">
            <w:pPr>
              <w:rPr>
                <w:sz w:val="24"/>
                <w:szCs w:val="24"/>
              </w:rPr>
            </w:pPr>
            <w:r w:rsidRPr="00651618">
              <w:rPr>
                <w:sz w:val="22"/>
                <w:szCs w:val="22"/>
              </w:rPr>
              <w:t xml:space="preserve">Ensure that contracts with construction and operation </w:t>
            </w:r>
            <w:r>
              <w:rPr>
                <w:sz w:val="22"/>
                <w:szCs w:val="22"/>
              </w:rPr>
              <w:t xml:space="preserve">contractors </w:t>
            </w:r>
            <w:r w:rsidRPr="00651618">
              <w:rPr>
                <w:sz w:val="22"/>
                <w:szCs w:val="22"/>
              </w:rPr>
              <w:t>include clauses concerning the mitigation and control of soci</w:t>
            </w:r>
            <w:r>
              <w:rPr>
                <w:sz w:val="22"/>
                <w:szCs w:val="22"/>
              </w:rPr>
              <w:t>o-environmental impacts</w:t>
            </w:r>
            <w:r w:rsidRPr="00651618">
              <w:rPr>
                <w:sz w:val="22"/>
                <w:szCs w:val="22"/>
              </w:rPr>
              <w:t xml:space="preserve">. Confirm that such </w:t>
            </w:r>
            <w:r>
              <w:rPr>
                <w:sz w:val="22"/>
                <w:szCs w:val="22"/>
              </w:rPr>
              <w:t>contractors</w:t>
            </w:r>
            <w:r w:rsidRPr="00651618">
              <w:rPr>
                <w:sz w:val="22"/>
                <w:szCs w:val="22"/>
              </w:rPr>
              <w:t xml:space="preserve"> have environmental / social </w:t>
            </w:r>
            <w:r>
              <w:rPr>
                <w:sz w:val="22"/>
                <w:szCs w:val="22"/>
              </w:rPr>
              <w:t xml:space="preserve">professionals in charge of the implementation of measures identified in the ESMP as necessary </w:t>
            </w:r>
            <w:r w:rsidRPr="00651618">
              <w:rPr>
                <w:sz w:val="22"/>
                <w:szCs w:val="22"/>
              </w:rPr>
              <w:t>for the control and monitor</w:t>
            </w:r>
            <w:r>
              <w:rPr>
                <w:sz w:val="22"/>
                <w:szCs w:val="22"/>
              </w:rPr>
              <w:t>ing of environmental management.</w:t>
            </w:r>
          </w:p>
        </w:tc>
      </w:tr>
      <w:tr w:rsidR="00244B50" w:rsidRPr="0037309D" w14:paraId="1E606781" w14:textId="77777777" w:rsidTr="00C240B9">
        <w:trPr>
          <w:jc w:val="center"/>
        </w:trPr>
        <w:tc>
          <w:tcPr>
            <w:tcW w:w="13519" w:type="dxa"/>
            <w:gridSpan w:val="4"/>
            <w:tcBorders>
              <w:bottom w:val="single" w:sz="4" w:space="0" w:color="auto"/>
            </w:tcBorders>
            <w:shd w:val="clear" w:color="auto" w:fill="95B3D7" w:themeFill="accent1" w:themeFillTint="99"/>
          </w:tcPr>
          <w:p w14:paraId="39E4ECE2" w14:textId="77777777" w:rsidR="00244B50" w:rsidRPr="0037309D" w:rsidRDefault="00244B50" w:rsidP="00423D66">
            <w:pPr>
              <w:rPr>
                <w:b/>
                <w:i/>
                <w:sz w:val="24"/>
                <w:szCs w:val="24"/>
              </w:rPr>
            </w:pPr>
            <w:r w:rsidRPr="0037309D">
              <w:rPr>
                <w:b/>
                <w:i/>
                <w:sz w:val="22"/>
                <w:szCs w:val="22"/>
              </w:rPr>
              <w:t>Conditions to be met during the duration of the loan</w:t>
            </w:r>
          </w:p>
        </w:tc>
      </w:tr>
      <w:tr w:rsidR="00244B50" w:rsidRPr="00F45F41" w14:paraId="5E63D843" w14:textId="77777777" w:rsidTr="00C240B9">
        <w:trPr>
          <w:jc w:val="center"/>
        </w:trPr>
        <w:tc>
          <w:tcPr>
            <w:tcW w:w="1630" w:type="dxa"/>
            <w:shd w:val="clear" w:color="auto" w:fill="auto"/>
          </w:tcPr>
          <w:p w14:paraId="736F8BB0" w14:textId="77777777" w:rsidR="00244B50" w:rsidRPr="00545D83" w:rsidRDefault="00244B50" w:rsidP="00423D66">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sz w:val="24"/>
                <w:szCs w:val="24"/>
                <w:lang w:val="nl-NL"/>
              </w:rPr>
            </w:pPr>
            <w:r w:rsidRPr="00545D83">
              <w:rPr>
                <w:sz w:val="24"/>
                <w:szCs w:val="24"/>
                <w:lang w:val="nl-NL"/>
              </w:rPr>
              <w:t>OP-703 B.2, B.5, B.6, B.10</w:t>
            </w:r>
          </w:p>
          <w:p w14:paraId="194ED840" w14:textId="77777777" w:rsidR="00244B50" w:rsidRPr="00545D83" w:rsidRDefault="00244B50" w:rsidP="00CA5083">
            <w:pPr>
              <w:keepNext/>
              <w:keepLines/>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before="240"/>
              <w:ind w:left="1008"/>
              <w:jc w:val="both"/>
              <w:rPr>
                <w:sz w:val="24"/>
                <w:szCs w:val="24"/>
                <w:lang w:val="nl-NL"/>
              </w:rPr>
            </w:pPr>
          </w:p>
          <w:p w14:paraId="00CAC5BA" w14:textId="77777777" w:rsidR="00244B50" w:rsidRPr="00545D83" w:rsidRDefault="00244B50" w:rsidP="00423D66">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sz w:val="24"/>
                <w:szCs w:val="24"/>
                <w:lang w:val="nl-NL"/>
              </w:rPr>
            </w:pPr>
            <w:r w:rsidRPr="00545D83">
              <w:rPr>
                <w:sz w:val="24"/>
                <w:szCs w:val="24"/>
                <w:lang w:val="nl-NL"/>
              </w:rPr>
              <w:t>OP-710,  OP-765,  OP-270</w:t>
            </w:r>
          </w:p>
        </w:tc>
        <w:tc>
          <w:tcPr>
            <w:tcW w:w="1980" w:type="dxa"/>
            <w:shd w:val="clear" w:color="auto" w:fill="auto"/>
          </w:tcPr>
          <w:p w14:paraId="7E102611" w14:textId="77777777" w:rsidR="00244B50" w:rsidRPr="00F45F41" w:rsidRDefault="00244B50" w:rsidP="00423D66">
            <w:pPr>
              <w:autoSpaceDE w:val="0"/>
              <w:autoSpaceDN w:val="0"/>
              <w:adjustRightInd w:val="0"/>
              <w:rPr>
                <w:rFonts w:eastAsiaTheme="minorHAnsi"/>
                <w:color w:val="000000"/>
                <w:sz w:val="22"/>
                <w:szCs w:val="22"/>
              </w:rPr>
            </w:pPr>
            <w:r w:rsidRPr="0037309D">
              <w:rPr>
                <w:rFonts w:eastAsiaTheme="minorHAnsi"/>
                <w:color w:val="000000"/>
                <w:sz w:val="22"/>
                <w:szCs w:val="22"/>
              </w:rPr>
              <w:t xml:space="preserve">Compliance with Environmental </w:t>
            </w:r>
            <w:r>
              <w:rPr>
                <w:rFonts w:eastAsiaTheme="minorHAnsi"/>
                <w:color w:val="000000"/>
                <w:sz w:val="22"/>
                <w:szCs w:val="22"/>
              </w:rPr>
              <w:t xml:space="preserve">and Social </w:t>
            </w:r>
            <w:r w:rsidRPr="0037309D">
              <w:rPr>
                <w:rFonts w:eastAsiaTheme="minorHAnsi"/>
                <w:color w:val="000000"/>
                <w:sz w:val="22"/>
                <w:szCs w:val="22"/>
              </w:rPr>
              <w:t>Requirements</w:t>
            </w:r>
          </w:p>
        </w:tc>
        <w:tc>
          <w:tcPr>
            <w:tcW w:w="2970" w:type="dxa"/>
            <w:shd w:val="clear" w:color="auto" w:fill="auto"/>
          </w:tcPr>
          <w:p w14:paraId="4C914E8A" w14:textId="77777777" w:rsidR="00244B50" w:rsidRPr="0037309D" w:rsidRDefault="00244B50" w:rsidP="00651618">
            <w:pPr>
              <w:contextualSpacing/>
              <w:rPr>
                <w:sz w:val="24"/>
                <w:szCs w:val="24"/>
              </w:rPr>
            </w:pPr>
            <w:r w:rsidRPr="001D5480">
              <w:rPr>
                <w:sz w:val="24"/>
                <w:szCs w:val="24"/>
              </w:rPr>
              <w:t>Compliance is expected once required actions are completed.</w:t>
            </w:r>
          </w:p>
        </w:tc>
        <w:tc>
          <w:tcPr>
            <w:tcW w:w="6939" w:type="dxa"/>
            <w:shd w:val="clear" w:color="auto" w:fill="auto"/>
          </w:tcPr>
          <w:p w14:paraId="09555144" w14:textId="77777777" w:rsidR="00244B50" w:rsidRPr="0037309D" w:rsidRDefault="00244B50" w:rsidP="00F44BA0">
            <w:pPr>
              <w:numPr>
                <w:ilvl w:val="1"/>
                <w:numId w:val="12"/>
              </w:numPr>
              <w:autoSpaceDE w:val="0"/>
              <w:autoSpaceDN w:val="0"/>
              <w:adjustRightInd w:val="0"/>
              <w:rPr>
                <w:rFonts w:eastAsiaTheme="minorHAnsi"/>
                <w:color w:val="000000"/>
                <w:sz w:val="22"/>
                <w:szCs w:val="22"/>
              </w:rPr>
            </w:pPr>
            <w:r w:rsidRPr="0037309D">
              <w:rPr>
                <w:rFonts w:eastAsiaTheme="minorHAnsi"/>
                <w:color w:val="000000"/>
                <w:sz w:val="22"/>
                <w:szCs w:val="22"/>
              </w:rPr>
              <w:t xml:space="preserve">All legal environmental, health and safety, social and labor requirements in Suriname including all requirements associated with permits, environmental permits or licenses, health and safety, social work and apply to the program, the borrower and any entity responsible for implementing the program and / or mitigation measures. </w:t>
            </w:r>
          </w:p>
          <w:p w14:paraId="291B64A9" w14:textId="77777777" w:rsidR="00244B50" w:rsidRPr="0037309D" w:rsidRDefault="00244B50" w:rsidP="00F44BA0">
            <w:pPr>
              <w:numPr>
                <w:ilvl w:val="1"/>
                <w:numId w:val="12"/>
              </w:numPr>
              <w:autoSpaceDE w:val="0"/>
              <w:autoSpaceDN w:val="0"/>
              <w:adjustRightInd w:val="0"/>
              <w:rPr>
                <w:rFonts w:eastAsiaTheme="minorHAnsi"/>
                <w:color w:val="000000"/>
                <w:sz w:val="22"/>
                <w:szCs w:val="22"/>
              </w:rPr>
            </w:pPr>
            <w:r w:rsidRPr="0037309D">
              <w:rPr>
                <w:rFonts w:eastAsiaTheme="minorHAnsi"/>
                <w:color w:val="000000"/>
                <w:sz w:val="22"/>
                <w:szCs w:val="22"/>
              </w:rPr>
              <w:t xml:space="preserve">All aspects and components included in the environmental, social, health and safety documents including the ESMP and other environmental and social management plans, such as monitoring plans. </w:t>
            </w:r>
          </w:p>
          <w:p w14:paraId="1AF181C3" w14:textId="413B9B16" w:rsidR="00244B50" w:rsidRPr="0037309D" w:rsidRDefault="00244B50" w:rsidP="00F44BA0">
            <w:pPr>
              <w:numPr>
                <w:ilvl w:val="1"/>
                <w:numId w:val="12"/>
              </w:numPr>
              <w:autoSpaceDE w:val="0"/>
              <w:autoSpaceDN w:val="0"/>
              <w:adjustRightInd w:val="0"/>
              <w:rPr>
                <w:rFonts w:eastAsiaTheme="minorHAnsi"/>
                <w:color w:val="000000"/>
                <w:sz w:val="22"/>
                <w:szCs w:val="22"/>
              </w:rPr>
            </w:pPr>
            <w:r w:rsidRPr="0037309D">
              <w:rPr>
                <w:rFonts w:eastAsiaTheme="minorHAnsi"/>
                <w:color w:val="000000"/>
                <w:sz w:val="22"/>
                <w:szCs w:val="22"/>
              </w:rPr>
              <w:t xml:space="preserve">All standards and guidelines included in the ESMP and standards listed in Annex I. </w:t>
            </w:r>
          </w:p>
          <w:p w14:paraId="658D3637" w14:textId="77777777" w:rsidR="00244B50" w:rsidRPr="0037309D" w:rsidRDefault="00244B50" w:rsidP="00F44BA0">
            <w:pPr>
              <w:numPr>
                <w:ilvl w:val="1"/>
                <w:numId w:val="12"/>
              </w:numPr>
              <w:autoSpaceDE w:val="0"/>
              <w:autoSpaceDN w:val="0"/>
              <w:adjustRightInd w:val="0"/>
              <w:rPr>
                <w:rFonts w:eastAsiaTheme="minorHAnsi"/>
                <w:color w:val="000000"/>
                <w:sz w:val="22"/>
                <w:szCs w:val="22"/>
              </w:rPr>
            </w:pPr>
            <w:r w:rsidRPr="0037309D">
              <w:rPr>
                <w:rFonts w:eastAsiaTheme="minorHAnsi"/>
                <w:color w:val="000000"/>
                <w:sz w:val="22"/>
                <w:szCs w:val="22"/>
              </w:rPr>
              <w:t>Provision of information to the Bank including: (i) notification to the Bank of any non-compliance with environmental, social, health and safety and labor requirements; and (ii) any accident or other new environmental, social, health and safety risk related to the program and proposed corrective actions.</w:t>
            </w:r>
          </w:p>
          <w:p w14:paraId="7565D330" w14:textId="77777777" w:rsidR="00244B50" w:rsidRPr="00F45F41" w:rsidRDefault="00244B50" w:rsidP="00423D66">
            <w:pPr>
              <w:autoSpaceDE w:val="0"/>
              <w:autoSpaceDN w:val="0"/>
              <w:adjustRightInd w:val="0"/>
              <w:rPr>
                <w:rFonts w:eastAsiaTheme="minorHAnsi"/>
                <w:color w:val="000000"/>
                <w:sz w:val="22"/>
                <w:szCs w:val="22"/>
              </w:rPr>
            </w:pPr>
          </w:p>
        </w:tc>
      </w:tr>
    </w:tbl>
    <w:p w14:paraId="376C7E0C" w14:textId="77777777" w:rsidR="00423D66" w:rsidRPr="00F45F41" w:rsidRDefault="00423D66" w:rsidP="00423D66">
      <w:pPr>
        <w:autoSpaceDE w:val="0"/>
        <w:autoSpaceDN w:val="0"/>
        <w:adjustRightInd w:val="0"/>
        <w:jc w:val="both"/>
        <w:rPr>
          <w:sz w:val="24"/>
          <w:szCs w:val="24"/>
        </w:rPr>
        <w:sectPr w:rsidR="00423D66" w:rsidRPr="00F45F41" w:rsidSect="00EC45E8">
          <w:footerReference w:type="default" r:id="rId18"/>
          <w:pgSz w:w="15840" w:h="12240" w:orient="landscape"/>
          <w:pgMar w:top="1440" w:right="1440" w:bottom="1440" w:left="1440" w:header="720" w:footer="720" w:gutter="0"/>
          <w:pgNumType w:start="1"/>
          <w:cols w:space="720"/>
          <w:docGrid w:linePitch="360"/>
        </w:sectPr>
      </w:pPr>
    </w:p>
    <w:p w14:paraId="582C67ED" w14:textId="77777777" w:rsidR="00423D66" w:rsidRPr="009F1E86" w:rsidRDefault="00423D66" w:rsidP="009F1E86">
      <w:pPr>
        <w:pStyle w:val="Chapter"/>
        <w:numPr>
          <w:ilvl w:val="0"/>
          <w:numId w:val="0"/>
        </w:numPr>
        <w:tabs>
          <w:tab w:val="clear" w:pos="1440"/>
          <w:tab w:val="left" w:pos="540"/>
        </w:tabs>
        <w:ind w:left="540"/>
        <w:jc w:val="left"/>
      </w:pPr>
      <w:bookmarkStart w:id="32" w:name="_Toc398560437"/>
      <w:bookmarkStart w:id="33" w:name="_Toc401912156"/>
      <w:r w:rsidRPr="009F1E86">
        <w:lastRenderedPageBreak/>
        <w:t>AN</w:t>
      </w:r>
      <w:r w:rsidR="0042296E" w:rsidRPr="009F1E86">
        <w:t xml:space="preserve">NEX </w:t>
      </w:r>
      <w:r w:rsidRPr="009F1E86">
        <w:t>II</w:t>
      </w:r>
      <w:bookmarkEnd w:id="32"/>
      <w:bookmarkEnd w:id="33"/>
    </w:p>
    <w:p w14:paraId="3A9BD992" w14:textId="77777777" w:rsidR="00423D66" w:rsidRPr="001B52D7" w:rsidRDefault="001B52D7" w:rsidP="00651618">
      <w:pPr>
        <w:rPr>
          <w:b/>
          <w:sz w:val="24"/>
          <w:szCs w:val="24"/>
        </w:rPr>
      </w:pPr>
      <w:r w:rsidRPr="001B52D7">
        <w:rPr>
          <w:b/>
          <w:sz w:val="24"/>
          <w:szCs w:val="24"/>
        </w:rPr>
        <w:t>Additional Requirements</w:t>
      </w:r>
    </w:p>
    <w:p w14:paraId="07F69427" w14:textId="77777777" w:rsidR="00651618" w:rsidRPr="00651618" w:rsidRDefault="00651618" w:rsidP="00651618">
      <w:pPr>
        <w:rPr>
          <w:b/>
          <w:sz w:val="24"/>
          <w:szCs w:val="24"/>
          <w:lang w:val="es-ES_tradnl"/>
        </w:rPr>
      </w:pPr>
    </w:p>
    <w:tbl>
      <w:tblPr>
        <w:tblStyle w:val="TableGrid1"/>
        <w:tblW w:w="0" w:type="auto"/>
        <w:tblLook w:val="04A0" w:firstRow="1" w:lastRow="0" w:firstColumn="1" w:lastColumn="0" w:noHBand="0" w:noVBand="1"/>
      </w:tblPr>
      <w:tblGrid>
        <w:gridCol w:w="2403"/>
        <w:gridCol w:w="3015"/>
        <w:gridCol w:w="2333"/>
        <w:gridCol w:w="2167"/>
      </w:tblGrid>
      <w:tr w:rsidR="00423D66" w:rsidRPr="001B52D7" w14:paraId="58FB49F9" w14:textId="77777777" w:rsidTr="001B52D7">
        <w:trPr>
          <w:tblHeader/>
        </w:trPr>
        <w:tc>
          <w:tcPr>
            <w:tcW w:w="2403" w:type="dxa"/>
            <w:shd w:val="clear" w:color="auto" w:fill="548DD4" w:themeFill="text2" w:themeFillTint="99"/>
          </w:tcPr>
          <w:p w14:paraId="199E550B" w14:textId="77777777" w:rsidR="00423D66" w:rsidRPr="00F45F41" w:rsidRDefault="001B52D7" w:rsidP="00914726">
            <w:pPr>
              <w:contextualSpacing/>
              <w:rPr>
                <w:b/>
                <w:sz w:val="24"/>
                <w:szCs w:val="24"/>
              </w:rPr>
            </w:pPr>
            <w:r>
              <w:rPr>
                <w:b/>
                <w:sz w:val="24"/>
                <w:szCs w:val="24"/>
              </w:rPr>
              <w:t>Applicable Aspect</w:t>
            </w:r>
          </w:p>
        </w:tc>
        <w:tc>
          <w:tcPr>
            <w:tcW w:w="3015" w:type="dxa"/>
            <w:shd w:val="clear" w:color="auto" w:fill="548DD4" w:themeFill="text2" w:themeFillTint="99"/>
          </w:tcPr>
          <w:p w14:paraId="6A31354D" w14:textId="77777777" w:rsidR="00423D66" w:rsidRPr="00F45F41" w:rsidRDefault="001B52D7" w:rsidP="00914726">
            <w:pPr>
              <w:contextualSpacing/>
              <w:rPr>
                <w:b/>
                <w:sz w:val="24"/>
                <w:szCs w:val="24"/>
              </w:rPr>
            </w:pPr>
            <w:r>
              <w:rPr>
                <w:b/>
                <w:sz w:val="24"/>
                <w:szCs w:val="24"/>
              </w:rPr>
              <w:t>Applicable regulation</w:t>
            </w:r>
          </w:p>
        </w:tc>
        <w:tc>
          <w:tcPr>
            <w:tcW w:w="2333" w:type="dxa"/>
            <w:shd w:val="clear" w:color="auto" w:fill="548DD4" w:themeFill="text2" w:themeFillTint="99"/>
          </w:tcPr>
          <w:p w14:paraId="7CD6AE8D" w14:textId="77777777" w:rsidR="00423D66" w:rsidRPr="00F45F41" w:rsidRDefault="001B52D7" w:rsidP="00914726">
            <w:pPr>
              <w:contextualSpacing/>
              <w:rPr>
                <w:b/>
                <w:sz w:val="24"/>
                <w:szCs w:val="24"/>
              </w:rPr>
            </w:pPr>
            <w:r>
              <w:rPr>
                <w:b/>
                <w:sz w:val="24"/>
                <w:szCs w:val="24"/>
              </w:rPr>
              <w:t>Applicable standard</w:t>
            </w:r>
          </w:p>
        </w:tc>
        <w:tc>
          <w:tcPr>
            <w:tcW w:w="2167" w:type="dxa"/>
            <w:shd w:val="clear" w:color="auto" w:fill="548DD4" w:themeFill="text2" w:themeFillTint="99"/>
          </w:tcPr>
          <w:p w14:paraId="52F3406C" w14:textId="77777777" w:rsidR="00423D66" w:rsidRPr="001B52D7" w:rsidRDefault="001B52D7" w:rsidP="001B52D7">
            <w:pPr>
              <w:contextualSpacing/>
              <w:rPr>
                <w:b/>
                <w:sz w:val="24"/>
                <w:szCs w:val="24"/>
              </w:rPr>
            </w:pPr>
            <w:r w:rsidRPr="001B52D7">
              <w:rPr>
                <w:b/>
                <w:sz w:val="24"/>
                <w:szCs w:val="24"/>
              </w:rPr>
              <w:t xml:space="preserve">Entity responsible </w:t>
            </w:r>
            <w:r>
              <w:rPr>
                <w:b/>
                <w:sz w:val="24"/>
                <w:szCs w:val="24"/>
              </w:rPr>
              <w:t>for compliance</w:t>
            </w:r>
          </w:p>
        </w:tc>
      </w:tr>
      <w:tr w:rsidR="00423D66" w:rsidRPr="00F45F41" w14:paraId="2A5DB279" w14:textId="77777777" w:rsidTr="001B52D7">
        <w:tc>
          <w:tcPr>
            <w:tcW w:w="2403" w:type="dxa"/>
          </w:tcPr>
          <w:p w14:paraId="3B51AE06" w14:textId="77777777" w:rsidR="00423D66" w:rsidRPr="001B52D7" w:rsidRDefault="001B52D7" w:rsidP="001B52D7">
            <w:pPr>
              <w:contextualSpacing/>
              <w:rPr>
                <w:sz w:val="24"/>
                <w:szCs w:val="24"/>
              </w:rPr>
            </w:pPr>
            <w:r w:rsidRPr="001B52D7">
              <w:rPr>
                <w:sz w:val="24"/>
                <w:szCs w:val="24"/>
              </w:rPr>
              <w:t>Management and environmental impacts; the environmental, health and safety</w:t>
            </w:r>
          </w:p>
        </w:tc>
        <w:tc>
          <w:tcPr>
            <w:tcW w:w="3015" w:type="dxa"/>
          </w:tcPr>
          <w:p w14:paraId="478DEA7B" w14:textId="77777777" w:rsidR="00423D66" w:rsidRPr="001B52D7" w:rsidRDefault="001B52D7" w:rsidP="00A85CCB">
            <w:pPr>
              <w:contextualSpacing/>
              <w:rPr>
                <w:sz w:val="24"/>
                <w:szCs w:val="24"/>
              </w:rPr>
            </w:pPr>
            <w:r w:rsidRPr="001B52D7">
              <w:rPr>
                <w:sz w:val="24"/>
                <w:szCs w:val="24"/>
              </w:rPr>
              <w:t>General Guidelines on Environment, Occupational Health and Safety and Environment Guidelines, Occupational Health (World Bank, 2007)</w:t>
            </w:r>
          </w:p>
        </w:tc>
        <w:tc>
          <w:tcPr>
            <w:tcW w:w="2333" w:type="dxa"/>
          </w:tcPr>
          <w:p w14:paraId="2A694368" w14:textId="77777777" w:rsidR="00423D66" w:rsidRPr="00F45F41" w:rsidRDefault="001B52D7" w:rsidP="001B52D7">
            <w:pPr>
              <w:contextualSpacing/>
              <w:rPr>
                <w:sz w:val="24"/>
                <w:szCs w:val="24"/>
              </w:rPr>
            </w:pPr>
            <w:r>
              <w:rPr>
                <w:sz w:val="24"/>
                <w:szCs w:val="24"/>
              </w:rPr>
              <w:t xml:space="preserve">Occupational health and safety, </w:t>
            </w:r>
            <w:r w:rsidRPr="001B52D7">
              <w:rPr>
                <w:sz w:val="24"/>
                <w:szCs w:val="24"/>
              </w:rPr>
              <w:t xml:space="preserve">dust and noise </w:t>
            </w:r>
            <w:r>
              <w:rPr>
                <w:sz w:val="24"/>
                <w:szCs w:val="24"/>
              </w:rPr>
              <w:t>levels</w:t>
            </w:r>
          </w:p>
        </w:tc>
        <w:tc>
          <w:tcPr>
            <w:tcW w:w="2167" w:type="dxa"/>
          </w:tcPr>
          <w:p w14:paraId="234BB4A4" w14:textId="77777777" w:rsidR="00423D66" w:rsidRPr="00F45F41" w:rsidRDefault="001B52D7" w:rsidP="001B52D7">
            <w:pPr>
              <w:contextualSpacing/>
              <w:rPr>
                <w:sz w:val="24"/>
                <w:szCs w:val="24"/>
              </w:rPr>
            </w:pPr>
            <w:r>
              <w:rPr>
                <w:sz w:val="24"/>
                <w:szCs w:val="24"/>
              </w:rPr>
              <w:t>EBS</w:t>
            </w:r>
            <w:r w:rsidR="00423D66" w:rsidRPr="00F45F41">
              <w:rPr>
                <w:sz w:val="24"/>
                <w:szCs w:val="24"/>
              </w:rPr>
              <w:t>/ IDB</w:t>
            </w:r>
          </w:p>
        </w:tc>
      </w:tr>
      <w:tr w:rsidR="00423D66" w:rsidRPr="00F45F41" w14:paraId="09406BE8" w14:textId="77777777" w:rsidTr="001B52D7">
        <w:tc>
          <w:tcPr>
            <w:tcW w:w="2403" w:type="dxa"/>
          </w:tcPr>
          <w:p w14:paraId="67949CF4" w14:textId="77777777" w:rsidR="00423D66" w:rsidRDefault="001B52D7" w:rsidP="001B52D7">
            <w:pPr>
              <w:contextualSpacing/>
              <w:rPr>
                <w:sz w:val="24"/>
                <w:szCs w:val="24"/>
              </w:rPr>
            </w:pPr>
            <w:r>
              <w:rPr>
                <w:sz w:val="24"/>
                <w:szCs w:val="24"/>
              </w:rPr>
              <w:t>Stockholm &amp; Basel Conventions</w:t>
            </w:r>
          </w:p>
          <w:p w14:paraId="4B56240B" w14:textId="77777777" w:rsidR="001B52D7" w:rsidRPr="00F45F41" w:rsidRDefault="001B52D7" w:rsidP="001B52D7">
            <w:pPr>
              <w:contextualSpacing/>
              <w:rPr>
                <w:sz w:val="24"/>
                <w:szCs w:val="24"/>
              </w:rPr>
            </w:pPr>
          </w:p>
        </w:tc>
        <w:tc>
          <w:tcPr>
            <w:tcW w:w="3015" w:type="dxa"/>
          </w:tcPr>
          <w:p w14:paraId="42B186F3" w14:textId="77777777" w:rsidR="00423D66" w:rsidRPr="00F45F41" w:rsidRDefault="0042296E" w:rsidP="001B52D7">
            <w:pPr>
              <w:contextualSpacing/>
              <w:rPr>
                <w:sz w:val="24"/>
                <w:szCs w:val="24"/>
              </w:rPr>
            </w:pPr>
            <w:r w:rsidRPr="0042296E">
              <w:rPr>
                <w:sz w:val="24"/>
                <w:szCs w:val="24"/>
              </w:rPr>
              <w:t>Updated technical guidelines for the environmentally sound management of wastes consisting of, containing or contaminated with polychlorinated biphenyls (PCBs), polychlorinated terphenyls (PCTs) or polybrominated biphenyls (PBBs)</w:t>
            </w:r>
          </w:p>
        </w:tc>
        <w:tc>
          <w:tcPr>
            <w:tcW w:w="2333" w:type="dxa"/>
          </w:tcPr>
          <w:p w14:paraId="2F92E0A9" w14:textId="77777777" w:rsidR="00423D66" w:rsidRPr="001B52D7" w:rsidRDefault="001B52D7" w:rsidP="001B52D7">
            <w:pPr>
              <w:contextualSpacing/>
              <w:rPr>
                <w:sz w:val="24"/>
                <w:szCs w:val="24"/>
              </w:rPr>
            </w:pPr>
            <w:r w:rsidRPr="001B52D7">
              <w:rPr>
                <w:sz w:val="24"/>
                <w:szCs w:val="24"/>
              </w:rPr>
              <w:t xml:space="preserve">Use and handling of </w:t>
            </w:r>
            <w:r w:rsidR="0042296E">
              <w:rPr>
                <w:sz w:val="24"/>
                <w:szCs w:val="24"/>
              </w:rPr>
              <w:t xml:space="preserve">POPs / </w:t>
            </w:r>
            <w:r w:rsidRPr="001B52D7">
              <w:rPr>
                <w:sz w:val="24"/>
                <w:szCs w:val="24"/>
              </w:rPr>
              <w:t>PCBs</w:t>
            </w:r>
          </w:p>
        </w:tc>
        <w:tc>
          <w:tcPr>
            <w:tcW w:w="2167" w:type="dxa"/>
          </w:tcPr>
          <w:p w14:paraId="30C178B4" w14:textId="77777777" w:rsidR="00423D66" w:rsidRPr="001B52D7" w:rsidRDefault="001B52D7" w:rsidP="001B52D7">
            <w:pPr>
              <w:contextualSpacing/>
              <w:rPr>
                <w:sz w:val="24"/>
                <w:szCs w:val="24"/>
              </w:rPr>
            </w:pPr>
            <w:r w:rsidRPr="001B52D7">
              <w:rPr>
                <w:sz w:val="24"/>
                <w:szCs w:val="24"/>
              </w:rPr>
              <w:t>EBS / IDB</w:t>
            </w:r>
          </w:p>
        </w:tc>
      </w:tr>
    </w:tbl>
    <w:p w14:paraId="077866F2" w14:textId="77777777" w:rsidR="00301336" w:rsidRPr="00914726" w:rsidRDefault="00301336" w:rsidP="00914726">
      <w:pPr>
        <w:contextualSpacing/>
        <w:rPr>
          <w:b/>
          <w:sz w:val="24"/>
          <w:szCs w:val="24"/>
          <w:u w:val="single"/>
        </w:rPr>
      </w:pPr>
    </w:p>
    <w:p w14:paraId="31120637" w14:textId="77777777" w:rsidR="00272113" w:rsidRPr="00F45F41" w:rsidRDefault="00272113"/>
    <w:sectPr w:rsidR="00272113" w:rsidRPr="00F45F41" w:rsidSect="00423D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78FF2" w14:textId="77777777" w:rsidR="00093824" w:rsidRDefault="00093824" w:rsidP="00301336">
      <w:r>
        <w:separator/>
      </w:r>
    </w:p>
  </w:endnote>
  <w:endnote w:type="continuationSeparator" w:id="0">
    <w:p w14:paraId="153E0C2E" w14:textId="77777777" w:rsidR="00093824" w:rsidRDefault="00093824" w:rsidP="00301336">
      <w:r>
        <w:continuationSeparator/>
      </w:r>
    </w:p>
  </w:endnote>
  <w:endnote w:type="continuationNotice" w:id="1">
    <w:p w14:paraId="4BABB7B8" w14:textId="77777777" w:rsidR="00093824" w:rsidRDefault="00093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A4AC2" w14:textId="77777777" w:rsidR="00C91F08" w:rsidRDefault="00C91F08">
    <w:pPr>
      <w:pStyle w:val="Footer"/>
      <w:jc w:val="right"/>
    </w:pPr>
  </w:p>
  <w:p w14:paraId="11A2CB9F" w14:textId="77777777" w:rsidR="00C91F08" w:rsidRDefault="00C91F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413649"/>
      <w:docPartObj>
        <w:docPartGallery w:val="Page Numbers (Bottom of Page)"/>
        <w:docPartUnique/>
      </w:docPartObj>
    </w:sdtPr>
    <w:sdtEndPr>
      <w:rPr>
        <w:noProof/>
      </w:rPr>
    </w:sdtEndPr>
    <w:sdtContent>
      <w:p w14:paraId="62827368" w14:textId="77777777" w:rsidR="00C91F08" w:rsidRDefault="00C91F08">
        <w:pPr>
          <w:pStyle w:val="Footer"/>
          <w:jc w:val="right"/>
        </w:pPr>
        <w:r>
          <w:fldChar w:fldCharType="begin"/>
        </w:r>
        <w:r>
          <w:instrText xml:space="preserve"> PAGE   \* MERGEFORMAT </w:instrText>
        </w:r>
        <w:r>
          <w:fldChar w:fldCharType="separate"/>
        </w:r>
        <w:r w:rsidR="00A9364D">
          <w:rPr>
            <w:noProof/>
          </w:rPr>
          <w:t>9</w:t>
        </w:r>
        <w:r>
          <w:rPr>
            <w:noProof/>
          </w:rPr>
          <w:fldChar w:fldCharType="end"/>
        </w:r>
      </w:p>
    </w:sdtContent>
  </w:sdt>
  <w:p w14:paraId="419243E2" w14:textId="77777777" w:rsidR="00C91F08" w:rsidRDefault="00C91F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30307"/>
      <w:docPartObj>
        <w:docPartGallery w:val="Page Numbers (Bottom of Page)"/>
        <w:docPartUnique/>
      </w:docPartObj>
    </w:sdtPr>
    <w:sdtEndPr>
      <w:rPr>
        <w:noProof/>
      </w:rPr>
    </w:sdtEndPr>
    <w:sdtContent>
      <w:p w14:paraId="5E45095C" w14:textId="77777777" w:rsidR="00C91F08" w:rsidRDefault="00C91F08">
        <w:pPr>
          <w:pStyle w:val="Footer"/>
          <w:jc w:val="right"/>
        </w:pPr>
        <w:r>
          <w:fldChar w:fldCharType="begin"/>
        </w:r>
        <w:r>
          <w:instrText xml:space="preserve"> PAGE  \* roman  \* MERGEFORMAT </w:instrText>
        </w:r>
        <w:r>
          <w:fldChar w:fldCharType="separate"/>
        </w:r>
        <w:r w:rsidR="00A9364D">
          <w:rPr>
            <w:noProof/>
          </w:rPr>
          <w:t>iii</w:t>
        </w:r>
        <w:r>
          <w:fldChar w:fldCharType="end"/>
        </w:r>
      </w:p>
    </w:sdtContent>
  </w:sdt>
  <w:p w14:paraId="1984F899" w14:textId="77777777" w:rsidR="00C91F08" w:rsidRDefault="00C91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BBC6E" w14:textId="77777777" w:rsidR="00093824" w:rsidRDefault="00093824" w:rsidP="00301336">
      <w:r>
        <w:separator/>
      </w:r>
    </w:p>
  </w:footnote>
  <w:footnote w:type="continuationSeparator" w:id="0">
    <w:p w14:paraId="6FFE2831" w14:textId="77777777" w:rsidR="00093824" w:rsidRDefault="00093824" w:rsidP="00301336">
      <w:r>
        <w:continuationSeparator/>
      </w:r>
    </w:p>
  </w:footnote>
  <w:footnote w:type="continuationNotice" w:id="1">
    <w:p w14:paraId="60B8D68E" w14:textId="77777777" w:rsidR="00093824" w:rsidRDefault="00093824"/>
  </w:footnote>
  <w:footnote w:id="2">
    <w:p w14:paraId="0D6F691E" w14:textId="26A1E080" w:rsidR="00C91F08" w:rsidRPr="007D62B4" w:rsidRDefault="00C91F08" w:rsidP="00F66872">
      <w:pPr>
        <w:pStyle w:val="FootnoteText"/>
        <w:ind w:left="630" w:hanging="630"/>
        <w:rPr>
          <w:lang w:val="nl-NL"/>
        </w:rPr>
      </w:pPr>
      <w:r>
        <w:rPr>
          <w:rStyle w:val="FootnoteReference"/>
        </w:rPr>
        <w:footnoteRef/>
      </w:r>
      <w:r w:rsidRPr="007D62B4">
        <w:rPr>
          <w:lang w:val="nl-NL"/>
        </w:rPr>
        <w:t xml:space="preserve"> </w:t>
      </w:r>
      <w:r>
        <w:rPr>
          <w:lang w:val="nl-NL"/>
        </w:rPr>
        <w:tab/>
      </w:r>
      <w:r w:rsidRPr="007D62B4">
        <w:rPr>
          <w:lang w:val="nl-NL"/>
        </w:rPr>
        <w:t>Source: Algemeen Bureau voor de Statistiek, Suriname. http://www.geohive.com/cntry/suriname.aspx</w:t>
      </w:r>
    </w:p>
  </w:footnote>
  <w:footnote w:id="3">
    <w:p w14:paraId="1F9CE861" w14:textId="7BD5DC24" w:rsidR="00C91F08" w:rsidRDefault="00C91F08" w:rsidP="00555E69">
      <w:pPr>
        <w:pStyle w:val="FootnoteText"/>
        <w:ind w:left="630" w:hanging="630"/>
      </w:pPr>
      <w:r>
        <w:rPr>
          <w:rStyle w:val="FootnoteReference"/>
        </w:rPr>
        <w:footnoteRef/>
      </w:r>
      <w:r>
        <w:tab/>
      </w:r>
      <w:r w:rsidRPr="00E1002B">
        <w:rPr>
          <w:sz w:val="18"/>
          <w:szCs w:val="18"/>
        </w:rPr>
        <w:t>Netherlands Com</w:t>
      </w:r>
      <w:r>
        <w:rPr>
          <w:sz w:val="18"/>
          <w:szCs w:val="18"/>
        </w:rPr>
        <w:t>m</w:t>
      </w:r>
      <w:r w:rsidRPr="00E1002B">
        <w:rPr>
          <w:sz w:val="18"/>
          <w:szCs w:val="18"/>
        </w:rPr>
        <w:t>ission for Environmental Assessment http://www.eia.nl/en/countries/sa/suriname/</w:t>
      </w:r>
    </w:p>
  </w:footnote>
  <w:footnote w:id="4">
    <w:p w14:paraId="618B9C3D" w14:textId="45F82ED0" w:rsidR="00C91F08" w:rsidRDefault="00C91F08" w:rsidP="00555E69">
      <w:pPr>
        <w:pStyle w:val="FootnoteText"/>
        <w:ind w:left="630" w:hanging="630"/>
      </w:pPr>
      <w:r>
        <w:rPr>
          <w:rStyle w:val="FootnoteReference"/>
          <w:rFonts w:eastAsia="ヒラギノ角ゴ Pro W3"/>
        </w:rPr>
        <w:footnoteRef/>
      </w:r>
      <w:r>
        <w:t xml:space="preserve"> </w:t>
      </w:r>
      <w:r>
        <w:tab/>
        <w:t>http://www.ansi.org</w:t>
      </w:r>
    </w:p>
  </w:footnote>
  <w:footnote w:id="5">
    <w:p w14:paraId="43F5C98B" w14:textId="71BDF0B4" w:rsidR="00C91F08" w:rsidRDefault="00C91F08" w:rsidP="00555E69">
      <w:pPr>
        <w:pStyle w:val="FootnoteText"/>
        <w:ind w:left="720" w:hanging="720"/>
        <w:jc w:val="left"/>
        <w:rPr>
          <w:lang w:val="en-GB"/>
        </w:rPr>
      </w:pPr>
      <w:r>
        <w:rPr>
          <w:rStyle w:val="FootnoteReference"/>
          <w:rFonts w:eastAsia="ヒラギノ角ゴ Pro W3"/>
        </w:rPr>
        <w:footnoteRef/>
      </w:r>
      <w:r>
        <w:t xml:space="preserve"> </w:t>
      </w:r>
      <w:r>
        <w:tab/>
        <w:t>http://www.esfi.org/index.cfm/page/National-Electrical-Code-(NEC)/pid/10860#sthash.nAIKuAZK.dpuf</w:t>
      </w:r>
    </w:p>
  </w:footnote>
  <w:footnote w:id="6">
    <w:p w14:paraId="4741BD3A" w14:textId="1EC830A3" w:rsidR="00C91F08" w:rsidRDefault="00C91F08" w:rsidP="00555E69">
      <w:pPr>
        <w:ind w:left="720" w:hanging="720"/>
        <w:jc w:val="both"/>
      </w:pPr>
      <w:r>
        <w:rPr>
          <w:rStyle w:val="FootnoteReference"/>
          <w:rFonts w:eastAsia="ヒラギノ角ゴ Pro W3"/>
        </w:rPr>
        <w:footnoteRef/>
      </w:r>
      <w:r>
        <w:t xml:space="preserve"> </w:t>
      </w:r>
      <w:r>
        <w:tab/>
        <w:t>The Basel Convention was opened for signature on 22 March 1989, and entered into force on 5 May 1992.</w:t>
      </w:r>
      <w:r>
        <w:rPr>
          <w:highlight w:val="yellow"/>
        </w:rPr>
        <w:t xml:space="preserve"> </w:t>
      </w:r>
    </w:p>
  </w:footnote>
  <w:footnote w:id="7">
    <w:p w14:paraId="40052AD8" w14:textId="00FEB1D0" w:rsidR="00C91F08" w:rsidRDefault="00C91F08" w:rsidP="00555E69">
      <w:pPr>
        <w:pStyle w:val="FootnoteText"/>
        <w:ind w:left="720" w:hanging="720"/>
      </w:pPr>
      <w:r>
        <w:rPr>
          <w:rStyle w:val="FootnoteReference"/>
          <w:rFonts w:eastAsia="ヒラギノ角ゴ Pro W3"/>
        </w:rPr>
        <w:footnoteRef/>
      </w:r>
      <w:r>
        <w:t xml:space="preserve"> </w:t>
      </w:r>
      <w:r>
        <w:tab/>
        <w:t>Stockholm was signed in 2001 and effective from May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F42E0" w14:textId="77777777" w:rsidR="00CA5083" w:rsidRDefault="00CA5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B2A"/>
    <w:multiLevelType w:val="multilevel"/>
    <w:tmpl w:val="7A3E0CD4"/>
    <w:lvl w:ilvl="0">
      <w:start w:val="1"/>
      <w:numFmt w:val="upperRoman"/>
      <w:lvlText w:val="%1."/>
      <w:lvlJc w:val="right"/>
      <w:pPr>
        <w:ind w:left="360" w:hanging="360"/>
      </w:pPr>
      <w:rPr>
        <w:rFonts w:hint="default"/>
        <w:b/>
        <w:i w:val="0"/>
        <w:sz w:val="24"/>
        <w:u w:val="none"/>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07B5EC5"/>
    <w:multiLevelType w:val="hybridMultilevel"/>
    <w:tmpl w:val="04B86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E2C7D"/>
    <w:multiLevelType w:val="multilevel"/>
    <w:tmpl w:val="403A744C"/>
    <w:lvl w:ilvl="0">
      <w:start w:val="1"/>
      <w:numFmt w:val="upperRoman"/>
      <w:lvlText w:val="%1."/>
      <w:lvlJc w:val="right"/>
      <w:pPr>
        <w:ind w:left="360" w:hanging="360"/>
      </w:pPr>
      <w:rPr>
        <w:rFonts w:hint="default"/>
        <w:b/>
        <w:i w:val="0"/>
        <w:sz w:val="24"/>
        <w:u w:val="none"/>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F291BD4"/>
    <w:multiLevelType w:val="multilevel"/>
    <w:tmpl w:val="224C3E40"/>
    <w:lvl w:ilvl="0">
      <w:start w:val="1"/>
      <w:numFmt w:val="none"/>
      <w:lvlRestart w:val="0"/>
      <w:pStyle w:val="FirstHeading"/>
      <w:suff w:val="nothing"/>
      <w:lvlText w:val=""/>
      <w:lvlJc w:val="left"/>
      <w:pPr>
        <w:ind w:left="2736" w:hanging="720"/>
      </w:pPr>
    </w:lvl>
    <w:lvl w:ilvl="1">
      <w:start w:val="1"/>
      <w:numFmt w:val="decimal"/>
      <w:pStyle w:val="SecHeading"/>
      <w:lvlText w:val="%2."/>
      <w:lvlJc w:val="left"/>
      <w:pPr>
        <w:tabs>
          <w:tab w:val="num" w:pos="3312"/>
        </w:tabs>
        <w:ind w:left="3312" w:hanging="576"/>
      </w:pPr>
      <w:rPr>
        <w:b/>
      </w:rPr>
    </w:lvl>
    <w:lvl w:ilvl="2">
      <w:start w:val="1"/>
      <w:numFmt w:val="lowerLetter"/>
      <w:pStyle w:val="SubHeading1"/>
      <w:lvlText w:val="%3)"/>
      <w:lvlJc w:val="left"/>
      <w:pPr>
        <w:tabs>
          <w:tab w:val="num" w:pos="3888"/>
        </w:tabs>
        <w:ind w:left="3888" w:hanging="576"/>
      </w:pPr>
      <w:rPr>
        <w:b/>
      </w:rPr>
    </w:lvl>
    <w:lvl w:ilvl="3">
      <w:start w:val="1"/>
      <w:numFmt w:val="lowerRoman"/>
      <w:pStyle w:val="Subheading2"/>
      <w:lvlText w:val="(%4)"/>
      <w:lvlJc w:val="right"/>
      <w:pPr>
        <w:tabs>
          <w:tab w:val="num" w:pos="4392"/>
        </w:tabs>
        <w:ind w:left="4392" w:hanging="288"/>
      </w:pPr>
      <w:rPr>
        <w:b/>
      </w:rPr>
    </w:lvl>
    <w:lvl w:ilvl="4">
      <w:start w:val="1"/>
      <w:numFmt w:val="decimal"/>
      <w:pStyle w:val="Heading5"/>
      <w:lvlText w:val="%5)"/>
      <w:lvlJc w:val="left"/>
      <w:pPr>
        <w:ind w:left="3024" w:hanging="432"/>
      </w:pPr>
    </w:lvl>
    <w:lvl w:ilvl="5">
      <w:start w:val="1"/>
      <w:numFmt w:val="lowerLetter"/>
      <w:pStyle w:val="Heading6"/>
      <w:lvlText w:val="%6)"/>
      <w:lvlJc w:val="left"/>
      <w:pPr>
        <w:ind w:left="3168" w:hanging="432"/>
      </w:pPr>
    </w:lvl>
    <w:lvl w:ilvl="6">
      <w:start w:val="1"/>
      <w:numFmt w:val="lowerRoman"/>
      <w:pStyle w:val="Heading7"/>
      <w:lvlText w:val="%7)"/>
      <w:lvlJc w:val="right"/>
      <w:pPr>
        <w:ind w:left="3312" w:hanging="288"/>
      </w:pPr>
    </w:lvl>
    <w:lvl w:ilvl="7">
      <w:start w:val="1"/>
      <w:numFmt w:val="lowerLetter"/>
      <w:pStyle w:val="Heading8"/>
      <w:lvlText w:val="%8."/>
      <w:lvlJc w:val="left"/>
      <w:pPr>
        <w:ind w:left="3456" w:hanging="432"/>
      </w:pPr>
    </w:lvl>
    <w:lvl w:ilvl="8">
      <w:start w:val="1"/>
      <w:numFmt w:val="lowerRoman"/>
      <w:pStyle w:val="Heading9"/>
      <w:lvlText w:val="%9."/>
      <w:lvlJc w:val="right"/>
      <w:pPr>
        <w:ind w:left="3600" w:hanging="144"/>
      </w:pPr>
    </w:lvl>
  </w:abstractNum>
  <w:abstractNum w:abstractNumId="4">
    <w:nsid w:val="237C10EB"/>
    <w:multiLevelType w:val="multilevel"/>
    <w:tmpl w:val="38325762"/>
    <w:lvl w:ilvl="0">
      <w:start w:val="1"/>
      <w:numFmt w:val="upperRoman"/>
      <w:lvlRestart w:val="0"/>
      <w:pStyle w:val="Chapter"/>
      <w:lvlText w:val="%1."/>
      <w:lvlJc w:val="center"/>
      <w:pPr>
        <w:tabs>
          <w:tab w:val="num" w:pos="1368"/>
        </w:tabs>
        <w:ind w:left="720" w:firstLine="288"/>
      </w:pPr>
      <w:rPr>
        <w:b/>
        <w:i w:val="0"/>
      </w:rPr>
    </w:lvl>
    <w:lvl w:ilvl="1">
      <w:start w:val="1"/>
      <w:numFmt w:val="decimal"/>
      <w:pStyle w:val="Paragraph"/>
      <w:isLgl/>
      <w:lvlText w:val="%1.%2"/>
      <w:lvlJc w:val="left"/>
      <w:pPr>
        <w:tabs>
          <w:tab w:val="num" w:pos="2016"/>
        </w:tabs>
        <w:ind w:left="2016" w:hanging="1296"/>
      </w:pPr>
    </w:lvl>
    <w:lvl w:ilvl="2">
      <w:start w:val="1"/>
      <w:numFmt w:val="lowerLetter"/>
      <w:pStyle w:val="subpar"/>
      <w:lvlText w:val="%3."/>
      <w:lvlJc w:val="left"/>
      <w:pPr>
        <w:tabs>
          <w:tab w:val="num" w:pos="1872"/>
        </w:tabs>
        <w:ind w:left="1872" w:hanging="432"/>
      </w:pPr>
    </w:lvl>
    <w:lvl w:ilvl="3">
      <w:start w:val="1"/>
      <w:numFmt w:val="lowerRoman"/>
      <w:pStyle w:val="SubSubPar"/>
      <w:lvlText w:val="%4."/>
      <w:lvlJc w:val="right"/>
      <w:pPr>
        <w:tabs>
          <w:tab w:val="num" w:pos="2304"/>
        </w:tabs>
        <w:ind w:left="2304" w:hanging="288"/>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nsid w:val="260C5FE7"/>
    <w:multiLevelType w:val="hybridMultilevel"/>
    <w:tmpl w:val="1AB638C6"/>
    <w:lvl w:ilvl="0" w:tplc="82CC496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22A82"/>
    <w:multiLevelType w:val="multilevel"/>
    <w:tmpl w:val="263E62E6"/>
    <w:lvl w:ilvl="0">
      <w:start w:val="1"/>
      <w:numFmt w:val="upperRoman"/>
      <w:lvlText w:val="%1."/>
      <w:lvlJc w:val="right"/>
      <w:pPr>
        <w:ind w:left="360" w:hanging="360"/>
      </w:pPr>
      <w:rPr>
        <w:rFonts w:hint="default"/>
        <w:b/>
        <w:i w:val="0"/>
        <w:sz w:val="24"/>
        <w:u w:val="none"/>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8E203F7"/>
    <w:multiLevelType w:val="hybridMultilevel"/>
    <w:tmpl w:val="0D028628"/>
    <w:lvl w:ilvl="0" w:tplc="0F80DFF6">
      <w:start w:val="1"/>
      <w:numFmt w:val="bullet"/>
      <w:pStyle w:val="BulletsIEL"/>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C17C1A"/>
    <w:multiLevelType w:val="hybridMultilevel"/>
    <w:tmpl w:val="6CEACB28"/>
    <w:lvl w:ilvl="0" w:tplc="A4EC6DF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A679EF"/>
    <w:multiLevelType w:val="hybridMultilevel"/>
    <w:tmpl w:val="242C01B6"/>
    <w:lvl w:ilvl="0" w:tplc="A4EC6DF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2B6E55"/>
    <w:multiLevelType w:val="hybridMultilevel"/>
    <w:tmpl w:val="018A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1169F"/>
    <w:multiLevelType w:val="hybridMultilevel"/>
    <w:tmpl w:val="1A28CE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F50E6"/>
    <w:multiLevelType w:val="hybridMultilevel"/>
    <w:tmpl w:val="D9A05AC2"/>
    <w:lvl w:ilvl="0" w:tplc="BE3A2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F275C5"/>
    <w:multiLevelType w:val="hybridMultilevel"/>
    <w:tmpl w:val="B1E41800"/>
    <w:lvl w:ilvl="0" w:tplc="BE3A27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B02B09"/>
    <w:multiLevelType w:val="hybridMultilevel"/>
    <w:tmpl w:val="D9A05AC2"/>
    <w:lvl w:ilvl="0" w:tplc="BE3A2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DE1078"/>
    <w:multiLevelType w:val="hybridMultilevel"/>
    <w:tmpl w:val="D9A05AC2"/>
    <w:lvl w:ilvl="0" w:tplc="BE3A2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0E18F1"/>
    <w:multiLevelType w:val="multilevel"/>
    <w:tmpl w:val="124AF376"/>
    <w:lvl w:ilvl="0">
      <w:start w:val="1"/>
      <w:numFmt w:val="upperRoman"/>
      <w:lvlText w:val="%1."/>
      <w:lvlJc w:val="right"/>
      <w:pPr>
        <w:ind w:left="360" w:hanging="360"/>
      </w:pPr>
      <w:rPr>
        <w:rFonts w:hint="default"/>
        <w:b/>
        <w:i w:val="0"/>
        <w:sz w:val="24"/>
        <w:u w:val="none"/>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793007E4"/>
    <w:multiLevelType w:val="hybridMultilevel"/>
    <w:tmpl w:val="D9A05AC2"/>
    <w:lvl w:ilvl="0" w:tplc="BE3A2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27289C"/>
    <w:multiLevelType w:val="hybridMultilevel"/>
    <w:tmpl w:val="21CAB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5"/>
  </w:num>
  <w:num w:numId="7">
    <w:abstractNumId w:val="6"/>
  </w:num>
  <w:num w:numId="8">
    <w:abstractNumId w:val="7"/>
  </w:num>
  <w:num w:numId="9">
    <w:abstractNumId w:val="1"/>
  </w:num>
  <w:num w:numId="10">
    <w:abstractNumId w:val="18"/>
  </w:num>
  <w:num w:numId="11">
    <w:abstractNumId w:val="11"/>
  </w:num>
  <w:num w:numId="12">
    <w:abstractNumId w:val="16"/>
  </w:num>
  <w:num w:numId="13">
    <w:abstractNumId w:val="0"/>
  </w:num>
  <w:num w:numId="14">
    <w:abstractNumId w:val="8"/>
  </w:num>
  <w:num w:numId="15">
    <w:abstractNumId w:val="9"/>
  </w:num>
  <w:num w:numId="16">
    <w:abstractNumId w:val="4"/>
  </w:num>
  <w:num w:numId="17">
    <w:abstractNumId w:val="2"/>
  </w:num>
  <w:num w:numId="18">
    <w:abstractNumId w:val="5"/>
  </w:num>
  <w:num w:numId="19">
    <w:abstractNumId w:val="4"/>
  </w:num>
  <w:num w:numId="20">
    <w:abstractNumId w:val="10"/>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3"/>
  </w:num>
  <w:num w:numId="31">
    <w:abstractNumId w:val="14"/>
  </w:num>
  <w:num w:numId="32">
    <w:abstractNumId w:val="3"/>
  </w:num>
  <w:num w:numId="33">
    <w:abstractNumId w:val="3"/>
  </w:num>
  <w:num w:numId="34">
    <w:abstractNumId w:val="4"/>
  </w:num>
  <w:num w:numId="3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oNotTrackMov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36"/>
    <w:rsid w:val="0003121F"/>
    <w:rsid w:val="00050D6D"/>
    <w:rsid w:val="00071C22"/>
    <w:rsid w:val="00090481"/>
    <w:rsid w:val="0009095F"/>
    <w:rsid w:val="00093824"/>
    <w:rsid w:val="000A6869"/>
    <w:rsid w:val="000B16C1"/>
    <w:rsid w:val="000B21DC"/>
    <w:rsid w:val="000B37E8"/>
    <w:rsid w:val="000E3B27"/>
    <w:rsid w:val="000F372D"/>
    <w:rsid w:val="000F6CC8"/>
    <w:rsid w:val="001029F5"/>
    <w:rsid w:val="00107A34"/>
    <w:rsid w:val="0011199E"/>
    <w:rsid w:val="0011546C"/>
    <w:rsid w:val="00116C59"/>
    <w:rsid w:val="00144E67"/>
    <w:rsid w:val="0018557C"/>
    <w:rsid w:val="00195E0C"/>
    <w:rsid w:val="001B52D7"/>
    <w:rsid w:val="001D5480"/>
    <w:rsid w:val="00215562"/>
    <w:rsid w:val="002204FE"/>
    <w:rsid w:val="00225D09"/>
    <w:rsid w:val="0023313C"/>
    <w:rsid w:val="00242C77"/>
    <w:rsid w:val="00242D5A"/>
    <w:rsid w:val="00244B50"/>
    <w:rsid w:val="00255F32"/>
    <w:rsid w:val="00260F1A"/>
    <w:rsid w:val="00265EF2"/>
    <w:rsid w:val="00272113"/>
    <w:rsid w:val="0027687E"/>
    <w:rsid w:val="002851C9"/>
    <w:rsid w:val="0029529A"/>
    <w:rsid w:val="002A1741"/>
    <w:rsid w:val="002A488A"/>
    <w:rsid w:val="002D2CF2"/>
    <w:rsid w:val="002E3B3A"/>
    <w:rsid w:val="002E3C6F"/>
    <w:rsid w:val="002F0861"/>
    <w:rsid w:val="002F4389"/>
    <w:rsid w:val="00301336"/>
    <w:rsid w:val="003049EB"/>
    <w:rsid w:val="003206F2"/>
    <w:rsid w:val="003238A6"/>
    <w:rsid w:val="003552FC"/>
    <w:rsid w:val="00356BC1"/>
    <w:rsid w:val="0037309D"/>
    <w:rsid w:val="00381528"/>
    <w:rsid w:val="003A0952"/>
    <w:rsid w:val="003E2E95"/>
    <w:rsid w:val="003E7107"/>
    <w:rsid w:val="00406BB5"/>
    <w:rsid w:val="004173ED"/>
    <w:rsid w:val="0042296E"/>
    <w:rsid w:val="00423D66"/>
    <w:rsid w:val="004602A2"/>
    <w:rsid w:val="00462B1A"/>
    <w:rsid w:val="00471F78"/>
    <w:rsid w:val="0047583C"/>
    <w:rsid w:val="00482E0C"/>
    <w:rsid w:val="004978CE"/>
    <w:rsid w:val="004A72E5"/>
    <w:rsid w:val="004B3E94"/>
    <w:rsid w:val="004B400B"/>
    <w:rsid w:val="004B55B9"/>
    <w:rsid w:val="004C4EF5"/>
    <w:rsid w:val="004C5826"/>
    <w:rsid w:val="004E02DD"/>
    <w:rsid w:val="004F758B"/>
    <w:rsid w:val="005207B9"/>
    <w:rsid w:val="00535CA9"/>
    <w:rsid w:val="00545D83"/>
    <w:rsid w:val="00555E69"/>
    <w:rsid w:val="0056754A"/>
    <w:rsid w:val="00570F5F"/>
    <w:rsid w:val="00597DF5"/>
    <w:rsid w:val="005A17B8"/>
    <w:rsid w:val="005B615E"/>
    <w:rsid w:val="005C407C"/>
    <w:rsid w:val="005D7A96"/>
    <w:rsid w:val="005F3B54"/>
    <w:rsid w:val="005F4B0A"/>
    <w:rsid w:val="00603816"/>
    <w:rsid w:val="00617F0E"/>
    <w:rsid w:val="00630078"/>
    <w:rsid w:val="00636596"/>
    <w:rsid w:val="00651618"/>
    <w:rsid w:val="006533E9"/>
    <w:rsid w:val="006537FE"/>
    <w:rsid w:val="006577B2"/>
    <w:rsid w:val="00661D69"/>
    <w:rsid w:val="00670E6D"/>
    <w:rsid w:val="006947EE"/>
    <w:rsid w:val="006B0BE0"/>
    <w:rsid w:val="006B56BC"/>
    <w:rsid w:val="006C45AE"/>
    <w:rsid w:val="006F03F5"/>
    <w:rsid w:val="006F553C"/>
    <w:rsid w:val="0073040C"/>
    <w:rsid w:val="00741AC0"/>
    <w:rsid w:val="007459CB"/>
    <w:rsid w:val="0074689B"/>
    <w:rsid w:val="007769BB"/>
    <w:rsid w:val="007A77BF"/>
    <w:rsid w:val="007B54EF"/>
    <w:rsid w:val="007B641D"/>
    <w:rsid w:val="007B6797"/>
    <w:rsid w:val="007C1E0F"/>
    <w:rsid w:val="007C359C"/>
    <w:rsid w:val="007D471D"/>
    <w:rsid w:val="007D62B4"/>
    <w:rsid w:val="007D7E17"/>
    <w:rsid w:val="00852B0F"/>
    <w:rsid w:val="00866D59"/>
    <w:rsid w:val="008938A2"/>
    <w:rsid w:val="008A114B"/>
    <w:rsid w:val="008B716E"/>
    <w:rsid w:val="008D0369"/>
    <w:rsid w:val="008D5B20"/>
    <w:rsid w:val="008F43D1"/>
    <w:rsid w:val="008F4886"/>
    <w:rsid w:val="008F5372"/>
    <w:rsid w:val="00914726"/>
    <w:rsid w:val="00922F5E"/>
    <w:rsid w:val="00923347"/>
    <w:rsid w:val="0095308A"/>
    <w:rsid w:val="009577CD"/>
    <w:rsid w:val="00976134"/>
    <w:rsid w:val="009977EC"/>
    <w:rsid w:val="009A5EA0"/>
    <w:rsid w:val="009B1686"/>
    <w:rsid w:val="009B7148"/>
    <w:rsid w:val="009C07CA"/>
    <w:rsid w:val="009F1E86"/>
    <w:rsid w:val="009F565C"/>
    <w:rsid w:val="00A366C4"/>
    <w:rsid w:val="00A3701F"/>
    <w:rsid w:val="00A4282C"/>
    <w:rsid w:val="00A522AB"/>
    <w:rsid w:val="00A72D8B"/>
    <w:rsid w:val="00A85CCB"/>
    <w:rsid w:val="00A8645F"/>
    <w:rsid w:val="00A9364D"/>
    <w:rsid w:val="00A93CFB"/>
    <w:rsid w:val="00AB2377"/>
    <w:rsid w:val="00AB5C64"/>
    <w:rsid w:val="00AD02CE"/>
    <w:rsid w:val="00AD03FC"/>
    <w:rsid w:val="00AE4D93"/>
    <w:rsid w:val="00AF4111"/>
    <w:rsid w:val="00AF6F20"/>
    <w:rsid w:val="00B0255F"/>
    <w:rsid w:val="00B22541"/>
    <w:rsid w:val="00B30E74"/>
    <w:rsid w:val="00B33CD6"/>
    <w:rsid w:val="00B357C2"/>
    <w:rsid w:val="00B54494"/>
    <w:rsid w:val="00B81447"/>
    <w:rsid w:val="00B86DDE"/>
    <w:rsid w:val="00BA491B"/>
    <w:rsid w:val="00BA531E"/>
    <w:rsid w:val="00BC4B69"/>
    <w:rsid w:val="00BD0D94"/>
    <w:rsid w:val="00BF0D1E"/>
    <w:rsid w:val="00BF1270"/>
    <w:rsid w:val="00BF571F"/>
    <w:rsid w:val="00C077B8"/>
    <w:rsid w:val="00C07F91"/>
    <w:rsid w:val="00C23CCA"/>
    <w:rsid w:val="00C240B9"/>
    <w:rsid w:val="00C45506"/>
    <w:rsid w:val="00C47A73"/>
    <w:rsid w:val="00C521CE"/>
    <w:rsid w:val="00C53948"/>
    <w:rsid w:val="00C5615C"/>
    <w:rsid w:val="00C6219C"/>
    <w:rsid w:val="00C77BB7"/>
    <w:rsid w:val="00C81AD0"/>
    <w:rsid w:val="00C91F08"/>
    <w:rsid w:val="00C93BF6"/>
    <w:rsid w:val="00CA05B6"/>
    <w:rsid w:val="00CA5083"/>
    <w:rsid w:val="00CB5F0B"/>
    <w:rsid w:val="00CB74DC"/>
    <w:rsid w:val="00CE1BB2"/>
    <w:rsid w:val="00CE5341"/>
    <w:rsid w:val="00D04E9D"/>
    <w:rsid w:val="00D10089"/>
    <w:rsid w:val="00D61DF0"/>
    <w:rsid w:val="00D65FFF"/>
    <w:rsid w:val="00D76CE4"/>
    <w:rsid w:val="00D929E1"/>
    <w:rsid w:val="00DA40EB"/>
    <w:rsid w:val="00DC5CBE"/>
    <w:rsid w:val="00DC5DD6"/>
    <w:rsid w:val="00DD0696"/>
    <w:rsid w:val="00DD2E5A"/>
    <w:rsid w:val="00DE2F43"/>
    <w:rsid w:val="00DE30FA"/>
    <w:rsid w:val="00DE42ED"/>
    <w:rsid w:val="00DF11E8"/>
    <w:rsid w:val="00E15BAA"/>
    <w:rsid w:val="00E23262"/>
    <w:rsid w:val="00E35548"/>
    <w:rsid w:val="00E461E8"/>
    <w:rsid w:val="00E7251C"/>
    <w:rsid w:val="00E732FB"/>
    <w:rsid w:val="00E876F9"/>
    <w:rsid w:val="00E92E26"/>
    <w:rsid w:val="00EA0776"/>
    <w:rsid w:val="00EB6A25"/>
    <w:rsid w:val="00EC2B9F"/>
    <w:rsid w:val="00EC45E8"/>
    <w:rsid w:val="00ED1383"/>
    <w:rsid w:val="00ED436C"/>
    <w:rsid w:val="00EE5935"/>
    <w:rsid w:val="00EF3D25"/>
    <w:rsid w:val="00EF4C47"/>
    <w:rsid w:val="00F17134"/>
    <w:rsid w:val="00F2029D"/>
    <w:rsid w:val="00F25B43"/>
    <w:rsid w:val="00F34517"/>
    <w:rsid w:val="00F4471D"/>
    <w:rsid w:val="00F44BA0"/>
    <w:rsid w:val="00F45F41"/>
    <w:rsid w:val="00F66872"/>
    <w:rsid w:val="00F90EEE"/>
    <w:rsid w:val="00FE1C95"/>
    <w:rsid w:val="00FE4559"/>
    <w:rsid w:val="00FF3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CE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3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815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E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6754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next w:val="Normal"/>
    <w:link w:val="Heading5Char"/>
    <w:qFormat/>
    <w:rsid w:val="00381528"/>
    <w:pPr>
      <w:keepNext/>
      <w:numPr>
        <w:ilvl w:val="4"/>
        <w:numId w:val="2"/>
      </w:numPr>
      <w:spacing w:after="0" w:line="240" w:lineRule="auto"/>
      <w:outlineLvl w:val="4"/>
    </w:pPr>
    <w:rPr>
      <w:rFonts w:ascii="Helvetica" w:eastAsia="ヒラギノ角ゴ Pro W3" w:hAnsi="Helvetica" w:cs="Times New Roman"/>
      <w:b/>
      <w:color w:val="000000"/>
      <w:sz w:val="24"/>
      <w:szCs w:val="20"/>
    </w:rPr>
  </w:style>
  <w:style w:type="paragraph" w:styleId="Heading6">
    <w:name w:val="heading 6"/>
    <w:next w:val="Normal"/>
    <w:link w:val="Heading6Char"/>
    <w:qFormat/>
    <w:rsid w:val="00381528"/>
    <w:pPr>
      <w:keepNext/>
      <w:numPr>
        <w:ilvl w:val="5"/>
        <w:numId w:val="2"/>
      </w:numPr>
      <w:spacing w:after="0" w:line="240" w:lineRule="auto"/>
      <w:outlineLvl w:val="5"/>
    </w:pPr>
    <w:rPr>
      <w:rFonts w:ascii="Helvetica" w:eastAsia="ヒラギノ角ゴ Pro W3" w:hAnsi="Helvetica" w:cs="Times New Roman"/>
      <w:b/>
      <w:color w:val="000000"/>
      <w:sz w:val="24"/>
      <w:szCs w:val="20"/>
    </w:rPr>
  </w:style>
  <w:style w:type="paragraph" w:styleId="Heading7">
    <w:name w:val="heading 7"/>
    <w:next w:val="Normal"/>
    <w:link w:val="Heading7Char"/>
    <w:qFormat/>
    <w:rsid w:val="00381528"/>
    <w:pPr>
      <w:keepNext/>
      <w:numPr>
        <w:ilvl w:val="6"/>
        <w:numId w:val="2"/>
      </w:numPr>
      <w:spacing w:after="0" w:line="240" w:lineRule="auto"/>
      <w:outlineLvl w:val="6"/>
    </w:pPr>
    <w:rPr>
      <w:rFonts w:ascii="Helvetica" w:eastAsia="ヒラギノ角ゴ Pro W3" w:hAnsi="Helvetica" w:cs="Times New Roman"/>
      <w:b/>
      <w:color w:val="000000"/>
      <w:sz w:val="24"/>
      <w:szCs w:val="20"/>
    </w:rPr>
  </w:style>
  <w:style w:type="paragraph" w:styleId="Heading8">
    <w:name w:val="heading 8"/>
    <w:next w:val="Normal"/>
    <w:link w:val="Heading8Char"/>
    <w:qFormat/>
    <w:rsid w:val="00381528"/>
    <w:pPr>
      <w:keepNext/>
      <w:numPr>
        <w:ilvl w:val="7"/>
        <w:numId w:val="2"/>
      </w:numPr>
      <w:spacing w:after="0" w:line="240" w:lineRule="auto"/>
      <w:outlineLvl w:val="7"/>
    </w:pPr>
    <w:rPr>
      <w:rFonts w:ascii="Helvetica" w:eastAsia="ヒラギノ角ゴ Pro W3" w:hAnsi="Helvetica" w:cs="Times New Roman"/>
      <w:b/>
      <w:color w:val="000000"/>
      <w:sz w:val="24"/>
      <w:szCs w:val="20"/>
    </w:rPr>
  </w:style>
  <w:style w:type="paragraph" w:styleId="Heading9">
    <w:name w:val="heading 9"/>
    <w:next w:val="Normal"/>
    <w:link w:val="Heading9Char"/>
    <w:qFormat/>
    <w:rsid w:val="00381528"/>
    <w:pPr>
      <w:keepNext/>
      <w:numPr>
        <w:ilvl w:val="8"/>
        <w:numId w:val="2"/>
      </w:numPr>
      <w:spacing w:after="0" w:line="240" w:lineRule="auto"/>
      <w:outlineLvl w:val="8"/>
    </w:pPr>
    <w:rPr>
      <w:rFonts w:ascii="Helvetica" w:eastAsia="ヒラギノ角ゴ Pro W3"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81528"/>
    <w:rPr>
      <w:rFonts w:ascii="Helvetica" w:eastAsia="ヒラギノ角ゴ Pro W3" w:hAnsi="Helvetica" w:cs="Times New Roman"/>
      <w:b/>
      <w:color w:val="000000"/>
      <w:sz w:val="24"/>
      <w:szCs w:val="20"/>
    </w:rPr>
  </w:style>
  <w:style w:type="character" w:customStyle="1" w:styleId="Heading6Char">
    <w:name w:val="Heading 6 Char"/>
    <w:basedOn w:val="DefaultParagraphFont"/>
    <w:link w:val="Heading6"/>
    <w:rsid w:val="00381528"/>
    <w:rPr>
      <w:rFonts w:ascii="Helvetica" w:eastAsia="ヒラギノ角ゴ Pro W3" w:hAnsi="Helvetica" w:cs="Times New Roman"/>
      <w:b/>
      <w:color w:val="000000"/>
      <w:sz w:val="24"/>
      <w:szCs w:val="20"/>
    </w:rPr>
  </w:style>
  <w:style w:type="character" w:customStyle="1" w:styleId="Heading7Char">
    <w:name w:val="Heading 7 Char"/>
    <w:basedOn w:val="DefaultParagraphFont"/>
    <w:link w:val="Heading7"/>
    <w:rsid w:val="00381528"/>
    <w:rPr>
      <w:rFonts w:ascii="Helvetica" w:eastAsia="ヒラギノ角ゴ Pro W3" w:hAnsi="Helvetica" w:cs="Times New Roman"/>
      <w:b/>
      <w:color w:val="000000"/>
      <w:sz w:val="24"/>
      <w:szCs w:val="20"/>
    </w:rPr>
  </w:style>
  <w:style w:type="character" w:customStyle="1" w:styleId="Heading8Char">
    <w:name w:val="Heading 8 Char"/>
    <w:basedOn w:val="DefaultParagraphFont"/>
    <w:link w:val="Heading8"/>
    <w:rsid w:val="00381528"/>
    <w:rPr>
      <w:rFonts w:ascii="Helvetica" w:eastAsia="ヒラギノ角ゴ Pro W3" w:hAnsi="Helvetica" w:cs="Times New Roman"/>
      <w:b/>
      <w:color w:val="000000"/>
      <w:sz w:val="24"/>
      <w:szCs w:val="20"/>
    </w:rPr>
  </w:style>
  <w:style w:type="character" w:customStyle="1" w:styleId="Heading9Char">
    <w:name w:val="Heading 9 Char"/>
    <w:basedOn w:val="DefaultParagraphFont"/>
    <w:link w:val="Heading9"/>
    <w:rsid w:val="00381528"/>
    <w:rPr>
      <w:rFonts w:ascii="Helvetica" w:eastAsia="ヒラギノ角ゴ Pro W3" w:hAnsi="Helvetica" w:cs="Times New Roman"/>
      <w:b/>
      <w:color w:val="000000"/>
      <w:sz w:val="24"/>
      <w:szCs w:val="20"/>
    </w:rPr>
  </w:style>
  <w:style w:type="character" w:styleId="FootnoteReference">
    <w:name w:val="footnote reference"/>
    <w:aliases w:val="16 Point,Superscript 6 Point,FC,Fußnotenzeichen DISS,ftref,BVI fnr,Знак сноски 1,referencia nota al pie,Comment Text Char1,Footnote Reference1,Referência a notas de rodapé"/>
    <w:uiPriority w:val="99"/>
    <w:rsid w:val="00301336"/>
    <w:rPr>
      <w:vertAlign w:val="superscript"/>
    </w:rPr>
  </w:style>
  <w:style w:type="paragraph" w:styleId="FootnoteText">
    <w:name w:val="footnote text"/>
    <w:aliases w:val="fn,footnote,single space,FOOTNOTES,footnote text,Footnote Text Char Char,Geneva 9,Font: Geneva 9,Boston 10,f,Texto de rodapé,nota_rodapé,nota de rodapé,ft,F,Style 25,Footnote Text Char1 Char,Footnote Text Char Char Char Char Char Char,ADB"/>
    <w:basedOn w:val="Normal"/>
    <w:link w:val="FootnoteTextChar"/>
    <w:uiPriority w:val="99"/>
    <w:qFormat/>
    <w:rsid w:val="00301336"/>
    <w:pPr>
      <w:keepNext/>
      <w:keepLines/>
      <w:spacing w:after="120"/>
      <w:ind w:left="288" w:hanging="288"/>
      <w:jc w:val="both"/>
    </w:pPr>
    <w:rPr>
      <w:spacing w:val="-3"/>
    </w:rPr>
  </w:style>
  <w:style w:type="character" w:customStyle="1" w:styleId="FootnoteTextChar">
    <w:name w:val="Footnote Text Char"/>
    <w:aliases w:val="fn Char,footnote Char,single space Char,FOOTNOTES Char,footnote text Char,Footnote Text Char Char Char,Geneva 9 Char,Font: Geneva 9 Char,Boston 10 Char,f Char,Texto de rodapé Char,nota_rodapé Char,nota de rodapé Char,ft Char,F Char"/>
    <w:basedOn w:val="DefaultParagraphFont"/>
    <w:link w:val="FootnoteText"/>
    <w:uiPriority w:val="99"/>
    <w:rsid w:val="00301336"/>
    <w:rPr>
      <w:rFonts w:ascii="Times New Roman" w:eastAsia="Times New Roman" w:hAnsi="Times New Roman" w:cs="Times New Roman"/>
      <w:spacing w:val="-3"/>
      <w:sz w:val="20"/>
      <w:szCs w:val="20"/>
    </w:rPr>
  </w:style>
  <w:style w:type="paragraph" w:customStyle="1" w:styleId="Chapter">
    <w:name w:val="Chapter"/>
    <w:basedOn w:val="Normal"/>
    <w:next w:val="Normal"/>
    <w:link w:val="ChapterChar"/>
    <w:rsid w:val="00381528"/>
    <w:pPr>
      <w:keepNext/>
      <w:numPr>
        <w:numId w:val="1"/>
      </w:numPr>
      <w:tabs>
        <w:tab w:val="left" w:pos="1440"/>
      </w:tabs>
      <w:spacing w:before="240" w:after="240"/>
      <w:jc w:val="center"/>
    </w:pPr>
    <w:rPr>
      <w:rFonts w:eastAsia="ヒラギノ角ゴ Pro W3"/>
      <w:b/>
      <w:smallCaps/>
      <w:sz w:val="24"/>
      <w:szCs w:val="24"/>
    </w:rPr>
  </w:style>
  <w:style w:type="character" w:customStyle="1" w:styleId="ChapterChar">
    <w:name w:val="Chapter Char"/>
    <w:link w:val="Chapter"/>
    <w:rsid w:val="00381528"/>
    <w:rPr>
      <w:rFonts w:ascii="Times New Roman" w:eastAsia="ヒラギノ角ゴ Pro W3" w:hAnsi="Times New Roman" w:cs="Times New Roman"/>
      <w:b/>
      <w:smallCaps/>
      <w:sz w:val="24"/>
      <w:szCs w:val="24"/>
    </w:rPr>
  </w:style>
  <w:style w:type="paragraph" w:customStyle="1" w:styleId="FirstHeading">
    <w:name w:val="FirstHeading"/>
    <w:basedOn w:val="Normal"/>
    <w:next w:val="Normal"/>
    <w:rsid w:val="00381528"/>
    <w:pPr>
      <w:keepNext/>
      <w:numPr>
        <w:numId w:val="2"/>
      </w:numPr>
      <w:tabs>
        <w:tab w:val="left" w:pos="0"/>
        <w:tab w:val="left" w:pos="86"/>
      </w:tabs>
      <w:spacing w:before="120" w:after="120"/>
      <w:ind w:left="720"/>
    </w:pPr>
    <w:rPr>
      <w:rFonts w:eastAsia="ヒラギノ角ゴ Pro W3"/>
      <w:b/>
      <w:sz w:val="24"/>
      <w:szCs w:val="24"/>
    </w:rPr>
  </w:style>
  <w:style w:type="paragraph" w:customStyle="1" w:styleId="SecHeading">
    <w:name w:val="SecHeading"/>
    <w:basedOn w:val="Normal"/>
    <w:next w:val="Paragraph"/>
    <w:link w:val="SecHeadingChar"/>
    <w:rsid w:val="00381528"/>
    <w:pPr>
      <w:keepNext/>
      <w:numPr>
        <w:ilvl w:val="1"/>
        <w:numId w:val="2"/>
      </w:numPr>
      <w:spacing w:before="120" w:after="120"/>
    </w:pPr>
    <w:rPr>
      <w:rFonts w:eastAsia="ヒラギノ角ゴ Pro W3"/>
      <w:b/>
      <w:sz w:val="24"/>
      <w:szCs w:val="24"/>
    </w:rPr>
  </w:style>
  <w:style w:type="character" w:customStyle="1" w:styleId="SecHeadingChar">
    <w:name w:val="SecHeading Char"/>
    <w:link w:val="SecHeading"/>
    <w:rsid w:val="00381528"/>
    <w:rPr>
      <w:rFonts w:ascii="Times New Roman" w:eastAsia="ヒラギノ角ゴ Pro W3" w:hAnsi="Times New Roman" w:cs="Times New Roman"/>
      <w:b/>
      <w:sz w:val="24"/>
      <w:szCs w:val="24"/>
    </w:rPr>
  </w:style>
  <w:style w:type="paragraph" w:customStyle="1" w:styleId="SubHeading1">
    <w:name w:val="SubHeading1"/>
    <w:basedOn w:val="SecHeading"/>
    <w:rsid w:val="00301336"/>
    <w:pPr>
      <w:numPr>
        <w:ilvl w:val="2"/>
      </w:numPr>
      <w:tabs>
        <w:tab w:val="clear" w:pos="3888"/>
        <w:tab w:val="num" w:pos="1872"/>
      </w:tabs>
      <w:ind w:left="1872"/>
    </w:pPr>
  </w:style>
  <w:style w:type="paragraph" w:customStyle="1" w:styleId="Subheading2">
    <w:name w:val="Subheading2"/>
    <w:basedOn w:val="SecHeading"/>
    <w:rsid w:val="00301336"/>
    <w:pPr>
      <w:numPr>
        <w:ilvl w:val="3"/>
      </w:numPr>
      <w:tabs>
        <w:tab w:val="clear" w:pos="4392"/>
        <w:tab w:val="num" w:pos="2376"/>
      </w:tabs>
      <w:ind w:left="2376"/>
    </w:pPr>
  </w:style>
  <w:style w:type="paragraph" w:customStyle="1" w:styleId="Paragraph">
    <w:name w:val="Paragraph"/>
    <w:basedOn w:val="BodyTextIndent"/>
    <w:link w:val="ParagraphChar"/>
    <w:rsid w:val="00381528"/>
    <w:pPr>
      <w:numPr>
        <w:ilvl w:val="1"/>
        <w:numId w:val="1"/>
      </w:numPr>
      <w:pBdr>
        <w:top w:val="single" w:sz="6" w:space="1" w:color="auto"/>
        <w:left w:val="single" w:sz="6" w:space="4" w:color="auto"/>
        <w:bottom w:val="single" w:sz="6" w:space="1" w:color="auto"/>
        <w:right w:val="single" w:sz="6" w:space="4" w:color="auto"/>
      </w:pBdr>
      <w:shd w:val="pct15" w:color="auto" w:fill="FFFFFF"/>
      <w:tabs>
        <w:tab w:val="clear" w:pos="2016"/>
        <w:tab w:val="num" w:pos="720"/>
      </w:tabs>
      <w:spacing w:before="120"/>
      <w:ind w:left="720" w:hanging="720"/>
      <w:jc w:val="both"/>
      <w:outlineLvl w:val="1"/>
    </w:pPr>
  </w:style>
  <w:style w:type="character" w:customStyle="1" w:styleId="ParagraphChar">
    <w:name w:val="Paragraph Char"/>
    <w:link w:val="Paragraph"/>
    <w:rsid w:val="00381528"/>
    <w:rPr>
      <w:rFonts w:ascii="Times New Roman" w:eastAsia="Times New Roman" w:hAnsi="Times New Roman" w:cs="Times New Roman"/>
      <w:sz w:val="24"/>
      <w:szCs w:val="20"/>
      <w:shd w:val="pct15" w:color="auto" w:fill="FFFFFF"/>
    </w:rPr>
  </w:style>
  <w:style w:type="paragraph" w:customStyle="1" w:styleId="subpar">
    <w:name w:val="subpar"/>
    <w:basedOn w:val="BodyTextIndent3"/>
    <w:rsid w:val="00381528"/>
    <w:pPr>
      <w:numPr>
        <w:ilvl w:val="2"/>
        <w:numId w:val="1"/>
      </w:numPr>
      <w:tabs>
        <w:tab w:val="clear" w:pos="1872"/>
        <w:tab w:val="num" w:pos="1152"/>
      </w:tabs>
      <w:spacing w:before="120"/>
      <w:ind w:left="1152"/>
      <w:jc w:val="both"/>
      <w:outlineLvl w:val="2"/>
    </w:pPr>
    <w:rPr>
      <w:rFonts w:eastAsia="ヒラギノ角ゴ Pro W3"/>
    </w:rPr>
  </w:style>
  <w:style w:type="paragraph" w:customStyle="1" w:styleId="SubSubPar">
    <w:name w:val="SubSubPar"/>
    <w:basedOn w:val="subpar"/>
    <w:rsid w:val="00301336"/>
    <w:pPr>
      <w:numPr>
        <w:ilvl w:val="3"/>
      </w:numPr>
      <w:tabs>
        <w:tab w:val="clear" w:pos="2304"/>
        <w:tab w:val="left" w:pos="0"/>
        <w:tab w:val="num" w:pos="1296"/>
      </w:tabs>
      <w:ind w:left="1296"/>
    </w:pPr>
  </w:style>
  <w:style w:type="paragraph" w:styleId="BodyTextIndent">
    <w:name w:val="Body Text Indent"/>
    <w:basedOn w:val="Normal"/>
    <w:link w:val="BodyTextIndentChar"/>
    <w:uiPriority w:val="99"/>
    <w:semiHidden/>
    <w:unhideWhenUsed/>
    <w:rsid w:val="00301336"/>
    <w:pPr>
      <w:spacing w:after="120"/>
      <w:ind w:left="360"/>
    </w:pPr>
    <w:rPr>
      <w:sz w:val="24"/>
    </w:rPr>
  </w:style>
  <w:style w:type="character" w:customStyle="1" w:styleId="BodyTextIndentChar">
    <w:name w:val="Body Text Indent Char"/>
    <w:basedOn w:val="DefaultParagraphFont"/>
    <w:link w:val="BodyTextIndent"/>
    <w:uiPriority w:val="99"/>
    <w:semiHidden/>
    <w:rsid w:val="00301336"/>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301336"/>
    <w:pPr>
      <w:spacing w:after="120"/>
      <w:ind w:left="360"/>
    </w:pPr>
    <w:rPr>
      <w:sz w:val="24"/>
      <w:szCs w:val="16"/>
    </w:rPr>
  </w:style>
  <w:style w:type="character" w:customStyle="1" w:styleId="BodyTextIndent3Char">
    <w:name w:val="Body Text Indent 3 Char"/>
    <w:basedOn w:val="DefaultParagraphFont"/>
    <w:link w:val="BodyTextIndent3"/>
    <w:uiPriority w:val="99"/>
    <w:semiHidden/>
    <w:rsid w:val="00301336"/>
    <w:rPr>
      <w:rFonts w:ascii="Times New Roman" w:eastAsia="Times New Roman" w:hAnsi="Times New Roman" w:cs="Times New Roman"/>
      <w:sz w:val="24"/>
      <w:szCs w:val="16"/>
    </w:rPr>
  </w:style>
  <w:style w:type="character" w:customStyle="1" w:styleId="Heading4Char">
    <w:name w:val="Heading 4 Char"/>
    <w:basedOn w:val="DefaultParagraphFont"/>
    <w:link w:val="Heading4"/>
    <w:uiPriority w:val="9"/>
    <w:semiHidden/>
    <w:rsid w:val="0056754A"/>
    <w:rPr>
      <w:rFonts w:asciiTheme="majorHAnsi" w:eastAsiaTheme="majorEastAsia" w:hAnsiTheme="majorHAnsi" w:cstheme="majorBidi"/>
      <w:b/>
      <w:bCs/>
      <w:i/>
      <w:iCs/>
      <w:color w:val="4F81BD" w:themeColor="accent1"/>
      <w:sz w:val="20"/>
      <w:szCs w:val="20"/>
    </w:rPr>
  </w:style>
  <w:style w:type="paragraph" w:styleId="ListParagraph">
    <w:name w:val="List Paragraph"/>
    <w:basedOn w:val="Normal"/>
    <w:link w:val="ListParagraphChar"/>
    <w:uiPriority w:val="34"/>
    <w:qFormat/>
    <w:rsid w:val="008B716E"/>
    <w:pPr>
      <w:ind w:left="720"/>
      <w:contextualSpacing/>
    </w:pPr>
  </w:style>
  <w:style w:type="character" w:styleId="CommentReference">
    <w:name w:val="annotation reference"/>
    <w:basedOn w:val="DefaultParagraphFont"/>
    <w:uiPriority w:val="99"/>
    <w:semiHidden/>
    <w:unhideWhenUsed/>
    <w:rsid w:val="008B716E"/>
    <w:rPr>
      <w:sz w:val="16"/>
      <w:szCs w:val="16"/>
    </w:rPr>
  </w:style>
  <w:style w:type="paragraph" w:styleId="CommentText">
    <w:name w:val="annotation text"/>
    <w:basedOn w:val="Normal"/>
    <w:link w:val="CommentTextChar"/>
    <w:uiPriority w:val="99"/>
    <w:semiHidden/>
    <w:unhideWhenUsed/>
    <w:rsid w:val="008B716E"/>
  </w:style>
  <w:style w:type="character" w:customStyle="1" w:styleId="CommentTextChar">
    <w:name w:val="Comment Text Char"/>
    <w:basedOn w:val="DefaultParagraphFont"/>
    <w:link w:val="CommentText"/>
    <w:uiPriority w:val="99"/>
    <w:semiHidden/>
    <w:rsid w:val="008B71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716E"/>
    <w:rPr>
      <w:b/>
      <w:bCs/>
    </w:rPr>
  </w:style>
  <w:style w:type="character" w:customStyle="1" w:styleId="CommentSubjectChar">
    <w:name w:val="Comment Subject Char"/>
    <w:basedOn w:val="CommentTextChar"/>
    <w:link w:val="CommentSubject"/>
    <w:uiPriority w:val="99"/>
    <w:semiHidden/>
    <w:rsid w:val="008B71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B716E"/>
    <w:rPr>
      <w:rFonts w:ascii="Tahoma" w:hAnsi="Tahoma" w:cs="Tahoma"/>
      <w:sz w:val="16"/>
      <w:szCs w:val="16"/>
    </w:rPr>
  </w:style>
  <w:style w:type="character" w:customStyle="1" w:styleId="BalloonTextChar">
    <w:name w:val="Balloon Text Char"/>
    <w:basedOn w:val="DefaultParagraphFont"/>
    <w:link w:val="BalloonText"/>
    <w:uiPriority w:val="99"/>
    <w:semiHidden/>
    <w:rsid w:val="008B716E"/>
    <w:rPr>
      <w:rFonts w:ascii="Tahoma" w:eastAsia="Times New Roman" w:hAnsi="Tahoma" w:cs="Tahoma"/>
      <w:sz w:val="16"/>
      <w:szCs w:val="16"/>
    </w:rPr>
  </w:style>
  <w:style w:type="table" w:styleId="TableGrid">
    <w:name w:val="Table Grid"/>
    <w:basedOn w:val="TableNormal"/>
    <w:rsid w:val="0074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23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IEL">
    <w:name w:val="Bullets IEL"/>
    <w:basedOn w:val="Normal"/>
    <w:qFormat/>
    <w:rsid w:val="00423D66"/>
    <w:pPr>
      <w:numPr>
        <w:numId w:val="8"/>
      </w:numPr>
      <w:spacing w:after="200" w:line="276" w:lineRule="auto"/>
    </w:pPr>
    <w:rPr>
      <w:rFonts w:asciiTheme="minorHAnsi" w:eastAsiaTheme="minorEastAsia" w:hAnsiTheme="minorHAnsi" w:cstheme="minorBidi"/>
      <w:sz w:val="22"/>
      <w:szCs w:val="22"/>
      <w:lang w:val="es-ES"/>
    </w:rPr>
  </w:style>
  <w:style w:type="character" w:customStyle="1" w:styleId="Heading2Char">
    <w:name w:val="Heading 2 Char"/>
    <w:basedOn w:val="DefaultParagraphFont"/>
    <w:link w:val="Heading2"/>
    <w:uiPriority w:val="9"/>
    <w:semiHidden/>
    <w:rsid w:val="00482E0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82E0C"/>
    <w:pPr>
      <w:spacing w:after="120"/>
    </w:pPr>
    <w:rPr>
      <w:sz w:val="24"/>
      <w:szCs w:val="24"/>
    </w:rPr>
  </w:style>
  <w:style w:type="character" w:customStyle="1" w:styleId="BodyTextChar">
    <w:name w:val="Body Text Char"/>
    <w:basedOn w:val="DefaultParagraphFont"/>
    <w:link w:val="BodyText"/>
    <w:rsid w:val="00482E0C"/>
    <w:rPr>
      <w:rFonts w:ascii="Times New Roman" w:eastAsia="Times New Roman" w:hAnsi="Times New Roman" w:cs="Times New Roman"/>
      <w:sz w:val="24"/>
      <w:szCs w:val="24"/>
    </w:rPr>
  </w:style>
  <w:style w:type="character" w:customStyle="1" w:styleId="st">
    <w:name w:val="st"/>
    <w:rsid w:val="00D10089"/>
  </w:style>
  <w:style w:type="character" w:customStyle="1" w:styleId="ListParagraphChar">
    <w:name w:val="List Paragraph Char"/>
    <w:basedOn w:val="DefaultParagraphFont"/>
    <w:link w:val="ListParagraph"/>
    <w:uiPriority w:val="34"/>
    <w:rsid w:val="00225D0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8152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81528"/>
    <w:pPr>
      <w:spacing w:line="276" w:lineRule="auto"/>
      <w:outlineLvl w:val="9"/>
    </w:pPr>
    <w:rPr>
      <w:lang w:eastAsia="ja-JP"/>
    </w:rPr>
  </w:style>
  <w:style w:type="paragraph" w:styleId="TOC2">
    <w:name w:val="toc 2"/>
    <w:basedOn w:val="Normal"/>
    <w:next w:val="Normal"/>
    <w:autoRedefine/>
    <w:uiPriority w:val="39"/>
    <w:unhideWhenUsed/>
    <w:rsid w:val="00381528"/>
    <w:pPr>
      <w:tabs>
        <w:tab w:val="left" w:pos="1152"/>
        <w:tab w:val="right" w:leader="dot" w:pos="8741"/>
      </w:tabs>
      <w:ind w:left="1166" w:hanging="605"/>
    </w:pPr>
    <w:rPr>
      <w:sz w:val="24"/>
    </w:rPr>
  </w:style>
  <w:style w:type="character" w:styleId="Hyperlink">
    <w:name w:val="Hyperlink"/>
    <w:basedOn w:val="DefaultParagraphFont"/>
    <w:uiPriority w:val="99"/>
    <w:unhideWhenUsed/>
    <w:rsid w:val="00381528"/>
    <w:rPr>
      <w:color w:val="0000FF" w:themeColor="hyperlink"/>
      <w:u w:val="single"/>
    </w:rPr>
  </w:style>
  <w:style w:type="paragraph" w:customStyle="1" w:styleId="Regtable">
    <w:name w:val="Regtable"/>
    <w:basedOn w:val="Normal"/>
    <w:link w:val="RegtableChar"/>
    <w:rsid w:val="00381528"/>
    <w:pPr>
      <w:keepLines/>
      <w:framePr w:wrap="around" w:vAnchor="text" w:hAnchor="text" w:y="1"/>
      <w:spacing w:before="20" w:after="20"/>
    </w:pPr>
  </w:style>
  <w:style w:type="character" w:customStyle="1" w:styleId="RegtableChar">
    <w:name w:val="Regtable Char"/>
    <w:basedOn w:val="DefaultParagraphFont"/>
    <w:link w:val="Regtable"/>
    <w:rsid w:val="00381528"/>
    <w:rPr>
      <w:rFonts w:ascii="Times New Roman" w:eastAsia="Times New Roman" w:hAnsi="Times New Roman" w:cs="Times New Roman"/>
      <w:sz w:val="20"/>
      <w:szCs w:val="20"/>
    </w:rPr>
  </w:style>
  <w:style w:type="paragraph" w:customStyle="1" w:styleId="TableTitle">
    <w:name w:val="TableTitle"/>
    <w:basedOn w:val="Normal"/>
    <w:link w:val="TableTitleChar"/>
    <w:rsid w:val="00381528"/>
    <w:pPr>
      <w:keepNext/>
      <w:framePr w:wrap="around" w:vAnchor="text" w:hAnchor="text" w:y="1"/>
      <w:spacing w:before="20" w:after="20"/>
      <w:jc w:val="center"/>
    </w:pPr>
    <w:rPr>
      <w:rFonts w:ascii="Times New Roman Bold" w:hAnsi="Times New Roman Bold"/>
      <w:b/>
      <w:spacing w:val="-3"/>
    </w:rPr>
  </w:style>
  <w:style w:type="character" w:customStyle="1" w:styleId="TableTitleChar">
    <w:name w:val="TableTitle Char"/>
    <w:basedOn w:val="DefaultParagraphFont"/>
    <w:link w:val="TableTitle"/>
    <w:rsid w:val="00381528"/>
    <w:rPr>
      <w:rFonts w:ascii="Times New Roman Bold" w:eastAsia="Times New Roman" w:hAnsi="Times New Roman Bold" w:cs="Times New Roman"/>
      <w:b/>
      <w:spacing w:val="-3"/>
      <w:sz w:val="20"/>
      <w:szCs w:val="20"/>
    </w:rPr>
  </w:style>
  <w:style w:type="paragraph" w:styleId="TOC1">
    <w:name w:val="toc 1"/>
    <w:basedOn w:val="Normal"/>
    <w:next w:val="Normal"/>
    <w:autoRedefine/>
    <w:uiPriority w:val="39"/>
    <w:unhideWhenUsed/>
    <w:rsid w:val="00381528"/>
    <w:pPr>
      <w:tabs>
        <w:tab w:val="right" w:leader="dot" w:pos="8741"/>
      </w:tabs>
      <w:spacing w:before="240" w:after="240"/>
      <w:ind w:left="547" w:hanging="547"/>
    </w:pPr>
    <w:rPr>
      <w:smallCaps/>
      <w:sz w:val="24"/>
    </w:rPr>
  </w:style>
  <w:style w:type="paragraph" w:styleId="TOC3">
    <w:name w:val="toc 3"/>
    <w:basedOn w:val="Normal"/>
    <w:next w:val="Normal"/>
    <w:autoRedefine/>
    <w:uiPriority w:val="39"/>
    <w:unhideWhenUsed/>
    <w:rsid w:val="00381528"/>
    <w:pPr>
      <w:tabs>
        <w:tab w:val="left" w:pos="1728"/>
        <w:tab w:val="right" w:leader="dot" w:pos="8741"/>
      </w:tabs>
      <w:ind w:left="1714" w:hanging="562"/>
    </w:pPr>
    <w:rPr>
      <w:sz w:val="24"/>
    </w:rPr>
  </w:style>
  <w:style w:type="paragraph" w:styleId="Header">
    <w:name w:val="header"/>
    <w:basedOn w:val="Normal"/>
    <w:link w:val="HeaderChar"/>
    <w:uiPriority w:val="99"/>
    <w:unhideWhenUsed/>
    <w:rsid w:val="00381528"/>
    <w:pPr>
      <w:tabs>
        <w:tab w:val="center" w:pos="4680"/>
        <w:tab w:val="right" w:pos="9360"/>
      </w:tabs>
    </w:pPr>
  </w:style>
  <w:style w:type="character" w:customStyle="1" w:styleId="HeaderChar">
    <w:name w:val="Header Char"/>
    <w:basedOn w:val="DefaultParagraphFont"/>
    <w:link w:val="Header"/>
    <w:uiPriority w:val="99"/>
    <w:rsid w:val="003815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1528"/>
    <w:pPr>
      <w:tabs>
        <w:tab w:val="center" w:pos="4680"/>
        <w:tab w:val="right" w:pos="9360"/>
      </w:tabs>
    </w:pPr>
  </w:style>
  <w:style w:type="character" w:customStyle="1" w:styleId="FooterChar">
    <w:name w:val="Footer Char"/>
    <w:basedOn w:val="DefaultParagraphFont"/>
    <w:link w:val="Footer"/>
    <w:uiPriority w:val="99"/>
    <w:rsid w:val="00381528"/>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7687E"/>
    <w:rPr>
      <w:color w:val="800080" w:themeColor="followedHyperlink"/>
      <w:u w:val="single"/>
    </w:rPr>
  </w:style>
  <w:style w:type="paragraph" w:styleId="Revision">
    <w:name w:val="Revision"/>
    <w:hidden/>
    <w:uiPriority w:val="99"/>
    <w:semiHidden/>
    <w:rsid w:val="006577B2"/>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3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815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E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6754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next w:val="Normal"/>
    <w:link w:val="Heading5Char"/>
    <w:qFormat/>
    <w:rsid w:val="00381528"/>
    <w:pPr>
      <w:keepNext/>
      <w:numPr>
        <w:ilvl w:val="4"/>
        <w:numId w:val="2"/>
      </w:numPr>
      <w:spacing w:after="0" w:line="240" w:lineRule="auto"/>
      <w:outlineLvl w:val="4"/>
    </w:pPr>
    <w:rPr>
      <w:rFonts w:ascii="Helvetica" w:eastAsia="ヒラギノ角ゴ Pro W3" w:hAnsi="Helvetica" w:cs="Times New Roman"/>
      <w:b/>
      <w:color w:val="000000"/>
      <w:sz w:val="24"/>
      <w:szCs w:val="20"/>
    </w:rPr>
  </w:style>
  <w:style w:type="paragraph" w:styleId="Heading6">
    <w:name w:val="heading 6"/>
    <w:next w:val="Normal"/>
    <w:link w:val="Heading6Char"/>
    <w:qFormat/>
    <w:rsid w:val="00381528"/>
    <w:pPr>
      <w:keepNext/>
      <w:numPr>
        <w:ilvl w:val="5"/>
        <w:numId w:val="2"/>
      </w:numPr>
      <w:spacing w:after="0" w:line="240" w:lineRule="auto"/>
      <w:outlineLvl w:val="5"/>
    </w:pPr>
    <w:rPr>
      <w:rFonts w:ascii="Helvetica" w:eastAsia="ヒラギノ角ゴ Pro W3" w:hAnsi="Helvetica" w:cs="Times New Roman"/>
      <w:b/>
      <w:color w:val="000000"/>
      <w:sz w:val="24"/>
      <w:szCs w:val="20"/>
    </w:rPr>
  </w:style>
  <w:style w:type="paragraph" w:styleId="Heading7">
    <w:name w:val="heading 7"/>
    <w:next w:val="Normal"/>
    <w:link w:val="Heading7Char"/>
    <w:qFormat/>
    <w:rsid w:val="00381528"/>
    <w:pPr>
      <w:keepNext/>
      <w:numPr>
        <w:ilvl w:val="6"/>
        <w:numId w:val="2"/>
      </w:numPr>
      <w:spacing w:after="0" w:line="240" w:lineRule="auto"/>
      <w:outlineLvl w:val="6"/>
    </w:pPr>
    <w:rPr>
      <w:rFonts w:ascii="Helvetica" w:eastAsia="ヒラギノ角ゴ Pro W3" w:hAnsi="Helvetica" w:cs="Times New Roman"/>
      <w:b/>
      <w:color w:val="000000"/>
      <w:sz w:val="24"/>
      <w:szCs w:val="20"/>
    </w:rPr>
  </w:style>
  <w:style w:type="paragraph" w:styleId="Heading8">
    <w:name w:val="heading 8"/>
    <w:next w:val="Normal"/>
    <w:link w:val="Heading8Char"/>
    <w:qFormat/>
    <w:rsid w:val="00381528"/>
    <w:pPr>
      <w:keepNext/>
      <w:numPr>
        <w:ilvl w:val="7"/>
        <w:numId w:val="2"/>
      </w:numPr>
      <w:spacing w:after="0" w:line="240" w:lineRule="auto"/>
      <w:outlineLvl w:val="7"/>
    </w:pPr>
    <w:rPr>
      <w:rFonts w:ascii="Helvetica" w:eastAsia="ヒラギノ角ゴ Pro W3" w:hAnsi="Helvetica" w:cs="Times New Roman"/>
      <w:b/>
      <w:color w:val="000000"/>
      <w:sz w:val="24"/>
      <w:szCs w:val="20"/>
    </w:rPr>
  </w:style>
  <w:style w:type="paragraph" w:styleId="Heading9">
    <w:name w:val="heading 9"/>
    <w:next w:val="Normal"/>
    <w:link w:val="Heading9Char"/>
    <w:qFormat/>
    <w:rsid w:val="00381528"/>
    <w:pPr>
      <w:keepNext/>
      <w:numPr>
        <w:ilvl w:val="8"/>
        <w:numId w:val="2"/>
      </w:numPr>
      <w:spacing w:after="0" w:line="240" w:lineRule="auto"/>
      <w:outlineLvl w:val="8"/>
    </w:pPr>
    <w:rPr>
      <w:rFonts w:ascii="Helvetica" w:eastAsia="ヒラギノ角ゴ Pro W3"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81528"/>
    <w:rPr>
      <w:rFonts w:ascii="Helvetica" w:eastAsia="ヒラギノ角ゴ Pro W3" w:hAnsi="Helvetica" w:cs="Times New Roman"/>
      <w:b/>
      <w:color w:val="000000"/>
      <w:sz w:val="24"/>
      <w:szCs w:val="20"/>
    </w:rPr>
  </w:style>
  <w:style w:type="character" w:customStyle="1" w:styleId="Heading6Char">
    <w:name w:val="Heading 6 Char"/>
    <w:basedOn w:val="DefaultParagraphFont"/>
    <w:link w:val="Heading6"/>
    <w:rsid w:val="00381528"/>
    <w:rPr>
      <w:rFonts w:ascii="Helvetica" w:eastAsia="ヒラギノ角ゴ Pro W3" w:hAnsi="Helvetica" w:cs="Times New Roman"/>
      <w:b/>
      <w:color w:val="000000"/>
      <w:sz w:val="24"/>
      <w:szCs w:val="20"/>
    </w:rPr>
  </w:style>
  <w:style w:type="character" w:customStyle="1" w:styleId="Heading7Char">
    <w:name w:val="Heading 7 Char"/>
    <w:basedOn w:val="DefaultParagraphFont"/>
    <w:link w:val="Heading7"/>
    <w:rsid w:val="00381528"/>
    <w:rPr>
      <w:rFonts w:ascii="Helvetica" w:eastAsia="ヒラギノ角ゴ Pro W3" w:hAnsi="Helvetica" w:cs="Times New Roman"/>
      <w:b/>
      <w:color w:val="000000"/>
      <w:sz w:val="24"/>
      <w:szCs w:val="20"/>
    </w:rPr>
  </w:style>
  <w:style w:type="character" w:customStyle="1" w:styleId="Heading8Char">
    <w:name w:val="Heading 8 Char"/>
    <w:basedOn w:val="DefaultParagraphFont"/>
    <w:link w:val="Heading8"/>
    <w:rsid w:val="00381528"/>
    <w:rPr>
      <w:rFonts w:ascii="Helvetica" w:eastAsia="ヒラギノ角ゴ Pro W3" w:hAnsi="Helvetica" w:cs="Times New Roman"/>
      <w:b/>
      <w:color w:val="000000"/>
      <w:sz w:val="24"/>
      <w:szCs w:val="20"/>
    </w:rPr>
  </w:style>
  <w:style w:type="character" w:customStyle="1" w:styleId="Heading9Char">
    <w:name w:val="Heading 9 Char"/>
    <w:basedOn w:val="DefaultParagraphFont"/>
    <w:link w:val="Heading9"/>
    <w:rsid w:val="00381528"/>
    <w:rPr>
      <w:rFonts w:ascii="Helvetica" w:eastAsia="ヒラギノ角ゴ Pro W3" w:hAnsi="Helvetica" w:cs="Times New Roman"/>
      <w:b/>
      <w:color w:val="000000"/>
      <w:sz w:val="24"/>
      <w:szCs w:val="20"/>
    </w:rPr>
  </w:style>
  <w:style w:type="character" w:styleId="FootnoteReference">
    <w:name w:val="footnote reference"/>
    <w:aliases w:val="16 Point,Superscript 6 Point,FC,Fußnotenzeichen DISS,ftref,BVI fnr,Знак сноски 1,referencia nota al pie,Comment Text Char1,Footnote Reference1,Referência a notas de rodapé"/>
    <w:uiPriority w:val="99"/>
    <w:rsid w:val="00301336"/>
    <w:rPr>
      <w:vertAlign w:val="superscript"/>
    </w:rPr>
  </w:style>
  <w:style w:type="paragraph" w:styleId="FootnoteText">
    <w:name w:val="footnote text"/>
    <w:aliases w:val="fn,footnote,single space,FOOTNOTES,footnote text,Footnote Text Char Char,Geneva 9,Font: Geneva 9,Boston 10,f,Texto de rodapé,nota_rodapé,nota de rodapé,ft,F,Style 25,Footnote Text Char1 Char,Footnote Text Char Char Char Char Char Char,ADB"/>
    <w:basedOn w:val="Normal"/>
    <w:link w:val="FootnoteTextChar"/>
    <w:uiPriority w:val="99"/>
    <w:qFormat/>
    <w:rsid w:val="00301336"/>
    <w:pPr>
      <w:keepNext/>
      <w:keepLines/>
      <w:spacing w:after="120"/>
      <w:ind w:left="288" w:hanging="288"/>
      <w:jc w:val="both"/>
    </w:pPr>
    <w:rPr>
      <w:spacing w:val="-3"/>
    </w:rPr>
  </w:style>
  <w:style w:type="character" w:customStyle="1" w:styleId="FootnoteTextChar">
    <w:name w:val="Footnote Text Char"/>
    <w:aliases w:val="fn Char,footnote Char,single space Char,FOOTNOTES Char,footnote text Char,Footnote Text Char Char Char,Geneva 9 Char,Font: Geneva 9 Char,Boston 10 Char,f Char,Texto de rodapé Char,nota_rodapé Char,nota de rodapé Char,ft Char,F Char"/>
    <w:basedOn w:val="DefaultParagraphFont"/>
    <w:link w:val="FootnoteText"/>
    <w:uiPriority w:val="99"/>
    <w:rsid w:val="00301336"/>
    <w:rPr>
      <w:rFonts w:ascii="Times New Roman" w:eastAsia="Times New Roman" w:hAnsi="Times New Roman" w:cs="Times New Roman"/>
      <w:spacing w:val="-3"/>
      <w:sz w:val="20"/>
      <w:szCs w:val="20"/>
    </w:rPr>
  </w:style>
  <w:style w:type="paragraph" w:customStyle="1" w:styleId="Chapter">
    <w:name w:val="Chapter"/>
    <w:basedOn w:val="Normal"/>
    <w:next w:val="Normal"/>
    <w:link w:val="ChapterChar"/>
    <w:rsid w:val="00381528"/>
    <w:pPr>
      <w:keepNext/>
      <w:numPr>
        <w:numId w:val="1"/>
      </w:numPr>
      <w:tabs>
        <w:tab w:val="left" w:pos="1440"/>
      </w:tabs>
      <w:spacing w:before="240" w:after="240"/>
      <w:jc w:val="center"/>
    </w:pPr>
    <w:rPr>
      <w:rFonts w:eastAsia="ヒラギノ角ゴ Pro W3"/>
      <w:b/>
      <w:smallCaps/>
      <w:sz w:val="24"/>
      <w:szCs w:val="24"/>
    </w:rPr>
  </w:style>
  <w:style w:type="character" w:customStyle="1" w:styleId="ChapterChar">
    <w:name w:val="Chapter Char"/>
    <w:link w:val="Chapter"/>
    <w:rsid w:val="00381528"/>
    <w:rPr>
      <w:rFonts w:ascii="Times New Roman" w:eastAsia="ヒラギノ角ゴ Pro W3" w:hAnsi="Times New Roman" w:cs="Times New Roman"/>
      <w:b/>
      <w:smallCaps/>
      <w:sz w:val="24"/>
      <w:szCs w:val="24"/>
    </w:rPr>
  </w:style>
  <w:style w:type="paragraph" w:customStyle="1" w:styleId="FirstHeading">
    <w:name w:val="FirstHeading"/>
    <w:basedOn w:val="Normal"/>
    <w:next w:val="Normal"/>
    <w:rsid w:val="00381528"/>
    <w:pPr>
      <w:keepNext/>
      <w:numPr>
        <w:numId w:val="2"/>
      </w:numPr>
      <w:tabs>
        <w:tab w:val="left" w:pos="0"/>
        <w:tab w:val="left" w:pos="86"/>
      </w:tabs>
      <w:spacing w:before="120" w:after="120"/>
      <w:ind w:left="720"/>
    </w:pPr>
    <w:rPr>
      <w:rFonts w:eastAsia="ヒラギノ角ゴ Pro W3"/>
      <w:b/>
      <w:sz w:val="24"/>
      <w:szCs w:val="24"/>
    </w:rPr>
  </w:style>
  <w:style w:type="paragraph" w:customStyle="1" w:styleId="SecHeading">
    <w:name w:val="SecHeading"/>
    <w:basedOn w:val="Normal"/>
    <w:next w:val="Paragraph"/>
    <w:link w:val="SecHeadingChar"/>
    <w:rsid w:val="00381528"/>
    <w:pPr>
      <w:keepNext/>
      <w:numPr>
        <w:ilvl w:val="1"/>
        <w:numId w:val="2"/>
      </w:numPr>
      <w:spacing w:before="120" w:after="120"/>
    </w:pPr>
    <w:rPr>
      <w:rFonts w:eastAsia="ヒラギノ角ゴ Pro W3"/>
      <w:b/>
      <w:sz w:val="24"/>
      <w:szCs w:val="24"/>
    </w:rPr>
  </w:style>
  <w:style w:type="character" w:customStyle="1" w:styleId="SecHeadingChar">
    <w:name w:val="SecHeading Char"/>
    <w:link w:val="SecHeading"/>
    <w:rsid w:val="00381528"/>
    <w:rPr>
      <w:rFonts w:ascii="Times New Roman" w:eastAsia="ヒラギノ角ゴ Pro W3" w:hAnsi="Times New Roman" w:cs="Times New Roman"/>
      <w:b/>
      <w:sz w:val="24"/>
      <w:szCs w:val="24"/>
    </w:rPr>
  </w:style>
  <w:style w:type="paragraph" w:customStyle="1" w:styleId="SubHeading1">
    <w:name w:val="SubHeading1"/>
    <w:basedOn w:val="SecHeading"/>
    <w:rsid w:val="00301336"/>
    <w:pPr>
      <w:numPr>
        <w:ilvl w:val="2"/>
      </w:numPr>
      <w:tabs>
        <w:tab w:val="clear" w:pos="3888"/>
        <w:tab w:val="num" w:pos="1872"/>
      </w:tabs>
      <w:ind w:left="1872"/>
    </w:pPr>
  </w:style>
  <w:style w:type="paragraph" w:customStyle="1" w:styleId="Subheading2">
    <w:name w:val="Subheading2"/>
    <w:basedOn w:val="SecHeading"/>
    <w:rsid w:val="00301336"/>
    <w:pPr>
      <w:numPr>
        <w:ilvl w:val="3"/>
      </w:numPr>
      <w:tabs>
        <w:tab w:val="clear" w:pos="4392"/>
        <w:tab w:val="num" w:pos="2376"/>
      </w:tabs>
      <w:ind w:left="2376"/>
    </w:pPr>
  </w:style>
  <w:style w:type="paragraph" w:customStyle="1" w:styleId="Paragraph">
    <w:name w:val="Paragraph"/>
    <w:basedOn w:val="BodyTextIndent"/>
    <w:link w:val="ParagraphChar"/>
    <w:rsid w:val="00381528"/>
    <w:pPr>
      <w:numPr>
        <w:ilvl w:val="1"/>
        <w:numId w:val="1"/>
      </w:numPr>
      <w:pBdr>
        <w:top w:val="single" w:sz="6" w:space="1" w:color="auto"/>
        <w:left w:val="single" w:sz="6" w:space="4" w:color="auto"/>
        <w:bottom w:val="single" w:sz="6" w:space="1" w:color="auto"/>
        <w:right w:val="single" w:sz="6" w:space="4" w:color="auto"/>
      </w:pBdr>
      <w:shd w:val="pct15" w:color="auto" w:fill="FFFFFF"/>
      <w:tabs>
        <w:tab w:val="clear" w:pos="2016"/>
        <w:tab w:val="num" w:pos="720"/>
      </w:tabs>
      <w:spacing w:before="120"/>
      <w:ind w:left="720" w:hanging="720"/>
      <w:jc w:val="both"/>
      <w:outlineLvl w:val="1"/>
    </w:pPr>
  </w:style>
  <w:style w:type="character" w:customStyle="1" w:styleId="ParagraphChar">
    <w:name w:val="Paragraph Char"/>
    <w:link w:val="Paragraph"/>
    <w:rsid w:val="00381528"/>
    <w:rPr>
      <w:rFonts w:ascii="Times New Roman" w:eastAsia="Times New Roman" w:hAnsi="Times New Roman" w:cs="Times New Roman"/>
      <w:sz w:val="24"/>
      <w:szCs w:val="20"/>
      <w:shd w:val="pct15" w:color="auto" w:fill="FFFFFF"/>
    </w:rPr>
  </w:style>
  <w:style w:type="paragraph" w:customStyle="1" w:styleId="subpar">
    <w:name w:val="subpar"/>
    <w:basedOn w:val="BodyTextIndent3"/>
    <w:rsid w:val="00381528"/>
    <w:pPr>
      <w:numPr>
        <w:ilvl w:val="2"/>
        <w:numId w:val="1"/>
      </w:numPr>
      <w:tabs>
        <w:tab w:val="clear" w:pos="1872"/>
        <w:tab w:val="num" w:pos="1152"/>
      </w:tabs>
      <w:spacing w:before="120"/>
      <w:ind w:left="1152"/>
      <w:jc w:val="both"/>
      <w:outlineLvl w:val="2"/>
    </w:pPr>
    <w:rPr>
      <w:rFonts w:eastAsia="ヒラギノ角ゴ Pro W3"/>
    </w:rPr>
  </w:style>
  <w:style w:type="paragraph" w:customStyle="1" w:styleId="SubSubPar">
    <w:name w:val="SubSubPar"/>
    <w:basedOn w:val="subpar"/>
    <w:rsid w:val="00301336"/>
    <w:pPr>
      <w:numPr>
        <w:ilvl w:val="3"/>
      </w:numPr>
      <w:tabs>
        <w:tab w:val="clear" w:pos="2304"/>
        <w:tab w:val="left" w:pos="0"/>
        <w:tab w:val="num" w:pos="1296"/>
      </w:tabs>
      <w:ind w:left="1296"/>
    </w:pPr>
  </w:style>
  <w:style w:type="paragraph" w:styleId="BodyTextIndent">
    <w:name w:val="Body Text Indent"/>
    <w:basedOn w:val="Normal"/>
    <w:link w:val="BodyTextIndentChar"/>
    <w:uiPriority w:val="99"/>
    <w:semiHidden/>
    <w:unhideWhenUsed/>
    <w:rsid w:val="00301336"/>
    <w:pPr>
      <w:spacing w:after="120"/>
      <w:ind w:left="360"/>
    </w:pPr>
    <w:rPr>
      <w:sz w:val="24"/>
    </w:rPr>
  </w:style>
  <w:style w:type="character" w:customStyle="1" w:styleId="BodyTextIndentChar">
    <w:name w:val="Body Text Indent Char"/>
    <w:basedOn w:val="DefaultParagraphFont"/>
    <w:link w:val="BodyTextIndent"/>
    <w:uiPriority w:val="99"/>
    <w:semiHidden/>
    <w:rsid w:val="00301336"/>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301336"/>
    <w:pPr>
      <w:spacing w:after="120"/>
      <w:ind w:left="360"/>
    </w:pPr>
    <w:rPr>
      <w:sz w:val="24"/>
      <w:szCs w:val="16"/>
    </w:rPr>
  </w:style>
  <w:style w:type="character" w:customStyle="1" w:styleId="BodyTextIndent3Char">
    <w:name w:val="Body Text Indent 3 Char"/>
    <w:basedOn w:val="DefaultParagraphFont"/>
    <w:link w:val="BodyTextIndent3"/>
    <w:uiPriority w:val="99"/>
    <w:semiHidden/>
    <w:rsid w:val="00301336"/>
    <w:rPr>
      <w:rFonts w:ascii="Times New Roman" w:eastAsia="Times New Roman" w:hAnsi="Times New Roman" w:cs="Times New Roman"/>
      <w:sz w:val="24"/>
      <w:szCs w:val="16"/>
    </w:rPr>
  </w:style>
  <w:style w:type="character" w:customStyle="1" w:styleId="Heading4Char">
    <w:name w:val="Heading 4 Char"/>
    <w:basedOn w:val="DefaultParagraphFont"/>
    <w:link w:val="Heading4"/>
    <w:uiPriority w:val="9"/>
    <w:semiHidden/>
    <w:rsid w:val="0056754A"/>
    <w:rPr>
      <w:rFonts w:asciiTheme="majorHAnsi" w:eastAsiaTheme="majorEastAsia" w:hAnsiTheme="majorHAnsi" w:cstheme="majorBidi"/>
      <w:b/>
      <w:bCs/>
      <w:i/>
      <w:iCs/>
      <w:color w:val="4F81BD" w:themeColor="accent1"/>
      <w:sz w:val="20"/>
      <w:szCs w:val="20"/>
    </w:rPr>
  </w:style>
  <w:style w:type="paragraph" w:styleId="ListParagraph">
    <w:name w:val="List Paragraph"/>
    <w:basedOn w:val="Normal"/>
    <w:link w:val="ListParagraphChar"/>
    <w:uiPriority w:val="34"/>
    <w:qFormat/>
    <w:rsid w:val="008B716E"/>
    <w:pPr>
      <w:ind w:left="720"/>
      <w:contextualSpacing/>
    </w:pPr>
  </w:style>
  <w:style w:type="character" w:styleId="CommentReference">
    <w:name w:val="annotation reference"/>
    <w:basedOn w:val="DefaultParagraphFont"/>
    <w:uiPriority w:val="99"/>
    <w:semiHidden/>
    <w:unhideWhenUsed/>
    <w:rsid w:val="008B716E"/>
    <w:rPr>
      <w:sz w:val="16"/>
      <w:szCs w:val="16"/>
    </w:rPr>
  </w:style>
  <w:style w:type="paragraph" w:styleId="CommentText">
    <w:name w:val="annotation text"/>
    <w:basedOn w:val="Normal"/>
    <w:link w:val="CommentTextChar"/>
    <w:uiPriority w:val="99"/>
    <w:semiHidden/>
    <w:unhideWhenUsed/>
    <w:rsid w:val="008B716E"/>
  </w:style>
  <w:style w:type="character" w:customStyle="1" w:styleId="CommentTextChar">
    <w:name w:val="Comment Text Char"/>
    <w:basedOn w:val="DefaultParagraphFont"/>
    <w:link w:val="CommentText"/>
    <w:uiPriority w:val="99"/>
    <w:semiHidden/>
    <w:rsid w:val="008B71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716E"/>
    <w:rPr>
      <w:b/>
      <w:bCs/>
    </w:rPr>
  </w:style>
  <w:style w:type="character" w:customStyle="1" w:styleId="CommentSubjectChar">
    <w:name w:val="Comment Subject Char"/>
    <w:basedOn w:val="CommentTextChar"/>
    <w:link w:val="CommentSubject"/>
    <w:uiPriority w:val="99"/>
    <w:semiHidden/>
    <w:rsid w:val="008B71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B716E"/>
    <w:rPr>
      <w:rFonts w:ascii="Tahoma" w:hAnsi="Tahoma" w:cs="Tahoma"/>
      <w:sz w:val="16"/>
      <w:szCs w:val="16"/>
    </w:rPr>
  </w:style>
  <w:style w:type="character" w:customStyle="1" w:styleId="BalloonTextChar">
    <w:name w:val="Balloon Text Char"/>
    <w:basedOn w:val="DefaultParagraphFont"/>
    <w:link w:val="BalloonText"/>
    <w:uiPriority w:val="99"/>
    <w:semiHidden/>
    <w:rsid w:val="008B716E"/>
    <w:rPr>
      <w:rFonts w:ascii="Tahoma" w:eastAsia="Times New Roman" w:hAnsi="Tahoma" w:cs="Tahoma"/>
      <w:sz w:val="16"/>
      <w:szCs w:val="16"/>
    </w:rPr>
  </w:style>
  <w:style w:type="table" w:styleId="TableGrid">
    <w:name w:val="Table Grid"/>
    <w:basedOn w:val="TableNormal"/>
    <w:rsid w:val="0074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23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IEL">
    <w:name w:val="Bullets IEL"/>
    <w:basedOn w:val="Normal"/>
    <w:qFormat/>
    <w:rsid w:val="00423D66"/>
    <w:pPr>
      <w:numPr>
        <w:numId w:val="8"/>
      </w:numPr>
      <w:spacing w:after="200" w:line="276" w:lineRule="auto"/>
    </w:pPr>
    <w:rPr>
      <w:rFonts w:asciiTheme="minorHAnsi" w:eastAsiaTheme="minorEastAsia" w:hAnsiTheme="minorHAnsi" w:cstheme="minorBidi"/>
      <w:sz w:val="22"/>
      <w:szCs w:val="22"/>
      <w:lang w:val="es-ES"/>
    </w:rPr>
  </w:style>
  <w:style w:type="character" w:customStyle="1" w:styleId="Heading2Char">
    <w:name w:val="Heading 2 Char"/>
    <w:basedOn w:val="DefaultParagraphFont"/>
    <w:link w:val="Heading2"/>
    <w:uiPriority w:val="9"/>
    <w:semiHidden/>
    <w:rsid w:val="00482E0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82E0C"/>
    <w:pPr>
      <w:spacing w:after="120"/>
    </w:pPr>
    <w:rPr>
      <w:sz w:val="24"/>
      <w:szCs w:val="24"/>
    </w:rPr>
  </w:style>
  <w:style w:type="character" w:customStyle="1" w:styleId="BodyTextChar">
    <w:name w:val="Body Text Char"/>
    <w:basedOn w:val="DefaultParagraphFont"/>
    <w:link w:val="BodyText"/>
    <w:rsid w:val="00482E0C"/>
    <w:rPr>
      <w:rFonts w:ascii="Times New Roman" w:eastAsia="Times New Roman" w:hAnsi="Times New Roman" w:cs="Times New Roman"/>
      <w:sz w:val="24"/>
      <w:szCs w:val="24"/>
    </w:rPr>
  </w:style>
  <w:style w:type="character" w:customStyle="1" w:styleId="st">
    <w:name w:val="st"/>
    <w:rsid w:val="00D10089"/>
  </w:style>
  <w:style w:type="character" w:customStyle="1" w:styleId="ListParagraphChar">
    <w:name w:val="List Paragraph Char"/>
    <w:basedOn w:val="DefaultParagraphFont"/>
    <w:link w:val="ListParagraph"/>
    <w:uiPriority w:val="34"/>
    <w:rsid w:val="00225D0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8152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81528"/>
    <w:pPr>
      <w:spacing w:line="276" w:lineRule="auto"/>
      <w:outlineLvl w:val="9"/>
    </w:pPr>
    <w:rPr>
      <w:lang w:eastAsia="ja-JP"/>
    </w:rPr>
  </w:style>
  <w:style w:type="paragraph" w:styleId="TOC2">
    <w:name w:val="toc 2"/>
    <w:basedOn w:val="Normal"/>
    <w:next w:val="Normal"/>
    <w:autoRedefine/>
    <w:uiPriority w:val="39"/>
    <w:unhideWhenUsed/>
    <w:rsid w:val="00381528"/>
    <w:pPr>
      <w:tabs>
        <w:tab w:val="left" w:pos="1152"/>
        <w:tab w:val="right" w:leader="dot" w:pos="8741"/>
      </w:tabs>
      <w:ind w:left="1166" w:hanging="605"/>
    </w:pPr>
    <w:rPr>
      <w:sz w:val="24"/>
    </w:rPr>
  </w:style>
  <w:style w:type="character" w:styleId="Hyperlink">
    <w:name w:val="Hyperlink"/>
    <w:basedOn w:val="DefaultParagraphFont"/>
    <w:uiPriority w:val="99"/>
    <w:unhideWhenUsed/>
    <w:rsid w:val="00381528"/>
    <w:rPr>
      <w:color w:val="0000FF" w:themeColor="hyperlink"/>
      <w:u w:val="single"/>
    </w:rPr>
  </w:style>
  <w:style w:type="paragraph" w:customStyle="1" w:styleId="Regtable">
    <w:name w:val="Regtable"/>
    <w:basedOn w:val="Normal"/>
    <w:link w:val="RegtableChar"/>
    <w:rsid w:val="00381528"/>
    <w:pPr>
      <w:keepLines/>
      <w:framePr w:wrap="around" w:vAnchor="text" w:hAnchor="text" w:y="1"/>
      <w:spacing w:before="20" w:after="20"/>
    </w:pPr>
  </w:style>
  <w:style w:type="character" w:customStyle="1" w:styleId="RegtableChar">
    <w:name w:val="Regtable Char"/>
    <w:basedOn w:val="DefaultParagraphFont"/>
    <w:link w:val="Regtable"/>
    <w:rsid w:val="00381528"/>
    <w:rPr>
      <w:rFonts w:ascii="Times New Roman" w:eastAsia="Times New Roman" w:hAnsi="Times New Roman" w:cs="Times New Roman"/>
      <w:sz w:val="20"/>
      <w:szCs w:val="20"/>
    </w:rPr>
  </w:style>
  <w:style w:type="paragraph" w:customStyle="1" w:styleId="TableTitle">
    <w:name w:val="TableTitle"/>
    <w:basedOn w:val="Normal"/>
    <w:link w:val="TableTitleChar"/>
    <w:rsid w:val="00381528"/>
    <w:pPr>
      <w:keepNext/>
      <w:framePr w:wrap="around" w:vAnchor="text" w:hAnchor="text" w:y="1"/>
      <w:spacing w:before="20" w:after="20"/>
      <w:jc w:val="center"/>
    </w:pPr>
    <w:rPr>
      <w:rFonts w:ascii="Times New Roman Bold" w:hAnsi="Times New Roman Bold"/>
      <w:b/>
      <w:spacing w:val="-3"/>
    </w:rPr>
  </w:style>
  <w:style w:type="character" w:customStyle="1" w:styleId="TableTitleChar">
    <w:name w:val="TableTitle Char"/>
    <w:basedOn w:val="DefaultParagraphFont"/>
    <w:link w:val="TableTitle"/>
    <w:rsid w:val="00381528"/>
    <w:rPr>
      <w:rFonts w:ascii="Times New Roman Bold" w:eastAsia="Times New Roman" w:hAnsi="Times New Roman Bold" w:cs="Times New Roman"/>
      <w:b/>
      <w:spacing w:val="-3"/>
      <w:sz w:val="20"/>
      <w:szCs w:val="20"/>
    </w:rPr>
  </w:style>
  <w:style w:type="paragraph" w:styleId="TOC1">
    <w:name w:val="toc 1"/>
    <w:basedOn w:val="Normal"/>
    <w:next w:val="Normal"/>
    <w:autoRedefine/>
    <w:uiPriority w:val="39"/>
    <w:unhideWhenUsed/>
    <w:rsid w:val="00381528"/>
    <w:pPr>
      <w:tabs>
        <w:tab w:val="right" w:leader="dot" w:pos="8741"/>
      </w:tabs>
      <w:spacing w:before="240" w:after="240"/>
      <w:ind w:left="547" w:hanging="547"/>
    </w:pPr>
    <w:rPr>
      <w:smallCaps/>
      <w:sz w:val="24"/>
    </w:rPr>
  </w:style>
  <w:style w:type="paragraph" w:styleId="TOC3">
    <w:name w:val="toc 3"/>
    <w:basedOn w:val="Normal"/>
    <w:next w:val="Normal"/>
    <w:autoRedefine/>
    <w:uiPriority w:val="39"/>
    <w:unhideWhenUsed/>
    <w:rsid w:val="00381528"/>
    <w:pPr>
      <w:tabs>
        <w:tab w:val="left" w:pos="1728"/>
        <w:tab w:val="right" w:leader="dot" w:pos="8741"/>
      </w:tabs>
      <w:ind w:left="1714" w:hanging="562"/>
    </w:pPr>
    <w:rPr>
      <w:sz w:val="24"/>
    </w:rPr>
  </w:style>
  <w:style w:type="paragraph" w:styleId="Header">
    <w:name w:val="header"/>
    <w:basedOn w:val="Normal"/>
    <w:link w:val="HeaderChar"/>
    <w:uiPriority w:val="99"/>
    <w:unhideWhenUsed/>
    <w:rsid w:val="00381528"/>
    <w:pPr>
      <w:tabs>
        <w:tab w:val="center" w:pos="4680"/>
        <w:tab w:val="right" w:pos="9360"/>
      </w:tabs>
    </w:pPr>
  </w:style>
  <w:style w:type="character" w:customStyle="1" w:styleId="HeaderChar">
    <w:name w:val="Header Char"/>
    <w:basedOn w:val="DefaultParagraphFont"/>
    <w:link w:val="Header"/>
    <w:uiPriority w:val="99"/>
    <w:rsid w:val="003815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1528"/>
    <w:pPr>
      <w:tabs>
        <w:tab w:val="center" w:pos="4680"/>
        <w:tab w:val="right" w:pos="9360"/>
      </w:tabs>
    </w:pPr>
  </w:style>
  <w:style w:type="character" w:customStyle="1" w:styleId="FooterChar">
    <w:name w:val="Footer Char"/>
    <w:basedOn w:val="DefaultParagraphFont"/>
    <w:link w:val="Footer"/>
    <w:uiPriority w:val="99"/>
    <w:rsid w:val="00381528"/>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7687E"/>
    <w:rPr>
      <w:color w:val="800080" w:themeColor="followedHyperlink"/>
      <w:u w:val="single"/>
    </w:rPr>
  </w:style>
  <w:style w:type="paragraph" w:styleId="Revision">
    <w:name w:val="Revision"/>
    <w:hidden/>
    <w:uiPriority w:val="99"/>
    <w:semiHidden/>
    <w:rsid w:val="006577B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776">
      <w:bodyDiv w:val="1"/>
      <w:marLeft w:val="0"/>
      <w:marRight w:val="0"/>
      <w:marTop w:val="0"/>
      <w:marBottom w:val="0"/>
      <w:divBdr>
        <w:top w:val="none" w:sz="0" w:space="0" w:color="auto"/>
        <w:left w:val="none" w:sz="0" w:space="0" w:color="auto"/>
        <w:bottom w:val="none" w:sz="0" w:space="0" w:color="auto"/>
        <w:right w:val="none" w:sz="0" w:space="0" w:color="auto"/>
      </w:divBdr>
    </w:div>
    <w:div w:id="33387235">
      <w:bodyDiv w:val="1"/>
      <w:marLeft w:val="0"/>
      <w:marRight w:val="0"/>
      <w:marTop w:val="0"/>
      <w:marBottom w:val="0"/>
      <w:divBdr>
        <w:top w:val="none" w:sz="0" w:space="0" w:color="auto"/>
        <w:left w:val="none" w:sz="0" w:space="0" w:color="auto"/>
        <w:bottom w:val="none" w:sz="0" w:space="0" w:color="auto"/>
        <w:right w:val="none" w:sz="0" w:space="0" w:color="auto"/>
      </w:divBdr>
    </w:div>
    <w:div w:id="58018978">
      <w:bodyDiv w:val="1"/>
      <w:marLeft w:val="0"/>
      <w:marRight w:val="0"/>
      <w:marTop w:val="0"/>
      <w:marBottom w:val="0"/>
      <w:divBdr>
        <w:top w:val="none" w:sz="0" w:space="0" w:color="auto"/>
        <w:left w:val="none" w:sz="0" w:space="0" w:color="auto"/>
        <w:bottom w:val="none" w:sz="0" w:space="0" w:color="auto"/>
        <w:right w:val="none" w:sz="0" w:space="0" w:color="auto"/>
      </w:divBdr>
    </w:div>
    <w:div w:id="376129826">
      <w:bodyDiv w:val="1"/>
      <w:marLeft w:val="0"/>
      <w:marRight w:val="0"/>
      <w:marTop w:val="0"/>
      <w:marBottom w:val="0"/>
      <w:divBdr>
        <w:top w:val="none" w:sz="0" w:space="0" w:color="auto"/>
        <w:left w:val="none" w:sz="0" w:space="0" w:color="auto"/>
        <w:bottom w:val="none" w:sz="0" w:space="0" w:color="auto"/>
        <w:right w:val="none" w:sz="0" w:space="0" w:color="auto"/>
      </w:divBdr>
    </w:div>
    <w:div w:id="532040341">
      <w:bodyDiv w:val="1"/>
      <w:marLeft w:val="0"/>
      <w:marRight w:val="0"/>
      <w:marTop w:val="0"/>
      <w:marBottom w:val="0"/>
      <w:divBdr>
        <w:top w:val="none" w:sz="0" w:space="0" w:color="auto"/>
        <w:left w:val="none" w:sz="0" w:space="0" w:color="auto"/>
        <w:bottom w:val="none" w:sz="0" w:space="0" w:color="auto"/>
        <w:right w:val="none" w:sz="0" w:space="0" w:color="auto"/>
      </w:divBdr>
    </w:div>
    <w:div w:id="611134764">
      <w:bodyDiv w:val="1"/>
      <w:marLeft w:val="0"/>
      <w:marRight w:val="0"/>
      <w:marTop w:val="0"/>
      <w:marBottom w:val="0"/>
      <w:divBdr>
        <w:top w:val="none" w:sz="0" w:space="0" w:color="auto"/>
        <w:left w:val="none" w:sz="0" w:space="0" w:color="auto"/>
        <w:bottom w:val="none" w:sz="0" w:space="0" w:color="auto"/>
        <w:right w:val="none" w:sz="0" w:space="0" w:color="auto"/>
      </w:divBdr>
    </w:div>
    <w:div w:id="714699522">
      <w:bodyDiv w:val="1"/>
      <w:marLeft w:val="0"/>
      <w:marRight w:val="0"/>
      <w:marTop w:val="0"/>
      <w:marBottom w:val="0"/>
      <w:divBdr>
        <w:top w:val="none" w:sz="0" w:space="0" w:color="auto"/>
        <w:left w:val="none" w:sz="0" w:space="0" w:color="auto"/>
        <w:bottom w:val="none" w:sz="0" w:space="0" w:color="auto"/>
        <w:right w:val="none" w:sz="0" w:space="0" w:color="auto"/>
      </w:divBdr>
    </w:div>
    <w:div w:id="718239570">
      <w:bodyDiv w:val="1"/>
      <w:marLeft w:val="0"/>
      <w:marRight w:val="0"/>
      <w:marTop w:val="0"/>
      <w:marBottom w:val="0"/>
      <w:divBdr>
        <w:top w:val="none" w:sz="0" w:space="0" w:color="auto"/>
        <w:left w:val="none" w:sz="0" w:space="0" w:color="auto"/>
        <w:bottom w:val="none" w:sz="0" w:space="0" w:color="auto"/>
        <w:right w:val="none" w:sz="0" w:space="0" w:color="auto"/>
      </w:divBdr>
    </w:div>
    <w:div w:id="809324835">
      <w:bodyDiv w:val="1"/>
      <w:marLeft w:val="0"/>
      <w:marRight w:val="0"/>
      <w:marTop w:val="0"/>
      <w:marBottom w:val="0"/>
      <w:divBdr>
        <w:top w:val="none" w:sz="0" w:space="0" w:color="auto"/>
        <w:left w:val="none" w:sz="0" w:space="0" w:color="auto"/>
        <w:bottom w:val="none" w:sz="0" w:space="0" w:color="auto"/>
        <w:right w:val="none" w:sz="0" w:space="0" w:color="auto"/>
      </w:divBdr>
    </w:div>
    <w:div w:id="896666210">
      <w:bodyDiv w:val="1"/>
      <w:marLeft w:val="0"/>
      <w:marRight w:val="0"/>
      <w:marTop w:val="0"/>
      <w:marBottom w:val="0"/>
      <w:divBdr>
        <w:top w:val="none" w:sz="0" w:space="0" w:color="auto"/>
        <w:left w:val="none" w:sz="0" w:space="0" w:color="auto"/>
        <w:bottom w:val="none" w:sz="0" w:space="0" w:color="auto"/>
        <w:right w:val="none" w:sz="0" w:space="0" w:color="auto"/>
      </w:divBdr>
    </w:div>
    <w:div w:id="1148084948">
      <w:bodyDiv w:val="1"/>
      <w:marLeft w:val="0"/>
      <w:marRight w:val="0"/>
      <w:marTop w:val="0"/>
      <w:marBottom w:val="0"/>
      <w:divBdr>
        <w:top w:val="none" w:sz="0" w:space="0" w:color="auto"/>
        <w:left w:val="none" w:sz="0" w:space="0" w:color="auto"/>
        <w:bottom w:val="none" w:sz="0" w:space="0" w:color="auto"/>
        <w:right w:val="none" w:sz="0" w:space="0" w:color="auto"/>
      </w:divBdr>
    </w:div>
    <w:div w:id="1275988073">
      <w:bodyDiv w:val="1"/>
      <w:marLeft w:val="0"/>
      <w:marRight w:val="0"/>
      <w:marTop w:val="0"/>
      <w:marBottom w:val="0"/>
      <w:divBdr>
        <w:top w:val="none" w:sz="0" w:space="0" w:color="auto"/>
        <w:left w:val="none" w:sz="0" w:space="0" w:color="auto"/>
        <w:bottom w:val="none" w:sz="0" w:space="0" w:color="auto"/>
        <w:right w:val="none" w:sz="0" w:space="0" w:color="auto"/>
      </w:divBdr>
    </w:div>
    <w:div w:id="1509952071">
      <w:bodyDiv w:val="1"/>
      <w:marLeft w:val="0"/>
      <w:marRight w:val="0"/>
      <w:marTop w:val="0"/>
      <w:marBottom w:val="0"/>
      <w:divBdr>
        <w:top w:val="none" w:sz="0" w:space="0" w:color="auto"/>
        <w:left w:val="none" w:sz="0" w:space="0" w:color="auto"/>
        <w:bottom w:val="none" w:sz="0" w:space="0" w:color="auto"/>
        <w:right w:val="none" w:sz="0" w:space="0" w:color="auto"/>
      </w:divBdr>
    </w:div>
    <w:div w:id="1512602319">
      <w:bodyDiv w:val="1"/>
      <w:marLeft w:val="0"/>
      <w:marRight w:val="0"/>
      <w:marTop w:val="0"/>
      <w:marBottom w:val="0"/>
      <w:divBdr>
        <w:top w:val="none" w:sz="0" w:space="0" w:color="auto"/>
        <w:left w:val="none" w:sz="0" w:space="0" w:color="auto"/>
        <w:bottom w:val="none" w:sz="0" w:space="0" w:color="auto"/>
        <w:right w:val="none" w:sz="0" w:space="0" w:color="auto"/>
      </w:divBdr>
    </w:div>
    <w:div w:id="1641839355">
      <w:bodyDiv w:val="1"/>
      <w:marLeft w:val="0"/>
      <w:marRight w:val="0"/>
      <w:marTop w:val="0"/>
      <w:marBottom w:val="0"/>
      <w:divBdr>
        <w:top w:val="none" w:sz="0" w:space="0" w:color="auto"/>
        <w:left w:val="none" w:sz="0" w:space="0" w:color="auto"/>
        <w:bottom w:val="none" w:sz="0" w:space="0" w:color="auto"/>
        <w:right w:val="none" w:sz="0" w:space="0" w:color="auto"/>
      </w:divBdr>
    </w:div>
    <w:div w:id="1706366337">
      <w:bodyDiv w:val="1"/>
      <w:marLeft w:val="0"/>
      <w:marRight w:val="0"/>
      <w:marTop w:val="0"/>
      <w:marBottom w:val="0"/>
      <w:divBdr>
        <w:top w:val="none" w:sz="0" w:space="0" w:color="auto"/>
        <w:left w:val="none" w:sz="0" w:space="0" w:color="auto"/>
        <w:bottom w:val="none" w:sz="0" w:space="0" w:color="auto"/>
        <w:right w:val="none" w:sz="0" w:space="0" w:color="auto"/>
      </w:divBdr>
    </w:div>
    <w:div w:id="1896087910">
      <w:bodyDiv w:val="1"/>
      <w:marLeft w:val="0"/>
      <w:marRight w:val="0"/>
      <w:marTop w:val="0"/>
      <w:marBottom w:val="0"/>
      <w:divBdr>
        <w:top w:val="none" w:sz="0" w:space="0" w:color="auto"/>
        <w:left w:val="none" w:sz="0" w:space="0" w:color="auto"/>
        <w:bottom w:val="none" w:sz="0" w:space="0" w:color="auto"/>
        <w:right w:val="none" w:sz="0" w:space="0" w:color="auto"/>
      </w:divBdr>
    </w:div>
    <w:div w:id="1915431577">
      <w:bodyDiv w:val="1"/>
      <w:marLeft w:val="0"/>
      <w:marRight w:val="0"/>
      <w:marTop w:val="0"/>
      <w:marBottom w:val="0"/>
      <w:divBdr>
        <w:top w:val="none" w:sz="0" w:space="0" w:color="auto"/>
        <w:left w:val="none" w:sz="0" w:space="0" w:color="auto"/>
        <w:bottom w:val="none" w:sz="0" w:space="0" w:color="auto"/>
        <w:right w:val="none" w:sz="0" w:space="0" w:color="auto"/>
      </w:divBdr>
    </w:div>
    <w:div w:id="21394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dbdocs.iadb.org/wsdocs/getDocument.aspx?DOCNUM=39178878"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dbdocs.iadb.org/wsdocs/getDocument.aspx?DOCNUM=39033202" TargetMode="External"/><Relationship Id="rId17" Type="http://schemas.openxmlformats.org/officeDocument/2006/relationships/footer" Target="footer2.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idbdocs.iadb.org/wsdocs/getDocument.aspx?DOCNUM=3905589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customXml" Target="../customXml/item6.xml"/><Relationship Id="rId5" Type="http://schemas.microsoft.com/office/2007/relationships/stylesWithEffects" Target="stylesWithEffects.xml"/><Relationship Id="rId15" Type="http://schemas.openxmlformats.org/officeDocument/2006/relationships/hyperlink" Target="http://idbdocs.iadb.org/wsdocs/getDocument.aspx?DOCNUM=39055895" TargetMode="External"/><Relationship Id="rId23"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idbdocs.iadb.org/wsdocs/getDocument.aspx?DOCNUM=39178878"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6FE16D416C3B6A4E9C81DBBDD68B5003" ma:contentTypeVersion="0" ma:contentTypeDescription="A content type to manage public (operations) IDB documents" ma:contentTypeScope="" ma:versionID="20884c2ba6571894acba289b7869ca60">
  <xsd:schema xmlns:xsd="http://www.w3.org/2001/XMLSchema" xmlns:xs="http://www.w3.org/2001/XMLSchema" xmlns:p="http://schemas.microsoft.com/office/2006/metadata/properties" xmlns:ns2="9c571b2f-e523-4ab2-ba2e-09e151a03ef4" targetNamespace="http://schemas.microsoft.com/office/2006/metadata/properties" ma:root="true" ma:fieldsID="bafd4bc984cf5f6aea22685423225c07"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4445462-ea74-4a65-b2dc-4d24fbe905cc}" ma:internalName="TaxCatchAll" ma:showField="CatchAllData" ma:web="bf40e83c-993a-41d3-8d89-aa2461e367f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4445462-ea74-4a65-b2dc-4d24fbe905cc}" ma:internalName="TaxCatchAllLabel" ma:readOnly="true" ma:showField="CatchAllDataLabel" ma:web="bf40e83c-993a-41d3-8d89-aa2461e367f9">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cf0be0ad-272c-4e7f-a157-3f0abda6cde5" ContentTypeId="0x01010046CF21643EE8D14686A648AA6DAD0892" PreviousValue="false"/>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INE/ENE</Division_x0020_or_x0020_Unit>
    <Other_x0020_Author xmlns="9c571b2f-e523-4ab2-ba2e-09e151a03ef4" xsi:nil="true"/>
    <Region xmlns="9c571b2f-e523-4ab2-ba2e-09e151a03ef4" xsi:nil="true"/>
    <IDBDocs_x0020_Number xmlns="9c571b2f-e523-4ab2-ba2e-09e151a03ef4">39048743</IDBDocs_x0020_Number>
    <Document_x0020_Author xmlns="9c571b2f-e523-4ab2-ba2e-09e151a03ef4">CUCADEXCH-BIND</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SU-L1039</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EN-ENG</Webtopic>
    <Identifier xmlns="9c571b2f-e523-4ab2-ba2e-09e151a03ef4"> </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B1C77E6E-1DE2-4856-A85E-3258B26ED992}"/>
</file>

<file path=customXml/itemProps2.xml><?xml version="1.0" encoding="utf-8"?>
<ds:datastoreItem xmlns:ds="http://schemas.openxmlformats.org/officeDocument/2006/customXml" ds:itemID="{C1978915-1967-441D-B408-6AFF2BB3CDBE}"/>
</file>

<file path=customXml/itemProps3.xml><?xml version="1.0" encoding="utf-8"?>
<ds:datastoreItem xmlns:ds="http://schemas.openxmlformats.org/officeDocument/2006/customXml" ds:itemID="{8D3F7574-E306-4922-AAC9-BE916A02770C}"/>
</file>

<file path=customXml/itemProps4.xml><?xml version="1.0" encoding="utf-8"?>
<ds:datastoreItem xmlns:ds="http://schemas.openxmlformats.org/officeDocument/2006/customXml" ds:itemID="{5FE99B38-6D11-4E5D-AC49-233F99CC1797}"/>
</file>

<file path=customXml/itemProps5.xml><?xml version="1.0" encoding="utf-8"?>
<ds:datastoreItem xmlns:ds="http://schemas.openxmlformats.org/officeDocument/2006/customXml" ds:itemID="{3B98E345-6B74-48F5-B645-690B3D838B2E}"/>
</file>

<file path=customXml/itemProps6.xml><?xml version="1.0" encoding="utf-8"?>
<ds:datastoreItem xmlns:ds="http://schemas.openxmlformats.org/officeDocument/2006/customXml" ds:itemID="{4D0C01E4-59D5-42D9-8C0A-A6146C3A4173}"/>
</file>

<file path=customXml/itemProps7.xml><?xml version="1.0" encoding="utf-8"?>
<ds:datastoreItem xmlns:ds="http://schemas.openxmlformats.org/officeDocument/2006/customXml" ds:itemID="{6FFE56C7-429D-4B67-A626-6F78715788D2}"/>
</file>

<file path=docProps/app.xml><?xml version="1.0" encoding="utf-8"?>
<Properties xmlns="http://schemas.openxmlformats.org/officeDocument/2006/extended-properties" xmlns:vt="http://schemas.openxmlformats.org/officeDocument/2006/docPropsVTypes">
  <Template>Normal.dotm</Template>
  <TotalTime>4</TotalTime>
  <Pages>15</Pages>
  <Words>4534</Words>
  <Characters>25847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Management Report (ESMR) (DLP Version)</dc:title>
  <dc:creator>robertole</dc:creator>
  <cp:lastModifiedBy>Carlos Echeverria</cp:lastModifiedBy>
  <cp:revision>3</cp:revision>
  <cp:lastPrinted>2014-10-17T09:56:00Z</cp:lastPrinted>
  <dcterms:created xsi:type="dcterms:W3CDTF">2014-11-24T15:23:00Z</dcterms:created>
  <dcterms:modified xsi:type="dcterms:W3CDTF">2014-11-24T15:33:00Z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0x01010046CF21643EE8D14686A648AA6DAD0892006FE16D416C3B6A4E9C81DBBDD68B5003</vt:lpwstr>
  </property>
  <property fmtid="{D5CDD505-2E9C-101B-9397-08002B2CF9AE}" pid="5" name="TaxKeywordTaxHTField">
    <vt:lpwstr/>
  </property>
  <property fmtid="{D5CDD505-2E9C-101B-9397-08002B2CF9AE}" pid="6" name="Series Operations IDB">
    <vt:lpwstr>5;#Unclassified|a6dff32e-d477-44cd-a56b-85efe9e0a56c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6;#IDBDocs|cca77002-e150-4b2d-ab1f-1d7a7cdcae16</vt:lpwstr>
  </property>
</Properties>
</file>