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240" w:rsidRPr="00D02240" w:rsidRDefault="00D02240" w:rsidP="00FA2C9A">
      <w:pPr>
        <w:keepNext/>
        <w:keepLines/>
        <w:widowControl w:val="0"/>
        <w:tabs>
          <w:tab w:val="left" w:pos="1260"/>
        </w:tabs>
        <w:jc w:val="both"/>
        <w:rPr>
          <w:spacing w:val="-3"/>
          <w:sz w:val="20"/>
        </w:rPr>
      </w:pPr>
      <w:bookmarkStart w:id="0" w:name="_GoBack"/>
      <w:bookmarkEnd w:id="0"/>
    </w:p>
    <w:p w:rsidR="00FA2C9A" w:rsidRPr="00E16F67" w:rsidRDefault="00FA2C9A" w:rsidP="00FA2C9A">
      <w:pPr>
        <w:jc w:val="center"/>
      </w:pPr>
      <w:r w:rsidRPr="00E16F67">
        <w:t xml:space="preserve"> Banco Interamericano de Desarrollo</w:t>
      </w:r>
    </w:p>
    <w:p w:rsidR="00FA2C9A" w:rsidRPr="00046570" w:rsidRDefault="00FA2C9A" w:rsidP="00FA2C9A">
      <w:pPr>
        <w:pStyle w:val="ListParagraph"/>
      </w:pPr>
    </w:p>
    <w:p w:rsidR="00FA2C9A" w:rsidRPr="00046570" w:rsidRDefault="00FA2C9A" w:rsidP="00FA2C9A"/>
    <w:p w:rsidR="00FA2C9A" w:rsidRPr="00046570" w:rsidRDefault="00FA2C9A" w:rsidP="00FA2C9A"/>
    <w:p w:rsidR="00FA2C9A" w:rsidRPr="008D24C9" w:rsidRDefault="00566DE1" w:rsidP="00FA2C9A">
      <w:pPr>
        <w:jc w:val="center"/>
      </w:pPr>
      <w:r>
        <w:t>PARAGUAY</w:t>
      </w:r>
    </w:p>
    <w:p w:rsidR="00FA2C9A" w:rsidRPr="008D24C9" w:rsidRDefault="00FA2C9A" w:rsidP="00FA2C9A">
      <w:pPr>
        <w:jc w:val="center"/>
      </w:pPr>
    </w:p>
    <w:p w:rsidR="00566DE1" w:rsidRDefault="00566DE1" w:rsidP="00566DE1">
      <w:pPr>
        <w:jc w:val="center"/>
        <w:rPr>
          <w:lang w:val="es-SV"/>
        </w:rPr>
      </w:pPr>
      <w:r w:rsidRPr="00566DE1">
        <w:rPr>
          <w:lang w:val="es-SV"/>
        </w:rPr>
        <w:t xml:space="preserve">PROGRAMA </w:t>
      </w:r>
      <w:r>
        <w:rPr>
          <w:lang w:val="es-SV"/>
        </w:rPr>
        <w:t xml:space="preserve">DE MEJORA </w:t>
      </w:r>
      <w:r w:rsidRPr="00566DE1">
        <w:rPr>
          <w:lang w:val="es-SV"/>
        </w:rPr>
        <w:t>DE CAMINOS VECINALES</w:t>
      </w:r>
    </w:p>
    <w:p w:rsidR="00566DE1" w:rsidRPr="008D24C9" w:rsidRDefault="00566DE1" w:rsidP="00566DE1">
      <w:pPr>
        <w:jc w:val="center"/>
        <w:rPr>
          <w:lang w:val="es-SV"/>
        </w:rPr>
      </w:pPr>
      <w:r w:rsidRPr="00566DE1">
        <w:rPr>
          <w:lang w:val="es-SV"/>
        </w:rPr>
        <w:t>(PR-L1084)</w:t>
      </w:r>
    </w:p>
    <w:p w:rsidR="00FA2C9A" w:rsidRPr="00046570" w:rsidRDefault="00FA2C9A" w:rsidP="00FA2C9A">
      <w:pPr>
        <w:jc w:val="center"/>
      </w:pPr>
    </w:p>
    <w:p w:rsidR="0026592D" w:rsidRDefault="00B8033A" w:rsidP="00566DE1">
      <w:pPr>
        <w:jc w:val="center"/>
        <w:rPr>
          <w:lang w:val="es-ES"/>
        </w:rPr>
      </w:pPr>
      <w:r>
        <w:t>E</w:t>
      </w:r>
      <w:r w:rsidR="00566DE1">
        <w:t xml:space="preserve">valuación del </w:t>
      </w:r>
      <w:r>
        <w:t>D</w:t>
      </w:r>
      <w:r w:rsidR="00566DE1">
        <w:t xml:space="preserve">esempeño </w:t>
      </w:r>
      <w:r w:rsidR="0026592D" w:rsidRPr="0026592D">
        <w:rPr>
          <w:lang w:val="es-ES"/>
        </w:rPr>
        <w:t>del Plan de Gestión de Mantenimiento</w:t>
      </w:r>
    </w:p>
    <w:p w:rsidR="00FA2C9A" w:rsidRPr="00AB1224" w:rsidRDefault="00566DE1" w:rsidP="00566DE1">
      <w:pPr>
        <w:jc w:val="center"/>
        <w:rPr>
          <w:lang w:val="pt-BR"/>
        </w:rPr>
      </w:pPr>
      <w:r w:rsidRPr="00AB1224">
        <w:rPr>
          <w:lang w:val="pt-BR"/>
        </w:rPr>
        <w:t xml:space="preserve">Programa Nacional de </w:t>
      </w:r>
      <w:r w:rsidRPr="007530BB">
        <w:rPr>
          <w:lang w:val="pt-BR"/>
        </w:rPr>
        <w:t>Caminos</w:t>
      </w:r>
      <w:r w:rsidRPr="00AB1224">
        <w:rPr>
          <w:lang w:val="pt-BR"/>
        </w:rPr>
        <w:t xml:space="preserve"> </w:t>
      </w:r>
      <w:r w:rsidRPr="007530BB">
        <w:rPr>
          <w:lang w:val="pt-BR"/>
        </w:rPr>
        <w:t>Rurales</w:t>
      </w:r>
      <w:r w:rsidRPr="00AB1224">
        <w:rPr>
          <w:lang w:val="pt-BR"/>
        </w:rPr>
        <w:t xml:space="preserve"> Fase II</w:t>
      </w:r>
    </w:p>
    <w:p w:rsidR="00FA2C9A" w:rsidRPr="00AB1224" w:rsidRDefault="00B8033A" w:rsidP="00FA2C9A">
      <w:pPr>
        <w:jc w:val="center"/>
        <w:rPr>
          <w:lang w:val="pt-BR"/>
        </w:rPr>
      </w:pPr>
      <w:r w:rsidRPr="00AB1224">
        <w:rPr>
          <w:lang w:val="pt-BR"/>
        </w:rPr>
        <w:t>Agosto</w:t>
      </w:r>
      <w:r w:rsidR="00FA2C9A" w:rsidRPr="00AB1224">
        <w:rPr>
          <w:lang w:val="pt-BR"/>
        </w:rPr>
        <w:t xml:space="preserve"> de 201</w:t>
      </w:r>
      <w:r w:rsidR="009F23C4" w:rsidRPr="00AB1224">
        <w:rPr>
          <w:lang w:val="pt-BR"/>
        </w:rPr>
        <w:t>4</w:t>
      </w:r>
    </w:p>
    <w:p w:rsidR="00FA2C9A" w:rsidRPr="00AB1224" w:rsidRDefault="00FA2C9A" w:rsidP="00FA2C9A">
      <w:pPr>
        <w:pStyle w:val="ListParagraph"/>
        <w:rPr>
          <w:lang w:val="pt-BR"/>
        </w:rPr>
      </w:pPr>
    </w:p>
    <w:p w:rsidR="00FA2C9A" w:rsidRPr="00AB1224" w:rsidRDefault="00FA2C9A" w:rsidP="00FA2C9A">
      <w:pPr>
        <w:pStyle w:val="ListParagraph"/>
        <w:rPr>
          <w:lang w:val="pt-BR"/>
        </w:rPr>
      </w:pPr>
    </w:p>
    <w:p w:rsidR="00FA2C9A" w:rsidRPr="00AB1224" w:rsidRDefault="00FA2C9A" w:rsidP="00FA2C9A">
      <w:pPr>
        <w:pStyle w:val="ListParagraph"/>
        <w:rPr>
          <w:lang w:val="pt-BR"/>
        </w:rPr>
      </w:pPr>
    </w:p>
    <w:p w:rsidR="00FA2C9A" w:rsidRPr="00AB1224" w:rsidRDefault="00B8033A" w:rsidP="00FA2C9A">
      <w:pPr>
        <w:pStyle w:val="BodyText"/>
        <w:pBdr>
          <w:top w:val="single" w:sz="4" w:space="1" w:color="auto"/>
          <w:left w:val="single" w:sz="4" w:space="4" w:color="auto"/>
          <w:bottom w:val="single" w:sz="4" w:space="1" w:color="auto"/>
          <w:right w:val="single" w:sz="4" w:space="4" w:color="auto"/>
        </w:pBdr>
        <w:jc w:val="both"/>
        <w:rPr>
          <w:lang w:val="pt-BR"/>
        </w:rPr>
      </w:pPr>
      <w:r w:rsidRPr="00AB1224">
        <w:rPr>
          <w:lang w:val="pt-BR"/>
        </w:rPr>
        <w:t xml:space="preserve">Este documento </w:t>
      </w:r>
      <w:r w:rsidRPr="00EA22C1">
        <w:rPr>
          <w:lang w:val="pt-BR"/>
        </w:rPr>
        <w:t>fue</w:t>
      </w:r>
      <w:r w:rsidRPr="00AB1224">
        <w:rPr>
          <w:lang w:val="pt-BR"/>
        </w:rPr>
        <w:t xml:space="preserve"> preparado por </w:t>
      </w:r>
      <w:r w:rsidRPr="00EA22C1">
        <w:rPr>
          <w:lang w:val="pt-BR"/>
        </w:rPr>
        <w:t>el</w:t>
      </w:r>
      <w:r w:rsidRPr="00AB1224">
        <w:rPr>
          <w:lang w:val="pt-BR"/>
        </w:rPr>
        <w:t xml:space="preserve"> equipo </w:t>
      </w:r>
      <w:r w:rsidRPr="00EA22C1">
        <w:rPr>
          <w:lang w:val="pt-BR"/>
        </w:rPr>
        <w:t>compuesto</w:t>
      </w:r>
      <w:r w:rsidRPr="00AB1224">
        <w:rPr>
          <w:lang w:val="pt-BR"/>
        </w:rPr>
        <w:t xml:space="preserve"> por: Vera Vicentini, </w:t>
      </w:r>
      <w:r w:rsidRPr="00EA22C1">
        <w:rPr>
          <w:lang w:val="pt-BR"/>
        </w:rPr>
        <w:t>Jefe</w:t>
      </w:r>
      <w:r w:rsidRPr="00AB1224">
        <w:rPr>
          <w:lang w:val="pt-BR"/>
        </w:rPr>
        <w:t xml:space="preserve"> de Equipo (TSP/CAR); Miroslava Nevo, Rafael Acevedo-Daunas, Maria Romero Pons y Virginia Navas Garay (INE/TSP); Andrés Pereyra da Luz (TSP/CUR); Shakira del Carmen Cossens Gonzalez (SPD/SDV); Juan Carlos Paez Zamora (VPS/ESG); Lauren Beth Murphy (CSC/CPR); Rodolfo Graham (LEG/SGO); Mariano Perales (FMP/CPR); Alberto De Egea (FMP/CPR); Shirley Cañete y Santiago Fretes (CSC/CPR)</w:t>
      </w:r>
      <w:r w:rsidR="00FA2C9A" w:rsidRPr="00AB1224">
        <w:rPr>
          <w:lang w:val="pt-BR"/>
        </w:rPr>
        <w:t>;</w:t>
      </w:r>
      <w:r w:rsidR="00FA2C9A" w:rsidRPr="00AB1224">
        <w:rPr>
          <w:szCs w:val="24"/>
          <w:lang w:val="pt-BR"/>
        </w:rPr>
        <w:t xml:space="preserve"> </w:t>
      </w:r>
      <w:r w:rsidR="00FA2C9A" w:rsidRPr="00AB1224">
        <w:rPr>
          <w:lang w:val="pt-BR"/>
        </w:rPr>
        <w:t xml:space="preserve"> Alcides Moreno</w:t>
      </w:r>
      <w:r w:rsidR="00F35E96" w:rsidRPr="00AB1224">
        <w:rPr>
          <w:lang w:val="pt-BR"/>
        </w:rPr>
        <w:t xml:space="preserve"> (</w:t>
      </w:r>
      <w:r w:rsidR="00FA2C9A" w:rsidRPr="00AB1224">
        <w:rPr>
          <w:lang w:val="pt-BR"/>
        </w:rPr>
        <w:t>consultor</w:t>
      </w:r>
      <w:r w:rsidR="00F35E96" w:rsidRPr="00AB1224">
        <w:rPr>
          <w:lang w:val="pt-BR"/>
        </w:rPr>
        <w:t>)</w:t>
      </w:r>
      <w:r w:rsidR="00FA2C9A" w:rsidRPr="00AB1224">
        <w:rPr>
          <w:lang w:val="pt-BR"/>
        </w:rPr>
        <w:t>.</w:t>
      </w:r>
    </w:p>
    <w:p w:rsidR="00FA2C9A" w:rsidRPr="00AB1224" w:rsidRDefault="00FA2C9A" w:rsidP="00FA2C9A">
      <w:pPr>
        <w:rPr>
          <w:lang w:val="pt-BR"/>
        </w:rPr>
      </w:pPr>
    </w:p>
    <w:p w:rsidR="00FA2C9A" w:rsidRPr="00AB1224" w:rsidRDefault="00FA2C9A" w:rsidP="00FA2C9A">
      <w:pPr>
        <w:rPr>
          <w:lang w:val="pt-BR"/>
        </w:rPr>
        <w:sectPr w:rsidR="00FA2C9A" w:rsidRPr="00AB1224" w:rsidSect="00F13526">
          <w:footerReference w:type="default" r:id="rId9"/>
          <w:footerReference w:type="first" r:id="rId10"/>
          <w:pgSz w:w="11907" w:h="16839" w:code="9"/>
          <w:pgMar w:top="1440" w:right="1800" w:bottom="1440" w:left="1800" w:header="720" w:footer="432" w:gutter="0"/>
          <w:cols w:space="720"/>
          <w:vAlign w:val="both"/>
          <w:docGrid w:linePitch="360"/>
        </w:sectPr>
      </w:pPr>
    </w:p>
    <w:p w:rsidR="00FA2C9A" w:rsidRPr="00AB1224" w:rsidRDefault="00FA2C9A" w:rsidP="00FA2C9A">
      <w:pPr>
        <w:pStyle w:val="Newpage"/>
        <w:rPr>
          <w:sz w:val="28"/>
          <w:szCs w:val="28"/>
          <w:lang w:val="pt-BR"/>
        </w:rPr>
      </w:pPr>
    </w:p>
    <w:p w:rsidR="00FA2C9A" w:rsidRPr="00EA2F19" w:rsidRDefault="00FA2C9A" w:rsidP="00FA2C9A">
      <w:pPr>
        <w:pStyle w:val="Newpage"/>
        <w:rPr>
          <w:szCs w:val="24"/>
          <w:lang w:val="es-ES_tradnl"/>
        </w:rPr>
      </w:pPr>
      <w:r w:rsidRPr="00EA2F19">
        <w:rPr>
          <w:szCs w:val="24"/>
          <w:lang w:val="es-ES_tradnl"/>
        </w:rPr>
        <w:t>Siglas y Abreviaturas</w:t>
      </w:r>
    </w:p>
    <w:p w:rsidR="00FA2C9A" w:rsidRPr="00EA2F19" w:rsidRDefault="00FA2C9A" w:rsidP="00FA2C9A">
      <w:pPr>
        <w:tabs>
          <w:tab w:val="left" w:pos="3060"/>
        </w:tabs>
        <w:jc w:val="both"/>
        <w:rPr>
          <w:b/>
          <w:szCs w:val="24"/>
        </w:rPr>
      </w:pPr>
    </w:p>
    <w:tbl>
      <w:tblPr>
        <w:tblW w:w="8578" w:type="dxa"/>
        <w:tblInd w:w="392" w:type="dxa"/>
        <w:tblLayout w:type="fixed"/>
        <w:tblLook w:val="0000" w:firstRow="0" w:lastRow="0" w:firstColumn="0" w:lastColumn="0" w:noHBand="0" w:noVBand="0"/>
      </w:tblPr>
      <w:tblGrid>
        <w:gridCol w:w="1559"/>
        <w:gridCol w:w="7019"/>
      </w:tblGrid>
      <w:tr w:rsidR="00FA2C9A" w:rsidRPr="00EA2F19" w:rsidTr="000701AD">
        <w:trPr>
          <w:cantSplit/>
          <w:trHeight w:val="20"/>
        </w:trPr>
        <w:tc>
          <w:tcPr>
            <w:tcW w:w="1559" w:type="dxa"/>
            <w:vAlign w:val="center"/>
          </w:tcPr>
          <w:p w:rsidR="00FA2C9A" w:rsidRPr="00EA2F19" w:rsidRDefault="00FA2C9A" w:rsidP="000701AD">
            <w:pPr>
              <w:keepNext/>
              <w:widowControl w:val="0"/>
              <w:spacing w:before="40" w:after="40"/>
              <w:ind w:left="40"/>
              <w:rPr>
                <w:szCs w:val="24"/>
                <w:lang w:val="es-ES"/>
              </w:rPr>
            </w:pPr>
            <w:r w:rsidRPr="00EA2F19">
              <w:rPr>
                <w:szCs w:val="24"/>
                <w:lang w:val="es-ES"/>
              </w:rPr>
              <w:t>BID</w:t>
            </w:r>
          </w:p>
        </w:tc>
        <w:tc>
          <w:tcPr>
            <w:tcW w:w="7019" w:type="dxa"/>
            <w:vAlign w:val="center"/>
          </w:tcPr>
          <w:p w:rsidR="00FA2C9A" w:rsidRPr="00EA2F19" w:rsidRDefault="00FA2C9A" w:rsidP="000701AD">
            <w:pPr>
              <w:keepNext/>
              <w:widowControl w:val="0"/>
              <w:spacing w:before="40" w:after="40"/>
              <w:ind w:left="34" w:hanging="34"/>
              <w:rPr>
                <w:szCs w:val="24"/>
                <w:lang w:val="es-ES"/>
              </w:rPr>
            </w:pPr>
            <w:r w:rsidRPr="00EA2F19">
              <w:rPr>
                <w:szCs w:val="24"/>
                <w:lang w:val="es-ES"/>
              </w:rPr>
              <w:t>Banco Interamericano de Desarrollo</w:t>
            </w:r>
            <w:r w:rsidR="00CB3665">
              <w:rPr>
                <w:szCs w:val="24"/>
                <w:lang w:val="es-ES"/>
              </w:rPr>
              <w:t xml:space="preserve"> (Banco)</w:t>
            </w:r>
          </w:p>
        </w:tc>
      </w:tr>
      <w:tr w:rsidR="00FA2C9A" w:rsidRPr="0094020D" w:rsidTr="000701AD">
        <w:trPr>
          <w:cantSplit/>
          <w:trHeight w:val="20"/>
        </w:trPr>
        <w:tc>
          <w:tcPr>
            <w:tcW w:w="1559" w:type="dxa"/>
            <w:vAlign w:val="center"/>
          </w:tcPr>
          <w:p w:rsidR="00FA2C9A" w:rsidRPr="0037767A" w:rsidRDefault="00B8033A" w:rsidP="000701AD">
            <w:pPr>
              <w:keepNext/>
              <w:widowControl w:val="0"/>
              <w:spacing w:before="40" w:after="40"/>
              <w:ind w:left="40"/>
              <w:rPr>
                <w:szCs w:val="24"/>
                <w:lang w:val="es-ES"/>
              </w:rPr>
            </w:pPr>
            <w:r>
              <w:rPr>
                <w:szCs w:val="24"/>
                <w:lang w:val="es-ES"/>
              </w:rPr>
              <w:t>MOPC</w:t>
            </w:r>
          </w:p>
        </w:tc>
        <w:tc>
          <w:tcPr>
            <w:tcW w:w="7019" w:type="dxa"/>
            <w:vAlign w:val="center"/>
          </w:tcPr>
          <w:p w:rsidR="00FA2C9A" w:rsidRPr="00FE319E" w:rsidRDefault="00FA2C9A" w:rsidP="000701AD">
            <w:pPr>
              <w:keepNext/>
              <w:widowControl w:val="0"/>
              <w:spacing w:before="40" w:after="40"/>
              <w:ind w:left="34" w:hanging="34"/>
              <w:rPr>
                <w:szCs w:val="24"/>
                <w:lang w:val="pt-BR"/>
              </w:rPr>
            </w:pPr>
            <w:r w:rsidRPr="001B0603">
              <w:rPr>
                <w:szCs w:val="24"/>
                <w:lang w:val="es-NI"/>
              </w:rPr>
              <w:t>Ministerio</w:t>
            </w:r>
            <w:r w:rsidRPr="00FE319E">
              <w:rPr>
                <w:szCs w:val="24"/>
                <w:lang w:val="pt-BR"/>
              </w:rPr>
              <w:t xml:space="preserve"> de Transporte e </w:t>
            </w:r>
            <w:r w:rsidRPr="001B0603">
              <w:rPr>
                <w:szCs w:val="24"/>
                <w:lang w:val="es-NI"/>
              </w:rPr>
              <w:t>Infraestructura</w:t>
            </w:r>
            <w:r w:rsidRPr="00FE319E">
              <w:rPr>
                <w:szCs w:val="24"/>
                <w:lang w:val="pt-BR"/>
              </w:rPr>
              <w:t xml:space="preserve"> - </w:t>
            </w:r>
            <w:r w:rsidRPr="001B0603">
              <w:rPr>
                <w:szCs w:val="24"/>
                <w:lang w:val="es-NI"/>
              </w:rPr>
              <w:t>Nicaragua</w:t>
            </w:r>
          </w:p>
        </w:tc>
      </w:tr>
      <w:tr w:rsidR="00F35E96" w:rsidRPr="00EA2F19" w:rsidTr="000701AD">
        <w:trPr>
          <w:cantSplit/>
          <w:trHeight w:val="20"/>
        </w:trPr>
        <w:tc>
          <w:tcPr>
            <w:tcW w:w="1559" w:type="dxa"/>
            <w:vAlign w:val="center"/>
          </w:tcPr>
          <w:p w:rsidR="00F35E96" w:rsidRPr="0037767A" w:rsidRDefault="00F35E96" w:rsidP="00AA2FA7">
            <w:pPr>
              <w:keepNext/>
              <w:widowControl w:val="0"/>
              <w:spacing w:before="40" w:after="40"/>
              <w:ind w:left="40"/>
              <w:rPr>
                <w:szCs w:val="24"/>
                <w:lang w:val="es-ES"/>
              </w:rPr>
            </w:pPr>
            <w:r>
              <w:rPr>
                <w:szCs w:val="24"/>
                <w:lang w:val="es-ES"/>
              </w:rPr>
              <w:t>OE</w:t>
            </w:r>
          </w:p>
        </w:tc>
        <w:tc>
          <w:tcPr>
            <w:tcW w:w="7019" w:type="dxa"/>
            <w:vAlign w:val="center"/>
          </w:tcPr>
          <w:p w:rsidR="00F35E96" w:rsidRPr="0037767A" w:rsidRDefault="00F35E96" w:rsidP="00AA2FA7">
            <w:pPr>
              <w:keepNext/>
              <w:widowControl w:val="0"/>
              <w:spacing w:before="40" w:after="40"/>
              <w:ind w:left="34" w:hanging="34"/>
              <w:rPr>
                <w:szCs w:val="24"/>
                <w:lang w:val="es-ES"/>
              </w:rPr>
            </w:pPr>
            <w:r>
              <w:rPr>
                <w:szCs w:val="24"/>
                <w:lang w:val="es-ES"/>
              </w:rPr>
              <w:t>Organismo Ejecutor</w:t>
            </w:r>
          </w:p>
        </w:tc>
      </w:tr>
      <w:tr w:rsidR="00FA2C9A" w:rsidRPr="00EA2F19" w:rsidTr="000701AD">
        <w:trPr>
          <w:cantSplit/>
          <w:trHeight w:val="20"/>
        </w:trPr>
        <w:tc>
          <w:tcPr>
            <w:tcW w:w="1559" w:type="dxa"/>
            <w:vAlign w:val="center"/>
          </w:tcPr>
          <w:p w:rsidR="00FA2C9A" w:rsidRPr="00CE2A69" w:rsidRDefault="00F35E96" w:rsidP="000701AD">
            <w:pPr>
              <w:keepNext/>
              <w:widowControl w:val="0"/>
              <w:spacing w:before="40" w:after="40"/>
              <w:ind w:left="40"/>
              <w:rPr>
                <w:szCs w:val="24"/>
                <w:lang w:val="es-ES"/>
              </w:rPr>
            </w:pPr>
            <w:bookmarkStart w:id="1" w:name="ESSectionPages0"/>
            <w:bookmarkStart w:id="2" w:name="ESSectionPages"/>
            <w:bookmarkStart w:id="3" w:name="_Toc190151125"/>
            <w:bookmarkStart w:id="4" w:name="_Toc203361946"/>
            <w:bookmarkStart w:id="5" w:name="_Toc203380412"/>
            <w:bookmarkStart w:id="6" w:name="_Toc203380789"/>
            <w:bookmarkStart w:id="7" w:name="_Toc205005140"/>
            <w:bookmarkEnd w:id="1"/>
            <w:bookmarkEnd w:id="2"/>
            <w:r>
              <w:rPr>
                <w:szCs w:val="24"/>
                <w:lang w:val="es-ES"/>
              </w:rPr>
              <w:t>DCV</w:t>
            </w:r>
          </w:p>
        </w:tc>
        <w:tc>
          <w:tcPr>
            <w:tcW w:w="7019" w:type="dxa"/>
            <w:vAlign w:val="center"/>
          </w:tcPr>
          <w:p w:rsidR="00FA2C9A" w:rsidRPr="00CE2A69" w:rsidRDefault="00F35E96" w:rsidP="001B0603">
            <w:pPr>
              <w:keepNext/>
              <w:widowControl w:val="0"/>
              <w:spacing w:before="40" w:after="40"/>
              <w:ind w:left="34" w:hanging="34"/>
              <w:rPr>
                <w:szCs w:val="24"/>
                <w:lang w:val="es-ES"/>
              </w:rPr>
            </w:pPr>
            <w:r>
              <w:rPr>
                <w:szCs w:val="24"/>
                <w:lang w:val="es-ES"/>
              </w:rPr>
              <w:t>Dirección de Caminos Vecinales</w:t>
            </w:r>
          </w:p>
        </w:tc>
      </w:tr>
      <w:tr w:rsidR="00FA2C9A" w:rsidRPr="00EA2F19" w:rsidTr="000701AD">
        <w:trPr>
          <w:cantSplit/>
          <w:trHeight w:val="20"/>
        </w:trPr>
        <w:tc>
          <w:tcPr>
            <w:tcW w:w="1559" w:type="dxa"/>
            <w:vAlign w:val="center"/>
          </w:tcPr>
          <w:p w:rsidR="00FA2C9A" w:rsidRPr="0037767A" w:rsidRDefault="00144921" w:rsidP="000701AD">
            <w:pPr>
              <w:keepNext/>
              <w:widowControl w:val="0"/>
              <w:spacing w:before="40" w:after="40"/>
              <w:ind w:left="40"/>
              <w:rPr>
                <w:szCs w:val="24"/>
                <w:lang w:val="es-ES"/>
              </w:rPr>
            </w:pPr>
            <w:r>
              <w:rPr>
                <w:szCs w:val="24"/>
                <w:lang w:val="es-ES"/>
              </w:rPr>
              <w:t>PNCR</w:t>
            </w:r>
          </w:p>
        </w:tc>
        <w:tc>
          <w:tcPr>
            <w:tcW w:w="7019" w:type="dxa"/>
            <w:vAlign w:val="center"/>
          </w:tcPr>
          <w:p w:rsidR="00FA2C9A" w:rsidRPr="0037767A" w:rsidRDefault="00144921" w:rsidP="000701AD">
            <w:pPr>
              <w:keepNext/>
              <w:widowControl w:val="0"/>
              <w:spacing w:before="40" w:after="40"/>
              <w:ind w:left="34" w:hanging="34"/>
              <w:rPr>
                <w:szCs w:val="24"/>
                <w:lang w:val="es-ES"/>
              </w:rPr>
            </w:pPr>
            <w:r>
              <w:rPr>
                <w:szCs w:val="24"/>
                <w:lang w:val="es-ES"/>
              </w:rPr>
              <w:t>Programa Nacional de Caminos Rurales</w:t>
            </w:r>
          </w:p>
        </w:tc>
      </w:tr>
      <w:tr w:rsidR="00157CF8" w:rsidRPr="00EA2F19" w:rsidTr="000701AD">
        <w:trPr>
          <w:cantSplit/>
          <w:trHeight w:val="20"/>
        </w:trPr>
        <w:tc>
          <w:tcPr>
            <w:tcW w:w="1559" w:type="dxa"/>
            <w:vAlign w:val="center"/>
          </w:tcPr>
          <w:p w:rsidR="00157CF8" w:rsidRDefault="00CC4E5C" w:rsidP="000701AD">
            <w:pPr>
              <w:keepNext/>
              <w:widowControl w:val="0"/>
              <w:spacing w:before="40" w:after="40"/>
              <w:ind w:left="40"/>
              <w:rPr>
                <w:szCs w:val="24"/>
                <w:lang w:val="es-ES"/>
              </w:rPr>
            </w:pPr>
            <w:r>
              <w:rPr>
                <w:szCs w:val="24"/>
                <w:lang w:val="es-ES"/>
              </w:rPr>
              <w:t>PNCV</w:t>
            </w:r>
          </w:p>
        </w:tc>
        <w:tc>
          <w:tcPr>
            <w:tcW w:w="7019" w:type="dxa"/>
            <w:vAlign w:val="center"/>
          </w:tcPr>
          <w:p w:rsidR="00157CF8" w:rsidRDefault="00CC4E5C" w:rsidP="000701AD">
            <w:pPr>
              <w:keepNext/>
              <w:widowControl w:val="0"/>
              <w:spacing w:before="40" w:after="40"/>
              <w:ind w:left="34" w:hanging="34"/>
              <w:rPr>
                <w:szCs w:val="24"/>
                <w:lang w:val="es-ES"/>
              </w:rPr>
            </w:pPr>
            <w:r>
              <w:rPr>
                <w:szCs w:val="24"/>
                <w:lang w:val="es-ES"/>
              </w:rPr>
              <w:t>Programa Nacional de Caminos Vecinales</w:t>
            </w:r>
          </w:p>
        </w:tc>
      </w:tr>
      <w:tr w:rsidR="00157CF8" w:rsidRPr="00EA2F19" w:rsidTr="000701AD">
        <w:trPr>
          <w:cantSplit/>
          <w:trHeight w:val="20"/>
        </w:trPr>
        <w:tc>
          <w:tcPr>
            <w:tcW w:w="1559" w:type="dxa"/>
            <w:vAlign w:val="center"/>
          </w:tcPr>
          <w:p w:rsidR="00157CF8" w:rsidRDefault="00B83040" w:rsidP="000701AD">
            <w:pPr>
              <w:keepNext/>
              <w:widowControl w:val="0"/>
              <w:spacing w:before="40" w:after="40"/>
              <w:ind w:left="40"/>
              <w:rPr>
                <w:szCs w:val="24"/>
                <w:lang w:val="es-ES"/>
              </w:rPr>
            </w:pPr>
            <w:r>
              <w:rPr>
                <w:szCs w:val="24"/>
                <w:lang w:val="es-ES"/>
              </w:rPr>
              <w:t>GL</w:t>
            </w:r>
          </w:p>
        </w:tc>
        <w:tc>
          <w:tcPr>
            <w:tcW w:w="7019" w:type="dxa"/>
            <w:vAlign w:val="center"/>
          </w:tcPr>
          <w:p w:rsidR="00157CF8" w:rsidRDefault="00B83040" w:rsidP="000701AD">
            <w:pPr>
              <w:keepNext/>
              <w:widowControl w:val="0"/>
              <w:spacing w:before="40" w:after="40"/>
              <w:ind w:left="34" w:hanging="34"/>
              <w:rPr>
                <w:szCs w:val="24"/>
                <w:lang w:val="es-ES"/>
              </w:rPr>
            </w:pPr>
            <w:r>
              <w:rPr>
                <w:szCs w:val="24"/>
                <w:lang w:val="es-ES"/>
              </w:rPr>
              <w:t>Gobierno Local</w:t>
            </w:r>
          </w:p>
        </w:tc>
      </w:tr>
      <w:tr w:rsidR="00FA2C9A" w:rsidRPr="00EA2F19" w:rsidTr="000701AD">
        <w:trPr>
          <w:cantSplit/>
          <w:trHeight w:val="20"/>
        </w:trPr>
        <w:tc>
          <w:tcPr>
            <w:tcW w:w="1559" w:type="dxa"/>
            <w:vAlign w:val="center"/>
          </w:tcPr>
          <w:p w:rsidR="00FA2C9A" w:rsidRPr="0037767A" w:rsidRDefault="00B83040" w:rsidP="000701AD">
            <w:pPr>
              <w:keepNext/>
              <w:widowControl w:val="0"/>
              <w:spacing w:before="40" w:after="40"/>
              <w:ind w:left="40"/>
              <w:rPr>
                <w:szCs w:val="24"/>
                <w:lang w:val="es-ES"/>
              </w:rPr>
            </w:pPr>
            <w:r>
              <w:rPr>
                <w:szCs w:val="24"/>
                <w:lang w:val="es-ES"/>
              </w:rPr>
              <w:t>BM</w:t>
            </w:r>
          </w:p>
        </w:tc>
        <w:tc>
          <w:tcPr>
            <w:tcW w:w="7019" w:type="dxa"/>
            <w:vAlign w:val="center"/>
          </w:tcPr>
          <w:p w:rsidR="00FA2C9A" w:rsidRPr="0037767A" w:rsidRDefault="00B83040" w:rsidP="000701AD">
            <w:pPr>
              <w:keepNext/>
              <w:widowControl w:val="0"/>
              <w:spacing w:before="40" w:after="40"/>
              <w:ind w:left="34" w:hanging="34"/>
              <w:rPr>
                <w:szCs w:val="24"/>
                <w:lang w:val="es-ES"/>
              </w:rPr>
            </w:pPr>
            <w:r>
              <w:rPr>
                <w:szCs w:val="24"/>
                <w:lang w:val="es-ES"/>
              </w:rPr>
              <w:t>Banco Mundial</w:t>
            </w:r>
          </w:p>
        </w:tc>
      </w:tr>
      <w:tr w:rsidR="00E50638" w:rsidRPr="00E50638" w:rsidTr="000701AD">
        <w:trPr>
          <w:cantSplit/>
          <w:trHeight w:val="20"/>
        </w:trPr>
        <w:tc>
          <w:tcPr>
            <w:tcW w:w="1559" w:type="dxa"/>
            <w:vAlign w:val="center"/>
          </w:tcPr>
          <w:p w:rsidR="00E50638" w:rsidRPr="0037767A" w:rsidRDefault="00B83040" w:rsidP="000701AD">
            <w:pPr>
              <w:keepNext/>
              <w:widowControl w:val="0"/>
              <w:spacing w:before="40" w:after="40"/>
              <w:ind w:left="40"/>
              <w:rPr>
                <w:szCs w:val="24"/>
                <w:lang w:val="es-ES"/>
              </w:rPr>
            </w:pPr>
            <w:r>
              <w:rPr>
                <w:szCs w:val="24"/>
                <w:lang w:val="es-ES"/>
              </w:rPr>
              <w:t>JICA</w:t>
            </w:r>
          </w:p>
        </w:tc>
        <w:tc>
          <w:tcPr>
            <w:tcW w:w="7019" w:type="dxa"/>
            <w:vAlign w:val="center"/>
          </w:tcPr>
          <w:p w:rsidR="00E50638" w:rsidRPr="0037767A" w:rsidRDefault="00B83040" w:rsidP="00E50638">
            <w:pPr>
              <w:keepNext/>
              <w:widowControl w:val="0"/>
              <w:spacing w:before="40" w:after="40"/>
              <w:ind w:left="40"/>
              <w:rPr>
                <w:szCs w:val="24"/>
                <w:lang w:val="es-ES"/>
              </w:rPr>
            </w:pPr>
            <w:r w:rsidRPr="009161BB">
              <w:rPr>
                <w:szCs w:val="24"/>
                <w:lang w:val="en-US"/>
              </w:rPr>
              <w:t>Japan</w:t>
            </w:r>
            <w:r>
              <w:rPr>
                <w:szCs w:val="24"/>
                <w:lang w:val="es-ES"/>
              </w:rPr>
              <w:t xml:space="preserve"> International </w:t>
            </w:r>
            <w:r w:rsidRPr="009161BB">
              <w:rPr>
                <w:szCs w:val="24"/>
                <w:lang w:val="en-US"/>
              </w:rPr>
              <w:t>Cooperation</w:t>
            </w:r>
            <w:r>
              <w:rPr>
                <w:szCs w:val="24"/>
                <w:lang w:val="es-ES"/>
              </w:rPr>
              <w:t xml:space="preserve"> Agency</w:t>
            </w:r>
          </w:p>
        </w:tc>
      </w:tr>
      <w:tr w:rsidR="00E50638" w:rsidRPr="00EA2F19" w:rsidTr="000701AD">
        <w:trPr>
          <w:cantSplit/>
          <w:trHeight w:val="20"/>
        </w:trPr>
        <w:tc>
          <w:tcPr>
            <w:tcW w:w="1559" w:type="dxa"/>
            <w:vAlign w:val="center"/>
          </w:tcPr>
          <w:p w:rsidR="00E50638" w:rsidRPr="0037767A" w:rsidRDefault="006A451A" w:rsidP="00587662">
            <w:pPr>
              <w:keepNext/>
              <w:widowControl w:val="0"/>
              <w:spacing w:before="40" w:after="40"/>
              <w:ind w:left="40"/>
              <w:rPr>
                <w:szCs w:val="24"/>
                <w:lang w:val="es-ES"/>
              </w:rPr>
            </w:pPr>
            <w:r>
              <w:rPr>
                <w:szCs w:val="24"/>
                <w:lang w:val="es-ES"/>
              </w:rPr>
              <w:t>A</w:t>
            </w:r>
            <w:r w:rsidR="00587662">
              <w:rPr>
                <w:szCs w:val="24"/>
                <w:lang w:val="es-ES"/>
              </w:rPr>
              <w:t>C</w:t>
            </w:r>
            <w:r w:rsidR="006E78AA">
              <w:rPr>
                <w:szCs w:val="24"/>
                <w:lang w:val="es-ES"/>
              </w:rPr>
              <w:t>V</w:t>
            </w:r>
          </w:p>
        </w:tc>
        <w:tc>
          <w:tcPr>
            <w:tcW w:w="7019" w:type="dxa"/>
            <w:vAlign w:val="center"/>
          </w:tcPr>
          <w:p w:rsidR="00E50638" w:rsidRPr="0037767A" w:rsidRDefault="006E78AA" w:rsidP="00587662">
            <w:pPr>
              <w:keepNext/>
              <w:widowControl w:val="0"/>
              <w:spacing w:before="40" w:after="40"/>
              <w:ind w:left="34" w:hanging="34"/>
              <w:rPr>
                <w:szCs w:val="24"/>
                <w:lang w:val="es-ES"/>
              </w:rPr>
            </w:pPr>
            <w:r>
              <w:rPr>
                <w:szCs w:val="24"/>
                <w:lang w:val="es-ES"/>
              </w:rPr>
              <w:t xml:space="preserve">Asociaciones de </w:t>
            </w:r>
            <w:r w:rsidR="00587662" w:rsidRPr="009161BB">
              <w:rPr>
                <w:szCs w:val="24"/>
                <w:lang w:val="es-PY"/>
              </w:rPr>
              <w:t>Conservación</w:t>
            </w:r>
            <w:r w:rsidR="009161BB">
              <w:rPr>
                <w:szCs w:val="24"/>
                <w:lang w:val="es-PY"/>
              </w:rPr>
              <w:t xml:space="preserve"> </w:t>
            </w:r>
            <w:r w:rsidRPr="009161BB">
              <w:rPr>
                <w:szCs w:val="24"/>
                <w:lang w:val="es-PY"/>
              </w:rPr>
              <w:t>Vial</w:t>
            </w:r>
            <w:r>
              <w:rPr>
                <w:szCs w:val="24"/>
                <w:lang w:val="es-ES"/>
              </w:rPr>
              <w:t xml:space="preserve"> (microempresas)</w:t>
            </w:r>
          </w:p>
        </w:tc>
      </w:tr>
      <w:tr w:rsidR="00B83040" w:rsidRPr="00EA2F19" w:rsidTr="000701AD">
        <w:trPr>
          <w:cantSplit/>
          <w:trHeight w:val="20"/>
        </w:trPr>
        <w:tc>
          <w:tcPr>
            <w:tcW w:w="1559" w:type="dxa"/>
            <w:vAlign w:val="center"/>
          </w:tcPr>
          <w:p w:rsidR="00B83040" w:rsidRPr="0037767A" w:rsidRDefault="00680504" w:rsidP="000701AD">
            <w:pPr>
              <w:keepNext/>
              <w:widowControl w:val="0"/>
              <w:spacing w:before="40" w:after="40"/>
              <w:ind w:left="40"/>
              <w:rPr>
                <w:szCs w:val="24"/>
                <w:lang w:val="es-ES"/>
              </w:rPr>
            </w:pPr>
            <w:r>
              <w:rPr>
                <w:szCs w:val="24"/>
                <w:lang w:val="es-ES"/>
              </w:rPr>
              <w:t>PVP</w:t>
            </w:r>
          </w:p>
        </w:tc>
        <w:tc>
          <w:tcPr>
            <w:tcW w:w="7019" w:type="dxa"/>
            <w:vAlign w:val="center"/>
          </w:tcPr>
          <w:p w:rsidR="00B83040" w:rsidRPr="0037767A" w:rsidRDefault="00680504" w:rsidP="00096D31">
            <w:pPr>
              <w:keepNext/>
              <w:widowControl w:val="0"/>
              <w:spacing w:before="40" w:after="40"/>
              <w:ind w:left="34" w:hanging="34"/>
              <w:rPr>
                <w:szCs w:val="24"/>
                <w:lang w:val="es-ES"/>
              </w:rPr>
            </w:pPr>
            <w:r>
              <w:rPr>
                <w:szCs w:val="24"/>
                <w:lang w:val="es-ES"/>
              </w:rPr>
              <w:t>Plan Vial Participativo</w:t>
            </w:r>
          </w:p>
        </w:tc>
      </w:tr>
      <w:tr w:rsidR="00B83040" w:rsidRPr="00EA2F19" w:rsidTr="000701AD">
        <w:trPr>
          <w:cantSplit/>
          <w:trHeight w:val="20"/>
        </w:trPr>
        <w:tc>
          <w:tcPr>
            <w:tcW w:w="1559" w:type="dxa"/>
            <w:vAlign w:val="center"/>
          </w:tcPr>
          <w:p w:rsidR="00B83040" w:rsidRPr="0037767A" w:rsidRDefault="00B83040" w:rsidP="000701AD">
            <w:pPr>
              <w:keepNext/>
              <w:widowControl w:val="0"/>
              <w:spacing w:before="40" w:after="40"/>
              <w:ind w:left="40"/>
              <w:rPr>
                <w:szCs w:val="24"/>
                <w:lang w:val="es-ES"/>
              </w:rPr>
            </w:pPr>
          </w:p>
        </w:tc>
        <w:tc>
          <w:tcPr>
            <w:tcW w:w="7019" w:type="dxa"/>
            <w:vAlign w:val="center"/>
          </w:tcPr>
          <w:p w:rsidR="00B83040" w:rsidRPr="0037767A" w:rsidRDefault="00B83040" w:rsidP="00096D31">
            <w:pPr>
              <w:keepNext/>
              <w:widowControl w:val="0"/>
              <w:spacing w:before="40" w:after="40"/>
              <w:ind w:left="34" w:hanging="34"/>
              <w:rPr>
                <w:szCs w:val="24"/>
                <w:lang w:val="es-ES"/>
              </w:rPr>
            </w:pPr>
          </w:p>
        </w:tc>
      </w:tr>
      <w:tr w:rsidR="00B83040" w:rsidRPr="00EA2F19" w:rsidTr="000701AD">
        <w:trPr>
          <w:cantSplit/>
          <w:trHeight w:val="20"/>
        </w:trPr>
        <w:tc>
          <w:tcPr>
            <w:tcW w:w="1559" w:type="dxa"/>
            <w:vAlign w:val="center"/>
          </w:tcPr>
          <w:p w:rsidR="00B83040" w:rsidRPr="0037767A" w:rsidRDefault="00B83040" w:rsidP="000701AD">
            <w:pPr>
              <w:keepNext/>
              <w:widowControl w:val="0"/>
              <w:spacing w:before="40" w:after="40"/>
              <w:ind w:left="40"/>
              <w:rPr>
                <w:szCs w:val="24"/>
                <w:lang w:val="es-ES"/>
              </w:rPr>
            </w:pPr>
          </w:p>
        </w:tc>
        <w:tc>
          <w:tcPr>
            <w:tcW w:w="7019" w:type="dxa"/>
            <w:vAlign w:val="center"/>
          </w:tcPr>
          <w:p w:rsidR="00B83040" w:rsidRPr="0037767A" w:rsidRDefault="00B83040" w:rsidP="00096D31">
            <w:pPr>
              <w:keepNext/>
              <w:widowControl w:val="0"/>
              <w:spacing w:before="40" w:after="40"/>
              <w:ind w:left="34" w:hanging="34"/>
              <w:rPr>
                <w:szCs w:val="24"/>
                <w:lang w:val="es-ES"/>
              </w:rPr>
            </w:pPr>
          </w:p>
        </w:tc>
      </w:tr>
      <w:tr w:rsidR="00B83040" w:rsidRPr="00EA2F19" w:rsidTr="000701AD">
        <w:trPr>
          <w:cantSplit/>
          <w:trHeight w:val="20"/>
        </w:trPr>
        <w:tc>
          <w:tcPr>
            <w:tcW w:w="1559" w:type="dxa"/>
            <w:vAlign w:val="center"/>
          </w:tcPr>
          <w:p w:rsidR="00B83040" w:rsidRPr="0037767A" w:rsidRDefault="00B83040" w:rsidP="000701AD">
            <w:pPr>
              <w:keepNext/>
              <w:widowControl w:val="0"/>
              <w:spacing w:before="40" w:after="40"/>
              <w:ind w:left="40"/>
              <w:rPr>
                <w:szCs w:val="24"/>
                <w:lang w:val="es-ES"/>
              </w:rPr>
            </w:pPr>
          </w:p>
        </w:tc>
        <w:tc>
          <w:tcPr>
            <w:tcW w:w="7019" w:type="dxa"/>
            <w:vAlign w:val="center"/>
          </w:tcPr>
          <w:p w:rsidR="00B83040" w:rsidRPr="0037767A" w:rsidRDefault="00B83040" w:rsidP="00096D31">
            <w:pPr>
              <w:keepNext/>
              <w:widowControl w:val="0"/>
              <w:spacing w:before="40" w:after="40"/>
              <w:ind w:left="34" w:hanging="34"/>
              <w:rPr>
                <w:szCs w:val="24"/>
                <w:lang w:val="es-ES"/>
              </w:rPr>
            </w:pPr>
          </w:p>
        </w:tc>
      </w:tr>
      <w:tr w:rsidR="00B83040" w:rsidRPr="00EA2F19" w:rsidTr="000701AD">
        <w:trPr>
          <w:cantSplit/>
          <w:trHeight w:val="20"/>
        </w:trPr>
        <w:tc>
          <w:tcPr>
            <w:tcW w:w="1559" w:type="dxa"/>
            <w:vAlign w:val="center"/>
          </w:tcPr>
          <w:p w:rsidR="00B83040" w:rsidRPr="0037767A" w:rsidRDefault="00B83040" w:rsidP="000701AD">
            <w:pPr>
              <w:keepNext/>
              <w:widowControl w:val="0"/>
              <w:spacing w:before="40" w:after="40"/>
              <w:ind w:left="40"/>
              <w:rPr>
                <w:szCs w:val="24"/>
                <w:lang w:val="es-ES"/>
              </w:rPr>
            </w:pPr>
          </w:p>
        </w:tc>
        <w:tc>
          <w:tcPr>
            <w:tcW w:w="7019" w:type="dxa"/>
            <w:vAlign w:val="center"/>
          </w:tcPr>
          <w:p w:rsidR="00B83040" w:rsidRPr="0037767A" w:rsidRDefault="00B83040" w:rsidP="00096D31">
            <w:pPr>
              <w:keepNext/>
              <w:widowControl w:val="0"/>
              <w:spacing w:before="40" w:after="40"/>
              <w:ind w:left="34" w:hanging="34"/>
              <w:rPr>
                <w:szCs w:val="24"/>
                <w:lang w:val="es-ES"/>
              </w:rPr>
            </w:pPr>
          </w:p>
        </w:tc>
      </w:tr>
      <w:tr w:rsidR="007C0321" w:rsidRPr="00EA2F19" w:rsidTr="000701AD">
        <w:trPr>
          <w:cantSplit/>
          <w:trHeight w:val="20"/>
        </w:trPr>
        <w:tc>
          <w:tcPr>
            <w:tcW w:w="1559" w:type="dxa"/>
            <w:vAlign w:val="center"/>
          </w:tcPr>
          <w:p w:rsidR="007C0321" w:rsidRPr="0094020D" w:rsidRDefault="007C0321" w:rsidP="000701AD">
            <w:pPr>
              <w:keepNext/>
              <w:widowControl w:val="0"/>
              <w:spacing w:before="40" w:after="40"/>
              <w:ind w:left="40"/>
              <w:rPr>
                <w:szCs w:val="24"/>
                <w:lang w:val="es-ES"/>
              </w:rPr>
            </w:pPr>
          </w:p>
        </w:tc>
        <w:tc>
          <w:tcPr>
            <w:tcW w:w="7019" w:type="dxa"/>
            <w:vAlign w:val="center"/>
          </w:tcPr>
          <w:p w:rsidR="007C0321" w:rsidRPr="00096D31" w:rsidRDefault="007C0321" w:rsidP="00096D31">
            <w:pPr>
              <w:keepNext/>
              <w:widowControl w:val="0"/>
              <w:spacing w:before="40" w:after="40"/>
              <w:ind w:left="34" w:hanging="34"/>
              <w:rPr>
                <w:szCs w:val="24"/>
                <w:lang w:val="es-ES"/>
              </w:rPr>
            </w:pPr>
          </w:p>
        </w:tc>
      </w:tr>
    </w:tbl>
    <w:p w:rsidR="00FA2C9A" w:rsidRDefault="00FA2C9A" w:rsidP="00FA2C9A">
      <w:pPr>
        <w:tabs>
          <w:tab w:val="left" w:pos="2610"/>
        </w:tabs>
        <w:rPr>
          <w:szCs w:val="24"/>
        </w:rPr>
      </w:pPr>
    </w:p>
    <w:p w:rsidR="00FA2C9A" w:rsidRDefault="00FA2C9A" w:rsidP="00FA2C9A">
      <w:pPr>
        <w:tabs>
          <w:tab w:val="left" w:pos="2610"/>
        </w:tabs>
        <w:rPr>
          <w:szCs w:val="24"/>
        </w:rPr>
      </w:pPr>
    </w:p>
    <w:p w:rsidR="00FA2C9A" w:rsidRPr="00EA2F19" w:rsidRDefault="00FA2C9A" w:rsidP="00FA2C9A">
      <w:pPr>
        <w:tabs>
          <w:tab w:val="left" w:pos="2610"/>
        </w:tabs>
        <w:rPr>
          <w:szCs w:val="24"/>
        </w:rPr>
        <w:sectPr w:rsidR="00FA2C9A" w:rsidRPr="00EA2F19" w:rsidSect="00F13526">
          <w:headerReference w:type="default" r:id="rId11"/>
          <w:footerReference w:type="default" r:id="rId12"/>
          <w:footerReference w:type="first" r:id="rId13"/>
          <w:pgSz w:w="11907" w:h="16839" w:code="9"/>
          <w:pgMar w:top="1440" w:right="1750" w:bottom="1440" w:left="1800" w:header="720" w:footer="720" w:gutter="0"/>
          <w:pgNumType w:start="1"/>
          <w:cols w:space="720"/>
          <w:docGrid w:linePitch="326"/>
        </w:sectPr>
      </w:pPr>
    </w:p>
    <w:p w:rsidR="00FA2C9A" w:rsidRPr="00CB308F" w:rsidRDefault="00FA2C9A" w:rsidP="00FA2C9A">
      <w:pPr>
        <w:jc w:val="center"/>
        <w:rPr>
          <w:b/>
          <w:lang w:val="es-ES"/>
        </w:rPr>
      </w:pPr>
      <w:bookmarkStart w:id="8" w:name="_Toc429646039"/>
      <w:bookmarkStart w:id="9" w:name="_Toc429652571"/>
      <w:bookmarkStart w:id="10" w:name="_Toc429655307"/>
      <w:bookmarkStart w:id="11" w:name="_Toc429655342"/>
      <w:bookmarkStart w:id="12" w:name="_Toc429655486"/>
      <w:bookmarkStart w:id="13" w:name="_Toc429655683"/>
      <w:bookmarkStart w:id="14" w:name="_Toc429657376"/>
      <w:bookmarkStart w:id="15" w:name="_Toc430679369"/>
      <w:bookmarkStart w:id="16" w:name="_Toc430679393"/>
      <w:bookmarkStart w:id="17" w:name="_Toc434845950"/>
      <w:bookmarkStart w:id="18" w:name="_Toc434846218"/>
      <w:bookmarkStart w:id="19" w:name="_Toc434846931"/>
      <w:bookmarkStart w:id="20" w:name="_Toc437759759"/>
      <w:bookmarkStart w:id="21" w:name="_Toc444883300"/>
      <w:bookmarkStart w:id="22" w:name="_Toc445703751"/>
      <w:bookmarkStart w:id="23" w:name="_Toc445703970"/>
      <w:bookmarkStart w:id="24" w:name="_Toc450478040"/>
      <w:bookmarkStart w:id="25" w:name="_Toc450478115"/>
      <w:bookmarkStart w:id="26" w:name="_Toc451059692"/>
      <w:bookmarkStart w:id="27" w:name="_Toc451059756"/>
      <w:bookmarkStart w:id="28" w:name="_Toc451922464"/>
      <w:bookmarkStart w:id="29" w:name="_Toc456499455"/>
      <w:bookmarkStart w:id="30" w:name="_Toc456499549"/>
      <w:bookmarkStart w:id="31" w:name="_Toc456499744"/>
      <w:bookmarkStart w:id="32" w:name="_Toc456503312"/>
      <w:bookmarkStart w:id="33" w:name="_Toc456503682"/>
      <w:bookmarkStart w:id="34" w:name="_Toc456504234"/>
      <w:bookmarkStart w:id="35" w:name="_Toc456504322"/>
      <w:bookmarkStart w:id="36" w:name="_Toc456504416"/>
      <w:bookmarkStart w:id="37" w:name="_Toc456504503"/>
      <w:bookmarkEnd w:id="3"/>
      <w:bookmarkEnd w:id="4"/>
      <w:bookmarkEnd w:id="5"/>
      <w:bookmarkEnd w:id="6"/>
      <w:bookmarkEnd w:id="7"/>
      <w:r>
        <w:rPr>
          <w:b/>
          <w:lang w:val="es-ES"/>
        </w:rPr>
        <w:lastRenderedPageBreak/>
        <w:t>CONTENIDO</w:t>
      </w:r>
    </w:p>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rsidR="00EA22C1" w:rsidRPr="00EA22C1" w:rsidRDefault="00EA22C1" w:rsidP="00EA22C1">
      <w:pPr>
        <w:pStyle w:val="Chapter"/>
        <w:numPr>
          <w:ilvl w:val="0"/>
          <w:numId w:val="2"/>
        </w:numPr>
        <w:tabs>
          <w:tab w:val="clear" w:pos="1440"/>
        </w:tabs>
        <w:jc w:val="left"/>
      </w:pPr>
      <w:r>
        <w:rPr>
          <w:lang w:val="es-ES_tradnl"/>
        </w:rPr>
        <w:t>Introducción</w:t>
      </w:r>
    </w:p>
    <w:p w:rsidR="00FA2C9A" w:rsidRPr="00BF7720" w:rsidRDefault="007C0321" w:rsidP="00826CB7">
      <w:pPr>
        <w:pStyle w:val="Chapter"/>
        <w:numPr>
          <w:ilvl w:val="0"/>
          <w:numId w:val="13"/>
        </w:numPr>
        <w:tabs>
          <w:tab w:val="clear" w:pos="1440"/>
        </w:tabs>
        <w:jc w:val="left"/>
      </w:pPr>
      <w:r w:rsidRPr="007C0321">
        <w:rPr>
          <w:lang w:val="es-ES_tradnl"/>
        </w:rPr>
        <w:t>Alcance del documento</w:t>
      </w:r>
      <w:r w:rsidR="00FA2C9A" w:rsidRPr="00BF7720">
        <w:t>.</w:t>
      </w:r>
    </w:p>
    <w:p w:rsidR="00FA2C9A" w:rsidRDefault="00EA22C1" w:rsidP="00826CB7">
      <w:pPr>
        <w:pStyle w:val="Chapter"/>
        <w:numPr>
          <w:ilvl w:val="0"/>
          <w:numId w:val="13"/>
        </w:numPr>
        <w:tabs>
          <w:tab w:val="clear" w:pos="1440"/>
        </w:tabs>
        <w:jc w:val="left"/>
      </w:pPr>
      <w:r>
        <w:rPr>
          <w:lang w:val="es-ES_tradnl"/>
        </w:rPr>
        <w:t>Metodología y fuentes de información</w:t>
      </w:r>
      <w:r w:rsidR="00FA2C9A" w:rsidRPr="00BF7720">
        <w:t>.</w:t>
      </w:r>
    </w:p>
    <w:p w:rsidR="00EA22C1" w:rsidRPr="00EA22C1" w:rsidRDefault="00EA22C1" w:rsidP="00EA22C1">
      <w:pPr>
        <w:pStyle w:val="Chapter"/>
        <w:numPr>
          <w:ilvl w:val="0"/>
          <w:numId w:val="2"/>
        </w:numPr>
        <w:tabs>
          <w:tab w:val="clear" w:pos="1440"/>
        </w:tabs>
        <w:jc w:val="left"/>
        <w:rPr>
          <w:lang w:val="es-ES_tradnl"/>
        </w:rPr>
      </w:pPr>
      <w:r w:rsidRPr="00EA22C1">
        <w:rPr>
          <w:lang w:val="es-ES_tradnl"/>
        </w:rPr>
        <w:t>Antecedentes del PNCR</w:t>
      </w:r>
    </w:p>
    <w:p w:rsidR="00EA22C1" w:rsidRPr="00EA22C1" w:rsidRDefault="00EA22C1" w:rsidP="00826CB7">
      <w:pPr>
        <w:pStyle w:val="Chapter"/>
        <w:numPr>
          <w:ilvl w:val="0"/>
          <w:numId w:val="13"/>
        </w:numPr>
        <w:tabs>
          <w:tab w:val="clear" w:pos="1440"/>
        </w:tabs>
        <w:jc w:val="left"/>
      </w:pPr>
      <w:r>
        <w:rPr>
          <w:lang w:val="es-ES_tradnl"/>
        </w:rPr>
        <w:t>Historia del Programa Nacional de Caminos Rurales.</w:t>
      </w:r>
    </w:p>
    <w:p w:rsidR="00EA22C1" w:rsidRPr="00EA22C1" w:rsidRDefault="00EA22C1" w:rsidP="00826CB7">
      <w:pPr>
        <w:pStyle w:val="Chapter"/>
        <w:numPr>
          <w:ilvl w:val="0"/>
          <w:numId w:val="13"/>
        </w:numPr>
        <w:tabs>
          <w:tab w:val="clear" w:pos="1440"/>
        </w:tabs>
        <w:jc w:val="left"/>
      </w:pPr>
      <w:r>
        <w:rPr>
          <w:lang w:val="es-ES_tradnl"/>
        </w:rPr>
        <w:t>Informe de Terminación de Proyecto (PCR) de la PR-L0104.</w:t>
      </w:r>
    </w:p>
    <w:p w:rsidR="00EA22C1" w:rsidRPr="00EA22C1" w:rsidRDefault="00EA22C1" w:rsidP="00826CB7">
      <w:pPr>
        <w:pStyle w:val="Chapter"/>
        <w:numPr>
          <w:ilvl w:val="0"/>
          <w:numId w:val="13"/>
        </w:numPr>
        <w:tabs>
          <w:tab w:val="clear" w:pos="1440"/>
        </w:tabs>
        <w:jc w:val="left"/>
      </w:pPr>
      <w:r>
        <w:rPr>
          <w:lang w:val="es-ES_tradnl"/>
        </w:rPr>
        <w:t>Lineamientos para el PNCR-2 Fase II, PR-L1019.</w:t>
      </w:r>
    </w:p>
    <w:p w:rsidR="005F4A1F" w:rsidRDefault="005F4A1F" w:rsidP="005F4A1F">
      <w:pPr>
        <w:pStyle w:val="Chapter"/>
        <w:numPr>
          <w:ilvl w:val="0"/>
          <w:numId w:val="2"/>
        </w:numPr>
        <w:tabs>
          <w:tab w:val="clear" w:pos="1440"/>
        </w:tabs>
        <w:jc w:val="left"/>
      </w:pPr>
      <w:r>
        <w:t>Caracterización del Pl</w:t>
      </w:r>
      <w:r w:rsidR="00B261EE">
        <w:t>an de Gestión del Mantenimiento</w:t>
      </w:r>
    </w:p>
    <w:p w:rsidR="005F4A1F" w:rsidRDefault="005F4A1F" w:rsidP="00826CB7">
      <w:pPr>
        <w:pStyle w:val="Chapter"/>
        <w:numPr>
          <w:ilvl w:val="0"/>
          <w:numId w:val="13"/>
        </w:numPr>
        <w:tabs>
          <w:tab w:val="clear" w:pos="1440"/>
        </w:tabs>
        <w:jc w:val="left"/>
      </w:pPr>
      <w:r>
        <w:t>El Plan de Gestión del Mantenimiento (PGM).</w:t>
      </w:r>
    </w:p>
    <w:p w:rsidR="005F4A1F" w:rsidRPr="005F4A1F" w:rsidRDefault="005F4A1F" w:rsidP="00826CB7">
      <w:pPr>
        <w:pStyle w:val="Chapter"/>
        <w:numPr>
          <w:ilvl w:val="0"/>
          <w:numId w:val="13"/>
        </w:numPr>
        <w:tabs>
          <w:tab w:val="clear" w:pos="1440"/>
        </w:tabs>
        <w:jc w:val="left"/>
      </w:pPr>
      <w:r>
        <w:rPr>
          <w:lang w:val="es-ES_tradnl"/>
        </w:rPr>
        <w:t>La modalidad por Convenio.</w:t>
      </w:r>
    </w:p>
    <w:p w:rsidR="005F4A1F" w:rsidRPr="005F4A1F" w:rsidRDefault="005F4A1F" w:rsidP="00826CB7">
      <w:pPr>
        <w:pStyle w:val="Chapter"/>
        <w:numPr>
          <w:ilvl w:val="0"/>
          <w:numId w:val="13"/>
        </w:numPr>
        <w:tabs>
          <w:tab w:val="clear" w:pos="1440"/>
        </w:tabs>
        <w:jc w:val="left"/>
      </w:pPr>
      <w:r>
        <w:rPr>
          <w:lang w:val="es-ES_tradnl"/>
        </w:rPr>
        <w:t>Las Asociaciones de Conservación Vial.</w:t>
      </w:r>
    </w:p>
    <w:p w:rsidR="005F4A1F" w:rsidRPr="005F4A1F" w:rsidRDefault="005F4A1F" w:rsidP="00826CB7">
      <w:pPr>
        <w:pStyle w:val="Chapter"/>
        <w:numPr>
          <w:ilvl w:val="0"/>
          <w:numId w:val="13"/>
        </w:numPr>
        <w:tabs>
          <w:tab w:val="clear" w:pos="1440"/>
        </w:tabs>
        <w:jc w:val="left"/>
      </w:pPr>
      <w:r>
        <w:rPr>
          <w:lang w:val="es-ES_tradnl"/>
        </w:rPr>
        <w:t>La modalidad por Contrato.</w:t>
      </w:r>
    </w:p>
    <w:p w:rsidR="005F4A1F" w:rsidRDefault="005F4A1F" w:rsidP="005F4A1F">
      <w:pPr>
        <w:pStyle w:val="Chapter"/>
        <w:numPr>
          <w:ilvl w:val="0"/>
          <w:numId w:val="2"/>
        </w:numPr>
        <w:tabs>
          <w:tab w:val="clear" w:pos="1440"/>
        </w:tabs>
        <w:jc w:val="left"/>
      </w:pPr>
      <w:r>
        <w:t>Sistematización de la Exp</w:t>
      </w:r>
      <w:r w:rsidR="00B261EE">
        <w:t>eriencia y Lecciones Aprendidas</w:t>
      </w:r>
    </w:p>
    <w:p w:rsidR="005F4A1F" w:rsidRPr="005F4A1F" w:rsidRDefault="005F4A1F" w:rsidP="00826CB7">
      <w:pPr>
        <w:pStyle w:val="Chapter"/>
        <w:numPr>
          <w:ilvl w:val="0"/>
          <w:numId w:val="13"/>
        </w:numPr>
        <w:tabs>
          <w:tab w:val="clear" w:pos="1440"/>
        </w:tabs>
        <w:jc w:val="left"/>
      </w:pPr>
      <w:r>
        <w:rPr>
          <w:lang w:val="es-ES_tradnl"/>
        </w:rPr>
        <w:t>Sistematización de la experiencia en los Convenios.</w:t>
      </w:r>
    </w:p>
    <w:p w:rsidR="005F4A1F" w:rsidRPr="005F4A1F" w:rsidRDefault="005F4A1F" w:rsidP="00826CB7">
      <w:pPr>
        <w:pStyle w:val="Chapter"/>
        <w:numPr>
          <w:ilvl w:val="0"/>
          <w:numId w:val="13"/>
        </w:numPr>
        <w:tabs>
          <w:tab w:val="clear" w:pos="1440"/>
        </w:tabs>
        <w:jc w:val="left"/>
      </w:pPr>
      <w:r>
        <w:rPr>
          <w:lang w:val="es-ES_tradnl"/>
        </w:rPr>
        <w:t>Lecciones aprendidas.</w:t>
      </w:r>
    </w:p>
    <w:p w:rsidR="005F4A1F" w:rsidRDefault="005F4A1F" w:rsidP="005F4A1F">
      <w:pPr>
        <w:pStyle w:val="Chapter"/>
        <w:numPr>
          <w:ilvl w:val="0"/>
          <w:numId w:val="2"/>
        </w:numPr>
        <w:tabs>
          <w:tab w:val="clear" w:pos="1440"/>
        </w:tabs>
        <w:jc w:val="left"/>
      </w:pPr>
      <w:r>
        <w:t>Evaluación de Eficiencia y Eficacia</w:t>
      </w:r>
      <w:r w:rsidR="00B261EE">
        <w:t xml:space="preserve"> de las Modalidades</w:t>
      </w:r>
    </w:p>
    <w:p w:rsidR="005F4A1F" w:rsidRDefault="005F4A1F" w:rsidP="00826CB7">
      <w:pPr>
        <w:pStyle w:val="Chapter"/>
        <w:numPr>
          <w:ilvl w:val="0"/>
          <w:numId w:val="13"/>
        </w:numPr>
        <w:tabs>
          <w:tab w:val="clear" w:pos="1440"/>
        </w:tabs>
        <w:jc w:val="left"/>
      </w:pPr>
      <w:r>
        <w:t>Conceptos de eficiencia y eficacia.</w:t>
      </w:r>
    </w:p>
    <w:p w:rsidR="00680504" w:rsidRPr="00680504" w:rsidRDefault="00680504" w:rsidP="00826CB7">
      <w:pPr>
        <w:pStyle w:val="Chapter"/>
        <w:numPr>
          <w:ilvl w:val="0"/>
          <w:numId w:val="13"/>
        </w:numPr>
        <w:tabs>
          <w:tab w:val="clear" w:pos="1440"/>
        </w:tabs>
        <w:jc w:val="left"/>
      </w:pPr>
      <w:r>
        <w:t>El Plan Vial Participativo (PVP).</w:t>
      </w:r>
    </w:p>
    <w:p w:rsidR="005F4A1F" w:rsidRPr="005F4A1F" w:rsidRDefault="005F4A1F" w:rsidP="00826CB7">
      <w:pPr>
        <w:pStyle w:val="Chapter"/>
        <w:numPr>
          <w:ilvl w:val="0"/>
          <w:numId w:val="13"/>
        </w:numPr>
        <w:tabs>
          <w:tab w:val="clear" w:pos="1440"/>
        </w:tabs>
        <w:jc w:val="left"/>
      </w:pPr>
      <w:r>
        <w:rPr>
          <w:lang w:val="es-ES_tradnl"/>
        </w:rPr>
        <w:t>Evaluación de eficiencia de las modalidades.</w:t>
      </w:r>
    </w:p>
    <w:p w:rsidR="005F4A1F" w:rsidRPr="005F4A1F" w:rsidRDefault="005F4A1F" w:rsidP="00826CB7">
      <w:pPr>
        <w:pStyle w:val="Chapter"/>
        <w:numPr>
          <w:ilvl w:val="0"/>
          <w:numId w:val="13"/>
        </w:numPr>
        <w:tabs>
          <w:tab w:val="clear" w:pos="1440"/>
        </w:tabs>
        <w:jc w:val="left"/>
      </w:pPr>
      <w:r>
        <w:rPr>
          <w:lang w:val="es-ES_tradnl"/>
        </w:rPr>
        <w:t>Matriz de resultados del PNCR-2 Fase II.</w:t>
      </w:r>
    </w:p>
    <w:p w:rsidR="00FA2C9A" w:rsidRPr="00BF7720" w:rsidRDefault="005F4A1F" w:rsidP="00826CB7">
      <w:pPr>
        <w:pStyle w:val="Chapter"/>
        <w:numPr>
          <w:ilvl w:val="0"/>
          <w:numId w:val="13"/>
        </w:numPr>
        <w:tabs>
          <w:tab w:val="clear" w:pos="1440"/>
        </w:tabs>
        <w:jc w:val="left"/>
      </w:pPr>
      <w:r>
        <w:rPr>
          <w:lang w:val="es-ES_tradnl"/>
        </w:rPr>
        <w:t>Evaluación de la eficacia de las modalidades</w:t>
      </w:r>
      <w:r w:rsidR="00FA2C9A" w:rsidRPr="00BF7720">
        <w:t>.</w:t>
      </w:r>
    </w:p>
    <w:p w:rsidR="005F4A1F" w:rsidRPr="005F4A1F" w:rsidRDefault="00B261EE" w:rsidP="005F4A1F">
      <w:pPr>
        <w:pStyle w:val="Chapter"/>
        <w:numPr>
          <w:ilvl w:val="0"/>
          <w:numId w:val="2"/>
        </w:numPr>
        <w:tabs>
          <w:tab w:val="clear" w:pos="1440"/>
        </w:tabs>
        <w:jc w:val="left"/>
      </w:pPr>
      <w:r>
        <w:rPr>
          <w:lang w:val="es-ES_tradnl"/>
        </w:rPr>
        <w:t>Conclusiones</w:t>
      </w:r>
      <w:r w:rsidR="005F4A1F">
        <w:rPr>
          <w:lang w:val="es-ES_tradnl"/>
        </w:rPr>
        <w:t xml:space="preserve"> y Recomendaciones</w:t>
      </w:r>
    </w:p>
    <w:p w:rsidR="005F4A1F" w:rsidRDefault="005F4A1F" w:rsidP="00826CB7">
      <w:pPr>
        <w:pStyle w:val="Chapter"/>
        <w:numPr>
          <w:ilvl w:val="0"/>
          <w:numId w:val="13"/>
        </w:numPr>
        <w:tabs>
          <w:tab w:val="clear" w:pos="1440"/>
        </w:tabs>
        <w:jc w:val="left"/>
        <w:rPr>
          <w:lang w:val="es-ES_tradnl"/>
        </w:rPr>
      </w:pPr>
      <w:r>
        <w:rPr>
          <w:lang w:val="es-ES_tradnl"/>
        </w:rPr>
        <w:t>Consideraciones finales.</w:t>
      </w:r>
    </w:p>
    <w:p w:rsidR="005F4A1F" w:rsidRDefault="00B261EE" w:rsidP="00826CB7">
      <w:pPr>
        <w:pStyle w:val="Chapter"/>
        <w:numPr>
          <w:ilvl w:val="0"/>
          <w:numId w:val="13"/>
        </w:numPr>
        <w:tabs>
          <w:tab w:val="clear" w:pos="1440"/>
        </w:tabs>
        <w:jc w:val="left"/>
        <w:rPr>
          <w:lang w:val="es-ES_tradnl"/>
        </w:rPr>
      </w:pPr>
      <w:r>
        <w:rPr>
          <w:lang w:val="es-ES_tradnl"/>
        </w:rPr>
        <w:t>Conclusiones</w:t>
      </w:r>
      <w:r w:rsidR="005F4A1F">
        <w:rPr>
          <w:lang w:val="es-ES_tradnl"/>
        </w:rPr>
        <w:t>.</w:t>
      </w:r>
    </w:p>
    <w:p w:rsidR="005F4A1F" w:rsidRDefault="005F4A1F" w:rsidP="00826CB7">
      <w:pPr>
        <w:pStyle w:val="Chapter"/>
        <w:numPr>
          <w:ilvl w:val="0"/>
          <w:numId w:val="13"/>
        </w:numPr>
        <w:tabs>
          <w:tab w:val="clear" w:pos="1440"/>
        </w:tabs>
        <w:jc w:val="left"/>
        <w:rPr>
          <w:lang w:val="es-ES_tradnl"/>
        </w:rPr>
      </w:pPr>
      <w:r>
        <w:rPr>
          <w:lang w:val="es-ES_tradnl"/>
        </w:rPr>
        <w:t>Recomendaciones.</w:t>
      </w:r>
    </w:p>
    <w:p w:rsidR="00FA2C9A" w:rsidRPr="00BF7720" w:rsidRDefault="00FA2C9A" w:rsidP="00FA2C9A">
      <w:pPr>
        <w:rPr>
          <w:highlight w:val="yellow"/>
          <w:lang w:val="es-ES"/>
        </w:rPr>
      </w:pPr>
    </w:p>
    <w:p w:rsidR="00FA2C9A" w:rsidRPr="00BF7720" w:rsidRDefault="00FA2C9A" w:rsidP="005F4A1F">
      <w:pPr>
        <w:pStyle w:val="Chapter"/>
        <w:numPr>
          <w:ilvl w:val="0"/>
          <w:numId w:val="2"/>
        </w:numPr>
        <w:tabs>
          <w:tab w:val="clear" w:pos="1440"/>
        </w:tabs>
        <w:ind w:left="851" w:hanging="851"/>
        <w:jc w:val="left"/>
        <w:rPr>
          <w:highlight w:val="yellow"/>
        </w:rPr>
        <w:sectPr w:rsidR="00FA2C9A" w:rsidRPr="00BF7720" w:rsidSect="00F13526">
          <w:headerReference w:type="default" r:id="rId14"/>
          <w:headerReference w:type="first" r:id="rId15"/>
          <w:pgSz w:w="11907" w:h="16839" w:code="9"/>
          <w:pgMar w:top="1440" w:right="1750" w:bottom="1440" w:left="1800" w:header="720" w:footer="720" w:gutter="0"/>
          <w:pgNumType w:start="1"/>
          <w:cols w:space="720"/>
          <w:titlePg/>
          <w:docGrid w:linePitch="326"/>
        </w:sectPr>
      </w:pPr>
    </w:p>
    <w:p w:rsidR="00FA2C9A" w:rsidRDefault="00FA2C9A" w:rsidP="00FA2C9A">
      <w:pPr>
        <w:jc w:val="center"/>
        <w:rPr>
          <w:rFonts w:ascii="Arial" w:hAnsi="Arial" w:cs="Arial"/>
          <w:b/>
          <w:sz w:val="28"/>
          <w:szCs w:val="28"/>
        </w:rPr>
      </w:pPr>
    </w:p>
    <w:p w:rsidR="00FA2C9A" w:rsidRDefault="00FA2C9A" w:rsidP="00FA2C9A">
      <w:pPr>
        <w:jc w:val="center"/>
        <w:rPr>
          <w:rFonts w:ascii="Arial" w:hAnsi="Arial" w:cs="Arial"/>
          <w:b/>
          <w:sz w:val="28"/>
          <w:szCs w:val="28"/>
        </w:rPr>
      </w:pPr>
    </w:p>
    <w:p w:rsidR="00FA2C9A" w:rsidRPr="00B70B94" w:rsidRDefault="00B8033A" w:rsidP="00FA2C9A">
      <w:pPr>
        <w:pStyle w:val="Chapter"/>
        <w:tabs>
          <w:tab w:val="clear" w:pos="1440"/>
          <w:tab w:val="left" w:pos="0"/>
        </w:tabs>
        <w:spacing w:before="0" w:after="0"/>
        <w:rPr>
          <w:b w:val="0"/>
          <w:sz w:val="32"/>
          <w:szCs w:val="32"/>
        </w:rPr>
      </w:pPr>
      <w:r w:rsidRPr="00B8033A">
        <w:rPr>
          <w:sz w:val="32"/>
          <w:szCs w:val="32"/>
          <w:lang w:val="es-ES_tradnl"/>
        </w:rPr>
        <w:t>Evaluación del Desempeño del Programa Nacional de Caminos Rurales Fase II</w:t>
      </w:r>
    </w:p>
    <w:p w:rsidR="00B8033A" w:rsidRPr="00AB1224" w:rsidRDefault="00AB1224" w:rsidP="00FC565F">
      <w:pPr>
        <w:pStyle w:val="Heading1"/>
      </w:pPr>
      <w:r w:rsidRPr="00AB1224">
        <w:t>Introducción</w:t>
      </w:r>
    </w:p>
    <w:p w:rsidR="00B8033A" w:rsidRPr="00AB1224" w:rsidRDefault="00AB1224" w:rsidP="00AB1224">
      <w:pPr>
        <w:pStyle w:val="Heading2"/>
      </w:pPr>
      <w:r w:rsidRPr="00AB1224">
        <w:t>Alcance del documento.</w:t>
      </w:r>
    </w:p>
    <w:p w:rsidR="00B8033A" w:rsidRDefault="00AB1224" w:rsidP="00FA2C9A">
      <w:pPr>
        <w:numPr>
          <w:ilvl w:val="1"/>
          <w:numId w:val="1"/>
        </w:numPr>
        <w:tabs>
          <w:tab w:val="clear" w:pos="360"/>
          <w:tab w:val="num" w:pos="709"/>
        </w:tabs>
        <w:spacing w:before="240"/>
        <w:ind w:left="709" w:hanging="709"/>
        <w:jc w:val="both"/>
      </w:pPr>
      <w:r>
        <w:rPr>
          <w:lang w:val="es-ES"/>
        </w:rPr>
        <w:t>El presente documento</w:t>
      </w:r>
      <w:r w:rsidR="00C20421">
        <w:rPr>
          <w:rStyle w:val="FootnoteReference"/>
          <w:lang w:val="es-ES"/>
        </w:rPr>
        <w:footnoteReference w:id="1"/>
      </w:r>
      <w:r>
        <w:rPr>
          <w:lang w:val="es-ES"/>
        </w:rPr>
        <w:t xml:space="preserve"> tiene </w:t>
      </w:r>
      <w:r w:rsidR="00B8033A" w:rsidRPr="00B8033A">
        <w:rPr>
          <w:lang w:val="es-ES"/>
        </w:rPr>
        <w:t xml:space="preserve"> </w:t>
      </w:r>
      <w:r>
        <w:rPr>
          <w:lang w:val="es-ES"/>
        </w:rPr>
        <w:t xml:space="preserve">por </w:t>
      </w:r>
      <w:r w:rsidR="00B8033A" w:rsidRPr="00B8033A">
        <w:rPr>
          <w:lang w:val="es-ES"/>
        </w:rPr>
        <w:t xml:space="preserve">objeto </w:t>
      </w:r>
      <w:r>
        <w:rPr>
          <w:lang w:val="es-ES"/>
        </w:rPr>
        <w:t>suministrar información relevante</w:t>
      </w:r>
      <w:r w:rsidR="00B8033A" w:rsidRPr="00B8033A">
        <w:rPr>
          <w:lang w:val="es-ES"/>
        </w:rPr>
        <w:t xml:space="preserve"> al Equipo de Proyecto del Programa Nacional de Caminos Vecinales, para Reconstrucción de Puentes y Rehabilitación de Caminos Rurales (</w:t>
      </w:r>
      <w:r>
        <w:rPr>
          <w:lang w:val="es-ES"/>
        </w:rPr>
        <w:t>PR-L1084), particularmente en lo referente a la</w:t>
      </w:r>
      <w:r w:rsidR="00B8033A" w:rsidRPr="00B8033A">
        <w:rPr>
          <w:lang w:val="es-ES"/>
        </w:rPr>
        <w:t xml:space="preserve"> evaluación del Plan de Gestión de Mantenimiento (PGM) implementado en el marco del Programa Nacional de Caminos Rurales</w:t>
      </w:r>
      <w:r w:rsidR="009161BB">
        <w:rPr>
          <w:lang w:val="es-ES"/>
        </w:rPr>
        <w:t xml:space="preserve"> (PNCR)</w:t>
      </w:r>
      <w:r w:rsidR="00B8033A" w:rsidRPr="00B8033A">
        <w:rPr>
          <w:lang w:val="es-ES"/>
        </w:rPr>
        <w:t xml:space="preserve"> fases 1 y 2</w:t>
      </w:r>
      <w:r w:rsidR="00FA2C9A">
        <w:t>.</w:t>
      </w:r>
    </w:p>
    <w:p w:rsidR="00B8033A" w:rsidRPr="00B8033A" w:rsidRDefault="00AB1224" w:rsidP="00B8033A">
      <w:pPr>
        <w:numPr>
          <w:ilvl w:val="1"/>
          <w:numId w:val="1"/>
        </w:numPr>
        <w:tabs>
          <w:tab w:val="clear" w:pos="360"/>
          <w:tab w:val="num" w:pos="709"/>
        </w:tabs>
        <w:spacing w:before="240"/>
        <w:ind w:left="709" w:hanging="709"/>
        <w:jc w:val="both"/>
        <w:rPr>
          <w:lang w:val="es-ES"/>
        </w:rPr>
      </w:pPr>
      <w:r>
        <w:rPr>
          <w:lang w:val="es-ES"/>
        </w:rPr>
        <w:t>El alcance del documento</w:t>
      </w:r>
      <w:r w:rsidR="00B8033A" w:rsidRPr="00B8033A">
        <w:rPr>
          <w:lang w:val="es-ES"/>
        </w:rPr>
        <w:t>:</w:t>
      </w:r>
    </w:p>
    <w:p w:rsidR="00B8033A" w:rsidRPr="006E6ACE" w:rsidRDefault="00B8033A" w:rsidP="00826CB7">
      <w:pPr>
        <w:pStyle w:val="subpar"/>
        <w:numPr>
          <w:ilvl w:val="2"/>
          <w:numId w:val="3"/>
        </w:numPr>
      </w:pPr>
      <w:r w:rsidRPr="006E6ACE">
        <w:t>Revisión del alcance del PGM, caracterizando todas las modalidades de gestión aplicadas: Por contrato con terceros, Por Convenio con Gobiernos Locales y Por Microempresas.</w:t>
      </w:r>
    </w:p>
    <w:p w:rsidR="00B8033A" w:rsidRPr="006E6ACE" w:rsidRDefault="00B8033A" w:rsidP="00826CB7">
      <w:pPr>
        <w:pStyle w:val="subpar"/>
        <w:numPr>
          <w:ilvl w:val="2"/>
          <w:numId w:val="3"/>
        </w:numPr>
      </w:pPr>
      <w:r w:rsidRPr="006E6ACE">
        <w:t>Sistematización de la experiencia e identificación de lecciones aprendidas sobre la aplicación de las modalidades de gestión Por Convenio con Gobiernos Locales y Por Microempresas.</w:t>
      </w:r>
    </w:p>
    <w:p w:rsidR="00B8033A" w:rsidRPr="006E6ACE" w:rsidRDefault="00B8033A" w:rsidP="00826CB7">
      <w:pPr>
        <w:pStyle w:val="subpar"/>
        <w:numPr>
          <w:ilvl w:val="2"/>
          <w:numId w:val="3"/>
        </w:numPr>
      </w:pPr>
      <w:r w:rsidRPr="006E6ACE">
        <w:t xml:space="preserve">Evaluación de la eficiencia y la eficacia del PGM según cada modalidad de mantenimiento, midiendo resultados </w:t>
      </w:r>
      <w:r w:rsidRPr="006E6ACE">
        <w:rPr>
          <w:lang w:val="es-AR"/>
        </w:rPr>
        <w:t>obtenidos, el cumplimiento de los objetivos, la adecuación de los métodos, la eficiencia en el uso de los recursos, el impacto provocado.</w:t>
      </w:r>
    </w:p>
    <w:p w:rsidR="00B8033A" w:rsidRPr="006E6ACE" w:rsidRDefault="00B8033A" w:rsidP="00826CB7">
      <w:pPr>
        <w:pStyle w:val="subpar"/>
        <w:numPr>
          <w:ilvl w:val="2"/>
          <w:numId w:val="3"/>
        </w:numPr>
      </w:pPr>
      <w:r w:rsidRPr="006E6ACE">
        <w:t>Elaboración de propuestas y recomendaciones para su incorporación en la nueva operación PNCV.</w:t>
      </w:r>
    </w:p>
    <w:p w:rsidR="00CB3665" w:rsidRPr="00AB1224" w:rsidRDefault="00CB3665" w:rsidP="00CB3665">
      <w:pPr>
        <w:pStyle w:val="Heading2"/>
      </w:pPr>
      <w:r>
        <w:t>M</w:t>
      </w:r>
      <w:r w:rsidRPr="00AB1224">
        <w:t>etodología</w:t>
      </w:r>
      <w:r>
        <w:t xml:space="preserve"> y fuentes de información</w:t>
      </w:r>
      <w:r w:rsidRPr="00AB1224">
        <w:t>.</w:t>
      </w:r>
    </w:p>
    <w:p w:rsidR="00CB3665" w:rsidRDefault="00CB3665" w:rsidP="00937781">
      <w:pPr>
        <w:numPr>
          <w:ilvl w:val="1"/>
          <w:numId w:val="1"/>
        </w:numPr>
        <w:tabs>
          <w:tab w:val="clear" w:pos="360"/>
          <w:tab w:val="num" w:pos="709"/>
        </w:tabs>
        <w:spacing w:before="240"/>
        <w:ind w:left="709" w:hanging="709"/>
        <w:jc w:val="both"/>
      </w:pPr>
      <w:r>
        <w:t>Como metodología para la elaboración del presente documento se analiza la información suministrada por el MOPC y aquella obtenida de las fuentes del BID. Además, se considera la información y las opiniones vertidas por los actores de la ejecución del Programa Nacional de Caminos Rurales del MOPC. También se recurre a la legislación vigente que otorga el marco jurídico a las operaciones, incluyendo las Políticas y documentos estándar estipulados por el BID.</w:t>
      </w:r>
      <w:r w:rsidR="00CC4E5C">
        <w:t xml:space="preserve"> La labor principal del análisis consiste en la caracterización de las modalidades de ejecución aplicadas para el mantenimiento de los caminos vecinales, señalando las diferencias relevantes y rescatando aquellos aspectos sustanciales que permitan apreciar debilidades y fortalezas, logros y déficits, que permitan generar recomendaciones para una gestión más eficiente y eficaz del mantenimiento vial, componente importante del PNCR y PNCV.</w:t>
      </w:r>
    </w:p>
    <w:p w:rsidR="00CC4E5C" w:rsidRDefault="00CC4E5C" w:rsidP="00937781">
      <w:pPr>
        <w:numPr>
          <w:ilvl w:val="1"/>
          <w:numId w:val="1"/>
        </w:numPr>
        <w:tabs>
          <w:tab w:val="clear" w:pos="360"/>
          <w:tab w:val="num" w:pos="709"/>
        </w:tabs>
        <w:spacing w:before="240"/>
        <w:ind w:left="709" w:hanging="709"/>
        <w:jc w:val="both"/>
      </w:pPr>
      <w:r w:rsidRPr="00CC4E5C">
        <w:rPr>
          <w:b/>
        </w:rPr>
        <w:lastRenderedPageBreak/>
        <w:t>Unidad ejecutora del PNCR</w:t>
      </w:r>
      <w:r>
        <w:t xml:space="preserve">. En la estructura organizacional jerárquica del MOPC, la función de unidad ejecutora del PNCR es propiamente la Dirección de Caminos Vecinales (DCV), dependiente del Viceministerio de Obras Públicas y Comunicaciones (VMOP), que al efecto se apoya en el Departamento de Operaciones y la Unidad de Gestión del Mantenimiento. </w:t>
      </w:r>
    </w:p>
    <w:p w:rsidR="00CC4E5C" w:rsidRDefault="00CC4E5C" w:rsidP="00937781">
      <w:pPr>
        <w:numPr>
          <w:ilvl w:val="1"/>
          <w:numId w:val="1"/>
        </w:numPr>
        <w:tabs>
          <w:tab w:val="clear" w:pos="360"/>
          <w:tab w:val="num" w:pos="709"/>
        </w:tabs>
        <w:spacing w:before="240"/>
        <w:ind w:left="709" w:hanging="709"/>
        <w:jc w:val="both"/>
      </w:pPr>
      <w:r w:rsidRPr="00CC4E5C">
        <w:rPr>
          <w:b/>
        </w:rPr>
        <w:t>Fuentes de información</w:t>
      </w:r>
      <w:r>
        <w:t>. En primer</w:t>
      </w:r>
      <w:r w:rsidR="00937781">
        <w:t xml:space="preserve"> término, se recurre a </w:t>
      </w:r>
      <w:r w:rsidR="00AB1224">
        <w:t xml:space="preserve">la información suministrada por la Dirección de Caminos Vecinales (DCV) del MOPC, específicamente por sus dependencias el Departamento de Operaciones y la Unidad de Gestión del Mantenimiento (UGM). En segundo término, a la información recabada </w:t>
      </w:r>
      <w:r w:rsidR="00FC4EBC">
        <w:t>en las</w:t>
      </w:r>
      <w:r w:rsidR="00AB1224">
        <w:t xml:space="preserve"> entrevistas a los jefes de ambas dependencias, el Ing. Eduardo Benítez, Jefe del Departamento de Operaciones, y el Ing. Nelson </w:t>
      </w:r>
      <w:proofErr w:type="spellStart"/>
      <w:r w:rsidR="00AB1224">
        <w:t>Rivet</w:t>
      </w:r>
      <w:proofErr w:type="spellEnd"/>
      <w:r w:rsidR="00AB1224">
        <w:t>, Jefe de la UG</w:t>
      </w:r>
      <w:r>
        <w:t>M</w:t>
      </w:r>
      <w:r w:rsidR="00FC4EBC">
        <w:t>, quienes brindaron numerosos comentarios, particularmente para clarificar los aspectos más relevantes observados en los documentos del Ejecutor como para aportar conclusiones y recomendaciones sobre las proyectos ejecutados en el marco de los préstamos.</w:t>
      </w:r>
    </w:p>
    <w:p w:rsidR="00144921" w:rsidRPr="00AB1224" w:rsidRDefault="00144921" w:rsidP="00144921">
      <w:pPr>
        <w:pStyle w:val="Heading1"/>
      </w:pPr>
      <w:r>
        <w:t>Antecedentes del PNCR.</w:t>
      </w:r>
    </w:p>
    <w:p w:rsidR="00E06265" w:rsidRPr="00B8033A" w:rsidRDefault="00144921" w:rsidP="00AB1224">
      <w:pPr>
        <w:pStyle w:val="Heading2"/>
      </w:pPr>
      <w:r>
        <w:t>Historia</w:t>
      </w:r>
      <w:r w:rsidR="00AB1224">
        <w:t xml:space="preserve"> del Programa</w:t>
      </w:r>
      <w:r>
        <w:t xml:space="preserve"> Nacional</w:t>
      </w:r>
      <w:r w:rsidR="00AB1224">
        <w:t xml:space="preserve"> de Caminos Rurales.</w:t>
      </w:r>
    </w:p>
    <w:p w:rsidR="00E06265" w:rsidRDefault="00E06265" w:rsidP="00E06265">
      <w:pPr>
        <w:numPr>
          <w:ilvl w:val="1"/>
          <w:numId w:val="1"/>
        </w:numPr>
        <w:tabs>
          <w:tab w:val="clear" w:pos="360"/>
          <w:tab w:val="num" w:pos="709"/>
        </w:tabs>
        <w:spacing w:before="240"/>
        <w:ind w:left="709" w:hanging="709"/>
        <w:jc w:val="both"/>
      </w:pPr>
      <w:r>
        <w:t>E</w:t>
      </w:r>
      <w:r w:rsidRPr="00E06265">
        <w:t>l Programa Nacional de Caminos Rurales-Primera Etapa (PNCR1), fue financiado a través de los contratos de préstamo 744/OC y 745/OC, suscritos en 1993 entre el Gobierno de la República del Paraguay y el Banco. En el marco de estas dos operaciones fueron mejorados 820 km de caminos rurales, que permitió además el sentar las bases para una gestión más eficiente y sostenible de la infraestructura de caminos vecinales, con la consolidación institucional y técnica de la Dirección de Caminos Vecinales (DCV) y la Dirección de Gestión Ambiental (DGA) del MOPC. Estas dos operaciones incorporaron un componente ambiental y social para manejar los impactos directos e indirectos y la protección de comunidades indígenas ubicadas en el Área de Influencia Indirecta (AII) de las vías intervenidas.</w:t>
      </w:r>
    </w:p>
    <w:p w:rsidR="00E06265" w:rsidRDefault="00E06265" w:rsidP="00E06265">
      <w:pPr>
        <w:numPr>
          <w:ilvl w:val="1"/>
          <w:numId w:val="1"/>
        </w:numPr>
        <w:tabs>
          <w:tab w:val="clear" w:pos="360"/>
          <w:tab w:val="num" w:pos="709"/>
        </w:tabs>
        <w:spacing w:before="240"/>
        <w:ind w:left="709" w:hanging="709"/>
        <w:jc w:val="both"/>
      </w:pPr>
      <w:r>
        <w:t xml:space="preserve">El Programa Nacional de Caminos Rurales-Segunda Etapa (PNCR2), que fue desarrollado bajo la modalidad de </w:t>
      </w:r>
      <w:proofErr w:type="spellStart"/>
      <w:r>
        <w:t>multifase</w:t>
      </w:r>
      <w:proofErr w:type="spellEnd"/>
      <w:r>
        <w:t xml:space="preserve"> (dos fases), permitió dar continuidad a los esfuerzos efectuados en el PNCR1 e incorporar las lecciones aprendidas de su ejecución. La primera fase del PNCR2</w:t>
      </w:r>
      <w:r w:rsidR="00895E43">
        <w:t xml:space="preserve"> (PR-L0104)</w:t>
      </w:r>
      <w:r>
        <w:t>, financiada a través del préstamo 1230/OC-PR que fue suscrito en el año 2000, permitió la rehabilitación y el mantenimiento de 730 km de caminos principales de la red prioritaria de caminos vecinales de la Región Oriental (RO) del país. Esta operación incorporó un Plan de Gestión Ambiental (PGA) y de Apoyo a Comunidades Indígenas, además de un Plan de Gestión de Mantenimiento (PGM), con nuevas modalidades, que permitió cubrir el mantenimiento de 6.000 km de caminos vecinales en todo el PNCR2.</w:t>
      </w:r>
    </w:p>
    <w:p w:rsidR="00E06265" w:rsidRDefault="00E06265" w:rsidP="00E06265">
      <w:pPr>
        <w:numPr>
          <w:ilvl w:val="1"/>
          <w:numId w:val="1"/>
        </w:numPr>
        <w:tabs>
          <w:tab w:val="clear" w:pos="360"/>
          <w:tab w:val="num" w:pos="709"/>
        </w:tabs>
        <w:spacing w:before="240"/>
        <w:ind w:left="709" w:hanging="709"/>
        <w:jc w:val="both"/>
      </w:pPr>
      <w:r>
        <w:t xml:space="preserve">La segunda fase del PNCR2 </w:t>
      </w:r>
      <w:r w:rsidR="00895E43">
        <w:t xml:space="preserve">(PR-L1019) </w:t>
      </w:r>
      <w:r>
        <w:t>contempló: el financiamiento para la rehabilitación de 1.100 km de caminos principales de la red prioritaria de caminos vecinales de la RO del país; el mantenimiento periódico y rutinario de 3.080 km de caminos vecinales intervenidos con el PNCR1 y el PNCR2-Fase I y de los 1.100 km en dicha fase indicados; la recuperación de puntos críticos y sustitución de puentes de madera; y el empedrado de calles urbanas, entre otros aspectos.</w:t>
      </w:r>
    </w:p>
    <w:p w:rsidR="00E06265" w:rsidRDefault="00E06265" w:rsidP="00E06265">
      <w:pPr>
        <w:numPr>
          <w:ilvl w:val="1"/>
          <w:numId w:val="1"/>
        </w:numPr>
        <w:tabs>
          <w:tab w:val="clear" w:pos="360"/>
          <w:tab w:val="num" w:pos="709"/>
        </w:tabs>
        <w:spacing w:before="240"/>
        <w:ind w:left="709" w:hanging="709"/>
        <w:jc w:val="both"/>
      </w:pPr>
      <w:r>
        <w:lastRenderedPageBreak/>
        <w:t>El actual Programa Nacional de Caminos Rurales (PR-L1084) busca contribuir al aumento de la competitividad de la producción nacional y a elevar el nivel de vida de la población rural. El programa continuará apoyando la rehabilitación de caminos vecinales principales de la red prioritaria del Paraguay así como las actividades de mantenimiento de los caminos vecinales que han sido intervenidos por programas anteriores del Banco y de los que se rehabiliten y mejoren con la presente operación. Para lograr lo anterior, el programa ha sido estructurado en los siguientes componentes principales:  (i) ingeniería, supervisión y administración del programa, que financiará la elaboración de proyectos de ingeniería, la fiscalización de la ejecución de las obras, y la administración del programa; (ii) obras civiles, que contempla la rehabilitación de  280 km  de caminos rurales, el reemplazo de 85 puentes de madera por puentes de concreto (2.947 metros lineales), el mantenimiento de un total de 3.800 km de caminos vecinales, y las obras de mitigación ambiental y social;  (iii) monitoreo, que incluye recursos para el seguimiento técnico y ambiental del programa; y (iv) auditoría financiera.</w:t>
      </w:r>
    </w:p>
    <w:p w:rsidR="00FC4EBC" w:rsidRPr="00B8033A" w:rsidRDefault="00FC4EBC" w:rsidP="00FC4EBC">
      <w:pPr>
        <w:pStyle w:val="Heading2"/>
      </w:pPr>
      <w:r>
        <w:t>Informe de Terminación de Proyecto (PCR) de la PR-L0104</w:t>
      </w:r>
      <w:r>
        <w:rPr>
          <w:rStyle w:val="FootnoteReference"/>
        </w:rPr>
        <w:footnoteReference w:id="2"/>
      </w:r>
      <w:r>
        <w:t>.</w:t>
      </w:r>
    </w:p>
    <w:p w:rsidR="00FC4EBC" w:rsidRPr="00FC4EBC" w:rsidRDefault="00FC4EBC" w:rsidP="00FC4EBC">
      <w:pPr>
        <w:numPr>
          <w:ilvl w:val="1"/>
          <w:numId w:val="1"/>
        </w:numPr>
        <w:tabs>
          <w:tab w:val="clear" w:pos="360"/>
          <w:tab w:val="num" w:pos="709"/>
        </w:tabs>
        <w:spacing w:before="240"/>
        <w:ind w:left="709" w:hanging="709"/>
        <w:jc w:val="both"/>
      </w:pPr>
      <w:r>
        <w:t xml:space="preserve">La operación PR-L0104 se denominó </w:t>
      </w:r>
      <w:r w:rsidRPr="00FC4EBC">
        <w:rPr>
          <w:lang w:val="es-PY"/>
        </w:rPr>
        <w:t xml:space="preserve">Programa Nacional de Caminos Rurales </w:t>
      </w:r>
      <w:r>
        <w:rPr>
          <w:lang w:val="es-PY"/>
        </w:rPr>
        <w:t xml:space="preserve">2da. Etapa – 1ª </w:t>
      </w:r>
      <w:r w:rsidRPr="00FC4EBC">
        <w:rPr>
          <w:lang w:val="es-PY"/>
        </w:rPr>
        <w:t xml:space="preserve"> Fase</w:t>
      </w:r>
      <w:r>
        <w:rPr>
          <w:lang w:val="es-PY"/>
        </w:rPr>
        <w:t xml:space="preserve">. Dado que esta operación fue la predecesora del actual PNCR 2ª etapa fase II, se indican las conclusiones y recomendaciones resultantes de la evaluación de dicha ejecución. </w:t>
      </w:r>
    </w:p>
    <w:p w:rsidR="00474600" w:rsidRDefault="00474600" w:rsidP="00101062">
      <w:pPr>
        <w:numPr>
          <w:ilvl w:val="1"/>
          <w:numId w:val="1"/>
        </w:numPr>
        <w:tabs>
          <w:tab w:val="clear" w:pos="360"/>
          <w:tab w:val="num" w:pos="709"/>
        </w:tabs>
        <w:spacing w:before="240"/>
        <w:ind w:left="709" w:hanging="709"/>
        <w:jc w:val="both"/>
      </w:pPr>
      <w:r w:rsidRPr="00B17B75">
        <w:rPr>
          <w:b/>
        </w:rPr>
        <w:t>Plan de Gestión de Mantenimiento (US$10.100.000)</w:t>
      </w:r>
      <w:r>
        <w:t>.  El PGM tiene como finalidad la mejora de la gestión del mantenimiento en los 6.000 km de la red prioritaria, que sirven  a  las  áreas  más  productivas.  El  PGM  consiste  en  la  implantación,  en  forma paulatina,  de  modalidades  más  eficientes  de  gestión,  evitando  el  deterioro  de  las inversiones efectuadas y facilitando el acceso a las zonas rurales más productivas del país, principalmente en las épocas en que es mayor la demanda de transporte. Dichas modalidades  incluyen  la  contratación  del  mantenimiento  al  sector  privado;  la suscripción de convenios con las gobernaciones, municipios y comunidades locales; y la  mejora  de  la  eficiencia  en  el  mantenimiento  por  administración.  La  estrategia  del PGM  es  que  la  DCV  pueda  optimizar  el  uso  de  sus  recursos  en  una  red  física  más reducida,  mejorando  la  calidad  del  mantenimiento  realizado,  y  que  en  ciertas  zonas descentralice  la  operación  del  mantenimiento,  que  quedaría  a  cargo  de  las comunidades beneficiarias. Asimismo,  para  zonas donde  exista una red con  densidad suficiente,  el  mantenimiento  seria  realizado  con  el  sector  privado.  Las  condiciones para  el  primer  desembolso  del  Préstamo,  establecía  que  el  ejecutor  presentaría  una propuesta detallada  de  la ejecución del PGM, incluyendo normas, procedimientos de contratación  y  modalidad  de  supervisión  de  los  contratos  de  mantenimiento  con empresas privadas, y la propuesta detallada para la celebración de los convenios en las zonas identificadas.</w:t>
      </w:r>
    </w:p>
    <w:p w:rsidR="00474600" w:rsidRDefault="00474600" w:rsidP="00101062">
      <w:pPr>
        <w:numPr>
          <w:ilvl w:val="1"/>
          <w:numId w:val="1"/>
        </w:numPr>
        <w:tabs>
          <w:tab w:val="clear" w:pos="360"/>
          <w:tab w:val="num" w:pos="709"/>
        </w:tabs>
        <w:spacing w:before="240"/>
        <w:ind w:left="709" w:hanging="709"/>
        <w:jc w:val="both"/>
      </w:pPr>
      <w:r>
        <w:t xml:space="preserve">Se estableció que las  actividades de mantenimiento  dependerían  de las características de  los  caminos  y  de  su  clasificación  funcional  en  la  red  vecinal.  En  el  caso  de  los caminos  principales se estimó  que, el costo promedio del mantenimiento, incluyendo el rutinario y periódico sería del orden de los US$1.400 por km-año, y para caminos secundarios alrededor de US$900 por km-año. Con relación a los gastos asociados al mantenimiento  rutinario,  los  correspondientes  a  </w:t>
      </w:r>
      <w:r>
        <w:lastRenderedPageBreak/>
        <w:t xml:space="preserve">la  DCV  serán  financiados  por  la contrapartida local, y está previsto el uso de una pequeña porción del financiamiento del Banco (menos del 2%), que complementaría los aportes de organismos locales para la puesta en marcha de los convenios de mantenimiento a cargo de estos últimos. </w:t>
      </w:r>
    </w:p>
    <w:p w:rsidR="00474600" w:rsidRDefault="00474600" w:rsidP="00101062">
      <w:pPr>
        <w:numPr>
          <w:ilvl w:val="1"/>
          <w:numId w:val="1"/>
        </w:numPr>
        <w:tabs>
          <w:tab w:val="clear" w:pos="360"/>
          <w:tab w:val="num" w:pos="709"/>
        </w:tabs>
        <w:spacing w:before="240"/>
        <w:ind w:left="709" w:hanging="709"/>
        <w:jc w:val="both"/>
      </w:pPr>
      <w:r>
        <w:t>El PGM abarcará las dos fases de ejecución del PNCR-2, y contribuirá a que la red prioritaria  de  caminos  vecinales  tenga  un  mantenimiento  efectivo  y  sustentable.  Los trabajos  de  mantenimiento  considerados  en  el  PGM  para  la  Fase  1  serían  los siguientes:</w:t>
      </w:r>
    </w:p>
    <w:p w:rsidR="00474600" w:rsidRDefault="00474600" w:rsidP="00101062">
      <w:pPr>
        <w:numPr>
          <w:ilvl w:val="1"/>
          <w:numId w:val="1"/>
        </w:numPr>
        <w:tabs>
          <w:tab w:val="clear" w:pos="360"/>
          <w:tab w:val="num" w:pos="709"/>
        </w:tabs>
        <w:spacing w:before="240"/>
        <w:ind w:left="709" w:hanging="709"/>
        <w:jc w:val="both"/>
      </w:pPr>
      <w:r w:rsidRPr="00895E43">
        <w:rPr>
          <w:i/>
        </w:rPr>
        <w:t>Mantenimiento  vial  por  contrato  (US$2.250.000)</w:t>
      </w:r>
      <w:r>
        <w:t>.  El  Programa  prevé  la tercerización de la ejecución del mantenimiento, en una dimensión que sea razonable dada la limitada capacidad de las firmas contratistas, la necesidad de agrupar las obras para que se puedan obtener las economías de escala que justifiquen su contratación, y</w:t>
      </w:r>
      <w:r w:rsidR="00101062">
        <w:t xml:space="preserve"> </w:t>
      </w:r>
      <w:r>
        <w:t>las  disponibilidades  financieras</w:t>
      </w:r>
      <w:r w:rsidR="00101062">
        <w:t>.</w:t>
      </w:r>
    </w:p>
    <w:p w:rsidR="00474600" w:rsidRDefault="00474600" w:rsidP="00101062">
      <w:pPr>
        <w:numPr>
          <w:ilvl w:val="1"/>
          <w:numId w:val="1"/>
        </w:numPr>
        <w:tabs>
          <w:tab w:val="clear" w:pos="360"/>
          <w:tab w:val="num" w:pos="709"/>
        </w:tabs>
        <w:spacing w:before="240"/>
        <w:ind w:left="709" w:hanging="709"/>
        <w:jc w:val="both"/>
      </w:pPr>
      <w:r w:rsidRPr="00895E43">
        <w:rPr>
          <w:i/>
        </w:rPr>
        <w:t>Mantenimiento  vial  por  convenio  con  gobiernos  locales  y  comunidades (US$2.750.000)</w:t>
      </w:r>
      <w:r>
        <w:t>.  Con  base  en  la  experiencia  ya  alcanzada  por  la  DCV  en  el mantenimiento  de  caminos  en  colaboración  con  gobernaciones  y  municipios,  el</w:t>
      </w:r>
      <w:r w:rsidR="00101062">
        <w:t xml:space="preserve"> </w:t>
      </w:r>
      <w:r>
        <w:t>Programa  previo  contribuir  significativamente  a  la  institucionalización  de  esquemas administrativos que  regulen la participación de la comunidad en  el mantenimiento de los  caminos  vecinales.  Dicho  esquema  contemplará  la  determinación  de  los  aportes que  el  Gobierno  Central  transferiría  a  los  gobiernos  locales  para  las  actividades  de</w:t>
      </w:r>
      <w:r w:rsidR="00101062">
        <w:t xml:space="preserve"> </w:t>
      </w:r>
      <w:r>
        <w:t>mantenimiento; los aportes en recursos y bienes que harán las instancias de  gobierno local y la comunidad para las tareas de mantenimiento; los equipos viales  que la DCV entregará  en  comodato  para  su  operación  en  las  tareas  de  mantenimiento;  la planificación técnica conjunta del programa trimestral de trabajos de mantenimiento dela red; y la supervisión y verificación de los trabajos por técnicos de la DCV.</w:t>
      </w:r>
    </w:p>
    <w:p w:rsidR="00173F81" w:rsidRDefault="00101062" w:rsidP="00101062">
      <w:pPr>
        <w:numPr>
          <w:ilvl w:val="1"/>
          <w:numId w:val="1"/>
        </w:numPr>
        <w:tabs>
          <w:tab w:val="clear" w:pos="360"/>
          <w:tab w:val="num" w:pos="709"/>
        </w:tabs>
        <w:spacing w:before="240"/>
        <w:ind w:left="709" w:hanging="709"/>
        <w:jc w:val="both"/>
      </w:pPr>
      <w:r w:rsidRPr="00895E43">
        <w:rPr>
          <w:i/>
        </w:rPr>
        <w:t>Rehabilitación  de  áreas  críticas  por  administración  directa  (US$3.000.000)</w:t>
      </w:r>
      <w:r>
        <w:t xml:space="preserve">. Incluye la ejecución de obras de rehabilitación puntuales en aproximadamente 400 km de la red principal, en zonas consideradas críticas por afectar el tránsito vial y que no pueden  esperar  a  la  ejecución  del  mejoramiento  integral  previsto  en  la  Fase  2  </w:t>
      </w:r>
      <w:r w:rsidR="00895E43">
        <w:t>d</w:t>
      </w:r>
      <w:r>
        <w:t>el Programa</w:t>
      </w:r>
      <w:r w:rsidR="00895E43">
        <w:t>.</w:t>
      </w:r>
      <w:r>
        <w:t xml:space="preserve"> </w:t>
      </w:r>
    </w:p>
    <w:p w:rsidR="00101062" w:rsidRDefault="00101062" w:rsidP="00101062">
      <w:pPr>
        <w:numPr>
          <w:ilvl w:val="1"/>
          <w:numId w:val="1"/>
        </w:numPr>
        <w:tabs>
          <w:tab w:val="clear" w:pos="360"/>
          <w:tab w:val="num" w:pos="709"/>
        </w:tabs>
        <w:spacing w:before="240"/>
        <w:ind w:left="709" w:hanging="709"/>
        <w:jc w:val="both"/>
      </w:pPr>
      <w:r w:rsidRPr="00173F81">
        <w:rPr>
          <w:i/>
        </w:rPr>
        <w:t>Adquisición de equipos de mantenimiento vial (US$2.100.000)</w:t>
      </w:r>
      <w:r>
        <w:t xml:space="preserve">. Contempla la adquisición de tres grupos de equipos para mantenimiento rutinario  por un monto de aproximadamente US$250.000 cada  uno,  que  incluyen  principalmente  equipo  de nivelación  y  compactación  </w:t>
      </w:r>
      <w:proofErr w:type="spellStart"/>
      <w:r>
        <w:t>remolcable</w:t>
      </w:r>
      <w:proofErr w:type="spellEnd"/>
      <w:r>
        <w:t>.  Este  equipo  sería  propiedad  de  la  DCV y podría ser entregado en comodato para su operación por las gobernaciones, municipios o comunidades locales para la ejecución de los convenios de mantenimiento. Adicionalmente, serán adquiridos dos grupos de equipos para la ejecución de las obras del  subcomponente de rehabilitación  de  áreas  críticas,  con un costo de unos US$700.000 cada uno, que  incluye equipo  mínimo de movimiento de tierra, nivelación, y compactación, así como instrumentos de ingeniería y laboratorio para la supervisión de las obras previstas.</w:t>
      </w:r>
    </w:p>
    <w:p w:rsidR="00101062" w:rsidRDefault="00101062" w:rsidP="00B17B75">
      <w:pPr>
        <w:numPr>
          <w:ilvl w:val="1"/>
          <w:numId w:val="1"/>
        </w:numPr>
        <w:tabs>
          <w:tab w:val="clear" w:pos="360"/>
          <w:tab w:val="num" w:pos="709"/>
        </w:tabs>
        <w:spacing w:before="240"/>
        <w:ind w:left="709" w:hanging="709"/>
        <w:jc w:val="both"/>
      </w:pPr>
      <w:r w:rsidRPr="00B17B75">
        <w:rPr>
          <w:b/>
        </w:rPr>
        <w:t>Externalidades</w:t>
      </w:r>
      <w:r>
        <w:t>. Definidas y validadas en e</w:t>
      </w:r>
      <w:r w:rsidR="00B17B75">
        <w:t>l Taller de Cierre del Programa</w:t>
      </w:r>
      <w:r>
        <w:t>.</w:t>
      </w:r>
    </w:p>
    <w:p w:rsidR="00101062" w:rsidRDefault="00101062" w:rsidP="006D326F">
      <w:pPr>
        <w:keepNext/>
        <w:spacing w:before="240"/>
        <w:ind w:left="709"/>
        <w:jc w:val="both"/>
      </w:pPr>
      <w:r>
        <w:lastRenderedPageBreak/>
        <w:t>Positivas</w:t>
      </w:r>
    </w:p>
    <w:p w:rsidR="00101062" w:rsidRPr="00B17B75" w:rsidRDefault="00101062" w:rsidP="00826CB7">
      <w:pPr>
        <w:pStyle w:val="ListParagraph"/>
        <w:numPr>
          <w:ilvl w:val="3"/>
          <w:numId w:val="3"/>
        </w:numPr>
        <w:tabs>
          <w:tab w:val="clear" w:pos="1584"/>
          <w:tab w:val="num" w:pos="1276"/>
        </w:tabs>
        <w:spacing w:after="120" w:line="240" w:lineRule="auto"/>
        <w:ind w:left="1276" w:hanging="283"/>
        <w:contextualSpacing w:val="0"/>
        <w:jc w:val="both"/>
        <w:rPr>
          <w:rFonts w:ascii="Times New Roman" w:hAnsi="Times New Roman" w:cs="Times New Roman"/>
          <w:sz w:val="24"/>
          <w:szCs w:val="24"/>
        </w:rPr>
      </w:pPr>
      <w:r w:rsidRPr="00B17B75">
        <w:rPr>
          <w:rFonts w:ascii="Times New Roman" w:hAnsi="Times New Roman" w:cs="Times New Roman"/>
          <w:sz w:val="24"/>
          <w:szCs w:val="24"/>
        </w:rPr>
        <w:t>En forma general, se puede mencionar que el programa contó con disponibilidad presupuestaria para el cumplimiento oportuno de los planes de mantenimiento.</w:t>
      </w:r>
    </w:p>
    <w:p w:rsidR="00101062" w:rsidRPr="00B17B75" w:rsidRDefault="00101062" w:rsidP="00826CB7">
      <w:pPr>
        <w:pStyle w:val="ListParagraph"/>
        <w:numPr>
          <w:ilvl w:val="3"/>
          <w:numId w:val="3"/>
        </w:numPr>
        <w:tabs>
          <w:tab w:val="clear" w:pos="1584"/>
          <w:tab w:val="num" w:pos="1276"/>
        </w:tabs>
        <w:spacing w:after="120" w:line="240" w:lineRule="auto"/>
        <w:ind w:left="1276" w:hanging="283"/>
        <w:contextualSpacing w:val="0"/>
        <w:jc w:val="both"/>
        <w:rPr>
          <w:rFonts w:ascii="Times New Roman" w:hAnsi="Times New Roman" w:cs="Times New Roman"/>
          <w:sz w:val="24"/>
          <w:szCs w:val="24"/>
        </w:rPr>
      </w:pPr>
      <w:r w:rsidRPr="00B17B75">
        <w:rPr>
          <w:rFonts w:ascii="Times New Roman" w:hAnsi="Times New Roman" w:cs="Times New Roman"/>
          <w:sz w:val="24"/>
          <w:szCs w:val="24"/>
        </w:rPr>
        <w:t>El  Parlamento  y  el  Ministerio  de  Hacienda  asignan  una  gran  importancia  a  los trabajos de mantenimiento de la red vial.</w:t>
      </w:r>
    </w:p>
    <w:p w:rsidR="00101062" w:rsidRPr="00B17B75" w:rsidRDefault="00101062" w:rsidP="00826CB7">
      <w:pPr>
        <w:pStyle w:val="ListParagraph"/>
        <w:numPr>
          <w:ilvl w:val="3"/>
          <w:numId w:val="3"/>
        </w:numPr>
        <w:tabs>
          <w:tab w:val="clear" w:pos="1584"/>
          <w:tab w:val="num" w:pos="1276"/>
        </w:tabs>
        <w:spacing w:after="120" w:line="240" w:lineRule="auto"/>
        <w:ind w:left="1276" w:hanging="283"/>
        <w:contextualSpacing w:val="0"/>
        <w:jc w:val="both"/>
        <w:rPr>
          <w:rFonts w:ascii="Times New Roman" w:hAnsi="Times New Roman" w:cs="Times New Roman"/>
          <w:sz w:val="24"/>
          <w:szCs w:val="24"/>
        </w:rPr>
      </w:pPr>
      <w:r w:rsidRPr="00B17B75">
        <w:rPr>
          <w:rFonts w:ascii="Times New Roman" w:hAnsi="Times New Roman" w:cs="Times New Roman"/>
          <w:sz w:val="24"/>
          <w:szCs w:val="24"/>
        </w:rPr>
        <w:t>Empresas  locales  demostraron  capacidad  técnica  para  desarrollar  las  tareas  de mantenimiento establecidas como resultado del programa.</w:t>
      </w:r>
    </w:p>
    <w:p w:rsidR="00101062" w:rsidRPr="00B17B75" w:rsidRDefault="00101062" w:rsidP="00826CB7">
      <w:pPr>
        <w:pStyle w:val="ListParagraph"/>
        <w:numPr>
          <w:ilvl w:val="3"/>
          <w:numId w:val="3"/>
        </w:numPr>
        <w:tabs>
          <w:tab w:val="clear" w:pos="1584"/>
          <w:tab w:val="num" w:pos="1276"/>
        </w:tabs>
        <w:spacing w:after="120" w:line="240" w:lineRule="auto"/>
        <w:ind w:left="1276" w:hanging="283"/>
        <w:contextualSpacing w:val="0"/>
        <w:jc w:val="both"/>
        <w:rPr>
          <w:rFonts w:ascii="Times New Roman" w:hAnsi="Times New Roman" w:cs="Times New Roman"/>
          <w:sz w:val="24"/>
          <w:szCs w:val="24"/>
        </w:rPr>
      </w:pPr>
      <w:r w:rsidRPr="00B17B75">
        <w:rPr>
          <w:rFonts w:ascii="Times New Roman" w:hAnsi="Times New Roman" w:cs="Times New Roman"/>
          <w:sz w:val="24"/>
          <w:szCs w:val="24"/>
        </w:rPr>
        <w:t>El éxito del mantenimiento depende de la disponibilidad de recursos en tiempo y forma.</w:t>
      </w:r>
    </w:p>
    <w:p w:rsidR="00101062" w:rsidRPr="00B17B75" w:rsidRDefault="00101062" w:rsidP="00826CB7">
      <w:pPr>
        <w:pStyle w:val="ListParagraph"/>
        <w:numPr>
          <w:ilvl w:val="3"/>
          <w:numId w:val="3"/>
        </w:numPr>
        <w:tabs>
          <w:tab w:val="clear" w:pos="1584"/>
          <w:tab w:val="num" w:pos="1276"/>
        </w:tabs>
        <w:spacing w:after="120" w:line="240" w:lineRule="auto"/>
        <w:ind w:left="1276" w:hanging="283"/>
        <w:contextualSpacing w:val="0"/>
        <w:jc w:val="both"/>
        <w:rPr>
          <w:rFonts w:ascii="Times New Roman" w:hAnsi="Times New Roman" w:cs="Times New Roman"/>
          <w:sz w:val="24"/>
          <w:szCs w:val="24"/>
        </w:rPr>
      </w:pPr>
      <w:r w:rsidRPr="00B17B75">
        <w:rPr>
          <w:rFonts w:ascii="Times New Roman" w:hAnsi="Times New Roman" w:cs="Times New Roman"/>
          <w:sz w:val="24"/>
          <w:szCs w:val="24"/>
        </w:rPr>
        <w:t>La  toma  de  decisión  por  parte  de  autoridades  en  tiempo  y  forma  permite  la realización de un mantenimiento efectivo y eficaz.</w:t>
      </w:r>
    </w:p>
    <w:p w:rsidR="00101062" w:rsidRPr="00B17B75" w:rsidRDefault="00101062" w:rsidP="00826CB7">
      <w:pPr>
        <w:pStyle w:val="ListParagraph"/>
        <w:numPr>
          <w:ilvl w:val="3"/>
          <w:numId w:val="3"/>
        </w:numPr>
        <w:tabs>
          <w:tab w:val="clear" w:pos="1584"/>
          <w:tab w:val="num" w:pos="1276"/>
        </w:tabs>
        <w:spacing w:after="120" w:line="240" w:lineRule="auto"/>
        <w:ind w:left="1276" w:hanging="283"/>
        <w:contextualSpacing w:val="0"/>
        <w:jc w:val="both"/>
        <w:rPr>
          <w:rFonts w:ascii="Times New Roman" w:hAnsi="Times New Roman" w:cs="Times New Roman"/>
          <w:sz w:val="24"/>
          <w:szCs w:val="24"/>
        </w:rPr>
      </w:pPr>
      <w:r w:rsidRPr="00B17B75">
        <w:rPr>
          <w:rFonts w:ascii="Times New Roman" w:hAnsi="Times New Roman" w:cs="Times New Roman"/>
          <w:sz w:val="24"/>
          <w:szCs w:val="24"/>
        </w:rPr>
        <w:t xml:space="preserve">Debilitamiento del mercado informal debido a la actividad formal exigida por el programa. </w:t>
      </w:r>
    </w:p>
    <w:p w:rsidR="00101062" w:rsidRPr="00B17B75" w:rsidRDefault="00101062" w:rsidP="00826CB7">
      <w:pPr>
        <w:pStyle w:val="ListParagraph"/>
        <w:numPr>
          <w:ilvl w:val="3"/>
          <w:numId w:val="3"/>
        </w:numPr>
        <w:tabs>
          <w:tab w:val="clear" w:pos="1584"/>
          <w:tab w:val="num" w:pos="1276"/>
        </w:tabs>
        <w:spacing w:after="120" w:line="240" w:lineRule="auto"/>
        <w:ind w:left="1276" w:hanging="283"/>
        <w:contextualSpacing w:val="0"/>
        <w:jc w:val="both"/>
        <w:rPr>
          <w:rFonts w:ascii="Times New Roman" w:hAnsi="Times New Roman" w:cs="Times New Roman"/>
          <w:sz w:val="24"/>
          <w:szCs w:val="24"/>
        </w:rPr>
      </w:pPr>
      <w:r w:rsidRPr="00B17B75">
        <w:rPr>
          <w:rFonts w:ascii="Times New Roman" w:hAnsi="Times New Roman" w:cs="Times New Roman"/>
          <w:sz w:val="24"/>
          <w:szCs w:val="24"/>
        </w:rPr>
        <w:t>Desarrollo económico y contratación  de mano de obra local para el desarrollo de los planes de mantenimiento distritales.</w:t>
      </w:r>
    </w:p>
    <w:p w:rsidR="00101062" w:rsidRPr="00B17B75" w:rsidRDefault="00101062" w:rsidP="00826CB7">
      <w:pPr>
        <w:pStyle w:val="ListParagraph"/>
        <w:numPr>
          <w:ilvl w:val="3"/>
          <w:numId w:val="3"/>
        </w:numPr>
        <w:tabs>
          <w:tab w:val="clear" w:pos="1584"/>
          <w:tab w:val="num" w:pos="1276"/>
        </w:tabs>
        <w:spacing w:after="120" w:line="240" w:lineRule="auto"/>
        <w:ind w:left="1276" w:hanging="283"/>
        <w:contextualSpacing w:val="0"/>
        <w:jc w:val="both"/>
        <w:rPr>
          <w:rFonts w:ascii="Times New Roman" w:hAnsi="Times New Roman" w:cs="Times New Roman"/>
          <w:sz w:val="24"/>
          <w:szCs w:val="24"/>
        </w:rPr>
      </w:pPr>
      <w:r w:rsidRPr="00B17B75">
        <w:rPr>
          <w:rFonts w:ascii="Times New Roman" w:hAnsi="Times New Roman" w:cs="Times New Roman"/>
          <w:sz w:val="24"/>
          <w:szCs w:val="24"/>
        </w:rPr>
        <w:t xml:space="preserve">Cambio  de  la  mentalidad  de  las  empresas  constructoras  a  </w:t>
      </w:r>
      <w:proofErr w:type="spellStart"/>
      <w:r w:rsidRPr="00B17B75">
        <w:rPr>
          <w:rFonts w:ascii="Times New Roman" w:hAnsi="Times New Roman" w:cs="Times New Roman"/>
          <w:sz w:val="24"/>
          <w:szCs w:val="24"/>
        </w:rPr>
        <w:t>gerenciadoras</w:t>
      </w:r>
      <w:proofErr w:type="spellEnd"/>
      <w:r w:rsidRPr="00B17B75">
        <w:rPr>
          <w:rFonts w:ascii="Times New Roman" w:hAnsi="Times New Roman" w:cs="Times New Roman"/>
          <w:sz w:val="24"/>
          <w:szCs w:val="24"/>
        </w:rPr>
        <w:t xml:space="preserve">  en  el marco del mantenimiento por niveles de servicio.</w:t>
      </w:r>
    </w:p>
    <w:p w:rsidR="00101062" w:rsidRPr="00B17B75" w:rsidRDefault="00101062" w:rsidP="00826CB7">
      <w:pPr>
        <w:pStyle w:val="ListParagraph"/>
        <w:numPr>
          <w:ilvl w:val="3"/>
          <w:numId w:val="3"/>
        </w:numPr>
        <w:tabs>
          <w:tab w:val="clear" w:pos="1584"/>
          <w:tab w:val="num" w:pos="1276"/>
        </w:tabs>
        <w:spacing w:after="120" w:line="240" w:lineRule="auto"/>
        <w:ind w:left="1276" w:hanging="283"/>
        <w:contextualSpacing w:val="0"/>
        <w:jc w:val="both"/>
        <w:rPr>
          <w:rFonts w:ascii="Times New Roman" w:hAnsi="Times New Roman" w:cs="Times New Roman"/>
          <w:sz w:val="24"/>
          <w:szCs w:val="24"/>
        </w:rPr>
      </w:pPr>
      <w:r w:rsidRPr="00B17B75">
        <w:rPr>
          <w:rFonts w:ascii="Times New Roman" w:hAnsi="Times New Roman" w:cs="Times New Roman"/>
          <w:sz w:val="24"/>
          <w:szCs w:val="24"/>
        </w:rPr>
        <w:t>Gobiernos Locales involucrados en la implementación del plan de mantenimiento impulsado  por  el  programa,  cuentan  con  manuales  de  procedimientos,  planes  de cuentas  unificados  y  metodologías  de  trabajo  propias  para  este  tipo  de  trabajo dándoles la autonomía para la toma de decisiones.</w:t>
      </w:r>
    </w:p>
    <w:p w:rsidR="00101062" w:rsidRDefault="00101062" w:rsidP="006D326F">
      <w:pPr>
        <w:keepNext/>
        <w:spacing w:before="240"/>
        <w:ind w:left="709"/>
        <w:jc w:val="both"/>
      </w:pPr>
      <w:r>
        <w:t>Negativas</w:t>
      </w:r>
    </w:p>
    <w:p w:rsidR="00101062" w:rsidRPr="00B17B75" w:rsidRDefault="00101062" w:rsidP="00826CB7">
      <w:pPr>
        <w:pStyle w:val="ListParagraph"/>
        <w:numPr>
          <w:ilvl w:val="3"/>
          <w:numId w:val="3"/>
        </w:numPr>
        <w:tabs>
          <w:tab w:val="clear" w:pos="1584"/>
          <w:tab w:val="num" w:pos="1276"/>
        </w:tabs>
        <w:spacing w:after="120" w:line="240" w:lineRule="auto"/>
        <w:ind w:left="1276" w:hanging="283"/>
        <w:contextualSpacing w:val="0"/>
        <w:jc w:val="both"/>
        <w:rPr>
          <w:rFonts w:ascii="Times New Roman" w:hAnsi="Times New Roman" w:cs="Times New Roman"/>
          <w:sz w:val="24"/>
          <w:szCs w:val="24"/>
        </w:rPr>
      </w:pPr>
      <w:r w:rsidRPr="00B17B75">
        <w:rPr>
          <w:rFonts w:ascii="Times New Roman" w:hAnsi="Times New Roman" w:cs="Times New Roman"/>
          <w:sz w:val="24"/>
          <w:szCs w:val="24"/>
        </w:rPr>
        <w:t>Los  controles  efectivos  de  cargas  máximas  admitidas  en  la  red  de  caminos vecinales no fueron implementados</w:t>
      </w:r>
      <w:r w:rsidR="00173F81">
        <w:rPr>
          <w:rFonts w:ascii="Times New Roman" w:hAnsi="Times New Roman" w:cs="Times New Roman"/>
          <w:sz w:val="24"/>
          <w:szCs w:val="24"/>
        </w:rPr>
        <w:t>.</w:t>
      </w:r>
    </w:p>
    <w:p w:rsidR="00101062" w:rsidRPr="00B17B75" w:rsidRDefault="00101062" w:rsidP="00826CB7">
      <w:pPr>
        <w:pStyle w:val="ListParagraph"/>
        <w:numPr>
          <w:ilvl w:val="3"/>
          <w:numId w:val="3"/>
        </w:numPr>
        <w:tabs>
          <w:tab w:val="clear" w:pos="1584"/>
          <w:tab w:val="num" w:pos="1276"/>
        </w:tabs>
        <w:spacing w:after="120" w:line="240" w:lineRule="auto"/>
        <w:ind w:left="1276" w:hanging="283"/>
        <w:contextualSpacing w:val="0"/>
        <w:jc w:val="both"/>
        <w:rPr>
          <w:rFonts w:ascii="Times New Roman" w:hAnsi="Times New Roman" w:cs="Times New Roman"/>
          <w:sz w:val="24"/>
          <w:szCs w:val="24"/>
        </w:rPr>
      </w:pPr>
      <w:r w:rsidRPr="00B17B75">
        <w:rPr>
          <w:rFonts w:ascii="Times New Roman" w:hAnsi="Times New Roman" w:cs="Times New Roman"/>
          <w:sz w:val="24"/>
          <w:szCs w:val="24"/>
        </w:rPr>
        <w:t>No todas las Municipalidades que forman parte de las Asociaciones cuentan con todos los servicios y requisitos administrativos para ser entidad ejecutora.</w:t>
      </w:r>
    </w:p>
    <w:p w:rsidR="00101062" w:rsidRPr="00B17B75" w:rsidRDefault="00101062" w:rsidP="00826CB7">
      <w:pPr>
        <w:pStyle w:val="ListParagraph"/>
        <w:numPr>
          <w:ilvl w:val="3"/>
          <w:numId w:val="3"/>
        </w:numPr>
        <w:tabs>
          <w:tab w:val="clear" w:pos="1584"/>
          <w:tab w:val="num" w:pos="1276"/>
        </w:tabs>
        <w:spacing w:after="120" w:line="240" w:lineRule="auto"/>
        <w:ind w:left="1276" w:hanging="283"/>
        <w:contextualSpacing w:val="0"/>
        <w:jc w:val="both"/>
        <w:rPr>
          <w:rFonts w:ascii="Times New Roman" w:hAnsi="Times New Roman" w:cs="Times New Roman"/>
          <w:sz w:val="24"/>
          <w:szCs w:val="24"/>
        </w:rPr>
      </w:pPr>
      <w:r w:rsidRPr="00B17B75">
        <w:rPr>
          <w:rFonts w:ascii="Times New Roman" w:hAnsi="Times New Roman" w:cs="Times New Roman"/>
          <w:sz w:val="24"/>
          <w:szCs w:val="24"/>
        </w:rPr>
        <w:t>No  todos  los  usuarios  respetan  las  condiciones  en  las  cuales  se  deben  transitar (</w:t>
      </w:r>
      <w:r w:rsidR="00B17B75" w:rsidRPr="00B17B75">
        <w:rPr>
          <w:rFonts w:ascii="Times New Roman" w:hAnsi="Times New Roman" w:cs="Times New Roman"/>
          <w:sz w:val="24"/>
          <w:szCs w:val="24"/>
        </w:rPr>
        <w:t>límites</w:t>
      </w:r>
      <w:r w:rsidRPr="00B17B75">
        <w:rPr>
          <w:rFonts w:ascii="Times New Roman" w:hAnsi="Times New Roman" w:cs="Times New Roman"/>
          <w:sz w:val="24"/>
          <w:szCs w:val="24"/>
        </w:rPr>
        <w:t xml:space="preserve"> de peso, días de lluvias)</w:t>
      </w:r>
      <w:r w:rsidR="00B17B75" w:rsidRPr="00B17B75">
        <w:rPr>
          <w:rFonts w:ascii="Times New Roman" w:hAnsi="Times New Roman" w:cs="Times New Roman"/>
          <w:sz w:val="24"/>
          <w:szCs w:val="24"/>
        </w:rPr>
        <w:t>.</w:t>
      </w:r>
    </w:p>
    <w:p w:rsidR="00B17B75" w:rsidRPr="00B17B75" w:rsidRDefault="00B17B75" w:rsidP="00B17B75">
      <w:pPr>
        <w:numPr>
          <w:ilvl w:val="1"/>
          <w:numId w:val="1"/>
        </w:numPr>
        <w:tabs>
          <w:tab w:val="clear" w:pos="360"/>
          <w:tab w:val="num" w:pos="709"/>
        </w:tabs>
        <w:spacing w:before="240"/>
        <w:ind w:left="709" w:hanging="709"/>
        <w:jc w:val="both"/>
        <w:rPr>
          <w:b/>
        </w:rPr>
      </w:pPr>
      <w:r w:rsidRPr="00B17B75">
        <w:rPr>
          <w:b/>
        </w:rPr>
        <w:t xml:space="preserve">Lecciones aprendidas.  </w:t>
      </w:r>
    </w:p>
    <w:p w:rsidR="00B17B75" w:rsidRP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t xml:space="preserve">Que los cronogramas de ejecución  sean elaborados  teniendo  en  cuenta  los  tiempos reales del MOPC y </w:t>
      </w:r>
      <w:r w:rsidR="00173F81">
        <w:rPr>
          <w:rFonts w:ascii="Times New Roman" w:hAnsi="Times New Roman" w:cs="Times New Roman"/>
          <w:sz w:val="24"/>
          <w:szCs w:val="24"/>
        </w:rPr>
        <w:t>de</w:t>
      </w:r>
      <w:r w:rsidRPr="00B17B75">
        <w:rPr>
          <w:rFonts w:ascii="Times New Roman" w:hAnsi="Times New Roman" w:cs="Times New Roman"/>
          <w:sz w:val="24"/>
          <w:szCs w:val="24"/>
        </w:rPr>
        <w:t xml:space="preserve"> otras instituciones del Gobierno.</w:t>
      </w:r>
    </w:p>
    <w:p w:rsidR="00B17B75" w:rsidRP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t xml:space="preserve">Se evidenció la necesidad de contar con  un  sistema  de  gerenciamiento  que  permita articular una adecuada coordinación de los diferentes componentes del Programa (sociales, ambientales, liberación de franjas), fundamentalmente en la etapa de ejecución, donde se evidencio la necesidad de un monitoreo más eficiente que incluya todos los aspectos señalados. </w:t>
      </w:r>
    </w:p>
    <w:p w:rsidR="00B17B75" w:rsidRP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t xml:space="preserve">Analizar la disponibilidad financiera de las gobernaciones y/o distritos del país, en el momento de establecer metas a ser cumplidas por ellos y que afecten directamente a los resultados de programa. </w:t>
      </w:r>
    </w:p>
    <w:p w:rsidR="00B17B75" w:rsidRP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t xml:space="preserve">Con respecto a la compra de tierras, como medida de compensación de impactos ambientales y sociales  atribuibles al Programa, y, considerando la lentitud de los procesos, tanto en el ámbito interno del MOPC como externo, para concretar la </w:t>
      </w:r>
      <w:r w:rsidRPr="00B17B75">
        <w:rPr>
          <w:rFonts w:ascii="Times New Roman" w:hAnsi="Times New Roman" w:cs="Times New Roman"/>
          <w:sz w:val="24"/>
          <w:szCs w:val="24"/>
        </w:rPr>
        <w:lastRenderedPageBreak/>
        <w:t>adquisición de tierras, se recomienda en lo posible no incluir este tipo de compromisos en futuros Programas.</w:t>
      </w:r>
    </w:p>
    <w:p w:rsidR="00B17B75" w:rsidRP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t>Para las adquisiciones de tierra con características específicas en la etapa de planificación prever los plazos necesarios, puesto que no es un proceso sencillo y además  del MOPC intervienen otras instituciones, siendo: (i) identificación  de  las tierras adecuadas, (ii) negociación con los propietarios o en su defecto la expropiación, (iii) acciones para obtener los fondos para el pago definitivo de las mismas. En este proyecto, la adquisición de algunas tierras previamente  negociadas se vio imposibilitada por la falta de disponibilidad de fondos en forma oportuna.</w:t>
      </w:r>
    </w:p>
    <w:p w:rsidR="00B17B75" w:rsidRP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t>Se ha observado que algunas medidas de mitigación recomendadas para mitigar impactos en carreteras a ser pavimentadas, también son “extrapoladas” para caminos vecinales</w:t>
      </w:r>
      <w:r w:rsidR="00173F81">
        <w:rPr>
          <w:rFonts w:ascii="Times New Roman" w:hAnsi="Times New Roman" w:cs="Times New Roman"/>
          <w:sz w:val="24"/>
          <w:szCs w:val="24"/>
        </w:rPr>
        <w:t>.</w:t>
      </w:r>
      <w:r w:rsidRPr="00B17B75">
        <w:rPr>
          <w:rFonts w:ascii="Times New Roman" w:hAnsi="Times New Roman" w:cs="Times New Roman"/>
          <w:sz w:val="24"/>
          <w:szCs w:val="24"/>
        </w:rPr>
        <w:t xml:space="preserve"> </w:t>
      </w:r>
      <w:r w:rsidR="00173F81">
        <w:rPr>
          <w:rFonts w:ascii="Times New Roman" w:hAnsi="Times New Roman" w:cs="Times New Roman"/>
          <w:sz w:val="24"/>
          <w:szCs w:val="24"/>
        </w:rPr>
        <w:t>S</w:t>
      </w:r>
      <w:r w:rsidRPr="00B17B75">
        <w:rPr>
          <w:rFonts w:ascii="Times New Roman" w:hAnsi="Times New Roman" w:cs="Times New Roman"/>
          <w:sz w:val="24"/>
          <w:szCs w:val="24"/>
        </w:rPr>
        <w:t xml:space="preserve">e recomienda que la Unidad Ambiental controle que las medidas de mitigación de impactos en caminos vecinales sean proporcionales a la gravedad de los impactos potenciales para este tipo de obras. </w:t>
      </w:r>
    </w:p>
    <w:p w:rsidR="00B17B75" w:rsidRPr="00FC565F"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FC565F">
        <w:rPr>
          <w:rFonts w:ascii="Times New Roman" w:hAnsi="Times New Roman" w:cs="Times New Roman"/>
          <w:sz w:val="24"/>
          <w:szCs w:val="24"/>
        </w:rPr>
        <w:t>El Plan de descentralización del mantenimiento puesto en marcha por el gobierno se ha mantenido y en el proceso se han  fortalecido las instituciones regionales y locales,</w:t>
      </w:r>
      <w:r w:rsidR="00FC565F" w:rsidRPr="00FC565F">
        <w:rPr>
          <w:rFonts w:ascii="Times New Roman" w:hAnsi="Times New Roman" w:cs="Times New Roman"/>
          <w:sz w:val="24"/>
          <w:szCs w:val="24"/>
        </w:rPr>
        <w:t xml:space="preserve"> </w:t>
      </w:r>
      <w:r w:rsidRPr="00FC565F">
        <w:rPr>
          <w:rFonts w:ascii="Times New Roman" w:hAnsi="Times New Roman" w:cs="Times New Roman"/>
          <w:sz w:val="24"/>
          <w:szCs w:val="24"/>
        </w:rPr>
        <w:t xml:space="preserve">como gobernaciones y municipalidades que han participado en el programa, con lo cual se ha garantizado un adecuado mantenimiento de los caminos durante todo el año de intervención, razón suficiente para recomendar que se siga implementando este mecanismo. </w:t>
      </w:r>
    </w:p>
    <w:p w:rsidR="00B17B75" w:rsidRP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t>Evitar el desfase entre la ejecución de las obras y la implementación de las medidas de mitigación ambiental y social establecidas para el programa.</w:t>
      </w:r>
    </w:p>
    <w:p w:rsidR="00B17B75" w:rsidRP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t xml:space="preserve">En el proceso de liberación de franja de dominio y otras áreas afectadas por las obras del Programa, se recomienda establecer mejores mecanismos de comunicación con los propietarios, ocupantes y/o arrendatarios, mediante la designación de una persona (con suficiente  conocimiento  y  autoridad)  que  resida en el área y donde los afectados recurran para aclarar sus dudas respecto a las afectaciones/ indemnizaciones. Es de extrema importancia mantener un solo canal de comunicación. </w:t>
      </w:r>
    </w:p>
    <w:p w:rsidR="00B17B75" w:rsidRP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t xml:space="preserve">Continuar con  las  gestiones  de  concientización  con  las  autoridades  del  MOPC  y Ministerio de Hacienda, respecto a la importancia del mantenimiento vial, dado que no  se  puede  expandir  su  implementación,  debido  a  la  escasa  asignación  de  recursos financieros en el Presupuesto General de Gastos de la Nación. </w:t>
      </w:r>
    </w:p>
    <w:p w:rsidR="00B17B75" w:rsidRP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t xml:space="preserve">Los resultados de los procesos licitatorios evidencian que, en la medida que se logre implementar licitaciones más abiertas y transparentes, se traducen en menores costos con ahorros significativos, tanto en la construcción como en el mantenimiento. </w:t>
      </w:r>
    </w:p>
    <w:p w:rsidR="00B17B75" w:rsidRP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t xml:space="preserve">Considerando la frecuencia con que se introducen medidas de mitigación de impactos potenciales  sobre  comunidades  indígenas  ubicadas  en  el  área  de  influencia  de  los tramos a ser mejorados, se recomienda analizar con extremo cuidado las solicitudes de algunos líderes indígenas para mejorar los accesos a sus comunidades. </w:t>
      </w:r>
    </w:p>
    <w:p w:rsidR="00B17B75" w:rsidRP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t>Se  recomienda  mejorar  la  coordinación  con  el  INDI  a  fin  de  facilitar  las  gestiones futuras para la segunda fase del programa.</w:t>
      </w:r>
    </w:p>
    <w:p w:rsidR="00B17B75" w:rsidRP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lastRenderedPageBreak/>
        <w:t>Vincular  a  las  organizaciones  indígenas  locales  o  regionales  en  la  definición  e implementación de los programas.</w:t>
      </w:r>
    </w:p>
    <w:p w:rsidR="00B17B75" w:rsidRP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t>En los trabajos de puesta a punto para contratos de mantenimiento en lo que respecta a puentes de madera se debe establecer una intervención mínima que asegure una mejor competencia entre los oferentes.</w:t>
      </w:r>
    </w:p>
    <w:p w:rsidR="00B17B75" w:rsidRP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t>Transferencia  de  responsabilidades  de  mantenimiento  de  caminos  rurales  a  los Gobiernos  Locales  de  manera  articulada,  participativa  y  consensuada  impulsa  la descentralización.</w:t>
      </w:r>
    </w:p>
    <w:p w:rsidR="00B17B75" w:rsidRP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t>La  DCV  logro  resultados  satisfactorios  en  la  modalidad  de  “Mantenimiento  por Niveles de Servicio”.</w:t>
      </w:r>
    </w:p>
    <w:p w:rsidR="00B17B75" w:rsidRDefault="00B17B75" w:rsidP="00826CB7">
      <w:pPr>
        <w:pStyle w:val="ListParagraph"/>
        <w:numPr>
          <w:ilvl w:val="0"/>
          <w:numId w:val="5"/>
        </w:numPr>
        <w:spacing w:after="120" w:line="240" w:lineRule="auto"/>
        <w:ind w:left="1066" w:hanging="357"/>
        <w:contextualSpacing w:val="0"/>
        <w:jc w:val="both"/>
        <w:rPr>
          <w:rFonts w:ascii="Times New Roman" w:hAnsi="Times New Roman" w:cs="Times New Roman"/>
          <w:sz w:val="24"/>
          <w:szCs w:val="24"/>
        </w:rPr>
      </w:pPr>
      <w:r w:rsidRPr="00B17B75">
        <w:rPr>
          <w:rFonts w:ascii="Times New Roman" w:hAnsi="Times New Roman" w:cs="Times New Roman"/>
          <w:sz w:val="24"/>
          <w:szCs w:val="24"/>
        </w:rPr>
        <w:t>El  MOPC  debería  de  incorporar  funcionarios  de  planta  a  la  DCV  para  dar sostenibilidad al programa.</w:t>
      </w:r>
    </w:p>
    <w:p w:rsidR="00AB4F5A" w:rsidRPr="00B8033A" w:rsidRDefault="00AB4F5A" w:rsidP="00AB4F5A">
      <w:pPr>
        <w:pStyle w:val="Heading2"/>
      </w:pPr>
      <w:r>
        <w:t>Lineamientos para el PNCR2 Fase II (PR-L</w:t>
      </w:r>
      <w:r w:rsidR="00D853C9">
        <w:t>1019</w:t>
      </w:r>
      <w:r>
        <w:t>)</w:t>
      </w:r>
      <w:r>
        <w:rPr>
          <w:rStyle w:val="FootnoteReference"/>
        </w:rPr>
        <w:footnoteReference w:id="3"/>
      </w:r>
      <w:r>
        <w:t>.</w:t>
      </w:r>
    </w:p>
    <w:p w:rsidR="00895E43" w:rsidRPr="00D853C9" w:rsidRDefault="00AB4F5A" w:rsidP="00D853C9">
      <w:pPr>
        <w:numPr>
          <w:ilvl w:val="1"/>
          <w:numId w:val="1"/>
        </w:numPr>
        <w:tabs>
          <w:tab w:val="clear" w:pos="360"/>
          <w:tab w:val="num" w:pos="709"/>
        </w:tabs>
        <w:spacing w:before="240"/>
        <w:ind w:left="709" w:hanging="709"/>
        <w:jc w:val="both"/>
      </w:pPr>
      <w:r w:rsidRPr="00D853C9">
        <w:rPr>
          <w:b/>
        </w:rPr>
        <w:t xml:space="preserve">Lecciones aprendidas en la Fase I. </w:t>
      </w:r>
      <w:r w:rsidRPr="00D853C9">
        <w:t xml:space="preserve">Se identificaron las siguientes: (i) participación de los GL en la selección y priorización de los proyectos que son mantenidos por convenio; (ii) descentralización hacia los GL por parte de la DCV, de las funciones de adquisición de insumos y servicios y del manejo de los recursos financieros para la ejecución de los convenios; (iii) cofinanciamiento en especie (equipos, combustible, etc.) por parte de los GL para la ejecución del mantenimiento por convenio; (iv) mantenimiento </w:t>
      </w:r>
      <w:proofErr w:type="spellStart"/>
      <w:r w:rsidRPr="00FF0503">
        <w:rPr>
          <w:lang w:val="es-PY"/>
        </w:rPr>
        <w:t>tercerizado</w:t>
      </w:r>
      <w:proofErr w:type="spellEnd"/>
      <w:r w:rsidRPr="00D853C9">
        <w:t xml:space="preserve"> con el sector privado por niveles de servicio; (v) desarrollo del mercado local de contratistas con buenos resultados obtenidos tanto en la</w:t>
      </w:r>
      <w:r w:rsidR="00F04A34">
        <w:t xml:space="preserve"> </w:t>
      </w:r>
      <w:r w:rsidRPr="00D853C9">
        <w:t xml:space="preserve">calidad de las obras realizadas como en la reducción de los costos y plazos; (vi) el mantenimiento permanente de los caminos vecinales asegurando </w:t>
      </w:r>
      <w:proofErr w:type="spellStart"/>
      <w:r w:rsidRPr="00D853C9">
        <w:t>transitabilidad</w:t>
      </w:r>
      <w:proofErr w:type="spellEnd"/>
      <w:r w:rsidRPr="00D853C9">
        <w:t>, crea confianza en los usuarios y la población beneficiaria, y (vii) el gerenciamiento de la ejecución del Programa a través de la estructura y organización funcional propia de la DCV, debidamente fortalecida con capacidad operativa y de recursos humanos, sienta las bases para la institucionalización de las experiencias</w:t>
      </w:r>
      <w:r w:rsidR="00D853C9" w:rsidRPr="00D853C9">
        <w:t xml:space="preserve"> </w:t>
      </w:r>
      <w:r w:rsidRPr="00D853C9">
        <w:t>y buenas prácticas adquiridas a lo largo del proceso</w:t>
      </w:r>
      <w:r w:rsidR="00D853C9">
        <w:t>.</w:t>
      </w:r>
    </w:p>
    <w:p w:rsidR="00AB4F5A" w:rsidRPr="00D853C9" w:rsidRDefault="00AB4F5A" w:rsidP="00D853C9">
      <w:pPr>
        <w:numPr>
          <w:ilvl w:val="1"/>
          <w:numId w:val="1"/>
        </w:numPr>
        <w:tabs>
          <w:tab w:val="clear" w:pos="360"/>
          <w:tab w:val="num" w:pos="709"/>
        </w:tabs>
        <w:spacing w:before="240"/>
        <w:ind w:left="709" w:hanging="709"/>
        <w:jc w:val="both"/>
      </w:pPr>
      <w:r w:rsidRPr="00D853C9">
        <w:t>Con base en lo anterior y tomando en cuenta la experiencia del Banco en la gestión y financiamiento de la vialidad rural en la región, para el diseño de la Fase II del PNCR-2 se tuvieron en cuenta los siguientes aspectos: (i) Políticos. a) Descentralización responsable y sostenible de la gestión de los caminos vecinales: más allá de la asignación de recursos, el éxito del proceso requiere decisión política del Gobierno de impulsar un proceso continuo de transformación institucional encaminado a lograr mayores niveles de eficiencia, transparencia y fundamentos técnicos en la toma de decisiones en la gestión; b) Planificación Vial Participativa</w:t>
      </w:r>
      <w:r w:rsidR="00D853C9" w:rsidRPr="00D853C9">
        <w:t xml:space="preserve"> </w:t>
      </w:r>
      <w:r w:rsidRPr="00D853C9">
        <w:t>(PVP) como instrumento de</w:t>
      </w:r>
      <w:r w:rsidR="00D853C9">
        <w:t xml:space="preserve"> </w:t>
      </w:r>
      <w:r w:rsidRPr="00D853C9">
        <w:t>priorización y selección de caminos a ser rehabilitados y mantenidos: el trabajo conjunto entre las instancias de gobierno y los involucrados permite formular una estrategia y programa operativo que en conjunto tiene amplio apoyo en todos los niveles, generando el apoderamiento de los caminos por parte de la comunidad beneficiaria; (ii) Institucionales. a) Apoyo a la creación de Gerencias Viales (GV)</w:t>
      </w:r>
      <w:r w:rsidR="00D853C9" w:rsidRPr="00D853C9">
        <w:t xml:space="preserve"> </w:t>
      </w:r>
      <w:r w:rsidRPr="00D853C9">
        <w:t>en el ámbito de las Asociaciones de Municipalidades  (AM), como una instancia técnica</w:t>
      </w:r>
      <w:r w:rsidR="00D853C9" w:rsidRPr="00D853C9">
        <w:t xml:space="preserve"> </w:t>
      </w:r>
      <w:r w:rsidRPr="00D853C9">
        <w:t xml:space="preserve">administrativa profesionalizada con capacidad para asumir de manera gradual la </w:t>
      </w:r>
      <w:r w:rsidRPr="00D853C9">
        <w:lastRenderedPageBreak/>
        <w:t>gestión descentralizada de la red de</w:t>
      </w:r>
      <w:r w:rsidR="00D853C9" w:rsidRPr="00D853C9">
        <w:t xml:space="preserve"> </w:t>
      </w:r>
      <w:r w:rsidRPr="00D853C9">
        <w:t>caminos rurales de sus respectivas jurisdicciones; b) Transferencia gradual de la contratación del mantenimiento rutinario</w:t>
      </w:r>
      <w:r w:rsidR="00D853C9" w:rsidRPr="00D853C9">
        <w:t xml:space="preserve"> </w:t>
      </w:r>
      <w:r w:rsidRPr="00D853C9">
        <w:t>a las GV creadas o a las AM, bajo el seguimiento y control del MOPC; c) Coordinación de la actuación de todos los actores involucrados</w:t>
      </w:r>
      <w:r w:rsidR="00D853C9" w:rsidRPr="00D853C9">
        <w:t xml:space="preserve"> </w:t>
      </w:r>
      <w:r w:rsidRPr="00D853C9">
        <w:t>en el subsector de la vialidad vecinal: el gobierno central; los GL y las entidades privadas y/o asociaciones de productores; (iii) Financieros.  a) Cofinanciación:</w:t>
      </w:r>
      <w:r w:rsidR="00D853C9" w:rsidRPr="00D853C9">
        <w:t xml:space="preserve"> </w:t>
      </w:r>
      <w:r w:rsidRPr="00D853C9">
        <w:t>apoyar el desarrollo de un esquema  financiero que incluya gradualmente fuentes alternativas de recursos al esquema actual, promoviendo en primera instancia la cofinanciación del mantenimiento rutinario</w:t>
      </w:r>
      <w:r w:rsidR="00D853C9" w:rsidRPr="00D853C9">
        <w:t xml:space="preserve"> </w:t>
      </w:r>
      <w:r w:rsidRPr="00D853C9">
        <w:t>entre el MOPC, los GL y el sector privado; (iv) Técnicos. a) Apoyo a la formación y capacitación de Cuadrillas de Mantenimiento Vial (CMV) rutinario de caminos vecinales; b) Definir niveles técnicos de diseño de rehabilitación y mejoramiento de los caminos vecinales que sean adecuados a las funciones y nivel de importancia del mismo en la promoción del desarrollo socioeconómico regional, realizando inversiones compatibles con los requerimientos de servicio que dicha vía debe prestar;  c) Priorizar la conservación del patrimonio vial garantizando que todas las obras rehabilitadas entren inmediatamente en un esquema de mantenimiento rutinario y regulando el uso de los caminos principalmente en los periodos de lluvia;  d) Diseño y construcción de las obras: en los diseños se debe dar especial atención a criterios conservacionistas y a los drenajes para</w:t>
      </w:r>
      <w:r w:rsidR="00D853C9" w:rsidRPr="00D853C9">
        <w:t xml:space="preserve"> </w:t>
      </w:r>
      <w:r w:rsidRPr="00D853C9">
        <w:t>evitar sobrecostos en los proyectos.</w:t>
      </w:r>
    </w:p>
    <w:p w:rsidR="00AB4F5A" w:rsidRPr="00895E43" w:rsidRDefault="00AB4F5A" w:rsidP="00B7675E">
      <w:pPr>
        <w:numPr>
          <w:ilvl w:val="1"/>
          <w:numId w:val="1"/>
        </w:numPr>
        <w:shd w:val="clear" w:color="auto" w:fill="EEECE1" w:themeFill="background2"/>
        <w:tabs>
          <w:tab w:val="clear" w:pos="360"/>
          <w:tab w:val="num" w:pos="709"/>
        </w:tabs>
        <w:spacing w:before="240"/>
        <w:ind w:left="709" w:hanging="709"/>
        <w:jc w:val="both"/>
      </w:pPr>
      <w:r>
        <w:rPr>
          <w:b/>
        </w:rPr>
        <w:t>Reto institucional</w:t>
      </w:r>
      <w:r>
        <w:t xml:space="preserve">. En cierta forma, las lecciones aprendidas de la ejecución de lo que se denominó </w:t>
      </w:r>
      <w:r w:rsidRPr="00FC4EBC">
        <w:rPr>
          <w:lang w:val="es-PY"/>
        </w:rPr>
        <w:t xml:space="preserve">Programa Nacional de Caminos Rurales </w:t>
      </w:r>
      <w:r>
        <w:rPr>
          <w:lang w:val="es-PY"/>
        </w:rPr>
        <w:t xml:space="preserve">2da. Etapa </w:t>
      </w:r>
      <w:r w:rsidR="00D853C9">
        <w:rPr>
          <w:lang w:val="es-PY"/>
        </w:rPr>
        <w:t>-</w:t>
      </w:r>
      <w:r>
        <w:rPr>
          <w:lang w:val="es-PY"/>
        </w:rPr>
        <w:t xml:space="preserve"> 1ª </w:t>
      </w:r>
      <w:r w:rsidRPr="00FC4EBC">
        <w:rPr>
          <w:lang w:val="es-PY"/>
        </w:rPr>
        <w:t>Fase</w:t>
      </w:r>
      <w:r>
        <w:rPr>
          <w:lang w:val="es-PY"/>
        </w:rPr>
        <w:t>, constituyeron una suerte de retos y recomendaciones a ser atendidas en la Fase II, pero como se pasa a describir seguidamente en este documento, se dieron diversas circunstancias que mantienen vigentes los retos y las mismas lecciones aprendidas.</w:t>
      </w:r>
    </w:p>
    <w:p w:rsidR="00E06265" w:rsidRPr="00FC565F" w:rsidRDefault="00AB1224" w:rsidP="00FC565F">
      <w:pPr>
        <w:pStyle w:val="Heading1"/>
      </w:pPr>
      <w:r w:rsidRPr="00FC565F">
        <w:t>Caracterización del P</w:t>
      </w:r>
      <w:r w:rsidR="004A4C51">
        <w:t>lan de Gestión del Mantenimiento</w:t>
      </w:r>
    </w:p>
    <w:p w:rsidR="00B8033A" w:rsidRDefault="00AB1224" w:rsidP="00AB1224">
      <w:pPr>
        <w:pStyle w:val="Heading2"/>
      </w:pPr>
      <w:r>
        <w:t>El Plan de Gestión del Mantenimiento</w:t>
      </w:r>
      <w:r w:rsidR="004A4C51">
        <w:t xml:space="preserve"> (PGM)</w:t>
      </w:r>
      <w:r>
        <w:t>.</w:t>
      </w:r>
    </w:p>
    <w:p w:rsidR="00AA2FA7" w:rsidRPr="00AA2FA7" w:rsidRDefault="00AA2FA7" w:rsidP="00AA2FA7">
      <w:pPr>
        <w:numPr>
          <w:ilvl w:val="1"/>
          <w:numId w:val="1"/>
        </w:numPr>
        <w:tabs>
          <w:tab w:val="clear" w:pos="360"/>
          <w:tab w:val="num" w:pos="709"/>
        </w:tabs>
        <w:spacing w:before="240" w:after="120" w:line="240" w:lineRule="atLeast"/>
        <w:ind w:left="709" w:hanging="709"/>
        <w:contextualSpacing/>
        <w:jc w:val="both"/>
      </w:pPr>
      <w:bookmarkStart w:id="38" w:name="_Ref396033053"/>
      <w:r>
        <w:t xml:space="preserve">En el actual </w:t>
      </w:r>
      <w:r w:rsidR="004A4C51">
        <w:t xml:space="preserve">Plan de Gestión del Mantenimiento (PGM) se halla comprendido dentro del </w:t>
      </w:r>
      <w:r w:rsidRPr="00AA2FA7">
        <w:rPr>
          <w:lang w:val="es-PY"/>
        </w:rPr>
        <w:t>Programa Nacional de Caminos Rurales 2da. Etapa 2ª Fase</w:t>
      </w:r>
      <w:r w:rsidRPr="00AA2FA7">
        <w:t xml:space="preserve"> </w:t>
      </w:r>
      <w:r>
        <w:t xml:space="preserve">en el Componente 2. Obras Civiles, cuya asignación es </w:t>
      </w:r>
      <w:r w:rsidRPr="00AA2FA7">
        <w:t>US$136,5 millones</w:t>
      </w:r>
      <w:r>
        <w:t xml:space="preserve"> y comprende:  </w:t>
      </w:r>
      <w:r w:rsidRPr="00AA2FA7">
        <w:t xml:space="preserve">(a) la rehabilitación de aproximadamente 1.150 km de caminos vecinales principales (US$70 millones) priorizados y seleccionados a través de PVPs debidamente desarrollados y aprobados; las tareas, sencillas desde el punto de vista de la ingeniería, buscan dotarles de un estándar que asegure condiciones de transitabilidad durante todo el año, seguridad vial adecuadas y medidas de mitigación ambiental; (b) la ejecución de los trabajos considerados para la Fase II en el PGM, consistente en el mantenimiento rutinario de aproximadamente 4.200 km –ya intervenidos con el PNCR-1 y con la Fase I del PNCR-2, y a rehabilitarse con esta Fase II- y el mantenimiento periódico de aproximadamente 3.050 km de las vías que han estado bajo mantenimiento rutinario durante cierto tiempo y se encuentran al fin de su vida útil (US$34,5 millones, equivalente a un 25% del componente), a ser realizado por convenio con GL y comunidades y contrato con terceros, incluyendo las CMV que serán promovidas por esta operación; (c) la rehabilitación y/o reemplazo de aproximadamente 2.300 m de pequeños puentes de madera ya deteriorados por puentes de hormigón armado (US$30 millones)en la red de caminos vecinales, fundamental para tener un adecuado nivel de confiabilidad de la transitabilidad en toda la extensión de dichos caminos; (d) el empedrado de aproximadamente 500 </w:t>
      </w:r>
      <w:r w:rsidRPr="00AA2FA7">
        <w:lastRenderedPageBreak/>
        <w:t>calles urbanas o semiurbanas (US$2 millones) de comunidades ubicadas en el área de influencia del proyecto, de fácil construcción, bajo costo y bajo impacto ambiental, a ser realizado por convenio con el GL para contribuir a mejorar la calidad de vida de la comunidad.</w:t>
      </w:r>
      <w:bookmarkEnd w:id="38"/>
    </w:p>
    <w:p w:rsidR="00AA2FA7" w:rsidRPr="00AA2FA7" w:rsidRDefault="00AA2FA7" w:rsidP="00AA2FA7">
      <w:pPr>
        <w:numPr>
          <w:ilvl w:val="1"/>
          <w:numId w:val="1"/>
        </w:numPr>
        <w:tabs>
          <w:tab w:val="clear" w:pos="360"/>
          <w:tab w:val="num" w:pos="709"/>
        </w:tabs>
        <w:spacing w:before="240"/>
        <w:ind w:left="709" w:hanging="709"/>
        <w:jc w:val="both"/>
      </w:pPr>
      <w:r>
        <w:t xml:space="preserve">Por tanto, el PGM debe cumplir </w:t>
      </w:r>
      <w:r w:rsidR="00FF0503">
        <w:t xml:space="preserve">con el mantenimiento rutinario y periódico de </w:t>
      </w:r>
      <w:r>
        <w:t xml:space="preserve">una meta física estimada en </w:t>
      </w:r>
      <w:r w:rsidR="00FF0503">
        <w:t>7</w:t>
      </w:r>
      <w:r>
        <w:t>.2</w:t>
      </w:r>
      <w:r w:rsidR="00FF0503">
        <w:t>5</w:t>
      </w:r>
      <w:r>
        <w:t xml:space="preserve">0 Km, </w:t>
      </w:r>
      <w:r w:rsidR="00FF0503" w:rsidRPr="00FF0503">
        <w:t>a ser realizado</w:t>
      </w:r>
      <w:r w:rsidR="00FF0503">
        <w:t xml:space="preserve"> mediante las modalidades</w:t>
      </w:r>
      <w:r w:rsidR="00FF0503" w:rsidRPr="00FF0503">
        <w:t xml:space="preserve"> por convenio con </w:t>
      </w:r>
      <w:r w:rsidR="00FF0503">
        <w:t>Gobiernos Locales (</w:t>
      </w:r>
      <w:r w:rsidR="00FF0503" w:rsidRPr="00FF0503">
        <w:t>GL</w:t>
      </w:r>
      <w:r w:rsidR="00FF0503">
        <w:t>)</w:t>
      </w:r>
      <w:r w:rsidR="00FF0503" w:rsidRPr="00FF0503">
        <w:t xml:space="preserve"> y comunidades y contrato con terceros</w:t>
      </w:r>
      <w:r w:rsidR="00FF0503">
        <w:t>.</w:t>
      </w:r>
      <w:r>
        <w:t xml:space="preserve"> </w:t>
      </w:r>
    </w:p>
    <w:p w:rsidR="00AB1224" w:rsidRDefault="00AB1224" w:rsidP="00AB1224">
      <w:pPr>
        <w:spacing w:before="120" w:after="120" w:line="240" w:lineRule="atLeast"/>
        <w:ind w:left="709"/>
        <w:contextualSpacing/>
        <w:jc w:val="both"/>
        <w:rPr>
          <w:b/>
          <w:bCs/>
          <w:szCs w:val="24"/>
        </w:rPr>
      </w:pPr>
    </w:p>
    <w:tbl>
      <w:tblPr>
        <w:tblStyle w:val="TableGrid"/>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1276"/>
        <w:gridCol w:w="4110"/>
      </w:tblGrid>
      <w:tr w:rsidR="00FF0503" w:rsidRPr="00FA4B41" w:rsidTr="00FA4B41">
        <w:tc>
          <w:tcPr>
            <w:tcW w:w="3085" w:type="dxa"/>
            <w:shd w:val="clear" w:color="auto" w:fill="DAEEF3" w:themeFill="accent5" w:themeFillTint="33"/>
          </w:tcPr>
          <w:p w:rsidR="00FF0503" w:rsidRPr="00FA4B41" w:rsidRDefault="00FF0503" w:rsidP="00FF0503">
            <w:pPr>
              <w:spacing w:before="120" w:after="120" w:line="240" w:lineRule="atLeast"/>
              <w:contextualSpacing/>
              <w:rPr>
                <w:b/>
                <w:bCs/>
                <w:sz w:val="22"/>
                <w:szCs w:val="22"/>
              </w:rPr>
            </w:pPr>
            <w:r w:rsidRPr="00FA4B41">
              <w:rPr>
                <w:b/>
                <w:bCs/>
                <w:sz w:val="22"/>
                <w:szCs w:val="22"/>
                <w:lang w:val="es-PY"/>
              </w:rPr>
              <w:t>Naturaleza</w:t>
            </w:r>
            <w:r w:rsidRPr="00FA4B41">
              <w:rPr>
                <w:b/>
                <w:bCs/>
                <w:sz w:val="22"/>
                <w:szCs w:val="22"/>
              </w:rPr>
              <w:t xml:space="preserve"> de la </w:t>
            </w:r>
            <w:r w:rsidRPr="00FA4B41">
              <w:rPr>
                <w:b/>
                <w:bCs/>
                <w:sz w:val="22"/>
                <w:szCs w:val="22"/>
                <w:lang w:val="es-PY"/>
              </w:rPr>
              <w:t>intervención</w:t>
            </w:r>
          </w:p>
        </w:tc>
        <w:tc>
          <w:tcPr>
            <w:tcW w:w="1276" w:type="dxa"/>
            <w:shd w:val="clear" w:color="auto" w:fill="DAEEF3" w:themeFill="accent5" w:themeFillTint="33"/>
          </w:tcPr>
          <w:p w:rsidR="00FF0503" w:rsidRPr="00FA4B41" w:rsidRDefault="00FF0503" w:rsidP="00FF0503">
            <w:pPr>
              <w:spacing w:before="120" w:after="120" w:line="240" w:lineRule="atLeast"/>
              <w:contextualSpacing/>
              <w:rPr>
                <w:b/>
                <w:bCs/>
                <w:sz w:val="22"/>
                <w:szCs w:val="22"/>
              </w:rPr>
            </w:pPr>
            <w:r w:rsidRPr="00FA4B41">
              <w:rPr>
                <w:b/>
                <w:bCs/>
                <w:sz w:val="22"/>
                <w:szCs w:val="22"/>
              </w:rPr>
              <w:t xml:space="preserve">Meta </w:t>
            </w:r>
            <w:r w:rsidRPr="00FA4B41">
              <w:rPr>
                <w:b/>
                <w:bCs/>
                <w:sz w:val="22"/>
                <w:szCs w:val="22"/>
                <w:lang w:val="es-PY"/>
              </w:rPr>
              <w:t>física</w:t>
            </w:r>
          </w:p>
        </w:tc>
        <w:tc>
          <w:tcPr>
            <w:tcW w:w="4110" w:type="dxa"/>
            <w:shd w:val="clear" w:color="auto" w:fill="DAEEF3" w:themeFill="accent5" w:themeFillTint="33"/>
          </w:tcPr>
          <w:p w:rsidR="00FF0503" w:rsidRPr="00FA4B41" w:rsidRDefault="00FF0503" w:rsidP="00FF0503">
            <w:pPr>
              <w:spacing w:before="120" w:after="120" w:line="240" w:lineRule="atLeast"/>
              <w:contextualSpacing/>
              <w:rPr>
                <w:b/>
                <w:bCs/>
                <w:sz w:val="22"/>
                <w:szCs w:val="22"/>
              </w:rPr>
            </w:pPr>
            <w:r w:rsidRPr="00FA4B41">
              <w:rPr>
                <w:b/>
                <w:bCs/>
                <w:sz w:val="22"/>
                <w:szCs w:val="22"/>
              </w:rPr>
              <w:t xml:space="preserve">Red a </w:t>
            </w:r>
            <w:r w:rsidRPr="00FA4B41">
              <w:rPr>
                <w:b/>
                <w:bCs/>
                <w:sz w:val="22"/>
                <w:szCs w:val="22"/>
                <w:lang w:val="es-PY"/>
              </w:rPr>
              <w:t>intervenir</w:t>
            </w:r>
          </w:p>
        </w:tc>
      </w:tr>
      <w:tr w:rsidR="00FF0503" w:rsidRPr="00FF0503" w:rsidTr="00FA4B41">
        <w:tc>
          <w:tcPr>
            <w:tcW w:w="3085" w:type="dxa"/>
          </w:tcPr>
          <w:p w:rsidR="00FF0503" w:rsidRPr="00FA4B41" w:rsidRDefault="00FF0503" w:rsidP="00FF0503">
            <w:pPr>
              <w:spacing w:before="120" w:after="120" w:line="240" w:lineRule="atLeast"/>
              <w:contextualSpacing/>
              <w:rPr>
                <w:bCs/>
                <w:sz w:val="22"/>
                <w:szCs w:val="22"/>
              </w:rPr>
            </w:pPr>
            <w:r w:rsidRPr="00FA4B41">
              <w:rPr>
                <w:bCs/>
                <w:sz w:val="22"/>
                <w:szCs w:val="22"/>
                <w:lang w:val="es-ES_tradnl"/>
              </w:rPr>
              <w:t xml:space="preserve">Mantenimiento rutinario </w:t>
            </w:r>
          </w:p>
        </w:tc>
        <w:tc>
          <w:tcPr>
            <w:tcW w:w="1276" w:type="dxa"/>
          </w:tcPr>
          <w:p w:rsidR="00FF0503" w:rsidRPr="00FA4B41" w:rsidRDefault="00FF0503" w:rsidP="00FF0503">
            <w:pPr>
              <w:spacing w:before="120" w:after="120" w:line="240" w:lineRule="atLeast"/>
              <w:contextualSpacing/>
              <w:jc w:val="right"/>
              <w:rPr>
                <w:bCs/>
                <w:sz w:val="22"/>
                <w:szCs w:val="22"/>
              </w:rPr>
            </w:pPr>
            <w:r w:rsidRPr="00FA4B41">
              <w:rPr>
                <w:bCs/>
                <w:sz w:val="22"/>
                <w:szCs w:val="22"/>
                <w:lang w:val="es-ES_tradnl"/>
              </w:rPr>
              <w:t>4.200 km</w:t>
            </w:r>
          </w:p>
        </w:tc>
        <w:tc>
          <w:tcPr>
            <w:tcW w:w="4110" w:type="dxa"/>
          </w:tcPr>
          <w:p w:rsidR="00FF0503" w:rsidRPr="00FF0503" w:rsidRDefault="00FF0503" w:rsidP="00FF0503">
            <w:pPr>
              <w:spacing w:before="120" w:after="120" w:line="240" w:lineRule="atLeast"/>
              <w:contextualSpacing/>
              <w:rPr>
                <w:bCs/>
                <w:sz w:val="20"/>
                <w:lang w:val="es-ES_tradnl"/>
              </w:rPr>
            </w:pPr>
            <w:r w:rsidRPr="00FF0503">
              <w:rPr>
                <w:bCs/>
                <w:sz w:val="20"/>
                <w:lang w:val="es-ES_tradnl"/>
              </w:rPr>
              <w:t>Caminos ya intervenidos con el PNCR-1 y con la Fase I del PNCR-2 y a rehabilitarse con esta Fase II</w:t>
            </w:r>
          </w:p>
        </w:tc>
      </w:tr>
      <w:tr w:rsidR="00FF0503" w:rsidRPr="00FF0503" w:rsidTr="00FA4B41">
        <w:tc>
          <w:tcPr>
            <w:tcW w:w="3085" w:type="dxa"/>
          </w:tcPr>
          <w:p w:rsidR="00FF0503" w:rsidRPr="00FA4B41" w:rsidRDefault="00FF0503" w:rsidP="00FF0503">
            <w:pPr>
              <w:spacing w:before="120" w:after="120" w:line="240" w:lineRule="atLeast"/>
              <w:contextualSpacing/>
              <w:rPr>
                <w:bCs/>
                <w:sz w:val="22"/>
                <w:szCs w:val="22"/>
                <w:lang w:val="es-PY"/>
              </w:rPr>
            </w:pPr>
            <w:r w:rsidRPr="00FA4B41">
              <w:rPr>
                <w:bCs/>
                <w:sz w:val="22"/>
                <w:szCs w:val="22"/>
                <w:lang w:val="es-ES_tradnl"/>
              </w:rPr>
              <w:t>Mantenimiento periódico</w:t>
            </w:r>
          </w:p>
        </w:tc>
        <w:tc>
          <w:tcPr>
            <w:tcW w:w="1276" w:type="dxa"/>
          </w:tcPr>
          <w:p w:rsidR="00FF0503" w:rsidRPr="00FA4B41" w:rsidRDefault="00FF0503" w:rsidP="00FF0503">
            <w:pPr>
              <w:spacing w:before="120" w:after="120" w:line="240" w:lineRule="atLeast"/>
              <w:contextualSpacing/>
              <w:jc w:val="right"/>
              <w:rPr>
                <w:bCs/>
                <w:sz w:val="22"/>
                <w:szCs w:val="22"/>
                <w:lang w:val="es-PY"/>
              </w:rPr>
            </w:pPr>
            <w:r w:rsidRPr="00FA4B41">
              <w:rPr>
                <w:bCs/>
                <w:sz w:val="22"/>
                <w:szCs w:val="22"/>
                <w:lang w:val="es-ES_tradnl"/>
              </w:rPr>
              <w:t>3.050 km</w:t>
            </w:r>
          </w:p>
        </w:tc>
        <w:tc>
          <w:tcPr>
            <w:tcW w:w="4110" w:type="dxa"/>
          </w:tcPr>
          <w:p w:rsidR="00FF0503" w:rsidRPr="00FF0503" w:rsidRDefault="00FF0503" w:rsidP="00FF0503">
            <w:pPr>
              <w:spacing w:before="120" w:after="120" w:line="240" w:lineRule="atLeast"/>
              <w:contextualSpacing/>
              <w:rPr>
                <w:bCs/>
                <w:sz w:val="20"/>
                <w:lang w:val="es-ES_tradnl"/>
              </w:rPr>
            </w:pPr>
            <w:r w:rsidRPr="00FF0503">
              <w:rPr>
                <w:bCs/>
                <w:sz w:val="20"/>
                <w:lang w:val="es-PY"/>
              </w:rPr>
              <w:t>Vías</w:t>
            </w:r>
            <w:r w:rsidRPr="00FF0503">
              <w:rPr>
                <w:bCs/>
                <w:sz w:val="20"/>
                <w:lang w:val="es-ES_tradnl"/>
              </w:rPr>
              <w:t xml:space="preserve"> que han estado bajo mantenimiento rutinario cierto tiempo y se encuentran al fin de su vida útil</w:t>
            </w:r>
          </w:p>
        </w:tc>
      </w:tr>
      <w:tr w:rsidR="00FF0503" w:rsidRPr="00FF0503" w:rsidTr="00FA4B41">
        <w:tc>
          <w:tcPr>
            <w:tcW w:w="3085" w:type="dxa"/>
          </w:tcPr>
          <w:p w:rsidR="00FF0503" w:rsidRPr="00FA4B41" w:rsidRDefault="00FF0503" w:rsidP="00FF0503">
            <w:pPr>
              <w:spacing w:before="120" w:after="120" w:line="240" w:lineRule="atLeast"/>
              <w:contextualSpacing/>
              <w:rPr>
                <w:b/>
                <w:bCs/>
                <w:sz w:val="22"/>
                <w:szCs w:val="22"/>
                <w:lang w:val="es-PY"/>
              </w:rPr>
            </w:pPr>
            <w:r w:rsidRPr="00FA4B41">
              <w:rPr>
                <w:b/>
                <w:bCs/>
                <w:sz w:val="22"/>
                <w:szCs w:val="22"/>
                <w:lang w:val="es-PY"/>
              </w:rPr>
              <w:t>Total</w:t>
            </w:r>
          </w:p>
        </w:tc>
        <w:tc>
          <w:tcPr>
            <w:tcW w:w="1276" w:type="dxa"/>
          </w:tcPr>
          <w:p w:rsidR="00FF0503" w:rsidRPr="00FA4B41" w:rsidRDefault="00FF0503" w:rsidP="00FF0503">
            <w:pPr>
              <w:spacing w:before="120" w:after="120" w:line="240" w:lineRule="atLeast"/>
              <w:contextualSpacing/>
              <w:jc w:val="right"/>
              <w:rPr>
                <w:b/>
                <w:bCs/>
                <w:sz w:val="22"/>
                <w:szCs w:val="22"/>
                <w:lang w:val="es-PY"/>
              </w:rPr>
            </w:pPr>
            <w:r w:rsidRPr="00FA4B41">
              <w:rPr>
                <w:b/>
                <w:bCs/>
                <w:sz w:val="22"/>
                <w:szCs w:val="22"/>
                <w:lang w:val="es-PY"/>
              </w:rPr>
              <w:t>7.250 km</w:t>
            </w:r>
          </w:p>
        </w:tc>
        <w:tc>
          <w:tcPr>
            <w:tcW w:w="4110" w:type="dxa"/>
          </w:tcPr>
          <w:p w:rsidR="00FF0503" w:rsidRPr="00FF0503" w:rsidRDefault="00FF0503" w:rsidP="00FF0503">
            <w:pPr>
              <w:spacing w:before="120" w:after="120" w:line="240" w:lineRule="atLeast"/>
              <w:contextualSpacing/>
              <w:rPr>
                <w:bCs/>
                <w:szCs w:val="24"/>
                <w:lang w:val="es-ES_tradnl"/>
              </w:rPr>
            </w:pPr>
          </w:p>
        </w:tc>
      </w:tr>
    </w:tbl>
    <w:p w:rsidR="00AA2FA7" w:rsidRDefault="00AA2FA7" w:rsidP="00AB1224">
      <w:pPr>
        <w:spacing w:before="120" w:after="120" w:line="240" w:lineRule="atLeast"/>
        <w:ind w:left="709"/>
        <w:contextualSpacing/>
        <w:jc w:val="both"/>
        <w:rPr>
          <w:b/>
          <w:bCs/>
          <w:szCs w:val="24"/>
        </w:rPr>
      </w:pPr>
    </w:p>
    <w:p w:rsidR="00FA4B41" w:rsidRPr="00AA2FA7" w:rsidRDefault="00FA4B41" w:rsidP="00FA4B41">
      <w:pPr>
        <w:numPr>
          <w:ilvl w:val="1"/>
          <w:numId w:val="1"/>
        </w:numPr>
        <w:tabs>
          <w:tab w:val="clear" w:pos="360"/>
          <w:tab w:val="num" w:pos="709"/>
        </w:tabs>
        <w:spacing w:before="240"/>
        <w:ind w:left="709" w:hanging="709"/>
        <w:jc w:val="both"/>
      </w:pPr>
      <w:bookmarkStart w:id="39" w:name="_Ref396118995"/>
      <w:r>
        <w:t xml:space="preserve">La propuesta de organización de la gestión del PGM, </w:t>
      </w:r>
      <w:r w:rsidR="00AA175B">
        <w:t xml:space="preserve">a agosto de 2014, </w:t>
      </w:r>
      <w:r>
        <w:t>de acuerdo a información suministrada por la UGM, es la siguiente</w:t>
      </w:r>
      <w:r w:rsidR="00AA175B">
        <w:rPr>
          <w:rStyle w:val="FootnoteReference"/>
        </w:rPr>
        <w:footnoteReference w:id="4"/>
      </w:r>
      <w:r>
        <w:t>.</w:t>
      </w:r>
      <w:bookmarkEnd w:id="39"/>
      <w:r>
        <w:t xml:space="preserve"> </w:t>
      </w:r>
    </w:p>
    <w:p w:rsidR="00FA4B41" w:rsidRDefault="00FA4B41" w:rsidP="00AB1224">
      <w:pPr>
        <w:spacing w:before="120" w:after="120" w:line="240" w:lineRule="atLeast"/>
        <w:ind w:left="709"/>
        <w:contextualSpacing/>
        <w:jc w:val="both"/>
        <w:rPr>
          <w:b/>
          <w:bCs/>
          <w:szCs w:val="24"/>
        </w:rPr>
      </w:pPr>
    </w:p>
    <w:tbl>
      <w:tblPr>
        <w:tblW w:w="8363" w:type="dxa"/>
        <w:tblInd w:w="779" w:type="dxa"/>
        <w:tblCellMar>
          <w:left w:w="70" w:type="dxa"/>
          <w:right w:w="70" w:type="dxa"/>
        </w:tblCellMar>
        <w:tblLook w:val="04A0" w:firstRow="1" w:lastRow="0" w:firstColumn="1" w:lastColumn="0" w:noHBand="0" w:noVBand="1"/>
      </w:tblPr>
      <w:tblGrid>
        <w:gridCol w:w="642"/>
        <w:gridCol w:w="2302"/>
        <w:gridCol w:w="883"/>
        <w:gridCol w:w="1594"/>
        <w:gridCol w:w="1475"/>
        <w:gridCol w:w="1467"/>
      </w:tblGrid>
      <w:tr w:rsidR="00B83040" w:rsidRPr="00B83040" w:rsidTr="00B83040">
        <w:trPr>
          <w:tblHeader/>
        </w:trPr>
        <w:tc>
          <w:tcPr>
            <w:tcW w:w="64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83040" w:rsidRPr="00B83040" w:rsidRDefault="00B83040" w:rsidP="00B83040">
            <w:pPr>
              <w:jc w:val="center"/>
              <w:rPr>
                <w:b/>
                <w:bCs/>
                <w:color w:val="000000"/>
                <w:sz w:val="22"/>
                <w:szCs w:val="22"/>
                <w:lang w:val="es-PY" w:eastAsia="es-PY"/>
              </w:rPr>
            </w:pPr>
            <w:r w:rsidRPr="00B83040">
              <w:rPr>
                <w:b/>
                <w:bCs/>
                <w:color w:val="000000"/>
                <w:sz w:val="22"/>
                <w:szCs w:val="22"/>
                <w:lang w:val="es-PY" w:eastAsia="es-PY"/>
              </w:rPr>
              <w:t>N°</w:t>
            </w:r>
          </w:p>
        </w:tc>
        <w:tc>
          <w:tcPr>
            <w:tcW w:w="230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83040" w:rsidRPr="00B83040" w:rsidRDefault="00B83040" w:rsidP="00B83040">
            <w:pPr>
              <w:jc w:val="center"/>
              <w:rPr>
                <w:b/>
                <w:bCs/>
                <w:color w:val="000000"/>
                <w:sz w:val="22"/>
                <w:szCs w:val="22"/>
                <w:lang w:val="es-PY" w:eastAsia="es-PY"/>
              </w:rPr>
            </w:pPr>
            <w:r w:rsidRPr="00B83040">
              <w:rPr>
                <w:b/>
                <w:bCs/>
                <w:color w:val="000000"/>
                <w:sz w:val="22"/>
                <w:szCs w:val="22"/>
                <w:lang w:val="es-PY" w:eastAsia="es-PY"/>
              </w:rPr>
              <w:t>Área geográfica</w:t>
            </w:r>
          </w:p>
        </w:tc>
        <w:tc>
          <w:tcPr>
            <w:tcW w:w="88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83040" w:rsidRPr="00B83040" w:rsidRDefault="00B83040" w:rsidP="00B83040">
            <w:pPr>
              <w:jc w:val="center"/>
              <w:rPr>
                <w:b/>
                <w:bCs/>
                <w:color w:val="000000"/>
                <w:sz w:val="22"/>
                <w:szCs w:val="22"/>
                <w:lang w:val="es-PY" w:eastAsia="es-PY"/>
              </w:rPr>
            </w:pPr>
            <w:r w:rsidRPr="00B83040">
              <w:rPr>
                <w:b/>
                <w:bCs/>
                <w:color w:val="000000"/>
                <w:sz w:val="22"/>
                <w:szCs w:val="22"/>
                <w:lang w:val="es-PY" w:eastAsia="es-PY"/>
              </w:rPr>
              <w:t>PVP</w:t>
            </w:r>
          </w:p>
        </w:tc>
        <w:tc>
          <w:tcPr>
            <w:tcW w:w="159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83040" w:rsidRPr="00B83040" w:rsidRDefault="00B83040" w:rsidP="00B83040">
            <w:pPr>
              <w:jc w:val="center"/>
              <w:rPr>
                <w:b/>
                <w:bCs/>
                <w:color w:val="000000"/>
                <w:sz w:val="22"/>
                <w:szCs w:val="22"/>
                <w:lang w:val="es-PY" w:eastAsia="es-PY"/>
              </w:rPr>
            </w:pPr>
            <w:r w:rsidRPr="00B83040">
              <w:rPr>
                <w:b/>
                <w:bCs/>
                <w:color w:val="000000"/>
                <w:sz w:val="22"/>
                <w:szCs w:val="22"/>
                <w:lang w:val="es-PY" w:eastAsia="es-PY"/>
              </w:rPr>
              <w:t>Modalidad</w:t>
            </w:r>
          </w:p>
        </w:tc>
        <w:tc>
          <w:tcPr>
            <w:tcW w:w="1475"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83040" w:rsidRPr="00B83040" w:rsidRDefault="00B83040" w:rsidP="00B83040">
            <w:pPr>
              <w:jc w:val="center"/>
              <w:rPr>
                <w:b/>
                <w:bCs/>
                <w:color w:val="000000"/>
                <w:sz w:val="22"/>
                <w:szCs w:val="22"/>
                <w:lang w:val="es-PY" w:eastAsia="es-PY"/>
              </w:rPr>
            </w:pPr>
            <w:r w:rsidRPr="00B83040">
              <w:rPr>
                <w:b/>
                <w:bCs/>
                <w:color w:val="000000"/>
                <w:sz w:val="22"/>
                <w:szCs w:val="22"/>
                <w:lang w:val="es-PY" w:eastAsia="es-PY"/>
              </w:rPr>
              <w:t>Monto US$</w:t>
            </w:r>
          </w:p>
        </w:tc>
        <w:tc>
          <w:tcPr>
            <w:tcW w:w="146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83040" w:rsidRPr="00B83040" w:rsidRDefault="00B83040" w:rsidP="00B83040">
            <w:pPr>
              <w:jc w:val="center"/>
              <w:rPr>
                <w:b/>
                <w:bCs/>
                <w:color w:val="000000"/>
                <w:sz w:val="22"/>
                <w:szCs w:val="22"/>
                <w:lang w:val="es-PY" w:eastAsia="es-PY"/>
              </w:rPr>
            </w:pPr>
            <w:r w:rsidRPr="00B83040">
              <w:rPr>
                <w:b/>
                <w:bCs/>
                <w:color w:val="000000"/>
                <w:sz w:val="22"/>
                <w:szCs w:val="22"/>
                <w:lang w:val="es-PY" w:eastAsia="es-PY"/>
              </w:rPr>
              <w:t>Estado</w:t>
            </w:r>
          </w:p>
        </w:tc>
      </w:tr>
      <w:tr w:rsidR="00B83040" w:rsidRPr="00B83040" w:rsidTr="00B83040">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1</w:t>
            </w:r>
          </w:p>
        </w:tc>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Itapúa</w:t>
            </w:r>
          </w:p>
        </w:tc>
        <w:tc>
          <w:tcPr>
            <w:tcW w:w="883"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BID</w:t>
            </w:r>
          </w:p>
        </w:tc>
        <w:tc>
          <w:tcPr>
            <w:tcW w:w="1594"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Convenio GL</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val="es-PY" w:eastAsia="es-PY"/>
              </w:rPr>
              <w:t xml:space="preserve">        3.890.416 </w:t>
            </w: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En ejecución</w:t>
            </w:r>
          </w:p>
        </w:tc>
      </w:tr>
      <w:tr w:rsidR="00B83040" w:rsidRPr="00B83040" w:rsidTr="00B83040">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2</w:t>
            </w:r>
          </w:p>
        </w:tc>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Alto Paraná Sur</w:t>
            </w:r>
          </w:p>
        </w:tc>
        <w:tc>
          <w:tcPr>
            <w:tcW w:w="883"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BID</w:t>
            </w:r>
          </w:p>
        </w:tc>
        <w:tc>
          <w:tcPr>
            <w:tcW w:w="1594"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Convenio GL</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val="es-PY" w:eastAsia="es-PY"/>
              </w:rPr>
              <w:t xml:space="preserve">        4.335.319 </w:t>
            </w: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En ejecución</w:t>
            </w:r>
          </w:p>
        </w:tc>
      </w:tr>
      <w:tr w:rsidR="00B83040" w:rsidRPr="00B83040" w:rsidTr="00B83040">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3</w:t>
            </w:r>
          </w:p>
        </w:tc>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Canindeyú Este</w:t>
            </w:r>
          </w:p>
        </w:tc>
        <w:tc>
          <w:tcPr>
            <w:tcW w:w="883"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BID</w:t>
            </w:r>
          </w:p>
        </w:tc>
        <w:tc>
          <w:tcPr>
            <w:tcW w:w="1594"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Convenio GL</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val="es-PY" w:eastAsia="es-PY"/>
              </w:rPr>
              <w:t xml:space="preserve">        4.392.612 </w:t>
            </w: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En ejecución</w:t>
            </w:r>
            <w:r w:rsidR="00A277F0">
              <w:rPr>
                <w:rStyle w:val="FootnoteReference"/>
                <w:color w:val="000000"/>
                <w:sz w:val="22"/>
                <w:szCs w:val="22"/>
                <w:lang w:eastAsia="es-PY"/>
              </w:rPr>
              <w:footnoteReference w:id="5"/>
            </w:r>
          </w:p>
        </w:tc>
      </w:tr>
      <w:tr w:rsidR="00B83040" w:rsidRPr="00B83040" w:rsidTr="00B83040">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4</w:t>
            </w:r>
          </w:p>
        </w:tc>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Caazapá</w:t>
            </w:r>
          </w:p>
        </w:tc>
        <w:tc>
          <w:tcPr>
            <w:tcW w:w="883"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val="es-PY" w:eastAsia="es-PY"/>
              </w:rPr>
              <w:t>BM</w:t>
            </w:r>
          </w:p>
        </w:tc>
        <w:tc>
          <w:tcPr>
            <w:tcW w:w="1594"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Convenio GL</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val="es-PY" w:eastAsia="es-PY"/>
              </w:rPr>
              <w:t xml:space="preserve">        5.274.599 </w:t>
            </w: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En ejecución</w:t>
            </w:r>
          </w:p>
        </w:tc>
      </w:tr>
      <w:tr w:rsidR="00B83040" w:rsidRPr="00B83040" w:rsidTr="00B83040">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5</w:t>
            </w:r>
          </w:p>
        </w:tc>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Guairá</w:t>
            </w:r>
          </w:p>
        </w:tc>
        <w:tc>
          <w:tcPr>
            <w:tcW w:w="883"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JICA</w:t>
            </w:r>
          </w:p>
        </w:tc>
        <w:tc>
          <w:tcPr>
            <w:tcW w:w="1594"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Convenio GL</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val="es-PY" w:eastAsia="es-PY"/>
              </w:rPr>
              <w:t xml:space="preserve">        3.118.772 </w:t>
            </w: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En ejecución</w:t>
            </w:r>
          </w:p>
        </w:tc>
      </w:tr>
      <w:tr w:rsidR="00B83040" w:rsidRPr="00B83040" w:rsidTr="00B83040">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6</w:t>
            </w:r>
          </w:p>
        </w:tc>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Caaguazú</w:t>
            </w:r>
          </w:p>
        </w:tc>
        <w:tc>
          <w:tcPr>
            <w:tcW w:w="883"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BM</w:t>
            </w:r>
          </w:p>
        </w:tc>
        <w:tc>
          <w:tcPr>
            <w:tcW w:w="1594"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Contrato</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val="es-PY" w:eastAsia="es-PY"/>
              </w:rPr>
              <w:t xml:space="preserve">        5.353.851 </w:t>
            </w: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En ejecución</w:t>
            </w:r>
          </w:p>
        </w:tc>
      </w:tr>
      <w:tr w:rsidR="00B83040" w:rsidRPr="00B83040" w:rsidTr="00B83040">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7</w:t>
            </w:r>
          </w:p>
        </w:tc>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San Pedro</w:t>
            </w:r>
          </w:p>
        </w:tc>
        <w:tc>
          <w:tcPr>
            <w:tcW w:w="883"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BM</w:t>
            </w:r>
          </w:p>
        </w:tc>
        <w:tc>
          <w:tcPr>
            <w:tcW w:w="1594"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Contrato</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val="es-PY" w:eastAsia="es-PY"/>
              </w:rPr>
              <w:t xml:space="preserve">        3.041.218 </w:t>
            </w: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En ejecución</w:t>
            </w:r>
          </w:p>
        </w:tc>
      </w:tr>
      <w:tr w:rsidR="00B83040" w:rsidRPr="00B83040" w:rsidTr="00B83040">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8</w:t>
            </w:r>
          </w:p>
        </w:tc>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Concepción/ Amambay</w:t>
            </w:r>
          </w:p>
        </w:tc>
        <w:tc>
          <w:tcPr>
            <w:tcW w:w="883"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BID</w:t>
            </w:r>
          </w:p>
        </w:tc>
        <w:tc>
          <w:tcPr>
            <w:tcW w:w="1594"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Contrato</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val="es-PY" w:eastAsia="es-PY"/>
              </w:rPr>
              <w:t xml:space="preserve">        3.710.708 </w:t>
            </w: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En ejecución</w:t>
            </w:r>
          </w:p>
        </w:tc>
      </w:tr>
      <w:tr w:rsidR="00B83040" w:rsidRPr="00B83040" w:rsidTr="00B83040">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9</w:t>
            </w:r>
          </w:p>
        </w:tc>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Misiones</w:t>
            </w:r>
          </w:p>
        </w:tc>
        <w:tc>
          <w:tcPr>
            <w:tcW w:w="883"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JICA</w:t>
            </w:r>
          </w:p>
        </w:tc>
        <w:tc>
          <w:tcPr>
            <w:tcW w:w="1594"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Convenio GL</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val="es-PY" w:eastAsia="es-PY"/>
              </w:rPr>
              <w:t xml:space="preserve">        1.146.245 </w:t>
            </w: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Pendiente</w:t>
            </w:r>
          </w:p>
        </w:tc>
      </w:tr>
      <w:tr w:rsidR="00B83040" w:rsidRPr="00B83040" w:rsidTr="00B83040">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10</w:t>
            </w:r>
          </w:p>
        </w:tc>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Ñeembucú</w:t>
            </w:r>
          </w:p>
        </w:tc>
        <w:tc>
          <w:tcPr>
            <w:tcW w:w="883"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BID</w:t>
            </w:r>
          </w:p>
        </w:tc>
        <w:tc>
          <w:tcPr>
            <w:tcW w:w="1594"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Sin definir</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val="es-PY" w:eastAsia="es-PY"/>
              </w:rPr>
              <w:t xml:space="preserve">                   -   </w:t>
            </w: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Pendiente</w:t>
            </w:r>
          </w:p>
        </w:tc>
      </w:tr>
      <w:tr w:rsidR="00B83040" w:rsidRPr="00B83040" w:rsidTr="00B83040">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11</w:t>
            </w:r>
          </w:p>
        </w:tc>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Cordillera</w:t>
            </w:r>
          </w:p>
        </w:tc>
        <w:tc>
          <w:tcPr>
            <w:tcW w:w="883"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BID</w:t>
            </w:r>
          </w:p>
        </w:tc>
        <w:tc>
          <w:tcPr>
            <w:tcW w:w="1594"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Convenio piloto con fideicomiso</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val="es-PY" w:eastAsia="es-PY"/>
              </w:rPr>
              <w:t xml:space="preserve">                   -   </w:t>
            </w: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Pendiente</w:t>
            </w:r>
          </w:p>
        </w:tc>
      </w:tr>
      <w:tr w:rsidR="00B83040" w:rsidRPr="00B83040" w:rsidTr="00B83040">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12</w:t>
            </w:r>
          </w:p>
        </w:tc>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Paraguarí</w:t>
            </w:r>
          </w:p>
        </w:tc>
        <w:tc>
          <w:tcPr>
            <w:tcW w:w="883"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JICA</w:t>
            </w:r>
          </w:p>
        </w:tc>
        <w:tc>
          <w:tcPr>
            <w:tcW w:w="1594"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Sin definir</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val="es-PY" w:eastAsia="es-PY"/>
              </w:rPr>
              <w:t xml:space="preserve">                   -   </w:t>
            </w: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Pendiente</w:t>
            </w:r>
          </w:p>
        </w:tc>
      </w:tr>
      <w:tr w:rsidR="00B83040" w:rsidRPr="00B83040" w:rsidTr="00B83040">
        <w:tc>
          <w:tcPr>
            <w:tcW w:w="64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13</w:t>
            </w:r>
          </w:p>
        </w:tc>
        <w:tc>
          <w:tcPr>
            <w:tcW w:w="2302"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Canindeyú (Fundación Moisés Bertoni)</w:t>
            </w:r>
          </w:p>
        </w:tc>
        <w:tc>
          <w:tcPr>
            <w:tcW w:w="883"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center"/>
              <w:rPr>
                <w:color w:val="000000"/>
                <w:sz w:val="22"/>
                <w:szCs w:val="22"/>
                <w:lang w:val="es-PY" w:eastAsia="es-PY"/>
              </w:rPr>
            </w:pPr>
            <w:r w:rsidRPr="00B83040">
              <w:rPr>
                <w:color w:val="000000"/>
                <w:sz w:val="22"/>
                <w:szCs w:val="22"/>
                <w:lang w:eastAsia="es-PY"/>
              </w:rPr>
              <w:t>--</w:t>
            </w:r>
          </w:p>
        </w:tc>
        <w:tc>
          <w:tcPr>
            <w:tcW w:w="1594"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Convenio piloto con ONG</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val="es-PY" w:eastAsia="es-PY"/>
              </w:rPr>
              <w:t xml:space="preserve">          236.260 </w:t>
            </w: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rPr>
                <w:color w:val="000000"/>
                <w:sz w:val="22"/>
                <w:szCs w:val="22"/>
                <w:lang w:val="es-PY" w:eastAsia="es-PY"/>
              </w:rPr>
            </w:pPr>
            <w:r w:rsidRPr="00B83040">
              <w:rPr>
                <w:color w:val="000000"/>
                <w:sz w:val="22"/>
                <w:szCs w:val="22"/>
                <w:lang w:eastAsia="es-PY"/>
              </w:rPr>
              <w:t>En ejecución</w:t>
            </w:r>
          </w:p>
        </w:tc>
      </w:tr>
      <w:tr w:rsidR="00B83040" w:rsidRPr="00B83040" w:rsidTr="00B83040">
        <w:tc>
          <w:tcPr>
            <w:tcW w:w="5421" w:type="dxa"/>
            <w:gridSpan w:val="4"/>
            <w:tcBorders>
              <w:top w:val="single" w:sz="4" w:space="0" w:color="auto"/>
              <w:left w:val="single" w:sz="4" w:space="0" w:color="auto"/>
              <w:bottom w:val="single" w:sz="4" w:space="0" w:color="auto"/>
              <w:right w:val="single" w:sz="4" w:space="0" w:color="auto"/>
            </w:tcBorders>
            <w:shd w:val="clear" w:color="auto" w:fill="auto"/>
            <w:noWrap/>
            <w:hideMark/>
          </w:tcPr>
          <w:p w:rsidR="00B83040" w:rsidRPr="00B83040" w:rsidRDefault="00B83040" w:rsidP="00B83040">
            <w:pPr>
              <w:rPr>
                <w:b/>
                <w:bCs/>
                <w:color w:val="000000"/>
                <w:sz w:val="22"/>
                <w:szCs w:val="22"/>
                <w:lang w:val="es-PY" w:eastAsia="es-PY"/>
              </w:rPr>
            </w:pPr>
            <w:r w:rsidRPr="00B83040">
              <w:rPr>
                <w:b/>
                <w:bCs/>
                <w:color w:val="000000"/>
                <w:sz w:val="22"/>
                <w:szCs w:val="22"/>
                <w:lang w:val="es-PY" w:eastAsia="es-PY"/>
              </w:rPr>
              <w:t>Total </w:t>
            </w:r>
          </w:p>
        </w:tc>
        <w:tc>
          <w:tcPr>
            <w:tcW w:w="1475" w:type="dxa"/>
            <w:tcBorders>
              <w:top w:val="single" w:sz="4" w:space="0" w:color="auto"/>
              <w:left w:val="single" w:sz="4" w:space="0" w:color="auto"/>
              <w:bottom w:val="single" w:sz="4" w:space="0" w:color="auto"/>
              <w:right w:val="single" w:sz="4" w:space="0" w:color="auto"/>
            </w:tcBorders>
            <w:shd w:val="clear" w:color="auto" w:fill="auto"/>
            <w:hideMark/>
          </w:tcPr>
          <w:p w:rsidR="00B83040" w:rsidRPr="00B83040" w:rsidRDefault="00B83040" w:rsidP="00B83040">
            <w:pPr>
              <w:jc w:val="right"/>
              <w:rPr>
                <w:b/>
                <w:color w:val="000000"/>
                <w:sz w:val="22"/>
                <w:szCs w:val="22"/>
                <w:lang w:val="es-PY" w:eastAsia="es-PY"/>
              </w:rPr>
            </w:pPr>
            <w:r w:rsidRPr="00B83040">
              <w:rPr>
                <w:b/>
                <w:color w:val="000000"/>
                <w:sz w:val="22"/>
                <w:szCs w:val="22"/>
                <w:lang w:val="es-PY" w:eastAsia="es-PY"/>
              </w:rPr>
              <w:t>34.500.000</w:t>
            </w:r>
          </w:p>
        </w:tc>
        <w:tc>
          <w:tcPr>
            <w:tcW w:w="146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B83040" w:rsidRPr="00B83040" w:rsidRDefault="00B83040" w:rsidP="00B83040">
            <w:pPr>
              <w:jc w:val="center"/>
              <w:rPr>
                <w:b/>
                <w:color w:val="000000"/>
                <w:sz w:val="22"/>
                <w:szCs w:val="22"/>
                <w:lang w:val="es-PY" w:eastAsia="es-PY"/>
              </w:rPr>
            </w:pPr>
            <w:r w:rsidRPr="00B83040">
              <w:rPr>
                <w:b/>
                <w:color w:val="000000"/>
                <w:sz w:val="22"/>
                <w:szCs w:val="22"/>
                <w:lang w:val="es-PY" w:eastAsia="es-PY"/>
              </w:rPr>
              <w:t> </w:t>
            </w:r>
          </w:p>
        </w:tc>
      </w:tr>
    </w:tbl>
    <w:p w:rsidR="00B83040" w:rsidRPr="00B83040" w:rsidRDefault="00B83040" w:rsidP="00B83040">
      <w:pPr>
        <w:spacing w:before="240"/>
        <w:ind w:left="709"/>
        <w:jc w:val="both"/>
        <w:rPr>
          <w:sz w:val="22"/>
          <w:szCs w:val="22"/>
        </w:rPr>
      </w:pPr>
      <w:r w:rsidRPr="00B83040">
        <w:rPr>
          <w:sz w:val="22"/>
          <w:szCs w:val="22"/>
        </w:rPr>
        <w:t>Nota: el Departamento de Guairá fue incluido en la modalidad por contrato, pero en ocasión de realizarse la licitación pública no hubo ofertas para esa área geográfica, por tanto el Ejecutor lo pasó a la modalidad por Convenio</w:t>
      </w:r>
      <w:r>
        <w:rPr>
          <w:sz w:val="22"/>
          <w:szCs w:val="22"/>
        </w:rPr>
        <w:t xml:space="preserve"> con la no objeción del BID</w:t>
      </w:r>
      <w:r w:rsidRPr="00B83040">
        <w:rPr>
          <w:sz w:val="22"/>
          <w:szCs w:val="22"/>
        </w:rPr>
        <w:t>.</w:t>
      </w:r>
    </w:p>
    <w:p w:rsidR="00FA4B41" w:rsidRDefault="00FA4B41" w:rsidP="00AB1224">
      <w:pPr>
        <w:spacing w:before="120" w:after="120" w:line="240" w:lineRule="atLeast"/>
        <w:ind w:left="709"/>
        <w:contextualSpacing/>
        <w:jc w:val="both"/>
        <w:rPr>
          <w:b/>
          <w:bCs/>
          <w:szCs w:val="24"/>
        </w:rPr>
      </w:pPr>
    </w:p>
    <w:p w:rsidR="00A277F0" w:rsidRDefault="00A277F0" w:rsidP="00A277F0">
      <w:pPr>
        <w:numPr>
          <w:ilvl w:val="1"/>
          <w:numId w:val="1"/>
        </w:numPr>
        <w:tabs>
          <w:tab w:val="clear" w:pos="360"/>
          <w:tab w:val="num" w:pos="709"/>
        </w:tabs>
        <w:spacing w:before="240"/>
        <w:ind w:left="709" w:hanging="709"/>
        <w:jc w:val="both"/>
      </w:pPr>
      <w:bookmarkStart w:id="40" w:name="_Ref396057594"/>
      <w:r>
        <w:t xml:space="preserve">En la modalidad por Convenio se incluye la sub-contratación de las Asociaciones de </w:t>
      </w:r>
      <w:r w:rsidR="00995DCB">
        <w:t>Conservación</w:t>
      </w:r>
      <w:r>
        <w:t xml:space="preserve"> Vial (A</w:t>
      </w:r>
      <w:r w:rsidR="00995DCB">
        <w:t>C</w:t>
      </w:r>
      <w:r>
        <w:t>V). El número de integrantes por A</w:t>
      </w:r>
      <w:r w:rsidR="00995DCB">
        <w:t>C</w:t>
      </w:r>
      <w:r>
        <w:t xml:space="preserve">V varía desde </w:t>
      </w:r>
      <w:r w:rsidR="00AE57D9">
        <w:t>cuatro</w:t>
      </w:r>
      <w:r>
        <w:t xml:space="preserve"> hasta </w:t>
      </w:r>
      <w:r w:rsidR="00202FE0">
        <w:t>una cantidad mayor acorde a la dificultad del tramo</w:t>
      </w:r>
      <w:r w:rsidR="00995DCB">
        <w:t>, experimentándose una alta rotación de sus miembros.</w:t>
      </w:r>
      <w:r w:rsidR="00587662">
        <w:t xml:space="preserve"> A la fecha se cuentan 65 ACV </w:t>
      </w:r>
      <w:r w:rsidR="00AE57D9">
        <w:t>que emplean a 401 microempresarios</w:t>
      </w:r>
      <w:r w:rsidR="00587662" w:rsidRPr="00202FE0">
        <w:t>.</w:t>
      </w:r>
      <w:bookmarkEnd w:id="40"/>
    </w:p>
    <w:p w:rsidR="00A277F0" w:rsidRDefault="00A277F0" w:rsidP="00AB1224">
      <w:pPr>
        <w:spacing w:before="120" w:after="120" w:line="240" w:lineRule="atLeast"/>
        <w:ind w:left="709"/>
        <w:contextualSpacing/>
        <w:jc w:val="both"/>
        <w:rPr>
          <w:b/>
          <w:bCs/>
          <w:szCs w:val="24"/>
        </w:rPr>
      </w:pPr>
    </w:p>
    <w:p w:rsidR="00332FBC" w:rsidRDefault="00B7675E" w:rsidP="00B7675E">
      <w:pPr>
        <w:numPr>
          <w:ilvl w:val="1"/>
          <w:numId w:val="1"/>
        </w:numPr>
        <w:tabs>
          <w:tab w:val="clear" w:pos="360"/>
          <w:tab w:val="num" w:pos="709"/>
        </w:tabs>
        <w:spacing w:before="240"/>
        <w:ind w:left="709" w:hanging="709"/>
        <w:jc w:val="both"/>
      </w:pPr>
      <w:r w:rsidRPr="006A451A">
        <w:rPr>
          <w:b/>
        </w:rPr>
        <w:lastRenderedPageBreak/>
        <w:t>Organización funcional de la DCV</w:t>
      </w:r>
      <w:r>
        <w:t xml:space="preserve">. </w:t>
      </w:r>
      <w:r w:rsidR="000247C9">
        <w:t xml:space="preserve">La ejecución del PNCR la realiza la Dirección de Caminos Vecinales (DCV), comprendiendo </w:t>
      </w:r>
      <w:r w:rsidR="004A4C51">
        <w:t xml:space="preserve">fundamentalmente el componente 2 indicado </w:t>
      </w:r>
      <w:r w:rsidR="000247C9">
        <w:t>en ¶</w:t>
      </w:r>
      <w:r w:rsidR="004A4C51">
        <w:fldChar w:fldCharType="begin"/>
      </w:r>
      <w:r w:rsidR="004A4C51">
        <w:instrText xml:space="preserve"> REF _Ref396033053 \r \h </w:instrText>
      </w:r>
      <w:r w:rsidR="004A4C51">
        <w:fldChar w:fldCharType="separate"/>
      </w:r>
      <w:r w:rsidR="004A4C51">
        <w:t>6.1</w:t>
      </w:r>
      <w:r w:rsidR="004A4C51">
        <w:fldChar w:fldCharType="end"/>
      </w:r>
      <w:r w:rsidR="000247C9">
        <w:t xml:space="preserve">. </w:t>
      </w:r>
      <w:r w:rsidRPr="004A4C51">
        <w:t>Anteriorment</w:t>
      </w:r>
      <w:r>
        <w:t xml:space="preserve">e toda la gestión del mantenimiento del PNCR se ejecutaba a través de la </w:t>
      </w:r>
      <w:r w:rsidR="00587662">
        <w:t>Unidad de Gestión del Mantenimiento (</w:t>
      </w:r>
      <w:r>
        <w:t>UGM</w:t>
      </w:r>
      <w:r w:rsidR="00587662">
        <w:t>)</w:t>
      </w:r>
      <w:r>
        <w:t>. Actualmente se han dividido las funciones, correspondiendo al Departamento de Operaciones de la DCV</w:t>
      </w:r>
      <w:r w:rsidR="004A4C51">
        <w:t xml:space="preserve"> (DO-DCV)</w:t>
      </w:r>
      <w:r>
        <w:t xml:space="preserve"> el control general</w:t>
      </w:r>
      <w:r w:rsidR="00332FBC">
        <w:t xml:space="preserve"> del PGM y la</w:t>
      </w:r>
      <w:r w:rsidR="004A4C51">
        <w:t xml:space="preserve"> particularmente la</w:t>
      </w:r>
      <w:r w:rsidR="00332FBC">
        <w:t xml:space="preserve"> administración del mantenimiento por contratos. A la UGM le corresponde la administración de los Convenios que a su vez comprenden la sub-contratación de Asociaciones de </w:t>
      </w:r>
      <w:r w:rsidR="00995DCB">
        <w:t xml:space="preserve">Conservación </w:t>
      </w:r>
      <w:r w:rsidR="00332FBC">
        <w:t>Vial (A</w:t>
      </w:r>
      <w:r w:rsidR="00995DCB">
        <w:t>C</w:t>
      </w:r>
      <w:r w:rsidR="00332FBC">
        <w:t>V) o “microempresas”.</w:t>
      </w:r>
      <w:r w:rsidR="003F09C9">
        <w:t xml:space="preserve"> Ambas dependencias funcionan en oficinas alquiladas en el Edificio La Encarnación, Piso 11°, en los alrededores inmediatos a la sede central del MOPC.</w:t>
      </w:r>
    </w:p>
    <w:p w:rsidR="00516DE1" w:rsidRPr="00516DE1" w:rsidRDefault="00516DE1" w:rsidP="00B7675E">
      <w:pPr>
        <w:numPr>
          <w:ilvl w:val="1"/>
          <w:numId w:val="1"/>
        </w:numPr>
        <w:tabs>
          <w:tab w:val="clear" w:pos="360"/>
          <w:tab w:val="num" w:pos="709"/>
        </w:tabs>
        <w:spacing w:before="240"/>
        <w:ind w:left="709" w:hanging="709"/>
        <w:jc w:val="both"/>
      </w:pPr>
      <w:r w:rsidRPr="00516DE1">
        <w:t xml:space="preserve">El DO-DCV </w:t>
      </w:r>
      <w:r w:rsidR="00AA175B">
        <w:t xml:space="preserve">está constituida por funcionarios de planta del MOPC, </w:t>
      </w:r>
      <w:r w:rsidRPr="00516DE1">
        <w:t>posee un</w:t>
      </w:r>
      <w:r>
        <w:t xml:space="preserve"> ingeniero civil como </w:t>
      </w:r>
      <w:r w:rsidRPr="00516DE1">
        <w:t>jefe de departamento</w:t>
      </w:r>
      <w:r>
        <w:t>, quien</w:t>
      </w:r>
      <w:r w:rsidRPr="00516DE1">
        <w:t xml:space="preserve"> a su vez desempeña el rol de supervisor del contrato de mantenimiento de San Pedro. </w:t>
      </w:r>
      <w:r>
        <w:t>Luego existen dos ingenieros civiles más que ejercen los cargos de supervisores de los contratos de mantenimiento de los departamentos de Caaguazú y de Concepción-Amambay, pero el primero es funcionario de la Dirección de Vialidad y también realiza la supervisión de otras obras de dicha Dirección, y el segundo ejerce el cargo de Jefe del Distrito de Conservación de Pedro Juan Caballero, dependiente también de la Dirección de Vialidad.</w:t>
      </w:r>
      <w:r w:rsidR="004A4C51">
        <w:t xml:space="preserve"> Otros funcionarios del DP-DCV son </w:t>
      </w:r>
      <w:r w:rsidR="000D6332">
        <w:t>un técnico superior laboratorista y vial, 3 asistentes técnico-administrativos y 1 chofer.</w:t>
      </w:r>
    </w:p>
    <w:p w:rsidR="00AA175B" w:rsidRDefault="000D6332" w:rsidP="00B7675E">
      <w:pPr>
        <w:numPr>
          <w:ilvl w:val="1"/>
          <w:numId w:val="1"/>
        </w:numPr>
        <w:tabs>
          <w:tab w:val="clear" w:pos="360"/>
          <w:tab w:val="num" w:pos="709"/>
        </w:tabs>
        <w:spacing w:before="240"/>
        <w:ind w:left="709" w:hanging="709"/>
        <w:jc w:val="both"/>
      </w:pPr>
      <w:r>
        <w:t>La</w:t>
      </w:r>
      <w:r w:rsidR="00AA175B">
        <w:t xml:space="preserve"> </w:t>
      </w:r>
      <w:r w:rsidR="003F09C9">
        <w:t>UGM</w:t>
      </w:r>
      <w:r w:rsidR="00AA175B">
        <w:t xml:space="preserve"> está formada por personal contratado en su mayoría, en calidad de consultores nacionales, pero varios de ellos poseen una larga experiencia en los trabajos que realizan para el MOPC. La Unidad pos</w:t>
      </w:r>
      <w:r w:rsidR="00A277F0">
        <w:t xml:space="preserve">ee un ingeniero civil como coordinador general, 4 profesionales ingenieros como supervisores técnicos y 5 supervisores administrativos. </w:t>
      </w:r>
      <w:r w:rsidR="003F09C9">
        <w:t>La estructura se completa con 3 asistentes y 2 choferes.</w:t>
      </w:r>
    </w:p>
    <w:p w:rsidR="00B7675E" w:rsidRDefault="00B7675E" w:rsidP="00AB1224">
      <w:pPr>
        <w:spacing w:before="120" w:after="120" w:line="240" w:lineRule="atLeast"/>
        <w:ind w:left="709"/>
        <w:contextualSpacing/>
        <w:jc w:val="both"/>
        <w:rPr>
          <w:b/>
          <w:bCs/>
          <w:szCs w:val="24"/>
        </w:rPr>
      </w:pPr>
    </w:p>
    <w:p w:rsidR="00FF0503" w:rsidRDefault="00FF0503" w:rsidP="00FF0503">
      <w:pPr>
        <w:pStyle w:val="Heading2"/>
      </w:pPr>
      <w:r>
        <w:t>La modalidad por Convenio.</w:t>
      </w:r>
    </w:p>
    <w:p w:rsidR="00FF0503" w:rsidRDefault="00FA4B41" w:rsidP="00183BB1">
      <w:pPr>
        <w:numPr>
          <w:ilvl w:val="1"/>
          <w:numId w:val="1"/>
        </w:numPr>
        <w:tabs>
          <w:tab w:val="clear" w:pos="360"/>
          <w:tab w:val="num" w:pos="709"/>
        </w:tabs>
        <w:spacing w:before="240"/>
        <w:ind w:left="709" w:hanging="709"/>
        <w:jc w:val="both"/>
      </w:pPr>
      <w:bookmarkStart w:id="41" w:name="_Ref396057544"/>
      <w:r>
        <w:t>Esta modalidad admite tanto el convenio con Gobiernos Locales (municipalidades y gobernaciones) como con comunidades, entendiéndose estas últimas como cualquier organización con vocación de ejecutar el servicio de mantenimiento de vías de uso público</w:t>
      </w:r>
      <w:r w:rsidR="00FF0503" w:rsidRPr="00AA2FA7">
        <w:t>.</w:t>
      </w:r>
      <w:r>
        <w:t xml:space="preserve"> En este sentido existen actualmente varios convenios con asociaciones de municipalidades y un convenio piloto con una Organización No Gubernamental, la Fundación Moisés Bertoni </w:t>
      </w:r>
      <w:r w:rsidR="00183BB1">
        <w:t>en el departamento de Canindeyú.</w:t>
      </w:r>
      <w:bookmarkEnd w:id="41"/>
      <w:r>
        <w:t xml:space="preserve"> </w:t>
      </w:r>
    </w:p>
    <w:p w:rsidR="00183BB1" w:rsidRDefault="00183BB1" w:rsidP="00183BB1">
      <w:pPr>
        <w:numPr>
          <w:ilvl w:val="1"/>
          <w:numId w:val="1"/>
        </w:numPr>
        <w:tabs>
          <w:tab w:val="clear" w:pos="360"/>
          <w:tab w:val="num" w:pos="709"/>
        </w:tabs>
        <w:spacing w:before="240"/>
        <w:ind w:left="709" w:hanging="709"/>
        <w:jc w:val="both"/>
      </w:pPr>
      <w:bookmarkStart w:id="42" w:name="_Ref396299604"/>
      <w:r w:rsidRPr="00183BB1">
        <w:rPr>
          <w:b/>
        </w:rPr>
        <w:t>Marco normativo del Convenio</w:t>
      </w:r>
      <w:r>
        <w:t xml:space="preserve">. Se analiza el formato de convenio </w:t>
      </w:r>
      <w:r w:rsidR="005D6FE7">
        <w:t xml:space="preserve">utilizado </w:t>
      </w:r>
      <w:r>
        <w:t xml:space="preserve">con los </w:t>
      </w:r>
      <w:r w:rsidR="005D6FE7">
        <w:t>Gobiernos Locales</w:t>
      </w:r>
      <w:r>
        <w:t>.</w:t>
      </w:r>
      <w:bookmarkEnd w:id="42"/>
    </w:p>
    <w:p w:rsidR="009161BB" w:rsidRDefault="009161BB" w:rsidP="009161BB">
      <w:pPr>
        <w:ind w:left="709"/>
        <w:jc w:val="both"/>
      </w:pPr>
    </w:p>
    <w:tbl>
      <w:tblPr>
        <w:tblStyle w:val="TableGrid"/>
        <w:tblW w:w="9180" w:type="dxa"/>
        <w:tblLook w:val="04A0" w:firstRow="1" w:lastRow="0" w:firstColumn="1" w:lastColumn="0" w:noHBand="0" w:noVBand="1"/>
      </w:tblPr>
      <w:tblGrid>
        <w:gridCol w:w="1149"/>
        <w:gridCol w:w="2003"/>
        <w:gridCol w:w="6028"/>
      </w:tblGrid>
      <w:tr w:rsidR="005D6FE7" w:rsidRPr="005D6FE7" w:rsidTr="005D6FE7">
        <w:trPr>
          <w:tblHeader/>
        </w:trPr>
        <w:tc>
          <w:tcPr>
            <w:tcW w:w="1149" w:type="dxa"/>
            <w:shd w:val="clear" w:color="auto" w:fill="DAEEF3" w:themeFill="accent5" w:themeFillTint="33"/>
          </w:tcPr>
          <w:p w:rsidR="005D6FE7" w:rsidRPr="005D6FE7" w:rsidRDefault="005D6FE7" w:rsidP="001757A7">
            <w:pPr>
              <w:keepNext/>
              <w:rPr>
                <w:b/>
                <w:sz w:val="22"/>
                <w:szCs w:val="22"/>
              </w:rPr>
            </w:pPr>
            <w:r w:rsidRPr="005D6FE7">
              <w:rPr>
                <w:b/>
                <w:sz w:val="22"/>
                <w:szCs w:val="22"/>
                <w:lang w:val="es-PY"/>
              </w:rPr>
              <w:t>Ítem</w:t>
            </w:r>
          </w:p>
        </w:tc>
        <w:tc>
          <w:tcPr>
            <w:tcW w:w="2003" w:type="dxa"/>
            <w:shd w:val="clear" w:color="auto" w:fill="DAEEF3" w:themeFill="accent5" w:themeFillTint="33"/>
          </w:tcPr>
          <w:p w:rsidR="005D6FE7" w:rsidRPr="005D6FE7" w:rsidRDefault="005D6FE7" w:rsidP="001757A7">
            <w:pPr>
              <w:keepNext/>
              <w:rPr>
                <w:b/>
                <w:sz w:val="22"/>
                <w:szCs w:val="22"/>
              </w:rPr>
            </w:pPr>
            <w:r w:rsidRPr="005D6FE7">
              <w:rPr>
                <w:b/>
                <w:sz w:val="22"/>
                <w:szCs w:val="22"/>
                <w:lang w:val="es-PY"/>
              </w:rPr>
              <w:t>Título</w:t>
            </w:r>
          </w:p>
        </w:tc>
        <w:tc>
          <w:tcPr>
            <w:tcW w:w="6028" w:type="dxa"/>
            <w:shd w:val="clear" w:color="auto" w:fill="DAEEF3" w:themeFill="accent5" w:themeFillTint="33"/>
          </w:tcPr>
          <w:p w:rsidR="005D6FE7" w:rsidRPr="005D6FE7" w:rsidRDefault="005D6FE7" w:rsidP="001757A7">
            <w:pPr>
              <w:keepNext/>
              <w:rPr>
                <w:b/>
                <w:sz w:val="22"/>
                <w:szCs w:val="22"/>
              </w:rPr>
            </w:pPr>
            <w:r w:rsidRPr="005D6FE7">
              <w:rPr>
                <w:b/>
                <w:sz w:val="22"/>
                <w:szCs w:val="22"/>
                <w:lang w:val="es-PY"/>
              </w:rPr>
              <w:t>Observaciones</w:t>
            </w:r>
            <w:r w:rsidRPr="005D6FE7">
              <w:rPr>
                <w:b/>
                <w:sz w:val="22"/>
                <w:szCs w:val="22"/>
              </w:rPr>
              <w:t xml:space="preserve"> </w:t>
            </w:r>
            <w:r w:rsidRPr="005D6FE7">
              <w:rPr>
                <w:b/>
                <w:sz w:val="22"/>
                <w:szCs w:val="22"/>
                <w:lang w:val="es-PY"/>
              </w:rPr>
              <w:t>relevantes</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primera</w:t>
            </w:r>
          </w:p>
        </w:tc>
        <w:tc>
          <w:tcPr>
            <w:tcW w:w="2003" w:type="dxa"/>
          </w:tcPr>
          <w:p w:rsidR="005D6FE7" w:rsidRPr="005D6FE7" w:rsidRDefault="005D6FE7" w:rsidP="005D6FE7">
            <w:pPr>
              <w:spacing w:after="120"/>
              <w:rPr>
                <w:sz w:val="22"/>
                <w:szCs w:val="22"/>
                <w:lang w:val="es-PY"/>
              </w:rPr>
            </w:pPr>
            <w:r w:rsidRPr="005D6FE7">
              <w:rPr>
                <w:sz w:val="22"/>
                <w:szCs w:val="22"/>
                <w:lang w:val="es-PY"/>
              </w:rPr>
              <w:t>Definiciones e interpretaciones</w:t>
            </w:r>
          </w:p>
        </w:tc>
        <w:tc>
          <w:tcPr>
            <w:tcW w:w="6028" w:type="dxa"/>
          </w:tcPr>
          <w:p w:rsidR="005D6FE7" w:rsidRPr="005D6FE7" w:rsidRDefault="005D6FE7" w:rsidP="00B7675E">
            <w:pPr>
              <w:spacing w:after="120"/>
              <w:rPr>
                <w:sz w:val="22"/>
                <w:szCs w:val="22"/>
                <w:lang w:val="es-PY"/>
              </w:rPr>
            </w:pPr>
            <w:r w:rsidRPr="005D6FE7">
              <w:rPr>
                <w:sz w:val="22"/>
                <w:szCs w:val="22"/>
                <w:lang w:val="es-PY"/>
              </w:rPr>
              <w:t>Se establecen las definiciones e interpretaciones válidas para el Convenio.</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segunda</w:t>
            </w:r>
          </w:p>
        </w:tc>
        <w:tc>
          <w:tcPr>
            <w:tcW w:w="2003" w:type="dxa"/>
          </w:tcPr>
          <w:p w:rsidR="005D6FE7" w:rsidRPr="005D6FE7" w:rsidRDefault="005D6FE7" w:rsidP="005D6FE7">
            <w:pPr>
              <w:spacing w:after="120"/>
              <w:rPr>
                <w:sz w:val="22"/>
                <w:szCs w:val="22"/>
                <w:lang w:val="es-PY"/>
              </w:rPr>
            </w:pPr>
            <w:r w:rsidRPr="005D6FE7">
              <w:rPr>
                <w:sz w:val="22"/>
                <w:szCs w:val="22"/>
                <w:lang w:val="es-PY"/>
              </w:rPr>
              <w:t>Participantes</w:t>
            </w:r>
          </w:p>
        </w:tc>
        <w:tc>
          <w:tcPr>
            <w:tcW w:w="6028" w:type="dxa"/>
          </w:tcPr>
          <w:p w:rsidR="005D6FE7" w:rsidRPr="005D6FE7" w:rsidRDefault="005D6FE7" w:rsidP="00B7675E">
            <w:pPr>
              <w:spacing w:after="120"/>
              <w:rPr>
                <w:sz w:val="22"/>
                <w:szCs w:val="22"/>
                <w:lang w:val="es-PY"/>
              </w:rPr>
            </w:pPr>
            <w:r w:rsidRPr="005D6FE7">
              <w:rPr>
                <w:sz w:val="22"/>
                <w:szCs w:val="22"/>
                <w:lang w:val="es-PY"/>
              </w:rPr>
              <w:t>Los representantes legales de las Partes.</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tercera</w:t>
            </w:r>
          </w:p>
        </w:tc>
        <w:tc>
          <w:tcPr>
            <w:tcW w:w="2003" w:type="dxa"/>
          </w:tcPr>
          <w:p w:rsidR="005D6FE7" w:rsidRPr="005D6FE7" w:rsidRDefault="005D6FE7" w:rsidP="005D6FE7">
            <w:pPr>
              <w:spacing w:after="120"/>
              <w:rPr>
                <w:sz w:val="22"/>
                <w:szCs w:val="22"/>
                <w:lang w:val="es-PY"/>
              </w:rPr>
            </w:pPr>
            <w:r w:rsidRPr="005D6FE7">
              <w:rPr>
                <w:sz w:val="22"/>
                <w:szCs w:val="22"/>
                <w:lang w:val="es-PY"/>
              </w:rPr>
              <w:t>Antecedentes legales</w:t>
            </w:r>
          </w:p>
        </w:tc>
        <w:tc>
          <w:tcPr>
            <w:tcW w:w="6028" w:type="dxa"/>
          </w:tcPr>
          <w:p w:rsidR="005D6FE7" w:rsidRPr="005D6FE7" w:rsidRDefault="005D6FE7" w:rsidP="00B7675E">
            <w:pPr>
              <w:spacing w:after="120"/>
              <w:rPr>
                <w:sz w:val="22"/>
                <w:szCs w:val="22"/>
              </w:rPr>
            </w:pPr>
            <w:r w:rsidRPr="005D6FE7">
              <w:rPr>
                <w:sz w:val="22"/>
                <w:szCs w:val="22"/>
              </w:rPr>
              <w:t xml:space="preserve">Los </w:t>
            </w:r>
            <w:r w:rsidRPr="005D6FE7">
              <w:rPr>
                <w:sz w:val="22"/>
                <w:szCs w:val="22"/>
                <w:lang w:val="es-PY"/>
              </w:rPr>
              <w:t>contratos</w:t>
            </w:r>
            <w:r w:rsidRPr="005D6FE7">
              <w:rPr>
                <w:sz w:val="22"/>
                <w:szCs w:val="22"/>
              </w:rPr>
              <w:t xml:space="preserve"> de </w:t>
            </w:r>
            <w:r w:rsidRPr="005D6FE7">
              <w:rPr>
                <w:sz w:val="22"/>
                <w:szCs w:val="22"/>
                <w:lang w:val="es-PY"/>
              </w:rPr>
              <w:t>préstamo</w:t>
            </w:r>
            <w:r w:rsidRPr="005D6FE7">
              <w:rPr>
                <w:sz w:val="22"/>
                <w:szCs w:val="22"/>
              </w:rPr>
              <w:t>.</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lastRenderedPageBreak/>
              <w:t>Cláusula cuarta</w:t>
            </w:r>
          </w:p>
        </w:tc>
        <w:tc>
          <w:tcPr>
            <w:tcW w:w="2003" w:type="dxa"/>
          </w:tcPr>
          <w:p w:rsidR="005D6FE7" w:rsidRPr="005D6FE7" w:rsidRDefault="005D6FE7" w:rsidP="005D6FE7">
            <w:pPr>
              <w:spacing w:after="120"/>
              <w:rPr>
                <w:sz w:val="22"/>
                <w:szCs w:val="22"/>
                <w:lang w:val="es-PY"/>
              </w:rPr>
            </w:pPr>
            <w:r w:rsidRPr="005D6FE7">
              <w:rPr>
                <w:sz w:val="22"/>
                <w:szCs w:val="22"/>
                <w:lang w:val="es-PY"/>
              </w:rPr>
              <w:t>Documentos del Convenio</w:t>
            </w:r>
          </w:p>
        </w:tc>
        <w:tc>
          <w:tcPr>
            <w:tcW w:w="6028" w:type="dxa"/>
          </w:tcPr>
          <w:p w:rsidR="005D6FE7" w:rsidRPr="005D6FE7" w:rsidRDefault="005D6FE7" w:rsidP="00B7675E">
            <w:pPr>
              <w:spacing w:after="120"/>
              <w:rPr>
                <w:sz w:val="22"/>
                <w:szCs w:val="22"/>
                <w:lang w:val="es-PY"/>
              </w:rPr>
            </w:pPr>
            <w:r w:rsidRPr="005D6FE7">
              <w:rPr>
                <w:sz w:val="22"/>
                <w:szCs w:val="22"/>
                <w:lang w:val="es-PY"/>
              </w:rPr>
              <w:t xml:space="preserve">El Convenio, los anexos A </w:t>
            </w:r>
            <w:proofErr w:type="spellStart"/>
            <w:r w:rsidRPr="005D6FE7">
              <w:rPr>
                <w:sz w:val="22"/>
                <w:szCs w:val="22"/>
                <w:lang w:val="es-PY"/>
              </w:rPr>
              <w:t>a</w:t>
            </w:r>
            <w:proofErr w:type="spellEnd"/>
            <w:r w:rsidRPr="005D6FE7">
              <w:rPr>
                <w:sz w:val="22"/>
                <w:szCs w:val="22"/>
                <w:lang w:val="es-PY"/>
              </w:rPr>
              <w:t xml:space="preserve"> G y las adendas que surgieren.</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quinta</w:t>
            </w:r>
          </w:p>
        </w:tc>
        <w:tc>
          <w:tcPr>
            <w:tcW w:w="2003" w:type="dxa"/>
          </w:tcPr>
          <w:p w:rsidR="005D6FE7" w:rsidRPr="005D6FE7" w:rsidRDefault="005D6FE7" w:rsidP="005D6FE7">
            <w:pPr>
              <w:spacing w:after="120"/>
              <w:rPr>
                <w:sz w:val="22"/>
                <w:szCs w:val="22"/>
                <w:lang w:val="es-PY"/>
              </w:rPr>
            </w:pPr>
            <w:r w:rsidRPr="005D6FE7">
              <w:rPr>
                <w:sz w:val="22"/>
                <w:szCs w:val="22"/>
                <w:lang w:val="es-PY"/>
              </w:rPr>
              <w:t>Obligaciones de la Entidad Ejecutora</w:t>
            </w:r>
          </w:p>
        </w:tc>
        <w:tc>
          <w:tcPr>
            <w:tcW w:w="6028" w:type="dxa"/>
          </w:tcPr>
          <w:p w:rsidR="005D6FE7" w:rsidRPr="005D6FE7" w:rsidRDefault="005D6FE7" w:rsidP="00B7675E">
            <w:pPr>
              <w:spacing w:after="120"/>
              <w:rPr>
                <w:sz w:val="22"/>
                <w:szCs w:val="22"/>
                <w:lang w:val="es-PY"/>
              </w:rPr>
            </w:pPr>
            <w:r w:rsidRPr="005D6FE7">
              <w:rPr>
                <w:sz w:val="22"/>
                <w:szCs w:val="22"/>
                <w:lang w:val="es-PY"/>
              </w:rPr>
              <w:t>La Entidad Ejecutora se obliga a:   i) realizar todos los trabajos adicionales que en el curso de  la  ejecución  de  las  actividades  de  mantenimiento  resultaren  necesarios  y  que  su  ejecución  fuera encomendada  por  la  DCV; ii) cumplir  con  todas  las instrucciones impartidas por los SUPERVISORES, mediante comunicación escrita; iii) pagar los gastos de Asistencia Técnica para la adecuada ejecución de los trabajos y la fiscalización de su calidad.</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sexta</w:t>
            </w:r>
          </w:p>
        </w:tc>
        <w:tc>
          <w:tcPr>
            <w:tcW w:w="2003" w:type="dxa"/>
          </w:tcPr>
          <w:p w:rsidR="005D6FE7" w:rsidRPr="005D6FE7" w:rsidRDefault="005D6FE7" w:rsidP="005D6FE7">
            <w:pPr>
              <w:spacing w:after="120"/>
              <w:rPr>
                <w:sz w:val="22"/>
                <w:szCs w:val="22"/>
                <w:lang w:val="es-PY"/>
              </w:rPr>
            </w:pPr>
            <w:r w:rsidRPr="005D6FE7">
              <w:rPr>
                <w:sz w:val="22"/>
                <w:szCs w:val="22"/>
                <w:lang w:val="es-PY"/>
              </w:rPr>
              <w:t>Relación entre las partes</w:t>
            </w:r>
          </w:p>
        </w:tc>
        <w:tc>
          <w:tcPr>
            <w:tcW w:w="6028" w:type="dxa"/>
          </w:tcPr>
          <w:p w:rsidR="005D6FE7" w:rsidRPr="005D6FE7" w:rsidRDefault="005D6FE7" w:rsidP="00B7675E">
            <w:pPr>
              <w:spacing w:after="120"/>
              <w:rPr>
                <w:sz w:val="22"/>
                <w:szCs w:val="22"/>
                <w:lang w:val="es-PY"/>
              </w:rPr>
            </w:pPr>
            <w:r w:rsidRPr="005D6FE7">
              <w:rPr>
                <w:sz w:val="22"/>
                <w:szCs w:val="22"/>
                <w:lang w:val="es-PY"/>
              </w:rPr>
              <w:t>El MOPC será representado por la  DCV a través del Supervisor Técnico, quien verificará la ejecución de los trabajos y con quien se tratarán todos los asuntos inherentes a las actividades  de mantenimiento del presente  Convenio; y a través del Supervisor Administrativo, en aspectos relacionados al área administrativa, financiera y Contable.</w:t>
            </w:r>
          </w:p>
          <w:p w:rsidR="005D6FE7" w:rsidRPr="005D6FE7" w:rsidRDefault="005D6FE7" w:rsidP="00B7675E">
            <w:pPr>
              <w:spacing w:after="120"/>
              <w:rPr>
                <w:sz w:val="22"/>
                <w:szCs w:val="22"/>
                <w:lang w:val="es-PY"/>
              </w:rPr>
            </w:pPr>
            <w:r w:rsidRPr="005D6FE7">
              <w:rPr>
                <w:sz w:val="22"/>
                <w:szCs w:val="22"/>
                <w:lang w:val="es-PY"/>
              </w:rPr>
              <w:t>La Entidad Ejecutora será representada en los trabajos por el Ingeniero Superintendente, quien tendrá autoridad integral y plenas facultades para resolver los asuntos relacionados al cumplimiento del presente Convenio.</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séptima</w:t>
            </w:r>
          </w:p>
        </w:tc>
        <w:tc>
          <w:tcPr>
            <w:tcW w:w="2003" w:type="dxa"/>
          </w:tcPr>
          <w:p w:rsidR="005D6FE7" w:rsidRPr="005D6FE7" w:rsidRDefault="005D6FE7" w:rsidP="005D6FE7">
            <w:pPr>
              <w:spacing w:after="120"/>
              <w:rPr>
                <w:sz w:val="22"/>
                <w:szCs w:val="22"/>
                <w:lang w:val="es-PY"/>
              </w:rPr>
            </w:pPr>
            <w:r w:rsidRPr="005D6FE7">
              <w:rPr>
                <w:sz w:val="22"/>
                <w:szCs w:val="22"/>
                <w:lang w:val="es-PY"/>
              </w:rPr>
              <w:t>Costo del convenio</w:t>
            </w:r>
          </w:p>
        </w:tc>
        <w:tc>
          <w:tcPr>
            <w:tcW w:w="6028" w:type="dxa"/>
          </w:tcPr>
          <w:p w:rsidR="005D6FE7" w:rsidRPr="005D6FE7" w:rsidRDefault="005D6FE7" w:rsidP="00B7675E">
            <w:pPr>
              <w:spacing w:after="120"/>
              <w:rPr>
                <w:sz w:val="22"/>
                <w:szCs w:val="22"/>
                <w:lang w:val="es-PY"/>
              </w:rPr>
            </w:pPr>
            <w:r w:rsidRPr="005D6FE7">
              <w:rPr>
                <w:sz w:val="22"/>
                <w:szCs w:val="22"/>
                <w:lang w:val="es-PY"/>
              </w:rPr>
              <w:t xml:space="preserve">Costo total en </w:t>
            </w:r>
            <w:proofErr w:type="gramStart"/>
            <w:r w:rsidRPr="005D6FE7">
              <w:rPr>
                <w:sz w:val="22"/>
                <w:szCs w:val="22"/>
                <w:lang w:val="es-PY"/>
              </w:rPr>
              <w:t>Guaraníes</w:t>
            </w:r>
            <w:proofErr w:type="gramEnd"/>
            <w:r w:rsidRPr="005D6FE7">
              <w:rPr>
                <w:sz w:val="22"/>
                <w:szCs w:val="22"/>
                <w:lang w:val="es-PY"/>
              </w:rPr>
              <w:t>, que comprenderán la totalidad de las actividades, suministros, impuestos o gravámenes de cualquier clase y costos  originados por cualquier concepto requerido para la implementación y  cumplimiento de los objetivos del presente Convenio.</w:t>
            </w:r>
          </w:p>
          <w:p w:rsidR="005D6FE7" w:rsidRPr="005D6FE7" w:rsidRDefault="005D6FE7" w:rsidP="00B7675E">
            <w:pPr>
              <w:spacing w:after="120"/>
              <w:rPr>
                <w:sz w:val="22"/>
                <w:szCs w:val="22"/>
                <w:lang w:val="es-PY"/>
              </w:rPr>
            </w:pPr>
            <w:r w:rsidRPr="005D6FE7">
              <w:rPr>
                <w:sz w:val="22"/>
                <w:szCs w:val="22"/>
                <w:lang w:val="es-PY"/>
              </w:rPr>
              <w:t>La ejecución del cronograma financiero de este CONVENIO está  supeditada a la disponibilidad de crédito presupuestario. En caso de no contarse con el mismo por un periodo superior a cuatro (4) meses, el  MOPC  y/o la Entidad Ejecutora podrán dar por concluido el presente Convenio  previa comunicación escrita, por lo menos quince (15) días antes a la fecha de conclusión del mismo.</w:t>
            </w:r>
          </w:p>
          <w:p w:rsidR="005D6FE7" w:rsidRPr="005D6FE7" w:rsidRDefault="005D6FE7" w:rsidP="00B7675E">
            <w:pPr>
              <w:spacing w:after="120"/>
              <w:rPr>
                <w:sz w:val="22"/>
                <w:szCs w:val="22"/>
                <w:lang w:val="es-PY"/>
              </w:rPr>
            </w:pPr>
            <w:r w:rsidRPr="005D6FE7">
              <w:rPr>
                <w:sz w:val="22"/>
                <w:szCs w:val="22"/>
                <w:lang w:val="es-PY"/>
              </w:rPr>
              <w:t>Los Aportes de los Municipios están establecidos en la Carta de Compromiso de la Municipalidad beneficiada.</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octava</w:t>
            </w:r>
          </w:p>
        </w:tc>
        <w:tc>
          <w:tcPr>
            <w:tcW w:w="2003" w:type="dxa"/>
          </w:tcPr>
          <w:p w:rsidR="005D6FE7" w:rsidRPr="005D6FE7" w:rsidRDefault="005D6FE7" w:rsidP="005D6FE7">
            <w:pPr>
              <w:spacing w:after="120"/>
              <w:rPr>
                <w:sz w:val="22"/>
                <w:szCs w:val="22"/>
                <w:lang w:val="es-PY"/>
              </w:rPr>
            </w:pPr>
            <w:r w:rsidRPr="005D6FE7">
              <w:rPr>
                <w:sz w:val="22"/>
                <w:szCs w:val="22"/>
                <w:lang w:val="es-PY"/>
              </w:rPr>
              <w:t>Moneda de pago</w:t>
            </w:r>
          </w:p>
        </w:tc>
        <w:tc>
          <w:tcPr>
            <w:tcW w:w="6028" w:type="dxa"/>
          </w:tcPr>
          <w:p w:rsidR="005D6FE7" w:rsidRPr="005D6FE7" w:rsidRDefault="005D6FE7" w:rsidP="00B7675E">
            <w:pPr>
              <w:spacing w:after="120"/>
              <w:rPr>
                <w:sz w:val="22"/>
                <w:szCs w:val="22"/>
              </w:rPr>
            </w:pPr>
            <w:proofErr w:type="spellStart"/>
            <w:r w:rsidRPr="005D6FE7">
              <w:rPr>
                <w:sz w:val="22"/>
                <w:szCs w:val="22"/>
              </w:rPr>
              <w:t>Guaraníes</w:t>
            </w:r>
            <w:proofErr w:type="spellEnd"/>
            <w:r w:rsidRPr="005D6FE7">
              <w:rPr>
                <w:sz w:val="22"/>
                <w:szCs w:val="22"/>
              </w:rPr>
              <w:t>.</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novena</w:t>
            </w:r>
          </w:p>
        </w:tc>
        <w:tc>
          <w:tcPr>
            <w:tcW w:w="2003" w:type="dxa"/>
          </w:tcPr>
          <w:p w:rsidR="005D6FE7" w:rsidRPr="005D6FE7" w:rsidRDefault="005D6FE7" w:rsidP="005D6FE7">
            <w:pPr>
              <w:spacing w:after="120"/>
              <w:rPr>
                <w:sz w:val="22"/>
                <w:szCs w:val="22"/>
                <w:lang w:val="es-PY"/>
              </w:rPr>
            </w:pPr>
            <w:r w:rsidRPr="005D6FE7">
              <w:rPr>
                <w:sz w:val="22"/>
                <w:szCs w:val="22"/>
                <w:lang w:val="es-PY"/>
              </w:rPr>
              <w:t>Desembolsos de las cuotas</w:t>
            </w:r>
          </w:p>
        </w:tc>
        <w:tc>
          <w:tcPr>
            <w:tcW w:w="6028" w:type="dxa"/>
          </w:tcPr>
          <w:p w:rsidR="005D6FE7" w:rsidRPr="005D6FE7" w:rsidRDefault="005D6FE7" w:rsidP="00B7675E">
            <w:pPr>
              <w:spacing w:after="120"/>
              <w:rPr>
                <w:sz w:val="22"/>
                <w:szCs w:val="22"/>
                <w:lang w:val="es-PY"/>
              </w:rPr>
            </w:pPr>
            <w:r w:rsidRPr="005D6FE7">
              <w:rPr>
                <w:sz w:val="22"/>
                <w:szCs w:val="22"/>
                <w:lang w:val="es-PY"/>
              </w:rPr>
              <w:t xml:space="preserve">Según las cuotas indicadas en el cronograma de desembolsos Anexo B. La porción a ser pagada con fondos locales y la otra a ser pagada con fondos externos conforme al </w:t>
            </w:r>
            <w:proofErr w:type="spellStart"/>
            <w:r w:rsidRPr="005D6FE7">
              <w:rPr>
                <w:sz w:val="22"/>
                <w:szCs w:val="22"/>
                <w:lang w:val="es-PY"/>
              </w:rPr>
              <w:t>pari</w:t>
            </w:r>
            <w:proofErr w:type="spellEnd"/>
            <w:r w:rsidRPr="005D6FE7">
              <w:rPr>
                <w:sz w:val="22"/>
                <w:szCs w:val="22"/>
                <w:lang w:val="es-PY"/>
              </w:rPr>
              <w:t xml:space="preserve"> </w:t>
            </w:r>
            <w:proofErr w:type="spellStart"/>
            <w:r w:rsidRPr="005D6FE7">
              <w:rPr>
                <w:sz w:val="22"/>
                <w:szCs w:val="22"/>
                <w:lang w:val="es-PY"/>
              </w:rPr>
              <w:t>passu</w:t>
            </w:r>
            <w:proofErr w:type="spellEnd"/>
            <w:r w:rsidRPr="005D6FE7">
              <w:rPr>
                <w:sz w:val="22"/>
                <w:szCs w:val="22"/>
                <w:lang w:val="es-PY"/>
              </w:rPr>
              <w:t xml:space="preserve"> previsto, (46% BID, 17% OFID y 37% LOCAL), dependerá de la disponibilidad de recursos del MOPC.</w:t>
            </w:r>
          </w:p>
          <w:p w:rsidR="005D6FE7" w:rsidRPr="005D6FE7" w:rsidRDefault="005D6FE7" w:rsidP="00B7675E">
            <w:pPr>
              <w:spacing w:after="120"/>
              <w:rPr>
                <w:sz w:val="22"/>
                <w:szCs w:val="22"/>
                <w:lang w:val="es-PY"/>
              </w:rPr>
            </w:pPr>
            <w:r w:rsidRPr="005D6FE7">
              <w:rPr>
                <w:sz w:val="22"/>
                <w:szCs w:val="22"/>
                <w:lang w:val="es-PY"/>
              </w:rPr>
              <w:t xml:space="preserve">El pago de la primera cuota estará supeditado a la presentación de una Póliza de Seguros por el 100% del </w:t>
            </w:r>
          </w:p>
          <w:p w:rsidR="005D6FE7" w:rsidRPr="005D6FE7" w:rsidRDefault="005D6FE7" w:rsidP="00B7675E">
            <w:pPr>
              <w:spacing w:after="120"/>
              <w:rPr>
                <w:sz w:val="22"/>
                <w:szCs w:val="22"/>
                <w:lang w:val="es-PY"/>
              </w:rPr>
            </w:pPr>
            <w:r w:rsidRPr="005D6FE7">
              <w:rPr>
                <w:sz w:val="22"/>
                <w:szCs w:val="22"/>
                <w:lang w:val="es-PY"/>
              </w:rPr>
              <w:t xml:space="preserve">importe de la mayor cuota del periodo de vigencia del Convenio, emitida por una Compañía de Seguros a satisfacción  del  MOPC,  la  cual  deberá  tener  vigencia  mientras  dure  la  vigencia  el  Convenio  de </w:t>
            </w:r>
          </w:p>
          <w:p w:rsidR="005D6FE7" w:rsidRPr="005D6FE7" w:rsidRDefault="005D6FE7" w:rsidP="00B7675E">
            <w:pPr>
              <w:spacing w:after="120"/>
              <w:rPr>
                <w:sz w:val="22"/>
                <w:szCs w:val="22"/>
                <w:lang w:val="es-PY"/>
              </w:rPr>
            </w:pPr>
            <w:r w:rsidRPr="005D6FE7">
              <w:rPr>
                <w:sz w:val="22"/>
                <w:szCs w:val="22"/>
                <w:lang w:val="es-PY"/>
              </w:rPr>
              <w:t xml:space="preserve">Mantenimiento. Dichas pólizas podrán ser ejecutadas por el </w:t>
            </w:r>
            <w:r w:rsidRPr="005D6FE7">
              <w:rPr>
                <w:sz w:val="22"/>
                <w:szCs w:val="22"/>
                <w:lang w:val="es-PY"/>
              </w:rPr>
              <w:lastRenderedPageBreak/>
              <w:t>MOPC, parcial o totalmente, en virtud a la falta  o  la incorrecta justificación  de  los  gastos  incurridos  en  cualquier  periodo,  que  no  les  permita  ser considerados como “gastos elegibles” del programa, o la no ejecución de las actividades previstas.</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lastRenderedPageBreak/>
              <w:t>Cláusula decima</w:t>
            </w:r>
          </w:p>
        </w:tc>
        <w:tc>
          <w:tcPr>
            <w:tcW w:w="2003" w:type="dxa"/>
          </w:tcPr>
          <w:p w:rsidR="005D6FE7" w:rsidRPr="005D6FE7" w:rsidRDefault="005D6FE7" w:rsidP="005D6FE7">
            <w:pPr>
              <w:spacing w:after="120"/>
              <w:rPr>
                <w:sz w:val="22"/>
                <w:szCs w:val="22"/>
                <w:lang w:val="es-PY"/>
              </w:rPr>
            </w:pPr>
            <w:r w:rsidRPr="005D6FE7">
              <w:rPr>
                <w:sz w:val="22"/>
                <w:szCs w:val="22"/>
                <w:lang w:val="es-PY"/>
              </w:rPr>
              <w:t>Rendición de cuentas</w:t>
            </w:r>
          </w:p>
        </w:tc>
        <w:tc>
          <w:tcPr>
            <w:tcW w:w="6028" w:type="dxa"/>
          </w:tcPr>
          <w:p w:rsidR="005D6FE7" w:rsidRPr="005D6FE7" w:rsidRDefault="005D6FE7" w:rsidP="00B7675E">
            <w:pPr>
              <w:spacing w:after="120"/>
              <w:rPr>
                <w:sz w:val="22"/>
                <w:szCs w:val="22"/>
                <w:lang w:val="es-PY"/>
              </w:rPr>
            </w:pPr>
            <w:r w:rsidRPr="005D6FE7">
              <w:rPr>
                <w:sz w:val="22"/>
                <w:szCs w:val="22"/>
                <w:lang w:val="es-PY"/>
              </w:rPr>
              <w:t>La Rendición de Cuentas deberá presentarse mensualmente, en un plazo máximo de (10) diez días calendarios posteriores a la finalización de cada periodo.</w:t>
            </w:r>
          </w:p>
          <w:p w:rsidR="005D6FE7" w:rsidRPr="005D6FE7" w:rsidRDefault="005D6FE7" w:rsidP="00B7675E">
            <w:pPr>
              <w:spacing w:after="120"/>
              <w:rPr>
                <w:sz w:val="22"/>
                <w:szCs w:val="22"/>
                <w:lang w:val="es-PY"/>
              </w:rPr>
            </w:pPr>
            <w:r w:rsidRPr="005D6FE7">
              <w:rPr>
                <w:sz w:val="22"/>
                <w:szCs w:val="22"/>
                <w:lang w:val="es-PY"/>
              </w:rPr>
              <w:t>Hasta tanto la Entidad Ejecutora no presente evidencia bancaria al MOPC de que el saldo disponible no supera el 75% de la última cuota desembolsada, no se liberará el desembolso de la cuota siguiente.</w:t>
            </w:r>
          </w:p>
          <w:p w:rsidR="005D6FE7" w:rsidRPr="005D6FE7" w:rsidRDefault="005D6FE7" w:rsidP="00B7675E">
            <w:pPr>
              <w:spacing w:after="120"/>
              <w:rPr>
                <w:sz w:val="22"/>
                <w:szCs w:val="22"/>
                <w:lang w:val="es-PY"/>
              </w:rPr>
            </w:pPr>
            <w:r w:rsidRPr="005D6FE7">
              <w:rPr>
                <w:sz w:val="22"/>
                <w:szCs w:val="22"/>
                <w:lang w:val="es-PY"/>
              </w:rPr>
              <w:t>En el caso en que la Entidad Ejecutora  presente en su rendición de cuentas gastos no elegibles, la Entidad Ejecutora estará obligada a reponer dichos gastos con fondos propios de la misma.</w:t>
            </w:r>
          </w:p>
          <w:p w:rsidR="005D6FE7" w:rsidRPr="005D6FE7" w:rsidRDefault="005D6FE7" w:rsidP="00B7675E">
            <w:pPr>
              <w:spacing w:after="120"/>
              <w:rPr>
                <w:sz w:val="22"/>
                <w:szCs w:val="22"/>
                <w:lang w:val="es-PY"/>
              </w:rPr>
            </w:pPr>
            <w:r w:rsidRPr="005D6FE7">
              <w:rPr>
                <w:sz w:val="22"/>
                <w:szCs w:val="22"/>
                <w:lang w:val="es-PY"/>
              </w:rPr>
              <w:t>Los registros contables y administrativos habituales de la Entidad Ejecutora deberán permitir que puedan identificarse razonablemente el origen y la aplicación de los fondos recibidos en el marco de este Convenio. Estos registros podrán ser revisados, en cualquier momento, por el MOPC, el BID/OFID y por los Auditores Externos de los Préstamos.</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undécima</w:t>
            </w:r>
          </w:p>
        </w:tc>
        <w:tc>
          <w:tcPr>
            <w:tcW w:w="2003" w:type="dxa"/>
          </w:tcPr>
          <w:p w:rsidR="005D6FE7" w:rsidRPr="005D6FE7" w:rsidRDefault="005D6FE7" w:rsidP="005D6FE7">
            <w:pPr>
              <w:spacing w:after="120"/>
              <w:rPr>
                <w:sz w:val="22"/>
                <w:szCs w:val="22"/>
                <w:lang w:val="es-PY"/>
              </w:rPr>
            </w:pPr>
            <w:r w:rsidRPr="005D6FE7">
              <w:rPr>
                <w:sz w:val="22"/>
                <w:szCs w:val="22"/>
                <w:lang w:val="es-PY"/>
              </w:rPr>
              <w:t>Gastos elegibles a ser financiados por el convenio</w:t>
            </w:r>
          </w:p>
        </w:tc>
        <w:tc>
          <w:tcPr>
            <w:tcW w:w="6028" w:type="dxa"/>
          </w:tcPr>
          <w:p w:rsidR="005D6FE7" w:rsidRPr="005D6FE7" w:rsidRDefault="005D6FE7" w:rsidP="00B7675E">
            <w:pPr>
              <w:spacing w:after="120"/>
              <w:rPr>
                <w:sz w:val="22"/>
                <w:szCs w:val="22"/>
                <w:lang w:val="es-PY"/>
              </w:rPr>
            </w:pPr>
            <w:r w:rsidRPr="005D6FE7">
              <w:rPr>
                <w:sz w:val="22"/>
                <w:szCs w:val="22"/>
                <w:lang w:val="es-PY"/>
              </w:rPr>
              <w:t>Se describen el alcance y la especificación de 24 rubros.</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décimo segunda</w:t>
            </w:r>
          </w:p>
        </w:tc>
        <w:tc>
          <w:tcPr>
            <w:tcW w:w="2003" w:type="dxa"/>
          </w:tcPr>
          <w:p w:rsidR="005D6FE7" w:rsidRPr="005D6FE7" w:rsidRDefault="005D6FE7" w:rsidP="005D6FE7">
            <w:pPr>
              <w:spacing w:after="120"/>
              <w:rPr>
                <w:sz w:val="22"/>
                <w:szCs w:val="22"/>
                <w:lang w:val="es-PY"/>
              </w:rPr>
            </w:pPr>
            <w:r w:rsidRPr="005D6FE7">
              <w:rPr>
                <w:sz w:val="22"/>
                <w:szCs w:val="22"/>
                <w:lang w:val="es-PY"/>
              </w:rPr>
              <w:t>Verificación y evaluación del mantenimiento</w:t>
            </w:r>
          </w:p>
        </w:tc>
        <w:tc>
          <w:tcPr>
            <w:tcW w:w="6028" w:type="dxa"/>
          </w:tcPr>
          <w:p w:rsidR="005D6FE7" w:rsidRPr="005D6FE7" w:rsidRDefault="005D6FE7" w:rsidP="00B7675E">
            <w:pPr>
              <w:spacing w:after="120"/>
              <w:rPr>
                <w:sz w:val="22"/>
                <w:szCs w:val="22"/>
                <w:lang w:val="es-PY"/>
              </w:rPr>
            </w:pPr>
            <w:r w:rsidRPr="005D6FE7">
              <w:rPr>
                <w:sz w:val="22"/>
                <w:szCs w:val="22"/>
                <w:lang w:val="es-PY"/>
              </w:rPr>
              <w:t>Se establece el método de evaluación de los trabajos ejecutados en los distintos tramos incluidos en el Convenio, a través de determinar la calidad de los  trabajos en  función  a  los indicadores  de  nivel  de servicio, según inspección realizada, mediante la metodología esquematizada en el Anexo C.</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décimo tercera</w:t>
            </w:r>
          </w:p>
        </w:tc>
        <w:tc>
          <w:tcPr>
            <w:tcW w:w="2003" w:type="dxa"/>
          </w:tcPr>
          <w:p w:rsidR="005D6FE7" w:rsidRPr="005D6FE7" w:rsidRDefault="005D6FE7" w:rsidP="005D6FE7">
            <w:pPr>
              <w:spacing w:after="120"/>
              <w:rPr>
                <w:sz w:val="22"/>
                <w:szCs w:val="22"/>
                <w:lang w:val="es-PY"/>
              </w:rPr>
            </w:pPr>
            <w:r w:rsidRPr="005D6FE7">
              <w:rPr>
                <w:sz w:val="22"/>
                <w:szCs w:val="22"/>
                <w:lang w:val="es-PY"/>
              </w:rPr>
              <w:t>Ultima rendición de cuentas</w:t>
            </w:r>
          </w:p>
        </w:tc>
        <w:tc>
          <w:tcPr>
            <w:tcW w:w="6028" w:type="dxa"/>
          </w:tcPr>
          <w:p w:rsidR="005D6FE7" w:rsidRPr="005D6FE7" w:rsidRDefault="005D6FE7" w:rsidP="00B7675E">
            <w:pPr>
              <w:spacing w:after="120"/>
              <w:rPr>
                <w:sz w:val="22"/>
                <w:szCs w:val="22"/>
                <w:lang w:val="es-PY"/>
              </w:rPr>
            </w:pPr>
            <w:r w:rsidRPr="005D6FE7">
              <w:rPr>
                <w:sz w:val="22"/>
                <w:szCs w:val="22"/>
                <w:lang w:val="es-PY"/>
              </w:rPr>
              <w:t>Se establecen condiciones para la última rendición de cuentas.</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 xml:space="preserve">Cláusula décimo cuarta </w:t>
            </w:r>
          </w:p>
        </w:tc>
        <w:tc>
          <w:tcPr>
            <w:tcW w:w="2003" w:type="dxa"/>
          </w:tcPr>
          <w:p w:rsidR="005D6FE7" w:rsidRPr="005D6FE7" w:rsidRDefault="005D6FE7" w:rsidP="005D6FE7">
            <w:pPr>
              <w:spacing w:after="120"/>
              <w:rPr>
                <w:sz w:val="22"/>
                <w:szCs w:val="22"/>
                <w:lang w:val="es-PY"/>
              </w:rPr>
            </w:pPr>
            <w:r w:rsidRPr="005D6FE7">
              <w:rPr>
                <w:sz w:val="22"/>
                <w:szCs w:val="22"/>
                <w:lang w:val="es-PY"/>
              </w:rPr>
              <w:t>Duración del convenio</w:t>
            </w:r>
          </w:p>
        </w:tc>
        <w:tc>
          <w:tcPr>
            <w:tcW w:w="6028" w:type="dxa"/>
          </w:tcPr>
          <w:p w:rsidR="005D6FE7" w:rsidRPr="005D6FE7" w:rsidRDefault="005D6FE7" w:rsidP="00B7675E">
            <w:pPr>
              <w:spacing w:after="120"/>
              <w:rPr>
                <w:sz w:val="22"/>
                <w:szCs w:val="22"/>
                <w:lang w:val="es-PY"/>
              </w:rPr>
            </w:pPr>
            <w:r w:rsidRPr="005D6FE7">
              <w:rPr>
                <w:sz w:val="22"/>
                <w:szCs w:val="22"/>
                <w:lang w:val="es-PY"/>
              </w:rPr>
              <w:t>Se establece una duración de veinticuatro meses (24) desde la fecha de suscripción del Convenio.</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décimo quinta</w:t>
            </w:r>
          </w:p>
        </w:tc>
        <w:tc>
          <w:tcPr>
            <w:tcW w:w="2003" w:type="dxa"/>
          </w:tcPr>
          <w:p w:rsidR="005D6FE7" w:rsidRPr="005D6FE7" w:rsidRDefault="005D6FE7" w:rsidP="005D6FE7">
            <w:pPr>
              <w:spacing w:after="120"/>
              <w:rPr>
                <w:sz w:val="22"/>
                <w:szCs w:val="22"/>
                <w:lang w:val="es-PY"/>
              </w:rPr>
            </w:pPr>
            <w:r w:rsidRPr="005D6FE7">
              <w:rPr>
                <w:sz w:val="22"/>
                <w:szCs w:val="22"/>
                <w:lang w:val="es-PY"/>
              </w:rPr>
              <w:t>Modificación de las obras</w:t>
            </w:r>
          </w:p>
        </w:tc>
        <w:tc>
          <w:tcPr>
            <w:tcW w:w="6028" w:type="dxa"/>
          </w:tcPr>
          <w:p w:rsidR="005D6FE7" w:rsidRPr="005D6FE7" w:rsidRDefault="005D6FE7" w:rsidP="00B7675E">
            <w:pPr>
              <w:spacing w:after="120"/>
              <w:rPr>
                <w:sz w:val="22"/>
                <w:szCs w:val="22"/>
                <w:lang w:val="es-PY"/>
              </w:rPr>
            </w:pPr>
            <w:r w:rsidRPr="005D6FE7">
              <w:rPr>
                <w:sz w:val="22"/>
                <w:szCs w:val="22"/>
                <w:lang w:val="es-PY"/>
              </w:rPr>
              <w:t xml:space="preserve">Se estipula que el  Supervisor Técnico  podrá  ordenar  a  la  Entidad Ejecutora,  por escrito, todas aquellas variaciones de forma, cantidad o calidad de las actividades de mantenimiento, o de  cualquier parte de la misma, que a su parecer sean necesarias. </w:t>
            </w:r>
          </w:p>
          <w:p w:rsidR="005D6FE7" w:rsidRPr="005D6FE7" w:rsidRDefault="005D6FE7" w:rsidP="00B7675E">
            <w:pPr>
              <w:spacing w:after="120"/>
              <w:rPr>
                <w:sz w:val="22"/>
                <w:szCs w:val="22"/>
                <w:lang w:val="es-PY"/>
              </w:rPr>
            </w:pP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décimo sexta</w:t>
            </w:r>
          </w:p>
        </w:tc>
        <w:tc>
          <w:tcPr>
            <w:tcW w:w="2003" w:type="dxa"/>
          </w:tcPr>
          <w:p w:rsidR="005D6FE7" w:rsidRPr="005D6FE7" w:rsidRDefault="005D6FE7" w:rsidP="005D6FE7">
            <w:pPr>
              <w:spacing w:after="120"/>
              <w:rPr>
                <w:sz w:val="22"/>
                <w:szCs w:val="22"/>
                <w:lang w:val="es-PY"/>
              </w:rPr>
            </w:pPr>
            <w:r w:rsidRPr="005D6FE7">
              <w:rPr>
                <w:sz w:val="22"/>
                <w:szCs w:val="22"/>
                <w:lang w:val="es-PY"/>
              </w:rPr>
              <w:t>Comunicación entre las partes</w:t>
            </w:r>
          </w:p>
        </w:tc>
        <w:tc>
          <w:tcPr>
            <w:tcW w:w="6028" w:type="dxa"/>
          </w:tcPr>
          <w:p w:rsidR="005D6FE7" w:rsidRPr="005D6FE7" w:rsidRDefault="005D6FE7" w:rsidP="00B7675E">
            <w:pPr>
              <w:spacing w:after="120"/>
              <w:rPr>
                <w:sz w:val="22"/>
                <w:szCs w:val="22"/>
                <w:lang w:val="es-PY"/>
              </w:rPr>
            </w:pPr>
            <w:r w:rsidRPr="005D6FE7">
              <w:rPr>
                <w:sz w:val="22"/>
                <w:szCs w:val="22"/>
                <w:lang w:val="es-PY"/>
              </w:rPr>
              <w:t>Se hará por medio de notas con acuse de recibo correspondiente.</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décimo séptima</w:t>
            </w:r>
          </w:p>
        </w:tc>
        <w:tc>
          <w:tcPr>
            <w:tcW w:w="2003" w:type="dxa"/>
          </w:tcPr>
          <w:p w:rsidR="005D6FE7" w:rsidRPr="005D6FE7" w:rsidRDefault="005D6FE7" w:rsidP="005D6FE7">
            <w:pPr>
              <w:spacing w:after="120"/>
              <w:rPr>
                <w:sz w:val="22"/>
                <w:szCs w:val="22"/>
                <w:lang w:val="es-PY"/>
              </w:rPr>
            </w:pPr>
            <w:r w:rsidRPr="005D6FE7">
              <w:rPr>
                <w:sz w:val="22"/>
                <w:szCs w:val="22"/>
                <w:lang w:val="es-PY"/>
              </w:rPr>
              <w:t>Supervisión del convenio</w:t>
            </w:r>
          </w:p>
        </w:tc>
        <w:tc>
          <w:tcPr>
            <w:tcW w:w="6028" w:type="dxa"/>
          </w:tcPr>
          <w:p w:rsidR="005D6FE7" w:rsidRPr="005D6FE7" w:rsidRDefault="005D6FE7" w:rsidP="00B7675E">
            <w:pPr>
              <w:spacing w:after="120"/>
              <w:rPr>
                <w:sz w:val="22"/>
                <w:szCs w:val="22"/>
              </w:rPr>
            </w:pPr>
            <w:r w:rsidRPr="005D6FE7">
              <w:rPr>
                <w:sz w:val="22"/>
                <w:szCs w:val="22"/>
                <w:lang w:val="es-PY"/>
              </w:rPr>
              <w:t xml:space="preserve">La  supervisión  estará  a  cargo  del  MOPC/DCV-UGM  quien  nombrará  a  un  Profesional  para  el  Área Técnica  denominado  el  Supervisor  Técnico  y  un  profesional  para  el  Área  Administrativa, denominado el Supervisor Administrativo. </w:t>
            </w:r>
            <w:r w:rsidRPr="005D6FE7">
              <w:rPr>
                <w:sz w:val="22"/>
                <w:szCs w:val="22"/>
              </w:rPr>
              <w:t xml:space="preserve">Se </w:t>
            </w:r>
            <w:r w:rsidRPr="00522C1C">
              <w:rPr>
                <w:sz w:val="22"/>
                <w:szCs w:val="22"/>
                <w:lang w:val="es-PY"/>
              </w:rPr>
              <w:t>establecen</w:t>
            </w:r>
            <w:r w:rsidRPr="005D6FE7">
              <w:rPr>
                <w:sz w:val="22"/>
                <w:szCs w:val="22"/>
              </w:rPr>
              <w:t xml:space="preserve"> </w:t>
            </w:r>
            <w:r w:rsidRPr="00522C1C">
              <w:rPr>
                <w:sz w:val="22"/>
                <w:szCs w:val="22"/>
                <w:lang w:val="es-PY"/>
              </w:rPr>
              <w:t>las</w:t>
            </w:r>
            <w:r w:rsidRPr="005D6FE7">
              <w:rPr>
                <w:sz w:val="22"/>
                <w:szCs w:val="22"/>
              </w:rPr>
              <w:t xml:space="preserve"> </w:t>
            </w:r>
            <w:r w:rsidRPr="00522C1C">
              <w:rPr>
                <w:sz w:val="22"/>
                <w:szCs w:val="22"/>
                <w:lang w:val="es-PY"/>
              </w:rPr>
              <w:t>funciones</w:t>
            </w:r>
            <w:r w:rsidRPr="005D6FE7">
              <w:rPr>
                <w:sz w:val="22"/>
                <w:szCs w:val="22"/>
              </w:rPr>
              <w:t xml:space="preserve"> de </w:t>
            </w:r>
            <w:r w:rsidRPr="00522C1C">
              <w:rPr>
                <w:sz w:val="22"/>
                <w:szCs w:val="22"/>
                <w:lang w:val="es-PY"/>
              </w:rPr>
              <w:t>estos</w:t>
            </w:r>
            <w:r w:rsidRPr="005D6FE7">
              <w:rPr>
                <w:sz w:val="22"/>
                <w:szCs w:val="22"/>
              </w:rPr>
              <w:t xml:space="preserve"> </w:t>
            </w:r>
            <w:r w:rsidRPr="00522C1C">
              <w:rPr>
                <w:sz w:val="22"/>
                <w:szCs w:val="22"/>
                <w:lang w:val="es-PY"/>
              </w:rPr>
              <w:t>supervisores</w:t>
            </w:r>
            <w:r w:rsidRPr="005D6FE7">
              <w:rPr>
                <w:sz w:val="22"/>
                <w:szCs w:val="22"/>
              </w:rPr>
              <w:t>.</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lastRenderedPageBreak/>
              <w:t>Cláusula décimo octava</w:t>
            </w:r>
          </w:p>
        </w:tc>
        <w:tc>
          <w:tcPr>
            <w:tcW w:w="2003" w:type="dxa"/>
          </w:tcPr>
          <w:p w:rsidR="005D6FE7" w:rsidRPr="005D6FE7" w:rsidRDefault="005D6FE7" w:rsidP="005D6FE7">
            <w:pPr>
              <w:spacing w:after="120"/>
              <w:rPr>
                <w:sz w:val="22"/>
                <w:szCs w:val="22"/>
                <w:lang w:val="es-PY"/>
              </w:rPr>
            </w:pPr>
            <w:r w:rsidRPr="005D6FE7">
              <w:rPr>
                <w:sz w:val="22"/>
                <w:szCs w:val="22"/>
                <w:lang w:val="es-PY"/>
              </w:rPr>
              <w:t>Responsabilidades y compromisos de la Entidad Ejecutora</w:t>
            </w:r>
          </w:p>
        </w:tc>
        <w:tc>
          <w:tcPr>
            <w:tcW w:w="6028" w:type="dxa"/>
          </w:tcPr>
          <w:p w:rsidR="005D6FE7" w:rsidRPr="005D6FE7" w:rsidRDefault="005D6FE7" w:rsidP="00B7675E">
            <w:pPr>
              <w:spacing w:after="120"/>
              <w:rPr>
                <w:sz w:val="22"/>
                <w:szCs w:val="22"/>
                <w:lang w:val="es-PY"/>
              </w:rPr>
            </w:pPr>
            <w:r w:rsidRPr="005D6FE7">
              <w:rPr>
                <w:sz w:val="22"/>
                <w:szCs w:val="22"/>
                <w:lang w:val="es-PY"/>
              </w:rPr>
              <w:t>Se establecen 13 sub-cláusulas de obligaciones para la Entidad Ejecutora.</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 xml:space="preserve">Cláusula décimo novena </w:t>
            </w:r>
          </w:p>
        </w:tc>
        <w:tc>
          <w:tcPr>
            <w:tcW w:w="2003" w:type="dxa"/>
          </w:tcPr>
          <w:p w:rsidR="005D6FE7" w:rsidRPr="005D6FE7" w:rsidRDefault="005D6FE7" w:rsidP="005D6FE7">
            <w:pPr>
              <w:spacing w:after="120"/>
              <w:rPr>
                <w:sz w:val="22"/>
                <w:szCs w:val="22"/>
                <w:lang w:val="es-PY"/>
              </w:rPr>
            </w:pPr>
            <w:r w:rsidRPr="005D6FE7">
              <w:rPr>
                <w:sz w:val="22"/>
                <w:szCs w:val="22"/>
                <w:lang w:val="es-PY"/>
              </w:rPr>
              <w:t>Sanciones</w:t>
            </w:r>
          </w:p>
        </w:tc>
        <w:tc>
          <w:tcPr>
            <w:tcW w:w="6028" w:type="dxa"/>
          </w:tcPr>
          <w:p w:rsidR="005D6FE7" w:rsidRPr="005D6FE7" w:rsidRDefault="005D6FE7" w:rsidP="00B7675E">
            <w:pPr>
              <w:spacing w:after="120"/>
              <w:rPr>
                <w:sz w:val="22"/>
                <w:szCs w:val="22"/>
                <w:lang w:val="es-PY"/>
              </w:rPr>
            </w:pPr>
            <w:r w:rsidRPr="005D6FE7">
              <w:rPr>
                <w:sz w:val="22"/>
                <w:szCs w:val="22"/>
                <w:lang w:val="es-PY"/>
              </w:rPr>
              <w:t>Según se indica en el Anexo  C y en los contratos del Equipo Técnico de la Entidad Ejecutora.</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vigésima</w:t>
            </w:r>
          </w:p>
        </w:tc>
        <w:tc>
          <w:tcPr>
            <w:tcW w:w="2003" w:type="dxa"/>
          </w:tcPr>
          <w:p w:rsidR="005D6FE7" w:rsidRPr="005D6FE7" w:rsidRDefault="005D6FE7" w:rsidP="005D6FE7">
            <w:pPr>
              <w:spacing w:after="120"/>
              <w:rPr>
                <w:sz w:val="22"/>
                <w:szCs w:val="22"/>
                <w:lang w:val="es-PY"/>
              </w:rPr>
            </w:pPr>
            <w:r w:rsidRPr="005D6FE7">
              <w:rPr>
                <w:sz w:val="22"/>
                <w:szCs w:val="22"/>
                <w:lang w:val="es-PY"/>
              </w:rPr>
              <w:t>Suspensión de los trabajos</w:t>
            </w:r>
          </w:p>
        </w:tc>
        <w:tc>
          <w:tcPr>
            <w:tcW w:w="6028" w:type="dxa"/>
          </w:tcPr>
          <w:p w:rsidR="005D6FE7" w:rsidRPr="005D6FE7" w:rsidRDefault="005D6FE7" w:rsidP="00B7675E">
            <w:pPr>
              <w:spacing w:after="120"/>
              <w:rPr>
                <w:sz w:val="22"/>
                <w:szCs w:val="22"/>
                <w:lang w:val="es-PY"/>
              </w:rPr>
            </w:pPr>
            <w:r w:rsidRPr="005D6FE7">
              <w:rPr>
                <w:sz w:val="22"/>
                <w:szCs w:val="22"/>
                <w:lang w:val="es-PY"/>
              </w:rPr>
              <w:t>El  MOPC/DCV-UGM  se  reserva  el  derecho  de  suspender  parcial  o  totalmente  las  actividades  de mantenimiento por motivos que fueran de importancia y convenientes a los intereses del Gobierno.</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vigésimo primera</w:t>
            </w:r>
          </w:p>
        </w:tc>
        <w:tc>
          <w:tcPr>
            <w:tcW w:w="2003" w:type="dxa"/>
          </w:tcPr>
          <w:p w:rsidR="005D6FE7" w:rsidRPr="005D6FE7" w:rsidRDefault="005D6FE7" w:rsidP="005D6FE7">
            <w:pPr>
              <w:spacing w:after="120"/>
              <w:rPr>
                <w:sz w:val="22"/>
                <w:szCs w:val="22"/>
                <w:lang w:val="es-PY"/>
              </w:rPr>
            </w:pPr>
            <w:r w:rsidRPr="005D6FE7">
              <w:rPr>
                <w:sz w:val="22"/>
                <w:szCs w:val="22"/>
                <w:lang w:val="es-PY"/>
              </w:rPr>
              <w:t>Cancelación del convenio</w:t>
            </w:r>
          </w:p>
        </w:tc>
        <w:tc>
          <w:tcPr>
            <w:tcW w:w="6028" w:type="dxa"/>
          </w:tcPr>
          <w:p w:rsidR="005D6FE7" w:rsidRPr="005D6FE7" w:rsidRDefault="005D6FE7" w:rsidP="00B7675E">
            <w:pPr>
              <w:spacing w:after="120"/>
              <w:rPr>
                <w:sz w:val="22"/>
                <w:szCs w:val="22"/>
                <w:lang w:val="es-PY"/>
              </w:rPr>
            </w:pPr>
            <w:r w:rsidRPr="005D6FE7">
              <w:rPr>
                <w:sz w:val="22"/>
                <w:szCs w:val="22"/>
                <w:lang w:val="es-PY"/>
              </w:rPr>
              <w:t>Se establecen condiciones para la cancelación del Convenio por parte de las dos Partes.</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vigésimo segunda</w:t>
            </w:r>
          </w:p>
        </w:tc>
        <w:tc>
          <w:tcPr>
            <w:tcW w:w="2003" w:type="dxa"/>
          </w:tcPr>
          <w:p w:rsidR="005D6FE7" w:rsidRPr="005D6FE7" w:rsidRDefault="005D6FE7" w:rsidP="005D6FE7">
            <w:pPr>
              <w:spacing w:after="120"/>
              <w:rPr>
                <w:sz w:val="22"/>
                <w:szCs w:val="22"/>
                <w:lang w:val="es-PY"/>
              </w:rPr>
            </w:pPr>
            <w:r w:rsidRPr="005D6FE7">
              <w:rPr>
                <w:sz w:val="22"/>
                <w:szCs w:val="22"/>
                <w:lang w:val="es-PY"/>
              </w:rPr>
              <w:t>Auditoría y registro</w:t>
            </w:r>
          </w:p>
        </w:tc>
        <w:tc>
          <w:tcPr>
            <w:tcW w:w="6028" w:type="dxa"/>
          </w:tcPr>
          <w:p w:rsidR="005D6FE7" w:rsidRPr="005D6FE7" w:rsidRDefault="005D6FE7" w:rsidP="00B7675E">
            <w:pPr>
              <w:spacing w:after="120"/>
              <w:rPr>
                <w:sz w:val="22"/>
                <w:szCs w:val="22"/>
                <w:lang w:val="es-PY"/>
              </w:rPr>
            </w:pPr>
            <w:r w:rsidRPr="005D6FE7">
              <w:rPr>
                <w:sz w:val="22"/>
                <w:szCs w:val="22"/>
                <w:lang w:val="es-PY"/>
              </w:rPr>
              <w:t>La Entidad Ejecutora llevará libros, documentos y otros elementos registrables, utilizando procedimientos y prácticas contables para archivar debidamente todas las transacciones que se realicen en virtud del presente  Convenio o en relación con el mismo.</w:t>
            </w:r>
          </w:p>
          <w:p w:rsidR="005D6FE7" w:rsidRPr="005D6FE7" w:rsidRDefault="005D6FE7" w:rsidP="00B7675E">
            <w:pPr>
              <w:spacing w:after="120"/>
              <w:rPr>
                <w:sz w:val="22"/>
                <w:szCs w:val="22"/>
                <w:lang w:val="es-PY"/>
              </w:rPr>
            </w:pPr>
            <w:r w:rsidRPr="005D6FE7">
              <w:rPr>
                <w:sz w:val="22"/>
                <w:szCs w:val="22"/>
                <w:lang w:val="es-PY"/>
              </w:rPr>
              <w:t>Todos los registros podrán ser sometidos a inspección y auditoría por el MOPC, el BID, o sus agentes autorizados, y cualquier otro Ente Controlador de la República, en cualquier etapa de la ejecución del presente Convenio.</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vigésimo tercera</w:t>
            </w:r>
          </w:p>
        </w:tc>
        <w:tc>
          <w:tcPr>
            <w:tcW w:w="2003" w:type="dxa"/>
          </w:tcPr>
          <w:p w:rsidR="005D6FE7" w:rsidRPr="005D6FE7" w:rsidRDefault="005D6FE7" w:rsidP="005D6FE7">
            <w:pPr>
              <w:spacing w:after="120"/>
              <w:rPr>
                <w:sz w:val="22"/>
                <w:szCs w:val="22"/>
                <w:lang w:val="es-PY"/>
              </w:rPr>
            </w:pPr>
            <w:r w:rsidRPr="005D6FE7">
              <w:rPr>
                <w:sz w:val="22"/>
                <w:szCs w:val="22"/>
                <w:lang w:val="es-PY"/>
              </w:rPr>
              <w:t>Inspecciones</w:t>
            </w:r>
          </w:p>
        </w:tc>
        <w:tc>
          <w:tcPr>
            <w:tcW w:w="6028" w:type="dxa"/>
          </w:tcPr>
          <w:p w:rsidR="005D6FE7" w:rsidRPr="005D6FE7" w:rsidRDefault="005D6FE7" w:rsidP="005D6FE7">
            <w:pPr>
              <w:spacing w:after="120"/>
              <w:rPr>
                <w:sz w:val="22"/>
                <w:szCs w:val="22"/>
                <w:lang w:val="es-PY"/>
              </w:rPr>
            </w:pPr>
            <w:r w:rsidRPr="005D6FE7">
              <w:rPr>
                <w:sz w:val="22"/>
                <w:szCs w:val="22"/>
                <w:lang w:val="es-PY"/>
              </w:rPr>
              <w:t>La Entidad Ejecutora no se opondrá al libre acceso de los Supervisores del MOPC, del BID u otro Ente Controlador de la República.</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vigésimo cuarto</w:t>
            </w:r>
          </w:p>
        </w:tc>
        <w:tc>
          <w:tcPr>
            <w:tcW w:w="2003" w:type="dxa"/>
          </w:tcPr>
          <w:p w:rsidR="005D6FE7" w:rsidRPr="005D6FE7" w:rsidRDefault="005D6FE7" w:rsidP="005D6FE7">
            <w:pPr>
              <w:spacing w:after="120"/>
              <w:rPr>
                <w:sz w:val="22"/>
                <w:szCs w:val="22"/>
                <w:lang w:val="es-PY"/>
              </w:rPr>
            </w:pPr>
            <w:r w:rsidRPr="005D6FE7">
              <w:rPr>
                <w:sz w:val="22"/>
                <w:szCs w:val="22"/>
                <w:lang w:val="es-PY"/>
              </w:rPr>
              <w:t>Revisión y modificación de Cláusulas y montos</w:t>
            </w:r>
          </w:p>
        </w:tc>
        <w:tc>
          <w:tcPr>
            <w:tcW w:w="6028" w:type="dxa"/>
          </w:tcPr>
          <w:p w:rsidR="005D6FE7" w:rsidRPr="005D6FE7" w:rsidRDefault="005D6FE7" w:rsidP="00B7675E">
            <w:pPr>
              <w:spacing w:after="120"/>
              <w:rPr>
                <w:sz w:val="22"/>
                <w:szCs w:val="22"/>
                <w:lang w:val="es-PY"/>
              </w:rPr>
            </w:pPr>
            <w:r w:rsidRPr="005D6FE7">
              <w:rPr>
                <w:sz w:val="22"/>
                <w:szCs w:val="22"/>
                <w:lang w:val="es-PY"/>
              </w:rPr>
              <w:t>El MOPC, con el acuerdo previo del BID, podrá revisar y modificar cláusulas, y variar los montos previstos en la Cláusula Séptima con el fin de realizar los ajustes necesarios. Las actividades no previstas,  como también la logística, que no impliquen variación  del monto total del presente Convenio, podrán ser autorizadas por la DCV/MOPC, previa solicitud por  parte de  la Entidad Ejecutora.</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Cláusula vigésimo quinta</w:t>
            </w:r>
          </w:p>
        </w:tc>
        <w:tc>
          <w:tcPr>
            <w:tcW w:w="2003" w:type="dxa"/>
          </w:tcPr>
          <w:p w:rsidR="005D6FE7" w:rsidRPr="005D6FE7" w:rsidRDefault="005D6FE7" w:rsidP="005D6FE7">
            <w:pPr>
              <w:spacing w:after="120"/>
              <w:rPr>
                <w:sz w:val="22"/>
                <w:szCs w:val="22"/>
                <w:lang w:val="es-PY"/>
              </w:rPr>
            </w:pPr>
            <w:r w:rsidRPr="005D6FE7">
              <w:rPr>
                <w:sz w:val="22"/>
                <w:szCs w:val="22"/>
                <w:lang w:val="es-PY"/>
              </w:rPr>
              <w:t>Adendas</w:t>
            </w:r>
          </w:p>
        </w:tc>
        <w:tc>
          <w:tcPr>
            <w:tcW w:w="6028" w:type="dxa"/>
          </w:tcPr>
          <w:p w:rsidR="005D6FE7" w:rsidRPr="005D6FE7" w:rsidRDefault="005D6FE7" w:rsidP="00B7675E">
            <w:pPr>
              <w:spacing w:after="120"/>
              <w:rPr>
                <w:sz w:val="22"/>
                <w:szCs w:val="22"/>
                <w:lang w:val="es-PY"/>
              </w:rPr>
            </w:pPr>
            <w:r w:rsidRPr="005D6FE7">
              <w:rPr>
                <w:sz w:val="22"/>
                <w:szCs w:val="22"/>
                <w:lang w:val="es-PY"/>
              </w:rPr>
              <w:t>Se establece que los términos y condiciones del Convenio podrán ser modificados mediante enmiendas escritas y firmadas por ambas partes.</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Firmas</w:t>
            </w:r>
          </w:p>
        </w:tc>
        <w:tc>
          <w:tcPr>
            <w:tcW w:w="2003" w:type="dxa"/>
          </w:tcPr>
          <w:p w:rsidR="005D6FE7" w:rsidRPr="005D6FE7" w:rsidRDefault="005D6FE7" w:rsidP="005D6FE7">
            <w:pPr>
              <w:spacing w:after="120"/>
              <w:rPr>
                <w:sz w:val="22"/>
                <w:szCs w:val="22"/>
                <w:lang w:val="es-PY"/>
              </w:rPr>
            </w:pPr>
            <w:r w:rsidRPr="005D6FE7">
              <w:rPr>
                <w:sz w:val="22"/>
                <w:szCs w:val="22"/>
                <w:lang w:val="es-PY"/>
              </w:rPr>
              <w:t>Firmas</w:t>
            </w:r>
          </w:p>
        </w:tc>
        <w:tc>
          <w:tcPr>
            <w:tcW w:w="6028" w:type="dxa"/>
          </w:tcPr>
          <w:p w:rsidR="005D6FE7" w:rsidRPr="005D6FE7" w:rsidRDefault="005D6FE7" w:rsidP="00B7675E">
            <w:pPr>
              <w:spacing w:after="120"/>
              <w:rPr>
                <w:sz w:val="22"/>
                <w:szCs w:val="22"/>
                <w:lang w:val="es-PY"/>
              </w:rPr>
            </w:pPr>
            <w:r w:rsidRPr="005D6FE7">
              <w:rPr>
                <w:sz w:val="22"/>
                <w:szCs w:val="22"/>
                <w:lang w:val="es-PY"/>
              </w:rPr>
              <w:t>Los representantes de las Partes, el Ministro por el MOPC, y por la Entidad Ejecutora el titular del Municipalidad elegida y refrendada por los titulares de la Gobernación y las Municipalidades asociadas.</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Anexo A</w:t>
            </w:r>
          </w:p>
          <w:p w:rsidR="005D6FE7" w:rsidRPr="005D6FE7" w:rsidRDefault="005D6FE7" w:rsidP="005D6FE7">
            <w:pPr>
              <w:spacing w:after="120"/>
              <w:rPr>
                <w:sz w:val="22"/>
                <w:szCs w:val="22"/>
                <w:lang w:val="es-PY"/>
              </w:rPr>
            </w:pPr>
          </w:p>
        </w:tc>
        <w:tc>
          <w:tcPr>
            <w:tcW w:w="2003" w:type="dxa"/>
          </w:tcPr>
          <w:p w:rsidR="005D6FE7" w:rsidRPr="00374625" w:rsidRDefault="005D6FE7" w:rsidP="005D6FE7">
            <w:pPr>
              <w:spacing w:after="120"/>
              <w:rPr>
                <w:sz w:val="22"/>
                <w:szCs w:val="22"/>
                <w:lang w:val="pt-BR"/>
              </w:rPr>
            </w:pPr>
            <w:r w:rsidRPr="00374625">
              <w:rPr>
                <w:sz w:val="22"/>
                <w:szCs w:val="22"/>
                <w:lang w:val="pt-BR"/>
              </w:rPr>
              <w:t xml:space="preserve">Listado de </w:t>
            </w:r>
            <w:r w:rsidRPr="00EA22C1">
              <w:rPr>
                <w:sz w:val="22"/>
                <w:szCs w:val="22"/>
                <w:lang w:val="pt-BR"/>
              </w:rPr>
              <w:t>caminos</w:t>
            </w:r>
            <w:r w:rsidRPr="00374625">
              <w:rPr>
                <w:sz w:val="22"/>
                <w:szCs w:val="22"/>
                <w:lang w:val="pt-BR"/>
              </w:rPr>
              <w:t xml:space="preserve"> a ser atendidos</w:t>
            </w:r>
          </w:p>
        </w:tc>
        <w:tc>
          <w:tcPr>
            <w:tcW w:w="6028" w:type="dxa"/>
          </w:tcPr>
          <w:p w:rsidR="005D6FE7" w:rsidRPr="005D6FE7" w:rsidRDefault="005D6FE7" w:rsidP="00B7675E">
            <w:pPr>
              <w:spacing w:after="120"/>
              <w:rPr>
                <w:sz w:val="22"/>
                <w:szCs w:val="22"/>
                <w:lang w:val="es-PY"/>
              </w:rPr>
            </w:pPr>
            <w:r w:rsidRPr="005D6FE7">
              <w:rPr>
                <w:sz w:val="22"/>
                <w:szCs w:val="22"/>
                <w:lang w:val="es-PY"/>
              </w:rPr>
              <w:t>Se incluyen tramos indicando el código CV-00x-y-z, los puntos que une el tramo y la extensión en km.</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t>Anexo B</w:t>
            </w:r>
          </w:p>
          <w:p w:rsidR="005D6FE7" w:rsidRPr="005D6FE7" w:rsidRDefault="005D6FE7" w:rsidP="005D6FE7">
            <w:pPr>
              <w:spacing w:after="120"/>
              <w:rPr>
                <w:sz w:val="22"/>
                <w:szCs w:val="22"/>
                <w:lang w:val="es-PY"/>
              </w:rPr>
            </w:pPr>
          </w:p>
        </w:tc>
        <w:tc>
          <w:tcPr>
            <w:tcW w:w="2003" w:type="dxa"/>
          </w:tcPr>
          <w:p w:rsidR="005D6FE7" w:rsidRPr="005D6FE7" w:rsidRDefault="005D6FE7" w:rsidP="005D6FE7">
            <w:pPr>
              <w:spacing w:after="120"/>
              <w:rPr>
                <w:sz w:val="22"/>
                <w:szCs w:val="22"/>
                <w:lang w:val="es-PY"/>
              </w:rPr>
            </w:pPr>
            <w:r w:rsidRPr="005D6FE7">
              <w:rPr>
                <w:sz w:val="22"/>
                <w:szCs w:val="22"/>
                <w:lang w:val="es-PY"/>
              </w:rPr>
              <w:t>Costo total del convenio</w:t>
            </w:r>
          </w:p>
        </w:tc>
        <w:tc>
          <w:tcPr>
            <w:tcW w:w="6028" w:type="dxa"/>
          </w:tcPr>
          <w:p w:rsidR="005D6FE7" w:rsidRPr="005D6FE7" w:rsidRDefault="005D6FE7" w:rsidP="00B7675E">
            <w:pPr>
              <w:spacing w:after="120"/>
              <w:rPr>
                <w:sz w:val="22"/>
                <w:szCs w:val="22"/>
                <w:lang w:val="es-PY"/>
              </w:rPr>
            </w:pPr>
            <w:r w:rsidRPr="005D6FE7">
              <w:rPr>
                <w:sz w:val="22"/>
                <w:szCs w:val="22"/>
                <w:lang w:val="es-PY"/>
              </w:rPr>
              <w:t>Se describen los componentes del Convenio: 1. Actividades de Mantenimiento; 2. Gastos Generales; 3.  Gastos de Equipos; 4. Imprevistos.</w:t>
            </w:r>
          </w:p>
          <w:p w:rsidR="005D6FE7" w:rsidRPr="005D6FE7" w:rsidRDefault="005D6FE7" w:rsidP="00B7675E">
            <w:pPr>
              <w:spacing w:after="120"/>
              <w:rPr>
                <w:sz w:val="22"/>
                <w:szCs w:val="22"/>
                <w:lang w:val="es-PY"/>
              </w:rPr>
            </w:pPr>
            <w:r w:rsidRPr="005D6FE7">
              <w:rPr>
                <w:sz w:val="22"/>
                <w:szCs w:val="22"/>
                <w:lang w:val="es-PY"/>
              </w:rPr>
              <w:t xml:space="preserve">Se establece el calendario de las 6 cuotas cuatrimestrales a desembolsar.  </w:t>
            </w:r>
          </w:p>
        </w:tc>
      </w:tr>
      <w:tr w:rsidR="005D6FE7" w:rsidRPr="005D6FE7" w:rsidTr="005D6FE7">
        <w:tc>
          <w:tcPr>
            <w:tcW w:w="1149" w:type="dxa"/>
          </w:tcPr>
          <w:p w:rsidR="005D6FE7" w:rsidRPr="005D6FE7" w:rsidRDefault="005D6FE7" w:rsidP="005D6FE7">
            <w:pPr>
              <w:spacing w:after="120"/>
              <w:rPr>
                <w:sz w:val="22"/>
                <w:szCs w:val="22"/>
                <w:lang w:val="es-PY"/>
              </w:rPr>
            </w:pPr>
            <w:r w:rsidRPr="005D6FE7">
              <w:rPr>
                <w:sz w:val="22"/>
                <w:szCs w:val="22"/>
                <w:lang w:val="es-PY"/>
              </w:rPr>
              <w:lastRenderedPageBreak/>
              <w:t>Anexo C</w:t>
            </w:r>
          </w:p>
          <w:p w:rsidR="005D6FE7" w:rsidRPr="005D6FE7" w:rsidRDefault="005D6FE7" w:rsidP="005D6FE7">
            <w:pPr>
              <w:spacing w:after="120"/>
              <w:rPr>
                <w:sz w:val="22"/>
                <w:szCs w:val="22"/>
                <w:lang w:val="es-PY"/>
              </w:rPr>
            </w:pPr>
          </w:p>
        </w:tc>
        <w:tc>
          <w:tcPr>
            <w:tcW w:w="2003" w:type="dxa"/>
          </w:tcPr>
          <w:p w:rsidR="005D6FE7" w:rsidRPr="005D6FE7" w:rsidRDefault="005D6FE7" w:rsidP="005D6FE7">
            <w:pPr>
              <w:spacing w:after="120"/>
              <w:rPr>
                <w:sz w:val="22"/>
                <w:szCs w:val="22"/>
                <w:lang w:val="es-PY"/>
              </w:rPr>
            </w:pPr>
            <w:r w:rsidRPr="005D6FE7">
              <w:rPr>
                <w:sz w:val="22"/>
                <w:szCs w:val="22"/>
                <w:lang w:val="es-PY"/>
              </w:rPr>
              <w:t>Método de evaluación de la ejecución de los trabajos de mantenimiento - sanciones</w:t>
            </w:r>
          </w:p>
        </w:tc>
        <w:tc>
          <w:tcPr>
            <w:tcW w:w="6028" w:type="dxa"/>
          </w:tcPr>
          <w:p w:rsidR="005D6FE7" w:rsidRPr="005D6FE7" w:rsidRDefault="005D6FE7" w:rsidP="00B7675E">
            <w:pPr>
              <w:spacing w:after="120"/>
              <w:rPr>
                <w:sz w:val="22"/>
                <w:szCs w:val="22"/>
                <w:lang w:val="es-PY"/>
              </w:rPr>
            </w:pPr>
            <w:r w:rsidRPr="005D6FE7">
              <w:rPr>
                <w:b/>
                <w:sz w:val="22"/>
                <w:szCs w:val="22"/>
                <w:lang w:val="es-PY"/>
              </w:rPr>
              <w:t>Inspección de los niveles de servicio</w:t>
            </w:r>
            <w:r w:rsidRPr="005D6FE7">
              <w:rPr>
                <w:sz w:val="22"/>
                <w:szCs w:val="22"/>
                <w:lang w:val="es-PY"/>
              </w:rPr>
              <w:t xml:space="preserve">. Dividiendo la longitud del tramo en 5 sectores iguales, identificados y materializados por medio de estacas señalizadoras. </w:t>
            </w:r>
          </w:p>
          <w:p w:rsidR="005D6FE7" w:rsidRPr="005D6FE7" w:rsidRDefault="005D6FE7" w:rsidP="00B7675E">
            <w:pPr>
              <w:spacing w:after="120"/>
              <w:rPr>
                <w:sz w:val="22"/>
                <w:szCs w:val="22"/>
                <w:lang w:val="es-PY"/>
              </w:rPr>
            </w:pPr>
            <w:r w:rsidRPr="005D6FE7">
              <w:rPr>
                <w:sz w:val="22"/>
                <w:szCs w:val="22"/>
                <w:lang w:val="es-PY"/>
              </w:rPr>
              <w:t>En cada tramo se evaluarán los componentes del camino, asignándoles calificaciones de Condición Buena (3), Condición Regular (2) y Condición Mala (1). A cada componente del camino se le asigna un factor de ponderación.</w:t>
            </w:r>
          </w:p>
          <w:p w:rsidR="005D6FE7" w:rsidRPr="005D6FE7" w:rsidRDefault="005D6FE7" w:rsidP="00B7675E">
            <w:pPr>
              <w:spacing w:after="120"/>
              <w:rPr>
                <w:sz w:val="22"/>
                <w:szCs w:val="22"/>
                <w:lang w:val="es-PY"/>
              </w:rPr>
            </w:pPr>
            <w:r w:rsidRPr="005D6FE7">
              <w:rPr>
                <w:b/>
                <w:sz w:val="22"/>
                <w:szCs w:val="22"/>
                <w:lang w:val="es-PY"/>
              </w:rPr>
              <w:t>Evaluación de la ejecución de los trabajos de mantenimiento</w:t>
            </w:r>
            <w:r w:rsidRPr="005D6FE7">
              <w:rPr>
                <w:sz w:val="22"/>
                <w:szCs w:val="22"/>
                <w:lang w:val="es-PY"/>
              </w:rPr>
              <w:t>. Se establecen indicadores, el método de inspección, la tolerancia y la calificación de cada uno de los elementos.</w:t>
            </w:r>
          </w:p>
          <w:p w:rsidR="005D6FE7" w:rsidRPr="005D6FE7" w:rsidRDefault="005D6FE7" w:rsidP="00B7675E">
            <w:pPr>
              <w:spacing w:after="120"/>
              <w:rPr>
                <w:sz w:val="22"/>
                <w:szCs w:val="22"/>
                <w:lang w:val="es-PY"/>
              </w:rPr>
            </w:pPr>
            <w:r w:rsidRPr="005D6FE7">
              <w:rPr>
                <w:b/>
                <w:sz w:val="22"/>
                <w:szCs w:val="22"/>
                <w:lang w:val="es-PY"/>
              </w:rPr>
              <w:t>Sanciones por incumplimiento</w:t>
            </w:r>
            <w:r w:rsidRPr="005D6FE7">
              <w:rPr>
                <w:sz w:val="22"/>
                <w:szCs w:val="22"/>
                <w:lang w:val="es-PY"/>
              </w:rPr>
              <w:t xml:space="preserve">. En caso que el resultado del Nivel de Servicio de cualquier tramo afectado al Convenio que no alcance el resultado  </w:t>
            </w:r>
            <w:r w:rsidRPr="00B7675E">
              <w:rPr>
                <w:sz w:val="22"/>
                <w:szCs w:val="22"/>
                <w:lang w:val="es-PY"/>
              </w:rPr>
              <w:t>mínimo requerido (80% ) en dos evaluaciones consecutivas, será excluido del presente Convenio.</w:t>
            </w:r>
            <w:r w:rsidRPr="005D6FE7">
              <w:rPr>
                <w:sz w:val="22"/>
                <w:szCs w:val="22"/>
                <w:lang w:val="es-PY"/>
              </w:rPr>
              <w:t xml:space="preserve"> En ningún caso esta sanción podrá ser aplicada cuando el aplazo de uno o más tramos sea consecuencia de la paralización de actividades por la falta de desembolsos de los recursos económicos al Convenio.</w:t>
            </w:r>
          </w:p>
        </w:tc>
      </w:tr>
      <w:tr w:rsidR="005D6FE7" w:rsidRPr="005D6FE7" w:rsidTr="005D6FE7">
        <w:tc>
          <w:tcPr>
            <w:tcW w:w="1149" w:type="dxa"/>
          </w:tcPr>
          <w:p w:rsidR="005D6FE7" w:rsidRPr="005D6FE7" w:rsidRDefault="005D6FE7" w:rsidP="005D6FE7">
            <w:pPr>
              <w:spacing w:after="120"/>
              <w:rPr>
                <w:sz w:val="22"/>
                <w:szCs w:val="22"/>
              </w:rPr>
            </w:pPr>
            <w:r w:rsidRPr="005D6FE7">
              <w:rPr>
                <w:sz w:val="22"/>
                <w:szCs w:val="22"/>
                <w:lang w:val="es-PY"/>
              </w:rPr>
              <w:t>Anexo</w:t>
            </w:r>
            <w:r w:rsidRPr="005D6FE7">
              <w:rPr>
                <w:sz w:val="22"/>
                <w:szCs w:val="22"/>
              </w:rPr>
              <w:t xml:space="preserve"> D</w:t>
            </w:r>
          </w:p>
          <w:p w:rsidR="005D6FE7" w:rsidRPr="005D6FE7" w:rsidRDefault="005D6FE7" w:rsidP="005D6FE7">
            <w:pPr>
              <w:spacing w:after="120"/>
              <w:rPr>
                <w:sz w:val="22"/>
                <w:szCs w:val="22"/>
              </w:rPr>
            </w:pPr>
          </w:p>
        </w:tc>
        <w:tc>
          <w:tcPr>
            <w:tcW w:w="2003" w:type="dxa"/>
          </w:tcPr>
          <w:p w:rsidR="005D6FE7" w:rsidRPr="005D6FE7" w:rsidRDefault="005D6FE7" w:rsidP="005D6FE7">
            <w:pPr>
              <w:spacing w:after="120"/>
              <w:rPr>
                <w:sz w:val="22"/>
                <w:szCs w:val="22"/>
              </w:rPr>
            </w:pPr>
            <w:r w:rsidRPr="005D6FE7">
              <w:rPr>
                <w:sz w:val="22"/>
                <w:szCs w:val="22"/>
                <w:lang w:val="es-PY"/>
              </w:rPr>
              <w:t>Normas</w:t>
            </w:r>
            <w:r w:rsidRPr="005D6FE7">
              <w:rPr>
                <w:sz w:val="22"/>
                <w:szCs w:val="22"/>
              </w:rPr>
              <w:t xml:space="preserve"> de </w:t>
            </w:r>
            <w:r w:rsidRPr="005D6FE7">
              <w:rPr>
                <w:sz w:val="22"/>
                <w:szCs w:val="22"/>
                <w:lang w:val="es-PY"/>
              </w:rPr>
              <w:t>ejecución</w:t>
            </w:r>
          </w:p>
        </w:tc>
        <w:tc>
          <w:tcPr>
            <w:tcW w:w="6028" w:type="dxa"/>
          </w:tcPr>
          <w:p w:rsidR="005D6FE7" w:rsidRPr="005D6FE7" w:rsidRDefault="005D6FE7" w:rsidP="00B7675E">
            <w:pPr>
              <w:spacing w:after="120"/>
              <w:rPr>
                <w:sz w:val="22"/>
                <w:szCs w:val="22"/>
                <w:lang w:val="es-PY"/>
              </w:rPr>
            </w:pPr>
            <w:r w:rsidRPr="005D6FE7">
              <w:rPr>
                <w:sz w:val="22"/>
                <w:szCs w:val="22"/>
                <w:lang w:val="es-PY"/>
              </w:rPr>
              <w:t>En las mismas se describen métodos para la ejecución de las tareas de campo en base a las experiencias de Convenios anteriores y de las técnicas usualmente utilizadas por el MOPC en las actividades de mantenimiento.</w:t>
            </w:r>
          </w:p>
        </w:tc>
      </w:tr>
      <w:tr w:rsidR="005D6FE7" w:rsidRPr="005D6FE7" w:rsidTr="005D6FE7">
        <w:tc>
          <w:tcPr>
            <w:tcW w:w="1149" w:type="dxa"/>
          </w:tcPr>
          <w:p w:rsidR="005D6FE7" w:rsidRPr="005D6FE7" w:rsidRDefault="005D6FE7" w:rsidP="005D6FE7">
            <w:pPr>
              <w:spacing w:after="120"/>
              <w:rPr>
                <w:sz w:val="22"/>
                <w:szCs w:val="22"/>
              </w:rPr>
            </w:pPr>
            <w:r w:rsidRPr="005D6FE7">
              <w:rPr>
                <w:sz w:val="22"/>
                <w:szCs w:val="22"/>
                <w:lang w:val="es-PY"/>
              </w:rPr>
              <w:t>Anexo</w:t>
            </w:r>
            <w:r w:rsidRPr="005D6FE7">
              <w:rPr>
                <w:sz w:val="22"/>
                <w:szCs w:val="22"/>
              </w:rPr>
              <w:t xml:space="preserve"> E</w:t>
            </w:r>
          </w:p>
          <w:p w:rsidR="005D6FE7" w:rsidRPr="005D6FE7" w:rsidRDefault="005D6FE7" w:rsidP="005D6FE7">
            <w:pPr>
              <w:spacing w:after="120"/>
              <w:rPr>
                <w:sz w:val="22"/>
                <w:szCs w:val="22"/>
              </w:rPr>
            </w:pPr>
          </w:p>
        </w:tc>
        <w:tc>
          <w:tcPr>
            <w:tcW w:w="2003" w:type="dxa"/>
          </w:tcPr>
          <w:p w:rsidR="005D6FE7" w:rsidRPr="005D6FE7" w:rsidRDefault="005D6FE7" w:rsidP="005D6FE7">
            <w:pPr>
              <w:spacing w:after="120"/>
              <w:rPr>
                <w:sz w:val="22"/>
                <w:szCs w:val="22"/>
              </w:rPr>
            </w:pPr>
            <w:r w:rsidRPr="005D6FE7">
              <w:rPr>
                <w:sz w:val="22"/>
                <w:szCs w:val="22"/>
                <w:lang w:val="es-PY"/>
              </w:rPr>
              <w:t>Planos referenciales</w:t>
            </w:r>
          </w:p>
        </w:tc>
        <w:tc>
          <w:tcPr>
            <w:tcW w:w="6028" w:type="dxa"/>
          </w:tcPr>
          <w:p w:rsidR="005D6FE7" w:rsidRPr="005D6FE7" w:rsidRDefault="005D6FE7" w:rsidP="00B7675E">
            <w:pPr>
              <w:spacing w:after="120"/>
              <w:rPr>
                <w:sz w:val="22"/>
                <w:szCs w:val="22"/>
                <w:lang w:val="es-PY"/>
              </w:rPr>
            </w:pPr>
            <w:r w:rsidRPr="005D6FE7">
              <w:rPr>
                <w:sz w:val="22"/>
                <w:szCs w:val="22"/>
                <w:lang w:val="es-PY"/>
              </w:rPr>
              <w:t>Comprende sólo la sección típica ilustrativa de los elementos técnicos de un camino.</w:t>
            </w:r>
          </w:p>
        </w:tc>
      </w:tr>
      <w:tr w:rsidR="005D6FE7" w:rsidRPr="005D6FE7" w:rsidTr="005D6FE7">
        <w:tc>
          <w:tcPr>
            <w:tcW w:w="1149" w:type="dxa"/>
          </w:tcPr>
          <w:p w:rsidR="005D6FE7" w:rsidRPr="005D6FE7" w:rsidRDefault="005D6FE7" w:rsidP="005D6FE7">
            <w:pPr>
              <w:spacing w:after="120"/>
              <w:rPr>
                <w:sz w:val="22"/>
                <w:szCs w:val="22"/>
              </w:rPr>
            </w:pPr>
            <w:r w:rsidRPr="005D6FE7">
              <w:rPr>
                <w:sz w:val="22"/>
                <w:szCs w:val="22"/>
                <w:lang w:val="es-PY"/>
              </w:rPr>
              <w:t>Anexo</w:t>
            </w:r>
            <w:r w:rsidRPr="005D6FE7">
              <w:rPr>
                <w:sz w:val="22"/>
                <w:szCs w:val="22"/>
              </w:rPr>
              <w:t xml:space="preserve"> F</w:t>
            </w:r>
          </w:p>
          <w:p w:rsidR="005D6FE7" w:rsidRPr="005D6FE7" w:rsidRDefault="005D6FE7" w:rsidP="005D6FE7">
            <w:pPr>
              <w:spacing w:after="120"/>
              <w:rPr>
                <w:sz w:val="22"/>
                <w:szCs w:val="22"/>
              </w:rPr>
            </w:pPr>
          </w:p>
        </w:tc>
        <w:tc>
          <w:tcPr>
            <w:tcW w:w="2003" w:type="dxa"/>
          </w:tcPr>
          <w:p w:rsidR="005D6FE7" w:rsidRPr="005D6FE7" w:rsidRDefault="005D6FE7" w:rsidP="005D6FE7">
            <w:pPr>
              <w:spacing w:after="120"/>
              <w:rPr>
                <w:sz w:val="22"/>
                <w:szCs w:val="22"/>
              </w:rPr>
            </w:pPr>
            <w:r w:rsidRPr="005D6FE7">
              <w:rPr>
                <w:sz w:val="22"/>
                <w:szCs w:val="22"/>
                <w:lang w:val="es-PY"/>
              </w:rPr>
              <w:t>Parque</w:t>
            </w:r>
            <w:r w:rsidRPr="005D6FE7">
              <w:rPr>
                <w:sz w:val="22"/>
                <w:szCs w:val="22"/>
              </w:rPr>
              <w:t xml:space="preserve"> de </w:t>
            </w:r>
            <w:r w:rsidRPr="005D6FE7">
              <w:rPr>
                <w:sz w:val="22"/>
                <w:szCs w:val="22"/>
                <w:lang w:val="es-PY"/>
              </w:rPr>
              <w:t>maquinarias</w:t>
            </w:r>
            <w:r w:rsidRPr="005D6FE7">
              <w:rPr>
                <w:sz w:val="22"/>
                <w:szCs w:val="22"/>
              </w:rPr>
              <w:t xml:space="preserve"> </w:t>
            </w:r>
            <w:r w:rsidRPr="005D6FE7">
              <w:rPr>
                <w:sz w:val="22"/>
                <w:szCs w:val="22"/>
                <w:lang w:val="es-PY"/>
              </w:rPr>
              <w:t>afectado</w:t>
            </w:r>
            <w:r w:rsidRPr="005D6FE7">
              <w:rPr>
                <w:sz w:val="22"/>
                <w:szCs w:val="22"/>
              </w:rPr>
              <w:t xml:space="preserve"> al </w:t>
            </w:r>
            <w:r w:rsidRPr="005D6FE7">
              <w:rPr>
                <w:sz w:val="22"/>
                <w:szCs w:val="22"/>
                <w:lang w:val="es-PY"/>
              </w:rPr>
              <w:t>convenio</w:t>
            </w:r>
          </w:p>
        </w:tc>
        <w:tc>
          <w:tcPr>
            <w:tcW w:w="6028" w:type="dxa"/>
          </w:tcPr>
          <w:p w:rsidR="005D6FE7" w:rsidRPr="005D6FE7" w:rsidRDefault="005D6FE7" w:rsidP="00B7675E">
            <w:pPr>
              <w:spacing w:after="120"/>
              <w:rPr>
                <w:sz w:val="22"/>
                <w:szCs w:val="22"/>
                <w:lang w:val="es-PY"/>
              </w:rPr>
            </w:pPr>
            <w:r w:rsidRPr="005D6FE7">
              <w:rPr>
                <w:b/>
                <w:sz w:val="22"/>
                <w:szCs w:val="22"/>
                <w:lang w:val="es-PY"/>
              </w:rPr>
              <w:t>Parque de maquinarias</w:t>
            </w:r>
            <w:r w:rsidRPr="005D6FE7">
              <w:rPr>
                <w:sz w:val="22"/>
                <w:szCs w:val="22"/>
                <w:lang w:val="es-PY"/>
              </w:rPr>
              <w:t>. Aquí se incluyen las máquinas que el Departamento de Operaciones (DO) de la DCV incorporará para uso del Convenio. A la que se suman las aportadas por las diferentes Municipalidades y Gobernación. El listado se refiere a las que serán objeto de gasto por el Convenio pero no significa que su disponibilidad exclusiva.</w:t>
            </w:r>
          </w:p>
          <w:p w:rsidR="005D6FE7" w:rsidRPr="005D6FE7" w:rsidRDefault="005D6FE7" w:rsidP="00B7675E">
            <w:pPr>
              <w:spacing w:after="120"/>
              <w:rPr>
                <w:sz w:val="22"/>
                <w:szCs w:val="22"/>
                <w:lang w:val="es-PY"/>
              </w:rPr>
            </w:pPr>
            <w:r w:rsidRPr="005D6FE7">
              <w:rPr>
                <w:b/>
                <w:sz w:val="22"/>
                <w:szCs w:val="22"/>
                <w:lang w:val="es-PY"/>
              </w:rPr>
              <w:t>Criterios de regulación de gastos de reparación y repuestos para equipos viales de la gobernación y de los municipios</w:t>
            </w:r>
            <w:r w:rsidRPr="005D6FE7">
              <w:rPr>
                <w:sz w:val="22"/>
                <w:szCs w:val="22"/>
                <w:lang w:val="es-PY"/>
              </w:rPr>
              <w:t xml:space="preserve">. Teniendo en cuenta la Cláusula Undécima del Convenio que indica la elegibilidad de gastos para “Equipos Viales de la Gobernación (si corresponde) y de los Municipios”, se establecen criterios para la regulación del pago de Repuestos, Reparaciones y Mantenimiento. Por ejemplo: </w:t>
            </w:r>
            <w:r w:rsidRPr="005D6FE7">
              <w:rPr>
                <w:i/>
                <w:sz w:val="22"/>
                <w:szCs w:val="22"/>
                <w:lang w:val="es-PY"/>
              </w:rPr>
              <w:t>Motoniveladora:  Por  cada  50  (cincuenta)  horas  trabajadas  en  los  tramos  afectados  al Convenio, le corresponderá hasta un máximo de 1.500.000 Gs en concepto  de  Repuestos,  Reparaciones  y  Mantenimiento  que  pudiese  requerir  dicha  maquinaria  y  esté debidamente justificado</w:t>
            </w:r>
            <w:r w:rsidRPr="005D6FE7">
              <w:rPr>
                <w:sz w:val="22"/>
                <w:szCs w:val="22"/>
                <w:lang w:val="es-PY"/>
              </w:rPr>
              <w:t>.</w:t>
            </w:r>
          </w:p>
        </w:tc>
      </w:tr>
      <w:tr w:rsidR="005D6FE7" w:rsidRPr="005D6FE7" w:rsidTr="005D6FE7">
        <w:tc>
          <w:tcPr>
            <w:tcW w:w="1149" w:type="dxa"/>
          </w:tcPr>
          <w:p w:rsidR="005D6FE7" w:rsidRPr="005D6FE7" w:rsidRDefault="005D6FE7" w:rsidP="005D6FE7">
            <w:pPr>
              <w:rPr>
                <w:sz w:val="22"/>
                <w:szCs w:val="22"/>
              </w:rPr>
            </w:pPr>
            <w:r w:rsidRPr="005D6FE7">
              <w:rPr>
                <w:sz w:val="22"/>
                <w:szCs w:val="22"/>
                <w:lang w:val="es-PY"/>
              </w:rPr>
              <w:t>Anexo</w:t>
            </w:r>
            <w:r w:rsidRPr="005D6FE7">
              <w:rPr>
                <w:sz w:val="22"/>
                <w:szCs w:val="22"/>
              </w:rPr>
              <w:t xml:space="preserve"> G</w:t>
            </w:r>
          </w:p>
          <w:p w:rsidR="005D6FE7" w:rsidRPr="005D6FE7" w:rsidRDefault="005D6FE7" w:rsidP="005D6FE7">
            <w:pPr>
              <w:rPr>
                <w:sz w:val="22"/>
                <w:szCs w:val="22"/>
              </w:rPr>
            </w:pPr>
          </w:p>
        </w:tc>
        <w:tc>
          <w:tcPr>
            <w:tcW w:w="2003" w:type="dxa"/>
          </w:tcPr>
          <w:p w:rsidR="005D6FE7" w:rsidRPr="005D6FE7" w:rsidRDefault="005D6FE7" w:rsidP="005D6FE7">
            <w:pPr>
              <w:rPr>
                <w:sz w:val="22"/>
                <w:szCs w:val="22"/>
              </w:rPr>
            </w:pPr>
            <w:r w:rsidRPr="005D6FE7">
              <w:rPr>
                <w:sz w:val="22"/>
                <w:szCs w:val="22"/>
                <w:lang w:val="es-PY"/>
              </w:rPr>
              <w:t>Otros</w:t>
            </w:r>
            <w:r w:rsidRPr="005D6FE7">
              <w:rPr>
                <w:sz w:val="22"/>
                <w:szCs w:val="22"/>
              </w:rPr>
              <w:t xml:space="preserve"> </w:t>
            </w:r>
            <w:r w:rsidRPr="005D6FE7">
              <w:rPr>
                <w:sz w:val="22"/>
                <w:szCs w:val="22"/>
                <w:lang w:val="es-PY"/>
              </w:rPr>
              <w:t>documentos</w:t>
            </w:r>
          </w:p>
        </w:tc>
        <w:tc>
          <w:tcPr>
            <w:tcW w:w="6028" w:type="dxa"/>
          </w:tcPr>
          <w:p w:rsidR="005D6FE7" w:rsidRPr="005D6FE7" w:rsidRDefault="005D6FE7" w:rsidP="00826CB7">
            <w:pPr>
              <w:pStyle w:val="ListParagraph"/>
              <w:numPr>
                <w:ilvl w:val="0"/>
                <w:numId w:val="6"/>
              </w:numPr>
              <w:spacing w:after="0" w:line="240" w:lineRule="auto"/>
              <w:ind w:left="447" w:hanging="283"/>
              <w:rPr>
                <w:rFonts w:ascii="Times New Roman" w:hAnsi="Times New Roman" w:cs="Times New Roman"/>
              </w:rPr>
            </w:pPr>
            <w:r w:rsidRPr="005D6FE7">
              <w:rPr>
                <w:rFonts w:ascii="Times New Roman" w:hAnsi="Times New Roman" w:cs="Times New Roman"/>
              </w:rPr>
              <w:t>Carta de Compromiso de aportes del Municipio al Convenio.</w:t>
            </w:r>
          </w:p>
          <w:p w:rsidR="005D6FE7" w:rsidRPr="005D6FE7" w:rsidRDefault="005D6FE7" w:rsidP="00826CB7">
            <w:pPr>
              <w:pStyle w:val="ListParagraph"/>
              <w:numPr>
                <w:ilvl w:val="0"/>
                <w:numId w:val="6"/>
              </w:numPr>
              <w:spacing w:after="0" w:line="240" w:lineRule="auto"/>
              <w:ind w:left="447" w:hanging="283"/>
              <w:rPr>
                <w:rFonts w:ascii="Times New Roman" w:hAnsi="Times New Roman" w:cs="Times New Roman"/>
              </w:rPr>
            </w:pPr>
            <w:r w:rsidRPr="005D6FE7">
              <w:rPr>
                <w:rFonts w:ascii="Times New Roman" w:hAnsi="Times New Roman" w:cs="Times New Roman"/>
              </w:rPr>
              <w:t>Compromiso de la municipalidad para el alojamiento y alimentación de los operadores de los equipos del MOPC afectados al Convenio.</w:t>
            </w:r>
          </w:p>
          <w:p w:rsidR="005D6FE7" w:rsidRPr="005D6FE7" w:rsidRDefault="005D6FE7" w:rsidP="00826CB7">
            <w:pPr>
              <w:pStyle w:val="ListParagraph"/>
              <w:numPr>
                <w:ilvl w:val="0"/>
                <w:numId w:val="6"/>
              </w:numPr>
              <w:spacing w:after="0" w:line="240" w:lineRule="auto"/>
              <w:ind w:left="447" w:hanging="283"/>
              <w:rPr>
                <w:rFonts w:ascii="Times New Roman" w:hAnsi="Times New Roman" w:cs="Times New Roman"/>
              </w:rPr>
            </w:pPr>
            <w:r w:rsidRPr="005D6FE7">
              <w:rPr>
                <w:rFonts w:ascii="Times New Roman" w:hAnsi="Times New Roman" w:cs="Times New Roman"/>
              </w:rPr>
              <w:t xml:space="preserve">Instructivo para la utilización de equipos viales de los Convenios durante los fines de semana. </w:t>
            </w:r>
          </w:p>
          <w:p w:rsidR="005D6FE7" w:rsidRPr="005D6FE7" w:rsidRDefault="005D6FE7" w:rsidP="00826CB7">
            <w:pPr>
              <w:pStyle w:val="ListParagraph"/>
              <w:numPr>
                <w:ilvl w:val="0"/>
                <w:numId w:val="6"/>
              </w:numPr>
              <w:spacing w:after="0" w:line="240" w:lineRule="auto"/>
              <w:ind w:left="447" w:hanging="283"/>
              <w:rPr>
                <w:rFonts w:ascii="Times New Roman" w:hAnsi="Times New Roman" w:cs="Times New Roman"/>
              </w:rPr>
            </w:pPr>
            <w:r w:rsidRPr="005D6FE7">
              <w:rPr>
                <w:rFonts w:ascii="Times New Roman" w:hAnsi="Times New Roman" w:cs="Times New Roman"/>
              </w:rPr>
              <w:lastRenderedPageBreak/>
              <w:t xml:space="preserve">Acuerdo para el llamado de puesta a punto de puentes de madera. </w:t>
            </w:r>
          </w:p>
          <w:p w:rsidR="005D6FE7" w:rsidRPr="005D6FE7" w:rsidRDefault="005D6FE7" w:rsidP="00826CB7">
            <w:pPr>
              <w:pStyle w:val="ListParagraph"/>
              <w:numPr>
                <w:ilvl w:val="0"/>
                <w:numId w:val="6"/>
              </w:numPr>
              <w:spacing w:after="0" w:line="240" w:lineRule="auto"/>
              <w:ind w:left="447" w:hanging="283"/>
              <w:rPr>
                <w:rFonts w:ascii="Times New Roman" w:hAnsi="Times New Roman" w:cs="Times New Roman"/>
              </w:rPr>
            </w:pPr>
            <w:r w:rsidRPr="005D6FE7">
              <w:rPr>
                <w:rFonts w:ascii="Times New Roman" w:hAnsi="Times New Roman" w:cs="Times New Roman"/>
              </w:rPr>
              <w:t>Instructivo para Rendición de Cuentas.</w:t>
            </w:r>
          </w:p>
          <w:p w:rsidR="005D6FE7" w:rsidRPr="005D6FE7" w:rsidRDefault="005D6FE7" w:rsidP="00826CB7">
            <w:pPr>
              <w:pStyle w:val="ListParagraph"/>
              <w:numPr>
                <w:ilvl w:val="0"/>
                <w:numId w:val="6"/>
              </w:numPr>
              <w:spacing w:after="0" w:line="240" w:lineRule="auto"/>
              <w:ind w:left="447" w:hanging="283"/>
              <w:rPr>
                <w:rFonts w:ascii="Times New Roman" w:hAnsi="Times New Roman" w:cs="Times New Roman"/>
              </w:rPr>
            </w:pPr>
            <w:r w:rsidRPr="005D6FE7">
              <w:rPr>
                <w:rFonts w:ascii="Times New Roman" w:hAnsi="Times New Roman" w:cs="Times New Roman"/>
              </w:rPr>
              <w:t>Instructivo Anexo B-01-01- Planilla de Rendición de Cuenta.</w:t>
            </w:r>
          </w:p>
        </w:tc>
      </w:tr>
    </w:tbl>
    <w:p w:rsidR="00773130" w:rsidRDefault="00773130" w:rsidP="00773130">
      <w:pPr>
        <w:numPr>
          <w:ilvl w:val="1"/>
          <w:numId w:val="1"/>
        </w:numPr>
        <w:tabs>
          <w:tab w:val="clear" w:pos="360"/>
          <w:tab w:val="num" w:pos="709"/>
        </w:tabs>
        <w:spacing w:before="240"/>
        <w:ind w:left="709" w:hanging="709"/>
        <w:jc w:val="both"/>
      </w:pPr>
      <w:r w:rsidRPr="00522C1C">
        <w:rPr>
          <w:b/>
        </w:rPr>
        <w:lastRenderedPageBreak/>
        <w:t>Observaciones a</w:t>
      </w:r>
      <w:r w:rsidR="00522C1C">
        <w:rPr>
          <w:b/>
        </w:rPr>
        <w:t>l</w:t>
      </w:r>
      <w:r w:rsidRPr="00522C1C">
        <w:rPr>
          <w:b/>
        </w:rPr>
        <w:t xml:space="preserve"> Convenio tipo</w:t>
      </w:r>
      <w:r w:rsidRPr="00522C1C">
        <w:t xml:space="preserve">. </w:t>
      </w:r>
      <w:r w:rsidR="00522C1C">
        <w:t>Seguidamente se indican aspectos relevantes del contenido del Convenio.</w:t>
      </w:r>
    </w:p>
    <w:p w:rsidR="00773130" w:rsidRPr="00522C1C" w:rsidRDefault="00522C1C" w:rsidP="00826CB7">
      <w:pPr>
        <w:pStyle w:val="ListParagraph"/>
        <w:numPr>
          <w:ilvl w:val="0"/>
          <w:numId w:val="6"/>
        </w:numPr>
        <w:shd w:val="clear" w:color="auto" w:fill="EEECE1" w:themeFill="background2"/>
        <w:spacing w:before="240" w:after="0" w:line="240" w:lineRule="auto"/>
        <w:ind w:left="1134" w:hanging="425"/>
        <w:contextualSpacing w:val="0"/>
        <w:jc w:val="both"/>
        <w:rPr>
          <w:rFonts w:ascii="Times New Roman" w:hAnsi="Times New Roman" w:cs="Times New Roman"/>
          <w:sz w:val="24"/>
          <w:szCs w:val="24"/>
        </w:rPr>
      </w:pPr>
      <w:r w:rsidRPr="00522C1C">
        <w:rPr>
          <w:rFonts w:ascii="Times New Roman" w:hAnsi="Times New Roman" w:cs="Times New Roman"/>
          <w:b/>
          <w:sz w:val="24"/>
          <w:szCs w:val="24"/>
        </w:rPr>
        <w:t>Auditorías</w:t>
      </w:r>
      <w:r w:rsidRPr="00522C1C">
        <w:rPr>
          <w:rFonts w:ascii="Times New Roman" w:hAnsi="Times New Roman" w:cs="Times New Roman"/>
          <w:sz w:val="24"/>
          <w:szCs w:val="24"/>
        </w:rPr>
        <w:t xml:space="preserve">. </w:t>
      </w:r>
      <w:r>
        <w:rPr>
          <w:rFonts w:ascii="Times New Roman" w:hAnsi="Times New Roman" w:cs="Times New Roman"/>
          <w:sz w:val="24"/>
          <w:szCs w:val="24"/>
        </w:rPr>
        <w:t xml:space="preserve">En </w:t>
      </w:r>
      <w:r w:rsidRPr="00B7675E">
        <w:rPr>
          <w:rFonts w:ascii="Times New Roman" w:hAnsi="Times New Roman" w:cs="Times New Roman"/>
          <w:sz w:val="24"/>
          <w:szCs w:val="24"/>
        </w:rPr>
        <w:t>la cláusula 22ª</w:t>
      </w:r>
      <w:r>
        <w:rPr>
          <w:rFonts w:ascii="Times New Roman" w:hAnsi="Times New Roman" w:cs="Times New Roman"/>
          <w:sz w:val="24"/>
          <w:szCs w:val="24"/>
        </w:rPr>
        <w:t xml:space="preserve"> se establece que </w:t>
      </w:r>
      <w:r w:rsidRPr="00B7675E">
        <w:rPr>
          <w:rFonts w:ascii="Times New Roman" w:hAnsi="Times New Roman" w:cs="Times New Roman"/>
          <w:i/>
          <w:sz w:val="24"/>
          <w:szCs w:val="24"/>
          <w:lang w:val="es-ES_tradnl"/>
        </w:rPr>
        <w:t>los registros podrán ser sometidos a inspección y auditoría por el MOPC, el BID, o sus agentes autorizados, y cualquier otro Ente Controlador de la República, en cualquier etapa de la ejecución del presente Convenio</w:t>
      </w:r>
      <w:r>
        <w:rPr>
          <w:rFonts w:ascii="Times New Roman" w:hAnsi="Times New Roman" w:cs="Times New Roman"/>
          <w:sz w:val="24"/>
          <w:szCs w:val="24"/>
          <w:lang w:val="es-ES_tradnl"/>
        </w:rPr>
        <w:t xml:space="preserve">. </w:t>
      </w:r>
      <w:r w:rsidR="00B7675E">
        <w:rPr>
          <w:rFonts w:ascii="Times New Roman" w:hAnsi="Times New Roman" w:cs="Times New Roman"/>
          <w:sz w:val="24"/>
          <w:szCs w:val="24"/>
          <w:lang w:val="es-ES_tradnl"/>
        </w:rPr>
        <w:t>Se observa que no se establece una periodicidad para su realización.</w:t>
      </w:r>
    </w:p>
    <w:p w:rsidR="00522C1C" w:rsidRPr="00995DCB" w:rsidRDefault="00522C1C" w:rsidP="00826CB7">
      <w:pPr>
        <w:pStyle w:val="ListParagraph"/>
        <w:numPr>
          <w:ilvl w:val="0"/>
          <w:numId w:val="6"/>
        </w:numPr>
        <w:shd w:val="clear" w:color="auto" w:fill="EEECE1" w:themeFill="background2"/>
        <w:spacing w:before="240" w:after="0" w:line="240" w:lineRule="auto"/>
        <w:ind w:left="1134" w:hanging="425"/>
        <w:contextualSpacing w:val="0"/>
        <w:jc w:val="both"/>
        <w:rPr>
          <w:rFonts w:ascii="Times New Roman" w:hAnsi="Times New Roman" w:cs="Times New Roman"/>
          <w:sz w:val="24"/>
          <w:szCs w:val="24"/>
        </w:rPr>
      </w:pPr>
      <w:r w:rsidRPr="00522C1C">
        <w:rPr>
          <w:rFonts w:ascii="Times New Roman" w:hAnsi="Times New Roman" w:cs="Times New Roman"/>
          <w:b/>
          <w:sz w:val="24"/>
          <w:szCs w:val="24"/>
          <w:lang w:val="es-ES_tradnl"/>
        </w:rPr>
        <w:t>Sanciones por incumplimiento</w:t>
      </w:r>
      <w:r w:rsidRPr="00522C1C">
        <w:rPr>
          <w:rFonts w:ascii="Times New Roman" w:hAnsi="Times New Roman" w:cs="Times New Roman"/>
          <w:sz w:val="24"/>
          <w:szCs w:val="24"/>
          <w:lang w:val="es-ES_tradnl"/>
        </w:rPr>
        <w:t xml:space="preserve">. </w:t>
      </w:r>
      <w:r>
        <w:rPr>
          <w:rFonts w:ascii="Times New Roman" w:hAnsi="Times New Roman" w:cs="Times New Roman"/>
          <w:sz w:val="24"/>
          <w:szCs w:val="24"/>
          <w:lang w:val="es-ES_tradnl"/>
        </w:rPr>
        <w:t xml:space="preserve">En el Anexo C se establece que </w:t>
      </w:r>
      <w:r w:rsidRPr="00522C1C">
        <w:rPr>
          <w:rFonts w:ascii="Times New Roman" w:hAnsi="Times New Roman" w:cs="Times New Roman"/>
          <w:i/>
          <w:sz w:val="24"/>
          <w:szCs w:val="24"/>
          <w:lang w:val="es-ES_tradnl"/>
        </w:rPr>
        <w:t xml:space="preserve">en caso que el resultado del Nivel de Servicio de cualquier tramo afectado al Convenio que no alcance el resultado  mínimo requerido (80% ) en dos evaluaciones consecutivas, será </w:t>
      </w:r>
      <w:r w:rsidRPr="00522C1C">
        <w:rPr>
          <w:rFonts w:ascii="Times New Roman" w:hAnsi="Times New Roman" w:cs="Times New Roman"/>
          <w:b/>
          <w:i/>
          <w:sz w:val="24"/>
          <w:szCs w:val="24"/>
          <w:lang w:val="es-ES_tradnl"/>
        </w:rPr>
        <w:t>excluido del presente Convenio</w:t>
      </w:r>
      <w:r w:rsidRPr="00522C1C">
        <w:rPr>
          <w:rFonts w:ascii="Times New Roman" w:hAnsi="Times New Roman" w:cs="Times New Roman"/>
          <w:i/>
          <w:sz w:val="24"/>
          <w:szCs w:val="24"/>
          <w:lang w:val="es-ES_tradnl"/>
        </w:rPr>
        <w:t>. En ningún caso esta sanción podrá ser aplicada cuando el aplazo de uno o más tramos sea consecuencia de la paralización de actividades por la falta de desembolsos de los recursos económicos al Convenio</w:t>
      </w:r>
      <w:r w:rsidRPr="00522C1C">
        <w:rPr>
          <w:rFonts w:ascii="Times New Roman" w:hAnsi="Times New Roman" w:cs="Times New Roman"/>
          <w:sz w:val="24"/>
          <w:szCs w:val="24"/>
          <w:lang w:val="es-ES_tradnl"/>
        </w:rPr>
        <w:t>.</w:t>
      </w:r>
      <w:r>
        <w:rPr>
          <w:rFonts w:ascii="Times New Roman" w:hAnsi="Times New Roman" w:cs="Times New Roman"/>
          <w:sz w:val="24"/>
          <w:szCs w:val="24"/>
          <w:lang w:val="es-ES_tradnl"/>
        </w:rPr>
        <w:t xml:space="preserve"> Se observa que la sanción se aplica más bien al tramo y a sus usuarios, no se aplica a la gestión del Convenio.</w:t>
      </w:r>
    </w:p>
    <w:p w:rsidR="00995DCB" w:rsidRPr="00522C1C" w:rsidRDefault="00995DCB" w:rsidP="00826CB7">
      <w:pPr>
        <w:pStyle w:val="ListParagraph"/>
        <w:numPr>
          <w:ilvl w:val="0"/>
          <w:numId w:val="6"/>
        </w:numPr>
        <w:shd w:val="clear" w:color="auto" w:fill="EEECE1" w:themeFill="background2"/>
        <w:spacing w:before="240" w:after="0" w:line="240" w:lineRule="auto"/>
        <w:ind w:left="1134" w:hanging="425"/>
        <w:contextualSpacing w:val="0"/>
        <w:jc w:val="both"/>
        <w:rPr>
          <w:rFonts w:ascii="Times New Roman" w:hAnsi="Times New Roman" w:cs="Times New Roman"/>
          <w:sz w:val="24"/>
          <w:szCs w:val="24"/>
        </w:rPr>
      </w:pPr>
      <w:r>
        <w:rPr>
          <w:rFonts w:ascii="Times New Roman" w:hAnsi="Times New Roman" w:cs="Times New Roman"/>
          <w:b/>
          <w:sz w:val="24"/>
          <w:szCs w:val="24"/>
          <w:lang w:val="es-ES_tradnl"/>
        </w:rPr>
        <w:t>Asociaciones de Conservación Vial (ACV)</w:t>
      </w:r>
      <w:r w:rsidRPr="00995DCB">
        <w:rPr>
          <w:rFonts w:ascii="Times New Roman" w:hAnsi="Times New Roman" w:cs="Times New Roman"/>
          <w:sz w:val="24"/>
          <w:szCs w:val="24"/>
        </w:rPr>
        <w:t>.</w:t>
      </w:r>
      <w:r>
        <w:rPr>
          <w:rFonts w:ascii="Times New Roman" w:hAnsi="Times New Roman" w:cs="Times New Roman"/>
          <w:sz w:val="24"/>
          <w:szCs w:val="24"/>
        </w:rPr>
        <w:t xml:space="preserve"> Si bien estas sub-contrataciones se dan en el marco del Convenio, en el mismo no se hace referencia al tema ni se incluye modelos de sub-contratos.</w:t>
      </w:r>
    </w:p>
    <w:p w:rsidR="00202108" w:rsidRDefault="00202108" w:rsidP="00202108">
      <w:pPr>
        <w:numPr>
          <w:ilvl w:val="1"/>
          <w:numId w:val="1"/>
        </w:numPr>
        <w:tabs>
          <w:tab w:val="clear" w:pos="360"/>
          <w:tab w:val="num" w:pos="709"/>
        </w:tabs>
        <w:spacing w:before="240"/>
        <w:ind w:left="709" w:hanging="709"/>
        <w:jc w:val="both"/>
      </w:pPr>
      <w:bookmarkStart w:id="43" w:name="_Ref396066585"/>
      <w:r>
        <w:rPr>
          <w:b/>
        </w:rPr>
        <w:t>Manual de Procedimiento</w:t>
      </w:r>
      <w:r w:rsidRPr="00522C1C">
        <w:t xml:space="preserve">. </w:t>
      </w:r>
      <w:r>
        <w:t>Los Convenios con GL poseen un Manual de Procedimiento, modificado, y remitido al BID mediante nota DCV N° 1144/11 del 24 de octubre de 2011. Este manual se aplica para las adquisiciones del Convenio y se basa en las Políticas del BID. Consta de los siguientes instructivos:</w:t>
      </w:r>
      <w:bookmarkEnd w:id="43"/>
    </w:p>
    <w:p w:rsidR="00202108" w:rsidRDefault="00202108" w:rsidP="00826CB7">
      <w:pPr>
        <w:pStyle w:val="ListParagraph"/>
        <w:numPr>
          <w:ilvl w:val="0"/>
          <w:numId w:val="10"/>
        </w:numPr>
        <w:spacing w:before="120" w:after="0" w:line="240" w:lineRule="auto"/>
        <w:ind w:left="1077" w:hanging="357"/>
        <w:contextualSpacing w:val="0"/>
        <w:jc w:val="both"/>
        <w:rPr>
          <w:rFonts w:ascii="Times New Roman" w:hAnsi="Times New Roman" w:cs="Times New Roman"/>
          <w:sz w:val="24"/>
          <w:szCs w:val="24"/>
        </w:rPr>
      </w:pPr>
      <w:r w:rsidRPr="00202108">
        <w:rPr>
          <w:rFonts w:ascii="Times New Roman" w:hAnsi="Times New Roman" w:cs="Times New Roman"/>
          <w:sz w:val="24"/>
          <w:szCs w:val="24"/>
        </w:rPr>
        <w:t>Definiciones.</w:t>
      </w:r>
      <w:r>
        <w:rPr>
          <w:rFonts w:ascii="Times New Roman" w:hAnsi="Times New Roman" w:cs="Times New Roman"/>
          <w:sz w:val="24"/>
          <w:szCs w:val="24"/>
        </w:rPr>
        <w:t xml:space="preserve"> Relacionadas a las modalidades de adquisición y rendición de cuentas.</w:t>
      </w:r>
    </w:p>
    <w:p w:rsidR="00202108" w:rsidRDefault="00202108" w:rsidP="00826CB7">
      <w:pPr>
        <w:pStyle w:val="ListParagraph"/>
        <w:numPr>
          <w:ilvl w:val="0"/>
          <w:numId w:val="10"/>
        </w:numPr>
        <w:spacing w:before="120" w:after="0" w:line="240" w:lineRule="auto"/>
        <w:ind w:left="1077" w:hanging="357"/>
        <w:contextualSpacing w:val="0"/>
        <w:jc w:val="both"/>
        <w:rPr>
          <w:rFonts w:ascii="Times New Roman" w:hAnsi="Times New Roman" w:cs="Times New Roman"/>
          <w:sz w:val="24"/>
          <w:szCs w:val="24"/>
        </w:rPr>
      </w:pPr>
      <w:r>
        <w:rPr>
          <w:rFonts w:ascii="Times New Roman" w:hAnsi="Times New Roman" w:cs="Times New Roman"/>
          <w:sz w:val="24"/>
          <w:szCs w:val="24"/>
        </w:rPr>
        <w:t xml:space="preserve">Compras y pagos generales. Compras por parte del Municipio ejecutor y/o los </w:t>
      </w:r>
      <w:proofErr w:type="spellStart"/>
      <w:r>
        <w:rPr>
          <w:rFonts w:ascii="Times New Roman" w:hAnsi="Times New Roman" w:cs="Times New Roman"/>
          <w:sz w:val="24"/>
          <w:szCs w:val="24"/>
        </w:rPr>
        <w:t>co</w:t>
      </w:r>
      <w:proofErr w:type="spellEnd"/>
      <w:r>
        <w:rPr>
          <w:rFonts w:ascii="Times New Roman" w:hAnsi="Times New Roman" w:cs="Times New Roman"/>
          <w:sz w:val="24"/>
          <w:szCs w:val="24"/>
        </w:rPr>
        <w:t>-ejecutores.</w:t>
      </w:r>
    </w:p>
    <w:p w:rsidR="00202108" w:rsidRDefault="00202108" w:rsidP="00826CB7">
      <w:pPr>
        <w:pStyle w:val="ListParagraph"/>
        <w:numPr>
          <w:ilvl w:val="0"/>
          <w:numId w:val="10"/>
        </w:numPr>
        <w:spacing w:before="120" w:after="0" w:line="240" w:lineRule="auto"/>
        <w:ind w:left="1077" w:hanging="357"/>
        <w:contextualSpacing w:val="0"/>
        <w:jc w:val="both"/>
        <w:rPr>
          <w:rFonts w:ascii="Times New Roman" w:hAnsi="Times New Roman" w:cs="Times New Roman"/>
          <w:sz w:val="24"/>
          <w:szCs w:val="24"/>
        </w:rPr>
      </w:pPr>
      <w:r>
        <w:rPr>
          <w:rFonts w:ascii="Times New Roman" w:hAnsi="Times New Roman" w:cs="Times New Roman"/>
          <w:sz w:val="24"/>
          <w:szCs w:val="24"/>
        </w:rPr>
        <w:t>Provisión de combustibles y lubricantes a equipos viales afectados al Convenio.</w:t>
      </w:r>
    </w:p>
    <w:p w:rsidR="00202108" w:rsidRPr="00202108" w:rsidRDefault="00202108" w:rsidP="00826CB7">
      <w:pPr>
        <w:pStyle w:val="ListParagraph"/>
        <w:numPr>
          <w:ilvl w:val="0"/>
          <w:numId w:val="10"/>
        </w:numPr>
        <w:spacing w:before="120" w:after="0" w:line="240" w:lineRule="auto"/>
        <w:ind w:left="1077" w:hanging="357"/>
        <w:contextualSpacing w:val="0"/>
        <w:jc w:val="both"/>
        <w:rPr>
          <w:rFonts w:ascii="Times New Roman" w:hAnsi="Times New Roman" w:cs="Times New Roman"/>
          <w:sz w:val="24"/>
          <w:szCs w:val="24"/>
        </w:rPr>
      </w:pPr>
      <w:r>
        <w:rPr>
          <w:rFonts w:ascii="Times New Roman" w:hAnsi="Times New Roman" w:cs="Times New Roman"/>
          <w:sz w:val="24"/>
          <w:szCs w:val="24"/>
        </w:rPr>
        <w:t>Provisión de combustibles a vehículos livianos.</w:t>
      </w:r>
    </w:p>
    <w:p w:rsidR="00202108" w:rsidRDefault="00202108" w:rsidP="00826CB7">
      <w:pPr>
        <w:pStyle w:val="ListParagraph"/>
        <w:numPr>
          <w:ilvl w:val="0"/>
          <w:numId w:val="10"/>
        </w:numPr>
        <w:spacing w:before="120" w:after="0" w:line="240" w:lineRule="auto"/>
        <w:ind w:left="1077" w:hanging="357"/>
        <w:contextualSpacing w:val="0"/>
        <w:jc w:val="both"/>
        <w:rPr>
          <w:rFonts w:ascii="Times New Roman" w:hAnsi="Times New Roman" w:cs="Times New Roman"/>
          <w:sz w:val="24"/>
          <w:szCs w:val="24"/>
        </w:rPr>
      </w:pPr>
      <w:r>
        <w:rPr>
          <w:rFonts w:ascii="Times New Roman" w:hAnsi="Times New Roman" w:cs="Times New Roman"/>
          <w:sz w:val="24"/>
          <w:szCs w:val="24"/>
        </w:rPr>
        <w:t>Pago a Asociaciones de Conservación Vial (ACV). Se estipula que no podrá</w:t>
      </w:r>
      <w:r w:rsidR="00B63B99">
        <w:rPr>
          <w:rFonts w:ascii="Times New Roman" w:hAnsi="Times New Roman" w:cs="Times New Roman"/>
          <w:sz w:val="24"/>
          <w:szCs w:val="24"/>
        </w:rPr>
        <w:t>n superar</w:t>
      </w:r>
      <w:r>
        <w:rPr>
          <w:rFonts w:ascii="Times New Roman" w:hAnsi="Times New Roman" w:cs="Times New Roman"/>
          <w:sz w:val="24"/>
          <w:szCs w:val="24"/>
        </w:rPr>
        <w:t xml:space="preserve"> los 80.000 US$ por contrato. </w:t>
      </w:r>
    </w:p>
    <w:p w:rsidR="00B63B99" w:rsidRDefault="00B63B99" w:rsidP="00826CB7">
      <w:pPr>
        <w:pStyle w:val="ListParagraph"/>
        <w:numPr>
          <w:ilvl w:val="0"/>
          <w:numId w:val="10"/>
        </w:numPr>
        <w:spacing w:before="120" w:after="0" w:line="240" w:lineRule="auto"/>
        <w:ind w:left="1077" w:hanging="357"/>
        <w:contextualSpacing w:val="0"/>
        <w:jc w:val="both"/>
        <w:rPr>
          <w:rFonts w:ascii="Times New Roman" w:hAnsi="Times New Roman" w:cs="Times New Roman"/>
          <w:sz w:val="24"/>
          <w:szCs w:val="24"/>
        </w:rPr>
      </w:pPr>
      <w:r>
        <w:rPr>
          <w:rFonts w:ascii="Times New Roman" w:hAnsi="Times New Roman" w:cs="Times New Roman"/>
          <w:sz w:val="24"/>
          <w:szCs w:val="24"/>
        </w:rPr>
        <w:t>Reposición de gastos.</w:t>
      </w:r>
    </w:p>
    <w:p w:rsidR="00B63B99" w:rsidRDefault="00B63B99" w:rsidP="00826CB7">
      <w:pPr>
        <w:pStyle w:val="ListParagraph"/>
        <w:numPr>
          <w:ilvl w:val="0"/>
          <w:numId w:val="10"/>
        </w:numPr>
        <w:spacing w:before="120" w:after="0" w:line="240" w:lineRule="auto"/>
        <w:ind w:left="1077" w:hanging="357"/>
        <w:contextualSpacing w:val="0"/>
        <w:jc w:val="both"/>
        <w:rPr>
          <w:rFonts w:ascii="Times New Roman" w:hAnsi="Times New Roman" w:cs="Times New Roman"/>
          <w:sz w:val="24"/>
          <w:szCs w:val="24"/>
        </w:rPr>
      </w:pPr>
      <w:r>
        <w:rPr>
          <w:rFonts w:ascii="Times New Roman" w:hAnsi="Times New Roman" w:cs="Times New Roman"/>
          <w:sz w:val="24"/>
          <w:szCs w:val="24"/>
        </w:rPr>
        <w:t>Alquiler de máquinas.</w:t>
      </w:r>
    </w:p>
    <w:p w:rsidR="00B63B99" w:rsidRDefault="00B63B99" w:rsidP="00826CB7">
      <w:pPr>
        <w:pStyle w:val="ListParagraph"/>
        <w:numPr>
          <w:ilvl w:val="0"/>
          <w:numId w:val="10"/>
        </w:numPr>
        <w:spacing w:before="120" w:after="0" w:line="240" w:lineRule="auto"/>
        <w:ind w:left="1077" w:hanging="357"/>
        <w:contextualSpacing w:val="0"/>
        <w:jc w:val="both"/>
        <w:rPr>
          <w:rFonts w:ascii="Times New Roman" w:hAnsi="Times New Roman" w:cs="Times New Roman"/>
          <w:sz w:val="24"/>
          <w:szCs w:val="24"/>
        </w:rPr>
      </w:pPr>
      <w:r>
        <w:rPr>
          <w:rFonts w:ascii="Times New Roman" w:hAnsi="Times New Roman" w:cs="Times New Roman"/>
          <w:sz w:val="24"/>
          <w:szCs w:val="24"/>
        </w:rPr>
        <w:t>Afectación temporal de vehículos y equipos viales al Convenio.</w:t>
      </w:r>
    </w:p>
    <w:p w:rsidR="00B63B99" w:rsidRDefault="00B63B99" w:rsidP="00826CB7">
      <w:pPr>
        <w:pStyle w:val="ListParagraph"/>
        <w:numPr>
          <w:ilvl w:val="0"/>
          <w:numId w:val="10"/>
        </w:numPr>
        <w:spacing w:before="120" w:after="0" w:line="240" w:lineRule="auto"/>
        <w:ind w:left="1077" w:hanging="357"/>
        <w:contextualSpacing w:val="0"/>
        <w:jc w:val="both"/>
        <w:rPr>
          <w:rFonts w:ascii="Times New Roman" w:hAnsi="Times New Roman" w:cs="Times New Roman"/>
          <w:sz w:val="24"/>
          <w:szCs w:val="24"/>
        </w:rPr>
      </w:pPr>
      <w:r>
        <w:rPr>
          <w:rFonts w:ascii="Times New Roman" w:hAnsi="Times New Roman" w:cs="Times New Roman"/>
          <w:sz w:val="24"/>
          <w:szCs w:val="24"/>
        </w:rPr>
        <w:t>Transferencia de fondos. Por parte de la Entidad Ejecutora al Convenio.</w:t>
      </w:r>
    </w:p>
    <w:p w:rsidR="00B63B99" w:rsidRPr="00202108" w:rsidRDefault="00B63B99" w:rsidP="00826CB7">
      <w:pPr>
        <w:pStyle w:val="ListParagraph"/>
        <w:numPr>
          <w:ilvl w:val="0"/>
          <w:numId w:val="10"/>
        </w:numPr>
        <w:spacing w:before="120" w:after="0" w:line="240" w:lineRule="auto"/>
        <w:ind w:left="1077" w:hanging="357"/>
        <w:contextualSpacing w:val="0"/>
        <w:jc w:val="both"/>
        <w:rPr>
          <w:rFonts w:ascii="Times New Roman" w:hAnsi="Times New Roman" w:cs="Times New Roman"/>
          <w:sz w:val="24"/>
          <w:szCs w:val="24"/>
        </w:rPr>
      </w:pPr>
      <w:r>
        <w:rPr>
          <w:rFonts w:ascii="Times New Roman" w:hAnsi="Times New Roman" w:cs="Times New Roman"/>
          <w:sz w:val="24"/>
          <w:szCs w:val="24"/>
        </w:rPr>
        <w:t>Sanciones para la Asociación de Conservación Vial (ACV) por incumplimiento de los niveles de servicio.</w:t>
      </w:r>
    </w:p>
    <w:p w:rsidR="00B7675E" w:rsidRDefault="00B7675E" w:rsidP="00B7675E">
      <w:pPr>
        <w:numPr>
          <w:ilvl w:val="1"/>
          <w:numId w:val="1"/>
        </w:numPr>
        <w:tabs>
          <w:tab w:val="clear" w:pos="360"/>
          <w:tab w:val="num" w:pos="709"/>
        </w:tabs>
        <w:spacing w:before="240"/>
        <w:ind w:left="709" w:hanging="709"/>
        <w:jc w:val="both"/>
      </w:pPr>
      <w:r>
        <w:rPr>
          <w:b/>
        </w:rPr>
        <w:lastRenderedPageBreak/>
        <w:t>La organización para la ejecución por Convenio</w:t>
      </w:r>
      <w:r>
        <w:t xml:space="preserve">. </w:t>
      </w:r>
      <w:r w:rsidR="003F09C9">
        <w:t>La asociación de municipalidades delega la administración del Convenio en una de ellas, la que pasa de desempeñarse como Entidad Ejecutora (EE). El propio Convenio establece en su Cláusula Sexta que la administración integral estará a cargo de un Ingeniero Superintendente. La organización se suplementa con 1 Asistente Técnico, 1 Administrador, también responsable de la contabilidad del Convenio, 1 Encargado de Control, 1 Asistente Administrativo y 1 Auxiliar Administrativo</w:t>
      </w:r>
      <w:r>
        <w:t>.</w:t>
      </w:r>
      <w:r w:rsidR="003F09C9">
        <w:t xml:space="preserve"> De acuerdo a las recomendaciones de la UGM debería implementarse además un Monitor de las ACV</w:t>
      </w:r>
      <w:r w:rsidR="001B3083">
        <w:t>, pero que aún está pendiente.</w:t>
      </w:r>
    </w:p>
    <w:p w:rsidR="001B3083" w:rsidRDefault="001B3083" w:rsidP="001B3083">
      <w:pPr>
        <w:numPr>
          <w:ilvl w:val="1"/>
          <w:numId w:val="1"/>
        </w:numPr>
        <w:tabs>
          <w:tab w:val="clear" w:pos="360"/>
          <w:tab w:val="num" w:pos="709"/>
        </w:tabs>
        <w:spacing w:before="240"/>
        <w:ind w:left="709" w:hanging="709"/>
        <w:jc w:val="both"/>
      </w:pPr>
      <w:bookmarkStart w:id="44" w:name="_Ref396316842"/>
      <w:r>
        <w:rPr>
          <w:b/>
        </w:rPr>
        <w:t xml:space="preserve">Los costos de </w:t>
      </w:r>
      <w:r w:rsidRPr="00BC704E">
        <w:rPr>
          <w:b/>
        </w:rPr>
        <w:t>la modalidad</w:t>
      </w:r>
      <w:r w:rsidRPr="00BC704E">
        <w:t>. A partir de los</w:t>
      </w:r>
      <w:r>
        <w:t xml:space="preserve"> alcances establecidos para los Convenios vigentes y los montos presupuestados, se </w:t>
      </w:r>
      <w:r w:rsidR="00391252">
        <w:t xml:space="preserve">presenta el siguiente </w:t>
      </w:r>
      <w:r w:rsidR="00BC704E">
        <w:t>detalle</w:t>
      </w:r>
      <w:r>
        <w:t>.</w:t>
      </w:r>
      <w:bookmarkEnd w:id="44"/>
    </w:p>
    <w:p w:rsidR="002219E2" w:rsidRPr="002219E2" w:rsidRDefault="002219E2" w:rsidP="00826CB7">
      <w:pPr>
        <w:pStyle w:val="ListParagraph"/>
        <w:keepNext/>
        <w:numPr>
          <w:ilvl w:val="0"/>
          <w:numId w:val="8"/>
        </w:numPr>
        <w:spacing w:before="240" w:after="120"/>
        <w:ind w:left="1077" w:hanging="357"/>
        <w:contextualSpacing w:val="0"/>
      </w:pPr>
      <w:r w:rsidRPr="002219E2">
        <w:rPr>
          <w:rFonts w:ascii="Times New Roman" w:eastAsia="Times New Roman" w:hAnsi="Times New Roman" w:cs="Times New Roman"/>
          <w:sz w:val="24"/>
          <w:szCs w:val="20"/>
          <w:lang w:val="es-ES_tradnl" w:eastAsia="en-US"/>
        </w:rPr>
        <w:t>Itapúa</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3827"/>
      </w:tblGrid>
      <w:tr w:rsidR="009161BB" w:rsidTr="009161BB">
        <w:tc>
          <w:tcPr>
            <w:tcW w:w="5245" w:type="dxa"/>
          </w:tcPr>
          <w:p w:rsidR="009161BB" w:rsidRDefault="009161BB" w:rsidP="007C0EA1">
            <w:pPr>
              <w:pStyle w:val="ListParagraph"/>
              <w:spacing w:after="120"/>
              <w:ind w:left="0"/>
              <w:contextualSpacing w:val="0"/>
            </w:pPr>
            <w:r>
              <w:rPr>
                <w:noProof/>
                <w:lang w:val="es-ES" w:eastAsia="es-ES"/>
              </w:rPr>
              <w:drawing>
                <wp:inline distT="0" distB="0" distL="0" distR="0" wp14:anchorId="4954A263" wp14:editId="4EE690D9">
                  <wp:extent cx="2974686" cy="3089835"/>
                  <wp:effectExtent l="0" t="0" r="0" b="0"/>
                  <wp:docPr id="8"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16"/>
                          <a:stretch>
                            <a:fillRect/>
                          </a:stretch>
                        </pic:blipFill>
                        <pic:spPr>
                          <a:xfrm>
                            <a:off x="0" y="0"/>
                            <a:ext cx="2974691" cy="3089840"/>
                          </a:xfrm>
                          <a:prstGeom prst="rect">
                            <a:avLst/>
                          </a:prstGeom>
                        </pic:spPr>
                      </pic:pic>
                    </a:graphicData>
                  </a:graphic>
                </wp:inline>
              </w:drawing>
            </w:r>
          </w:p>
        </w:tc>
        <w:tc>
          <w:tcPr>
            <w:tcW w:w="3827" w:type="dxa"/>
          </w:tcPr>
          <w:p w:rsidR="009161BB" w:rsidRDefault="009161BB" w:rsidP="007C0EA1">
            <w:pPr>
              <w:pStyle w:val="ListParagraph"/>
              <w:spacing w:after="120"/>
              <w:ind w:left="0"/>
              <w:contextualSpacing w:val="0"/>
            </w:pPr>
            <w:r>
              <w:rPr>
                <w:noProof/>
                <w:lang w:val="es-ES" w:eastAsia="es-ES"/>
              </w:rPr>
              <w:drawing>
                <wp:inline distT="0" distB="0" distL="0" distR="0" wp14:anchorId="7E4FA959" wp14:editId="5120B756">
                  <wp:extent cx="2221873" cy="3980329"/>
                  <wp:effectExtent l="0" t="0" r="6985" b="1270"/>
                  <wp:docPr id="9"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7"/>
                          <a:stretch>
                            <a:fillRect/>
                          </a:stretch>
                        </pic:blipFill>
                        <pic:spPr>
                          <a:xfrm>
                            <a:off x="0" y="0"/>
                            <a:ext cx="2222221" cy="3980953"/>
                          </a:xfrm>
                          <a:prstGeom prst="rect">
                            <a:avLst/>
                          </a:prstGeom>
                        </pic:spPr>
                      </pic:pic>
                    </a:graphicData>
                  </a:graphic>
                </wp:inline>
              </w:drawing>
            </w:r>
          </w:p>
        </w:tc>
      </w:tr>
    </w:tbl>
    <w:p w:rsidR="002219E2" w:rsidRDefault="002219E2" w:rsidP="009161BB">
      <w:pPr>
        <w:pStyle w:val="ListParagraph"/>
        <w:spacing w:after="120"/>
        <w:ind w:left="1077"/>
        <w:contextualSpacing w:val="0"/>
      </w:pPr>
    </w:p>
    <w:p w:rsidR="002219E2" w:rsidRDefault="002219E2" w:rsidP="00826CB7">
      <w:pPr>
        <w:pStyle w:val="ListParagraph"/>
        <w:keepNext/>
        <w:numPr>
          <w:ilvl w:val="0"/>
          <w:numId w:val="8"/>
        </w:numPr>
        <w:spacing w:before="240" w:after="120"/>
        <w:ind w:left="1077" w:hanging="357"/>
        <w:contextualSpacing w:val="0"/>
        <w:rPr>
          <w:rFonts w:ascii="Times New Roman" w:eastAsia="Times New Roman" w:hAnsi="Times New Roman" w:cs="Times New Roman"/>
          <w:sz w:val="24"/>
          <w:szCs w:val="20"/>
          <w:lang w:val="es-ES_tradnl" w:eastAsia="en-US"/>
        </w:rPr>
      </w:pPr>
      <w:r w:rsidRPr="002219E2">
        <w:rPr>
          <w:rFonts w:ascii="Times New Roman" w:eastAsia="Times New Roman" w:hAnsi="Times New Roman" w:cs="Times New Roman"/>
          <w:sz w:val="24"/>
          <w:szCs w:val="20"/>
          <w:lang w:val="es-ES_tradnl" w:eastAsia="en-US"/>
        </w:rPr>
        <w:lastRenderedPageBreak/>
        <w:t>Alto Paraná Sur</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6"/>
        <w:gridCol w:w="3876"/>
      </w:tblGrid>
      <w:tr w:rsidR="009161BB" w:rsidTr="009161BB">
        <w:tc>
          <w:tcPr>
            <w:tcW w:w="5196" w:type="dxa"/>
          </w:tcPr>
          <w:p w:rsidR="009161BB" w:rsidRDefault="009161BB" w:rsidP="007530BB">
            <w:pPr>
              <w:pStyle w:val="ListParagraph"/>
              <w:spacing w:after="120"/>
              <w:ind w:left="0"/>
              <w:contextualSpacing w:val="0"/>
            </w:pPr>
            <w:r>
              <w:rPr>
                <w:noProof/>
                <w:lang w:val="es-ES" w:eastAsia="es-ES"/>
              </w:rPr>
              <w:drawing>
                <wp:inline distT="0" distB="0" distL="0" distR="0" wp14:anchorId="6F264FC2" wp14:editId="2BCEA66F">
                  <wp:extent cx="3156794" cy="3340847"/>
                  <wp:effectExtent l="0" t="0" r="5715" b="0"/>
                  <wp:docPr id="10" name="3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Imagen"/>
                          <pic:cNvPicPr>
                            <a:picLocks noChangeAspect="1"/>
                          </pic:cNvPicPr>
                        </pic:nvPicPr>
                        <pic:blipFill>
                          <a:blip r:embed="rId18"/>
                          <a:stretch>
                            <a:fillRect/>
                          </a:stretch>
                        </pic:blipFill>
                        <pic:spPr>
                          <a:xfrm>
                            <a:off x="0" y="0"/>
                            <a:ext cx="3162465" cy="3346849"/>
                          </a:xfrm>
                          <a:prstGeom prst="rect">
                            <a:avLst/>
                          </a:prstGeom>
                        </pic:spPr>
                      </pic:pic>
                    </a:graphicData>
                  </a:graphic>
                </wp:inline>
              </w:drawing>
            </w:r>
          </w:p>
        </w:tc>
        <w:tc>
          <w:tcPr>
            <w:tcW w:w="3876" w:type="dxa"/>
          </w:tcPr>
          <w:p w:rsidR="009161BB" w:rsidRDefault="009161BB" w:rsidP="007530BB">
            <w:pPr>
              <w:pStyle w:val="ListParagraph"/>
              <w:spacing w:after="120"/>
              <w:ind w:left="0"/>
              <w:contextualSpacing w:val="0"/>
            </w:pPr>
            <w:r>
              <w:rPr>
                <w:noProof/>
                <w:lang w:val="es-ES" w:eastAsia="es-ES"/>
              </w:rPr>
              <w:drawing>
                <wp:inline distT="0" distB="0" distL="0" distR="0" wp14:anchorId="31D3CBD0" wp14:editId="253EBC16">
                  <wp:extent cx="2345107" cy="3633694"/>
                  <wp:effectExtent l="0" t="0" r="0" b="5080"/>
                  <wp:docPr id="11" name="4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 Imagen"/>
                          <pic:cNvPicPr>
                            <a:picLocks noChangeAspect="1"/>
                          </pic:cNvPicPr>
                        </pic:nvPicPr>
                        <pic:blipFill>
                          <a:blip r:embed="rId19"/>
                          <a:stretch>
                            <a:fillRect/>
                          </a:stretch>
                        </pic:blipFill>
                        <pic:spPr>
                          <a:xfrm>
                            <a:off x="0" y="0"/>
                            <a:ext cx="2355618" cy="3649980"/>
                          </a:xfrm>
                          <a:prstGeom prst="rect">
                            <a:avLst/>
                          </a:prstGeom>
                        </pic:spPr>
                      </pic:pic>
                    </a:graphicData>
                  </a:graphic>
                </wp:inline>
              </w:drawing>
            </w:r>
          </w:p>
        </w:tc>
      </w:tr>
    </w:tbl>
    <w:p w:rsidR="002219E2" w:rsidRDefault="002219E2" w:rsidP="00826CB7">
      <w:pPr>
        <w:pStyle w:val="ListParagraph"/>
        <w:keepNext/>
        <w:numPr>
          <w:ilvl w:val="0"/>
          <w:numId w:val="8"/>
        </w:numPr>
        <w:spacing w:before="240" w:after="120"/>
        <w:ind w:left="1077" w:hanging="357"/>
        <w:contextualSpacing w:val="0"/>
        <w:rPr>
          <w:rFonts w:ascii="Times New Roman" w:eastAsia="Times New Roman" w:hAnsi="Times New Roman" w:cs="Times New Roman"/>
          <w:sz w:val="24"/>
          <w:szCs w:val="20"/>
          <w:lang w:val="es-ES_tradnl" w:eastAsia="en-US"/>
        </w:rPr>
      </w:pPr>
      <w:r w:rsidRPr="002219E2">
        <w:rPr>
          <w:rFonts w:ascii="Times New Roman" w:eastAsia="Times New Roman" w:hAnsi="Times New Roman" w:cs="Times New Roman"/>
          <w:sz w:val="24"/>
          <w:szCs w:val="20"/>
          <w:lang w:val="es-ES_tradnl" w:eastAsia="en-US"/>
        </w:rPr>
        <w:t>Canindeyú Este</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6"/>
        <w:gridCol w:w="3876"/>
      </w:tblGrid>
      <w:tr w:rsidR="007C0EA1" w:rsidTr="007530BB">
        <w:tc>
          <w:tcPr>
            <w:tcW w:w="5196" w:type="dxa"/>
          </w:tcPr>
          <w:p w:rsidR="007C0EA1" w:rsidRDefault="007C0EA1" w:rsidP="007530BB">
            <w:pPr>
              <w:pStyle w:val="ListParagraph"/>
              <w:spacing w:after="120"/>
              <w:ind w:left="0"/>
              <w:contextualSpacing w:val="0"/>
            </w:pPr>
            <w:r>
              <w:rPr>
                <w:noProof/>
                <w:lang w:val="es-ES" w:eastAsia="es-ES"/>
              </w:rPr>
              <w:drawing>
                <wp:inline distT="0" distB="0" distL="0" distR="0" wp14:anchorId="72C26371" wp14:editId="266DE2E2">
                  <wp:extent cx="3167530" cy="2576889"/>
                  <wp:effectExtent l="0" t="0" r="0" b="0"/>
                  <wp:docPr id="12"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20"/>
                          <a:stretch>
                            <a:fillRect/>
                          </a:stretch>
                        </pic:blipFill>
                        <pic:spPr>
                          <a:xfrm>
                            <a:off x="0" y="0"/>
                            <a:ext cx="3167657" cy="2576993"/>
                          </a:xfrm>
                          <a:prstGeom prst="rect">
                            <a:avLst/>
                          </a:prstGeom>
                        </pic:spPr>
                      </pic:pic>
                    </a:graphicData>
                  </a:graphic>
                </wp:inline>
              </w:drawing>
            </w:r>
          </w:p>
        </w:tc>
        <w:tc>
          <w:tcPr>
            <w:tcW w:w="3876" w:type="dxa"/>
          </w:tcPr>
          <w:p w:rsidR="007C0EA1" w:rsidRDefault="007C0EA1" w:rsidP="007530BB">
            <w:pPr>
              <w:pStyle w:val="ListParagraph"/>
              <w:spacing w:after="120"/>
              <w:ind w:left="0"/>
              <w:contextualSpacing w:val="0"/>
            </w:pPr>
            <w:r>
              <w:rPr>
                <w:noProof/>
                <w:lang w:val="es-ES" w:eastAsia="es-ES"/>
              </w:rPr>
              <w:drawing>
                <wp:inline distT="0" distB="0" distL="0" distR="0" wp14:anchorId="60A5C31A" wp14:editId="523AB5D4">
                  <wp:extent cx="2297230" cy="3687482"/>
                  <wp:effectExtent l="0" t="0" r="8255" b="8255"/>
                  <wp:docPr id="13"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21"/>
                          <a:stretch>
                            <a:fillRect/>
                          </a:stretch>
                        </pic:blipFill>
                        <pic:spPr>
                          <a:xfrm>
                            <a:off x="0" y="0"/>
                            <a:ext cx="2301089" cy="3693677"/>
                          </a:xfrm>
                          <a:prstGeom prst="rect">
                            <a:avLst/>
                          </a:prstGeom>
                        </pic:spPr>
                      </pic:pic>
                    </a:graphicData>
                  </a:graphic>
                </wp:inline>
              </w:drawing>
            </w:r>
          </w:p>
        </w:tc>
      </w:tr>
    </w:tbl>
    <w:p w:rsidR="002219E2" w:rsidRDefault="002219E2" w:rsidP="00826CB7">
      <w:pPr>
        <w:pStyle w:val="ListParagraph"/>
        <w:keepNext/>
        <w:numPr>
          <w:ilvl w:val="0"/>
          <w:numId w:val="8"/>
        </w:numPr>
        <w:spacing w:before="240" w:after="120"/>
        <w:ind w:left="1077" w:hanging="357"/>
        <w:contextualSpacing w:val="0"/>
        <w:rPr>
          <w:rFonts w:ascii="Times New Roman" w:eastAsia="Times New Roman" w:hAnsi="Times New Roman" w:cs="Times New Roman"/>
          <w:sz w:val="24"/>
          <w:szCs w:val="20"/>
          <w:lang w:val="es-ES_tradnl" w:eastAsia="en-US"/>
        </w:rPr>
      </w:pPr>
      <w:r w:rsidRPr="002219E2">
        <w:rPr>
          <w:rFonts w:ascii="Times New Roman" w:eastAsia="Times New Roman" w:hAnsi="Times New Roman" w:cs="Times New Roman"/>
          <w:sz w:val="24"/>
          <w:szCs w:val="20"/>
          <w:lang w:val="es-ES_tradnl" w:eastAsia="en-US"/>
        </w:rPr>
        <w:lastRenderedPageBreak/>
        <w:t>Caazapá</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6"/>
        <w:gridCol w:w="3876"/>
      </w:tblGrid>
      <w:tr w:rsidR="007C0EA1" w:rsidTr="007530BB">
        <w:tc>
          <w:tcPr>
            <w:tcW w:w="5196" w:type="dxa"/>
          </w:tcPr>
          <w:p w:rsidR="007C0EA1" w:rsidRDefault="007C0EA1" w:rsidP="007530BB">
            <w:pPr>
              <w:pStyle w:val="ListParagraph"/>
              <w:spacing w:after="120"/>
              <w:ind w:left="0"/>
              <w:contextualSpacing w:val="0"/>
            </w:pPr>
            <w:r>
              <w:rPr>
                <w:noProof/>
                <w:lang w:val="es-ES" w:eastAsia="es-ES"/>
              </w:rPr>
              <w:drawing>
                <wp:inline distT="0" distB="0" distL="0" distR="0" wp14:anchorId="315E69BF" wp14:editId="0E0B952A">
                  <wp:extent cx="3165793" cy="3842870"/>
                  <wp:effectExtent l="0" t="0" r="0" b="5715"/>
                  <wp:docPr id="1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 Imagen"/>
                          <pic:cNvPicPr>
                            <a:picLocks noChangeAspect="1"/>
                          </pic:cNvPicPr>
                        </pic:nvPicPr>
                        <pic:blipFill>
                          <a:blip r:embed="rId22"/>
                          <a:stretch>
                            <a:fillRect/>
                          </a:stretch>
                        </pic:blipFill>
                        <pic:spPr>
                          <a:xfrm>
                            <a:off x="0" y="0"/>
                            <a:ext cx="3159960" cy="3835790"/>
                          </a:xfrm>
                          <a:prstGeom prst="rect">
                            <a:avLst/>
                          </a:prstGeom>
                        </pic:spPr>
                      </pic:pic>
                    </a:graphicData>
                  </a:graphic>
                </wp:inline>
              </w:drawing>
            </w:r>
          </w:p>
        </w:tc>
        <w:tc>
          <w:tcPr>
            <w:tcW w:w="3876" w:type="dxa"/>
          </w:tcPr>
          <w:p w:rsidR="007C0EA1" w:rsidRDefault="007C0EA1" w:rsidP="007530BB">
            <w:pPr>
              <w:pStyle w:val="ListParagraph"/>
              <w:spacing w:after="120"/>
              <w:ind w:left="0"/>
              <w:contextualSpacing w:val="0"/>
            </w:pPr>
            <w:r>
              <w:rPr>
                <w:noProof/>
                <w:lang w:val="es-ES" w:eastAsia="es-ES"/>
              </w:rPr>
              <w:drawing>
                <wp:inline distT="0" distB="0" distL="0" distR="0" wp14:anchorId="6D661863" wp14:editId="00C28DA6">
                  <wp:extent cx="2301512" cy="3771153"/>
                  <wp:effectExtent l="0" t="0" r="3810" b="1270"/>
                  <wp:docPr id="15" name="8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 Imagen"/>
                          <pic:cNvPicPr>
                            <a:picLocks noChangeAspect="1"/>
                          </pic:cNvPicPr>
                        </pic:nvPicPr>
                        <pic:blipFill>
                          <a:blip r:embed="rId23"/>
                          <a:stretch>
                            <a:fillRect/>
                          </a:stretch>
                        </pic:blipFill>
                        <pic:spPr>
                          <a:xfrm>
                            <a:off x="0" y="0"/>
                            <a:ext cx="2310896" cy="3786530"/>
                          </a:xfrm>
                          <a:prstGeom prst="rect">
                            <a:avLst/>
                          </a:prstGeom>
                        </pic:spPr>
                      </pic:pic>
                    </a:graphicData>
                  </a:graphic>
                </wp:inline>
              </w:drawing>
            </w:r>
          </w:p>
        </w:tc>
      </w:tr>
    </w:tbl>
    <w:p w:rsidR="002219E2" w:rsidRDefault="002219E2" w:rsidP="009161BB">
      <w:pPr>
        <w:pStyle w:val="ListParagraph"/>
        <w:ind w:left="1077"/>
        <w:contextualSpacing w:val="0"/>
        <w:rPr>
          <w:rFonts w:ascii="Times New Roman" w:eastAsia="Times New Roman" w:hAnsi="Times New Roman" w:cs="Times New Roman"/>
          <w:sz w:val="24"/>
          <w:szCs w:val="20"/>
          <w:lang w:val="es-ES_tradnl" w:eastAsia="en-US"/>
        </w:rPr>
      </w:pPr>
    </w:p>
    <w:p w:rsidR="002219E2" w:rsidRDefault="002219E2" w:rsidP="00826CB7">
      <w:pPr>
        <w:pStyle w:val="ListParagraph"/>
        <w:keepNext/>
        <w:numPr>
          <w:ilvl w:val="0"/>
          <w:numId w:val="8"/>
        </w:numPr>
        <w:spacing w:before="240" w:after="120"/>
        <w:ind w:left="1077" w:hanging="357"/>
        <w:contextualSpacing w:val="0"/>
        <w:rPr>
          <w:rFonts w:ascii="Times New Roman" w:eastAsia="Times New Roman" w:hAnsi="Times New Roman" w:cs="Times New Roman"/>
          <w:sz w:val="24"/>
          <w:szCs w:val="20"/>
          <w:lang w:val="es-ES_tradnl" w:eastAsia="en-US"/>
        </w:rPr>
      </w:pPr>
      <w:r w:rsidRPr="002219E2">
        <w:rPr>
          <w:rFonts w:ascii="Times New Roman" w:eastAsia="Times New Roman" w:hAnsi="Times New Roman" w:cs="Times New Roman"/>
          <w:sz w:val="24"/>
          <w:szCs w:val="20"/>
          <w:lang w:val="es-ES_tradnl" w:eastAsia="en-US"/>
        </w:rPr>
        <w:lastRenderedPageBreak/>
        <w:t>Guairá</w:t>
      </w: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96"/>
        <w:gridCol w:w="3876"/>
      </w:tblGrid>
      <w:tr w:rsidR="007C0EA1" w:rsidTr="007530BB">
        <w:tc>
          <w:tcPr>
            <w:tcW w:w="5196" w:type="dxa"/>
          </w:tcPr>
          <w:p w:rsidR="007C0EA1" w:rsidRDefault="007C0EA1" w:rsidP="007530BB">
            <w:pPr>
              <w:pStyle w:val="ListParagraph"/>
              <w:spacing w:after="120"/>
              <w:ind w:left="0"/>
              <w:contextualSpacing w:val="0"/>
            </w:pPr>
            <w:r>
              <w:rPr>
                <w:noProof/>
                <w:lang w:val="es-ES" w:eastAsia="es-ES"/>
              </w:rPr>
              <w:drawing>
                <wp:inline distT="0" distB="0" distL="0" distR="0" wp14:anchorId="42C0BA33" wp14:editId="76B40666">
                  <wp:extent cx="3193060" cy="4482353"/>
                  <wp:effectExtent l="0" t="0" r="7620" b="0"/>
                  <wp:docPr id="16" name="9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 Imagen"/>
                          <pic:cNvPicPr>
                            <a:picLocks noChangeAspect="1"/>
                          </pic:cNvPicPr>
                        </pic:nvPicPr>
                        <pic:blipFill>
                          <a:blip r:embed="rId24"/>
                          <a:stretch>
                            <a:fillRect/>
                          </a:stretch>
                        </pic:blipFill>
                        <pic:spPr>
                          <a:xfrm>
                            <a:off x="0" y="0"/>
                            <a:ext cx="3195177" cy="4485324"/>
                          </a:xfrm>
                          <a:prstGeom prst="rect">
                            <a:avLst/>
                          </a:prstGeom>
                        </pic:spPr>
                      </pic:pic>
                    </a:graphicData>
                  </a:graphic>
                </wp:inline>
              </w:drawing>
            </w:r>
          </w:p>
        </w:tc>
        <w:tc>
          <w:tcPr>
            <w:tcW w:w="3876" w:type="dxa"/>
          </w:tcPr>
          <w:p w:rsidR="007C0EA1" w:rsidRDefault="007C0EA1" w:rsidP="007530BB">
            <w:pPr>
              <w:pStyle w:val="ListParagraph"/>
              <w:spacing w:after="120"/>
              <w:ind w:left="0"/>
              <w:contextualSpacing w:val="0"/>
            </w:pPr>
            <w:r>
              <w:rPr>
                <w:noProof/>
                <w:lang w:val="es-ES" w:eastAsia="es-ES"/>
              </w:rPr>
              <w:drawing>
                <wp:inline distT="0" distB="0" distL="0" distR="0" wp14:anchorId="7366747B" wp14:editId="3C8F956F">
                  <wp:extent cx="2336800" cy="3806835"/>
                  <wp:effectExtent l="0" t="0" r="6350" b="3175"/>
                  <wp:docPr id="17"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Imagen"/>
                          <pic:cNvPicPr>
                            <a:picLocks noChangeAspect="1"/>
                          </pic:cNvPicPr>
                        </pic:nvPicPr>
                        <pic:blipFill>
                          <a:blip r:embed="rId25"/>
                          <a:stretch>
                            <a:fillRect/>
                          </a:stretch>
                        </pic:blipFill>
                        <pic:spPr>
                          <a:xfrm>
                            <a:off x="0" y="0"/>
                            <a:ext cx="2332352" cy="3799589"/>
                          </a:xfrm>
                          <a:prstGeom prst="rect">
                            <a:avLst/>
                          </a:prstGeom>
                        </pic:spPr>
                      </pic:pic>
                    </a:graphicData>
                  </a:graphic>
                </wp:inline>
              </w:drawing>
            </w:r>
          </w:p>
        </w:tc>
      </w:tr>
    </w:tbl>
    <w:p w:rsidR="00BC704E" w:rsidRPr="00BC704E" w:rsidRDefault="00BC704E" w:rsidP="00826CB7">
      <w:pPr>
        <w:pStyle w:val="ListParagraph"/>
        <w:keepNext/>
        <w:numPr>
          <w:ilvl w:val="0"/>
          <w:numId w:val="8"/>
        </w:numPr>
        <w:spacing w:before="240" w:after="120"/>
        <w:ind w:left="1077" w:hanging="357"/>
        <w:contextualSpacing w:val="0"/>
        <w:rPr>
          <w:rFonts w:ascii="Times New Roman" w:eastAsia="Times New Roman" w:hAnsi="Times New Roman" w:cs="Times New Roman"/>
          <w:sz w:val="24"/>
          <w:szCs w:val="20"/>
          <w:lang w:val="es-ES_tradnl" w:eastAsia="en-US"/>
        </w:rPr>
      </w:pPr>
      <w:r>
        <w:rPr>
          <w:rFonts w:ascii="Times New Roman" w:eastAsia="Times New Roman" w:hAnsi="Times New Roman" w:cs="Times New Roman"/>
          <w:sz w:val="24"/>
          <w:szCs w:val="20"/>
          <w:lang w:val="es-ES_tradnl" w:eastAsia="en-US"/>
        </w:rPr>
        <w:t>Resumen y presentación del indicador US$/km/año.</w:t>
      </w:r>
    </w:p>
    <w:tbl>
      <w:tblPr>
        <w:tblW w:w="8980" w:type="dxa"/>
        <w:tblInd w:w="65" w:type="dxa"/>
        <w:tblCellMar>
          <w:left w:w="70" w:type="dxa"/>
          <w:right w:w="70" w:type="dxa"/>
        </w:tblCellMar>
        <w:tblLook w:val="04A0" w:firstRow="1" w:lastRow="0" w:firstColumn="1" w:lastColumn="0" w:noHBand="0" w:noVBand="1"/>
      </w:tblPr>
      <w:tblGrid>
        <w:gridCol w:w="1820"/>
        <w:gridCol w:w="1640"/>
        <w:gridCol w:w="1256"/>
        <w:gridCol w:w="1637"/>
        <w:gridCol w:w="1344"/>
        <w:gridCol w:w="1283"/>
      </w:tblGrid>
      <w:tr w:rsidR="00142724" w:rsidRPr="00142724" w:rsidTr="001F714F">
        <w:trPr>
          <w:trHeight w:val="300"/>
          <w:tblHeader/>
        </w:trPr>
        <w:tc>
          <w:tcPr>
            <w:tcW w:w="182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142724" w:rsidRPr="00142724" w:rsidRDefault="00142724" w:rsidP="00142724">
            <w:pPr>
              <w:jc w:val="center"/>
              <w:rPr>
                <w:b/>
                <w:bCs/>
                <w:color w:val="000000"/>
                <w:sz w:val="20"/>
                <w:lang w:val="es-PY" w:eastAsia="es-PY"/>
              </w:rPr>
            </w:pPr>
            <w:r w:rsidRPr="00142724">
              <w:rPr>
                <w:b/>
                <w:bCs/>
                <w:color w:val="000000"/>
                <w:sz w:val="20"/>
                <w:lang w:val="es-PY" w:eastAsia="es-PY"/>
              </w:rPr>
              <w:t>Área geográfica</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142724" w:rsidRDefault="00142724" w:rsidP="00142724">
            <w:pPr>
              <w:jc w:val="center"/>
              <w:rPr>
                <w:b/>
                <w:bCs/>
                <w:color w:val="000000"/>
                <w:sz w:val="20"/>
                <w:lang w:val="es-PY" w:eastAsia="es-PY"/>
              </w:rPr>
            </w:pPr>
            <w:r w:rsidRPr="00142724">
              <w:rPr>
                <w:b/>
                <w:bCs/>
                <w:color w:val="000000"/>
                <w:sz w:val="20"/>
                <w:lang w:val="es-PY" w:eastAsia="es-PY"/>
              </w:rPr>
              <w:t xml:space="preserve">Extensión </w:t>
            </w:r>
          </w:p>
          <w:p w:rsidR="00142724" w:rsidRPr="00142724" w:rsidRDefault="00142724" w:rsidP="00142724">
            <w:pPr>
              <w:jc w:val="center"/>
              <w:rPr>
                <w:b/>
                <w:bCs/>
                <w:color w:val="000000"/>
                <w:sz w:val="20"/>
                <w:lang w:val="es-PY" w:eastAsia="es-PY"/>
              </w:rPr>
            </w:pPr>
            <w:r w:rsidRPr="00142724">
              <w:rPr>
                <w:b/>
                <w:bCs/>
                <w:color w:val="000000"/>
                <w:sz w:val="20"/>
                <w:lang w:val="es-PY" w:eastAsia="es-PY"/>
              </w:rPr>
              <w:t>(km)</w:t>
            </w:r>
          </w:p>
        </w:tc>
        <w:tc>
          <w:tcPr>
            <w:tcW w:w="5520" w:type="dxa"/>
            <w:gridSpan w:val="4"/>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142724" w:rsidRPr="00142724" w:rsidRDefault="00142724" w:rsidP="00142724">
            <w:pPr>
              <w:jc w:val="center"/>
              <w:rPr>
                <w:b/>
                <w:bCs/>
                <w:color w:val="000000"/>
                <w:sz w:val="20"/>
                <w:lang w:val="es-PY" w:eastAsia="es-PY"/>
              </w:rPr>
            </w:pPr>
            <w:r w:rsidRPr="00142724">
              <w:rPr>
                <w:b/>
                <w:bCs/>
                <w:color w:val="000000"/>
                <w:sz w:val="20"/>
                <w:lang w:val="es-PY" w:eastAsia="es-PY"/>
              </w:rPr>
              <w:t>Año 1</w:t>
            </w:r>
          </w:p>
        </w:tc>
      </w:tr>
      <w:tr w:rsidR="00142724" w:rsidRPr="00142724" w:rsidTr="001F714F">
        <w:trPr>
          <w:trHeight w:val="300"/>
          <w:tblHeader/>
        </w:trPr>
        <w:tc>
          <w:tcPr>
            <w:tcW w:w="182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42724" w:rsidRPr="00142724" w:rsidRDefault="00142724" w:rsidP="00142724">
            <w:pPr>
              <w:rPr>
                <w:b/>
                <w:bCs/>
                <w:color w:val="000000"/>
                <w:sz w:val="20"/>
                <w:lang w:val="es-PY" w:eastAsia="es-PY"/>
              </w:rPr>
            </w:pPr>
          </w:p>
        </w:tc>
        <w:tc>
          <w:tcPr>
            <w:tcW w:w="164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42724" w:rsidRPr="00142724" w:rsidRDefault="00142724" w:rsidP="00142724">
            <w:pPr>
              <w:rPr>
                <w:b/>
                <w:bCs/>
                <w:color w:val="000000"/>
                <w:sz w:val="20"/>
                <w:lang w:val="es-PY" w:eastAsia="es-PY"/>
              </w:rPr>
            </w:pPr>
          </w:p>
        </w:tc>
        <w:tc>
          <w:tcPr>
            <w:tcW w:w="1256" w:type="dxa"/>
            <w:tcBorders>
              <w:top w:val="nil"/>
              <w:left w:val="nil"/>
              <w:bottom w:val="single" w:sz="4" w:space="0" w:color="auto"/>
              <w:right w:val="single" w:sz="4" w:space="0" w:color="auto"/>
            </w:tcBorders>
            <w:shd w:val="clear" w:color="auto" w:fill="DAEEF3" w:themeFill="accent5" w:themeFillTint="33"/>
            <w:noWrap/>
            <w:vAlign w:val="center"/>
            <w:hideMark/>
          </w:tcPr>
          <w:p w:rsidR="00142724" w:rsidRPr="00142724" w:rsidRDefault="00142724" w:rsidP="00142724">
            <w:pPr>
              <w:jc w:val="center"/>
              <w:rPr>
                <w:b/>
                <w:bCs/>
                <w:color w:val="000000"/>
                <w:sz w:val="20"/>
                <w:lang w:val="es-PY" w:eastAsia="es-PY"/>
              </w:rPr>
            </w:pPr>
            <w:r w:rsidRPr="00142724">
              <w:rPr>
                <w:b/>
                <w:bCs/>
                <w:color w:val="000000"/>
                <w:sz w:val="20"/>
                <w:lang w:val="es-PY" w:eastAsia="es-PY"/>
              </w:rPr>
              <w:t>Periodo</w:t>
            </w:r>
          </w:p>
        </w:tc>
        <w:tc>
          <w:tcPr>
            <w:tcW w:w="1637" w:type="dxa"/>
            <w:tcBorders>
              <w:top w:val="nil"/>
              <w:left w:val="nil"/>
              <w:bottom w:val="single" w:sz="4" w:space="0" w:color="auto"/>
              <w:right w:val="single" w:sz="4" w:space="0" w:color="auto"/>
            </w:tcBorders>
            <w:shd w:val="clear" w:color="auto" w:fill="DAEEF3" w:themeFill="accent5" w:themeFillTint="33"/>
            <w:noWrap/>
            <w:vAlign w:val="center"/>
            <w:hideMark/>
          </w:tcPr>
          <w:p w:rsidR="00142724" w:rsidRPr="00142724" w:rsidRDefault="00142724" w:rsidP="00142724">
            <w:pPr>
              <w:jc w:val="center"/>
              <w:rPr>
                <w:b/>
                <w:bCs/>
                <w:color w:val="000000"/>
                <w:sz w:val="20"/>
                <w:lang w:val="es-PY" w:eastAsia="es-PY"/>
              </w:rPr>
            </w:pPr>
            <w:r w:rsidRPr="00142724">
              <w:rPr>
                <w:b/>
                <w:bCs/>
                <w:color w:val="000000"/>
                <w:sz w:val="20"/>
                <w:lang w:val="es-PY" w:eastAsia="es-PY"/>
              </w:rPr>
              <w:t>Monto (Gs)</w:t>
            </w:r>
          </w:p>
        </w:tc>
        <w:tc>
          <w:tcPr>
            <w:tcW w:w="1344" w:type="dxa"/>
            <w:tcBorders>
              <w:top w:val="nil"/>
              <w:left w:val="nil"/>
              <w:bottom w:val="single" w:sz="4" w:space="0" w:color="auto"/>
              <w:right w:val="single" w:sz="4" w:space="0" w:color="auto"/>
            </w:tcBorders>
            <w:shd w:val="clear" w:color="auto" w:fill="DAEEF3" w:themeFill="accent5" w:themeFillTint="33"/>
            <w:noWrap/>
            <w:vAlign w:val="center"/>
            <w:hideMark/>
          </w:tcPr>
          <w:p w:rsidR="00142724" w:rsidRPr="00142724" w:rsidRDefault="00142724" w:rsidP="00142724">
            <w:pPr>
              <w:jc w:val="center"/>
              <w:rPr>
                <w:b/>
                <w:bCs/>
                <w:color w:val="000000"/>
                <w:sz w:val="20"/>
                <w:lang w:val="es-PY" w:eastAsia="es-PY"/>
              </w:rPr>
            </w:pPr>
            <w:r w:rsidRPr="00142724">
              <w:rPr>
                <w:b/>
                <w:bCs/>
                <w:color w:val="000000"/>
                <w:sz w:val="20"/>
                <w:lang w:val="es-PY" w:eastAsia="es-PY"/>
              </w:rPr>
              <w:t>Monto (US$)</w:t>
            </w:r>
          </w:p>
        </w:tc>
        <w:tc>
          <w:tcPr>
            <w:tcW w:w="1283" w:type="dxa"/>
            <w:tcBorders>
              <w:top w:val="nil"/>
              <w:left w:val="nil"/>
              <w:bottom w:val="single" w:sz="4" w:space="0" w:color="auto"/>
              <w:right w:val="single" w:sz="4" w:space="0" w:color="auto"/>
            </w:tcBorders>
            <w:shd w:val="clear" w:color="auto" w:fill="DAEEF3" w:themeFill="accent5" w:themeFillTint="33"/>
            <w:noWrap/>
            <w:vAlign w:val="center"/>
            <w:hideMark/>
          </w:tcPr>
          <w:p w:rsidR="00142724" w:rsidRPr="00142724" w:rsidRDefault="00142724" w:rsidP="00142724">
            <w:pPr>
              <w:jc w:val="center"/>
              <w:rPr>
                <w:b/>
                <w:bCs/>
                <w:color w:val="000000"/>
                <w:sz w:val="20"/>
                <w:lang w:val="es-PY" w:eastAsia="es-PY"/>
              </w:rPr>
            </w:pPr>
            <w:r w:rsidRPr="00142724">
              <w:rPr>
                <w:b/>
                <w:bCs/>
                <w:color w:val="000000"/>
                <w:sz w:val="20"/>
                <w:lang w:val="es-PY" w:eastAsia="es-PY"/>
              </w:rPr>
              <w:t>US$/km/año</w:t>
            </w:r>
          </w:p>
        </w:tc>
      </w:tr>
      <w:tr w:rsidR="00142724" w:rsidRPr="00142724" w:rsidTr="001F714F">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Itapúa</w:t>
            </w:r>
          </w:p>
        </w:tc>
        <w:tc>
          <w:tcPr>
            <w:tcW w:w="1640"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427,64 </w:t>
            </w:r>
          </w:p>
        </w:tc>
        <w:tc>
          <w:tcPr>
            <w:tcW w:w="1256"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jul.11-jun.12</w:t>
            </w:r>
          </w:p>
        </w:tc>
        <w:tc>
          <w:tcPr>
            <w:tcW w:w="1637"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4.657.892.216 </w:t>
            </w:r>
          </w:p>
        </w:tc>
        <w:tc>
          <w:tcPr>
            <w:tcW w:w="1344"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1.050.968 </w:t>
            </w:r>
          </w:p>
        </w:tc>
        <w:tc>
          <w:tcPr>
            <w:tcW w:w="1283"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2.458 </w:t>
            </w:r>
          </w:p>
        </w:tc>
      </w:tr>
      <w:tr w:rsidR="00142724" w:rsidRPr="00142724" w:rsidTr="001F714F">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Alto Paraná Sur</w:t>
            </w:r>
          </w:p>
        </w:tc>
        <w:tc>
          <w:tcPr>
            <w:tcW w:w="1640"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504,15 </w:t>
            </w:r>
          </w:p>
        </w:tc>
        <w:tc>
          <w:tcPr>
            <w:tcW w:w="1256"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jul.11-jun.12</w:t>
            </w:r>
          </w:p>
        </w:tc>
        <w:tc>
          <w:tcPr>
            <w:tcW w:w="1637" w:type="dxa"/>
            <w:tcBorders>
              <w:top w:val="nil"/>
              <w:left w:val="nil"/>
              <w:bottom w:val="nil"/>
              <w:right w:val="nil"/>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6.152.177.542 </w:t>
            </w:r>
          </w:p>
        </w:tc>
        <w:tc>
          <w:tcPr>
            <w:tcW w:w="1344" w:type="dxa"/>
            <w:tcBorders>
              <w:top w:val="nil"/>
              <w:left w:val="single" w:sz="4" w:space="0" w:color="auto"/>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1.388.127 </w:t>
            </w:r>
          </w:p>
        </w:tc>
        <w:tc>
          <w:tcPr>
            <w:tcW w:w="1283"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2.753 </w:t>
            </w:r>
          </w:p>
        </w:tc>
      </w:tr>
      <w:tr w:rsidR="00142724" w:rsidRPr="00142724" w:rsidTr="001F714F">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Canindeyú Este</w:t>
            </w:r>
          </w:p>
        </w:tc>
        <w:tc>
          <w:tcPr>
            <w:tcW w:w="1640"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436,60 </w:t>
            </w:r>
          </w:p>
        </w:tc>
        <w:tc>
          <w:tcPr>
            <w:tcW w:w="1256"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jul.11-jun.12</w:t>
            </w:r>
          </w:p>
        </w:tc>
        <w:tc>
          <w:tcPr>
            <w:tcW w:w="1637" w:type="dxa"/>
            <w:tcBorders>
              <w:top w:val="single" w:sz="4" w:space="0" w:color="auto"/>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6.580.560.587 </w:t>
            </w:r>
          </w:p>
        </w:tc>
        <w:tc>
          <w:tcPr>
            <w:tcW w:w="1344"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1.484.784 </w:t>
            </w:r>
          </w:p>
        </w:tc>
        <w:tc>
          <w:tcPr>
            <w:tcW w:w="1283"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3.401 </w:t>
            </w:r>
          </w:p>
        </w:tc>
      </w:tr>
      <w:tr w:rsidR="00142724" w:rsidRPr="00142724" w:rsidTr="001F714F">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Caazapá</w:t>
            </w:r>
          </w:p>
        </w:tc>
        <w:tc>
          <w:tcPr>
            <w:tcW w:w="1640"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451,33 </w:t>
            </w:r>
          </w:p>
        </w:tc>
        <w:tc>
          <w:tcPr>
            <w:tcW w:w="1256"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jul.11-jun.12</w:t>
            </w:r>
          </w:p>
        </w:tc>
        <w:tc>
          <w:tcPr>
            <w:tcW w:w="1637"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10.061.521.488 </w:t>
            </w:r>
          </w:p>
        </w:tc>
        <w:tc>
          <w:tcPr>
            <w:tcW w:w="1344"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2.270.199 </w:t>
            </w:r>
          </w:p>
        </w:tc>
        <w:tc>
          <w:tcPr>
            <w:tcW w:w="1283"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5.030 </w:t>
            </w:r>
          </w:p>
        </w:tc>
      </w:tr>
      <w:tr w:rsidR="00142724" w:rsidRPr="00142724" w:rsidTr="001F714F">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Guairá</w:t>
            </w:r>
          </w:p>
        </w:tc>
        <w:tc>
          <w:tcPr>
            <w:tcW w:w="1640"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321,53 </w:t>
            </w:r>
          </w:p>
        </w:tc>
        <w:tc>
          <w:tcPr>
            <w:tcW w:w="1256"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jul.13-jun.14</w:t>
            </w:r>
          </w:p>
        </w:tc>
        <w:tc>
          <w:tcPr>
            <w:tcW w:w="1637"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10.269.651.765 </w:t>
            </w:r>
          </w:p>
        </w:tc>
        <w:tc>
          <w:tcPr>
            <w:tcW w:w="1344"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2.277.085 </w:t>
            </w:r>
          </w:p>
        </w:tc>
        <w:tc>
          <w:tcPr>
            <w:tcW w:w="1283"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7.082 </w:t>
            </w:r>
          </w:p>
        </w:tc>
      </w:tr>
      <w:tr w:rsidR="00142724" w:rsidRPr="00142724" w:rsidTr="001F714F">
        <w:trPr>
          <w:trHeight w:val="315"/>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142724" w:rsidRPr="00142724" w:rsidRDefault="00142724" w:rsidP="00142724">
            <w:pPr>
              <w:rPr>
                <w:b/>
                <w:color w:val="000000"/>
                <w:sz w:val="20"/>
                <w:lang w:val="es-PY" w:eastAsia="es-PY"/>
              </w:rPr>
            </w:pPr>
            <w:r w:rsidRPr="00142724">
              <w:rPr>
                <w:b/>
                <w:color w:val="000000"/>
                <w:sz w:val="20"/>
                <w:lang w:val="es-PY" w:eastAsia="es-PY"/>
              </w:rPr>
              <w:t>Suma</w:t>
            </w:r>
          </w:p>
        </w:tc>
        <w:tc>
          <w:tcPr>
            <w:tcW w:w="1640" w:type="dxa"/>
            <w:tcBorders>
              <w:top w:val="nil"/>
              <w:left w:val="nil"/>
              <w:bottom w:val="double" w:sz="6" w:space="0" w:color="auto"/>
              <w:right w:val="single" w:sz="4" w:space="0" w:color="auto"/>
            </w:tcBorders>
            <w:shd w:val="clear" w:color="auto" w:fill="auto"/>
            <w:noWrap/>
            <w:vAlign w:val="center"/>
            <w:hideMark/>
          </w:tcPr>
          <w:p w:rsidR="00142724" w:rsidRPr="00142724" w:rsidRDefault="00142724" w:rsidP="00142724">
            <w:pPr>
              <w:rPr>
                <w:b/>
                <w:color w:val="000000"/>
                <w:sz w:val="20"/>
                <w:lang w:val="es-PY" w:eastAsia="es-PY"/>
              </w:rPr>
            </w:pPr>
            <w:r w:rsidRPr="00142724">
              <w:rPr>
                <w:b/>
                <w:color w:val="000000"/>
                <w:sz w:val="20"/>
                <w:lang w:val="es-PY" w:eastAsia="es-PY"/>
              </w:rPr>
              <w:t xml:space="preserve">            2.141,25 </w:t>
            </w:r>
          </w:p>
        </w:tc>
        <w:tc>
          <w:tcPr>
            <w:tcW w:w="1256" w:type="dxa"/>
            <w:tcBorders>
              <w:top w:val="nil"/>
              <w:left w:val="nil"/>
              <w:bottom w:val="single" w:sz="4" w:space="0" w:color="auto"/>
              <w:right w:val="nil"/>
            </w:tcBorders>
            <w:shd w:val="clear" w:color="auto" w:fill="auto"/>
            <w:noWrap/>
            <w:vAlign w:val="center"/>
            <w:hideMark/>
          </w:tcPr>
          <w:p w:rsidR="00142724" w:rsidRPr="00142724" w:rsidRDefault="00142724" w:rsidP="00142724">
            <w:pPr>
              <w:rPr>
                <w:b/>
                <w:color w:val="000000"/>
                <w:sz w:val="20"/>
                <w:lang w:val="es-PY" w:eastAsia="es-PY"/>
              </w:rPr>
            </w:pPr>
            <w:r w:rsidRPr="00142724">
              <w:rPr>
                <w:b/>
                <w:color w:val="000000"/>
                <w:sz w:val="20"/>
                <w:lang w:val="es-PY" w:eastAsia="es-PY"/>
              </w:rPr>
              <w:t> </w:t>
            </w:r>
          </w:p>
        </w:tc>
        <w:tc>
          <w:tcPr>
            <w:tcW w:w="1637" w:type="dxa"/>
            <w:tcBorders>
              <w:top w:val="nil"/>
              <w:left w:val="nil"/>
              <w:bottom w:val="single" w:sz="4" w:space="0" w:color="auto"/>
              <w:right w:val="nil"/>
            </w:tcBorders>
            <w:shd w:val="clear" w:color="auto" w:fill="auto"/>
            <w:noWrap/>
            <w:vAlign w:val="center"/>
            <w:hideMark/>
          </w:tcPr>
          <w:p w:rsidR="00142724" w:rsidRPr="00142724" w:rsidRDefault="00142724" w:rsidP="00142724">
            <w:pPr>
              <w:rPr>
                <w:b/>
                <w:color w:val="000000"/>
                <w:sz w:val="20"/>
                <w:lang w:val="es-PY" w:eastAsia="es-PY"/>
              </w:rPr>
            </w:pPr>
            <w:r w:rsidRPr="00142724">
              <w:rPr>
                <w:b/>
                <w:color w:val="000000"/>
                <w:sz w:val="20"/>
                <w:lang w:val="es-PY" w:eastAsia="es-PY"/>
              </w:rPr>
              <w:t> </w:t>
            </w:r>
          </w:p>
        </w:tc>
        <w:tc>
          <w:tcPr>
            <w:tcW w:w="1344" w:type="dxa"/>
            <w:tcBorders>
              <w:top w:val="nil"/>
              <w:left w:val="single" w:sz="4" w:space="0" w:color="auto"/>
              <w:bottom w:val="double" w:sz="6" w:space="0" w:color="auto"/>
              <w:right w:val="single" w:sz="4" w:space="0" w:color="auto"/>
            </w:tcBorders>
            <w:shd w:val="clear" w:color="auto" w:fill="auto"/>
            <w:noWrap/>
            <w:vAlign w:val="center"/>
            <w:hideMark/>
          </w:tcPr>
          <w:p w:rsidR="00142724" w:rsidRPr="00142724" w:rsidRDefault="00142724" w:rsidP="00142724">
            <w:pPr>
              <w:rPr>
                <w:b/>
                <w:color w:val="000000"/>
                <w:sz w:val="20"/>
                <w:lang w:val="es-PY" w:eastAsia="es-PY"/>
              </w:rPr>
            </w:pPr>
            <w:r w:rsidRPr="00142724">
              <w:rPr>
                <w:b/>
                <w:color w:val="000000"/>
                <w:sz w:val="20"/>
                <w:lang w:val="es-PY" w:eastAsia="es-PY"/>
              </w:rPr>
              <w:t xml:space="preserve">      8.471.163 </w:t>
            </w:r>
          </w:p>
        </w:tc>
        <w:tc>
          <w:tcPr>
            <w:tcW w:w="1283"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b/>
                <w:color w:val="000000"/>
                <w:sz w:val="20"/>
                <w:lang w:val="es-PY" w:eastAsia="es-PY"/>
              </w:rPr>
            </w:pPr>
            <w:r w:rsidRPr="00142724">
              <w:rPr>
                <w:b/>
                <w:color w:val="000000"/>
                <w:sz w:val="20"/>
                <w:lang w:val="es-PY" w:eastAsia="es-PY"/>
              </w:rPr>
              <w:t xml:space="preserve">         3.956 </w:t>
            </w:r>
          </w:p>
        </w:tc>
      </w:tr>
    </w:tbl>
    <w:p w:rsidR="00BC704E" w:rsidRDefault="00BC704E" w:rsidP="002219E2">
      <w:pPr>
        <w:pStyle w:val="ListParagraph"/>
        <w:ind w:left="1080"/>
      </w:pPr>
    </w:p>
    <w:tbl>
      <w:tblPr>
        <w:tblW w:w="8980" w:type="dxa"/>
        <w:tblInd w:w="65" w:type="dxa"/>
        <w:tblCellMar>
          <w:left w:w="70" w:type="dxa"/>
          <w:right w:w="70" w:type="dxa"/>
        </w:tblCellMar>
        <w:tblLook w:val="04A0" w:firstRow="1" w:lastRow="0" w:firstColumn="1" w:lastColumn="0" w:noHBand="0" w:noVBand="1"/>
      </w:tblPr>
      <w:tblGrid>
        <w:gridCol w:w="1820"/>
        <w:gridCol w:w="1640"/>
        <w:gridCol w:w="1270"/>
        <w:gridCol w:w="1594"/>
        <w:gridCol w:w="1358"/>
        <w:gridCol w:w="1298"/>
      </w:tblGrid>
      <w:tr w:rsidR="00142724" w:rsidRPr="00142724" w:rsidTr="00142724">
        <w:trPr>
          <w:trHeight w:val="300"/>
        </w:trPr>
        <w:tc>
          <w:tcPr>
            <w:tcW w:w="182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142724" w:rsidRPr="00142724" w:rsidRDefault="00142724" w:rsidP="00142724">
            <w:pPr>
              <w:jc w:val="center"/>
              <w:rPr>
                <w:b/>
                <w:bCs/>
                <w:color w:val="000000"/>
                <w:sz w:val="20"/>
                <w:lang w:val="es-PY" w:eastAsia="es-PY"/>
              </w:rPr>
            </w:pPr>
            <w:r w:rsidRPr="00142724">
              <w:rPr>
                <w:b/>
                <w:bCs/>
                <w:color w:val="000000"/>
                <w:sz w:val="20"/>
                <w:lang w:val="es-PY" w:eastAsia="es-PY"/>
              </w:rPr>
              <w:t>Área geográfica</w:t>
            </w:r>
          </w:p>
        </w:tc>
        <w:tc>
          <w:tcPr>
            <w:tcW w:w="164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142724" w:rsidRDefault="00142724" w:rsidP="00142724">
            <w:pPr>
              <w:jc w:val="center"/>
              <w:rPr>
                <w:b/>
                <w:bCs/>
                <w:color w:val="000000"/>
                <w:sz w:val="20"/>
                <w:lang w:val="es-PY" w:eastAsia="es-PY"/>
              </w:rPr>
            </w:pPr>
            <w:r w:rsidRPr="00142724">
              <w:rPr>
                <w:b/>
                <w:bCs/>
                <w:color w:val="000000"/>
                <w:sz w:val="20"/>
                <w:lang w:val="es-PY" w:eastAsia="es-PY"/>
              </w:rPr>
              <w:t xml:space="preserve">Extensión </w:t>
            </w:r>
          </w:p>
          <w:p w:rsidR="00142724" w:rsidRPr="00142724" w:rsidRDefault="00142724" w:rsidP="00142724">
            <w:pPr>
              <w:jc w:val="center"/>
              <w:rPr>
                <w:b/>
                <w:bCs/>
                <w:color w:val="000000"/>
                <w:sz w:val="20"/>
                <w:lang w:val="es-PY" w:eastAsia="es-PY"/>
              </w:rPr>
            </w:pPr>
            <w:r w:rsidRPr="00142724">
              <w:rPr>
                <w:b/>
                <w:bCs/>
                <w:color w:val="000000"/>
                <w:sz w:val="20"/>
                <w:lang w:val="es-PY" w:eastAsia="es-PY"/>
              </w:rPr>
              <w:t>(km)</w:t>
            </w:r>
          </w:p>
        </w:tc>
        <w:tc>
          <w:tcPr>
            <w:tcW w:w="5520" w:type="dxa"/>
            <w:gridSpan w:val="4"/>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142724" w:rsidRPr="00142724" w:rsidRDefault="00142724" w:rsidP="00142724">
            <w:pPr>
              <w:jc w:val="center"/>
              <w:rPr>
                <w:b/>
                <w:bCs/>
                <w:color w:val="000000"/>
                <w:sz w:val="20"/>
                <w:lang w:val="es-PY" w:eastAsia="es-PY"/>
              </w:rPr>
            </w:pPr>
            <w:r w:rsidRPr="00142724">
              <w:rPr>
                <w:b/>
                <w:bCs/>
                <w:color w:val="000000"/>
                <w:sz w:val="20"/>
                <w:lang w:val="es-PY" w:eastAsia="es-PY"/>
              </w:rPr>
              <w:t>Año 2</w:t>
            </w:r>
          </w:p>
        </w:tc>
      </w:tr>
      <w:tr w:rsidR="00142724" w:rsidRPr="00142724" w:rsidTr="00142724">
        <w:trPr>
          <w:trHeight w:val="300"/>
        </w:trPr>
        <w:tc>
          <w:tcPr>
            <w:tcW w:w="182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42724" w:rsidRPr="00142724" w:rsidRDefault="00142724" w:rsidP="00142724">
            <w:pPr>
              <w:rPr>
                <w:b/>
                <w:bCs/>
                <w:color w:val="000000"/>
                <w:sz w:val="20"/>
                <w:lang w:val="es-PY" w:eastAsia="es-PY"/>
              </w:rPr>
            </w:pPr>
          </w:p>
        </w:tc>
        <w:tc>
          <w:tcPr>
            <w:tcW w:w="164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42724" w:rsidRPr="00142724" w:rsidRDefault="00142724" w:rsidP="00142724">
            <w:pPr>
              <w:rPr>
                <w:b/>
                <w:bCs/>
                <w:color w:val="000000"/>
                <w:sz w:val="20"/>
                <w:lang w:val="es-PY" w:eastAsia="es-PY"/>
              </w:rPr>
            </w:pPr>
          </w:p>
        </w:tc>
        <w:tc>
          <w:tcPr>
            <w:tcW w:w="1270" w:type="dxa"/>
            <w:tcBorders>
              <w:top w:val="nil"/>
              <w:left w:val="nil"/>
              <w:bottom w:val="single" w:sz="4" w:space="0" w:color="auto"/>
              <w:right w:val="single" w:sz="4" w:space="0" w:color="auto"/>
            </w:tcBorders>
            <w:shd w:val="clear" w:color="auto" w:fill="DAEEF3" w:themeFill="accent5" w:themeFillTint="33"/>
            <w:noWrap/>
            <w:vAlign w:val="center"/>
            <w:hideMark/>
          </w:tcPr>
          <w:p w:rsidR="00142724" w:rsidRPr="00142724" w:rsidRDefault="00142724" w:rsidP="00142724">
            <w:pPr>
              <w:rPr>
                <w:b/>
                <w:bCs/>
                <w:color w:val="000000"/>
                <w:sz w:val="20"/>
                <w:lang w:val="es-PY" w:eastAsia="es-PY"/>
              </w:rPr>
            </w:pPr>
            <w:r w:rsidRPr="00142724">
              <w:rPr>
                <w:b/>
                <w:bCs/>
                <w:color w:val="000000"/>
                <w:sz w:val="20"/>
                <w:lang w:val="es-PY" w:eastAsia="es-PY"/>
              </w:rPr>
              <w:t>Periodo</w:t>
            </w:r>
          </w:p>
        </w:tc>
        <w:tc>
          <w:tcPr>
            <w:tcW w:w="1594" w:type="dxa"/>
            <w:tcBorders>
              <w:top w:val="nil"/>
              <w:left w:val="nil"/>
              <w:bottom w:val="single" w:sz="4" w:space="0" w:color="auto"/>
              <w:right w:val="single" w:sz="4" w:space="0" w:color="auto"/>
            </w:tcBorders>
            <w:shd w:val="clear" w:color="auto" w:fill="DAEEF3" w:themeFill="accent5" w:themeFillTint="33"/>
            <w:noWrap/>
            <w:vAlign w:val="center"/>
            <w:hideMark/>
          </w:tcPr>
          <w:p w:rsidR="00142724" w:rsidRPr="00142724" w:rsidRDefault="00142724" w:rsidP="00142724">
            <w:pPr>
              <w:rPr>
                <w:b/>
                <w:bCs/>
                <w:color w:val="000000"/>
                <w:sz w:val="20"/>
                <w:lang w:val="es-PY" w:eastAsia="es-PY"/>
              </w:rPr>
            </w:pPr>
            <w:r w:rsidRPr="00142724">
              <w:rPr>
                <w:b/>
                <w:bCs/>
                <w:color w:val="000000"/>
                <w:sz w:val="20"/>
                <w:lang w:val="es-PY" w:eastAsia="es-PY"/>
              </w:rPr>
              <w:t>Monto (Gs)</w:t>
            </w:r>
          </w:p>
        </w:tc>
        <w:tc>
          <w:tcPr>
            <w:tcW w:w="1358" w:type="dxa"/>
            <w:tcBorders>
              <w:top w:val="nil"/>
              <w:left w:val="nil"/>
              <w:bottom w:val="single" w:sz="4" w:space="0" w:color="auto"/>
              <w:right w:val="single" w:sz="4" w:space="0" w:color="auto"/>
            </w:tcBorders>
            <w:shd w:val="clear" w:color="auto" w:fill="DAEEF3" w:themeFill="accent5" w:themeFillTint="33"/>
            <w:noWrap/>
            <w:vAlign w:val="center"/>
            <w:hideMark/>
          </w:tcPr>
          <w:p w:rsidR="00142724" w:rsidRPr="00142724" w:rsidRDefault="00142724" w:rsidP="00142724">
            <w:pPr>
              <w:rPr>
                <w:b/>
                <w:bCs/>
                <w:color w:val="000000"/>
                <w:sz w:val="20"/>
                <w:lang w:val="es-PY" w:eastAsia="es-PY"/>
              </w:rPr>
            </w:pPr>
            <w:r w:rsidRPr="00142724">
              <w:rPr>
                <w:b/>
                <w:bCs/>
                <w:color w:val="000000"/>
                <w:sz w:val="20"/>
                <w:lang w:val="es-PY" w:eastAsia="es-PY"/>
              </w:rPr>
              <w:t>Monto (US$)</w:t>
            </w:r>
          </w:p>
        </w:tc>
        <w:tc>
          <w:tcPr>
            <w:tcW w:w="1298" w:type="dxa"/>
            <w:tcBorders>
              <w:top w:val="nil"/>
              <w:left w:val="nil"/>
              <w:bottom w:val="single" w:sz="4" w:space="0" w:color="auto"/>
              <w:right w:val="single" w:sz="4" w:space="0" w:color="auto"/>
            </w:tcBorders>
            <w:shd w:val="clear" w:color="auto" w:fill="DAEEF3" w:themeFill="accent5" w:themeFillTint="33"/>
            <w:noWrap/>
            <w:vAlign w:val="center"/>
            <w:hideMark/>
          </w:tcPr>
          <w:p w:rsidR="00142724" w:rsidRPr="00142724" w:rsidRDefault="00142724" w:rsidP="00142724">
            <w:pPr>
              <w:rPr>
                <w:b/>
                <w:bCs/>
                <w:color w:val="000000"/>
                <w:sz w:val="20"/>
                <w:lang w:val="es-PY" w:eastAsia="es-PY"/>
              </w:rPr>
            </w:pPr>
            <w:r w:rsidRPr="00142724">
              <w:rPr>
                <w:b/>
                <w:bCs/>
                <w:color w:val="000000"/>
                <w:sz w:val="20"/>
                <w:lang w:val="es-PY" w:eastAsia="es-PY"/>
              </w:rPr>
              <w:t>US$/km/año</w:t>
            </w:r>
          </w:p>
        </w:tc>
      </w:tr>
      <w:tr w:rsidR="00142724" w:rsidRPr="00142724" w:rsidTr="00142724">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Itapúa</w:t>
            </w:r>
          </w:p>
        </w:tc>
        <w:tc>
          <w:tcPr>
            <w:tcW w:w="1640"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427,64 </w:t>
            </w:r>
          </w:p>
        </w:tc>
        <w:tc>
          <w:tcPr>
            <w:tcW w:w="1270"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jul.12-jun.13</w:t>
            </w:r>
          </w:p>
        </w:tc>
        <w:tc>
          <w:tcPr>
            <w:tcW w:w="1594"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4.298.979.445 </w:t>
            </w:r>
          </w:p>
        </w:tc>
        <w:tc>
          <w:tcPr>
            <w:tcW w:w="1358"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1.003.965 </w:t>
            </w:r>
          </w:p>
        </w:tc>
        <w:tc>
          <w:tcPr>
            <w:tcW w:w="1298"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2.348 </w:t>
            </w:r>
          </w:p>
        </w:tc>
      </w:tr>
      <w:tr w:rsidR="00142724" w:rsidRPr="00142724" w:rsidTr="00142724">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Alto Paraná Sur</w:t>
            </w:r>
          </w:p>
        </w:tc>
        <w:tc>
          <w:tcPr>
            <w:tcW w:w="1640"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504,15 </w:t>
            </w:r>
          </w:p>
        </w:tc>
        <w:tc>
          <w:tcPr>
            <w:tcW w:w="1270"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jul.12-jun.13</w:t>
            </w:r>
          </w:p>
        </w:tc>
        <w:tc>
          <w:tcPr>
            <w:tcW w:w="1594"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4.806.757.017 </w:t>
            </w:r>
          </w:p>
        </w:tc>
        <w:tc>
          <w:tcPr>
            <w:tcW w:w="1358"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1.122.550 </w:t>
            </w:r>
          </w:p>
        </w:tc>
        <w:tc>
          <w:tcPr>
            <w:tcW w:w="1298"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2.227 </w:t>
            </w:r>
          </w:p>
        </w:tc>
      </w:tr>
      <w:tr w:rsidR="00142724" w:rsidRPr="00142724" w:rsidTr="00142724">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Canindeyú Este</w:t>
            </w:r>
          </w:p>
        </w:tc>
        <w:tc>
          <w:tcPr>
            <w:tcW w:w="1640"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436,60 </w:t>
            </w:r>
          </w:p>
        </w:tc>
        <w:tc>
          <w:tcPr>
            <w:tcW w:w="1270"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jul.12-jun.13</w:t>
            </w:r>
          </w:p>
        </w:tc>
        <w:tc>
          <w:tcPr>
            <w:tcW w:w="1594"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4.885.622.759 </w:t>
            </w:r>
          </w:p>
        </w:tc>
        <w:tc>
          <w:tcPr>
            <w:tcW w:w="1358"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1.140.967 </w:t>
            </w:r>
          </w:p>
        </w:tc>
        <w:tc>
          <w:tcPr>
            <w:tcW w:w="1298"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2.613 </w:t>
            </w:r>
          </w:p>
        </w:tc>
      </w:tr>
      <w:tr w:rsidR="00142724" w:rsidRPr="00142724" w:rsidTr="00142724">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Caazapá</w:t>
            </w:r>
          </w:p>
        </w:tc>
        <w:tc>
          <w:tcPr>
            <w:tcW w:w="1640"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451,33 </w:t>
            </w:r>
          </w:p>
        </w:tc>
        <w:tc>
          <w:tcPr>
            <w:tcW w:w="1270"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jul.12-jun.13</w:t>
            </w:r>
          </w:p>
        </w:tc>
        <w:tc>
          <w:tcPr>
            <w:tcW w:w="1594"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5.124.176.187 </w:t>
            </w:r>
          </w:p>
        </w:tc>
        <w:tc>
          <w:tcPr>
            <w:tcW w:w="1358"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1.196.678 </w:t>
            </w:r>
          </w:p>
        </w:tc>
        <w:tc>
          <w:tcPr>
            <w:tcW w:w="1298"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2.651 </w:t>
            </w:r>
          </w:p>
        </w:tc>
      </w:tr>
      <w:tr w:rsidR="00142724" w:rsidRPr="00142724" w:rsidTr="00142724">
        <w:trPr>
          <w:trHeight w:val="300"/>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Guairá</w:t>
            </w:r>
          </w:p>
        </w:tc>
        <w:tc>
          <w:tcPr>
            <w:tcW w:w="1640"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321,53 </w:t>
            </w:r>
          </w:p>
        </w:tc>
        <w:tc>
          <w:tcPr>
            <w:tcW w:w="1270"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jul.14-jun.15</w:t>
            </w:r>
          </w:p>
        </w:tc>
        <w:tc>
          <w:tcPr>
            <w:tcW w:w="1594"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3.764.822.716 </w:t>
            </w:r>
          </w:p>
        </w:tc>
        <w:tc>
          <w:tcPr>
            <w:tcW w:w="1358"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871.235 </w:t>
            </w:r>
          </w:p>
        </w:tc>
        <w:tc>
          <w:tcPr>
            <w:tcW w:w="1298"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color w:val="000000"/>
                <w:sz w:val="20"/>
                <w:lang w:val="es-PY" w:eastAsia="es-PY"/>
              </w:rPr>
            </w:pPr>
            <w:r w:rsidRPr="00142724">
              <w:rPr>
                <w:color w:val="000000"/>
                <w:sz w:val="20"/>
                <w:lang w:val="es-PY" w:eastAsia="es-PY"/>
              </w:rPr>
              <w:t xml:space="preserve">         2.710 </w:t>
            </w:r>
          </w:p>
        </w:tc>
      </w:tr>
      <w:tr w:rsidR="00142724" w:rsidRPr="00142724" w:rsidTr="00142724">
        <w:trPr>
          <w:trHeight w:val="315"/>
        </w:trPr>
        <w:tc>
          <w:tcPr>
            <w:tcW w:w="1820" w:type="dxa"/>
            <w:tcBorders>
              <w:top w:val="nil"/>
              <w:left w:val="single" w:sz="4" w:space="0" w:color="auto"/>
              <w:bottom w:val="single" w:sz="4" w:space="0" w:color="auto"/>
              <w:right w:val="single" w:sz="4" w:space="0" w:color="auto"/>
            </w:tcBorders>
            <w:shd w:val="clear" w:color="auto" w:fill="auto"/>
            <w:noWrap/>
            <w:vAlign w:val="center"/>
            <w:hideMark/>
          </w:tcPr>
          <w:p w:rsidR="00142724" w:rsidRPr="00142724" w:rsidRDefault="00142724" w:rsidP="00142724">
            <w:pPr>
              <w:rPr>
                <w:b/>
                <w:color w:val="000000"/>
                <w:sz w:val="20"/>
                <w:lang w:val="es-PY" w:eastAsia="es-PY"/>
              </w:rPr>
            </w:pPr>
            <w:r w:rsidRPr="00142724">
              <w:rPr>
                <w:b/>
                <w:color w:val="000000"/>
                <w:sz w:val="20"/>
                <w:lang w:val="es-PY" w:eastAsia="es-PY"/>
              </w:rPr>
              <w:t>Suma</w:t>
            </w:r>
          </w:p>
        </w:tc>
        <w:tc>
          <w:tcPr>
            <w:tcW w:w="1640" w:type="dxa"/>
            <w:tcBorders>
              <w:top w:val="nil"/>
              <w:left w:val="nil"/>
              <w:bottom w:val="double" w:sz="6" w:space="0" w:color="auto"/>
              <w:right w:val="single" w:sz="4" w:space="0" w:color="auto"/>
            </w:tcBorders>
            <w:shd w:val="clear" w:color="auto" w:fill="auto"/>
            <w:noWrap/>
            <w:vAlign w:val="center"/>
            <w:hideMark/>
          </w:tcPr>
          <w:p w:rsidR="00142724" w:rsidRPr="00142724" w:rsidRDefault="00142724" w:rsidP="00142724">
            <w:pPr>
              <w:rPr>
                <w:b/>
                <w:color w:val="000000"/>
                <w:sz w:val="20"/>
                <w:lang w:val="es-PY" w:eastAsia="es-PY"/>
              </w:rPr>
            </w:pPr>
            <w:r w:rsidRPr="00142724">
              <w:rPr>
                <w:b/>
                <w:color w:val="000000"/>
                <w:sz w:val="20"/>
                <w:lang w:val="es-PY" w:eastAsia="es-PY"/>
              </w:rPr>
              <w:t xml:space="preserve">            2.141,25 </w:t>
            </w:r>
          </w:p>
        </w:tc>
        <w:tc>
          <w:tcPr>
            <w:tcW w:w="1270" w:type="dxa"/>
            <w:tcBorders>
              <w:top w:val="nil"/>
              <w:left w:val="nil"/>
              <w:bottom w:val="single" w:sz="4" w:space="0" w:color="auto"/>
              <w:right w:val="nil"/>
            </w:tcBorders>
            <w:shd w:val="clear" w:color="auto" w:fill="auto"/>
            <w:noWrap/>
            <w:vAlign w:val="center"/>
            <w:hideMark/>
          </w:tcPr>
          <w:p w:rsidR="00142724" w:rsidRPr="00142724" w:rsidRDefault="00142724" w:rsidP="00142724">
            <w:pPr>
              <w:rPr>
                <w:b/>
                <w:color w:val="000000"/>
                <w:sz w:val="20"/>
                <w:lang w:val="es-PY" w:eastAsia="es-PY"/>
              </w:rPr>
            </w:pPr>
            <w:r w:rsidRPr="00142724">
              <w:rPr>
                <w:b/>
                <w:color w:val="000000"/>
                <w:sz w:val="20"/>
                <w:lang w:val="es-PY" w:eastAsia="es-PY"/>
              </w:rPr>
              <w:t> </w:t>
            </w:r>
          </w:p>
        </w:tc>
        <w:tc>
          <w:tcPr>
            <w:tcW w:w="1594" w:type="dxa"/>
            <w:tcBorders>
              <w:top w:val="nil"/>
              <w:left w:val="nil"/>
              <w:bottom w:val="single" w:sz="4" w:space="0" w:color="auto"/>
              <w:right w:val="nil"/>
            </w:tcBorders>
            <w:shd w:val="clear" w:color="auto" w:fill="auto"/>
            <w:noWrap/>
            <w:vAlign w:val="center"/>
            <w:hideMark/>
          </w:tcPr>
          <w:p w:rsidR="00142724" w:rsidRPr="00142724" w:rsidRDefault="00142724" w:rsidP="00142724">
            <w:pPr>
              <w:rPr>
                <w:b/>
                <w:color w:val="000000"/>
                <w:sz w:val="20"/>
                <w:lang w:val="es-PY" w:eastAsia="es-PY"/>
              </w:rPr>
            </w:pPr>
            <w:r w:rsidRPr="00142724">
              <w:rPr>
                <w:b/>
                <w:color w:val="000000"/>
                <w:sz w:val="20"/>
                <w:lang w:val="es-PY" w:eastAsia="es-PY"/>
              </w:rPr>
              <w:t> </w:t>
            </w:r>
          </w:p>
        </w:tc>
        <w:tc>
          <w:tcPr>
            <w:tcW w:w="1358" w:type="dxa"/>
            <w:tcBorders>
              <w:top w:val="nil"/>
              <w:left w:val="single" w:sz="4" w:space="0" w:color="auto"/>
              <w:bottom w:val="double" w:sz="6" w:space="0" w:color="auto"/>
              <w:right w:val="single" w:sz="4" w:space="0" w:color="auto"/>
            </w:tcBorders>
            <w:shd w:val="clear" w:color="auto" w:fill="auto"/>
            <w:noWrap/>
            <w:vAlign w:val="center"/>
            <w:hideMark/>
          </w:tcPr>
          <w:p w:rsidR="00142724" w:rsidRPr="00142724" w:rsidRDefault="00142724" w:rsidP="00142724">
            <w:pPr>
              <w:rPr>
                <w:b/>
                <w:color w:val="000000"/>
                <w:sz w:val="20"/>
                <w:lang w:val="es-PY" w:eastAsia="es-PY"/>
              </w:rPr>
            </w:pPr>
            <w:r w:rsidRPr="00142724">
              <w:rPr>
                <w:b/>
                <w:color w:val="000000"/>
                <w:sz w:val="20"/>
                <w:lang w:val="es-PY" w:eastAsia="es-PY"/>
              </w:rPr>
              <w:t xml:space="preserve">      5.335.395 </w:t>
            </w:r>
          </w:p>
        </w:tc>
        <w:tc>
          <w:tcPr>
            <w:tcW w:w="1298" w:type="dxa"/>
            <w:tcBorders>
              <w:top w:val="nil"/>
              <w:left w:val="nil"/>
              <w:bottom w:val="single" w:sz="4" w:space="0" w:color="auto"/>
              <w:right w:val="single" w:sz="4" w:space="0" w:color="auto"/>
            </w:tcBorders>
            <w:shd w:val="clear" w:color="auto" w:fill="auto"/>
            <w:noWrap/>
            <w:vAlign w:val="center"/>
            <w:hideMark/>
          </w:tcPr>
          <w:p w:rsidR="00142724" w:rsidRPr="00142724" w:rsidRDefault="00142724" w:rsidP="00142724">
            <w:pPr>
              <w:rPr>
                <w:b/>
                <w:color w:val="000000"/>
                <w:sz w:val="20"/>
                <w:lang w:val="es-PY" w:eastAsia="es-PY"/>
              </w:rPr>
            </w:pPr>
            <w:r w:rsidRPr="00142724">
              <w:rPr>
                <w:b/>
                <w:color w:val="000000"/>
                <w:sz w:val="20"/>
                <w:lang w:val="es-PY" w:eastAsia="es-PY"/>
              </w:rPr>
              <w:t xml:space="preserve">         2.492 </w:t>
            </w:r>
          </w:p>
        </w:tc>
      </w:tr>
    </w:tbl>
    <w:p w:rsidR="00A71497" w:rsidRDefault="00A71497" w:rsidP="00A71497">
      <w:pPr>
        <w:pStyle w:val="ListParagraph"/>
        <w:ind w:left="1080"/>
      </w:pPr>
    </w:p>
    <w:tbl>
      <w:tblPr>
        <w:tblW w:w="8918" w:type="dxa"/>
        <w:tblInd w:w="65" w:type="dxa"/>
        <w:tblCellMar>
          <w:left w:w="70" w:type="dxa"/>
          <w:right w:w="70" w:type="dxa"/>
        </w:tblCellMar>
        <w:tblLook w:val="04A0" w:firstRow="1" w:lastRow="0" w:firstColumn="1" w:lastColumn="0" w:noHBand="0" w:noVBand="1"/>
      </w:tblPr>
      <w:tblGrid>
        <w:gridCol w:w="1706"/>
        <w:gridCol w:w="1180"/>
        <w:gridCol w:w="1514"/>
        <w:gridCol w:w="1701"/>
        <w:gridCol w:w="1418"/>
        <w:gridCol w:w="1399"/>
      </w:tblGrid>
      <w:tr w:rsidR="00A71497" w:rsidRPr="001757A7" w:rsidTr="00A71497">
        <w:trPr>
          <w:trHeight w:val="300"/>
        </w:trPr>
        <w:tc>
          <w:tcPr>
            <w:tcW w:w="170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A71497" w:rsidRPr="001757A7" w:rsidRDefault="00A71497" w:rsidP="006F47D2">
            <w:pPr>
              <w:jc w:val="center"/>
              <w:rPr>
                <w:b/>
                <w:bCs/>
                <w:color w:val="000000"/>
                <w:sz w:val="20"/>
                <w:lang w:val="es-PY" w:eastAsia="es-PY"/>
              </w:rPr>
            </w:pPr>
            <w:r w:rsidRPr="001757A7">
              <w:rPr>
                <w:b/>
                <w:bCs/>
                <w:color w:val="000000"/>
                <w:sz w:val="20"/>
                <w:lang w:val="es-PY" w:eastAsia="es-PY"/>
              </w:rPr>
              <w:t>Área geográfica</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A71497" w:rsidRPr="001757A7" w:rsidRDefault="00A71497" w:rsidP="006F47D2">
            <w:pPr>
              <w:jc w:val="center"/>
              <w:rPr>
                <w:b/>
                <w:bCs/>
                <w:color w:val="000000"/>
                <w:sz w:val="20"/>
                <w:lang w:val="es-PY" w:eastAsia="es-PY"/>
              </w:rPr>
            </w:pPr>
            <w:r w:rsidRPr="001757A7">
              <w:rPr>
                <w:b/>
                <w:bCs/>
                <w:color w:val="000000"/>
                <w:sz w:val="20"/>
                <w:lang w:val="es-PY" w:eastAsia="es-PY"/>
              </w:rPr>
              <w:t>Extensión (km)</w:t>
            </w:r>
          </w:p>
        </w:tc>
        <w:tc>
          <w:tcPr>
            <w:tcW w:w="1514"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A71497" w:rsidRPr="001757A7" w:rsidRDefault="00A71497" w:rsidP="006F47D2">
            <w:pPr>
              <w:jc w:val="center"/>
              <w:rPr>
                <w:b/>
                <w:bCs/>
                <w:color w:val="000000"/>
                <w:sz w:val="20"/>
                <w:lang w:val="es-PY" w:eastAsia="es-PY"/>
              </w:rPr>
            </w:pPr>
            <w:r w:rsidRPr="001757A7">
              <w:rPr>
                <w:b/>
                <w:bCs/>
                <w:color w:val="000000"/>
                <w:sz w:val="20"/>
                <w:lang w:val="es-PY" w:eastAsia="es-PY"/>
              </w:rPr>
              <w:t>Entidad Ejecutora</w:t>
            </w:r>
          </w:p>
        </w:tc>
        <w:tc>
          <w:tcPr>
            <w:tcW w:w="4518" w:type="dxa"/>
            <w:gridSpan w:val="3"/>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A71497" w:rsidRPr="001757A7" w:rsidRDefault="00A71497" w:rsidP="006F47D2">
            <w:pPr>
              <w:jc w:val="center"/>
              <w:rPr>
                <w:b/>
                <w:bCs/>
                <w:color w:val="000000"/>
                <w:sz w:val="20"/>
                <w:lang w:val="es-PY" w:eastAsia="es-PY"/>
              </w:rPr>
            </w:pPr>
            <w:r>
              <w:rPr>
                <w:b/>
                <w:bCs/>
                <w:color w:val="000000"/>
                <w:sz w:val="20"/>
                <w:lang w:val="es-PY" w:eastAsia="es-PY"/>
              </w:rPr>
              <w:t>Total</w:t>
            </w:r>
          </w:p>
        </w:tc>
      </w:tr>
      <w:tr w:rsidR="00A71497" w:rsidRPr="001757A7" w:rsidTr="00A71497">
        <w:trPr>
          <w:trHeight w:val="300"/>
        </w:trPr>
        <w:tc>
          <w:tcPr>
            <w:tcW w:w="170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71497" w:rsidRPr="001757A7" w:rsidRDefault="00A71497" w:rsidP="006F47D2">
            <w:pPr>
              <w:rPr>
                <w:b/>
                <w:bCs/>
                <w:color w:val="000000"/>
                <w:sz w:val="20"/>
                <w:lang w:val="es-PY" w:eastAsia="es-PY"/>
              </w:rPr>
            </w:pPr>
          </w:p>
        </w:tc>
        <w:tc>
          <w:tcPr>
            <w:tcW w:w="1180"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A71497" w:rsidRPr="001757A7" w:rsidRDefault="00A71497" w:rsidP="006F47D2">
            <w:pPr>
              <w:rPr>
                <w:b/>
                <w:bCs/>
                <w:color w:val="000000"/>
                <w:sz w:val="20"/>
                <w:lang w:val="es-PY" w:eastAsia="es-PY"/>
              </w:rPr>
            </w:pPr>
          </w:p>
        </w:tc>
        <w:tc>
          <w:tcPr>
            <w:tcW w:w="1514"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A71497" w:rsidRPr="001757A7" w:rsidRDefault="00A71497" w:rsidP="006F47D2">
            <w:pPr>
              <w:rPr>
                <w:b/>
                <w:bCs/>
                <w:color w:val="000000"/>
                <w:sz w:val="20"/>
                <w:lang w:val="es-PY" w:eastAsia="es-PY"/>
              </w:rPr>
            </w:pPr>
          </w:p>
        </w:tc>
        <w:tc>
          <w:tcPr>
            <w:tcW w:w="1701" w:type="dxa"/>
            <w:tcBorders>
              <w:top w:val="nil"/>
              <w:left w:val="nil"/>
              <w:bottom w:val="single" w:sz="4" w:space="0" w:color="auto"/>
              <w:right w:val="single" w:sz="4" w:space="0" w:color="auto"/>
            </w:tcBorders>
            <w:shd w:val="clear" w:color="auto" w:fill="DAEEF3" w:themeFill="accent5" w:themeFillTint="33"/>
            <w:vAlign w:val="center"/>
            <w:hideMark/>
          </w:tcPr>
          <w:p w:rsidR="00A71497" w:rsidRPr="001757A7" w:rsidRDefault="00A71497" w:rsidP="006F47D2">
            <w:pPr>
              <w:jc w:val="center"/>
              <w:rPr>
                <w:b/>
                <w:bCs/>
                <w:color w:val="000000"/>
                <w:sz w:val="20"/>
                <w:lang w:val="es-PY" w:eastAsia="es-PY"/>
              </w:rPr>
            </w:pPr>
            <w:r w:rsidRPr="001757A7">
              <w:rPr>
                <w:b/>
                <w:bCs/>
                <w:color w:val="000000"/>
                <w:sz w:val="20"/>
                <w:lang w:val="es-PY" w:eastAsia="es-PY"/>
              </w:rPr>
              <w:t>Total (Gs)</w:t>
            </w:r>
          </w:p>
        </w:tc>
        <w:tc>
          <w:tcPr>
            <w:tcW w:w="1418" w:type="dxa"/>
            <w:tcBorders>
              <w:top w:val="nil"/>
              <w:left w:val="nil"/>
              <w:bottom w:val="single" w:sz="4" w:space="0" w:color="auto"/>
              <w:right w:val="single" w:sz="4" w:space="0" w:color="auto"/>
            </w:tcBorders>
            <w:shd w:val="clear" w:color="auto" w:fill="DAEEF3" w:themeFill="accent5" w:themeFillTint="33"/>
            <w:vAlign w:val="center"/>
            <w:hideMark/>
          </w:tcPr>
          <w:p w:rsidR="00A71497" w:rsidRPr="001757A7" w:rsidRDefault="00A71497" w:rsidP="006F47D2">
            <w:pPr>
              <w:jc w:val="center"/>
              <w:rPr>
                <w:b/>
                <w:bCs/>
                <w:color w:val="000000"/>
                <w:sz w:val="20"/>
                <w:lang w:val="es-PY" w:eastAsia="es-PY"/>
              </w:rPr>
            </w:pPr>
            <w:r w:rsidRPr="001757A7">
              <w:rPr>
                <w:b/>
                <w:bCs/>
                <w:color w:val="000000"/>
                <w:sz w:val="20"/>
                <w:lang w:val="es-PY" w:eastAsia="es-PY"/>
              </w:rPr>
              <w:t>Total (US$)</w:t>
            </w:r>
          </w:p>
        </w:tc>
        <w:tc>
          <w:tcPr>
            <w:tcW w:w="1399" w:type="dxa"/>
            <w:tcBorders>
              <w:top w:val="nil"/>
              <w:left w:val="nil"/>
              <w:bottom w:val="single" w:sz="4" w:space="0" w:color="auto"/>
              <w:right w:val="single" w:sz="4" w:space="0" w:color="auto"/>
            </w:tcBorders>
            <w:shd w:val="clear" w:color="auto" w:fill="DAEEF3" w:themeFill="accent5" w:themeFillTint="33"/>
            <w:vAlign w:val="center"/>
            <w:hideMark/>
          </w:tcPr>
          <w:p w:rsidR="00A71497" w:rsidRPr="001757A7" w:rsidRDefault="00A71497" w:rsidP="006F47D2">
            <w:pPr>
              <w:jc w:val="center"/>
              <w:rPr>
                <w:b/>
                <w:bCs/>
                <w:color w:val="000000"/>
                <w:sz w:val="20"/>
                <w:lang w:val="es-PY" w:eastAsia="es-PY"/>
              </w:rPr>
            </w:pPr>
            <w:r w:rsidRPr="001757A7">
              <w:rPr>
                <w:b/>
                <w:bCs/>
                <w:color w:val="000000"/>
                <w:sz w:val="20"/>
                <w:lang w:val="es-PY" w:eastAsia="es-PY"/>
              </w:rPr>
              <w:t>US$/km/año</w:t>
            </w:r>
          </w:p>
        </w:tc>
      </w:tr>
      <w:tr w:rsidR="00A71497" w:rsidRPr="001757A7" w:rsidTr="00A71497">
        <w:trPr>
          <w:trHeight w:val="300"/>
        </w:trPr>
        <w:tc>
          <w:tcPr>
            <w:tcW w:w="1706" w:type="dxa"/>
            <w:tcBorders>
              <w:top w:val="nil"/>
              <w:left w:val="single" w:sz="4" w:space="0" w:color="auto"/>
              <w:bottom w:val="single" w:sz="4" w:space="0" w:color="auto"/>
              <w:right w:val="single" w:sz="4" w:space="0" w:color="auto"/>
            </w:tcBorders>
            <w:shd w:val="clear" w:color="auto" w:fill="auto"/>
            <w:noWrap/>
            <w:hideMark/>
          </w:tcPr>
          <w:p w:rsidR="00A71497" w:rsidRPr="001757A7" w:rsidRDefault="00A71497" w:rsidP="006F47D2">
            <w:pPr>
              <w:rPr>
                <w:color w:val="000000"/>
                <w:sz w:val="20"/>
                <w:lang w:val="es-PY" w:eastAsia="es-PY"/>
              </w:rPr>
            </w:pPr>
            <w:r w:rsidRPr="001757A7">
              <w:rPr>
                <w:color w:val="000000"/>
                <w:sz w:val="20"/>
                <w:lang w:val="es-PY" w:eastAsia="es-PY"/>
              </w:rPr>
              <w:t>Itapuá</w:t>
            </w:r>
          </w:p>
        </w:tc>
        <w:tc>
          <w:tcPr>
            <w:tcW w:w="1180"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right"/>
              <w:rPr>
                <w:color w:val="000000"/>
                <w:sz w:val="20"/>
                <w:lang w:val="es-PY" w:eastAsia="es-PY"/>
              </w:rPr>
            </w:pPr>
            <w:r w:rsidRPr="001757A7">
              <w:rPr>
                <w:color w:val="000000"/>
                <w:sz w:val="20"/>
                <w:lang w:val="es-PY" w:eastAsia="es-PY"/>
              </w:rPr>
              <w:t xml:space="preserve">       427,64 </w:t>
            </w:r>
          </w:p>
        </w:tc>
        <w:tc>
          <w:tcPr>
            <w:tcW w:w="1514"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rPr>
                <w:color w:val="000000"/>
                <w:sz w:val="20"/>
                <w:lang w:val="es-PY" w:eastAsia="es-PY"/>
              </w:rPr>
            </w:pPr>
            <w:r w:rsidRPr="001757A7">
              <w:rPr>
                <w:color w:val="000000"/>
                <w:sz w:val="20"/>
                <w:lang w:val="es-PY" w:eastAsia="es-PY"/>
              </w:rPr>
              <w:t xml:space="preserve"> Trinidad </w:t>
            </w:r>
          </w:p>
        </w:tc>
        <w:tc>
          <w:tcPr>
            <w:tcW w:w="1701"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center"/>
              <w:rPr>
                <w:color w:val="000000"/>
                <w:sz w:val="20"/>
                <w:lang w:val="es-PY" w:eastAsia="es-PY"/>
              </w:rPr>
            </w:pPr>
            <w:r w:rsidRPr="001757A7">
              <w:rPr>
                <w:color w:val="000000"/>
                <w:sz w:val="20"/>
                <w:lang w:val="es-PY" w:eastAsia="es-PY"/>
              </w:rPr>
              <w:t xml:space="preserve">     8.956.871.661 </w:t>
            </w:r>
          </w:p>
        </w:tc>
        <w:tc>
          <w:tcPr>
            <w:tcW w:w="1418"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right"/>
              <w:rPr>
                <w:color w:val="000000"/>
                <w:sz w:val="20"/>
                <w:lang w:val="es-PY" w:eastAsia="es-PY"/>
              </w:rPr>
            </w:pPr>
            <w:r w:rsidRPr="001757A7">
              <w:rPr>
                <w:color w:val="000000"/>
                <w:sz w:val="20"/>
                <w:lang w:val="es-PY" w:eastAsia="es-PY"/>
              </w:rPr>
              <w:t xml:space="preserve">         2.054.933 </w:t>
            </w:r>
          </w:p>
        </w:tc>
        <w:tc>
          <w:tcPr>
            <w:tcW w:w="1399"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right"/>
              <w:rPr>
                <w:color w:val="000000"/>
                <w:sz w:val="20"/>
                <w:lang w:val="es-PY" w:eastAsia="es-PY"/>
              </w:rPr>
            </w:pPr>
            <w:r w:rsidRPr="001757A7">
              <w:rPr>
                <w:color w:val="000000"/>
                <w:sz w:val="20"/>
                <w:lang w:val="es-PY" w:eastAsia="es-PY"/>
              </w:rPr>
              <w:t xml:space="preserve">                2.403 </w:t>
            </w:r>
          </w:p>
        </w:tc>
      </w:tr>
      <w:tr w:rsidR="00A71497" w:rsidRPr="001757A7" w:rsidTr="00A71497">
        <w:trPr>
          <w:trHeight w:val="300"/>
        </w:trPr>
        <w:tc>
          <w:tcPr>
            <w:tcW w:w="1706" w:type="dxa"/>
            <w:tcBorders>
              <w:top w:val="nil"/>
              <w:left w:val="single" w:sz="4" w:space="0" w:color="auto"/>
              <w:bottom w:val="single" w:sz="4" w:space="0" w:color="auto"/>
              <w:right w:val="single" w:sz="4" w:space="0" w:color="auto"/>
            </w:tcBorders>
            <w:shd w:val="clear" w:color="auto" w:fill="auto"/>
            <w:noWrap/>
            <w:hideMark/>
          </w:tcPr>
          <w:p w:rsidR="00A71497" w:rsidRPr="001757A7" w:rsidRDefault="00A71497" w:rsidP="006F47D2">
            <w:pPr>
              <w:rPr>
                <w:color w:val="000000"/>
                <w:sz w:val="20"/>
                <w:lang w:val="es-PY" w:eastAsia="es-PY"/>
              </w:rPr>
            </w:pPr>
            <w:r w:rsidRPr="001757A7">
              <w:rPr>
                <w:color w:val="000000"/>
                <w:sz w:val="20"/>
                <w:lang w:val="es-PY" w:eastAsia="es-PY"/>
              </w:rPr>
              <w:t>Alto Paraná Sur</w:t>
            </w:r>
          </w:p>
        </w:tc>
        <w:tc>
          <w:tcPr>
            <w:tcW w:w="1180"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right"/>
              <w:rPr>
                <w:color w:val="000000"/>
                <w:sz w:val="20"/>
                <w:lang w:val="es-PY" w:eastAsia="es-PY"/>
              </w:rPr>
            </w:pPr>
            <w:r w:rsidRPr="001757A7">
              <w:rPr>
                <w:color w:val="000000"/>
                <w:sz w:val="20"/>
                <w:lang w:val="es-PY" w:eastAsia="es-PY"/>
              </w:rPr>
              <w:t xml:space="preserve">       504,15 </w:t>
            </w:r>
          </w:p>
        </w:tc>
        <w:tc>
          <w:tcPr>
            <w:tcW w:w="1514"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rPr>
                <w:color w:val="000000"/>
                <w:sz w:val="20"/>
                <w:lang w:val="es-PY" w:eastAsia="es-PY"/>
              </w:rPr>
            </w:pPr>
            <w:r w:rsidRPr="001757A7">
              <w:rPr>
                <w:color w:val="000000"/>
                <w:sz w:val="20"/>
                <w:lang w:val="es-PY" w:eastAsia="es-PY"/>
              </w:rPr>
              <w:t xml:space="preserve"> Naranjal </w:t>
            </w:r>
          </w:p>
        </w:tc>
        <w:tc>
          <w:tcPr>
            <w:tcW w:w="1701"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rPr>
                <w:color w:val="000000"/>
                <w:sz w:val="20"/>
                <w:lang w:val="es-PY" w:eastAsia="es-PY"/>
              </w:rPr>
            </w:pPr>
            <w:r w:rsidRPr="001757A7">
              <w:rPr>
                <w:color w:val="000000"/>
                <w:sz w:val="20"/>
                <w:lang w:val="es-PY" w:eastAsia="es-PY"/>
              </w:rPr>
              <w:t xml:space="preserve">   10.958.934.559 </w:t>
            </w:r>
          </w:p>
        </w:tc>
        <w:tc>
          <w:tcPr>
            <w:tcW w:w="1418"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right"/>
              <w:rPr>
                <w:color w:val="000000"/>
                <w:sz w:val="20"/>
                <w:lang w:val="es-PY" w:eastAsia="es-PY"/>
              </w:rPr>
            </w:pPr>
            <w:r w:rsidRPr="001757A7">
              <w:rPr>
                <w:color w:val="000000"/>
                <w:sz w:val="20"/>
                <w:lang w:val="es-PY" w:eastAsia="es-PY"/>
              </w:rPr>
              <w:t xml:space="preserve">         2.510.677 </w:t>
            </w:r>
          </w:p>
        </w:tc>
        <w:tc>
          <w:tcPr>
            <w:tcW w:w="1399"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right"/>
              <w:rPr>
                <w:color w:val="000000"/>
                <w:sz w:val="20"/>
                <w:lang w:val="es-PY" w:eastAsia="es-PY"/>
              </w:rPr>
            </w:pPr>
            <w:r w:rsidRPr="001757A7">
              <w:rPr>
                <w:color w:val="000000"/>
                <w:sz w:val="20"/>
                <w:lang w:val="es-PY" w:eastAsia="es-PY"/>
              </w:rPr>
              <w:t xml:space="preserve">                2.490 </w:t>
            </w:r>
          </w:p>
        </w:tc>
      </w:tr>
      <w:tr w:rsidR="00A71497" w:rsidRPr="001757A7" w:rsidTr="00A71497">
        <w:trPr>
          <w:trHeight w:val="300"/>
        </w:trPr>
        <w:tc>
          <w:tcPr>
            <w:tcW w:w="1706" w:type="dxa"/>
            <w:tcBorders>
              <w:top w:val="nil"/>
              <w:left w:val="single" w:sz="4" w:space="0" w:color="auto"/>
              <w:bottom w:val="single" w:sz="4" w:space="0" w:color="auto"/>
              <w:right w:val="single" w:sz="4" w:space="0" w:color="auto"/>
            </w:tcBorders>
            <w:shd w:val="clear" w:color="auto" w:fill="auto"/>
            <w:noWrap/>
            <w:hideMark/>
          </w:tcPr>
          <w:p w:rsidR="00A71497" w:rsidRPr="001757A7" w:rsidRDefault="00A71497" w:rsidP="006F47D2">
            <w:pPr>
              <w:rPr>
                <w:color w:val="000000"/>
                <w:sz w:val="20"/>
                <w:lang w:val="es-PY" w:eastAsia="es-PY"/>
              </w:rPr>
            </w:pPr>
            <w:r w:rsidRPr="001757A7">
              <w:rPr>
                <w:color w:val="000000"/>
                <w:sz w:val="20"/>
                <w:lang w:val="es-PY" w:eastAsia="es-PY"/>
              </w:rPr>
              <w:t>Canindeyú Este</w:t>
            </w:r>
          </w:p>
        </w:tc>
        <w:tc>
          <w:tcPr>
            <w:tcW w:w="1180"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right"/>
              <w:rPr>
                <w:color w:val="000000"/>
                <w:sz w:val="20"/>
                <w:lang w:val="es-PY" w:eastAsia="es-PY"/>
              </w:rPr>
            </w:pPr>
            <w:r w:rsidRPr="001757A7">
              <w:rPr>
                <w:color w:val="000000"/>
                <w:sz w:val="20"/>
                <w:lang w:val="es-PY" w:eastAsia="es-PY"/>
              </w:rPr>
              <w:t xml:space="preserve">       436,60 </w:t>
            </w:r>
          </w:p>
        </w:tc>
        <w:tc>
          <w:tcPr>
            <w:tcW w:w="1514"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rPr>
                <w:color w:val="000000"/>
                <w:sz w:val="20"/>
                <w:lang w:val="es-PY" w:eastAsia="es-PY"/>
              </w:rPr>
            </w:pPr>
            <w:r w:rsidRPr="001757A7">
              <w:rPr>
                <w:color w:val="000000"/>
                <w:sz w:val="20"/>
                <w:lang w:val="es-PY" w:eastAsia="es-PY"/>
              </w:rPr>
              <w:t xml:space="preserve"> Corpus Cristi </w:t>
            </w:r>
          </w:p>
        </w:tc>
        <w:tc>
          <w:tcPr>
            <w:tcW w:w="1701"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center"/>
              <w:rPr>
                <w:color w:val="000000"/>
                <w:sz w:val="20"/>
                <w:lang w:val="es-PY" w:eastAsia="es-PY"/>
              </w:rPr>
            </w:pPr>
            <w:r w:rsidRPr="001757A7">
              <w:rPr>
                <w:color w:val="000000"/>
                <w:sz w:val="20"/>
                <w:lang w:val="es-PY" w:eastAsia="es-PY"/>
              </w:rPr>
              <w:t xml:space="preserve">   11.466.183.346 </w:t>
            </w:r>
          </w:p>
        </w:tc>
        <w:tc>
          <w:tcPr>
            <w:tcW w:w="1418"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right"/>
              <w:rPr>
                <w:color w:val="000000"/>
                <w:sz w:val="20"/>
                <w:lang w:val="es-PY" w:eastAsia="es-PY"/>
              </w:rPr>
            </w:pPr>
            <w:r w:rsidRPr="001757A7">
              <w:rPr>
                <w:color w:val="000000"/>
                <w:sz w:val="20"/>
                <w:lang w:val="es-PY" w:eastAsia="es-PY"/>
              </w:rPr>
              <w:t xml:space="preserve">         2.625.751 </w:t>
            </w:r>
          </w:p>
        </w:tc>
        <w:tc>
          <w:tcPr>
            <w:tcW w:w="1399"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right"/>
              <w:rPr>
                <w:color w:val="000000"/>
                <w:sz w:val="20"/>
                <w:lang w:val="es-PY" w:eastAsia="es-PY"/>
              </w:rPr>
            </w:pPr>
            <w:r w:rsidRPr="001757A7">
              <w:rPr>
                <w:color w:val="000000"/>
                <w:sz w:val="20"/>
                <w:lang w:val="es-PY" w:eastAsia="es-PY"/>
              </w:rPr>
              <w:t xml:space="preserve">                3.007 </w:t>
            </w:r>
          </w:p>
        </w:tc>
      </w:tr>
      <w:tr w:rsidR="00A71497" w:rsidRPr="001757A7" w:rsidTr="00A71497">
        <w:trPr>
          <w:trHeight w:val="300"/>
        </w:trPr>
        <w:tc>
          <w:tcPr>
            <w:tcW w:w="1706" w:type="dxa"/>
            <w:tcBorders>
              <w:top w:val="nil"/>
              <w:left w:val="single" w:sz="4" w:space="0" w:color="auto"/>
              <w:bottom w:val="single" w:sz="4" w:space="0" w:color="auto"/>
              <w:right w:val="single" w:sz="4" w:space="0" w:color="auto"/>
            </w:tcBorders>
            <w:shd w:val="clear" w:color="auto" w:fill="auto"/>
            <w:noWrap/>
            <w:hideMark/>
          </w:tcPr>
          <w:p w:rsidR="00A71497" w:rsidRPr="001757A7" w:rsidRDefault="00A71497" w:rsidP="006F47D2">
            <w:pPr>
              <w:rPr>
                <w:color w:val="000000"/>
                <w:sz w:val="20"/>
                <w:lang w:val="es-PY" w:eastAsia="es-PY"/>
              </w:rPr>
            </w:pPr>
            <w:r w:rsidRPr="001757A7">
              <w:rPr>
                <w:color w:val="000000"/>
                <w:sz w:val="20"/>
                <w:lang w:val="es-PY" w:eastAsia="es-PY"/>
              </w:rPr>
              <w:t>Caazapá</w:t>
            </w:r>
          </w:p>
        </w:tc>
        <w:tc>
          <w:tcPr>
            <w:tcW w:w="1180"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right"/>
              <w:rPr>
                <w:color w:val="000000"/>
                <w:sz w:val="20"/>
                <w:lang w:val="es-PY" w:eastAsia="es-PY"/>
              </w:rPr>
            </w:pPr>
            <w:r w:rsidRPr="001757A7">
              <w:rPr>
                <w:color w:val="000000"/>
                <w:sz w:val="20"/>
                <w:lang w:val="es-PY" w:eastAsia="es-PY"/>
              </w:rPr>
              <w:t xml:space="preserve">       451,33 </w:t>
            </w:r>
          </w:p>
        </w:tc>
        <w:tc>
          <w:tcPr>
            <w:tcW w:w="1514"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rPr>
                <w:color w:val="000000"/>
                <w:sz w:val="20"/>
                <w:lang w:val="es-PY" w:eastAsia="es-PY"/>
              </w:rPr>
            </w:pPr>
            <w:r w:rsidRPr="001757A7">
              <w:rPr>
                <w:color w:val="000000"/>
                <w:sz w:val="20"/>
                <w:lang w:val="es-PY" w:eastAsia="es-PY"/>
              </w:rPr>
              <w:t xml:space="preserve"> Caazapá </w:t>
            </w:r>
          </w:p>
        </w:tc>
        <w:tc>
          <w:tcPr>
            <w:tcW w:w="1701"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rPr>
                <w:color w:val="000000"/>
                <w:sz w:val="20"/>
                <w:lang w:val="es-PY" w:eastAsia="es-PY"/>
              </w:rPr>
            </w:pPr>
            <w:r w:rsidRPr="001757A7">
              <w:rPr>
                <w:color w:val="000000"/>
                <w:sz w:val="20"/>
                <w:lang w:val="es-PY" w:eastAsia="es-PY"/>
              </w:rPr>
              <w:t xml:space="preserve">   15.185.697.675 </w:t>
            </w:r>
          </w:p>
        </w:tc>
        <w:tc>
          <w:tcPr>
            <w:tcW w:w="1418"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right"/>
              <w:rPr>
                <w:color w:val="000000"/>
                <w:sz w:val="20"/>
                <w:lang w:val="es-PY" w:eastAsia="es-PY"/>
              </w:rPr>
            </w:pPr>
            <w:r w:rsidRPr="001757A7">
              <w:rPr>
                <w:color w:val="000000"/>
                <w:sz w:val="20"/>
                <w:lang w:val="es-PY" w:eastAsia="es-PY"/>
              </w:rPr>
              <w:t xml:space="preserve">         3.466.877 </w:t>
            </w:r>
          </w:p>
        </w:tc>
        <w:tc>
          <w:tcPr>
            <w:tcW w:w="1399"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right"/>
              <w:rPr>
                <w:color w:val="000000"/>
                <w:sz w:val="20"/>
                <w:lang w:val="es-PY" w:eastAsia="es-PY"/>
              </w:rPr>
            </w:pPr>
            <w:r w:rsidRPr="001757A7">
              <w:rPr>
                <w:color w:val="000000"/>
                <w:sz w:val="20"/>
                <w:lang w:val="es-PY" w:eastAsia="es-PY"/>
              </w:rPr>
              <w:t xml:space="preserve">                3.841 </w:t>
            </w:r>
          </w:p>
        </w:tc>
      </w:tr>
      <w:tr w:rsidR="00A71497" w:rsidRPr="001757A7" w:rsidTr="00A71497">
        <w:trPr>
          <w:trHeight w:val="300"/>
        </w:trPr>
        <w:tc>
          <w:tcPr>
            <w:tcW w:w="1706" w:type="dxa"/>
            <w:tcBorders>
              <w:top w:val="nil"/>
              <w:left w:val="single" w:sz="4" w:space="0" w:color="auto"/>
              <w:bottom w:val="single" w:sz="4" w:space="0" w:color="auto"/>
              <w:right w:val="single" w:sz="4" w:space="0" w:color="auto"/>
            </w:tcBorders>
            <w:shd w:val="clear" w:color="auto" w:fill="auto"/>
            <w:noWrap/>
            <w:hideMark/>
          </w:tcPr>
          <w:p w:rsidR="00A71497" w:rsidRPr="001757A7" w:rsidRDefault="00A71497" w:rsidP="006F47D2">
            <w:pPr>
              <w:rPr>
                <w:color w:val="000000"/>
                <w:sz w:val="20"/>
                <w:lang w:val="es-PY" w:eastAsia="es-PY"/>
              </w:rPr>
            </w:pPr>
            <w:r w:rsidRPr="001757A7">
              <w:rPr>
                <w:color w:val="000000"/>
                <w:sz w:val="20"/>
                <w:lang w:val="es-PY" w:eastAsia="es-PY"/>
              </w:rPr>
              <w:t>Guairá</w:t>
            </w:r>
          </w:p>
        </w:tc>
        <w:tc>
          <w:tcPr>
            <w:tcW w:w="1180"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right"/>
              <w:rPr>
                <w:color w:val="000000"/>
                <w:sz w:val="20"/>
                <w:lang w:val="es-PY" w:eastAsia="es-PY"/>
              </w:rPr>
            </w:pPr>
            <w:r w:rsidRPr="001757A7">
              <w:rPr>
                <w:color w:val="000000"/>
                <w:sz w:val="20"/>
                <w:lang w:val="es-PY" w:eastAsia="es-PY"/>
              </w:rPr>
              <w:t xml:space="preserve">       321,53 </w:t>
            </w:r>
          </w:p>
        </w:tc>
        <w:tc>
          <w:tcPr>
            <w:tcW w:w="1514"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rPr>
                <w:color w:val="000000"/>
                <w:sz w:val="20"/>
                <w:lang w:val="es-PY" w:eastAsia="es-PY"/>
              </w:rPr>
            </w:pPr>
            <w:r w:rsidRPr="001757A7">
              <w:rPr>
                <w:color w:val="000000"/>
                <w:sz w:val="20"/>
                <w:lang w:val="es-PY" w:eastAsia="es-PY"/>
              </w:rPr>
              <w:t xml:space="preserve"> Borja </w:t>
            </w:r>
          </w:p>
        </w:tc>
        <w:tc>
          <w:tcPr>
            <w:tcW w:w="1701"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rPr>
                <w:color w:val="000000"/>
                <w:sz w:val="20"/>
                <w:lang w:val="es-PY" w:eastAsia="es-PY"/>
              </w:rPr>
            </w:pPr>
            <w:r w:rsidRPr="001757A7">
              <w:rPr>
                <w:color w:val="000000"/>
                <w:sz w:val="20"/>
                <w:lang w:val="es-PY" w:eastAsia="es-PY"/>
              </w:rPr>
              <w:t xml:space="preserve">   14.034.474.481 </w:t>
            </w:r>
          </w:p>
        </w:tc>
        <w:tc>
          <w:tcPr>
            <w:tcW w:w="1418"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right"/>
              <w:rPr>
                <w:color w:val="000000"/>
                <w:sz w:val="20"/>
                <w:lang w:val="es-PY" w:eastAsia="es-PY"/>
              </w:rPr>
            </w:pPr>
            <w:r w:rsidRPr="001757A7">
              <w:rPr>
                <w:color w:val="000000"/>
                <w:sz w:val="20"/>
                <w:lang w:val="es-PY" w:eastAsia="es-PY"/>
              </w:rPr>
              <w:t xml:space="preserve">         3.148.320 </w:t>
            </w:r>
          </w:p>
        </w:tc>
        <w:tc>
          <w:tcPr>
            <w:tcW w:w="1399"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right"/>
              <w:rPr>
                <w:color w:val="000000"/>
                <w:sz w:val="20"/>
                <w:lang w:val="es-PY" w:eastAsia="es-PY"/>
              </w:rPr>
            </w:pPr>
            <w:r w:rsidRPr="001757A7">
              <w:rPr>
                <w:color w:val="000000"/>
                <w:sz w:val="20"/>
                <w:lang w:val="es-PY" w:eastAsia="es-PY"/>
              </w:rPr>
              <w:t xml:space="preserve">                4.896 </w:t>
            </w:r>
          </w:p>
        </w:tc>
      </w:tr>
      <w:tr w:rsidR="00A71497" w:rsidRPr="001757A7" w:rsidTr="00A71497">
        <w:trPr>
          <w:trHeight w:val="273"/>
        </w:trPr>
        <w:tc>
          <w:tcPr>
            <w:tcW w:w="1706" w:type="dxa"/>
            <w:tcBorders>
              <w:top w:val="nil"/>
              <w:left w:val="single" w:sz="4" w:space="0" w:color="auto"/>
              <w:bottom w:val="single" w:sz="4" w:space="0" w:color="auto"/>
              <w:right w:val="single" w:sz="4" w:space="0" w:color="auto"/>
            </w:tcBorders>
            <w:shd w:val="clear" w:color="auto" w:fill="auto"/>
            <w:noWrap/>
            <w:hideMark/>
          </w:tcPr>
          <w:p w:rsidR="00A71497" w:rsidRPr="001757A7" w:rsidRDefault="00A71497" w:rsidP="006F47D2">
            <w:pPr>
              <w:rPr>
                <w:b/>
                <w:bCs/>
                <w:color w:val="000000"/>
                <w:sz w:val="20"/>
                <w:lang w:val="es-PY" w:eastAsia="es-PY"/>
              </w:rPr>
            </w:pPr>
            <w:r w:rsidRPr="001757A7">
              <w:rPr>
                <w:b/>
                <w:bCs/>
                <w:color w:val="000000"/>
                <w:sz w:val="20"/>
                <w:lang w:val="es-PY" w:eastAsia="es-PY"/>
              </w:rPr>
              <w:t>Suma</w:t>
            </w:r>
          </w:p>
        </w:tc>
        <w:tc>
          <w:tcPr>
            <w:tcW w:w="1180" w:type="dxa"/>
            <w:tcBorders>
              <w:top w:val="nil"/>
              <w:left w:val="nil"/>
              <w:bottom w:val="double" w:sz="6" w:space="0" w:color="auto"/>
              <w:right w:val="single" w:sz="4" w:space="0" w:color="auto"/>
            </w:tcBorders>
            <w:shd w:val="clear" w:color="auto" w:fill="auto"/>
            <w:noWrap/>
            <w:hideMark/>
          </w:tcPr>
          <w:p w:rsidR="00A71497" w:rsidRPr="001757A7" w:rsidRDefault="00A71497" w:rsidP="006F47D2">
            <w:pPr>
              <w:jc w:val="right"/>
              <w:rPr>
                <w:b/>
                <w:bCs/>
                <w:color w:val="000000"/>
                <w:sz w:val="20"/>
                <w:lang w:val="es-PY" w:eastAsia="es-PY"/>
              </w:rPr>
            </w:pPr>
            <w:r w:rsidRPr="001757A7">
              <w:rPr>
                <w:b/>
                <w:bCs/>
                <w:color w:val="000000"/>
                <w:sz w:val="20"/>
                <w:lang w:val="es-PY" w:eastAsia="es-PY"/>
              </w:rPr>
              <w:t xml:space="preserve">   2.141,25 </w:t>
            </w:r>
          </w:p>
        </w:tc>
        <w:tc>
          <w:tcPr>
            <w:tcW w:w="1514" w:type="dxa"/>
            <w:tcBorders>
              <w:top w:val="nil"/>
              <w:left w:val="nil"/>
              <w:bottom w:val="single" w:sz="4" w:space="0" w:color="auto"/>
              <w:right w:val="single" w:sz="4" w:space="0" w:color="auto"/>
            </w:tcBorders>
            <w:shd w:val="clear" w:color="auto" w:fill="auto"/>
            <w:noWrap/>
            <w:vAlign w:val="center"/>
            <w:hideMark/>
          </w:tcPr>
          <w:p w:rsidR="00A71497" w:rsidRPr="001757A7" w:rsidRDefault="00A71497" w:rsidP="006F47D2">
            <w:pPr>
              <w:jc w:val="center"/>
              <w:rPr>
                <w:b/>
                <w:bCs/>
                <w:color w:val="000000"/>
                <w:sz w:val="20"/>
                <w:lang w:val="es-PY" w:eastAsia="es-PY"/>
              </w:rPr>
            </w:pPr>
            <w:r w:rsidRPr="001757A7">
              <w:rPr>
                <w:b/>
                <w:bCs/>
                <w:color w:val="000000"/>
                <w:sz w:val="20"/>
                <w:lang w:val="es-PY" w:eastAsia="es-PY"/>
              </w:rPr>
              <w:t xml:space="preserve"> --- </w:t>
            </w:r>
          </w:p>
        </w:tc>
        <w:tc>
          <w:tcPr>
            <w:tcW w:w="1701" w:type="dxa"/>
            <w:tcBorders>
              <w:top w:val="nil"/>
              <w:left w:val="nil"/>
              <w:bottom w:val="double" w:sz="6" w:space="0" w:color="auto"/>
              <w:right w:val="single" w:sz="4" w:space="0" w:color="auto"/>
            </w:tcBorders>
            <w:shd w:val="clear" w:color="auto" w:fill="auto"/>
            <w:noWrap/>
            <w:hideMark/>
          </w:tcPr>
          <w:p w:rsidR="00A71497" w:rsidRPr="001757A7" w:rsidRDefault="00A71497" w:rsidP="006F47D2">
            <w:pPr>
              <w:jc w:val="right"/>
              <w:rPr>
                <w:b/>
                <w:bCs/>
                <w:color w:val="000000"/>
                <w:sz w:val="20"/>
                <w:lang w:val="es-PY" w:eastAsia="es-PY"/>
              </w:rPr>
            </w:pPr>
            <w:r w:rsidRPr="001757A7">
              <w:rPr>
                <w:b/>
                <w:bCs/>
                <w:color w:val="000000"/>
                <w:sz w:val="20"/>
                <w:lang w:val="es-PY" w:eastAsia="es-PY"/>
              </w:rPr>
              <w:t xml:space="preserve">   60.602.161.722 </w:t>
            </w:r>
          </w:p>
        </w:tc>
        <w:tc>
          <w:tcPr>
            <w:tcW w:w="1418" w:type="dxa"/>
            <w:tcBorders>
              <w:top w:val="nil"/>
              <w:left w:val="nil"/>
              <w:bottom w:val="double" w:sz="6" w:space="0" w:color="auto"/>
              <w:right w:val="single" w:sz="4" w:space="0" w:color="auto"/>
            </w:tcBorders>
            <w:shd w:val="clear" w:color="auto" w:fill="auto"/>
            <w:noWrap/>
            <w:hideMark/>
          </w:tcPr>
          <w:p w:rsidR="00A71497" w:rsidRPr="001757A7" w:rsidRDefault="00A71497" w:rsidP="006F47D2">
            <w:pPr>
              <w:jc w:val="right"/>
              <w:rPr>
                <w:b/>
                <w:bCs/>
                <w:color w:val="000000"/>
                <w:sz w:val="20"/>
                <w:lang w:val="es-PY" w:eastAsia="es-PY"/>
              </w:rPr>
            </w:pPr>
            <w:r w:rsidRPr="001757A7">
              <w:rPr>
                <w:b/>
                <w:bCs/>
                <w:color w:val="000000"/>
                <w:sz w:val="20"/>
                <w:lang w:val="es-PY" w:eastAsia="es-PY"/>
              </w:rPr>
              <w:t xml:space="preserve">     13.806.558 </w:t>
            </w:r>
          </w:p>
        </w:tc>
        <w:tc>
          <w:tcPr>
            <w:tcW w:w="1399" w:type="dxa"/>
            <w:tcBorders>
              <w:top w:val="nil"/>
              <w:left w:val="nil"/>
              <w:bottom w:val="single" w:sz="4" w:space="0" w:color="auto"/>
              <w:right w:val="single" w:sz="4" w:space="0" w:color="auto"/>
            </w:tcBorders>
            <w:shd w:val="clear" w:color="auto" w:fill="auto"/>
            <w:noWrap/>
            <w:hideMark/>
          </w:tcPr>
          <w:p w:rsidR="00A71497" w:rsidRPr="001757A7" w:rsidRDefault="00A71497" w:rsidP="006F47D2">
            <w:pPr>
              <w:jc w:val="right"/>
              <w:rPr>
                <w:b/>
                <w:bCs/>
                <w:color w:val="000000"/>
                <w:sz w:val="20"/>
                <w:lang w:val="es-PY" w:eastAsia="es-PY"/>
              </w:rPr>
            </w:pPr>
            <w:r w:rsidRPr="001757A7">
              <w:rPr>
                <w:b/>
                <w:bCs/>
                <w:color w:val="000000"/>
                <w:sz w:val="20"/>
                <w:lang w:val="es-PY" w:eastAsia="es-PY"/>
              </w:rPr>
              <w:t xml:space="preserve">               3.224 </w:t>
            </w:r>
          </w:p>
        </w:tc>
      </w:tr>
    </w:tbl>
    <w:p w:rsidR="00142724" w:rsidRDefault="00142724" w:rsidP="00142724">
      <w:pPr>
        <w:numPr>
          <w:ilvl w:val="1"/>
          <w:numId w:val="1"/>
        </w:numPr>
        <w:tabs>
          <w:tab w:val="clear" w:pos="360"/>
          <w:tab w:val="num" w:pos="709"/>
        </w:tabs>
        <w:spacing w:before="240"/>
        <w:ind w:left="709" w:hanging="709"/>
        <w:jc w:val="both"/>
      </w:pPr>
      <w:r>
        <w:rPr>
          <w:b/>
        </w:rPr>
        <w:t>El cálculo del presupuesto a asignar a cada Convenio</w:t>
      </w:r>
      <w:r w:rsidRPr="00142724">
        <w:t xml:space="preserve">. </w:t>
      </w:r>
      <w:r>
        <w:t>Parte de una línea base elaborada por la UGM, donde se releva la condición de la vía y se estiman las diferentes actividades de mantenimiento inicial, a fin de poner los caminos en un estado pasible de mantenimiento rutinario</w:t>
      </w:r>
      <w:r w:rsidRPr="00142724">
        <w:t>.</w:t>
      </w:r>
      <w:r>
        <w:t xml:space="preserve"> Como ejemplo se transcribe </w:t>
      </w:r>
      <w:r w:rsidR="001F714F">
        <w:t>el</w:t>
      </w:r>
      <w:r>
        <w:t xml:space="preserve"> c</w:t>
      </w:r>
      <w:r w:rsidR="001F714F">
        <w:t>álculo correspondiente</w:t>
      </w:r>
      <w:r>
        <w:t xml:space="preserve"> </w:t>
      </w:r>
      <w:r w:rsidR="001F714F">
        <w:t>a</w:t>
      </w:r>
      <w:r w:rsidR="00D8023C">
        <w:t>l Convenio Itap</w:t>
      </w:r>
      <w:r w:rsidR="00045324">
        <w:t xml:space="preserve">úa para la estimación del presupuesto </w:t>
      </w:r>
      <w:r w:rsidR="001F714F">
        <w:t>del</w:t>
      </w:r>
      <w:r w:rsidR="00045324">
        <w:t xml:space="preserve"> periodo julio a diciembre de 2011.</w:t>
      </w:r>
    </w:p>
    <w:p w:rsidR="001F714F" w:rsidRPr="001F714F" w:rsidRDefault="001F714F" w:rsidP="00826CB7">
      <w:pPr>
        <w:pStyle w:val="ListParagraph"/>
        <w:keepNext/>
        <w:numPr>
          <w:ilvl w:val="0"/>
          <w:numId w:val="9"/>
        </w:numPr>
        <w:spacing w:before="120" w:after="120"/>
        <w:ind w:left="1077" w:hanging="357"/>
        <w:contextualSpacing w:val="0"/>
        <w:rPr>
          <w:rFonts w:ascii="Times New Roman" w:eastAsia="Times New Roman" w:hAnsi="Times New Roman" w:cs="Times New Roman"/>
          <w:sz w:val="24"/>
          <w:szCs w:val="20"/>
          <w:lang w:val="es-ES_tradnl" w:eastAsia="en-US"/>
        </w:rPr>
      </w:pPr>
      <w:r w:rsidRPr="001F714F">
        <w:rPr>
          <w:rFonts w:ascii="Times New Roman" w:eastAsia="Times New Roman" w:hAnsi="Times New Roman" w:cs="Times New Roman"/>
          <w:sz w:val="24"/>
          <w:szCs w:val="20"/>
          <w:lang w:val="es-ES_tradnl" w:eastAsia="en-US"/>
        </w:rPr>
        <w:t>Actividades del mantenimiento inicial.</w:t>
      </w:r>
    </w:p>
    <w:p w:rsidR="00D8023C" w:rsidRDefault="00D8023C" w:rsidP="009860FD">
      <w:pPr>
        <w:ind w:left="709"/>
        <w:jc w:val="both"/>
      </w:pPr>
      <w:r>
        <w:rPr>
          <w:noProof/>
          <w:lang w:val="es-ES" w:eastAsia="es-ES"/>
        </w:rPr>
        <w:drawing>
          <wp:inline distT="0" distB="0" distL="0" distR="0" wp14:anchorId="6B649BD0" wp14:editId="0DBA6843">
            <wp:extent cx="5241365" cy="2266039"/>
            <wp:effectExtent l="0" t="0" r="0" b="127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41574" cy="2266129"/>
                    </a:xfrm>
                    <a:prstGeom prst="rect">
                      <a:avLst/>
                    </a:prstGeom>
                  </pic:spPr>
                </pic:pic>
              </a:graphicData>
            </a:graphic>
          </wp:inline>
        </w:drawing>
      </w:r>
    </w:p>
    <w:p w:rsidR="00D8023C" w:rsidRDefault="00D8023C" w:rsidP="009860FD">
      <w:pPr>
        <w:ind w:left="709"/>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600"/>
      </w:tblGrid>
      <w:tr w:rsidR="00D8023C" w:rsidTr="00D8023C">
        <w:tc>
          <w:tcPr>
            <w:tcW w:w="2093" w:type="dxa"/>
          </w:tcPr>
          <w:p w:rsidR="00D8023C" w:rsidRDefault="00D8023C" w:rsidP="009860FD">
            <w:r>
              <w:rPr>
                <w:noProof/>
                <w:lang w:val="es-ES" w:eastAsia="es-ES"/>
              </w:rPr>
              <w:drawing>
                <wp:inline distT="0" distB="0" distL="0" distR="0" wp14:anchorId="433E82D2" wp14:editId="502D79C5">
                  <wp:extent cx="1195198" cy="2127623"/>
                  <wp:effectExtent l="0" t="0" r="5080" b="635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97601" cy="2131901"/>
                          </a:xfrm>
                          <a:prstGeom prst="rect">
                            <a:avLst/>
                          </a:prstGeom>
                        </pic:spPr>
                      </pic:pic>
                    </a:graphicData>
                  </a:graphic>
                </wp:inline>
              </w:drawing>
            </w:r>
          </w:p>
        </w:tc>
        <w:tc>
          <w:tcPr>
            <w:tcW w:w="6600" w:type="dxa"/>
          </w:tcPr>
          <w:p w:rsidR="00D8023C" w:rsidRDefault="00D8023C" w:rsidP="009860FD">
            <w:pPr>
              <w:jc w:val="both"/>
            </w:pPr>
            <w:r>
              <w:rPr>
                <w:noProof/>
                <w:lang w:val="es-ES" w:eastAsia="es-ES"/>
              </w:rPr>
              <w:drawing>
                <wp:inline distT="0" distB="0" distL="0" distR="0" wp14:anchorId="7BA55F57" wp14:editId="12479893">
                  <wp:extent cx="4063834" cy="24802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068327" cy="2482977"/>
                          </a:xfrm>
                          <a:prstGeom prst="rect">
                            <a:avLst/>
                          </a:prstGeom>
                        </pic:spPr>
                      </pic:pic>
                    </a:graphicData>
                  </a:graphic>
                </wp:inline>
              </w:drawing>
            </w:r>
          </w:p>
        </w:tc>
      </w:tr>
    </w:tbl>
    <w:p w:rsidR="00D8023C" w:rsidRDefault="00D8023C" w:rsidP="009860FD">
      <w:pPr>
        <w:ind w:left="709"/>
        <w:jc w:val="both"/>
      </w:pP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93"/>
        <w:gridCol w:w="6600"/>
      </w:tblGrid>
      <w:tr w:rsidR="00D8023C" w:rsidTr="00311496">
        <w:tc>
          <w:tcPr>
            <w:tcW w:w="2093" w:type="dxa"/>
          </w:tcPr>
          <w:p w:rsidR="00D8023C" w:rsidRDefault="00D8023C" w:rsidP="009860FD">
            <w:r>
              <w:rPr>
                <w:noProof/>
                <w:lang w:val="es-ES" w:eastAsia="es-ES"/>
              </w:rPr>
              <w:lastRenderedPageBreak/>
              <w:drawing>
                <wp:inline distT="0" distB="0" distL="0" distR="0" wp14:anchorId="5FB4FE91" wp14:editId="3D96DF3C">
                  <wp:extent cx="1195198" cy="2127623"/>
                  <wp:effectExtent l="0" t="0" r="508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1197601" cy="2131901"/>
                          </a:xfrm>
                          <a:prstGeom prst="rect">
                            <a:avLst/>
                          </a:prstGeom>
                        </pic:spPr>
                      </pic:pic>
                    </a:graphicData>
                  </a:graphic>
                </wp:inline>
              </w:drawing>
            </w:r>
          </w:p>
        </w:tc>
        <w:tc>
          <w:tcPr>
            <w:tcW w:w="6600" w:type="dxa"/>
          </w:tcPr>
          <w:p w:rsidR="00D8023C" w:rsidRDefault="00D8023C" w:rsidP="009860FD">
            <w:pPr>
              <w:jc w:val="both"/>
            </w:pPr>
            <w:r>
              <w:rPr>
                <w:noProof/>
                <w:lang w:val="es-ES" w:eastAsia="es-ES"/>
              </w:rPr>
              <w:drawing>
                <wp:inline distT="0" distB="0" distL="0" distR="0" wp14:anchorId="5FFEE37A" wp14:editId="5069A1A0">
                  <wp:extent cx="3358777" cy="2069688"/>
                  <wp:effectExtent l="0" t="0" r="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65111" cy="2073591"/>
                          </a:xfrm>
                          <a:prstGeom prst="rect">
                            <a:avLst/>
                          </a:prstGeom>
                        </pic:spPr>
                      </pic:pic>
                    </a:graphicData>
                  </a:graphic>
                </wp:inline>
              </w:drawing>
            </w:r>
          </w:p>
        </w:tc>
      </w:tr>
    </w:tbl>
    <w:p w:rsidR="00D8023C" w:rsidRPr="007C0EA1" w:rsidRDefault="009860FD" w:rsidP="007C0EA1">
      <w:pPr>
        <w:pStyle w:val="ListParagraph"/>
        <w:keepNext/>
        <w:spacing w:before="120" w:after="120"/>
        <w:ind w:left="1077"/>
        <w:contextualSpacing w:val="0"/>
        <w:rPr>
          <w:rFonts w:ascii="Times New Roman" w:eastAsia="Times New Roman" w:hAnsi="Times New Roman" w:cs="Times New Roman"/>
          <w:sz w:val="24"/>
          <w:szCs w:val="20"/>
          <w:lang w:val="es-ES_tradnl" w:eastAsia="en-US"/>
        </w:rPr>
      </w:pPr>
      <w:r w:rsidRPr="007C0EA1">
        <w:rPr>
          <w:rFonts w:ascii="Times New Roman" w:eastAsia="Times New Roman" w:hAnsi="Times New Roman" w:cs="Times New Roman"/>
          <w:sz w:val="24"/>
          <w:szCs w:val="20"/>
          <w:lang w:val="es-ES_tradnl" w:eastAsia="en-US"/>
        </w:rPr>
        <w:t>Como sub-componente de esta estimación se incluye a las ACV, según el detalle siguiente</w:t>
      </w:r>
      <w:r w:rsidR="00D07E25" w:rsidRPr="007C0EA1">
        <w:rPr>
          <w:rFonts w:ascii="Times New Roman" w:eastAsia="Times New Roman" w:hAnsi="Times New Roman" w:cs="Times New Roman"/>
          <w:sz w:val="24"/>
          <w:szCs w:val="20"/>
          <w:lang w:val="es-ES_tradnl" w:eastAsia="en-US"/>
        </w:rPr>
        <w:t xml:space="preserve"> para el cálculo del costo mensual por tramo.</w:t>
      </w:r>
    </w:p>
    <w:p w:rsidR="009860FD" w:rsidRDefault="009860FD" w:rsidP="009860FD">
      <w:pPr>
        <w:spacing w:before="240"/>
        <w:jc w:val="both"/>
      </w:pPr>
      <w:r>
        <w:rPr>
          <w:noProof/>
          <w:lang w:val="es-ES" w:eastAsia="es-ES"/>
        </w:rPr>
        <w:drawing>
          <wp:inline distT="0" distB="0" distL="0" distR="0" wp14:anchorId="7F6A5CF3" wp14:editId="2E7CD0B6">
            <wp:extent cx="5612130" cy="1594485"/>
            <wp:effectExtent l="0" t="0" r="7620" b="571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12130" cy="1594485"/>
                    </a:xfrm>
                    <a:prstGeom prst="rect">
                      <a:avLst/>
                    </a:prstGeom>
                  </pic:spPr>
                </pic:pic>
              </a:graphicData>
            </a:graphic>
          </wp:inline>
        </w:drawing>
      </w:r>
    </w:p>
    <w:p w:rsidR="009860FD" w:rsidRDefault="009860FD" w:rsidP="009860FD">
      <w:pPr>
        <w:ind w:left="709"/>
        <w:jc w:val="both"/>
      </w:pPr>
    </w:p>
    <w:tbl>
      <w:tblPr>
        <w:tblStyle w:val="TableGrid"/>
        <w:tblW w:w="10065"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6379"/>
      </w:tblGrid>
      <w:tr w:rsidR="009860FD" w:rsidTr="009860FD">
        <w:tc>
          <w:tcPr>
            <w:tcW w:w="3686" w:type="dxa"/>
          </w:tcPr>
          <w:p w:rsidR="009860FD" w:rsidRDefault="009860FD" w:rsidP="009860FD">
            <w:pPr>
              <w:jc w:val="both"/>
            </w:pPr>
            <w:r>
              <w:rPr>
                <w:noProof/>
                <w:lang w:val="es-ES" w:eastAsia="es-ES"/>
              </w:rPr>
              <w:drawing>
                <wp:inline distT="0" distB="0" distL="0" distR="0" wp14:anchorId="055FA851" wp14:editId="41C8E8DE">
                  <wp:extent cx="2241299" cy="1619624"/>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42928" cy="1620801"/>
                          </a:xfrm>
                          <a:prstGeom prst="rect">
                            <a:avLst/>
                          </a:prstGeom>
                        </pic:spPr>
                      </pic:pic>
                    </a:graphicData>
                  </a:graphic>
                </wp:inline>
              </w:drawing>
            </w:r>
          </w:p>
        </w:tc>
        <w:tc>
          <w:tcPr>
            <w:tcW w:w="6379" w:type="dxa"/>
          </w:tcPr>
          <w:p w:rsidR="009860FD" w:rsidRDefault="009860FD" w:rsidP="009860FD">
            <w:r>
              <w:rPr>
                <w:noProof/>
                <w:lang w:val="es-ES" w:eastAsia="es-ES"/>
              </w:rPr>
              <w:drawing>
                <wp:inline distT="0" distB="0" distL="0" distR="0" wp14:anchorId="539A6463" wp14:editId="650A1EB4">
                  <wp:extent cx="3926541" cy="1710031"/>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926697" cy="1710099"/>
                          </a:xfrm>
                          <a:prstGeom prst="rect">
                            <a:avLst/>
                          </a:prstGeom>
                        </pic:spPr>
                      </pic:pic>
                    </a:graphicData>
                  </a:graphic>
                </wp:inline>
              </w:drawing>
            </w:r>
          </w:p>
        </w:tc>
      </w:tr>
    </w:tbl>
    <w:p w:rsidR="009860FD" w:rsidRDefault="009860FD" w:rsidP="009860FD">
      <w:pPr>
        <w:ind w:left="709"/>
        <w:jc w:val="both"/>
      </w:pPr>
    </w:p>
    <w:tbl>
      <w:tblPr>
        <w:tblStyle w:val="TableGrid"/>
        <w:tblW w:w="6521"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6"/>
        <w:gridCol w:w="2835"/>
      </w:tblGrid>
      <w:tr w:rsidR="009860FD" w:rsidTr="009860FD">
        <w:tc>
          <w:tcPr>
            <w:tcW w:w="3686" w:type="dxa"/>
          </w:tcPr>
          <w:p w:rsidR="009860FD" w:rsidRDefault="009860FD" w:rsidP="009860FD">
            <w:pPr>
              <w:jc w:val="both"/>
            </w:pPr>
            <w:r>
              <w:rPr>
                <w:noProof/>
                <w:lang w:val="es-ES" w:eastAsia="es-ES"/>
              </w:rPr>
              <w:drawing>
                <wp:inline distT="0" distB="0" distL="0" distR="0" wp14:anchorId="5048B914" wp14:editId="10F11E5E">
                  <wp:extent cx="2241299" cy="1619624"/>
                  <wp:effectExtent l="0" t="0" r="698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242928" cy="1620801"/>
                          </a:xfrm>
                          <a:prstGeom prst="rect">
                            <a:avLst/>
                          </a:prstGeom>
                        </pic:spPr>
                      </pic:pic>
                    </a:graphicData>
                  </a:graphic>
                </wp:inline>
              </w:drawing>
            </w:r>
          </w:p>
        </w:tc>
        <w:tc>
          <w:tcPr>
            <w:tcW w:w="2835" w:type="dxa"/>
          </w:tcPr>
          <w:p w:rsidR="009860FD" w:rsidRDefault="009860FD" w:rsidP="009860FD">
            <w:r>
              <w:rPr>
                <w:noProof/>
                <w:lang w:val="es-ES" w:eastAsia="es-ES"/>
              </w:rPr>
              <w:drawing>
                <wp:inline distT="0" distB="0" distL="0" distR="0" wp14:anchorId="0D26B76C" wp14:editId="21575159">
                  <wp:extent cx="1542760" cy="1619623"/>
                  <wp:effectExtent l="0" t="0" r="63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545672" cy="1622680"/>
                          </a:xfrm>
                          <a:prstGeom prst="rect">
                            <a:avLst/>
                          </a:prstGeom>
                        </pic:spPr>
                      </pic:pic>
                    </a:graphicData>
                  </a:graphic>
                </wp:inline>
              </w:drawing>
            </w:r>
          </w:p>
        </w:tc>
      </w:tr>
    </w:tbl>
    <w:p w:rsidR="009860FD" w:rsidRPr="00142724" w:rsidRDefault="009860FD" w:rsidP="009860FD">
      <w:pPr>
        <w:ind w:left="709"/>
        <w:jc w:val="both"/>
      </w:pPr>
    </w:p>
    <w:p w:rsidR="001F714F" w:rsidRPr="001F714F" w:rsidRDefault="001F714F" w:rsidP="00826CB7">
      <w:pPr>
        <w:pStyle w:val="ListParagraph"/>
        <w:keepNext/>
        <w:numPr>
          <w:ilvl w:val="0"/>
          <w:numId w:val="9"/>
        </w:numPr>
        <w:spacing w:before="120" w:after="120"/>
        <w:ind w:left="1077" w:hanging="357"/>
        <w:contextualSpacing w:val="0"/>
        <w:rPr>
          <w:rFonts w:ascii="Times New Roman" w:eastAsia="Times New Roman" w:hAnsi="Times New Roman" w:cs="Times New Roman"/>
          <w:sz w:val="24"/>
          <w:szCs w:val="20"/>
          <w:lang w:val="es-ES_tradnl" w:eastAsia="en-US"/>
        </w:rPr>
      </w:pPr>
      <w:r>
        <w:rPr>
          <w:rFonts w:ascii="Times New Roman" w:eastAsia="Times New Roman" w:hAnsi="Times New Roman" w:cs="Times New Roman"/>
          <w:sz w:val="24"/>
          <w:szCs w:val="20"/>
          <w:lang w:val="es-ES_tradnl" w:eastAsia="en-US"/>
        </w:rPr>
        <w:lastRenderedPageBreak/>
        <w:t>Gastos administrativos</w:t>
      </w:r>
      <w:r w:rsidRPr="001F714F">
        <w:rPr>
          <w:rFonts w:ascii="Times New Roman" w:eastAsia="Times New Roman" w:hAnsi="Times New Roman" w:cs="Times New Roman"/>
          <w:sz w:val="24"/>
          <w:szCs w:val="20"/>
          <w:lang w:val="es-ES_tradnl" w:eastAsia="en-US"/>
        </w:rPr>
        <w:t>.</w:t>
      </w:r>
    </w:p>
    <w:p w:rsidR="00D8023C" w:rsidRDefault="00045324" w:rsidP="002219E2">
      <w:pPr>
        <w:pStyle w:val="ListParagraph"/>
        <w:ind w:left="1080"/>
        <w:rPr>
          <w:lang w:val="es-ES_tradnl"/>
        </w:rPr>
      </w:pPr>
      <w:r>
        <w:rPr>
          <w:noProof/>
          <w:lang w:val="es-ES" w:eastAsia="es-ES"/>
        </w:rPr>
        <w:drawing>
          <wp:inline distT="0" distB="0" distL="0" distR="0" wp14:anchorId="2DD89621" wp14:editId="69043ED0">
            <wp:extent cx="4211752" cy="5378824"/>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12608" cy="5379918"/>
                    </a:xfrm>
                    <a:prstGeom prst="rect">
                      <a:avLst/>
                    </a:prstGeom>
                  </pic:spPr>
                </pic:pic>
              </a:graphicData>
            </a:graphic>
          </wp:inline>
        </w:drawing>
      </w:r>
    </w:p>
    <w:p w:rsidR="00D8023C" w:rsidRDefault="00D8023C" w:rsidP="002219E2">
      <w:pPr>
        <w:pStyle w:val="ListParagraph"/>
        <w:ind w:left="1080"/>
        <w:rPr>
          <w:lang w:val="es-ES_tradnl"/>
        </w:rPr>
      </w:pPr>
    </w:p>
    <w:p w:rsidR="001F714F" w:rsidRPr="001F714F" w:rsidRDefault="001F714F" w:rsidP="00826CB7">
      <w:pPr>
        <w:pStyle w:val="ListParagraph"/>
        <w:keepNext/>
        <w:numPr>
          <w:ilvl w:val="0"/>
          <w:numId w:val="9"/>
        </w:numPr>
        <w:spacing w:before="120" w:after="120"/>
        <w:ind w:left="1077" w:hanging="357"/>
        <w:contextualSpacing w:val="0"/>
        <w:rPr>
          <w:rFonts w:ascii="Times New Roman" w:eastAsia="Times New Roman" w:hAnsi="Times New Roman" w:cs="Times New Roman"/>
          <w:sz w:val="24"/>
          <w:szCs w:val="20"/>
          <w:lang w:val="es-ES_tradnl" w:eastAsia="en-US"/>
        </w:rPr>
      </w:pPr>
      <w:r>
        <w:rPr>
          <w:rFonts w:ascii="Times New Roman" w:eastAsia="Times New Roman" w:hAnsi="Times New Roman" w:cs="Times New Roman"/>
          <w:sz w:val="24"/>
          <w:szCs w:val="20"/>
          <w:lang w:val="es-ES_tradnl" w:eastAsia="en-US"/>
        </w:rPr>
        <w:lastRenderedPageBreak/>
        <w:t>Gastos de equipos viales y vehículos</w:t>
      </w:r>
      <w:r w:rsidRPr="001F714F">
        <w:rPr>
          <w:rFonts w:ascii="Times New Roman" w:eastAsia="Times New Roman" w:hAnsi="Times New Roman" w:cs="Times New Roman"/>
          <w:sz w:val="24"/>
          <w:szCs w:val="20"/>
          <w:lang w:val="es-ES_tradnl" w:eastAsia="en-US"/>
        </w:rPr>
        <w:t>.</w:t>
      </w:r>
    </w:p>
    <w:p w:rsidR="00D8023C" w:rsidRDefault="00045324" w:rsidP="002219E2">
      <w:pPr>
        <w:pStyle w:val="ListParagraph"/>
        <w:ind w:left="1080"/>
        <w:rPr>
          <w:lang w:val="es-ES_tradnl"/>
        </w:rPr>
      </w:pPr>
      <w:r>
        <w:rPr>
          <w:noProof/>
          <w:lang w:val="es-ES" w:eastAsia="es-ES"/>
        </w:rPr>
        <w:drawing>
          <wp:inline distT="0" distB="0" distL="0" distR="0" wp14:anchorId="62EA8EB2" wp14:editId="5B713A66">
            <wp:extent cx="3816588" cy="831327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819487" cy="8319586"/>
                    </a:xfrm>
                    <a:prstGeom prst="rect">
                      <a:avLst/>
                    </a:prstGeom>
                  </pic:spPr>
                </pic:pic>
              </a:graphicData>
            </a:graphic>
          </wp:inline>
        </w:drawing>
      </w:r>
    </w:p>
    <w:p w:rsidR="00045324" w:rsidRDefault="00045324" w:rsidP="002219E2">
      <w:pPr>
        <w:pStyle w:val="ListParagraph"/>
        <w:ind w:left="1080"/>
        <w:rPr>
          <w:lang w:val="es-ES_tradnl"/>
        </w:rPr>
      </w:pPr>
    </w:p>
    <w:p w:rsidR="001F714F" w:rsidRPr="001F714F" w:rsidRDefault="001F714F" w:rsidP="00826CB7">
      <w:pPr>
        <w:pStyle w:val="ListParagraph"/>
        <w:keepNext/>
        <w:numPr>
          <w:ilvl w:val="0"/>
          <w:numId w:val="9"/>
        </w:numPr>
        <w:spacing w:before="120" w:after="120"/>
        <w:ind w:left="1077" w:hanging="357"/>
        <w:contextualSpacing w:val="0"/>
        <w:rPr>
          <w:rFonts w:ascii="Times New Roman" w:eastAsia="Times New Roman" w:hAnsi="Times New Roman" w:cs="Times New Roman"/>
          <w:sz w:val="24"/>
          <w:szCs w:val="20"/>
          <w:lang w:val="es-ES_tradnl" w:eastAsia="en-US"/>
        </w:rPr>
      </w:pPr>
      <w:r>
        <w:rPr>
          <w:rFonts w:ascii="Times New Roman" w:eastAsia="Times New Roman" w:hAnsi="Times New Roman" w:cs="Times New Roman"/>
          <w:sz w:val="24"/>
          <w:szCs w:val="20"/>
          <w:lang w:val="es-ES_tradnl" w:eastAsia="en-US"/>
        </w:rPr>
        <w:lastRenderedPageBreak/>
        <w:t>Gastos oficina UGM</w:t>
      </w:r>
      <w:r w:rsidRPr="001F714F">
        <w:rPr>
          <w:rFonts w:ascii="Times New Roman" w:eastAsia="Times New Roman" w:hAnsi="Times New Roman" w:cs="Times New Roman"/>
          <w:sz w:val="24"/>
          <w:szCs w:val="20"/>
          <w:lang w:val="es-ES_tradnl" w:eastAsia="en-US"/>
        </w:rPr>
        <w:t>.</w:t>
      </w:r>
    </w:p>
    <w:p w:rsidR="00045324" w:rsidRDefault="00045324" w:rsidP="002219E2">
      <w:pPr>
        <w:pStyle w:val="ListParagraph"/>
        <w:ind w:left="1080"/>
        <w:rPr>
          <w:lang w:val="es-ES_tradnl"/>
        </w:rPr>
      </w:pPr>
      <w:r>
        <w:rPr>
          <w:noProof/>
          <w:lang w:val="es-ES" w:eastAsia="es-ES"/>
        </w:rPr>
        <w:drawing>
          <wp:inline distT="0" distB="0" distL="0" distR="0" wp14:anchorId="21DA3EF0" wp14:editId="4CAD3588">
            <wp:extent cx="4114665" cy="3777129"/>
            <wp:effectExtent l="0" t="0" r="63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114829" cy="3777279"/>
                    </a:xfrm>
                    <a:prstGeom prst="rect">
                      <a:avLst/>
                    </a:prstGeom>
                  </pic:spPr>
                </pic:pic>
              </a:graphicData>
            </a:graphic>
          </wp:inline>
        </w:drawing>
      </w:r>
    </w:p>
    <w:p w:rsidR="00045324" w:rsidRDefault="00045324" w:rsidP="002219E2">
      <w:pPr>
        <w:pStyle w:val="ListParagraph"/>
        <w:ind w:left="1080"/>
        <w:rPr>
          <w:lang w:val="es-ES_tradnl"/>
        </w:rPr>
      </w:pPr>
    </w:p>
    <w:p w:rsidR="001F714F" w:rsidRPr="001F714F" w:rsidRDefault="001F714F" w:rsidP="00826CB7">
      <w:pPr>
        <w:pStyle w:val="ListParagraph"/>
        <w:keepNext/>
        <w:numPr>
          <w:ilvl w:val="0"/>
          <w:numId w:val="9"/>
        </w:numPr>
        <w:spacing w:before="120" w:after="120"/>
        <w:ind w:left="1077" w:hanging="357"/>
        <w:contextualSpacing w:val="0"/>
        <w:rPr>
          <w:rFonts w:ascii="Times New Roman" w:eastAsia="Times New Roman" w:hAnsi="Times New Roman" w:cs="Times New Roman"/>
          <w:sz w:val="24"/>
          <w:szCs w:val="20"/>
          <w:lang w:val="es-ES_tradnl" w:eastAsia="en-US"/>
        </w:rPr>
      </w:pPr>
      <w:r>
        <w:rPr>
          <w:rFonts w:ascii="Times New Roman" w:eastAsia="Times New Roman" w:hAnsi="Times New Roman" w:cs="Times New Roman"/>
          <w:sz w:val="24"/>
          <w:szCs w:val="20"/>
          <w:lang w:val="es-ES_tradnl" w:eastAsia="en-US"/>
        </w:rPr>
        <w:t>Resumen periodo julio a diciembre de 2011</w:t>
      </w:r>
      <w:r w:rsidRPr="001F714F">
        <w:rPr>
          <w:rFonts w:ascii="Times New Roman" w:eastAsia="Times New Roman" w:hAnsi="Times New Roman" w:cs="Times New Roman"/>
          <w:sz w:val="24"/>
          <w:szCs w:val="20"/>
          <w:lang w:val="es-ES_tradnl" w:eastAsia="en-US"/>
        </w:rPr>
        <w:t>.</w:t>
      </w:r>
    </w:p>
    <w:p w:rsidR="00045324" w:rsidRDefault="00045324" w:rsidP="002219E2">
      <w:pPr>
        <w:pStyle w:val="ListParagraph"/>
        <w:ind w:left="1080"/>
        <w:rPr>
          <w:lang w:val="es-ES_tradnl"/>
        </w:rPr>
      </w:pPr>
      <w:r>
        <w:rPr>
          <w:noProof/>
          <w:lang w:val="es-ES" w:eastAsia="es-ES"/>
        </w:rPr>
        <w:drawing>
          <wp:inline distT="0" distB="0" distL="0" distR="0" wp14:anchorId="2BEB9306" wp14:editId="0774273F">
            <wp:extent cx="3715821" cy="1374588"/>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720173" cy="1376198"/>
                    </a:xfrm>
                    <a:prstGeom prst="rect">
                      <a:avLst/>
                    </a:prstGeom>
                  </pic:spPr>
                </pic:pic>
              </a:graphicData>
            </a:graphic>
          </wp:inline>
        </w:drawing>
      </w:r>
    </w:p>
    <w:p w:rsidR="00045324" w:rsidRDefault="00045324" w:rsidP="002219E2">
      <w:pPr>
        <w:pStyle w:val="ListParagraph"/>
        <w:ind w:left="1080"/>
        <w:rPr>
          <w:lang w:val="es-ES_tradnl"/>
        </w:rPr>
      </w:pPr>
    </w:p>
    <w:p w:rsidR="001F714F" w:rsidRPr="001F714F" w:rsidRDefault="001F714F" w:rsidP="00826CB7">
      <w:pPr>
        <w:pStyle w:val="ListParagraph"/>
        <w:keepNext/>
        <w:numPr>
          <w:ilvl w:val="0"/>
          <w:numId w:val="9"/>
        </w:numPr>
        <w:spacing w:before="120" w:after="120"/>
        <w:ind w:left="1077" w:hanging="357"/>
        <w:contextualSpacing w:val="0"/>
        <w:rPr>
          <w:rFonts w:ascii="Times New Roman" w:eastAsia="Times New Roman" w:hAnsi="Times New Roman" w:cs="Times New Roman"/>
          <w:sz w:val="24"/>
          <w:szCs w:val="20"/>
          <w:lang w:val="es-ES_tradnl" w:eastAsia="en-US"/>
        </w:rPr>
      </w:pPr>
      <w:r>
        <w:rPr>
          <w:rFonts w:ascii="Times New Roman" w:eastAsia="Times New Roman" w:hAnsi="Times New Roman" w:cs="Times New Roman"/>
          <w:sz w:val="24"/>
          <w:szCs w:val="20"/>
          <w:lang w:val="es-ES_tradnl" w:eastAsia="en-US"/>
        </w:rPr>
        <w:t>Periodos siguientes y presupuesto general</w:t>
      </w:r>
      <w:r w:rsidR="0042520C">
        <w:rPr>
          <w:rFonts w:ascii="Times New Roman" w:eastAsia="Times New Roman" w:hAnsi="Times New Roman" w:cs="Times New Roman"/>
          <w:sz w:val="24"/>
          <w:szCs w:val="20"/>
          <w:lang w:val="es-ES_tradnl" w:eastAsia="en-US"/>
        </w:rPr>
        <w:t>.</w:t>
      </w:r>
      <w:r>
        <w:rPr>
          <w:rFonts w:ascii="Times New Roman" w:eastAsia="Times New Roman" w:hAnsi="Times New Roman" w:cs="Times New Roman"/>
          <w:sz w:val="24"/>
          <w:szCs w:val="20"/>
          <w:lang w:val="es-ES_tradnl" w:eastAsia="en-US"/>
        </w:rPr>
        <w:t xml:space="preserve"> </w:t>
      </w:r>
    </w:p>
    <w:p w:rsidR="001F714F" w:rsidRDefault="001F714F" w:rsidP="002219E2">
      <w:pPr>
        <w:pStyle w:val="ListParagraph"/>
        <w:ind w:left="1080"/>
        <w:rPr>
          <w:lang w:val="es-ES_tradnl"/>
        </w:rPr>
      </w:pPr>
      <w:r>
        <w:rPr>
          <w:noProof/>
          <w:lang w:val="es-ES" w:eastAsia="es-ES"/>
        </w:rPr>
        <w:drawing>
          <wp:inline distT="0" distB="0" distL="0" distR="0" wp14:anchorId="0E125C1B" wp14:editId="71641E78">
            <wp:extent cx="3876675" cy="1457325"/>
            <wp:effectExtent l="0" t="0" r="952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876675" cy="1457325"/>
                    </a:xfrm>
                    <a:prstGeom prst="rect">
                      <a:avLst/>
                    </a:prstGeom>
                  </pic:spPr>
                </pic:pic>
              </a:graphicData>
            </a:graphic>
          </wp:inline>
        </w:drawing>
      </w:r>
    </w:p>
    <w:p w:rsidR="001F714F" w:rsidRDefault="001F714F" w:rsidP="002219E2">
      <w:pPr>
        <w:pStyle w:val="ListParagraph"/>
        <w:ind w:left="1080"/>
        <w:rPr>
          <w:lang w:val="es-ES_tradnl"/>
        </w:rPr>
      </w:pPr>
    </w:p>
    <w:p w:rsidR="001F714F" w:rsidRDefault="001F714F" w:rsidP="002219E2">
      <w:pPr>
        <w:pStyle w:val="ListParagraph"/>
        <w:ind w:left="1080"/>
        <w:rPr>
          <w:lang w:val="es-ES_tradnl"/>
        </w:rPr>
      </w:pPr>
      <w:r>
        <w:rPr>
          <w:noProof/>
          <w:lang w:val="es-ES" w:eastAsia="es-ES"/>
        </w:rPr>
        <w:lastRenderedPageBreak/>
        <w:drawing>
          <wp:inline distT="0" distB="0" distL="0" distR="0" wp14:anchorId="28F1D74F" wp14:editId="60DDB2F6">
            <wp:extent cx="3962400" cy="137160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962400" cy="1371600"/>
                    </a:xfrm>
                    <a:prstGeom prst="rect">
                      <a:avLst/>
                    </a:prstGeom>
                  </pic:spPr>
                </pic:pic>
              </a:graphicData>
            </a:graphic>
          </wp:inline>
        </w:drawing>
      </w:r>
    </w:p>
    <w:p w:rsidR="001F714F" w:rsidRDefault="001F714F" w:rsidP="002219E2">
      <w:pPr>
        <w:pStyle w:val="ListParagraph"/>
        <w:ind w:left="1080"/>
        <w:rPr>
          <w:lang w:val="es-ES_tradnl"/>
        </w:rPr>
      </w:pPr>
    </w:p>
    <w:p w:rsidR="001F714F" w:rsidRPr="00142724" w:rsidRDefault="001F714F" w:rsidP="002219E2">
      <w:pPr>
        <w:pStyle w:val="ListParagraph"/>
        <w:ind w:left="1080"/>
        <w:rPr>
          <w:lang w:val="es-ES_tradnl"/>
        </w:rPr>
      </w:pPr>
      <w:r>
        <w:rPr>
          <w:noProof/>
          <w:lang w:val="es-ES" w:eastAsia="es-ES"/>
        </w:rPr>
        <w:drawing>
          <wp:inline distT="0" distB="0" distL="0" distR="0" wp14:anchorId="34276939" wp14:editId="66FC9216">
            <wp:extent cx="3914775" cy="136207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914775" cy="1362075"/>
                    </a:xfrm>
                    <a:prstGeom prst="rect">
                      <a:avLst/>
                    </a:prstGeom>
                  </pic:spPr>
                </pic:pic>
              </a:graphicData>
            </a:graphic>
          </wp:inline>
        </w:drawing>
      </w:r>
    </w:p>
    <w:p w:rsidR="002219E2" w:rsidRPr="0056626B" w:rsidRDefault="002219E2" w:rsidP="002219E2">
      <w:pPr>
        <w:numPr>
          <w:ilvl w:val="1"/>
          <w:numId w:val="1"/>
        </w:numPr>
        <w:tabs>
          <w:tab w:val="clear" w:pos="360"/>
          <w:tab w:val="num" w:pos="709"/>
        </w:tabs>
        <w:spacing w:before="240"/>
        <w:ind w:left="709" w:hanging="709"/>
        <w:jc w:val="both"/>
      </w:pPr>
      <w:r>
        <w:rPr>
          <w:b/>
        </w:rPr>
        <w:t xml:space="preserve">Los </w:t>
      </w:r>
      <w:r w:rsidRPr="0042520C">
        <w:rPr>
          <w:b/>
        </w:rPr>
        <w:t>desembolsos</w:t>
      </w:r>
      <w:r w:rsidRPr="0042520C">
        <w:t xml:space="preserve">. </w:t>
      </w:r>
      <w:r w:rsidR="0042520C">
        <w:t>De acuerdo a la información suministrada por la DCV</w:t>
      </w:r>
      <w:r w:rsidR="0042520C">
        <w:rPr>
          <w:rStyle w:val="FootnoteReference"/>
        </w:rPr>
        <w:footnoteReference w:id="6"/>
      </w:r>
      <w:r w:rsidR="0042520C">
        <w:t>, se transcribe el estado de los desembolsos realizados a las Entidades Ejecutoras</w:t>
      </w:r>
      <w:r>
        <w:t>.</w:t>
      </w:r>
      <w:r w:rsidR="0042520C" w:rsidRPr="0042520C">
        <w:rPr>
          <w:noProof/>
          <w:lang w:val="es-PY" w:eastAsia="es-PY"/>
        </w:rPr>
        <w:t xml:space="preserve"> </w:t>
      </w:r>
      <w:r w:rsidR="0042520C">
        <w:rPr>
          <w:noProof/>
          <w:lang w:val="es-PY" w:eastAsia="es-PY"/>
        </w:rPr>
        <w:t>En el caso del Convenio de Alto Paraná Sur, donde se indicaron las fechas de solicitud de los desembolsos, puede apreciarse el tiempo transcurrido para la culminación del proceso.</w:t>
      </w:r>
      <w:r w:rsidR="0056626B">
        <w:rPr>
          <w:noProof/>
          <w:lang w:val="es-PY" w:eastAsia="es-PY"/>
        </w:rPr>
        <w:t xml:space="preserve"> S</w:t>
      </w:r>
      <w:r w:rsidR="005D199A">
        <w:rPr>
          <w:noProof/>
          <w:lang w:val="es-PY" w:eastAsia="es-PY"/>
        </w:rPr>
        <w:t>e calculó</w:t>
      </w:r>
      <w:r w:rsidR="0056626B">
        <w:rPr>
          <w:noProof/>
          <w:lang w:val="es-PY" w:eastAsia="es-PY"/>
        </w:rPr>
        <w:t xml:space="preserve"> un promedio ponderado de </w:t>
      </w:r>
      <w:r w:rsidR="005D199A">
        <w:rPr>
          <w:noProof/>
          <w:lang w:val="es-PY" w:eastAsia="es-PY"/>
        </w:rPr>
        <w:t>82</w:t>
      </w:r>
      <w:r w:rsidR="0056626B">
        <w:rPr>
          <w:noProof/>
          <w:lang w:val="es-PY" w:eastAsia="es-PY"/>
        </w:rPr>
        <w:t xml:space="preserve"> días </w:t>
      </w:r>
      <w:r w:rsidR="005D199A">
        <w:rPr>
          <w:noProof/>
          <w:lang w:val="es-PY" w:eastAsia="es-PY"/>
        </w:rPr>
        <w:t>de mora para el desembolsos de</w:t>
      </w:r>
      <w:r w:rsidR="0056626B">
        <w:rPr>
          <w:noProof/>
          <w:lang w:val="es-PY" w:eastAsia="es-PY"/>
        </w:rPr>
        <w:t xml:space="preserve"> los montos de cuotas.</w:t>
      </w:r>
    </w:p>
    <w:p w:rsidR="0056626B" w:rsidRPr="0056626B" w:rsidRDefault="0056626B" w:rsidP="0056626B">
      <w:pPr>
        <w:ind w:left="709"/>
        <w:jc w:val="both"/>
      </w:pPr>
    </w:p>
    <w:tbl>
      <w:tblPr>
        <w:tblW w:w="7881" w:type="dxa"/>
        <w:tblInd w:w="779" w:type="dxa"/>
        <w:tblCellMar>
          <w:left w:w="70" w:type="dxa"/>
          <w:right w:w="70" w:type="dxa"/>
        </w:tblCellMar>
        <w:tblLook w:val="04A0" w:firstRow="1" w:lastRow="0" w:firstColumn="1" w:lastColumn="0" w:noHBand="0" w:noVBand="1"/>
      </w:tblPr>
      <w:tblGrid>
        <w:gridCol w:w="1701"/>
        <w:gridCol w:w="1134"/>
        <w:gridCol w:w="1134"/>
        <w:gridCol w:w="1083"/>
        <w:gridCol w:w="1752"/>
        <w:gridCol w:w="1077"/>
      </w:tblGrid>
      <w:tr w:rsidR="0056626B" w:rsidRPr="00311496" w:rsidTr="0056626B">
        <w:trPr>
          <w:tblHeader/>
        </w:trPr>
        <w:tc>
          <w:tcPr>
            <w:tcW w:w="1701" w:type="dxa"/>
            <w:tcBorders>
              <w:top w:val="single" w:sz="4" w:space="0" w:color="auto"/>
              <w:left w:val="single" w:sz="4" w:space="0" w:color="auto"/>
              <w:bottom w:val="single" w:sz="4" w:space="0" w:color="auto"/>
              <w:right w:val="nil"/>
            </w:tcBorders>
            <w:shd w:val="clear" w:color="auto" w:fill="DAEEF3" w:themeFill="accent5" w:themeFillTint="33"/>
            <w:hideMark/>
          </w:tcPr>
          <w:p w:rsidR="0056626B" w:rsidRPr="0056626B" w:rsidRDefault="0056626B" w:rsidP="00311496">
            <w:pPr>
              <w:jc w:val="center"/>
              <w:rPr>
                <w:b/>
                <w:color w:val="000000"/>
                <w:sz w:val="20"/>
                <w:lang w:val="es-PY" w:eastAsia="es-PY"/>
              </w:rPr>
            </w:pPr>
            <w:r w:rsidRPr="0056626B">
              <w:rPr>
                <w:b/>
                <w:color w:val="000000"/>
                <w:sz w:val="20"/>
                <w:lang w:val="es-PY" w:eastAsia="es-PY"/>
              </w:rPr>
              <w:t>Fecha solicitud</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6626B" w:rsidRPr="0056626B" w:rsidRDefault="0056626B" w:rsidP="00311496">
            <w:pPr>
              <w:rPr>
                <w:b/>
                <w:color w:val="000000"/>
                <w:sz w:val="20"/>
                <w:lang w:val="es-PY" w:eastAsia="es-PY"/>
              </w:rPr>
            </w:pPr>
            <w:r w:rsidRPr="0056626B">
              <w:rPr>
                <w:b/>
                <w:color w:val="000000"/>
                <w:sz w:val="20"/>
                <w:lang w:val="es-PY" w:eastAsia="es-PY"/>
              </w:rPr>
              <w:t>Cuota N°</w:t>
            </w:r>
          </w:p>
        </w:tc>
        <w:tc>
          <w:tcPr>
            <w:tcW w:w="1134" w:type="dxa"/>
            <w:tcBorders>
              <w:top w:val="single" w:sz="4" w:space="0" w:color="auto"/>
              <w:left w:val="nil"/>
              <w:bottom w:val="single" w:sz="4" w:space="0" w:color="auto"/>
              <w:right w:val="nil"/>
            </w:tcBorders>
            <w:shd w:val="clear" w:color="auto" w:fill="DAEEF3" w:themeFill="accent5" w:themeFillTint="33"/>
            <w:hideMark/>
          </w:tcPr>
          <w:p w:rsidR="0056626B" w:rsidRPr="0056626B" w:rsidRDefault="0056626B" w:rsidP="00311496">
            <w:pPr>
              <w:rPr>
                <w:b/>
                <w:color w:val="000000"/>
                <w:sz w:val="20"/>
                <w:lang w:val="es-PY" w:eastAsia="es-PY"/>
              </w:rPr>
            </w:pPr>
            <w:r w:rsidRPr="0056626B">
              <w:rPr>
                <w:b/>
                <w:color w:val="000000"/>
                <w:sz w:val="20"/>
                <w:lang w:val="es-PY" w:eastAsia="es-PY"/>
              </w:rPr>
              <w:t>Fondos</w:t>
            </w:r>
          </w:p>
        </w:tc>
        <w:tc>
          <w:tcPr>
            <w:tcW w:w="1083"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6626B" w:rsidRPr="0056626B" w:rsidRDefault="0056626B" w:rsidP="00311496">
            <w:pPr>
              <w:jc w:val="center"/>
              <w:rPr>
                <w:b/>
                <w:color w:val="000000"/>
                <w:sz w:val="20"/>
                <w:lang w:val="es-PY" w:eastAsia="es-PY"/>
              </w:rPr>
            </w:pPr>
            <w:r w:rsidRPr="0056626B">
              <w:rPr>
                <w:b/>
                <w:color w:val="000000"/>
                <w:sz w:val="20"/>
                <w:lang w:val="es-PY" w:eastAsia="es-PY"/>
              </w:rPr>
              <w:t>% cuota</w:t>
            </w:r>
          </w:p>
        </w:tc>
        <w:tc>
          <w:tcPr>
            <w:tcW w:w="1752" w:type="dxa"/>
            <w:tcBorders>
              <w:top w:val="single" w:sz="4" w:space="0" w:color="auto"/>
              <w:left w:val="nil"/>
              <w:bottom w:val="single" w:sz="4" w:space="0" w:color="auto"/>
              <w:right w:val="nil"/>
            </w:tcBorders>
            <w:shd w:val="clear" w:color="auto" w:fill="DAEEF3" w:themeFill="accent5" w:themeFillTint="33"/>
            <w:hideMark/>
          </w:tcPr>
          <w:p w:rsidR="0056626B" w:rsidRPr="0056626B" w:rsidRDefault="0056626B" w:rsidP="00311496">
            <w:pPr>
              <w:jc w:val="center"/>
              <w:rPr>
                <w:b/>
                <w:color w:val="000000"/>
                <w:sz w:val="20"/>
                <w:lang w:val="es-PY" w:eastAsia="es-PY"/>
              </w:rPr>
            </w:pPr>
            <w:r w:rsidRPr="0056626B">
              <w:rPr>
                <w:b/>
                <w:color w:val="000000"/>
                <w:sz w:val="20"/>
                <w:lang w:val="es-PY" w:eastAsia="es-PY"/>
              </w:rPr>
              <w:t>Fecha desembolso</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rsidR="0056626B" w:rsidRPr="0056626B" w:rsidRDefault="0056626B" w:rsidP="00311496">
            <w:pPr>
              <w:jc w:val="center"/>
              <w:rPr>
                <w:b/>
                <w:color w:val="000000"/>
                <w:sz w:val="20"/>
                <w:lang w:val="es-PY" w:eastAsia="es-PY"/>
              </w:rPr>
            </w:pPr>
            <w:r w:rsidRPr="0056626B">
              <w:rPr>
                <w:b/>
                <w:color w:val="000000"/>
                <w:sz w:val="20"/>
                <w:lang w:val="es-PY" w:eastAsia="es-PY"/>
              </w:rPr>
              <w:t>Días</w:t>
            </w:r>
          </w:p>
        </w:tc>
      </w:tr>
      <w:tr w:rsidR="0056626B" w:rsidRPr="00311496" w:rsidTr="0056626B">
        <w:tc>
          <w:tcPr>
            <w:tcW w:w="1701" w:type="dxa"/>
            <w:tcBorders>
              <w:top w:val="nil"/>
              <w:left w:val="single" w:sz="4" w:space="0" w:color="auto"/>
              <w:bottom w:val="single" w:sz="4" w:space="0" w:color="auto"/>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28/11/2011</w:t>
            </w:r>
          </w:p>
        </w:tc>
        <w:tc>
          <w:tcPr>
            <w:tcW w:w="1134"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Cuota 1</w:t>
            </w:r>
          </w:p>
        </w:tc>
        <w:tc>
          <w:tcPr>
            <w:tcW w:w="1134" w:type="dxa"/>
            <w:tcBorders>
              <w:top w:val="nil"/>
              <w:left w:val="nil"/>
              <w:bottom w:val="single" w:sz="4" w:space="0" w:color="auto"/>
              <w:right w:val="nil"/>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Local</w:t>
            </w:r>
          </w:p>
        </w:tc>
        <w:tc>
          <w:tcPr>
            <w:tcW w:w="1083"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jc w:val="right"/>
              <w:rPr>
                <w:color w:val="000000"/>
                <w:sz w:val="20"/>
                <w:lang w:val="es-PY" w:eastAsia="es-PY"/>
              </w:rPr>
            </w:pPr>
            <w:r w:rsidRPr="00311496">
              <w:rPr>
                <w:color w:val="000000"/>
                <w:sz w:val="20"/>
                <w:lang w:val="es-PY" w:eastAsia="es-PY"/>
              </w:rPr>
              <w:t>100,0%</w:t>
            </w:r>
          </w:p>
        </w:tc>
        <w:tc>
          <w:tcPr>
            <w:tcW w:w="1752" w:type="dxa"/>
            <w:tcBorders>
              <w:top w:val="nil"/>
              <w:left w:val="nil"/>
              <w:bottom w:val="single" w:sz="4" w:space="0" w:color="auto"/>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18/01/2012</w:t>
            </w:r>
          </w:p>
        </w:tc>
        <w:tc>
          <w:tcPr>
            <w:tcW w:w="1077"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51</w:t>
            </w:r>
          </w:p>
        </w:tc>
      </w:tr>
      <w:tr w:rsidR="0056626B" w:rsidRPr="00311496" w:rsidTr="0056626B">
        <w:tc>
          <w:tcPr>
            <w:tcW w:w="1701" w:type="dxa"/>
            <w:vMerge w:val="restart"/>
            <w:tcBorders>
              <w:top w:val="nil"/>
              <w:left w:val="single" w:sz="4" w:space="0" w:color="auto"/>
              <w:bottom w:val="single" w:sz="4" w:space="0" w:color="000000"/>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23/05/2012</w:t>
            </w:r>
          </w:p>
        </w:tc>
        <w:tc>
          <w:tcPr>
            <w:tcW w:w="1134" w:type="dxa"/>
            <w:vMerge w:val="restart"/>
            <w:tcBorders>
              <w:top w:val="nil"/>
              <w:left w:val="single" w:sz="4" w:space="0" w:color="auto"/>
              <w:bottom w:val="single" w:sz="4" w:space="0" w:color="000000"/>
              <w:right w:val="single" w:sz="4" w:space="0" w:color="auto"/>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Cuota 2</w:t>
            </w:r>
          </w:p>
        </w:tc>
        <w:tc>
          <w:tcPr>
            <w:tcW w:w="1134" w:type="dxa"/>
            <w:tcBorders>
              <w:top w:val="nil"/>
              <w:left w:val="nil"/>
              <w:bottom w:val="nil"/>
              <w:right w:val="nil"/>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BID</w:t>
            </w:r>
          </w:p>
        </w:tc>
        <w:tc>
          <w:tcPr>
            <w:tcW w:w="1083"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jc w:val="right"/>
              <w:rPr>
                <w:color w:val="000000"/>
                <w:sz w:val="20"/>
                <w:lang w:val="es-PY" w:eastAsia="es-PY"/>
              </w:rPr>
            </w:pPr>
            <w:r w:rsidRPr="00311496">
              <w:rPr>
                <w:color w:val="000000"/>
                <w:sz w:val="20"/>
                <w:lang w:val="es-PY" w:eastAsia="es-PY"/>
              </w:rPr>
              <w:t>83,0%</w:t>
            </w:r>
          </w:p>
        </w:tc>
        <w:tc>
          <w:tcPr>
            <w:tcW w:w="1752" w:type="dxa"/>
            <w:tcBorders>
              <w:top w:val="nil"/>
              <w:left w:val="nil"/>
              <w:bottom w:val="nil"/>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06/08/2012</w:t>
            </w:r>
          </w:p>
        </w:tc>
        <w:tc>
          <w:tcPr>
            <w:tcW w:w="1077"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75</w:t>
            </w:r>
          </w:p>
        </w:tc>
      </w:tr>
      <w:tr w:rsidR="0056626B" w:rsidRPr="00311496" w:rsidTr="0056626B">
        <w:tc>
          <w:tcPr>
            <w:tcW w:w="1701" w:type="dxa"/>
            <w:vMerge/>
            <w:tcBorders>
              <w:top w:val="nil"/>
              <w:left w:val="single" w:sz="4" w:space="0" w:color="auto"/>
              <w:bottom w:val="single" w:sz="4" w:space="0" w:color="000000"/>
              <w:right w:val="nil"/>
            </w:tcBorders>
            <w:vAlign w:val="center"/>
            <w:hideMark/>
          </w:tcPr>
          <w:p w:rsidR="0056626B" w:rsidRPr="00311496" w:rsidRDefault="0056626B" w:rsidP="00311496">
            <w:pPr>
              <w:rPr>
                <w:color w:val="000000"/>
                <w:sz w:val="20"/>
                <w:lang w:val="es-PY" w:eastAsia="es-PY"/>
              </w:rPr>
            </w:pPr>
          </w:p>
        </w:tc>
        <w:tc>
          <w:tcPr>
            <w:tcW w:w="1134" w:type="dxa"/>
            <w:vMerge/>
            <w:tcBorders>
              <w:top w:val="nil"/>
              <w:left w:val="single" w:sz="4" w:space="0" w:color="auto"/>
              <w:bottom w:val="single" w:sz="4" w:space="0" w:color="000000"/>
              <w:right w:val="single" w:sz="4" w:space="0" w:color="auto"/>
            </w:tcBorders>
            <w:vAlign w:val="center"/>
            <w:hideMark/>
          </w:tcPr>
          <w:p w:rsidR="0056626B" w:rsidRPr="00311496" w:rsidRDefault="0056626B" w:rsidP="00311496">
            <w:pPr>
              <w:rPr>
                <w:color w:val="000000"/>
                <w:sz w:val="20"/>
                <w:lang w:val="es-PY" w:eastAsia="es-PY"/>
              </w:rPr>
            </w:pPr>
          </w:p>
        </w:tc>
        <w:tc>
          <w:tcPr>
            <w:tcW w:w="1134" w:type="dxa"/>
            <w:tcBorders>
              <w:top w:val="nil"/>
              <w:left w:val="nil"/>
              <w:bottom w:val="single" w:sz="4" w:space="0" w:color="auto"/>
              <w:right w:val="nil"/>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OFID</w:t>
            </w:r>
          </w:p>
        </w:tc>
        <w:tc>
          <w:tcPr>
            <w:tcW w:w="1083"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jc w:val="right"/>
              <w:rPr>
                <w:color w:val="000000"/>
                <w:sz w:val="20"/>
                <w:lang w:val="es-PY" w:eastAsia="es-PY"/>
              </w:rPr>
            </w:pPr>
            <w:r w:rsidRPr="00311496">
              <w:rPr>
                <w:color w:val="000000"/>
                <w:sz w:val="20"/>
                <w:lang w:val="es-PY" w:eastAsia="es-PY"/>
              </w:rPr>
              <w:t>17,0%</w:t>
            </w:r>
          </w:p>
        </w:tc>
        <w:tc>
          <w:tcPr>
            <w:tcW w:w="1752" w:type="dxa"/>
            <w:tcBorders>
              <w:top w:val="nil"/>
              <w:left w:val="nil"/>
              <w:bottom w:val="single" w:sz="4" w:space="0" w:color="auto"/>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23/10/2012</w:t>
            </w:r>
          </w:p>
        </w:tc>
        <w:tc>
          <w:tcPr>
            <w:tcW w:w="1077"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153</w:t>
            </w:r>
          </w:p>
        </w:tc>
      </w:tr>
      <w:tr w:rsidR="0056626B" w:rsidRPr="00311496" w:rsidTr="0056626B">
        <w:tc>
          <w:tcPr>
            <w:tcW w:w="1701" w:type="dxa"/>
            <w:vMerge w:val="restart"/>
            <w:tcBorders>
              <w:top w:val="nil"/>
              <w:left w:val="single" w:sz="4" w:space="0" w:color="auto"/>
              <w:bottom w:val="single" w:sz="4" w:space="0" w:color="000000"/>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19/10/2012</w:t>
            </w:r>
          </w:p>
        </w:tc>
        <w:tc>
          <w:tcPr>
            <w:tcW w:w="1134"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Cuota 3</w:t>
            </w:r>
          </w:p>
        </w:tc>
        <w:tc>
          <w:tcPr>
            <w:tcW w:w="1134" w:type="dxa"/>
            <w:tcBorders>
              <w:top w:val="nil"/>
              <w:left w:val="nil"/>
              <w:bottom w:val="nil"/>
              <w:right w:val="nil"/>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BID</w:t>
            </w:r>
          </w:p>
        </w:tc>
        <w:tc>
          <w:tcPr>
            <w:tcW w:w="1083"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jc w:val="right"/>
              <w:rPr>
                <w:color w:val="000000"/>
                <w:sz w:val="20"/>
                <w:lang w:val="es-PY" w:eastAsia="es-PY"/>
              </w:rPr>
            </w:pPr>
            <w:r w:rsidRPr="00311496">
              <w:rPr>
                <w:color w:val="000000"/>
                <w:sz w:val="20"/>
                <w:lang w:val="es-PY" w:eastAsia="es-PY"/>
              </w:rPr>
              <w:t>68,5%</w:t>
            </w:r>
          </w:p>
        </w:tc>
        <w:tc>
          <w:tcPr>
            <w:tcW w:w="1752" w:type="dxa"/>
            <w:tcBorders>
              <w:top w:val="nil"/>
              <w:left w:val="nil"/>
              <w:bottom w:val="nil"/>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19/11/2012</w:t>
            </w:r>
          </w:p>
        </w:tc>
        <w:tc>
          <w:tcPr>
            <w:tcW w:w="1077"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31</w:t>
            </w:r>
          </w:p>
        </w:tc>
      </w:tr>
      <w:tr w:rsidR="0056626B" w:rsidRPr="00311496" w:rsidTr="0056626B">
        <w:tc>
          <w:tcPr>
            <w:tcW w:w="1701" w:type="dxa"/>
            <w:vMerge/>
            <w:tcBorders>
              <w:top w:val="nil"/>
              <w:left w:val="single" w:sz="4" w:space="0" w:color="auto"/>
              <w:bottom w:val="single" w:sz="4" w:space="0" w:color="000000"/>
              <w:right w:val="nil"/>
            </w:tcBorders>
            <w:vAlign w:val="center"/>
            <w:hideMark/>
          </w:tcPr>
          <w:p w:rsidR="0056626B" w:rsidRPr="00311496" w:rsidRDefault="0056626B" w:rsidP="00311496">
            <w:pPr>
              <w:rPr>
                <w:color w:val="000000"/>
                <w:sz w:val="20"/>
                <w:lang w:val="es-PY" w:eastAsia="es-PY"/>
              </w:rPr>
            </w:pPr>
          </w:p>
        </w:tc>
        <w:tc>
          <w:tcPr>
            <w:tcW w:w="1134"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 </w:t>
            </w:r>
          </w:p>
        </w:tc>
        <w:tc>
          <w:tcPr>
            <w:tcW w:w="1134" w:type="dxa"/>
            <w:tcBorders>
              <w:top w:val="nil"/>
              <w:left w:val="nil"/>
              <w:bottom w:val="single" w:sz="4" w:space="0" w:color="auto"/>
              <w:right w:val="nil"/>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OFID</w:t>
            </w:r>
          </w:p>
        </w:tc>
        <w:tc>
          <w:tcPr>
            <w:tcW w:w="1083"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jc w:val="right"/>
              <w:rPr>
                <w:color w:val="000000"/>
                <w:sz w:val="20"/>
                <w:lang w:val="es-PY" w:eastAsia="es-PY"/>
              </w:rPr>
            </w:pPr>
            <w:r w:rsidRPr="00311496">
              <w:rPr>
                <w:color w:val="000000"/>
                <w:sz w:val="20"/>
                <w:lang w:val="es-PY" w:eastAsia="es-PY"/>
              </w:rPr>
              <w:t>31,5%</w:t>
            </w:r>
          </w:p>
        </w:tc>
        <w:tc>
          <w:tcPr>
            <w:tcW w:w="1752" w:type="dxa"/>
            <w:tcBorders>
              <w:top w:val="nil"/>
              <w:left w:val="nil"/>
              <w:bottom w:val="single" w:sz="4" w:space="0" w:color="auto"/>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21/12/2012</w:t>
            </w:r>
          </w:p>
        </w:tc>
        <w:tc>
          <w:tcPr>
            <w:tcW w:w="1077"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63</w:t>
            </w:r>
          </w:p>
        </w:tc>
      </w:tr>
      <w:tr w:rsidR="0056626B" w:rsidRPr="00311496" w:rsidTr="0056626B">
        <w:tc>
          <w:tcPr>
            <w:tcW w:w="1701" w:type="dxa"/>
            <w:vMerge w:val="restart"/>
            <w:tcBorders>
              <w:top w:val="nil"/>
              <w:left w:val="single" w:sz="4" w:space="0" w:color="auto"/>
              <w:bottom w:val="single" w:sz="4" w:space="0" w:color="000000"/>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25/02/2013</w:t>
            </w:r>
          </w:p>
        </w:tc>
        <w:tc>
          <w:tcPr>
            <w:tcW w:w="1134"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Cuota 4</w:t>
            </w:r>
          </w:p>
        </w:tc>
        <w:tc>
          <w:tcPr>
            <w:tcW w:w="1134" w:type="dxa"/>
            <w:tcBorders>
              <w:top w:val="nil"/>
              <w:left w:val="nil"/>
              <w:bottom w:val="nil"/>
              <w:right w:val="nil"/>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LOCAL</w:t>
            </w:r>
          </w:p>
        </w:tc>
        <w:tc>
          <w:tcPr>
            <w:tcW w:w="1083"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jc w:val="right"/>
              <w:rPr>
                <w:color w:val="000000"/>
                <w:sz w:val="20"/>
                <w:lang w:val="es-PY" w:eastAsia="es-PY"/>
              </w:rPr>
            </w:pPr>
            <w:r w:rsidRPr="00311496">
              <w:rPr>
                <w:color w:val="000000"/>
                <w:sz w:val="20"/>
                <w:lang w:val="es-PY" w:eastAsia="es-PY"/>
              </w:rPr>
              <w:t>26,5%</w:t>
            </w:r>
          </w:p>
        </w:tc>
        <w:tc>
          <w:tcPr>
            <w:tcW w:w="1752" w:type="dxa"/>
            <w:tcBorders>
              <w:top w:val="nil"/>
              <w:left w:val="nil"/>
              <w:bottom w:val="nil"/>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17/05/2013</w:t>
            </w:r>
          </w:p>
        </w:tc>
        <w:tc>
          <w:tcPr>
            <w:tcW w:w="1077"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81</w:t>
            </w:r>
          </w:p>
        </w:tc>
      </w:tr>
      <w:tr w:rsidR="0056626B" w:rsidRPr="00311496" w:rsidTr="0056626B">
        <w:tc>
          <w:tcPr>
            <w:tcW w:w="1701" w:type="dxa"/>
            <w:vMerge/>
            <w:tcBorders>
              <w:top w:val="nil"/>
              <w:left w:val="single" w:sz="4" w:space="0" w:color="auto"/>
              <w:bottom w:val="single" w:sz="4" w:space="0" w:color="000000"/>
              <w:right w:val="nil"/>
            </w:tcBorders>
            <w:vAlign w:val="center"/>
            <w:hideMark/>
          </w:tcPr>
          <w:p w:rsidR="0056626B" w:rsidRPr="00311496" w:rsidRDefault="0056626B" w:rsidP="00311496">
            <w:pPr>
              <w:rPr>
                <w:color w:val="000000"/>
                <w:sz w:val="20"/>
                <w:lang w:val="es-PY" w:eastAsia="es-PY"/>
              </w:rPr>
            </w:pPr>
          </w:p>
        </w:tc>
        <w:tc>
          <w:tcPr>
            <w:tcW w:w="1134"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 </w:t>
            </w:r>
          </w:p>
        </w:tc>
        <w:tc>
          <w:tcPr>
            <w:tcW w:w="1134" w:type="dxa"/>
            <w:tcBorders>
              <w:top w:val="nil"/>
              <w:left w:val="nil"/>
              <w:bottom w:val="nil"/>
              <w:right w:val="nil"/>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BID</w:t>
            </w:r>
          </w:p>
        </w:tc>
        <w:tc>
          <w:tcPr>
            <w:tcW w:w="1083"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jc w:val="right"/>
              <w:rPr>
                <w:color w:val="000000"/>
                <w:sz w:val="20"/>
                <w:lang w:val="es-PY" w:eastAsia="es-PY"/>
              </w:rPr>
            </w:pPr>
            <w:r w:rsidRPr="00311496">
              <w:rPr>
                <w:color w:val="000000"/>
                <w:sz w:val="20"/>
                <w:lang w:val="es-PY" w:eastAsia="es-PY"/>
              </w:rPr>
              <w:t>45,5%</w:t>
            </w:r>
          </w:p>
        </w:tc>
        <w:tc>
          <w:tcPr>
            <w:tcW w:w="1752" w:type="dxa"/>
            <w:tcBorders>
              <w:top w:val="nil"/>
              <w:left w:val="nil"/>
              <w:bottom w:val="nil"/>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17/05/2013</w:t>
            </w:r>
          </w:p>
        </w:tc>
        <w:tc>
          <w:tcPr>
            <w:tcW w:w="1077"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81</w:t>
            </w:r>
          </w:p>
        </w:tc>
      </w:tr>
      <w:tr w:rsidR="0056626B" w:rsidRPr="00311496" w:rsidTr="0056626B">
        <w:tc>
          <w:tcPr>
            <w:tcW w:w="1701" w:type="dxa"/>
            <w:vMerge/>
            <w:tcBorders>
              <w:top w:val="nil"/>
              <w:left w:val="single" w:sz="4" w:space="0" w:color="auto"/>
              <w:bottom w:val="single" w:sz="4" w:space="0" w:color="000000"/>
              <w:right w:val="nil"/>
            </w:tcBorders>
            <w:vAlign w:val="center"/>
            <w:hideMark/>
          </w:tcPr>
          <w:p w:rsidR="0056626B" w:rsidRPr="00311496" w:rsidRDefault="0056626B" w:rsidP="00311496">
            <w:pPr>
              <w:rPr>
                <w:color w:val="000000"/>
                <w:sz w:val="20"/>
                <w:lang w:val="es-PY" w:eastAsia="es-PY"/>
              </w:rPr>
            </w:pPr>
          </w:p>
        </w:tc>
        <w:tc>
          <w:tcPr>
            <w:tcW w:w="1134"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 </w:t>
            </w:r>
          </w:p>
        </w:tc>
        <w:tc>
          <w:tcPr>
            <w:tcW w:w="1134" w:type="dxa"/>
            <w:tcBorders>
              <w:top w:val="nil"/>
              <w:left w:val="nil"/>
              <w:bottom w:val="single" w:sz="4" w:space="0" w:color="auto"/>
              <w:right w:val="nil"/>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OFID</w:t>
            </w:r>
          </w:p>
        </w:tc>
        <w:tc>
          <w:tcPr>
            <w:tcW w:w="1083"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jc w:val="right"/>
              <w:rPr>
                <w:color w:val="000000"/>
                <w:sz w:val="20"/>
                <w:lang w:val="es-PY" w:eastAsia="es-PY"/>
              </w:rPr>
            </w:pPr>
            <w:r w:rsidRPr="00311496">
              <w:rPr>
                <w:color w:val="000000"/>
                <w:sz w:val="20"/>
                <w:lang w:val="es-PY" w:eastAsia="es-PY"/>
              </w:rPr>
              <w:t>28,0%</w:t>
            </w:r>
          </w:p>
        </w:tc>
        <w:tc>
          <w:tcPr>
            <w:tcW w:w="1752" w:type="dxa"/>
            <w:tcBorders>
              <w:top w:val="nil"/>
              <w:left w:val="nil"/>
              <w:bottom w:val="single" w:sz="4" w:space="0" w:color="auto"/>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28/08/2013</w:t>
            </w:r>
          </w:p>
        </w:tc>
        <w:tc>
          <w:tcPr>
            <w:tcW w:w="1077"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184</w:t>
            </w:r>
          </w:p>
        </w:tc>
      </w:tr>
      <w:tr w:rsidR="0056626B" w:rsidRPr="00311496" w:rsidTr="0056626B">
        <w:tc>
          <w:tcPr>
            <w:tcW w:w="1701" w:type="dxa"/>
            <w:vMerge w:val="restart"/>
            <w:tcBorders>
              <w:top w:val="nil"/>
              <w:left w:val="single" w:sz="4" w:space="0" w:color="auto"/>
              <w:bottom w:val="single" w:sz="4" w:space="0" w:color="000000"/>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27/06/2013</w:t>
            </w:r>
          </w:p>
        </w:tc>
        <w:tc>
          <w:tcPr>
            <w:tcW w:w="1134"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Cuota 5</w:t>
            </w:r>
          </w:p>
        </w:tc>
        <w:tc>
          <w:tcPr>
            <w:tcW w:w="1134" w:type="dxa"/>
            <w:tcBorders>
              <w:top w:val="nil"/>
              <w:left w:val="nil"/>
              <w:bottom w:val="nil"/>
              <w:right w:val="nil"/>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OFID</w:t>
            </w:r>
          </w:p>
        </w:tc>
        <w:tc>
          <w:tcPr>
            <w:tcW w:w="1083"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jc w:val="right"/>
              <w:rPr>
                <w:color w:val="000000"/>
                <w:sz w:val="20"/>
                <w:lang w:val="es-PY" w:eastAsia="es-PY"/>
              </w:rPr>
            </w:pPr>
            <w:r w:rsidRPr="00311496">
              <w:rPr>
                <w:color w:val="000000"/>
                <w:sz w:val="20"/>
                <w:lang w:val="es-PY" w:eastAsia="es-PY"/>
              </w:rPr>
              <w:t>17,0%</w:t>
            </w:r>
          </w:p>
        </w:tc>
        <w:tc>
          <w:tcPr>
            <w:tcW w:w="1752" w:type="dxa"/>
            <w:tcBorders>
              <w:top w:val="nil"/>
              <w:left w:val="nil"/>
              <w:bottom w:val="nil"/>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02/09/2013</w:t>
            </w:r>
          </w:p>
        </w:tc>
        <w:tc>
          <w:tcPr>
            <w:tcW w:w="1077"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67</w:t>
            </w:r>
          </w:p>
        </w:tc>
      </w:tr>
      <w:tr w:rsidR="0056626B" w:rsidRPr="00311496" w:rsidTr="0056626B">
        <w:tc>
          <w:tcPr>
            <w:tcW w:w="1701" w:type="dxa"/>
            <w:vMerge/>
            <w:tcBorders>
              <w:top w:val="nil"/>
              <w:left w:val="single" w:sz="4" w:space="0" w:color="auto"/>
              <w:bottom w:val="single" w:sz="4" w:space="0" w:color="000000"/>
              <w:right w:val="nil"/>
            </w:tcBorders>
            <w:vAlign w:val="center"/>
            <w:hideMark/>
          </w:tcPr>
          <w:p w:rsidR="0056626B" w:rsidRPr="00311496" w:rsidRDefault="0056626B" w:rsidP="00311496">
            <w:pPr>
              <w:rPr>
                <w:color w:val="000000"/>
                <w:sz w:val="20"/>
                <w:lang w:val="es-PY" w:eastAsia="es-PY"/>
              </w:rPr>
            </w:pPr>
          </w:p>
        </w:tc>
        <w:tc>
          <w:tcPr>
            <w:tcW w:w="1134"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 </w:t>
            </w:r>
          </w:p>
        </w:tc>
        <w:tc>
          <w:tcPr>
            <w:tcW w:w="1134" w:type="dxa"/>
            <w:tcBorders>
              <w:top w:val="nil"/>
              <w:left w:val="nil"/>
              <w:bottom w:val="nil"/>
              <w:right w:val="nil"/>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BID</w:t>
            </w:r>
          </w:p>
        </w:tc>
        <w:tc>
          <w:tcPr>
            <w:tcW w:w="1083"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jc w:val="right"/>
              <w:rPr>
                <w:color w:val="000000"/>
                <w:sz w:val="20"/>
                <w:lang w:val="es-PY" w:eastAsia="es-PY"/>
              </w:rPr>
            </w:pPr>
            <w:r w:rsidRPr="00311496">
              <w:rPr>
                <w:color w:val="000000"/>
                <w:sz w:val="20"/>
                <w:lang w:val="es-PY" w:eastAsia="es-PY"/>
              </w:rPr>
              <w:t>46,0%</w:t>
            </w:r>
          </w:p>
        </w:tc>
        <w:tc>
          <w:tcPr>
            <w:tcW w:w="1752" w:type="dxa"/>
            <w:tcBorders>
              <w:top w:val="nil"/>
              <w:left w:val="nil"/>
              <w:bottom w:val="nil"/>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19/12/2013</w:t>
            </w:r>
          </w:p>
        </w:tc>
        <w:tc>
          <w:tcPr>
            <w:tcW w:w="1077"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175</w:t>
            </w:r>
          </w:p>
        </w:tc>
      </w:tr>
      <w:tr w:rsidR="0056626B" w:rsidRPr="00311496" w:rsidTr="0056626B">
        <w:tc>
          <w:tcPr>
            <w:tcW w:w="1701" w:type="dxa"/>
            <w:vMerge/>
            <w:tcBorders>
              <w:top w:val="nil"/>
              <w:left w:val="single" w:sz="4" w:space="0" w:color="auto"/>
              <w:bottom w:val="single" w:sz="4" w:space="0" w:color="000000"/>
              <w:right w:val="nil"/>
            </w:tcBorders>
            <w:vAlign w:val="center"/>
            <w:hideMark/>
          </w:tcPr>
          <w:p w:rsidR="0056626B" w:rsidRPr="00311496" w:rsidRDefault="0056626B" w:rsidP="00311496">
            <w:pPr>
              <w:rPr>
                <w:color w:val="000000"/>
                <w:sz w:val="20"/>
                <w:lang w:val="es-PY" w:eastAsia="es-PY"/>
              </w:rPr>
            </w:pPr>
          </w:p>
        </w:tc>
        <w:tc>
          <w:tcPr>
            <w:tcW w:w="1134"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 </w:t>
            </w:r>
          </w:p>
        </w:tc>
        <w:tc>
          <w:tcPr>
            <w:tcW w:w="1134" w:type="dxa"/>
            <w:tcBorders>
              <w:top w:val="nil"/>
              <w:left w:val="nil"/>
              <w:bottom w:val="single" w:sz="4" w:space="0" w:color="auto"/>
              <w:right w:val="nil"/>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LOCAL</w:t>
            </w:r>
          </w:p>
        </w:tc>
        <w:tc>
          <w:tcPr>
            <w:tcW w:w="1083"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jc w:val="right"/>
              <w:rPr>
                <w:color w:val="000000"/>
                <w:sz w:val="20"/>
                <w:lang w:val="es-PY" w:eastAsia="es-PY"/>
              </w:rPr>
            </w:pPr>
            <w:r w:rsidRPr="00311496">
              <w:rPr>
                <w:color w:val="000000"/>
                <w:sz w:val="20"/>
                <w:lang w:val="es-PY" w:eastAsia="es-PY"/>
              </w:rPr>
              <w:t>37,0%</w:t>
            </w:r>
          </w:p>
        </w:tc>
        <w:tc>
          <w:tcPr>
            <w:tcW w:w="1752" w:type="dxa"/>
            <w:tcBorders>
              <w:top w:val="nil"/>
              <w:left w:val="nil"/>
              <w:bottom w:val="single" w:sz="4" w:space="0" w:color="auto"/>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30/12/2013</w:t>
            </w:r>
          </w:p>
        </w:tc>
        <w:tc>
          <w:tcPr>
            <w:tcW w:w="1077"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186</w:t>
            </w:r>
          </w:p>
        </w:tc>
      </w:tr>
      <w:tr w:rsidR="0056626B" w:rsidRPr="00311496" w:rsidTr="0056626B">
        <w:tc>
          <w:tcPr>
            <w:tcW w:w="1701" w:type="dxa"/>
            <w:vMerge w:val="restart"/>
            <w:tcBorders>
              <w:top w:val="nil"/>
              <w:left w:val="single" w:sz="4" w:space="0" w:color="auto"/>
              <w:bottom w:val="single" w:sz="4" w:space="0" w:color="000000"/>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24/04/2014</w:t>
            </w:r>
          </w:p>
        </w:tc>
        <w:tc>
          <w:tcPr>
            <w:tcW w:w="1134"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Cuota 6</w:t>
            </w:r>
          </w:p>
        </w:tc>
        <w:tc>
          <w:tcPr>
            <w:tcW w:w="1134" w:type="dxa"/>
            <w:tcBorders>
              <w:top w:val="nil"/>
              <w:left w:val="nil"/>
              <w:bottom w:val="nil"/>
              <w:right w:val="nil"/>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BID</w:t>
            </w:r>
          </w:p>
        </w:tc>
        <w:tc>
          <w:tcPr>
            <w:tcW w:w="1083"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jc w:val="right"/>
              <w:rPr>
                <w:color w:val="000000"/>
                <w:sz w:val="20"/>
                <w:lang w:val="es-PY" w:eastAsia="es-PY"/>
              </w:rPr>
            </w:pPr>
            <w:r w:rsidRPr="00311496">
              <w:rPr>
                <w:color w:val="000000"/>
                <w:sz w:val="20"/>
                <w:lang w:val="es-PY" w:eastAsia="es-PY"/>
              </w:rPr>
              <w:t>46,4%</w:t>
            </w:r>
          </w:p>
        </w:tc>
        <w:tc>
          <w:tcPr>
            <w:tcW w:w="1752" w:type="dxa"/>
            <w:tcBorders>
              <w:top w:val="nil"/>
              <w:left w:val="nil"/>
              <w:bottom w:val="nil"/>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29/05/2014</w:t>
            </w:r>
          </w:p>
        </w:tc>
        <w:tc>
          <w:tcPr>
            <w:tcW w:w="1077"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35</w:t>
            </w:r>
          </w:p>
        </w:tc>
      </w:tr>
      <w:tr w:rsidR="0056626B" w:rsidRPr="00311496" w:rsidTr="0056626B">
        <w:tc>
          <w:tcPr>
            <w:tcW w:w="1701" w:type="dxa"/>
            <w:vMerge/>
            <w:tcBorders>
              <w:top w:val="nil"/>
              <w:left w:val="single" w:sz="4" w:space="0" w:color="auto"/>
              <w:bottom w:val="single" w:sz="4" w:space="0" w:color="000000"/>
              <w:right w:val="nil"/>
            </w:tcBorders>
            <w:vAlign w:val="center"/>
            <w:hideMark/>
          </w:tcPr>
          <w:p w:rsidR="0056626B" w:rsidRPr="00311496" w:rsidRDefault="0056626B" w:rsidP="00311496">
            <w:pPr>
              <w:rPr>
                <w:color w:val="000000"/>
                <w:sz w:val="20"/>
                <w:lang w:val="es-PY" w:eastAsia="es-PY"/>
              </w:rPr>
            </w:pPr>
          </w:p>
        </w:tc>
        <w:tc>
          <w:tcPr>
            <w:tcW w:w="1134"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 </w:t>
            </w:r>
          </w:p>
        </w:tc>
        <w:tc>
          <w:tcPr>
            <w:tcW w:w="1134" w:type="dxa"/>
            <w:tcBorders>
              <w:top w:val="nil"/>
              <w:left w:val="nil"/>
              <w:bottom w:val="nil"/>
              <w:right w:val="nil"/>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LOCAL</w:t>
            </w:r>
          </w:p>
        </w:tc>
        <w:tc>
          <w:tcPr>
            <w:tcW w:w="1083"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jc w:val="right"/>
              <w:rPr>
                <w:color w:val="000000"/>
                <w:sz w:val="20"/>
                <w:lang w:val="es-PY" w:eastAsia="es-PY"/>
              </w:rPr>
            </w:pPr>
            <w:r w:rsidRPr="00311496">
              <w:rPr>
                <w:color w:val="000000"/>
                <w:sz w:val="20"/>
                <w:lang w:val="es-PY" w:eastAsia="es-PY"/>
              </w:rPr>
              <w:t>36,7%</w:t>
            </w:r>
          </w:p>
        </w:tc>
        <w:tc>
          <w:tcPr>
            <w:tcW w:w="1752" w:type="dxa"/>
            <w:tcBorders>
              <w:top w:val="nil"/>
              <w:left w:val="nil"/>
              <w:bottom w:val="nil"/>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Pendiente</w:t>
            </w:r>
          </w:p>
        </w:tc>
        <w:tc>
          <w:tcPr>
            <w:tcW w:w="1077" w:type="dxa"/>
            <w:tcBorders>
              <w:top w:val="nil"/>
              <w:left w:val="single" w:sz="4" w:space="0" w:color="auto"/>
              <w:bottom w:val="nil"/>
              <w:right w:val="single" w:sz="4" w:space="0" w:color="auto"/>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&gt; 100</w:t>
            </w:r>
          </w:p>
        </w:tc>
      </w:tr>
      <w:tr w:rsidR="0056626B" w:rsidRPr="00311496" w:rsidTr="0056626B">
        <w:tc>
          <w:tcPr>
            <w:tcW w:w="1701" w:type="dxa"/>
            <w:vMerge/>
            <w:tcBorders>
              <w:top w:val="nil"/>
              <w:left w:val="single" w:sz="4" w:space="0" w:color="auto"/>
              <w:bottom w:val="single" w:sz="4" w:space="0" w:color="000000"/>
              <w:right w:val="nil"/>
            </w:tcBorders>
            <w:vAlign w:val="center"/>
            <w:hideMark/>
          </w:tcPr>
          <w:p w:rsidR="0056626B" w:rsidRPr="00311496" w:rsidRDefault="0056626B" w:rsidP="00311496">
            <w:pPr>
              <w:rPr>
                <w:color w:val="000000"/>
                <w:sz w:val="20"/>
                <w:lang w:val="es-PY" w:eastAsia="es-PY"/>
              </w:rPr>
            </w:pPr>
          </w:p>
        </w:tc>
        <w:tc>
          <w:tcPr>
            <w:tcW w:w="1134"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 </w:t>
            </w:r>
          </w:p>
        </w:tc>
        <w:tc>
          <w:tcPr>
            <w:tcW w:w="1134" w:type="dxa"/>
            <w:tcBorders>
              <w:top w:val="nil"/>
              <w:left w:val="nil"/>
              <w:bottom w:val="single" w:sz="4" w:space="0" w:color="auto"/>
              <w:right w:val="nil"/>
            </w:tcBorders>
            <w:shd w:val="clear" w:color="auto" w:fill="auto"/>
            <w:noWrap/>
            <w:hideMark/>
          </w:tcPr>
          <w:p w:rsidR="0056626B" w:rsidRPr="00311496" w:rsidRDefault="0056626B" w:rsidP="00311496">
            <w:pPr>
              <w:rPr>
                <w:color w:val="000000"/>
                <w:sz w:val="20"/>
                <w:lang w:val="es-PY" w:eastAsia="es-PY"/>
              </w:rPr>
            </w:pPr>
            <w:r w:rsidRPr="00311496">
              <w:rPr>
                <w:color w:val="000000"/>
                <w:sz w:val="20"/>
                <w:lang w:val="es-PY" w:eastAsia="es-PY"/>
              </w:rPr>
              <w:t>OFID</w:t>
            </w:r>
          </w:p>
        </w:tc>
        <w:tc>
          <w:tcPr>
            <w:tcW w:w="1083"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jc w:val="right"/>
              <w:rPr>
                <w:color w:val="000000"/>
                <w:sz w:val="20"/>
                <w:lang w:val="es-PY" w:eastAsia="es-PY"/>
              </w:rPr>
            </w:pPr>
            <w:r w:rsidRPr="00311496">
              <w:rPr>
                <w:color w:val="000000"/>
                <w:sz w:val="20"/>
                <w:lang w:val="es-PY" w:eastAsia="es-PY"/>
              </w:rPr>
              <w:t>16,9%</w:t>
            </w:r>
          </w:p>
        </w:tc>
        <w:tc>
          <w:tcPr>
            <w:tcW w:w="1752" w:type="dxa"/>
            <w:tcBorders>
              <w:top w:val="nil"/>
              <w:left w:val="nil"/>
              <w:bottom w:val="single" w:sz="4" w:space="0" w:color="auto"/>
              <w:right w:val="nil"/>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Pendiente</w:t>
            </w:r>
          </w:p>
        </w:tc>
        <w:tc>
          <w:tcPr>
            <w:tcW w:w="1077" w:type="dxa"/>
            <w:tcBorders>
              <w:top w:val="nil"/>
              <w:left w:val="single" w:sz="4" w:space="0" w:color="auto"/>
              <w:bottom w:val="single" w:sz="4" w:space="0" w:color="auto"/>
              <w:right w:val="single" w:sz="4" w:space="0" w:color="auto"/>
            </w:tcBorders>
            <w:shd w:val="clear" w:color="auto" w:fill="auto"/>
            <w:noWrap/>
            <w:hideMark/>
          </w:tcPr>
          <w:p w:rsidR="0056626B" w:rsidRPr="00311496" w:rsidRDefault="0056626B" w:rsidP="00311496">
            <w:pPr>
              <w:jc w:val="center"/>
              <w:rPr>
                <w:color w:val="000000"/>
                <w:sz w:val="20"/>
                <w:lang w:val="es-PY" w:eastAsia="es-PY"/>
              </w:rPr>
            </w:pPr>
            <w:r w:rsidRPr="00311496">
              <w:rPr>
                <w:color w:val="000000"/>
                <w:sz w:val="20"/>
                <w:lang w:val="es-PY" w:eastAsia="es-PY"/>
              </w:rPr>
              <w:t>&gt; 100</w:t>
            </w:r>
          </w:p>
        </w:tc>
      </w:tr>
    </w:tbl>
    <w:p w:rsidR="0042520C" w:rsidRDefault="0042520C" w:rsidP="0042520C">
      <w:pPr>
        <w:spacing w:before="240"/>
        <w:ind w:left="709"/>
        <w:jc w:val="both"/>
      </w:pPr>
    </w:p>
    <w:p w:rsidR="002219E2" w:rsidRDefault="002219E2" w:rsidP="00826CB7">
      <w:pPr>
        <w:pStyle w:val="ListParagraph"/>
        <w:keepNext/>
        <w:numPr>
          <w:ilvl w:val="0"/>
          <w:numId w:val="7"/>
        </w:numPr>
        <w:spacing w:before="120" w:after="120" w:line="240" w:lineRule="atLeast"/>
        <w:ind w:hanging="357"/>
        <w:contextualSpacing w:val="0"/>
        <w:jc w:val="both"/>
        <w:rPr>
          <w:rFonts w:ascii="Times New Roman" w:eastAsia="Times New Roman" w:hAnsi="Times New Roman" w:cs="Times New Roman"/>
          <w:sz w:val="24"/>
          <w:szCs w:val="20"/>
          <w:lang w:val="es-ES_tradnl" w:eastAsia="en-US"/>
        </w:rPr>
      </w:pPr>
      <w:r w:rsidRPr="002219E2">
        <w:rPr>
          <w:rFonts w:ascii="Times New Roman" w:eastAsia="Times New Roman" w:hAnsi="Times New Roman" w:cs="Times New Roman"/>
          <w:sz w:val="24"/>
          <w:szCs w:val="20"/>
          <w:lang w:val="es-ES_tradnl" w:eastAsia="en-US"/>
        </w:rPr>
        <w:lastRenderedPageBreak/>
        <w:t>Itapúa</w:t>
      </w:r>
    </w:p>
    <w:p w:rsid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r>
        <w:rPr>
          <w:noProof/>
          <w:lang w:val="es-ES" w:eastAsia="es-ES"/>
        </w:rPr>
        <w:drawing>
          <wp:inline distT="0" distB="0" distL="0" distR="0" wp14:anchorId="027D42CB" wp14:editId="1A780F55">
            <wp:extent cx="4781176" cy="4781176"/>
            <wp:effectExtent l="0" t="0" r="635"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782675" cy="4782675"/>
                    </a:xfrm>
                    <a:prstGeom prst="rect">
                      <a:avLst/>
                    </a:prstGeom>
                  </pic:spPr>
                </pic:pic>
              </a:graphicData>
            </a:graphic>
          </wp:inline>
        </w:drawing>
      </w:r>
    </w:p>
    <w:p w:rsid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p>
    <w:p w:rsid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p>
    <w:p w:rsid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r>
        <w:rPr>
          <w:noProof/>
          <w:lang w:val="es-ES" w:eastAsia="es-ES"/>
        </w:rPr>
        <w:drawing>
          <wp:inline distT="0" distB="0" distL="0" distR="0" wp14:anchorId="0AF10275" wp14:editId="5AF7ED10">
            <wp:extent cx="4876800" cy="49606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876800" cy="496067"/>
                    </a:xfrm>
                    <a:prstGeom prst="rect">
                      <a:avLst/>
                    </a:prstGeom>
                  </pic:spPr>
                </pic:pic>
              </a:graphicData>
            </a:graphic>
          </wp:inline>
        </w:drawing>
      </w:r>
    </w:p>
    <w:p w:rsidR="002219E2" w:rsidRP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p>
    <w:p w:rsidR="002219E2" w:rsidRDefault="002219E2" w:rsidP="00826CB7">
      <w:pPr>
        <w:pStyle w:val="ListParagraph"/>
        <w:keepNext/>
        <w:numPr>
          <w:ilvl w:val="0"/>
          <w:numId w:val="7"/>
        </w:numPr>
        <w:spacing w:before="120" w:after="120" w:line="240" w:lineRule="atLeast"/>
        <w:ind w:hanging="357"/>
        <w:contextualSpacing w:val="0"/>
        <w:jc w:val="both"/>
        <w:rPr>
          <w:rFonts w:ascii="Times New Roman" w:eastAsia="Times New Roman" w:hAnsi="Times New Roman" w:cs="Times New Roman"/>
          <w:sz w:val="24"/>
          <w:szCs w:val="20"/>
          <w:lang w:val="es-ES_tradnl" w:eastAsia="en-US"/>
        </w:rPr>
      </w:pPr>
      <w:r w:rsidRPr="002219E2">
        <w:rPr>
          <w:rFonts w:ascii="Times New Roman" w:eastAsia="Times New Roman" w:hAnsi="Times New Roman" w:cs="Times New Roman"/>
          <w:sz w:val="24"/>
          <w:szCs w:val="20"/>
          <w:lang w:val="es-ES_tradnl" w:eastAsia="en-US"/>
        </w:rPr>
        <w:t>Alto Paraná Sur</w:t>
      </w:r>
    </w:p>
    <w:p w:rsid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r>
        <w:rPr>
          <w:noProof/>
          <w:lang w:val="es-ES" w:eastAsia="es-ES"/>
        </w:rPr>
        <w:drawing>
          <wp:inline distT="0" distB="0" distL="0" distR="0" wp14:anchorId="744E5F3E" wp14:editId="7DA8C4F5">
            <wp:extent cx="4781176" cy="1813904"/>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84619" cy="1815210"/>
                    </a:xfrm>
                    <a:prstGeom prst="rect">
                      <a:avLst/>
                    </a:prstGeom>
                  </pic:spPr>
                </pic:pic>
              </a:graphicData>
            </a:graphic>
          </wp:inline>
        </w:drawing>
      </w:r>
    </w:p>
    <w:p w:rsid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p>
    <w:p w:rsid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p>
    <w:p w:rsid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r>
        <w:rPr>
          <w:noProof/>
          <w:lang w:val="es-ES" w:eastAsia="es-ES"/>
        </w:rPr>
        <w:lastRenderedPageBreak/>
        <w:drawing>
          <wp:inline distT="0" distB="0" distL="0" distR="0" wp14:anchorId="4E98D95F" wp14:editId="58D800C7">
            <wp:extent cx="4811058" cy="50026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811251" cy="500288"/>
                    </a:xfrm>
                    <a:prstGeom prst="rect">
                      <a:avLst/>
                    </a:prstGeom>
                  </pic:spPr>
                </pic:pic>
              </a:graphicData>
            </a:graphic>
          </wp:inline>
        </w:drawing>
      </w:r>
    </w:p>
    <w:p w:rsidR="002219E2" w:rsidRP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p>
    <w:p w:rsidR="002219E2" w:rsidRDefault="002219E2" w:rsidP="00826CB7">
      <w:pPr>
        <w:pStyle w:val="ListParagraph"/>
        <w:keepNext/>
        <w:numPr>
          <w:ilvl w:val="0"/>
          <w:numId w:val="7"/>
        </w:numPr>
        <w:spacing w:before="120" w:after="120" w:line="240" w:lineRule="atLeast"/>
        <w:ind w:hanging="357"/>
        <w:contextualSpacing w:val="0"/>
        <w:jc w:val="both"/>
        <w:rPr>
          <w:rFonts w:ascii="Times New Roman" w:eastAsia="Times New Roman" w:hAnsi="Times New Roman" w:cs="Times New Roman"/>
          <w:sz w:val="24"/>
          <w:szCs w:val="20"/>
          <w:lang w:val="es-ES_tradnl" w:eastAsia="en-US"/>
        </w:rPr>
      </w:pPr>
      <w:r w:rsidRPr="002219E2">
        <w:rPr>
          <w:rFonts w:ascii="Times New Roman" w:eastAsia="Times New Roman" w:hAnsi="Times New Roman" w:cs="Times New Roman"/>
          <w:sz w:val="24"/>
          <w:szCs w:val="20"/>
          <w:lang w:val="es-ES_tradnl" w:eastAsia="en-US"/>
        </w:rPr>
        <w:t>Canindeyú Este</w:t>
      </w:r>
    </w:p>
    <w:p w:rsid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r>
        <w:rPr>
          <w:noProof/>
          <w:lang w:val="es-ES" w:eastAsia="es-ES"/>
        </w:rPr>
        <w:drawing>
          <wp:inline distT="0" distB="0" distL="0" distR="0" wp14:anchorId="71A2C861" wp14:editId="0CEE1545">
            <wp:extent cx="4757270" cy="2930367"/>
            <wp:effectExtent l="0" t="0" r="5715"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760768" cy="2932522"/>
                    </a:xfrm>
                    <a:prstGeom prst="rect">
                      <a:avLst/>
                    </a:prstGeom>
                  </pic:spPr>
                </pic:pic>
              </a:graphicData>
            </a:graphic>
          </wp:inline>
        </w:drawing>
      </w:r>
    </w:p>
    <w:p w:rsid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p>
    <w:p w:rsid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r>
        <w:rPr>
          <w:noProof/>
          <w:lang w:val="es-ES" w:eastAsia="es-ES"/>
        </w:rPr>
        <w:drawing>
          <wp:inline distT="0" distB="0" distL="0" distR="0" wp14:anchorId="24B2BE6D" wp14:editId="78402493">
            <wp:extent cx="4757270" cy="447844"/>
            <wp:effectExtent l="0" t="0" r="571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78889" cy="449879"/>
                    </a:xfrm>
                    <a:prstGeom prst="rect">
                      <a:avLst/>
                    </a:prstGeom>
                  </pic:spPr>
                </pic:pic>
              </a:graphicData>
            </a:graphic>
          </wp:inline>
        </w:drawing>
      </w:r>
    </w:p>
    <w:p w:rsid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p>
    <w:p w:rsidR="002219E2" w:rsidRP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p>
    <w:p w:rsidR="002219E2" w:rsidRDefault="002219E2" w:rsidP="00826CB7">
      <w:pPr>
        <w:pStyle w:val="ListParagraph"/>
        <w:keepNext/>
        <w:numPr>
          <w:ilvl w:val="0"/>
          <w:numId w:val="7"/>
        </w:numPr>
        <w:spacing w:before="120" w:after="120" w:line="240" w:lineRule="atLeast"/>
        <w:ind w:hanging="357"/>
        <w:contextualSpacing w:val="0"/>
        <w:jc w:val="both"/>
        <w:rPr>
          <w:rFonts w:ascii="Times New Roman" w:eastAsia="Times New Roman" w:hAnsi="Times New Roman" w:cs="Times New Roman"/>
          <w:sz w:val="24"/>
          <w:szCs w:val="20"/>
          <w:lang w:val="es-ES_tradnl" w:eastAsia="en-US"/>
        </w:rPr>
      </w:pPr>
      <w:r w:rsidRPr="002219E2">
        <w:rPr>
          <w:rFonts w:ascii="Times New Roman" w:eastAsia="Times New Roman" w:hAnsi="Times New Roman" w:cs="Times New Roman"/>
          <w:sz w:val="24"/>
          <w:szCs w:val="20"/>
          <w:lang w:val="es-ES_tradnl" w:eastAsia="en-US"/>
        </w:rPr>
        <w:t>Caazapá</w:t>
      </w:r>
    </w:p>
    <w:p w:rsid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r>
        <w:rPr>
          <w:noProof/>
          <w:lang w:val="es-ES" w:eastAsia="es-ES"/>
        </w:rPr>
        <w:drawing>
          <wp:inline distT="0" distB="0" distL="0" distR="0" wp14:anchorId="4FC81875" wp14:editId="4A5F207D">
            <wp:extent cx="4757270" cy="2670918"/>
            <wp:effectExtent l="0" t="0" r="571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759188" cy="2671995"/>
                    </a:xfrm>
                    <a:prstGeom prst="rect">
                      <a:avLst/>
                    </a:prstGeom>
                  </pic:spPr>
                </pic:pic>
              </a:graphicData>
            </a:graphic>
          </wp:inline>
        </w:drawing>
      </w:r>
    </w:p>
    <w:p w:rsidR="002219E2" w:rsidRPr="002219E2" w:rsidRDefault="002219E2" w:rsidP="002219E2">
      <w:pPr>
        <w:pStyle w:val="ListParagraph"/>
        <w:spacing w:before="120" w:after="120" w:line="240" w:lineRule="atLeast"/>
        <w:ind w:left="1429"/>
        <w:jc w:val="both"/>
        <w:rPr>
          <w:rFonts w:ascii="Times New Roman" w:eastAsia="Times New Roman" w:hAnsi="Times New Roman" w:cs="Times New Roman"/>
          <w:sz w:val="24"/>
          <w:szCs w:val="20"/>
          <w:lang w:val="es-ES_tradnl" w:eastAsia="en-US"/>
        </w:rPr>
      </w:pPr>
    </w:p>
    <w:p w:rsidR="00B7675E" w:rsidRPr="002219E2" w:rsidRDefault="002219E2" w:rsidP="00826CB7">
      <w:pPr>
        <w:pStyle w:val="ListParagraph"/>
        <w:keepNext/>
        <w:numPr>
          <w:ilvl w:val="0"/>
          <w:numId w:val="7"/>
        </w:numPr>
        <w:spacing w:before="120" w:after="120" w:line="240" w:lineRule="atLeast"/>
        <w:ind w:hanging="357"/>
        <w:contextualSpacing w:val="0"/>
        <w:jc w:val="both"/>
        <w:rPr>
          <w:rFonts w:ascii="Times New Roman" w:eastAsia="Times New Roman" w:hAnsi="Times New Roman" w:cs="Times New Roman"/>
          <w:sz w:val="24"/>
          <w:szCs w:val="20"/>
          <w:lang w:val="es-ES_tradnl" w:eastAsia="en-US"/>
        </w:rPr>
      </w:pPr>
      <w:r w:rsidRPr="002219E2">
        <w:rPr>
          <w:rFonts w:ascii="Times New Roman" w:eastAsia="Times New Roman" w:hAnsi="Times New Roman" w:cs="Times New Roman"/>
          <w:sz w:val="24"/>
          <w:szCs w:val="20"/>
          <w:lang w:val="es-ES_tradnl" w:eastAsia="en-US"/>
        </w:rPr>
        <w:t>Guairá</w:t>
      </w:r>
      <w:r w:rsidR="0042520C">
        <w:rPr>
          <w:rFonts w:ascii="Times New Roman" w:eastAsia="Times New Roman" w:hAnsi="Times New Roman" w:cs="Times New Roman"/>
          <w:sz w:val="24"/>
          <w:szCs w:val="20"/>
          <w:lang w:val="es-ES_tradnl" w:eastAsia="en-US"/>
        </w:rPr>
        <w:t>. Sin datos.</w:t>
      </w:r>
    </w:p>
    <w:p w:rsidR="001B3083" w:rsidRDefault="001B3083" w:rsidP="00AB1224">
      <w:pPr>
        <w:spacing w:before="120" w:after="120" w:line="240" w:lineRule="atLeast"/>
        <w:ind w:left="709"/>
        <w:contextualSpacing/>
        <w:jc w:val="both"/>
      </w:pPr>
    </w:p>
    <w:p w:rsidR="00AE57D9" w:rsidRDefault="00AE57D9" w:rsidP="00AB1224">
      <w:pPr>
        <w:spacing w:before="120" w:after="120" w:line="240" w:lineRule="atLeast"/>
        <w:ind w:left="709"/>
        <w:contextualSpacing/>
        <w:jc w:val="both"/>
      </w:pPr>
    </w:p>
    <w:p w:rsidR="007729CE" w:rsidRPr="007729CE" w:rsidRDefault="00AE57D9" w:rsidP="00AE57D9">
      <w:pPr>
        <w:numPr>
          <w:ilvl w:val="1"/>
          <w:numId w:val="1"/>
        </w:numPr>
        <w:tabs>
          <w:tab w:val="clear" w:pos="360"/>
          <w:tab w:val="num" w:pos="709"/>
        </w:tabs>
        <w:spacing w:before="240"/>
        <w:ind w:left="709" w:hanging="709"/>
        <w:jc w:val="both"/>
      </w:pPr>
      <w:r>
        <w:rPr>
          <w:b/>
        </w:rPr>
        <w:lastRenderedPageBreak/>
        <w:t>Los equipos viales</w:t>
      </w:r>
      <w:r w:rsidRPr="0042520C">
        <w:t xml:space="preserve">. </w:t>
      </w:r>
      <w:r>
        <w:t>Los Convenios realizan los trabajos por administración, utilizando las maquinarias del MOPC que fueron adquiridas con el PNCR-2 Fase I. La mayoría, según informes de UGM, ya presentan un bajo rendimiento y las reparaciones son frecuentes. Además, la obsolescencia de los equipos ya dificultan la adquisición de sus repuestos</w:t>
      </w:r>
      <w:r>
        <w:rPr>
          <w:noProof/>
          <w:lang w:val="es-PY" w:eastAsia="es-PY"/>
        </w:rPr>
        <w:t xml:space="preserve">. De hecho, es normal que los costos de operación de cualquier máquina vayan incrementándose con el uso, hasta un punto donde resulta más rentable sustituir la misma. Por otro lado, existe una política de gestión moderna que ya prescinde en lo posible de las </w:t>
      </w:r>
      <w:r w:rsidR="007729CE">
        <w:rPr>
          <w:noProof/>
          <w:lang w:val="es-PY" w:eastAsia="es-PY"/>
        </w:rPr>
        <w:t>ejecuciones por administración, por onerosas casi siempre y discrecionales otras veces, prefiriéndose la tercerización de las actividades, lo cual es tenido en cuenta en las</w:t>
      </w:r>
      <w:r>
        <w:rPr>
          <w:noProof/>
          <w:lang w:val="es-PY" w:eastAsia="es-PY"/>
        </w:rPr>
        <w:t xml:space="preserve"> nuevas operaciones </w:t>
      </w:r>
      <w:r w:rsidR="007729CE">
        <w:rPr>
          <w:noProof/>
          <w:lang w:val="es-PY" w:eastAsia="es-PY"/>
        </w:rPr>
        <w:t>de préstamo, descartándose la inclusión de programaas de adquisición de maquinarias viales. Esta situación, obligará a los Convenios a modificar su modelo de gestión o a proverse de equipos mediante otros fondos.</w:t>
      </w:r>
    </w:p>
    <w:p w:rsidR="00AE57D9" w:rsidRPr="002219E2" w:rsidRDefault="00AE57D9" w:rsidP="00AB1224">
      <w:pPr>
        <w:spacing w:before="120" w:after="120" w:line="240" w:lineRule="atLeast"/>
        <w:ind w:left="709"/>
        <w:contextualSpacing/>
        <w:jc w:val="both"/>
      </w:pPr>
    </w:p>
    <w:p w:rsidR="00202FE0" w:rsidRDefault="00202FE0" w:rsidP="00202FE0">
      <w:pPr>
        <w:numPr>
          <w:ilvl w:val="1"/>
          <w:numId w:val="1"/>
        </w:numPr>
        <w:tabs>
          <w:tab w:val="clear" w:pos="360"/>
          <w:tab w:val="num" w:pos="709"/>
        </w:tabs>
        <w:spacing w:before="240"/>
        <w:ind w:left="709" w:hanging="709"/>
        <w:jc w:val="both"/>
      </w:pPr>
      <w:r w:rsidRPr="00522C1C">
        <w:rPr>
          <w:b/>
        </w:rPr>
        <w:t xml:space="preserve">Observaciones </w:t>
      </w:r>
      <w:r>
        <w:rPr>
          <w:b/>
        </w:rPr>
        <w:t>generales a la modalidad de mantenimiento por Convenio</w:t>
      </w:r>
      <w:r w:rsidRPr="00522C1C">
        <w:t xml:space="preserve">. </w:t>
      </w:r>
      <w:r>
        <w:t>Se destacan los siguientes aspectos más relevantes.</w:t>
      </w:r>
    </w:p>
    <w:p w:rsidR="00193FA4" w:rsidRDefault="00202FE0" w:rsidP="00826CB7">
      <w:pPr>
        <w:pStyle w:val="ListParagraph"/>
        <w:numPr>
          <w:ilvl w:val="0"/>
          <w:numId w:val="6"/>
        </w:numPr>
        <w:shd w:val="clear" w:color="auto" w:fill="EEECE1" w:themeFill="background2"/>
        <w:spacing w:before="240" w:after="0" w:line="240" w:lineRule="auto"/>
        <w:ind w:left="1134" w:hanging="425"/>
        <w:contextualSpacing w:val="0"/>
        <w:jc w:val="both"/>
        <w:rPr>
          <w:rFonts w:ascii="Times New Roman" w:hAnsi="Times New Roman" w:cs="Times New Roman"/>
          <w:sz w:val="24"/>
          <w:szCs w:val="24"/>
        </w:rPr>
      </w:pPr>
      <w:r w:rsidRPr="00522C1C">
        <w:rPr>
          <w:rFonts w:ascii="Times New Roman" w:hAnsi="Times New Roman" w:cs="Times New Roman"/>
          <w:b/>
          <w:sz w:val="24"/>
          <w:szCs w:val="24"/>
        </w:rPr>
        <w:t>Auditorías</w:t>
      </w:r>
      <w:r w:rsidRPr="00522C1C">
        <w:rPr>
          <w:rFonts w:ascii="Times New Roman" w:hAnsi="Times New Roman" w:cs="Times New Roman"/>
          <w:sz w:val="24"/>
          <w:szCs w:val="24"/>
        </w:rPr>
        <w:t xml:space="preserve">. </w:t>
      </w:r>
      <w:r>
        <w:rPr>
          <w:rFonts w:ascii="Times New Roman" w:hAnsi="Times New Roman" w:cs="Times New Roman"/>
          <w:sz w:val="24"/>
          <w:szCs w:val="24"/>
        </w:rPr>
        <w:t xml:space="preserve">Si bien se halla estipulada </w:t>
      </w:r>
      <w:r w:rsidR="00193FA4">
        <w:rPr>
          <w:rFonts w:ascii="Times New Roman" w:hAnsi="Times New Roman" w:cs="Times New Roman"/>
          <w:sz w:val="24"/>
          <w:szCs w:val="24"/>
        </w:rPr>
        <w:t>en el Convenio, no se establece su realización como norma, con una periodicidad determinada.</w:t>
      </w:r>
    </w:p>
    <w:p w:rsidR="00193FA4" w:rsidRPr="00193FA4" w:rsidRDefault="00202FE0" w:rsidP="00826CB7">
      <w:pPr>
        <w:pStyle w:val="ListParagraph"/>
        <w:numPr>
          <w:ilvl w:val="0"/>
          <w:numId w:val="6"/>
        </w:numPr>
        <w:shd w:val="clear" w:color="auto" w:fill="EEECE1" w:themeFill="background2"/>
        <w:spacing w:before="240" w:after="0" w:line="240" w:lineRule="auto"/>
        <w:ind w:left="1134" w:hanging="425"/>
        <w:contextualSpacing w:val="0"/>
        <w:jc w:val="both"/>
        <w:rPr>
          <w:rFonts w:ascii="Times New Roman" w:hAnsi="Times New Roman" w:cs="Times New Roman"/>
          <w:sz w:val="24"/>
          <w:szCs w:val="24"/>
        </w:rPr>
      </w:pPr>
      <w:r w:rsidRPr="00522C1C">
        <w:rPr>
          <w:rFonts w:ascii="Times New Roman" w:hAnsi="Times New Roman" w:cs="Times New Roman"/>
          <w:b/>
          <w:sz w:val="24"/>
          <w:szCs w:val="24"/>
          <w:lang w:val="es-ES_tradnl"/>
        </w:rPr>
        <w:t>Sanciones por incumplimiento</w:t>
      </w:r>
      <w:r w:rsidRPr="00522C1C">
        <w:rPr>
          <w:rFonts w:ascii="Times New Roman" w:hAnsi="Times New Roman" w:cs="Times New Roman"/>
          <w:sz w:val="24"/>
          <w:szCs w:val="24"/>
          <w:lang w:val="es-ES_tradnl"/>
        </w:rPr>
        <w:t xml:space="preserve">. </w:t>
      </w:r>
      <w:r w:rsidR="00193FA4">
        <w:rPr>
          <w:rFonts w:ascii="Times New Roman" w:hAnsi="Times New Roman" w:cs="Times New Roman"/>
          <w:sz w:val="24"/>
          <w:szCs w:val="24"/>
          <w:lang w:val="es-ES_tradnl"/>
        </w:rPr>
        <w:t xml:space="preserve">Cuando no se alcanza el Nivel de Servicio de un tramo, menor al 80%, en dos evaluaciones consecutivas, se excluye el tramo del Convenio. Lo cual constituye en sí una sanción política a la Entidad Ejecutora, pero </w:t>
      </w:r>
      <w:r w:rsidR="007729CE">
        <w:rPr>
          <w:rFonts w:ascii="Times New Roman" w:hAnsi="Times New Roman" w:cs="Times New Roman"/>
          <w:sz w:val="24"/>
          <w:szCs w:val="24"/>
          <w:lang w:val="es-ES_tradnl"/>
        </w:rPr>
        <w:t>que aparentemente no implica una consecuencia más seria</w:t>
      </w:r>
      <w:r w:rsidR="00193FA4">
        <w:rPr>
          <w:rFonts w:ascii="Times New Roman" w:hAnsi="Times New Roman" w:cs="Times New Roman"/>
          <w:sz w:val="24"/>
          <w:szCs w:val="24"/>
          <w:lang w:val="es-ES_tradnl"/>
        </w:rPr>
        <w:t>.</w:t>
      </w:r>
    </w:p>
    <w:p w:rsidR="00202FE0" w:rsidRDefault="00202FE0" w:rsidP="00826CB7">
      <w:pPr>
        <w:pStyle w:val="ListParagraph"/>
        <w:numPr>
          <w:ilvl w:val="0"/>
          <w:numId w:val="6"/>
        </w:numPr>
        <w:shd w:val="clear" w:color="auto" w:fill="EEECE1" w:themeFill="background2"/>
        <w:spacing w:before="240" w:after="0" w:line="240" w:lineRule="auto"/>
        <w:ind w:left="1134" w:hanging="425"/>
        <w:contextualSpacing w:val="0"/>
        <w:jc w:val="both"/>
        <w:rPr>
          <w:rFonts w:ascii="Times New Roman" w:hAnsi="Times New Roman" w:cs="Times New Roman"/>
          <w:sz w:val="24"/>
          <w:szCs w:val="24"/>
        </w:rPr>
      </w:pPr>
      <w:r>
        <w:rPr>
          <w:rFonts w:ascii="Times New Roman" w:hAnsi="Times New Roman" w:cs="Times New Roman"/>
          <w:b/>
          <w:sz w:val="24"/>
          <w:szCs w:val="24"/>
          <w:lang w:val="es-ES_tradnl"/>
        </w:rPr>
        <w:t>Asociaciones de Conservación Vial (ACV)</w:t>
      </w:r>
      <w:r w:rsidRPr="00995DCB">
        <w:rPr>
          <w:rFonts w:ascii="Times New Roman" w:hAnsi="Times New Roman" w:cs="Times New Roman"/>
          <w:sz w:val="24"/>
          <w:szCs w:val="24"/>
        </w:rPr>
        <w:t>.</w:t>
      </w:r>
      <w:r>
        <w:rPr>
          <w:rFonts w:ascii="Times New Roman" w:hAnsi="Times New Roman" w:cs="Times New Roman"/>
          <w:sz w:val="24"/>
          <w:szCs w:val="24"/>
        </w:rPr>
        <w:t xml:space="preserve"> </w:t>
      </w:r>
      <w:r w:rsidR="00193FA4">
        <w:rPr>
          <w:rFonts w:ascii="Times New Roman" w:hAnsi="Times New Roman" w:cs="Times New Roman"/>
          <w:sz w:val="24"/>
          <w:szCs w:val="24"/>
        </w:rPr>
        <w:t>En el</w:t>
      </w:r>
      <w:r>
        <w:rPr>
          <w:rFonts w:ascii="Times New Roman" w:hAnsi="Times New Roman" w:cs="Times New Roman"/>
          <w:sz w:val="24"/>
          <w:szCs w:val="24"/>
        </w:rPr>
        <w:t xml:space="preserve"> Convenio no se hace referencia al tema ni se incluye modelos de sub-contratos.</w:t>
      </w:r>
    </w:p>
    <w:p w:rsidR="00193FA4" w:rsidRPr="007729CE" w:rsidRDefault="00193FA4" w:rsidP="00826CB7">
      <w:pPr>
        <w:pStyle w:val="ListParagraph"/>
        <w:numPr>
          <w:ilvl w:val="0"/>
          <w:numId w:val="6"/>
        </w:numPr>
        <w:shd w:val="clear" w:color="auto" w:fill="EEECE1" w:themeFill="background2"/>
        <w:spacing w:before="240" w:after="0" w:line="240" w:lineRule="auto"/>
        <w:ind w:left="1134" w:hanging="425"/>
        <w:contextualSpacing w:val="0"/>
        <w:jc w:val="both"/>
        <w:rPr>
          <w:rFonts w:ascii="Times New Roman" w:hAnsi="Times New Roman" w:cs="Times New Roman"/>
          <w:sz w:val="24"/>
          <w:szCs w:val="24"/>
        </w:rPr>
      </w:pPr>
      <w:r>
        <w:rPr>
          <w:rFonts w:ascii="Times New Roman" w:hAnsi="Times New Roman" w:cs="Times New Roman"/>
          <w:b/>
          <w:sz w:val="24"/>
          <w:szCs w:val="24"/>
          <w:lang w:val="es-ES_tradnl"/>
        </w:rPr>
        <w:t>Mora de las transferencias</w:t>
      </w:r>
      <w:r w:rsidRPr="00193FA4">
        <w:rPr>
          <w:rFonts w:ascii="Times New Roman" w:hAnsi="Times New Roman" w:cs="Times New Roman"/>
          <w:sz w:val="24"/>
          <w:szCs w:val="24"/>
          <w:lang w:val="es-ES_tradnl"/>
        </w:rPr>
        <w:t xml:space="preserve">. </w:t>
      </w:r>
      <w:r w:rsidR="005D199A">
        <w:rPr>
          <w:rFonts w:ascii="Times New Roman" w:hAnsi="Times New Roman" w:cs="Times New Roman"/>
          <w:sz w:val="24"/>
          <w:szCs w:val="24"/>
          <w:lang w:val="es-ES_tradnl"/>
        </w:rPr>
        <w:t>Aunque se presentan moras de hasta 6 meses, e</w:t>
      </w:r>
      <w:r>
        <w:rPr>
          <w:rFonts w:ascii="Times New Roman" w:hAnsi="Times New Roman" w:cs="Times New Roman"/>
          <w:sz w:val="24"/>
          <w:szCs w:val="24"/>
          <w:lang w:val="es-ES_tradnl"/>
        </w:rPr>
        <w:t xml:space="preserve">l plazo promedio ponderado </w:t>
      </w:r>
      <w:r w:rsidR="005D199A">
        <w:rPr>
          <w:rFonts w:ascii="Times New Roman" w:hAnsi="Times New Roman" w:cs="Times New Roman"/>
          <w:sz w:val="24"/>
          <w:szCs w:val="24"/>
          <w:lang w:val="es-ES_tradnl"/>
        </w:rPr>
        <w:t xml:space="preserve">calculado de la mora de los desembolsos </w:t>
      </w:r>
      <w:r>
        <w:rPr>
          <w:rFonts w:ascii="Times New Roman" w:hAnsi="Times New Roman" w:cs="Times New Roman"/>
          <w:sz w:val="24"/>
          <w:szCs w:val="24"/>
          <w:lang w:val="es-ES_tradnl"/>
        </w:rPr>
        <w:t xml:space="preserve">es de </w:t>
      </w:r>
      <w:r w:rsidR="005D199A">
        <w:rPr>
          <w:rFonts w:ascii="Times New Roman" w:hAnsi="Times New Roman" w:cs="Times New Roman"/>
          <w:sz w:val="24"/>
          <w:szCs w:val="24"/>
          <w:lang w:val="es-ES_tradnl"/>
        </w:rPr>
        <w:t>82</w:t>
      </w:r>
      <w:r>
        <w:rPr>
          <w:rFonts w:ascii="Times New Roman" w:hAnsi="Times New Roman" w:cs="Times New Roman"/>
          <w:sz w:val="24"/>
          <w:szCs w:val="24"/>
          <w:lang w:val="es-ES_tradnl"/>
        </w:rPr>
        <w:t xml:space="preserve"> días, con relaci</w:t>
      </w:r>
      <w:r w:rsidR="005D199A">
        <w:rPr>
          <w:rFonts w:ascii="Times New Roman" w:hAnsi="Times New Roman" w:cs="Times New Roman"/>
          <w:sz w:val="24"/>
          <w:szCs w:val="24"/>
          <w:lang w:val="es-ES_tradnl"/>
        </w:rPr>
        <w:t xml:space="preserve">ón al peso de </w:t>
      </w:r>
      <w:r>
        <w:rPr>
          <w:rFonts w:ascii="Times New Roman" w:hAnsi="Times New Roman" w:cs="Times New Roman"/>
          <w:sz w:val="24"/>
          <w:szCs w:val="24"/>
          <w:lang w:val="es-ES_tradnl"/>
        </w:rPr>
        <w:t>los montos transferidos. Este plazo no es necesariamente exagerado con relación a los 60 días normales que se asigna como a un proceso de pago, de manera que deberían establecerse mecanismos específicos para proteger a aquellos acreedores más sensibles con el retraso, como es el caso del personal o de las ACV.</w:t>
      </w:r>
    </w:p>
    <w:p w:rsidR="007729CE" w:rsidRPr="00193FA4" w:rsidRDefault="007729CE" w:rsidP="00826CB7">
      <w:pPr>
        <w:pStyle w:val="ListParagraph"/>
        <w:numPr>
          <w:ilvl w:val="0"/>
          <w:numId w:val="6"/>
        </w:numPr>
        <w:shd w:val="clear" w:color="auto" w:fill="EEECE1" w:themeFill="background2"/>
        <w:spacing w:before="240" w:after="0" w:line="240" w:lineRule="auto"/>
        <w:ind w:left="1134" w:hanging="425"/>
        <w:contextualSpacing w:val="0"/>
        <w:jc w:val="both"/>
        <w:rPr>
          <w:rFonts w:ascii="Times New Roman" w:hAnsi="Times New Roman" w:cs="Times New Roman"/>
          <w:sz w:val="24"/>
          <w:szCs w:val="24"/>
        </w:rPr>
      </w:pPr>
      <w:r>
        <w:rPr>
          <w:rFonts w:ascii="Times New Roman" w:hAnsi="Times New Roman" w:cs="Times New Roman"/>
          <w:b/>
          <w:sz w:val="24"/>
          <w:szCs w:val="24"/>
          <w:lang w:val="es-ES_tradnl"/>
        </w:rPr>
        <w:t>Equipos obsoletos</w:t>
      </w:r>
      <w:r w:rsidRPr="007729CE">
        <w:rPr>
          <w:rFonts w:ascii="Times New Roman" w:hAnsi="Times New Roman" w:cs="Times New Roman"/>
          <w:sz w:val="24"/>
          <w:szCs w:val="24"/>
        </w:rPr>
        <w:t>.</w:t>
      </w:r>
      <w:r>
        <w:rPr>
          <w:rFonts w:ascii="Times New Roman" w:hAnsi="Times New Roman" w:cs="Times New Roman"/>
          <w:sz w:val="24"/>
          <w:szCs w:val="24"/>
        </w:rPr>
        <w:t xml:space="preserve"> Las maquinarias en uso son muy antiguas y representan un gran costo en los Convenios. Por otro lado, una política de gestión más moderna propugna recurrir a la tercerización de las actividades e incluso, el financiamiento de adquisición de nuevas maquinarias, no es posible en el marco de nuevas operaciones de préstamo.</w:t>
      </w:r>
    </w:p>
    <w:p w:rsidR="001B3083" w:rsidRDefault="00391252" w:rsidP="001B3083">
      <w:pPr>
        <w:pStyle w:val="Heading2"/>
      </w:pPr>
      <w:r>
        <w:t>Las Asociaciones de Conservación Vial</w:t>
      </w:r>
      <w:r w:rsidR="001B3083">
        <w:t>.</w:t>
      </w:r>
    </w:p>
    <w:p w:rsidR="001B3083" w:rsidRDefault="001B3083" w:rsidP="001B3083">
      <w:pPr>
        <w:numPr>
          <w:ilvl w:val="1"/>
          <w:numId w:val="1"/>
        </w:numPr>
        <w:tabs>
          <w:tab w:val="clear" w:pos="360"/>
          <w:tab w:val="num" w:pos="709"/>
        </w:tabs>
        <w:spacing w:before="240"/>
        <w:ind w:left="709" w:hanging="709"/>
        <w:jc w:val="both"/>
      </w:pPr>
      <w:r>
        <w:t>Esta modalidad admite tanto el convenio con Gobiernos Locales (municipalidades y gobernaciones) como con comunidad</w:t>
      </w:r>
      <w:r w:rsidR="00AC6725">
        <w:t xml:space="preserve">es, entendiéndose estas últimas, más por la explicación dada por los funcionarios de la DCV que por una definición previa, </w:t>
      </w:r>
      <w:r>
        <w:t>como cualquier organización con vocación de ejecutar el servicio de mantenimiento de vías de uso público</w:t>
      </w:r>
      <w:r w:rsidRPr="00AA2FA7">
        <w:t>.</w:t>
      </w:r>
      <w:r>
        <w:t xml:space="preserve"> En este sentido existen actualmente varios convenios</w:t>
      </w:r>
      <w:r w:rsidR="00202FE0">
        <w:t xml:space="preserve"> (</w:t>
      </w:r>
      <w:r w:rsidR="00E509D3">
        <w:t>¶</w:t>
      </w:r>
      <w:r w:rsidR="00E509D3">
        <w:fldChar w:fldCharType="begin"/>
      </w:r>
      <w:r w:rsidR="00E509D3">
        <w:instrText xml:space="preserve"> REF _Ref396057594 \r \h </w:instrText>
      </w:r>
      <w:r w:rsidR="00E509D3">
        <w:fldChar w:fldCharType="separate"/>
      </w:r>
      <w:r w:rsidR="00E509D3">
        <w:t>6.4</w:t>
      </w:r>
      <w:r w:rsidR="00E509D3">
        <w:fldChar w:fldCharType="end"/>
      </w:r>
      <w:r w:rsidR="00202FE0">
        <w:t>)</w:t>
      </w:r>
      <w:r>
        <w:t xml:space="preserve"> con asociaciones de municipalidades y un convenio piloto con una Organización No </w:t>
      </w:r>
      <w:r>
        <w:lastRenderedPageBreak/>
        <w:t>Gubernamental</w:t>
      </w:r>
      <w:r w:rsidR="00AC6725">
        <w:t xml:space="preserve"> (ONG)</w:t>
      </w:r>
      <w:r>
        <w:t xml:space="preserve">, la Fundación Moisés Bertoni en el departamento de Canindeyú. </w:t>
      </w:r>
      <w:r w:rsidR="00CD379D">
        <w:t>La UGM informó la existencia de las cantidades siguientes.</w:t>
      </w:r>
    </w:p>
    <w:p w:rsidR="006D326F" w:rsidRDefault="006D326F" w:rsidP="006D326F">
      <w:pPr>
        <w:spacing w:before="240"/>
        <w:ind w:left="709"/>
        <w:jc w:val="both"/>
      </w:pPr>
    </w:p>
    <w:tbl>
      <w:tblPr>
        <w:tblW w:w="7958" w:type="dxa"/>
        <w:tblInd w:w="779" w:type="dxa"/>
        <w:tblCellMar>
          <w:left w:w="70" w:type="dxa"/>
          <w:right w:w="70" w:type="dxa"/>
        </w:tblCellMar>
        <w:tblLook w:val="04A0" w:firstRow="1" w:lastRow="0" w:firstColumn="1" w:lastColumn="0" w:noHBand="0" w:noVBand="1"/>
      </w:tblPr>
      <w:tblGrid>
        <w:gridCol w:w="3969"/>
        <w:gridCol w:w="2126"/>
        <w:gridCol w:w="1863"/>
      </w:tblGrid>
      <w:tr w:rsidR="006D326F" w:rsidRPr="006D326F" w:rsidTr="00CD379D">
        <w:tc>
          <w:tcPr>
            <w:tcW w:w="3969"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6D326F" w:rsidRPr="006D326F" w:rsidRDefault="006D326F" w:rsidP="006D326F">
            <w:pPr>
              <w:jc w:val="center"/>
              <w:rPr>
                <w:b/>
                <w:bCs/>
                <w:color w:val="000000"/>
                <w:sz w:val="22"/>
                <w:szCs w:val="22"/>
                <w:lang w:val="es-PY" w:eastAsia="es-PY"/>
              </w:rPr>
            </w:pPr>
            <w:r w:rsidRPr="006D326F">
              <w:rPr>
                <w:b/>
                <w:bCs/>
                <w:color w:val="000000"/>
                <w:sz w:val="22"/>
                <w:szCs w:val="22"/>
                <w:lang w:val="es-PY" w:eastAsia="es-PY"/>
              </w:rPr>
              <w:t>Área geográfica</w:t>
            </w:r>
          </w:p>
        </w:tc>
        <w:tc>
          <w:tcPr>
            <w:tcW w:w="2126" w:type="dxa"/>
            <w:tcBorders>
              <w:top w:val="single" w:sz="4" w:space="0" w:color="auto"/>
              <w:left w:val="nil"/>
              <w:bottom w:val="single" w:sz="4" w:space="0" w:color="auto"/>
              <w:right w:val="single" w:sz="4" w:space="0" w:color="auto"/>
            </w:tcBorders>
            <w:shd w:val="clear" w:color="000000" w:fill="DAEEF3"/>
            <w:vAlign w:val="center"/>
            <w:hideMark/>
          </w:tcPr>
          <w:p w:rsidR="006D326F" w:rsidRPr="006D326F" w:rsidRDefault="006D326F" w:rsidP="006D326F">
            <w:pPr>
              <w:jc w:val="center"/>
              <w:rPr>
                <w:b/>
                <w:bCs/>
                <w:color w:val="000000"/>
                <w:sz w:val="22"/>
                <w:szCs w:val="22"/>
                <w:lang w:val="es-PY" w:eastAsia="es-PY"/>
              </w:rPr>
            </w:pPr>
            <w:r w:rsidRPr="006D326F">
              <w:rPr>
                <w:b/>
                <w:bCs/>
                <w:color w:val="000000"/>
                <w:sz w:val="22"/>
                <w:szCs w:val="22"/>
                <w:lang w:val="es-PY" w:eastAsia="es-PY"/>
              </w:rPr>
              <w:t>Cantidad de ACV</w:t>
            </w:r>
          </w:p>
        </w:tc>
        <w:tc>
          <w:tcPr>
            <w:tcW w:w="1863" w:type="dxa"/>
            <w:tcBorders>
              <w:top w:val="single" w:sz="4" w:space="0" w:color="auto"/>
              <w:left w:val="nil"/>
              <w:bottom w:val="single" w:sz="4" w:space="0" w:color="auto"/>
              <w:right w:val="single" w:sz="4" w:space="0" w:color="auto"/>
            </w:tcBorders>
            <w:shd w:val="clear" w:color="000000" w:fill="DAEEF3"/>
            <w:vAlign w:val="center"/>
            <w:hideMark/>
          </w:tcPr>
          <w:p w:rsidR="006D326F" w:rsidRPr="006D326F" w:rsidRDefault="006D326F" w:rsidP="006D326F">
            <w:pPr>
              <w:jc w:val="center"/>
              <w:rPr>
                <w:b/>
                <w:bCs/>
                <w:color w:val="000000"/>
                <w:sz w:val="22"/>
                <w:szCs w:val="22"/>
                <w:lang w:val="es-PY" w:eastAsia="es-PY"/>
              </w:rPr>
            </w:pPr>
            <w:r w:rsidRPr="006D326F">
              <w:rPr>
                <w:b/>
                <w:bCs/>
                <w:color w:val="000000"/>
                <w:sz w:val="22"/>
                <w:szCs w:val="22"/>
                <w:lang w:val="es-PY" w:eastAsia="es-PY"/>
              </w:rPr>
              <w:t>Microempresarios</w:t>
            </w:r>
          </w:p>
        </w:tc>
      </w:tr>
      <w:tr w:rsidR="006D326F" w:rsidRPr="006D326F" w:rsidTr="00CD379D">
        <w:tc>
          <w:tcPr>
            <w:tcW w:w="3969" w:type="dxa"/>
            <w:tcBorders>
              <w:top w:val="nil"/>
              <w:left w:val="single" w:sz="4" w:space="0" w:color="auto"/>
              <w:bottom w:val="single" w:sz="4" w:space="0" w:color="auto"/>
              <w:right w:val="single" w:sz="4" w:space="0" w:color="auto"/>
            </w:tcBorders>
            <w:shd w:val="clear" w:color="auto" w:fill="auto"/>
            <w:vAlign w:val="center"/>
            <w:hideMark/>
          </w:tcPr>
          <w:p w:rsidR="006D326F" w:rsidRPr="006D326F" w:rsidRDefault="006D326F" w:rsidP="006D326F">
            <w:pPr>
              <w:rPr>
                <w:color w:val="000000"/>
                <w:sz w:val="22"/>
                <w:szCs w:val="22"/>
                <w:lang w:val="es-PY" w:eastAsia="es-PY"/>
              </w:rPr>
            </w:pPr>
            <w:r w:rsidRPr="006D326F">
              <w:rPr>
                <w:color w:val="000000"/>
                <w:sz w:val="22"/>
                <w:szCs w:val="22"/>
                <w:lang w:eastAsia="es-PY"/>
              </w:rPr>
              <w:t>Itapúa</w:t>
            </w:r>
          </w:p>
        </w:tc>
        <w:tc>
          <w:tcPr>
            <w:tcW w:w="2126" w:type="dxa"/>
            <w:tcBorders>
              <w:top w:val="nil"/>
              <w:left w:val="nil"/>
              <w:bottom w:val="single" w:sz="4" w:space="0" w:color="auto"/>
              <w:right w:val="single" w:sz="4" w:space="0" w:color="auto"/>
            </w:tcBorders>
            <w:shd w:val="clear" w:color="auto" w:fill="auto"/>
            <w:vAlign w:val="center"/>
            <w:hideMark/>
          </w:tcPr>
          <w:p w:rsidR="006D326F" w:rsidRPr="006D326F" w:rsidRDefault="006D326F" w:rsidP="00CD379D">
            <w:pPr>
              <w:jc w:val="center"/>
              <w:rPr>
                <w:color w:val="000000"/>
                <w:sz w:val="22"/>
                <w:szCs w:val="22"/>
                <w:lang w:val="es-PY" w:eastAsia="es-PY"/>
              </w:rPr>
            </w:pPr>
            <w:r w:rsidRPr="006D326F">
              <w:rPr>
                <w:color w:val="000000"/>
                <w:sz w:val="22"/>
                <w:szCs w:val="22"/>
                <w:lang w:val="es-PY" w:eastAsia="es-PY"/>
              </w:rPr>
              <w:t>14</w:t>
            </w:r>
          </w:p>
        </w:tc>
        <w:tc>
          <w:tcPr>
            <w:tcW w:w="1863" w:type="dxa"/>
            <w:tcBorders>
              <w:top w:val="nil"/>
              <w:left w:val="nil"/>
              <w:bottom w:val="single" w:sz="4" w:space="0" w:color="auto"/>
              <w:right w:val="single" w:sz="4" w:space="0" w:color="auto"/>
            </w:tcBorders>
            <w:shd w:val="clear" w:color="auto" w:fill="auto"/>
            <w:vAlign w:val="center"/>
            <w:hideMark/>
          </w:tcPr>
          <w:p w:rsidR="006D326F" w:rsidRPr="006D326F" w:rsidRDefault="006D326F" w:rsidP="00CD379D">
            <w:pPr>
              <w:jc w:val="center"/>
              <w:rPr>
                <w:color w:val="000000"/>
                <w:sz w:val="22"/>
                <w:szCs w:val="22"/>
                <w:lang w:val="es-PY" w:eastAsia="es-PY"/>
              </w:rPr>
            </w:pPr>
            <w:r w:rsidRPr="006D326F">
              <w:rPr>
                <w:color w:val="000000"/>
                <w:sz w:val="22"/>
                <w:szCs w:val="22"/>
                <w:lang w:val="es-PY" w:eastAsia="es-PY"/>
              </w:rPr>
              <w:t>82</w:t>
            </w:r>
          </w:p>
        </w:tc>
      </w:tr>
      <w:tr w:rsidR="006D326F" w:rsidRPr="006D326F" w:rsidTr="00CD379D">
        <w:tc>
          <w:tcPr>
            <w:tcW w:w="3969" w:type="dxa"/>
            <w:tcBorders>
              <w:top w:val="nil"/>
              <w:left w:val="single" w:sz="4" w:space="0" w:color="auto"/>
              <w:bottom w:val="single" w:sz="4" w:space="0" w:color="auto"/>
              <w:right w:val="single" w:sz="4" w:space="0" w:color="auto"/>
            </w:tcBorders>
            <w:shd w:val="clear" w:color="auto" w:fill="auto"/>
            <w:vAlign w:val="center"/>
            <w:hideMark/>
          </w:tcPr>
          <w:p w:rsidR="006D326F" w:rsidRPr="006D326F" w:rsidRDefault="006D326F" w:rsidP="006D326F">
            <w:pPr>
              <w:rPr>
                <w:color w:val="000000"/>
                <w:sz w:val="22"/>
                <w:szCs w:val="22"/>
                <w:lang w:val="es-PY" w:eastAsia="es-PY"/>
              </w:rPr>
            </w:pPr>
            <w:r w:rsidRPr="006D326F">
              <w:rPr>
                <w:color w:val="000000"/>
                <w:sz w:val="22"/>
                <w:szCs w:val="22"/>
                <w:lang w:eastAsia="es-PY"/>
              </w:rPr>
              <w:t>Alto Paraná Sur</w:t>
            </w:r>
          </w:p>
        </w:tc>
        <w:tc>
          <w:tcPr>
            <w:tcW w:w="2126" w:type="dxa"/>
            <w:tcBorders>
              <w:top w:val="nil"/>
              <w:left w:val="nil"/>
              <w:bottom w:val="single" w:sz="4" w:space="0" w:color="auto"/>
              <w:right w:val="single" w:sz="4" w:space="0" w:color="auto"/>
            </w:tcBorders>
            <w:shd w:val="clear" w:color="auto" w:fill="auto"/>
            <w:vAlign w:val="center"/>
            <w:hideMark/>
          </w:tcPr>
          <w:p w:rsidR="006D326F" w:rsidRPr="006D326F" w:rsidRDefault="006D326F" w:rsidP="00CD379D">
            <w:pPr>
              <w:jc w:val="center"/>
              <w:rPr>
                <w:color w:val="000000"/>
                <w:sz w:val="22"/>
                <w:szCs w:val="22"/>
                <w:lang w:val="es-PY" w:eastAsia="es-PY"/>
              </w:rPr>
            </w:pPr>
            <w:r w:rsidRPr="006D326F">
              <w:rPr>
                <w:color w:val="000000"/>
                <w:sz w:val="22"/>
                <w:szCs w:val="22"/>
                <w:lang w:val="es-PY" w:eastAsia="es-PY"/>
              </w:rPr>
              <w:t>17</w:t>
            </w:r>
          </w:p>
        </w:tc>
        <w:tc>
          <w:tcPr>
            <w:tcW w:w="1863" w:type="dxa"/>
            <w:tcBorders>
              <w:top w:val="nil"/>
              <w:left w:val="nil"/>
              <w:bottom w:val="single" w:sz="4" w:space="0" w:color="auto"/>
              <w:right w:val="single" w:sz="4" w:space="0" w:color="auto"/>
            </w:tcBorders>
            <w:shd w:val="clear" w:color="auto" w:fill="auto"/>
            <w:vAlign w:val="center"/>
            <w:hideMark/>
          </w:tcPr>
          <w:p w:rsidR="006D326F" w:rsidRPr="006D326F" w:rsidRDefault="006D326F" w:rsidP="00CD379D">
            <w:pPr>
              <w:jc w:val="center"/>
              <w:rPr>
                <w:color w:val="000000"/>
                <w:sz w:val="22"/>
                <w:szCs w:val="22"/>
                <w:lang w:val="es-PY" w:eastAsia="es-PY"/>
              </w:rPr>
            </w:pPr>
            <w:r w:rsidRPr="006D326F">
              <w:rPr>
                <w:color w:val="000000"/>
                <w:sz w:val="22"/>
                <w:szCs w:val="22"/>
                <w:lang w:val="es-PY" w:eastAsia="es-PY"/>
              </w:rPr>
              <w:t>101</w:t>
            </w:r>
          </w:p>
        </w:tc>
      </w:tr>
      <w:tr w:rsidR="006D326F" w:rsidRPr="006D326F" w:rsidTr="00CD379D">
        <w:tc>
          <w:tcPr>
            <w:tcW w:w="3969" w:type="dxa"/>
            <w:tcBorders>
              <w:top w:val="nil"/>
              <w:left w:val="single" w:sz="4" w:space="0" w:color="auto"/>
              <w:bottom w:val="single" w:sz="4" w:space="0" w:color="auto"/>
              <w:right w:val="single" w:sz="4" w:space="0" w:color="auto"/>
            </w:tcBorders>
            <w:shd w:val="clear" w:color="auto" w:fill="auto"/>
            <w:vAlign w:val="center"/>
            <w:hideMark/>
          </w:tcPr>
          <w:p w:rsidR="006D326F" w:rsidRPr="006D326F" w:rsidRDefault="006D326F" w:rsidP="006D326F">
            <w:pPr>
              <w:rPr>
                <w:color w:val="000000"/>
                <w:sz w:val="22"/>
                <w:szCs w:val="22"/>
                <w:lang w:val="es-PY" w:eastAsia="es-PY"/>
              </w:rPr>
            </w:pPr>
            <w:r w:rsidRPr="006D326F">
              <w:rPr>
                <w:color w:val="000000"/>
                <w:sz w:val="22"/>
                <w:szCs w:val="22"/>
                <w:lang w:eastAsia="es-PY"/>
              </w:rPr>
              <w:t>Canindeyú Este</w:t>
            </w:r>
          </w:p>
        </w:tc>
        <w:tc>
          <w:tcPr>
            <w:tcW w:w="2126" w:type="dxa"/>
            <w:tcBorders>
              <w:top w:val="nil"/>
              <w:left w:val="nil"/>
              <w:bottom w:val="single" w:sz="4" w:space="0" w:color="auto"/>
              <w:right w:val="single" w:sz="4" w:space="0" w:color="auto"/>
            </w:tcBorders>
            <w:shd w:val="clear" w:color="auto" w:fill="auto"/>
            <w:vAlign w:val="center"/>
            <w:hideMark/>
          </w:tcPr>
          <w:p w:rsidR="006D326F" w:rsidRPr="006D326F" w:rsidRDefault="006D326F" w:rsidP="00CD379D">
            <w:pPr>
              <w:jc w:val="center"/>
              <w:rPr>
                <w:color w:val="000000"/>
                <w:sz w:val="22"/>
                <w:szCs w:val="22"/>
                <w:lang w:val="es-PY" w:eastAsia="es-PY"/>
              </w:rPr>
            </w:pPr>
            <w:r w:rsidRPr="006D326F">
              <w:rPr>
                <w:color w:val="000000"/>
                <w:sz w:val="22"/>
                <w:szCs w:val="22"/>
                <w:lang w:val="es-PY" w:eastAsia="es-PY"/>
              </w:rPr>
              <w:t>15</w:t>
            </w:r>
          </w:p>
        </w:tc>
        <w:tc>
          <w:tcPr>
            <w:tcW w:w="1863" w:type="dxa"/>
            <w:tcBorders>
              <w:top w:val="nil"/>
              <w:left w:val="nil"/>
              <w:bottom w:val="single" w:sz="4" w:space="0" w:color="auto"/>
              <w:right w:val="single" w:sz="4" w:space="0" w:color="auto"/>
            </w:tcBorders>
            <w:shd w:val="clear" w:color="auto" w:fill="auto"/>
            <w:vAlign w:val="center"/>
            <w:hideMark/>
          </w:tcPr>
          <w:p w:rsidR="006D326F" w:rsidRPr="006D326F" w:rsidRDefault="006D326F" w:rsidP="00CD379D">
            <w:pPr>
              <w:jc w:val="center"/>
              <w:rPr>
                <w:color w:val="000000"/>
                <w:sz w:val="22"/>
                <w:szCs w:val="22"/>
                <w:lang w:val="es-PY" w:eastAsia="es-PY"/>
              </w:rPr>
            </w:pPr>
            <w:r w:rsidRPr="006D326F">
              <w:rPr>
                <w:color w:val="000000"/>
                <w:sz w:val="22"/>
                <w:szCs w:val="22"/>
                <w:lang w:val="es-PY" w:eastAsia="es-PY"/>
              </w:rPr>
              <w:t>100</w:t>
            </w:r>
          </w:p>
        </w:tc>
      </w:tr>
      <w:tr w:rsidR="006D326F" w:rsidRPr="006D326F" w:rsidTr="00CD379D">
        <w:tc>
          <w:tcPr>
            <w:tcW w:w="3969" w:type="dxa"/>
            <w:tcBorders>
              <w:top w:val="nil"/>
              <w:left w:val="single" w:sz="4" w:space="0" w:color="auto"/>
              <w:bottom w:val="single" w:sz="4" w:space="0" w:color="auto"/>
              <w:right w:val="single" w:sz="4" w:space="0" w:color="auto"/>
            </w:tcBorders>
            <w:shd w:val="clear" w:color="auto" w:fill="auto"/>
            <w:vAlign w:val="center"/>
            <w:hideMark/>
          </w:tcPr>
          <w:p w:rsidR="006D326F" w:rsidRPr="006D326F" w:rsidRDefault="006D326F" w:rsidP="006D326F">
            <w:pPr>
              <w:rPr>
                <w:color w:val="000000"/>
                <w:sz w:val="22"/>
                <w:szCs w:val="22"/>
                <w:lang w:val="es-PY" w:eastAsia="es-PY"/>
              </w:rPr>
            </w:pPr>
            <w:r w:rsidRPr="006D326F">
              <w:rPr>
                <w:color w:val="000000"/>
                <w:sz w:val="22"/>
                <w:szCs w:val="22"/>
                <w:lang w:eastAsia="es-PY"/>
              </w:rPr>
              <w:t>Caazapá</w:t>
            </w:r>
          </w:p>
        </w:tc>
        <w:tc>
          <w:tcPr>
            <w:tcW w:w="2126" w:type="dxa"/>
            <w:tcBorders>
              <w:top w:val="nil"/>
              <w:left w:val="nil"/>
              <w:bottom w:val="single" w:sz="4" w:space="0" w:color="auto"/>
              <w:right w:val="single" w:sz="4" w:space="0" w:color="auto"/>
            </w:tcBorders>
            <w:shd w:val="clear" w:color="auto" w:fill="auto"/>
            <w:vAlign w:val="center"/>
            <w:hideMark/>
          </w:tcPr>
          <w:p w:rsidR="006D326F" w:rsidRPr="006D326F" w:rsidRDefault="006D326F" w:rsidP="00CD379D">
            <w:pPr>
              <w:jc w:val="center"/>
              <w:rPr>
                <w:color w:val="000000"/>
                <w:sz w:val="22"/>
                <w:szCs w:val="22"/>
                <w:lang w:val="es-PY" w:eastAsia="es-PY"/>
              </w:rPr>
            </w:pPr>
            <w:r w:rsidRPr="006D326F">
              <w:rPr>
                <w:color w:val="000000"/>
                <w:sz w:val="22"/>
                <w:szCs w:val="22"/>
                <w:lang w:val="es-PY" w:eastAsia="es-PY"/>
              </w:rPr>
              <w:t>18</w:t>
            </w:r>
          </w:p>
        </w:tc>
        <w:tc>
          <w:tcPr>
            <w:tcW w:w="1863" w:type="dxa"/>
            <w:tcBorders>
              <w:top w:val="nil"/>
              <w:left w:val="nil"/>
              <w:bottom w:val="single" w:sz="4" w:space="0" w:color="auto"/>
              <w:right w:val="single" w:sz="4" w:space="0" w:color="auto"/>
            </w:tcBorders>
            <w:shd w:val="clear" w:color="auto" w:fill="auto"/>
            <w:vAlign w:val="center"/>
            <w:hideMark/>
          </w:tcPr>
          <w:p w:rsidR="006D326F" w:rsidRPr="006D326F" w:rsidRDefault="006D326F" w:rsidP="00CD379D">
            <w:pPr>
              <w:jc w:val="center"/>
              <w:rPr>
                <w:color w:val="000000"/>
                <w:sz w:val="22"/>
                <w:szCs w:val="22"/>
                <w:lang w:val="es-PY" w:eastAsia="es-PY"/>
              </w:rPr>
            </w:pPr>
            <w:r w:rsidRPr="006D326F">
              <w:rPr>
                <w:color w:val="000000"/>
                <w:sz w:val="22"/>
                <w:szCs w:val="22"/>
                <w:lang w:val="es-PY" w:eastAsia="es-PY"/>
              </w:rPr>
              <w:t>106</w:t>
            </w:r>
          </w:p>
        </w:tc>
      </w:tr>
      <w:tr w:rsidR="006D326F" w:rsidRPr="006D326F" w:rsidTr="00CD379D">
        <w:tc>
          <w:tcPr>
            <w:tcW w:w="3969" w:type="dxa"/>
            <w:tcBorders>
              <w:top w:val="nil"/>
              <w:left w:val="single" w:sz="4" w:space="0" w:color="auto"/>
              <w:bottom w:val="single" w:sz="4" w:space="0" w:color="auto"/>
              <w:right w:val="single" w:sz="4" w:space="0" w:color="auto"/>
            </w:tcBorders>
            <w:shd w:val="clear" w:color="auto" w:fill="auto"/>
            <w:vAlign w:val="center"/>
            <w:hideMark/>
          </w:tcPr>
          <w:p w:rsidR="006D326F" w:rsidRPr="006D326F" w:rsidRDefault="006D326F" w:rsidP="00CD379D">
            <w:pPr>
              <w:rPr>
                <w:color w:val="000000"/>
                <w:sz w:val="22"/>
                <w:szCs w:val="22"/>
                <w:lang w:val="es-PY" w:eastAsia="es-PY"/>
              </w:rPr>
            </w:pPr>
            <w:r w:rsidRPr="006D326F">
              <w:rPr>
                <w:color w:val="000000"/>
                <w:sz w:val="22"/>
                <w:szCs w:val="22"/>
                <w:lang w:eastAsia="es-PY"/>
              </w:rPr>
              <w:t>Canindeyú</w:t>
            </w:r>
            <w:r w:rsidR="00CD379D">
              <w:rPr>
                <w:color w:val="000000"/>
                <w:sz w:val="22"/>
                <w:szCs w:val="22"/>
                <w:lang w:eastAsia="es-PY"/>
              </w:rPr>
              <w:t xml:space="preserve"> </w:t>
            </w:r>
            <w:r w:rsidRPr="006D326F">
              <w:rPr>
                <w:color w:val="000000"/>
                <w:sz w:val="22"/>
                <w:szCs w:val="22"/>
                <w:lang w:eastAsia="es-PY"/>
              </w:rPr>
              <w:t>(Fundación Moisés Bertoni)</w:t>
            </w:r>
          </w:p>
        </w:tc>
        <w:tc>
          <w:tcPr>
            <w:tcW w:w="2126" w:type="dxa"/>
            <w:tcBorders>
              <w:top w:val="nil"/>
              <w:left w:val="nil"/>
              <w:bottom w:val="single" w:sz="4" w:space="0" w:color="auto"/>
              <w:right w:val="single" w:sz="4" w:space="0" w:color="auto"/>
            </w:tcBorders>
            <w:shd w:val="clear" w:color="auto" w:fill="auto"/>
            <w:vAlign w:val="center"/>
            <w:hideMark/>
          </w:tcPr>
          <w:p w:rsidR="006D326F" w:rsidRPr="006D326F" w:rsidRDefault="006D326F" w:rsidP="00CD379D">
            <w:pPr>
              <w:jc w:val="center"/>
              <w:rPr>
                <w:color w:val="000000"/>
                <w:sz w:val="22"/>
                <w:szCs w:val="22"/>
                <w:lang w:val="es-PY" w:eastAsia="es-PY"/>
              </w:rPr>
            </w:pPr>
            <w:r w:rsidRPr="006D326F">
              <w:rPr>
                <w:color w:val="000000"/>
                <w:sz w:val="22"/>
                <w:szCs w:val="22"/>
                <w:lang w:val="es-PY" w:eastAsia="es-PY"/>
              </w:rPr>
              <w:t>1</w:t>
            </w:r>
          </w:p>
        </w:tc>
        <w:tc>
          <w:tcPr>
            <w:tcW w:w="1863" w:type="dxa"/>
            <w:tcBorders>
              <w:top w:val="nil"/>
              <w:left w:val="nil"/>
              <w:bottom w:val="single" w:sz="4" w:space="0" w:color="auto"/>
              <w:right w:val="single" w:sz="4" w:space="0" w:color="auto"/>
            </w:tcBorders>
            <w:shd w:val="clear" w:color="auto" w:fill="auto"/>
            <w:vAlign w:val="center"/>
            <w:hideMark/>
          </w:tcPr>
          <w:p w:rsidR="006D326F" w:rsidRPr="006D326F" w:rsidRDefault="006D326F" w:rsidP="00CD379D">
            <w:pPr>
              <w:jc w:val="center"/>
              <w:rPr>
                <w:color w:val="000000"/>
                <w:sz w:val="22"/>
                <w:szCs w:val="22"/>
                <w:lang w:val="es-PY" w:eastAsia="es-PY"/>
              </w:rPr>
            </w:pPr>
            <w:r w:rsidRPr="006D326F">
              <w:rPr>
                <w:color w:val="000000"/>
                <w:sz w:val="22"/>
                <w:szCs w:val="22"/>
                <w:lang w:val="es-PY" w:eastAsia="es-PY"/>
              </w:rPr>
              <w:t>12</w:t>
            </w:r>
          </w:p>
        </w:tc>
      </w:tr>
      <w:tr w:rsidR="006D326F" w:rsidRPr="006D326F" w:rsidTr="00CD379D">
        <w:tc>
          <w:tcPr>
            <w:tcW w:w="3969" w:type="dxa"/>
            <w:tcBorders>
              <w:top w:val="nil"/>
              <w:left w:val="single" w:sz="4" w:space="0" w:color="auto"/>
              <w:bottom w:val="single" w:sz="4" w:space="0" w:color="auto"/>
              <w:right w:val="nil"/>
            </w:tcBorders>
            <w:shd w:val="clear" w:color="auto" w:fill="auto"/>
            <w:noWrap/>
            <w:vAlign w:val="center"/>
            <w:hideMark/>
          </w:tcPr>
          <w:p w:rsidR="006D326F" w:rsidRPr="006D326F" w:rsidRDefault="006D326F" w:rsidP="006D326F">
            <w:pPr>
              <w:rPr>
                <w:b/>
                <w:bCs/>
                <w:color w:val="000000"/>
                <w:sz w:val="22"/>
                <w:szCs w:val="22"/>
                <w:lang w:val="es-PY" w:eastAsia="es-PY"/>
              </w:rPr>
            </w:pPr>
            <w:r w:rsidRPr="006D326F">
              <w:rPr>
                <w:b/>
                <w:bCs/>
                <w:color w:val="000000"/>
                <w:sz w:val="22"/>
                <w:szCs w:val="22"/>
                <w:lang w:val="es-PY" w:eastAsia="es-PY"/>
              </w:rPr>
              <w:t>Totales</w:t>
            </w:r>
          </w:p>
        </w:tc>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6D326F" w:rsidRPr="006D326F" w:rsidRDefault="006D326F" w:rsidP="00CD379D">
            <w:pPr>
              <w:jc w:val="center"/>
              <w:rPr>
                <w:b/>
                <w:bCs/>
                <w:color w:val="000000"/>
                <w:sz w:val="22"/>
                <w:szCs w:val="22"/>
                <w:lang w:val="es-PY" w:eastAsia="es-PY"/>
              </w:rPr>
            </w:pPr>
            <w:r w:rsidRPr="006D326F">
              <w:rPr>
                <w:b/>
                <w:bCs/>
                <w:color w:val="000000"/>
                <w:sz w:val="22"/>
                <w:szCs w:val="22"/>
                <w:lang w:val="es-PY" w:eastAsia="es-PY"/>
              </w:rPr>
              <w:t>65</w:t>
            </w:r>
          </w:p>
        </w:tc>
        <w:tc>
          <w:tcPr>
            <w:tcW w:w="1863" w:type="dxa"/>
            <w:tcBorders>
              <w:top w:val="nil"/>
              <w:left w:val="nil"/>
              <w:bottom w:val="single" w:sz="4" w:space="0" w:color="auto"/>
              <w:right w:val="single" w:sz="4" w:space="0" w:color="auto"/>
            </w:tcBorders>
            <w:shd w:val="clear" w:color="auto" w:fill="auto"/>
            <w:noWrap/>
            <w:vAlign w:val="center"/>
            <w:hideMark/>
          </w:tcPr>
          <w:p w:rsidR="006D326F" w:rsidRPr="006D326F" w:rsidRDefault="006D326F" w:rsidP="00CD379D">
            <w:pPr>
              <w:jc w:val="center"/>
              <w:rPr>
                <w:b/>
                <w:bCs/>
                <w:color w:val="000000"/>
                <w:sz w:val="22"/>
                <w:szCs w:val="22"/>
                <w:lang w:val="es-PY" w:eastAsia="es-PY"/>
              </w:rPr>
            </w:pPr>
            <w:r w:rsidRPr="006D326F">
              <w:rPr>
                <w:b/>
                <w:bCs/>
                <w:color w:val="000000"/>
                <w:sz w:val="22"/>
                <w:szCs w:val="22"/>
                <w:lang w:val="es-PY" w:eastAsia="es-PY"/>
              </w:rPr>
              <w:t>401</w:t>
            </w:r>
          </w:p>
        </w:tc>
      </w:tr>
    </w:tbl>
    <w:p w:rsidR="007208D1" w:rsidRPr="00AC6725" w:rsidRDefault="00AC6725" w:rsidP="001B3083">
      <w:pPr>
        <w:numPr>
          <w:ilvl w:val="1"/>
          <w:numId w:val="1"/>
        </w:numPr>
        <w:tabs>
          <w:tab w:val="clear" w:pos="360"/>
          <w:tab w:val="num" w:pos="709"/>
        </w:tabs>
        <w:spacing w:before="240"/>
        <w:ind w:left="709" w:hanging="709"/>
        <w:jc w:val="both"/>
      </w:pPr>
      <w:r w:rsidRPr="00AC6725">
        <w:rPr>
          <w:b/>
        </w:rPr>
        <w:t>El marco jurídico</w:t>
      </w:r>
      <w:r w:rsidRPr="00AC6725">
        <w:t xml:space="preserve">. Si bien existe mucha experiencia regional en la implementación de microempresas para la ejecución del mantenimiento vial, no se ha incluido en los Convenios con GL un modelo para la sub-contratación de las mismas. Según explicaciones brindadas por la UGM, se provee un formato tipo para estas sub-contrataciones y la DGV realiza todo un proceso </w:t>
      </w:r>
      <w:r w:rsidR="00B63B99">
        <w:t xml:space="preserve">de capacitación </w:t>
      </w:r>
      <w:r w:rsidRPr="00AC6725">
        <w:t xml:space="preserve">para la adecuada implementación de esta sub-modalidad de mantenimiento, pero los términos legales </w:t>
      </w:r>
      <w:r>
        <w:t xml:space="preserve">finales </w:t>
      </w:r>
      <w:r w:rsidRPr="00AC6725">
        <w:t>para el contrato son responsabilidad de la Entidad Ejecutora.</w:t>
      </w:r>
      <w:r>
        <w:t xml:space="preserve"> </w:t>
      </w:r>
      <w:r w:rsidR="00B63B99">
        <w:t>Solamente se hace referencia a las ACV en el Manual de Procedimiento (¶</w:t>
      </w:r>
      <w:r w:rsidR="00B63B99">
        <w:fldChar w:fldCharType="begin"/>
      </w:r>
      <w:r w:rsidR="00B63B99">
        <w:instrText xml:space="preserve"> REF _Ref396066585 \r \h </w:instrText>
      </w:r>
      <w:r w:rsidR="00B63B99">
        <w:fldChar w:fldCharType="separate"/>
      </w:r>
      <w:r w:rsidR="00B63B99">
        <w:t>7.4</w:t>
      </w:r>
      <w:r w:rsidR="00B63B99">
        <w:fldChar w:fldCharType="end"/>
      </w:r>
      <w:r w:rsidR="00B63B99">
        <w:t xml:space="preserve">), donde se establecen límites para el pago a las mismas y las sanciones por incumplimiento de los niveles de servicio. </w:t>
      </w:r>
      <w:r>
        <w:t xml:space="preserve">Seguidamente se detalla el sub-contrato aplicado </w:t>
      </w:r>
      <w:r w:rsidR="00B63B99">
        <w:t>al caso del Convenio de Itapúa.</w:t>
      </w:r>
    </w:p>
    <w:p w:rsidR="00AC6725" w:rsidRPr="00AC6725" w:rsidRDefault="00AC6725" w:rsidP="00B63B99">
      <w:pPr>
        <w:ind w:left="709"/>
        <w:jc w:val="both"/>
      </w:pPr>
    </w:p>
    <w:tbl>
      <w:tblPr>
        <w:tblStyle w:val="TableGrid"/>
        <w:tblW w:w="9180" w:type="dxa"/>
        <w:tblLook w:val="04A0" w:firstRow="1" w:lastRow="0" w:firstColumn="1" w:lastColumn="0" w:noHBand="0" w:noVBand="1"/>
      </w:tblPr>
      <w:tblGrid>
        <w:gridCol w:w="1182"/>
        <w:gridCol w:w="2001"/>
        <w:gridCol w:w="5997"/>
      </w:tblGrid>
      <w:tr w:rsidR="00B63B99" w:rsidRPr="005D6FE7" w:rsidTr="002A1FCA">
        <w:trPr>
          <w:tblHeader/>
        </w:trPr>
        <w:tc>
          <w:tcPr>
            <w:tcW w:w="1182" w:type="dxa"/>
            <w:shd w:val="clear" w:color="auto" w:fill="DAEEF3" w:themeFill="accent5" w:themeFillTint="33"/>
          </w:tcPr>
          <w:p w:rsidR="00B63B99" w:rsidRPr="005D6FE7" w:rsidRDefault="00B63B99" w:rsidP="00F776C7">
            <w:pPr>
              <w:rPr>
                <w:b/>
                <w:sz w:val="22"/>
                <w:szCs w:val="22"/>
              </w:rPr>
            </w:pPr>
            <w:r w:rsidRPr="005D6FE7">
              <w:rPr>
                <w:b/>
                <w:sz w:val="22"/>
                <w:szCs w:val="22"/>
                <w:lang w:val="es-PY"/>
              </w:rPr>
              <w:t>Ítem</w:t>
            </w:r>
          </w:p>
        </w:tc>
        <w:tc>
          <w:tcPr>
            <w:tcW w:w="2001" w:type="dxa"/>
            <w:shd w:val="clear" w:color="auto" w:fill="DAEEF3" w:themeFill="accent5" w:themeFillTint="33"/>
          </w:tcPr>
          <w:p w:rsidR="00B63B99" w:rsidRPr="005D6FE7" w:rsidRDefault="00B63B99" w:rsidP="00F776C7">
            <w:pPr>
              <w:rPr>
                <w:b/>
                <w:sz w:val="22"/>
                <w:szCs w:val="22"/>
              </w:rPr>
            </w:pPr>
            <w:r w:rsidRPr="005D6FE7">
              <w:rPr>
                <w:b/>
                <w:sz w:val="22"/>
                <w:szCs w:val="22"/>
                <w:lang w:val="es-PY"/>
              </w:rPr>
              <w:t>Título</w:t>
            </w:r>
          </w:p>
        </w:tc>
        <w:tc>
          <w:tcPr>
            <w:tcW w:w="5997" w:type="dxa"/>
            <w:shd w:val="clear" w:color="auto" w:fill="DAEEF3" w:themeFill="accent5" w:themeFillTint="33"/>
          </w:tcPr>
          <w:p w:rsidR="00B63B99" w:rsidRPr="005D6FE7" w:rsidRDefault="00B63B99" w:rsidP="00F776C7">
            <w:pPr>
              <w:rPr>
                <w:b/>
                <w:sz w:val="22"/>
                <w:szCs w:val="22"/>
              </w:rPr>
            </w:pPr>
            <w:r w:rsidRPr="005D6FE7">
              <w:rPr>
                <w:b/>
                <w:sz w:val="22"/>
                <w:szCs w:val="22"/>
                <w:lang w:val="es-PY"/>
              </w:rPr>
              <w:t>Observaciones</w:t>
            </w:r>
            <w:r w:rsidRPr="005D6FE7">
              <w:rPr>
                <w:b/>
                <w:sz w:val="22"/>
                <w:szCs w:val="22"/>
              </w:rPr>
              <w:t xml:space="preserve"> </w:t>
            </w:r>
            <w:r w:rsidRPr="005D6FE7">
              <w:rPr>
                <w:b/>
                <w:sz w:val="22"/>
                <w:szCs w:val="22"/>
                <w:lang w:val="es-PY"/>
              </w:rPr>
              <w:t>relevantes</w:t>
            </w:r>
          </w:p>
        </w:tc>
      </w:tr>
      <w:tr w:rsidR="00B63B99" w:rsidRPr="005D6FE7" w:rsidTr="002A1FCA">
        <w:tc>
          <w:tcPr>
            <w:tcW w:w="1182" w:type="dxa"/>
          </w:tcPr>
          <w:p w:rsidR="00B63B99" w:rsidRPr="005D6FE7" w:rsidRDefault="00B63B99" w:rsidP="00F776C7">
            <w:pPr>
              <w:spacing w:after="120"/>
              <w:rPr>
                <w:sz w:val="22"/>
                <w:szCs w:val="22"/>
                <w:lang w:val="es-PY"/>
              </w:rPr>
            </w:pPr>
            <w:r>
              <w:rPr>
                <w:sz w:val="22"/>
                <w:szCs w:val="22"/>
                <w:lang w:val="es-PY"/>
              </w:rPr>
              <w:t>Inicial</w:t>
            </w:r>
          </w:p>
        </w:tc>
        <w:tc>
          <w:tcPr>
            <w:tcW w:w="2001" w:type="dxa"/>
          </w:tcPr>
          <w:p w:rsidR="00B63B99" w:rsidRDefault="00572D84" w:rsidP="00F776C7">
            <w:pPr>
              <w:spacing w:after="120"/>
              <w:rPr>
                <w:sz w:val="22"/>
                <w:szCs w:val="22"/>
                <w:lang w:val="es-PY"/>
              </w:rPr>
            </w:pPr>
            <w:r>
              <w:rPr>
                <w:sz w:val="22"/>
                <w:szCs w:val="22"/>
                <w:lang w:val="es-PY"/>
              </w:rPr>
              <w:t>Partes</w:t>
            </w:r>
          </w:p>
        </w:tc>
        <w:tc>
          <w:tcPr>
            <w:tcW w:w="5997" w:type="dxa"/>
          </w:tcPr>
          <w:p w:rsidR="00B63B99" w:rsidRPr="005D6FE7" w:rsidRDefault="00572D84" w:rsidP="00F776C7">
            <w:pPr>
              <w:spacing w:after="120"/>
              <w:rPr>
                <w:sz w:val="22"/>
                <w:szCs w:val="22"/>
                <w:lang w:val="es-PY"/>
              </w:rPr>
            </w:pPr>
            <w:r>
              <w:rPr>
                <w:sz w:val="22"/>
                <w:szCs w:val="22"/>
                <w:lang w:val="es-PY"/>
              </w:rPr>
              <w:t>Se definen las Partes: la Entidad Ejecutora (El Ejecutor) y La Contratada.</w:t>
            </w:r>
          </w:p>
        </w:tc>
      </w:tr>
      <w:tr w:rsidR="00B63B99" w:rsidRPr="005D6FE7" w:rsidTr="002A1FCA">
        <w:tc>
          <w:tcPr>
            <w:tcW w:w="1182" w:type="dxa"/>
          </w:tcPr>
          <w:p w:rsidR="00B63B99" w:rsidRPr="005D6FE7" w:rsidRDefault="00B63B99" w:rsidP="00F776C7">
            <w:pPr>
              <w:spacing w:after="120"/>
              <w:rPr>
                <w:sz w:val="22"/>
                <w:szCs w:val="22"/>
                <w:lang w:val="es-PY"/>
              </w:rPr>
            </w:pPr>
            <w:r w:rsidRPr="005D6FE7">
              <w:rPr>
                <w:sz w:val="22"/>
                <w:szCs w:val="22"/>
                <w:lang w:val="es-PY"/>
              </w:rPr>
              <w:t>Cláusula primera</w:t>
            </w:r>
          </w:p>
        </w:tc>
        <w:tc>
          <w:tcPr>
            <w:tcW w:w="2001" w:type="dxa"/>
          </w:tcPr>
          <w:p w:rsidR="00B63B99" w:rsidRPr="005D6FE7" w:rsidRDefault="00B63B99" w:rsidP="00F776C7">
            <w:pPr>
              <w:spacing w:after="120"/>
              <w:rPr>
                <w:sz w:val="22"/>
                <w:szCs w:val="22"/>
                <w:lang w:val="es-PY"/>
              </w:rPr>
            </w:pPr>
            <w:r>
              <w:rPr>
                <w:sz w:val="22"/>
                <w:szCs w:val="22"/>
                <w:lang w:val="es-PY"/>
              </w:rPr>
              <w:t>Objeto</w:t>
            </w:r>
          </w:p>
        </w:tc>
        <w:tc>
          <w:tcPr>
            <w:tcW w:w="5997" w:type="dxa"/>
          </w:tcPr>
          <w:p w:rsidR="00B63B99" w:rsidRPr="005D6FE7" w:rsidRDefault="00572D84" w:rsidP="00F776C7">
            <w:pPr>
              <w:spacing w:after="120"/>
              <w:rPr>
                <w:sz w:val="22"/>
                <w:szCs w:val="22"/>
                <w:lang w:val="es-PY"/>
              </w:rPr>
            </w:pPr>
            <w:r>
              <w:rPr>
                <w:sz w:val="22"/>
                <w:szCs w:val="22"/>
                <w:lang w:val="es-PY"/>
              </w:rPr>
              <w:t>Se define el tramo objeto de mantenimiento rutinario a realizar la ACV</w:t>
            </w:r>
            <w:r w:rsidR="00B63B99" w:rsidRPr="005D6FE7">
              <w:rPr>
                <w:sz w:val="22"/>
                <w:szCs w:val="22"/>
                <w:lang w:val="es-PY"/>
              </w:rPr>
              <w:t>.</w:t>
            </w:r>
            <w:r>
              <w:rPr>
                <w:sz w:val="22"/>
                <w:szCs w:val="22"/>
                <w:lang w:val="es-PY"/>
              </w:rPr>
              <w:t xml:space="preserve"> Se establece el origen de los fondos.</w:t>
            </w:r>
          </w:p>
        </w:tc>
      </w:tr>
      <w:tr w:rsidR="00B63B99" w:rsidRPr="005D6FE7" w:rsidTr="002A1FCA">
        <w:tc>
          <w:tcPr>
            <w:tcW w:w="1182" w:type="dxa"/>
          </w:tcPr>
          <w:p w:rsidR="00B63B99" w:rsidRPr="005D6FE7" w:rsidRDefault="00B63B99" w:rsidP="00F776C7">
            <w:pPr>
              <w:spacing w:after="120"/>
              <w:rPr>
                <w:sz w:val="22"/>
                <w:szCs w:val="22"/>
                <w:lang w:val="es-PY"/>
              </w:rPr>
            </w:pPr>
            <w:r w:rsidRPr="005D6FE7">
              <w:rPr>
                <w:sz w:val="22"/>
                <w:szCs w:val="22"/>
                <w:lang w:val="es-PY"/>
              </w:rPr>
              <w:t>Cláusula segunda</w:t>
            </w:r>
          </w:p>
        </w:tc>
        <w:tc>
          <w:tcPr>
            <w:tcW w:w="2001" w:type="dxa"/>
          </w:tcPr>
          <w:p w:rsidR="00B63B99" w:rsidRPr="005D6FE7" w:rsidRDefault="00572D84" w:rsidP="00F776C7">
            <w:pPr>
              <w:spacing w:after="120"/>
              <w:rPr>
                <w:sz w:val="22"/>
                <w:szCs w:val="22"/>
                <w:lang w:val="es-PY"/>
              </w:rPr>
            </w:pPr>
            <w:r>
              <w:rPr>
                <w:sz w:val="22"/>
                <w:szCs w:val="22"/>
                <w:lang w:val="es-PY"/>
              </w:rPr>
              <w:t>Derecho vigente</w:t>
            </w:r>
          </w:p>
        </w:tc>
        <w:tc>
          <w:tcPr>
            <w:tcW w:w="5997" w:type="dxa"/>
          </w:tcPr>
          <w:p w:rsidR="00B63B99" w:rsidRPr="005D6FE7" w:rsidRDefault="00572D84" w:rsidP="00F776C7">
            <w:pPr>
              <w:spacing w:after="120"/>
              <w:rPr>
                <w:sz w:val="22"/>
                <w:szCs w:val="22"/>
                <w:lang w:val="es-PY"/>
              </w:rPr>
            </w:pPr>
            <w:r>
              <w:rPr>
                <w:sz w:val="22"/>
                <w:szCs w:val="22"/>
                <w:lang w:val="es-PY"/>
              </w:rPr>
              <w:t>Leyes de la República del Paraguay.</w:t>
            </w:r>
          </w:p>
        </w:tc>
      </w:tr>
      <w:tr w:rsidR="00B63B99" w:rsidRPr="005D6FE7" w:rsidTr="002A1FCA">
        <w:tc>
          <w:tcPr>
            <w:tcW w:w="1182" w:type="dxa"/>
          </w:tcPr>
          <w:p w:rsidR="00B63B99" w:rsidRPr="005D6FE7" w:rsidRDefault="00B63B99" w:rsidP="00F776C7">
            <w:pPr>
              <w:spacing w:after="120"/>
              <w:rPr>
                <w:sz w:val="22"/>
                <w:szCs w:val="22"/>
                <w:lang w:val="es-PY"/>
              </w:rPr>
            </w:pPr>
            <w:r w:rsidRPr="005D6FE7">
              <w:rPr>
                <w:sz w:val="22"/>
                <w:szCs w:val="22"/>
                <w:lang w:val="es-PY"/>
              </w:rPr>
              <w:t>Cláusula tercera</w:t>
            </w:r>
          </w:p>
        </w:tc>
        <w:tc>
          <w:tcPr>
            <w:tcW w:w="2001" w:type="dxa"/>
          </w:tcPr>
          <w:p w:rsidR="00B63B99" w:rsidRPr="005D6FE7" w:rsidRDefault="00572D84" w:rsidP="00F776C7">
            <w:pPr>
              <w:spacing w:after="120"/>
              <w:rPr>
                <w:sz w:val="22"/>
                <w:szCs w:val="22"/>
                <w:lang w:val="es-PY"/>
              </w:rPr>
            </w:pPr>
            <w:r>
              <w:rPr>
                <w:sz w:val="22"/>
                <w:szCs w:val="22"/>
                <w:lang w:val="es-PY"/>
              </w:rPr>
              <w:t>Modificación y enmiendas</w:t>
            </w:r>
          </w:p>
        </w:tc>
        <w:tc>
          <w:tcPr>
            <w:tcW w:w="5997" w:type="dxa"/>
          </w:tcPr>
          <w:p w:rsidR="00B63B99" w:rsidRPr="005D6FE7" w:rsidRDefault="00572D84" w:rsidP="00F776C7">
            <w:pPr>
              <w:spacing w:after="120"/>
              <w:rPr>
                <w:sz w:val="22"/>
                <w:szCs w:val="22"/>
              </w:rPr>
            </w:pPr>
            <w:r>
              <w:rPr>
                <w:sz w:val="22"/>
                <w:szCs w:val="22"/>
              </w:rPr>
              <w:t xml:space="preserve">De </w:t>
            </w:r>
            <w:r w:rsidRPr="00572D84">
              <w:rPr>
                <w:sz w:val="22"/>
                <w:szCs w:val="22"/>
                <w:lang w:val="es-PY"/>
              </w:rPr>
              <w:t>mutuo</w:t>
            </w:r>
            <w:r>
              <w:rPr>
                <w:sz w:val="22"/>
                <w:szCs w:val="22"/>
              </w:rPr>
              <w:t xml:space="preserve"> </w:t>
            </w:r>
            <w:r w:rsidRPr="00572D84">
              <w:rPr>
                <w:sz w:val="22"/>
                <w:szCs w:val="22"/>
                <w:lang w:val="es-PY"/>
              </w:rPr>
              <w:t>acuerdo</w:t>
            </w:r>
            <w:r w:rsidR="00B63B99" w:rsidRPr="005D6FE7">
              <w:rPr>
                <w:sz w:val="22"/>
                <w:szCs w:val="22"/>
              </w:rPr>
              <w:t>.</w:t>
            </w:r>
          </w:p>
        </w:tc>
      </w:tr>
      <w:tr w:rsidR="00B63B99" w:rsidRPr="005D6FE7" w:rsidTr="002A1FCA">
        <w:tc>
          <w:tcPr>
            <w:tcW w:w="1182" w:type="dxa"/>
          </w:tcPr>
          <w:p w:rsidR="00B63B99" w:rsidRPr="005D6FE7" w:rsidRDefault="00B63B99" w:rsidP="00F776C7">
            <w:pPr>
              <w:spacing w:after="120"/>
              <w:rPr>
                <w:sz w:val="22"/>
                <w:szCs w:val="22"/>
                <w:lang w:val="es-PY"/>
              </w:rPr>
            </w:pPr>
            <w:r w:rsidRPr="005D6FE7">
              <w:rPr>
                <w:sz w:val="22"/>
                <w:szCs w:val="22"/>
                <w:lang w:val="es-PY"/>
              </w:rPr>
              <w:t>Cláusula cuarta</w:t>
            </w:r>
          </w:p>
        </w:tc>
        <w:tc>
          <w:tcPr>
            <w:tcW w:w="2001" w:type="dxa"/>
          </w:tcPr>
          <w:p w:rsidR="00B63B99" w:rsidRPr="005D6FE7" w:rsidRDefault="00572D84" w:rsidP="00F776C7">
            <w:pPr>
              <w:spacing w:after="120"/>
              <w:rPr>
                <w:sz w:val="22"/>
                <w:szCs w:val="22"/>
                <w:lang w:val="es-PY"/>
              </w:rPr>
            </w:pPr>
            <w:r>
              <w:rPr>
                <w:sz w:val="22"/>
                <w:szCs w:val="22"/>
                <w:lang w:val="es-PY"/>
              </w:rPr>
              <w:t>Obligaciones de la Contratada</w:t>
            </w:r>
          </w:p>
        </w:tc>
        <w:tc>
          <w:tcPr>
            <w:tcW w:w="5997" w:type="dxa"/>
          </w:tcPr>
          <w:p w:rsidR="00B63B99" w:rsidRPr="005D6FE7" w:rsidRDefault="00572D84" w:rsidP="00F776C7">
            <w:pPr>
              <w:spacing w:after="120"/>
              <w:rPr>
                <w:sz w:val="22"/>
                <w:szCs w:val="22"/>
                <w:lang w:val="es-PY"/>
              </w:rPr>
            </w:pPr>
            <w:r>
              <w:rPr>
                <w:sz w:val="22"/>
                <w:szCs w:val="22"/>
                <w:lang w:val="es-PY"/>
              </w:rPr>
              <w:t>De acuerdo al presente contrato y subordinada a la autoridad del El Ejecutor y el Ingeniero Superintendente</w:t>
            </w:r>
            <w:r w:rsidR="00B63B99" w:rsidRPr="005D6FE7">
              <w:rPr>
                <w:sz w:val="22"/>
                <w:szCs w:val="22"/>
                <w:lang w:val="es-PY"/>
              </w:rPr>
              <w:t>.</w:t>
            </w:r>
          </w:p>
        </w:tc>
      </w:tr>
      <w:tr w:rsidR="00572D84" w:rsidRPr="005D6FE7" w:rsidTr="002A1FCA">
        <w:tc>
          <w:tcPr>
            <w:tcW w:w="1182" w:type="dxa"/>
          </w:tcPr>
          <w:p w:rsidR="00572D84" w:rsidRDefault="00572D84" w:rsidP="00572D84">
            <w:r w:rsidRPr="005D10A6">
              <w:rPr>
                <w:sz w:val="22"/>
                <w:szCs w:val="22"/>
                <w:lang w:val="es-PY"/>
              </w:rPr>
              <w:t xml:space="preserve">Cláusula </w:t>
            </w:r>
            <w:r>
              <w:rPr>
                <w:sz w:val="22"/>
                <w:szCs w:val="22"/>
                <w:lang w:val="es-PY"/>
              </w:rPr>
              <w:t>quinta</w:t>
            </w:r>
          </w:p>
        </w:tc>
        <w:tc>
          <w:tcPr>
            <w:tcW w:w="2001" w:type="dxa"/>
          </w:tcPr>
          <w:p w:rsidR="00572D84" w:rsidRPr="005D6FE7" w:rsidRDefault="00572D84" w:rsidP="00F776C7">
            <w:pPr>
              <w:spacing w:after="120"/>
              <w:rPr>
                <w:sz w:val="22"/>
                <w:szCs w:val="22"/>
                <w:lang w:val="es-PY"/>
              </w:rPr>
            </w:pPr>
            <w:r>
              <w:rPr>
                <w:sz w:val="22"/>
                <w:szCs w:val="22"/>
                <w:lang w:val="es-PY"/>
              </w:rPr>
              <w:t>Alcance de los servicios</w:t>
            </w:r>
          </w:p>
        </w:tc>
        <w:tc>
          <w:tcPr>
            <w:tcW w:w="5997" w:type="dxa"/>
          </w:tcPr>
          <w:p w:rsidR="00572D84" w:rsidRPr="005D6FE7" w:rsidRDefault="00572D84" w:rsidP="00F776C7">
            <w:pPr>
              <w:spacing w:after="120"/>
              <w:rPr>
                <w:sz w:val="22"/>
                <w:szCs w:val="22"/>
                <w:lang w:val="es-PY"/>
              </w:rPr>
            </w:pPr>
            <w:r>
              <w:rPr>
                <w:sz w:val="22"/>
                <w:szCs w:val="22"/>
                <w:lang w:val="es-PY"/>
              </w:rPr>
              <w:t>Establecidas en el Plan de Trabajo y Actividades previstos en el Convenio. Sujeto a acuerdo entre las Partes.</w:t>
            </w:r>
          </w:p>
        </w:tc>
      </w:tr>
      <w:tr w:rsidR="00572D84" w:rsidRPr="005D6FE7" w:rsidTr="002A1FCA">
        <w:tc>
          <w:tcPr>
            <w:tcW w:w="1182" w:type="dxa"/>
          </w:tcPr>
          <w:p w:rsidR="00572D84" w:rsidRPr="00572D84" w:rsidRDefault="00572D84" w:rsidP="00572D84">
            <w:pPr>
              <w:rPr>
                <w:lang w:val="es-PY"/>
              </w:rPr>
            </w:pPr>
            <w:r w:rsidRPr="005D10A6">
              <w:rPr>
                <w:sz w:val="22"/>
                <w:szCs w:val="22"/>
                <w:lang w:val="es-PY"/>
              </w:rPr>
              <w:t xml:space="preserve">Cláusula </w:t>
            </w:r>
            <w:r>
              <w:rPr>
                <w:sz w:val="22"/>
                <w:szCs w:val="22"/>
                <w:lang w:val="es-PY"/>
              </w:rPr>
              <w:t>sexta</w:t>
            </w:r>
          </w:p>
        </w:tc>
        <w:tc>
          <w:tcPr>
            <w:tcW w:w="2001" w:type="dxa"/>
          </w:tcPr>
          <w:p w:rsidR="00572D84" w:rsidRPr="005D6FE7" w:rsidRDefault="00572D84" w:rsidP="00F776C7">
            <w:pPr>
              <w:spacing w:after="120"/>
              <w:rPr>
                <w:sz w:val="22"/>
                <w:szCs w:val="22"/>
                <w:lang w:val="es-PY"/>
              </w:rPr>
            </w:pPr>
            <w:r>
              <w:rPr>
                <w:sz w:val="22"/>
                <w:szCs w:val="22"/>
                <w:lang w:val="es-PY"/>
              </w:rPr>
              <w:t>Plazo contractual</w:t>
            </w:r>
          </w:p>
        </w:tc>
        <w:tc>
          <w:tcPr>
            <w:tcW w:w="5997" w:type="dxa"/>
          </w:tcPr>
          <w:p w:rsidR="00572D84" w:rsidRPr="005D6FE7" w:rsidRDefault="00572D84" w:rsidP="00F776C7">
            <w:pPr>
              <w:spacing w:after="120"/>
              <w:rPr>
                <w:sz w:val="22"/>
                <w:szCs w:val="22"/>
                <w:lang w:val="es-PY"/>
              </w:rPr>
            </w:pPr>
            <w:r>
              <w:rPr>
                <w:sz w:val="22"/>
                <w:szCs w:val="22"/>
                <w:lang w:val="es-PY"/>
              </w:rPr>
              <w:t>Se establecen las fechas de inicio y de término, y el plazo en días.</w:t>
            </w:r>
          </w:p>
        </w:tc>
      </w:tr>
      <w:tr w:rsidR="00572D84" w:rsidRPr="005D6FE7" w:rsidTr="002A1FCA">
        <w:tc>
          <w:tcPr>
            <w:tcW w:w="1182" w:type="dxa"/>
          </w:tcPr>
          <w:p w:rsidR="00572D84" w:rsidRPr="00572D84" w:rsidRDefault="00572D84" w:rsidP="00572D84">
            <w:pPr>
              <w:rPr>
                <w:lang w:val="es-PY"/>
              </w:rPr>
            </w:pPr>
            <w:r w:rsidRPr="005D10A6">
              <w:rPr>
                <w:sz w:val="22"/>
                <w:szCs w:val="22"/>
                <w:lang w:val="es-PY"/>
              </w:rPr>
              <w:t xml:space="preserve">Cláusula </w:t>
            </w:r>
            <w:r>
              <w:rPr>
                <w:sz w:val="22"/>
                <w:szCs w:val="22"/>
                <w:lang w:val="es-PY"/>
              </w:rPr>
              <w:t>séptima</w:t>
            </w:r>
          </w:p>
        </w:tc>
        <w:tc>
          <w:tcPr>
            <w:tcW w:w="2001" w:type="dxa"/>
          </w:tcPr>
          <w:p w:rsidR="00572D84" w:rsidRPr="005D6FE7" w:rsidRDefault="00572D84" w:rsidP="00F776C7">
            <w:pPr>
              <w:spacing w:after="120"/>
              <w:rPr>
                <w:sz w:val="22"/>
                <w:szCs w:val="22"/>
                <w:lang w:val="es-PY"/>
              </w:rPr>
            </w:pPr>
            <w:r>
              <w:rPr>
                <w:sz w:val="22"/>
                <w:szCs w:val="22"/>
                <w:lang w:val="es-PY"/>
              </w:rPr>
              <w:t>Informaciones y documentos</w:t>
            </w:r>
          </w:p>
        </w:tc>
        <w:tc>
          <w:tcPr>
            <w:tcW w:w="5997" w:type="dxa"/>
          </w:tcPr>
          <w:p w:rsidR="00572D84" w:rsidRDefault="00572D84" w:rsidP="00F776C7">
            <w:pPr>
              <w:spacing w:after="120"/>
              <w:rPr>
                <w:sz w:val="22"/>
                <w:szCs w:val="22"/>
                <w:lang w:val="es-PY"/>
              </w:rPr>
            </w:pPr>
            <w:r>
              <w:rPr>
                <w:sz w:val="22"/>
                <w:szCs w:val="22"/>
                <w:lang w:val="es-PY"/>
              </w:rPr>
              <w:t>Se estipula que La Contratada llevará registros de las tareas realizadas.</w:t>
            </w:r>
          </w:p>
          <w:p w:rsidR="00572D84" w:rsidRDefault="00572D84" w:rsidP="00F776C7">
            <w:pPr>
              <w:spacing w:after="120"/>
              <w:rPr>
                <w:sz w:val="22"/>
                <w:szCs w:val="22"/>
                <w:lang w:val="es-PY"/>
              </w:rPr>
            </w:pPr>
            <w:r>
              <w:rPr>
                <w:sz w:val="22"/>
                <w:szCs w:val="22"/>
                <w:lang w:val="es-PY"/>
              </w:rPr>
              <w:t>Forman parte del contrato lo siguiente:</w:t>
            </w:r>
          </w:p>
          <w:p w:rsidR="00572D84" w:rsidRPr="002A1FCA" w:rsidRDefault="00572D84" w:rsidP="00826CB7">
            <w:pPr>
              <w:pStyle w:val="ListParagraph"/>
              <w:numPr>
                <w:ilvl w:val="0"/>
                <w:numId w:val="11"/>
              </w:numPr>
              <w:spacing w:after="0" w:line="240" w:lineRule="auto"/>
              <w:ind w:left="250" w:hanging="250"/>
              <w:contextualSpacing w:val="0"/>
              <w:rPr>
                <w:rFonts w:ascii="Times New Roman" w:hAnsi="Times New Roman" w:cs="Times New Roman"/>
              </w:rPr>
            </w:pPr>
            <w:r w:rsidRPr="002A1FCA">
              <w:rPr>
                <w:rFonts w:ascii="Times New Roman" w:hAnsi="Times New Roman" w:cs="Times New Roman"/>
              </w:rPr>
              <w:t>Texto del Contrato.</w:t>
            </w:r>
          </w:p>
          <w:p w:rsidR="00572D84" w:rsidRPr="002A1FCA" w:rsidRDefault="00572D84" w:rsidP="00826CB7">
            <w:pPr>
              <w:pStyle w:val="ListParagraph"/>
              <w:numPr>
                <w:ilvl w:val="0"/>
                <w:numId w:val="11"/>
              </w:numPr>
              <w:spacing w:after="0" w:line="240" w:lineRule="auto"/>
              <w:ind w:left="250" w:hanging="250"/>
              <w:contextualSpacing w:val="0"/>
              <w:rPr>
                <w:rFonts w:ascii="Times New Roman" w:hAnsi="Times New Roman" w:cs="Times New Roman"/>
              </w:rPr>
            </w:pPr>
            <w:r w:rsidRPr="002A1FCA">
              <w:rPr>
                <w:rFonts w:ascii="Times New Roman" w:hAnsi="Times New Roman" w:cs="Times New Roman"/>
              </w:rPr>
              <w:t>Anexo I: Sanciones por Incumplimiento de los Niveles de Servicio.</w:t>
            </w:r>
          </w:p>
          <w:p w:rsidR="00572D84" w:rsidRPr="002A1FCA" w:rsidRDefault="00572D84" w:rsidP="00826CB7">
            <w:pPr>
              <w:pStyle w:val="ListParagraph"/>
              <w:numPr>
                <w:ilvl w:val="0"/>
                <w:numId w:val="11"/>
              </w:numPr>
              <w:spacing w:after="0" w:line="240" w:lineRule="auto"/>
              <w:ind w:left="250" w:hanging="250"/>
              <w:contextualSpacing w:val="0"/>
              <w:rPr>
                <w:rFonts w:ascii="Times New Roman" w:hAnsi="Times New Roman" w:cs="Times New Roman"/>
              </w:rPr>
            </w:pPr>
            <w:r w:rsidRPr="002A1FCA">
              <w:rPr>
                <w:rFonts w:ascii="Times New Roman" w:hAnsi="Times New Roman" w:cs="Times New Roman"/>
              </w:rPr>
              <w:t>Anexo II: Descripción de Actividades.</w:t>
            </w:r>
          </w:p>
          <w:p w:rsidR="00572D84" w:rsidRPr="002A1FCA" w:rsidRDefault="00572D84" w:rsidP="00826CB7">
            <w:pPr>
              <w:pStyle w:val="ListParagraph"/>
              <w:numPr>
                <w:ilvl w:val="0"/>
                <w:numId w:val="11"/>
              </w:numPr>
              <w:spacing w:after="0" w:line="240" w:lineRule="auto"/>
              <w:ind w:left="250" w:hanging="250"/>
              <w:contextualSpacing w:val="0"/>
              <w:rPr>
                <w:rFonts w:ascii="Times New Roman" w:hAnsi="Times New Roman" w:cs="Times New Roman"/>
              </w:rPr>
            </w:pPr>
            <w:r w:rsidRPr="002A1FCA">
              <w:rPr>
                <w:rFonts w:ascii="Times New Roman" w:hAnsi="Times New Roman" w:cs="Times New Roman"/>
              </w:rPr>
              <w:t>Anexo III: Procedimientos de Trabajo.</w:t>
            </w:r>
          </w:p>
          <w:p w:rsidR="00572D84" w:rsidRPr="002A1FCA" w:rsidRDefault="002A1FCA" w:rsidP="00826CB7">
            <w:pPr>
              <w:pStyle w:val="ListParagraph"/>
              <w:numPr>
                <w:ilvl w:val="0"/>
                <w:numId w:val="11"/>
              </w:numPr>
              <w:spacing w:after="0" w:line="240" w:lineRule="auto"/>
              <w:ind w:left="250" w:hanging="250"/>
              <w:contextualSpacing w:val="0"/>
              <w:rPr>
                <w:rFonts w:ascii="Times New Roman" w:hAnsi="Times New Roman" w:cs="Times New Roman"/>
              </w:rPr>
            </w:pPr>
            <w:r w:rsidRPr="002A1FCA">
              <w:rPr>
                <w:rFonts w:ascii="Times New Roman" w:hAnsi="Times New Roman" w:cs="Times New Roman"/>
              </w:rPr>
              <w:t>Anexo IV: Evaluación de las Actividades.</w:t>
            </w:r>
          </w:p>
          <w:p w:rsidR="002A1FCA" w:rsidRPr="002A1FCA" w:rsidRDefault="002A1FCA" w:rsidP="00826CB7">
            <w:pPr>
              <w:pStyle w:val="ListParagraph"/>
              <w:numPr>
                <w:ilvl w:val="0"/>
                <w:numId w:val="11"/>
              </w:numPr>
              <w:spacing w:after="0" w:line="240" w:lineRule="auto"/>
              <w:ind w:left="250" w:hanging="250"/>
              <w:contextualSpacing w:val="0"/>
            </w:pPr>
            <w:r w:rsidRPr="002A1FCA">
              <w:rPr>
                <w:rFonts w:ascii="Times New Roman" w:hAnsi="Times New Roman" w:cs="Times New Roman"/>
              </w:rPr>
              <w:lastRenderedPageBreak/>
              <w:t>Anexo V: Plan de Trabajo.</w:t>
            </w:r>
          </w:p>
        </w:tc>
      </w:tr>
      <w:tr w:rsidR="00572D84" w:rsidRPr="005D6FE7" w:rsidTr="002A1FCA">
        <w:tc>
          <w:tcPr>
            <w:tcW w:w="1182" w:type="dxa"/>
          </w:tcPr>
          <w:p w:rsidR="00572D84" w:rsidRPr="00572D84" w:rsidRDefault="00572D84" w:rsidP="00572D84">
            <w:pPr>
              <w:rPr>
                <w:lang w:val="es-PY"/>
              </w:rPr>
            </w:pPr>
            <w:r w:rsidRPr="005D10A6">
              <w:rPr>
                <w:sz w:val="22"/>
                <w:szCs w:val="22"/>
                <w:lang w:val="es-PY"/>
              </w:rPr>
              <w:lastRenderedPageBreak/>
              <w:t xml:space="preserve">Cláusula </w:t>
            </w:r>
            <w:r>
              <w:rPr>
                <w:sz w:val="22"/>
                <w:szCs w:val="22"/>
                <w:lang w:val="es-PY"/>
              </w:rPr>
              <w:t>octava</w:t>
            </w:r>
          </w:p>
        </w:tc>
        <w:tc>
          <w:tcPr>
            <w:tcW w:w="2001" w:type="dxa"/>
          </w:tcPr>
          <w:p w:rsidR="00572D84" w:rsidRPr="005D6FE7" w:rsidRDefault="002A1FCA" w:rsidP="00F776C7">
            <w:pPr>
              <w:spacing w:after="120"/>
              <w:rPr>
                <w:sz w:val="22"/>
                <w:szCs w:val="22"/>
                <w:lang w:val="es-PY"/>
              </w:rPr>
            </w:pPr>
            <w:r>
              <w:rPr>
                <w:sz w:val="22"/>
                <w:szCs w:val="22"/>
                <w:lang w:val="es-PY"/>
              </w:rPr>
              <w:t>Obligaciones impositivas.</w:t>
            </w:r>
          </w:p>
        </w:tc>
        <w:tc>
          <w:tcPr>
            <w:tcW w:w="5997" w:type="dxa"/>
          </w:tcPr>
          <w:p w:rsidR="00572D84" w:rsidRPr="005D6FE7" w:rsidRDefault="002A1FCA" w:rsidP="00F776C7">
            <w:pPr>
              <w:spacing w:after="120"/>
              <w:rPr>
                <w:sz w:val="22"/>
                <w:szCs w:val="22"/>
                <w:lang w:val="es-PY"/>
              </w:rPr>
            </w:pPr>
            <w:r>
              <w:rPr>
                <w:sz w:val="22"/>
                <w:szCs w:val="22"/>
                <w:lang w:val="es-PY"/>
              </w:rPr>
              <w:t>No se establece derecho a recibir ningún beneficio, pago, subsidio, compensación, indemnización o jubilación por parte de El Ejecutor y/o el MOPC.</w:t>
            </w:r>
          </w:p>
        </w:tc>
      </w:tr>
      <w:tr w:rsidR="00572D84" w:rsidRPr="005D6FE7" w:rsidTr="002A1FCA">
        <w:tc>
          <w:tcPr>
            <w:tcW w:w="1182" w:type="dxa"/>
          </w:tcPr>
          <w:p w:rsidR="00572D84" w:rsidRPr="00572D84" w:rsidRDefault="00572D84" w:rsidP="00572D84">
            <w:pPr>
              <w:rPr>
                <w:lang w:val="es-PY"/>
              </w:rPr>
            </w:pPr>
            <w:r w:rsidRPr="005D10A6">
              <w:rPr>
                <w:sz w:val="22"/>
                <w:szCs w:val="22"/>
                <w:lang w:val="es-PY"/>
              </w:rPr>
              <w:t xml:space="preserve">Cláusula </w:t>
            </w:r>
            <w:r>
              <w:rPr>
                <w:sz w:val="22"/>
                <w:szCs w:val="22"/>
                <w:lang w:val="es-PY"/>
              </w:rPr>
              <w:t>novena</w:t>
            </w:r>
          </w:p>
        </w:tc>
        <w:tc>
          <w:tcPr>
            <w:tcW w:w="2001" w:type="dxa"/>
          </w:tcPr>
          <w:p w:rsidR="00572D84" w:rsidRPr="005D6FE7" w:rsidRDefault="002A1FCA" w:rsidP="00F776C7">
            <w:pPr>
              <w:spacing w:after="120"/>
              <w:rPr>
                <w:sz w:val="22"/>
                <w:szCs w:val="22"/>
                <w:lang w:val="es-PY"/>
              </w:rPr>
            </w:pPr>
            <w:r>
              <w:rPr>
                <w:sz w:val="22"/>
                <w:szCs w:val="22"/>
                <w:lang w:val="es-PY"/>
              </w:rPr>
              <w:t>Lugar y horario de trabajo</w:t>
            </w:r>
          </w:p>
        </w:tc>
        <w:tc>
          <w:tcPr>
            <w:tcW w:w="5997" w:type="dxa"/>
          </w:tcPr>
          <w:p w:rsidR="00572D84" w:rsidRPr="005D6FE7" w:rsidRDefault="002A1FCA" w:rsidP="00F776C7">
            <w:pPr>
              <w:spacing w:after="120"/>
              <w:rPr>
                <w:sz w:val="22"/>
                <w:szCs w:val="22"/>
                <w:lang w:val="es-PY"/>
              </w:rPr>
            </w:pPr>
            <w:r>
              <w:rPr>
                <w:sz w:val="22"/>
                <w:szCs w:val="22"/>
                <w:lang w:val="es-PY"/>
              </w:rPr>
              <w:t>Ciñéndose al Plan de Trabajo y cronograma acordado con El Ejecutor.</w:t>
            </w:r>
          </w:p>
        </w:tc>
      </w:tr>
      <w:tr w:rsidR="00572D84" w:rsidRPr="005D6FE7" w:rsidTr="002A1FCA">
        <w:tc>
          <w:tcPr>
            <w:tcW w:w="1182" w:type="dxa"/>
          </w:tcPr>
          <w:p w:rsidR="00572D84" w:rsidRPr="00572D84" w:rsidRDefault="00572D84" w:rsidP="00572D84">
            <w:pPr>
              <w:rPr>
                <w:lang w:val="es-PY"/>
              </w:rPr>
            </w:pPr>
            <w:r w:rsidRPr="005D10A6">
              <w:rPr>
                <w:sz w:val="22"/>
                <w:szCs w:val="22"/>
                <w:lang w:val="es-PY"/>
              </w:rPr>
              <w:t xml:space="preserve">Cláusula </w:t>
            </w:r>
            <w:r>
              <w:rPr>
                <w:sz w:val="22"/>
                <w:szCs w:val="22"/>
                <w:lang w:val="es-PY"/>
              </w:rPr>
              <w:t>décima</w:t>
            </w:r>
          </w:p>
        </w:tc>
        <w:tc>
          <w:tcPr>
            <w:tcW w:w="2001" w:type="dxa"/>
          </w:tcPr>
          <w:p w:rsidR="00572D84" w:rsidRPr="005D6FE7" w:rsidRDefault="002A1FCA" w:rsidP="00F776C7">
            <w:pPr>
              <w:spacing w:after="120"/>
              <w:rPr>
                <w:sz w:val="22"/>
                <w:szCs w:val="22"/>
                <w:lang w:val="es-PY"/>
              </w:rPr>
            </w:pPr>
            <w:r>
              <w:rPr>
                <w:sz w:val="22"/>
                <w:szCs w:val="22"/>
                <w:lang w:val="es-PY"/>
              </w:rPr>
              <w:t>Responsabilidad y confidencialidad</w:t>
            </w:r>
          </w:p>
        </w:tc>
        <w:tc>
          <w:tcPr>
            <w:tcW w:w="5997" w:type="dxa"/>
          </w:tcPr>
          <w:p w:rsidR="00572D84" w:rsidRPr="005D6FE7" w:rsidRDefault="002A1FCA" w:rsidP="00F776C7">
            <w:pPr>
              <w:spacing w:after="120"/>
              <w:rPr>
                <w:sz w:val="22"/>
                <w:szCs w:val="22"/>
                <w:lang w:val="es-PY"/>
              </w:rPr>
            </w:pPr>
            <w:r>
              <w:rPr>
                <w:sz w:val="22"/>
                <w:szCs w:val="22"/>
                <w:lang w:val="es-PY"/>
              </w:rPr>
              <w:t>No entregar información a terceros sin autorización escrita de El Ejecutor. No existen condiciones que hagan incompatible la contratación. Queda prohibida a La Contratada efectuar pagos ni aceptar indirectos en relación a los servicios objeto del Contrato.</w:t>
            </w:r>
          </w:p>
        </w:tc>
      </w:tr>
      <w:tr w:rsidR="00572D84" w:rsidRPr="005D6FE7" w:rsidTr="002A1FCA">
        <w:tc>
          <w:tcPr>
            <w:tcW w:w="1182" w:type="dxa"/>
          </w:tcPr>
          <w:p w:rsidR="00572D84" w:rsidRPr="00572D84" w:rsidRDefault="00572D84" w:rsidP="002A1FCA">
            <w:pPr>
              <w:rPr>
                <w:lang w:val="es-PY"/>
              </w:rPr>
            </w:pPr>
            <w:r w:rsidRPr="005D10A6">
              <w:rPr>
                <w:sz w:val="22"/>
                <w:szCs w:val="22"/>
                <w:lang w:val="es-PY"/>
              </w:rPr>
              <w:t xml:space="preserve">Cláusula </w:t>
            </w:r>
            <w:r w:rsidR="002A1FCA">
              <w:rPr>
                <w:sz w:val="22"/>
                <w:szCs w:val="22"/>
                <w:lang w:val="es-PY"/>
              </w:rPr>
              <w:t>un</w:t>
            </w:r>
            <w:r>
              <w:rPr>
                <w:sz w:val="22"/>
                <w:szCs w:val="22"/>
                <w:lang w:val="es-PY"/>
              </w:rPr>
              <w:t>décim</w:t>
            </w:r>
            <w:r w:rsidR="002A1FCA">
              <w:rPr>
                <w:sz w:val="22"/>
                <w:szCs w:val="22"/>
                <w:lang w:val="es-PY"/>
              </w:rPr>
              <w:t>a</w:t>
            </w:r>
          </w:p>
        </w:tc>
        <w:tc>
          <w:tcPr>
            <w:tcW w:w="2001" w:type="dxa"/>
          </w:tcPr>
          <w:p w:rsidR="00572D84" w:rsidRPr="005D6FE7" w:rsidRDefault="002A1FCA" w:rsidP="00F776C7">
            <w:pPr>
              <w:spacing w:after="120"/>
              <w:rPr>
                <w:sz w:val="22"/>
                <w:szCs w:val="22"/>
                <w:lang w:val="es-PY"/>
              </w:rPr>
            </w:pPr>
            <w:r>
              <w:rPr>
                <w:sz w:val="22"/>
                <w:szCs w:val="22"/>
                <w:lang w:val="es-PY"/>
              </w:rPr>
              <w:t>Notificaciones</w:t>
            </w:r>
          </w:p>
        </w:tc>
        <w:tc>
          <w:tcPr>
            <w:tcW w:w="5997" w:type="dxa"/>
          </w:tcPr>
          <w:p w:rsidR="00572D84" w:rsidRPr="005D6FE7" w:rsidRDefault="002A1FCA" w:rsidP="00F776C7">
            <w:pPr>
              <w:spacing w:after="120"/>
              <w:rPr>
                <w:sz w:val="22"/>
                <w:szCs w:val="22"/>
                <w:lang w:val="es-PY"/>
              </w:rPr>
            </w:pPr>
            <w:r>
              <w:rPr>
                <w:sz w:val="22"/>
                <w:szCs w:val="22"/>
                <w:lang w:val="es-PY"/>
              </w:rPr>
              <w:t>Se establecen domicilios.</w:t>
            </w:r>
          </w:p>
        </w:tc>
      </w:tr>
      <w:tr w:rsidR="002A1FCA" w:rsidRPr="005D6FE7" w:rsidTr="002A1FCA">
        <w:tc>
          <w:tcPr>
            <w:tcW w:w="1182" w:type="dxa"/>
          </w:tcPr>
          <w:p w:rsidR="002A1FCA" w:rsidRDefault="002A1FCA">
            <w:r w:rsidRPr="00BF0A5D">
              <w:rPr>
                <w:sz w:val="22"/>
                <w:szCs w:val="22"/>
                <w:lang w:val="es-PY"/>
              </w:rPr>
              <w:t xml:space="preserve">Cláusula </w:t>
            </w:r>
            <w:r>
              <w:rPr>
                <w:sz w:val="22"/>
                <w:szCs w:val="22"/>
                <w:lang w:val="es-PY"/>
              </w:rPr>
              <w:t>duo</w:t>
            </w:r>
            <w:r w:rsidRPr="00BF0A5D">
              <w:rPr>
                <w:sz w:val="22"/>
                <w:szCs w:val="22"/>
                <w:lang w:val="es-PY"/>
              </w:rPr>
              <w:t>décima</w:t>
            </w:r>
          </w:p>
        </w:tc>
        <w:tc>
          <w:tcPr>
            <w:tcW w:w="2001" w:type="dxa"/>
          </w:tcPr>
          <w:p w:rsidR="002A1FCA" w:rsidRPr="005D6FE7" w:rsidRDefault="002A1FCA" w:rsidP="00F776C7">
            <w:pPr>
              <w:spacing w:after="120"/>
              <w:rPr>
                <w:sz w:val="22"/>
                <w:szCs w:val="22"/>
                <w:lang w:val="es-PY"/>
              </w:rPr>
            </w:pPr>
            <w:r>
              <w:rPr>
                <w:sz w:val="22"/>
                <w:szCs w:val="22"/>
                <w:lang w:val="es-PY"/>
              </w:rPr>
              <w:t>Costo de los servicios y forma de pago</w:t>
            </w:r>
          </w:p>
        </w:tc>
        <w:tc>
          <w:tcPr>
            <w:tcW w:w="5997" w:type="dxa"/>
          </w:tcPr>
          <w:p w:rsidR="002A1FCA" w:rsidRPr="005D6FE7" w:rsidRDefault="00A262A4" w:rsidP="00F776C7">
            <w:pPr>
              <w:spacing w:after="120"/>
              <w:rPr>
                <w:sz w:val="22"/>
                <w:szCs w:val="22"/>
                <w:lang w:val="es-PY"/>
              </w:rPr>
            </w:pPr>
            <w:r>
              <w:rPr>
                <w:sz w:val="22"/>
                <w:szCs w:val="22"/>
                <w:lang w:val="es-PY"/>
              </w:rPr>
              <w:t xml:space="preserve">Se define la remuneración mensual en </w:t>
            </w:r>
            <w:proofErr w:type="gramStart"/>
            <w:r>
              <w:rPr>
                <w:sz w:val="22"/>
                <w:szCs w:val="22"/>
                <w:lang w:val="es-PY"/>
              </w:rPr>
              <w:t>Guaraníes</w:t>
            </w:r>
            <w:proofErr w:type="gramEnd"/>
            <w:r>
              <w:rPr>
                <w:sz w:val="22"/>
                <w:szCs w:val="22"/>
                <w:lang w:val="es-PY"/>
              </w:rPr>
              <w:t>. Que incluye IVA, honorarios profesionales del Contador y seguro médico personal.</w:t>
            </w:r>
          </w:p>
        </w:tc>
      </w:tr>
      <w:tr w:rsidR="002A1FCA" w:rsidRPr="005D6FE7" w:rsidTr="002A1FCA">
        <w:tc>
          <w:tcPr>
            <w:tcW w:w="1182" w:type="dxa"/>
          </w:tcPr>
          <w:p w:rsidR="002A1FCA" w:rsidRDefault="002A1FCA" w:rsidP="002A1FCA">
            <w:r w:rsidRPr="00BF0A5D">
              <w:rPr>
                <w:sz w:val="22"/>
                <w:szCs w:val="22"/>
                <w:lang w:val="es-PY"/>
              </w:rPr>
              <w:t>Cláusula décim</w:t>
            </w:r>
            <w:r>
              <w:rPr>
                <w:sz w:val="22"/>
                <w:szCs w:val="22"/>
                <w:lang w:val="es-PY"/>
              </w:rPr>
              <w:t>o tercera</w:t>
            </w:r>
          </w:p>
        </w:tc>
        <w:tc>
          <w:tcPr>
            <w:tcW w:w="2001" w:type="dxa"/>
          </w:tcPr>
          <w:p w:rsidR="002A1FCA" w:rsidRPr="005D6FE7" w:rsidRDefault="002A1FCA" w:rsidP="00F776C7">
            <w:pPr>
              <w:spacing w:after="120"/>
              <w:rPr>
                <w:sz w:val="22"/>
                <w:szCs w:val="22"/>
                <w:lang w:val="es-PY"/>
              </w:rPr>
            </w:pPr>
            <w:r>
              <w:rPr>
                <w:sz w:val="22"/>
                <w:szCs w:val="22"/>
                <w:lang w:val="es-PY"/>
              </w:rPr>
              <w:t>Disponibilidad de fondos</w:t>
            </w:r>
          </w:p>
        </w:tc>
        <w:tc>
          <w:tcPr>
            <w:tcW w:w="5997" w:type="dxa"/>
          </w:tcPr>
          <w:p w:rsidR="002A1FCA" w:rsidRDefault="00A262A4" w:rsidP="00F776C7">
            <w:pPr>
              <w:spacing w:after="120"/>
              <w:rPr>
                <w:sz w:val="22"/>
                <w:szCs w:val="22"/>
                <w:lang w:val="es-PY"/>
              </w:rPr>
            </w:pPr>
            <w:r>
              <w:rPr>
                <w:sz w:val="22"/>
                <w:szCs w:val="22"/>
                <w:lang w:val="es-PY"/>
              </w:rPr>
              <w:t>Se establece que la remuneración prevista en la cláusula anterior estará sujeta a la disponibilidad de fondos provenientes de los desembolsos del Convenio.</w:t>
            </w:r>
          </w:p>
          <w:p w:rsidR="00A262A4" w:rsidRPr="005D6FE7" w:rsidRDefault="00A262A4" w:rsidP="00F776C7">
            <w:pPr>
              <w:spacing w:after="120"/>
              <w:rPr>
                <w:sz w:val="22"/>
                <w:szCs w:val="22"/>
                <w:lang w:val="es-PY"/>
              </w:rPr>
            </w:pPr>
            <w:r>
              <w:rPr>
                <w:sz w:val="22"/>
                <w:szCs w:val="22"/>
                <w:lang w:val="es-PY"/>
              </w:rPr>
              <w:t>El Ejecutor podrá paralizar temporalmente las actividades de La Contratada por no disponer de fondos. Esta paralización se comunicará con 15 días de antelación, sin que ello dé lugar a reclamo alguno por parte de La Contratada.</w:t>
            </w:r>
          </w:p>
        </w:tc>
      </w:tr>
      <w:tr w:rsidR="002A1FCA" w:rsidRPr="005D6FE7" w:rsidTr="002A1FCA">
        <w:tc>
          <w:tcPr>
            <w:tcW w:w="1182" w:type="dxa"/>
          </w:tcPr>
          <w:p w:rsidR="002A1FCA" w:rsidRPr="00A262A4" w:rsidRDefault="002A1FCA" w:rsidP="002A1FCA">
            <w:pPr>
              <w:rPr>
                <w:lang w:val="es-PY"/>
              </w:rPr>
            </w:pPr>
            <w:r w:rsidRPr="00BF0A5D">
              <w:rPr>
                <w:sz w:val="22"/>
                <w:szCs w:val="22"/>
                <w:lang w:val="es-PY"/>
              </w:rPr>
              <w:t>Cláusula décim</w:t>
            </w:r>
            <w:r>
              <w:rPr>
                <w:sz w:val="22"/>
                <w:szCs w:val="22"/>
                <w:lang w:val="es-PY"/>
              </w:rPr>
              <w:t>o cuarta</w:t>
            </w:r>
          </w:p>
        </w:tc>
        <w:tc>
          <w:tcPr>
            <w:tcW w:w="2001" w:type="dxa"/>
          </w:tcPr>
          <w:p w:rsidR="002A1FCA" w:rsidRPr="005D6FE7" w:rsidRDefault="002A1FCA" w:rsidP="00F776C7">
            <w:pPr>
              <w:spacing w:after="120"/>
              <w:rPr>
                <w:sz w:val="22"/>
                <w:szCs w:val="22"/>
                <w:lang w:val="es-PY"/>
              </w:rPr>
            </w:pPr>
            <w:r>
              <w:rPr>
                <w:sz w:val="22"/>
                <w:szCs w:val="22"/>
                <w:lang w:val="es-PY"/>
              </w:rPr>
              <w:t>Solución de controversias</w:t>
            </w:r>
          </w:p>
        </w:tc>
        <w:tc>
          <w:tcPr>
            <w:tcW w:w="5997" w:type="dxa"/>
          </w:tcPr>
          <w:p w:rsidR="002A1FCA" w:rsidRPr="005D6FE7" w:rsidRDefault="00A262A4" w:rsidP="00F776C7">
            <w:pPr>
              <w:spacing w:after="120"/>
              <w:rPr>
                <w:sz w:val="22"/>
                <w:szCs w:val="22"/>
                <w:lang w:val="es-PY"/>
              </w:rPr>
            </w:pPr>
            <w:r>
              <w:rPr>
                <w:sz w:val="22"/>
                <w:szCs w:val="22"/>
                <w:lang w:val="es-PY"/>
              </w:rPr>
              <w:t>Resuelto por Tribunal Arbitral constituido para el efecto, integrado por un representante de cada Parte y éstos designarán un tercero que deberá ser profesional abogado.</w:t>
            </w:r>
          </w:p>
        </w:tc>
      </w:tr>
      <w:tr w:rsidR="002A1FCA" w:rsidRPr="005D6FE7" w:rsidTr="002A1FCA">
        <w:tc>
          <w:tcPr>
            <w:tcW w:w="1182" w:type="dxa"/>
          </w:tcPr>
          <w:p w:rsidR="002A1FCA" w:rsidRDefault="002A1FCA">
            <w:r w:rsidRPr="00DA55C4">
              <w:rPr>
                <w:sz w:val="22"/>
                <w:szCs w:val="22"/>
                <w:lang w:val="es-PY"/>
              </w:rPr>
              <w:t>Cláusula décim</w:t>
            </w:r>
            <w:r>
              <w:rPr>
                <w:sz w:val="22"/>
                <w:szCs w:val="22"/>
                <w:lang w:val="es-PY"/>
              </w:rPr>
              <w:t>o quinta</w:t>
            </w:r>
          </w:p>
        </w:tc>
        <w:tc>
          <w:tcPr>
            <w:tcW w:w="2001" w:type="dxa"/>
          </w:tcPr>
          <w:p w:rsidR="002A1FCA" w:rsidRPr="005D6FE7" w:rsidRDefault="002A1FCA" w:rsidP="00F776C7">
            <w:pPr>
              <w:spacing w:after="120"/>
              <w:rPr>
                <w:sz w:val="22"/>
                <w:szCs w:val="22"/>
                <w:lang w:val="es-PY"/>
              </w:rPr>
            </w:pPr>
            <w:r>
              <w:rPr>
                <w:sz w:val="22"/>
                <w:szCs w:val="22"/>
                <w:lang w:val="es-PY"/>
              </w:rPr>
              <w:t>Fuer</w:t>
            </w:r>
            <w:r w:rsidR="00A262A4">
              <w:rPr>
                <w:sz w:val="22"/>
                <w:szCs w:val="22"/>
                <w:lang w:val="es-PY"/>
              </w:rPr>
              <w:t>z</w:t>
            </w:r>
            <w:r>
              <w:rPr>
                <w:sz w:val="22"/>
                <w:szCs w:val="22"/>
                <w:lang w:val="es-PY"/>
              </w:rPr>
              <w:t>a mayor.</w:t>
            </w:r>
          </w:p>
        </w:tc>
        <w:tc>
          <w:tcPr>
            <w:tcW w:w="5997" w:type="dxa"/>
          </w:tcPr>
          <w:p w:rsidR="002A1FCA" w:rsidRPr="005D6FE7" w:rsidRDefault="00A262A4" w:rsidP="00F776C7">
            <w:pPr>
              <w:spacing w:after="120"/>
              <w:rPr>
                <w:sz w:val="22"/>
                <w:szCs w:val="22"/>
                <w:lang w:val="es-PY"/>
              </w:rPr>
            </w:pPr>
            <w:r>
              <w:rPr>
                <w:sz w:val="22"/>
                <w:szCs w:val="22"/>
                <w:lang w:val="es-PY"/>
              </w:rPr>
              <w:t>La Contratada no será responsable por las consecuencias de un estado de fuerza mayor.</w:t>
            </w:r>
          </w:p>
        </w:tc>
      </w:tr>
      <w:tr w:rsidR="002A1FCA" w:rsidRPr="005D6FE7" w:rsidTr="002A1FCA">
        <w:tc>
          <w:tcPr>
            <w:tcW w:w="1182" w:type="dxa"/>
          </w:tcPr>
          <w:p w:rsidR="002A1FCA" w:rsidRDefault="002A1FCA" w:rsidP="002A1FCA">
            <w:r w:rsidRPr="00DA55C4">
              <w:rPr>
                <w:sz w:val="22"/>
                <w:szCs w:val="22"/>
                <w:lang w:val="es-PY"/>
              </w:rPr>
              <w:t>Cláusula décim</w:t>
            </w:r>
            <w:r>
              <w:rPr>
                <w:sz w:val="22"/>
                <w:szCs w:val="22"/>
                <w:lang w:val="es-PY"/>
              </w:rPr>
              <w:t>o sexta</w:t>
            </w:r>
          </w:p>
        </w:tc>
        <w:tc>
          <w:tcPr>
            <w:tcW w:w="2001" w:type="dxa"/>
          </w:tcPr>
          <w:p w:rsidR="002A1FCA" w:rsidRPr="005D6FE7" w:rsidRDefault="002A1FCA" w:rsidP="00F776C7">
            <w:pPr>
              <w:spacing w:after="120"/>
              <w:rPr>
                <w:sz w:val="22"/>
                <w:szCs w:val="22"/>
                <w:lang w:val="es-PY"/>
              </w:rPr>
            </w:pPr>
            <w:r>
              <w:rPr>
                <w:sz w:val="22"/>
                <w:szCs w:val="22"/>
                <w:lang w:val="es-PY"/>
              </w:rPr>
              <w:t>Rescisión del Contrato por parte de El Ejecutor</w:t>
            </w:r>
          </w:p>
        </w:tc>
        <w:tc>
          <w:tcPr>
            <w:tcW w:w="5997" w:type="dxa"/>
          </w:tcPr>
          <w:p w:rsidR="002A1FCA" w:rsidRPr="005D6FE7" w:rsidRDefault="00A262A4" w:rsidP="00F776C7">
            <w:pPr>
              <w:spacing w:after="120"/>
              <w:rPr>
                <w:sz w:val="22"/>
                <w:szCs w:val="22"/>
                <w:lang w:val="es-PY"/>
              </w:rPr>
            </w:pPr>
            <w:r>
              <w:rPr>
                <w:sz w:val="22"/>
                <w:szCs w:val="22"/>
                <w:lang w:val="es-PY"/>
              </w:rPr>
              <w:t>En cualquier momento mediante notificación con al menos 15 días de anticipación.</w:t>
            </w:r>
          </w:p>
        </w:tc>
      </w:tr>
      <w:tr w:rsidR="002A1FCA" w:rsidRPr="005D6FE7" w:rsidTr="002A1FCA">
        <w:tc>
          <w:tcPr>
            <w:tcW w:w="1182" w:type="dxa"/>
          </w:tcPr>
          <w:p w:rsidR="002A1FCA" w:rsidRDefault="002A1FCA">
            <w:r w:rsidRPr="00DA55C4">
              <w:rPr>
                <w:sz w:val="22"/>
                <w:szCs w:val="22"/>
                <w:lang w:val="es-PY"/>
              </w:rPr>
              <w:t>Cláusula décim</w:t>
            </w:r>
            <w:r>
              <w:rPr>
                <w:sz w:val="22"/>
                <w:szCs w:val="22"/>
                <w:lang w:val="es-PY"/>
              </w:rPr>
              <w:t>o séptima</w:t>
            </w:r>
          </w:p>
        </w:tc>
        <w:tc>
          <w:tcPr>
            <w:tcW w:w="2001" w:type="dxa"/>
          </w:tcPr>
          <w:p w:rsidR="002A1FCA" w:rsidRPr="005D6FE7" w:rsidRDefault="002A1FCA" w:rsidP="00F776C7">
            <w:pPr>
              <w:spacing w:after="120"/>
              <w:rPr>
                <w:sz w:val="22"/>
                <w:szCs w:val="22"/>
                <w:lang w:val="es-PY"/>
              </w:rPr>
            </w:pPr>
            <w:r>
              <w:rPr>
                <w:sz w:val="22"/>
                <w:szCs w:val="22"/>
                <w:lang w:val="es-PY"/>
              </w:rPr>
              <w:t>Rescisión del Contrato por parte de La Contratada</w:t>
            </w:r>
          </w:p>
        </w:tc>
        <w:tc>
          <w:tcPr>
            <w:tcW w:w="5997" w:type="dxa"/>
          </w:tcPr>
          <w:p w:rsidR="002A1FCA" w:rsidRPr="005D6FE7" w:rsidRDefault="00A262A4" w:rsidP="00F776C7">
            <w:pPr>
              <w:spacing w:after="120"/>
              <w:rPr>
                <w:sz w:val="22"/>
                <w:szCs w:val="22"/>
                <w:lang w:val="es-PY"/>
              </w:rPr>
            </w:pPr>
            <w:r>
              <w:rPr>
                <w:sz w:val="22"/>
                <w:szCs w:val="22"/>
                <w:lang w:val="es-PY"/>
              </w:rPr>
              <w:t>En cualquier momento mediante notificación con al menos 15 días de anticipación.</w:t>
            </w:r>
          </w:p>
        </w:tc>
      </w:tr>
      <w:tr w:rsidR="002A1FCA" w:rsidRPr="005D6FE7" w:rsidTr="002A1FCA">
        <w:tc>
          <w:tcPr>
            <w:tcW w:w="1182" w:type="dxa"/>
          </w:tcPr>
          <w:p w:rsidR="002A1FCA" w:rsidRDefault="002A1FCA">
            <w:r w:rsidRPr="00DA55C4">
              <w:rPr>
                <w:sz w:val="22"/>
                <w:szCs w:val="22"/>
                <w:lang w:val="es-PY"/>
              </w:rPr>
              <w:t>Cláusula décim</w:t>
            </w:r>
            <w:r>
              <w:rPr>
                <w:sz w:val="22"/>
                <w:szCs w:val="22"/>
                <w:lang w:val="es-PY"/>
              </w:rPr>
              <w:t>o octava</w:t>
            </w:r>
          </w:p>
        </w:tc>
        <w:tc>
          <w:tcPr>
            <w:tcW w:w="2001" w:type="dxa"/>
          </w:tcPr>
          <w:p w:rsidR="002A1FCA" w:rsidRPr="005D6FE7" w:rsidRDefault="00A262A4" w:rsidP="00F776C7">
            <w:pPr>
              <w:spacing w:after="120"/>
              <w:rPr>
                <w:sz w:val="22"/>
                <w:szCs w:val="22"/>
                <w:lang w:val="es-PY"/>
              </w:rPr>
            </w:pPr>
            <w:r>
              <w:rPr>
                <w:sz w:val="22"/>
                <w:szCs w:val="22"/>
                <w:lang w:val="es-PY"/>
              </w:rPr>
              <w:t>Consecuencias de la rescisión del Contrato</w:t>
            </w:r>
          </w:p>
        </w:tc>
        <w:tc>
          <w:tcPr>
            <w:tcW w:w="5997" w:type="dxa"/>
          </w:tcPr>
          <w:p w:rsidR="002A1FCA" w:rsidRPr="005D6FE7" w:rsidRDefault="00A262A4" w:rsidP="00F776C7">
            <w:pPr>
              <w:spacing w:after="120"/>
              <w:rPr>
                <w:sz w:val="22"/>
                <w:szCs w:val="22"/>
                <w:lang w:val="es-PY"/>
              </w:rPr>
            </w:pPr>
            <w:r>
              <w:rPr>
                <w:sz w:val="22"/>
                <w:szCs w:val="22"/>
                <w:lang w:val="es-PY"/>
              </w:rPr>
              <w:t>Se establecen consecuencias para ambas Partes.</w:t>
            </w:r>
          </w:p>
        </w:tc>
      </w:tr>
      <w:tr w:rsidR="002A1FCA" w:rsidRPr="005D6FE7" w:rsidTr="002A1FCA">
        <w:trPr>
          <w:trHeight w:val="575"/>
        </w:trPr>
        <w:tc>
          <w:tcPr>
            <w:tcW w:w="1182" w:type="dxa"/>
          </w:tcPr>
          <w:p w:rsidR="002A1FCA" w:rsidRDefault="002A1FCA" w:rsidP="002A1FCA">
            <w:r w:rsidRPr="00DA55C4">
              <w:rPr>
                <w:sz w:val="22"/>
                <w:szCs w:val="22"/>
                <w:lang w:val="es-PY"/>
              </w:rPr>
              <w:t>Cláusula décim</w:t>
            </w:r>
            <w:r>
              <w:rPr>
                <w:sz w:val="22"/>
                <w:szCs w:val="22"/>
                <w:lang w:val="es-PY"/>
              </w:rPr>
              <w:t>o novena</w:t>
            </w:r>
          </w:p>
        </w:tc>
        <w:tc>
          <w:tcPr>
            <w:tcW w:w="2001" w:type="dxa"/>
          </w:tcPr>
          <w:p w:rsidR="002A1FCA" w:rsidRPr="005D6FE7" w:rsidRDefault="00A262A4" w:rsidP="00F776C7">
            <w:pPr>
              <w:spacing w:after="120"/>
              <w:rPr>
                <w:sz w:val="22"/>
                <w:szCs w:val="22"/>
                <w:lang w:val="es-PY"/>
              </w:rPr>
            </w:pPr>
            <w:r>
              <w:rPr>
                <w:sz w:val="22"/>
                <w:szCs w:val="22"/>
                <w:lang w:val="es-PY"/>
              </w:rPr>
              <w:t>Ley aplicable - interpretación</w:t>
            </w:r>
          </w:p>
        </w:tc>
        <w:tc>
          <w:tcPr>
            <w:tcW w:w="5997" w:type="dxa"/>
          </w:tcPr>
          <w:p w:rsidR="002A1FCA" w:rsidRPr="005D6FE7" w:rsidRDefault="00A262A4" w:rsidP="00F776C7">
            <w:pPr>
              <w:spacing w:after="120"/>
              <w:rPr>
                <w:sz w:val="22"/>
                <w:szCs w:val="22"/>
                <w:lang w:val="es-PY"/>
              </w:rPr>
            </w:pPr>
            <w:r>
              <w:rPr>
                <w:sz w:val="22"/>
                <w:szCs w:val="22"/>
                <w:lang w:val="es-PY"/>
              </w:rPr>
              <w:t>Leyes de la República del Paraguay en materia de contratos civiles.</w:t>
            </w:r>
          </w:p>
        </w:tc>
      </w:tr>
    </w:tbl>
    <w:p w:rsidR="00B7675E" w:rsidRDefault="00B7675E" w:rsidP="00AB1224">
      <w:pPr>
        <w:spacing w:before="120" w:after="120" w:line="240" w:lineRule="atLeast"/>
        <w:ind w:left="709"/>
        <w:contextualSpacing/>
        <w:jc w:val="both"/>
        <w:rPr>
          <w:b/>
          <w:bCs/>
          <w:szCs w:val="24"/>
        </w:rPr>
      </w:pPr>
    </w:p>
    <w:p w:rsidR="00A262A4" w:rsidRPr="00181B50" w:rsidRDefault="00A262A4" w:rsidP="00A262A4">
      <w:pPr>
        <w:numPr>
          <w:ilvl w:val="1"/>
          <w:numId w:val="1"/>
        </w:numPr>
        <w:tabs>
          <w:tab w:val="clear" w:pos="360"/>
          <w:tab w:val="num" w:pos="709"/>
        </w:tabs>
        <w:spacing w:before="240"/>
        <w:ind w:left="709" w:hanging="709"/>
        <w:jc w:val="both"/>
      </w:pPr>
      <w:r>
        <w:rPr>
          <w:b/>
        </w:rPr>
        <w:t>La figura jurídica y comercial de la ACV</w:t>
      </w:r>
      <w:r w:rsidRPr="00AC6725">
        <w:t xml:space="preserve">. </w:t>
      </w:r>
      <w:r>
        <w:t xml:space="preserve">De acuerdo a la información suministrada por la UGM, </w:t>
      </w:r>
      <w:r w:rsidR="00181B50">
        <w:t>se adopta</w:t>
      </w:r>
      <w:r>
        <w:t xml:space="preserve"> la figura de Comisiones Vecinale</w:t>
      </w:r>
      <w:r w:rsidR="000C40E0">
        <w:t>s</w:t>
      </w:r>
      <w:r w:rsidR="00181B50">
        <w:t xml:space="preserve"> como organización de génesis de las ACV, las que deben ser </w:t>
      </w:r>
      <w:r w:rsidR="000C40E0">
        <w:t xml:space="preserve">aprobadas por las respectivas Municipalidades. El efecto, la Ley Orgánica Municipal N° 3966/10, en su Sección 5 De las Comisiones Vecinales, Art. 65. Creación, organización y funciones, establece que </w:t>
      </w:r>
      <w:r w:rsidR="000C40E0" w:rsidRPr="00181B50">
        <w:rPr>
          <w:bCs/>
          <w:i/>
          <w:lang w:val="es-MX"/>
        </w:rPr>
        <w:t xml:space="preserve">La organización, funciones y otros aspectos relativos al régimen jurídico de las </w:t>
      </w:r>
      <w:r w:rsidR="000C40E0" w:rsidRPr="00181B50">
        <w:rPr>
          <w:bCs/>
          <w:i/>
          <w:lang w:val="es-MX"/>
        </w:rPr>
        <w:lastRenderedPageBreak/>
        <w:t>Comisiones Vecinales serán determinados por ordenanza. El reconocimiento de las Comisiones Vecinales creadas será efectuado por resolución de la Intendencia Municipal</w:t>
      </w:r>
      <w:r w:rsidR="000C40E0">
        <w:rPr>
          <w:bCs/>
          <w:lang w:val="es-MX"/>
        </w:rPr>
        <w:t>.</w:t>
      </w:r>
      <w:r w:rsidR="00181B50">
        <w:rPr>
          <w:bCs/>
          <w:lang w:val="es-MX"/>
        </w:rPr>
        <w:t xml:space="preserve"> La idea, planteada por la UGM, es la de migrar a figuras organizativas de mayores posibilidades comerciales,</w:t>
      </w:r>
      <w:r w:rsidR="00B246AA">
        <w:rPr>
          <w:bCs/>
          <w:lang w:val="es-MX"/>
        </w:rPr>
        <w:t xml:space="preserve"> consecuentes con el propósito de la generación de microempresas,</w:t>
      </w:r>
      <w:r w:rsidR="00181B50">
        <w:rPr>
          <w:bCs/>
          <w:lang w:val="es-MX"/>
        </w:rPr>
        <w:t xml:space="preserve"> pero esta situación aún está lejos de lograrse.</w:t>
      </w:r>
    </w:p>
    <w:p w:rsidR="00181B50" w:rsidRDefault="00B246AA" w:rsidP="00A262A4">
      <w:pPr>
        <w:numPr>
          <w:ilvl w:val="1"/>
          <w:numId w:val="1"/>
        </w:numPr>
        <w:tabs>
          <w:tab w:val="clear" w:pos="360"/>
          <w:tab w:val="num" w:pos="709"/>
        </w:tabs>
        <w:spacing w:before="240"/>
        <w:ind w:left="709" w:hanging="709"/>
        <w:jc w:val="both"/>
      </w:pPr>
      <w:r w:rsidRPr="00E6169D">
        <w:rPr>
          <w:b/>
        </w:rPr>
        <w:t>La conformación de las ACV</w:t>
      </w:r>
      <w:r>
        <w:t>. El presupuesto asignado a cada Convenio comprende las actividades a realizar por las ACV</w:t>
      </w:r>
      <w:r w:rsidR="00430E52">
        <w:t xml:space="preserve"> para el mantenimiento rutinario</w:t>
      </w:r>
      <w:r>
        <w:t>.</w:t>
      </w:r>
      <w:r w:rsidR="00E6169D">
        <w:t xml:space="preserve"> El proceso de conformación parte de una adecuada capacitación a la Entidad Ejecutora, del tipo </w:t>
      </w:r>
      <w:r w:rsidR="00E6169D" w:rsidRPr="00E6169D">
        <w:rPr>
          <w:i/>
        </w:rPr>
        <w:t>capacitación de capacitadores</w:t>
      </w:r>
      <w:r w:rsidR="00E6169D">
        <w:t xml:space="preserve">, realizada hasta ahora por la Facultad de Ciencias y Tecnología de la Universidad Católica, específicamente contratada para el efecto en el marco de un convenio de cooperación suscrito con el MOPC. </w:t>
      </w:r>
      <w:r w:rsidR="00430E52">
        <w:t>El número de miembros de la ACV se estima a partir de 1 persona por cada 5 km, buscándose integrar a 4 o 5 personas en cada una pero sumando sub-tramos asignados a personas. En este sentido se obliga la clasificación previa de los sub-tramos, a fin de determinar las características físicas que definirán la intensidad de las actividades de mantenimiento rutinario, como la presencia de bosques laterales, alcantarillas, entre otros.</w:t>
      </w:r>
    </w:p>
    <w:p w:rsidR="00430E52" w:rsidRDefault="00430E52" w:rsidP="00A262A4">
      <w:pPr>
        <w:numPr>
          <w:ilvl w:val="1"/>
          <w:numId w:val="1"/>
        </w:numPr>
        <w:tabs>
          <w:tab w:val="clear" w:pos="360"/>
          <w:tab w:val="num" w:pos="709"/>
        </w:tabs>
        <w:spacing w:before="240"/>
        <w:ind w:left="709" w:hanging="709"/>
        <w:jc w:val="both"/>
      </w:pPr>
      <w:r w:rsidRPr="00430E52">
        <w:t>El sub-</w:t>
      </w:r>
      <w:r>
        <w:t>contrato suscrito por las ACV les permite contar con seguro médico, el que podrá ser del Instituto de Previsión Social (IPS) si se cuenta con las facilidades en la zona, o de lo contrario un seguro privado, siempre acorde a lo asignado en el Convenio.</w:t>
      </w:r>
    </w:p>
    <w:p w:rsidR="00430E52" w:rsidRDefault="00430E52" w:rsidP="00A262A4">
      <w:pPr>
        <w:numPr>
          <w:ilvl w:val="1"/>
          <w:numId w:val="1"/>
        </w:numPr>
        <w:tabs>
          <w:tab w:val="clear" w:pos="360"/>
          <w:tab w:val="num" w:pos="709"/>
        </w:tabs>
        <w:spacing w:before="240"/>
        <w:ind w:left="709" w:hanging="709"/>
        <w:jc w:val="both"/>
      </w:pPr>
      <w:r>
        <w:t>La permanencia de las personas en la ACV es relativamente corta, se observa una alta rotación de las mismas, la que depende del tipo de actividades de la zona. En aquellas afectadas por la zafra agrícola o el auge de la actividad comercial de frontera la rotación es más alta. En las zonas más deprimidas económicamente, como las ganaderas, el personal se aferra más a este empleo.</w:t>
      </w:r>
    </w:p>
    <w:p w:rsidR="00430E52" w:rsidRDefault="00BA27F6" w:rsidP="00A262A4">
      <w:pPr>
        <w:numPr>
          <w:ilvl w:val="1"/>
          <w:numId w:val="1"/>
        </w:numPr>
        <w:tabs>
          <w:tab w:val="clear" w:pos="360"/>
          <w:tab w:val="num" w:pos="709"/>
        </w:tabs>
        <w:spacing w:before="240"/>
        <w:ind w:left="709" w:hanging="709"/>
        <w:jc w:val="both"/>
      </w:pPr>
      <w:r>
        <w:rPr>
          <w:b/>
        </w:rPr>
        <w:t>Costo de la modalidad</w:t>
      </w:r>
      <w:r>
        <w:t xml:space="preserve">. </w:t>
      </w:r>
      <w:r w:rsidR="00430E52">
        <w:t xml:space="preserve">El costo de las ACV, que varía según las características del sub-tramo a mantener, se aprecia entre </w:t>
      </w:r>
      <w:r w:rsidR="00CD379D">
        <w:t>1.125</w:t>
      </w:r>
      <w:r w:rsidR="00D657F2">
        <w:t xml:space="preserve"> a 1.2</w:t>
      </w:r>
      <w:r w:rsidR="00CD379D">
        <w:t>33</w:t>
      </w:r>
      <w:r w:rsidR="00D657F2">
        <w:t xml:space="preserve"> US$/km por año por Convenio con GL.</w:t>
      </w:r>
    </w:p>
    <w:p w:rsidR="001956ED" w:rsidRPr="000C40E0" w:rsidRDefault="001956ED" w:rsidP="00A262A4">
      <w:pPr>
        <w:numPr>
          <w:ilvl w:val="1"/>
          <w:numId w:val="1"/>
        </w:numPr>
        <w:tabs>
          <w:tab w:val="clear" w:pos="360"/>
          <w:tab w:val="num" w:pos="709"/>
        </w:tabs>
        <w:spacing w:before="240"/>
        <w:ind w:left="709" w:hanging="709"/>
        <w:jc w:val="both"/>
      </w:pPr>
      <w:r w:rsidRPr="001956ED">
        <w:rPr>
          <w:b/>
        </w:rPr>
        <w:t>Soporte institucional del MOPC</w:t>
      </w:r>
      <w:r>
        <w:t>. Actualmente está en formación una Unidad de Generación de Empleo Masivo en Obras Públicas (UGEMOP)</w:t>
      </w:r>
      <w:r>
        <w:rPr>
          <w:rStyle w:val="FootnoteReference"/>
        </w:rPr>
        <w:footnoteReference w:id="7"/>
      </w:r>
      <w:r>
        <w:t xml:space="preserve">, que cuenta con un manual de funciones en proceso de aprobación. Esta dependencia buscará potenciar el desarrollo de las ACV en el MOPC. En general, dado que las transferencias para el pago de las ACV se realiza bajo el rubro 800 </w:t>
      </w:r>
      <w:r w:rsidRPr="001956ED">
        <w:rPr>
          <w:i/>
        </w:rPr>
        <w:t>Transferencia a organismos sin fines de lucro</w:t>
      </w:r>
      <w:r>
        <w:t>, deben cumplirse muchos trámites que constituyen actualmente una barrera burocrática. La idea, manifestada por el encargado del área de la UGEMOP, es buscar la contratación de un ente fiduciario para facilitar la implementación de la iniciativa.</w:t>
      </w:r>
    </w:p>
    <w:p w:rsidR="00D657F2" w:rsidRDefault="00D657F2" w:rsidP="00D657F2">
      <w:pPr>
        <w:numPr>
          <w:ilvl w:val="1"/>
          <w:numId w:val="1"/>
        </w:numPr>
        <w:tabs>
          <w:tab w:val="clear" w:pos="360"/>
          <w:tab w:val="num" w:pos="709"/>
        </w:tabs>
        <w:spacing w:before="240"/>
        <w:ind w:left="709" w:hanging="709"/>
        <w:jc w:val="both"/>
      </w:pPr>
      <w:r w:rsidRPr="00522C1C">
        <w:rPr>
          <w:b/>
        </w:rPr>
        <w:t xml:space="preserve">Observaciones </w:t>
      </w:r>
      <w:r>
        <w:rPr>
          <w:b/>
        </w:rPr>
        <w:t>generales a la modalidad de mantenimiento por ACV</w:t>
      </w:r>
      <w:r w:rsidRPr="00522C1C">
        <w:t xml:space="preserve">. </w:t>
      </w:r>
      <w:r>
        <w:t>Se destacan los siguientes aspectos más relevantes.</w:t>
      </w:r>
    </w:p>
    <w:p w:rsidR="001956ED" w:rsidRPr="001956ED" w:rsidRDefault="001956ED" w:rsidP="00826CB7">
      <w:pPr>
        <w:pStyle w:val="ListParagraph"/>
        <w:numPr>
          <w:ilvl w:val="0"/>
          <w:numId w:val="6"/>
        </w:numPr>
        <w:shd w:val="clear" w:color="auto" w:fill="EEECE1" w:themeFill="background2"/>
        <w:spacing w:before="240" w:after="0" w:line="240" w:lineRule="auto"/>
        <w:ind w:left="1134" w:hanging="425"/>
        <w:contextualSpacing w:val="0"/>
        <w:jc w:val="both"/>
        <w:rPr>
          <w:rFonts w:ascii="Times New Roman" w:hAnsi="Times New Roman" w:cs="Times New Roman"/>
          <w:sz w:val="24"/>
          <w:szCs w:val="24"/>
        </w:rPr>
      </w:pPr>
      <w:r>
        <w:rPr>
          <w:rFonts w:ascii="Times New Roman" w:hAnsi="Times New Roman" w:cs="Times New Roman"/>
          <w:b/>
          <w:sz w:val="24"/>
          <w:szCs w:val="24"/>
        </w:rPr>
        <w:t>Débil regularidad en la ejecución del sub-contrato</w:t>
      </w:r>
      <w:r w:rsidRPr="001956ED">
        <w:rPr>
          <w:rFonts w:ascii="Times New Roman" w:hAnsi="Times New Roman" w:cs="Times New Roman"/>
          <w:sz w:val="24"/>
          <w:szCs w:val="24"/>
        </w:rPr>
        <w:t>.</w:t>
      </w:r>
      <w:r>
        <w:rPr>
          <w:rFonts w:ascii="Times New Roman" w:hAnsi="Times New Roman" w:cs="Times New Roman"/>
          <w:b/>
          <w:sz w:val="24"/>
          <w:szCs w:val="24"/>
        </w:rPr>
        <w:t xml:space="preserve"> </w:t>
      </w:r>
      <w:r w:rsidRPr="001956ED">
        <w:rPr>
          <w:rFonts w:ascii="Times New Roman" w:hAnsi="Times New Roman" w:cs="Times New Roman"/>
          <w:sz w:val="24"/>
          <w:szCs w:val="24"/>
        </w:rPr>
        <w:t xml:space="preserve">A partir de las previsiones contenidas en el texto del sub-contrato se aprecia que el mismo está concebido para tolerar la falta de continuidad en el pago, por la falta oportuna de fondos del </w:t>
      </w:r>
      <w:r w:rsidRPr="001956ED">
        <w:rPr>
          <w:rFonts w:ascii="Times New Roman" w:hAnsi="Times New Roman" w:cs="Times New Roman"/>
          <w:sz w:val="24"/>
          <w:szCs w:val="24"/>
        </w:rPr>
        <w:lastRenderedPageBreak/>
        <w:t>Convenio, lo que hace poco favor al desarrollo de la iniciativa de generación de empleo en la zona.</w:t>
      </w:r>
    </w:p>
    <w:p w:rsidR="00D657F2" w:rsidRDefault="001956ED" w:rsidP="00826CB7">
      <w:pPr>
        <w:pStyle w:val="ListParagraph"/>
        <w:numPr>
          <w:ilvl w:val="0"/>
          <w:numId w:val="6"/>
        </w:numPr>
        <w:shd w:val="clear" w:color="auto" w:fill="EEECE1" w:themeFill="background2"/>
        <w:spacing w:before="240" w:after="0" w:line="240" w:lineRule="auto"/>
        <w:ind w:left="1134" w:hanging="425"/>
        <w:contextualSpacing w:val="0"/>
        <w:jc w:val="both"/>
        <w:rPr>
          <w:rFonts w:ascii="Times New Roman" w:hAnsi="Times New Roman" w:cs="Times New Roman"/>
          <w:sz w:val="24"/>
          <w:szCs w:val="24"/>
        </w:rPr>
      </w:pPr>
      <w:r>
        <w:rPr>
          <w:rFonts w:ascii="Times New Roman" w:hAnsi="Times New Roman" w:cs="Times New Roman"/>
          <w:b/>
          <w:sz w:val="24"/>
          <w:szCs w:val="24"/>
        </w:rPr>
        <w:t>D</w:t>
      </w:r>
      <w:r w:rsidR="00D657F2">
        <w:rPr>
          <w:rFonts w:ascii="Times New Roman" w:hAnsi="Times New Roman" w:cs="Times New Roman"/>
          <w:b/>
          <w:sz w:val="24"/>
          <w:szCs w:val="24"/>
        </w:rPr>
        <w:t>esarrollo comprometido</w:t>
      </w:r>
      <w:r w:rsidR="00D657F2" w:rsidRPr="00522C1C">
        <w:rPr>
          <w:rFonts w:ascii="Times New Roman" w:hAnsi="Times New Roman" w:cs="Times New Roman"/>
          <w:sz w:val="24"/>
          <w:szCs w:val="24"/>
        </w:rPr>
        <w:t xml:space="preserve">. </w:t>
      </w:r>
      <w:r w:rsidR="00D657F2">
        <w:rPr>
          <w:rFonts w:ascii="Times New Roman" w:hAnsi="Times New Roman" w:cs="Times New Roman"/>
          <w:sz w:val="24"/>
          <w:szCs w:val="24"/>
        </w:rPr>
        <w:t>Las posibilidades de que esta asociación de trabajadores pueda migrar a otras figuras comerciales más sostenibles se aprecian muy bajas. La estructura organizacional, las condiciones de trabajo y de continuidad del pago, además de un escaso soporte institucional del MOPC para su afianzamiento, hace que esta modalidad apenas cumpla con los objetivos de cualquier empleo remunerado.</w:t>
      </w:r>
    </w:p>
    <w:p w:rsidR="00391252" w:rsidRDefault="00391252" w:rsidP="00456F70">
      <w:pPr>
        <w:pStyle w:val="Heading2"/>
      </w:pPr>
      <w:r>
        <w:t>La modalidad por Contrato.</w:t>
      </w:r>
    </w:p>
    <w:p w:rsidR="00BA27F6" w:rsidRDefault="001956ED" w:rsidP="00BA27F6">
      <w:pPr>
        <w:numPr>
          <w:ilvl w:val="1"/>
          <w:numId w:val="1"/>
        </w:numPr>
        <w:tabs>
          <w:tab w:val="clear" w:pos="360"/>
          <w:tab w:val="num" w:pos="709"/>
        </w:tabs>
        <w:spacing w:before="240"/>
        <w:ind w:left="709" w:hanging="709"/>
        <w:jc w:val="both"/>
      </w:pPr>
      <w:r>
        <w:t>Según el PGM se previó la modalidad por Contrato para los departamentos de</w:t>
      </w:r>
      <w:r w:rsidR="00BA27F6">
        <w:t xml:space="preserve"> G</w:t>
      </w:r>
      <w:r w:rsidR="00BA27F6" w:rsidRPr="00BA27F6">
        <w:t>uairá</w:t>
      </w:r>
      <w:r w:rsidR="00BA27F6">
        <w:t xml:space="preserve">, </w:t>
      </w:r>
      <w:r w:rsidR="00BA27F6" w:rsidRPr="00BA27F6">
        <w:t>Caaguazú</w:t>
      </w:r>
      <w:r w:rsidR="00BA27F6">
        <w:t xml:space="preserve">, </w:t>
      </w:r>
      <w:r w:rsidR="00BA27F6" w:rsidRPr="00BA27F6">
        <w:t>San Pedro</w:t>
      </w:r>
      <w:r w:rsidR="00BA27F6">
        <w:t xml:space="preserve"> y </w:t>
      </w:r>
      <w:r w:rsidR="00BA27F6" w:rsidRPr="00BA27F6">
        <w:t>Concepción/ Amambay</w:t>
      </w:r>
      <w:r w:rsidR="00456F70">
        <w:t xml:space="preserve"> (¶</w:t>
      </w:r>
      <w:r w:rsidR="00456F70">
        <w:fldChar w:fldCharType="begin"/>
      </w:r>
      <w:r w:rsidR="00456F70">
        <w:instrText xml:space="preserve"> REF _Ref396118995 \r \h </w:instrText>
      </w:r>
      <w:r w:rsidR="00456F70">
        <w:fldChar w:fldCharType="separate"/>
      </w:r>
      <w:r w:rsidR="00456F70">
        <w:t>6.3</w:t>
      </w:r>
      <w:r w:rsidR="00456F70">
        <w:fldChar w:fldCharType="end"/>
      </w:r>
      <w:r w:rsidR="00456F70">
        <w:t>)</w:t>
      </w:r>
      <w:r w:rsidR="00BA27F6">
        <w:t xml:space="preserve">. Al efecto se realizó la licitación pública internacional LPI N° 19/2012. A continuación, como parte del análisis, se revisa el desarrollo </w:t>
      </w:r>
      <w:r w:rsidR="00456F70">
        <w:t>y los resultados</w:t>
      </w:r>
      <w:r w:rsidR="00BA27F6">
        <w:t xml:space="preserve"> de esta licitación.</w:t>
      </w:r>
    </w:p>
    <w:p w:rsidR="00B7675E" w:rsidRDefault="00BA27F6" w:rsidP="00BA27F6">
      <w:pPr>
        <w:numPr>
          <w:ilvl w:val="1"/>
          <w:numId w:val="1"/>
        </w:numPr>
        <w:tabs>
          <w:tab w:val="clear" w:pos="360"/>
          <w:tab w:val="num" w:pos="709"/>
        </w:tabs>
        <w:spacing w:before="240"/>
        <w:ind w:left="709" w:hanging="709"/>
        <w:jc w:val="both"/>
      </w:pPr>
      <w:bookmarkStart w:id="45" w:name="_Ref396134873"/>
      <w:r w:rsidRPr="00BA27F6">
        <w:rPr>
          <w:b/>
        </w:rPr>
        <w:t>El presupuesto de la licitación</w:t>
      </w:r>
      <w:r>
        <w:t xml:space="preserve">. De manera similar a lo indicado para la modalidad por Convenio con GL, la UGM determinó una línea base para la ejecución del mantenimiento en los departamentos afectados a la licitación. Los costos estimados </w:t>
      </w:r>
      <w:r w:rsidR="00456F70">
        <w:t>se detallan seguidamente</w:t>
      </w:r>
      <w:r>
        <w:t>.</w:t>
      </w:r>
      <w:bookmarkEnd w:id="45"/>
    </w:p>
    <w:p w:rsidR="00F776C7" w:rsidRPr="002219E2" w:rsidRDefault="00F776C7" w:rsidP="00826CB7">
      <w:pPr>
        <w:pStyle w:val="ListParagraph"/>
        <w:keepNext/>
        <w:numPr>
          <w:ilvl w:val="0"/>
          <w:numId w:val="12"/>
        </w:numPr>
        <w:spacing w:before="120" w:after="120" w:line="240" w:lineRule="auto"/>
        <w:ind w:left="1077" w:hanging="357"/>
        <w:contextualSpacing w:val="0"/>
      </w:pPr>
      <w:r>
        <w:rPr>
          <w:rFonts w:ascii="Times New Roman" w:eastAsia="Times New Roman" w:hAnsi="Times New Roman" w:cs="Times New Roman"/>
          <w:sz w:val="24"/>
          <w:szCs w:val="20"/>
          <w:lang w:val="es-ES_tradnl" w:eastAsia="en-US"/>
        </w:rPr>
        <w:t>Caaguazú</w:t>
      </w:r>
    </w:p>
    <w:p w:rsidR="00F776C7" w:rsidRDefault="00F776C7" w:rsidP="00F776C7">
      <w:pPr>
        <w:tabs>
          <w:tab w:val="num" w:pos="709"/>
        </w:tabs>
        <w:spacing w:before="240"/>
        <w:ind w:left="709"/>
        <w:jc w:val="both"/>
      </w:pPr>
      <w:r>
        <w:rPr>
          <w:noProof/>
          <w:lang w:val="es-ES" w:eastAsia="es-ES"/>
        </w:rPr>
        <w:drawing>
          <wp:inline distT="0" distB="0" distL="0" distR="0" wp14:anchorId="3E6E2909" wp14:editId="23291F01">
            <wp:extent cx="5235389" cy="2842203"/>
            <wp:effectExtent l="0" t="0" r="3810" b="0"/>
            <wp:docPr id="40"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48"/>
                    <a:stretch>
                      <a:fillRect/>
                    </a:stretch>
                  </pic:blipFill>
                  <pic:spPr>
                    <a:xfrm>
                      <a:off x="0" y="0"/>
                      <a:ext cx="5235598" cy="2842316"/>
                    </a:xfrm>
                    <a:prstGeom prst="rect">
                      <a:avLst/>
                    </a:prstGeom>
                  </pic:spPr>
                </pic:pic>
              </a:graphicData>
            </a:graphic>
          </wp:inline>
        </w:drawing>
      </w:r>
    </w:p>
    <w:p w:rsidR="00F776C7" w:rsidRPr="00456F70" w:rsidRDefault="00F776C7" w:rsidP="00456F70">
      <w:pPr>
        <w:pStyle w:val="ListParagraph"/>
        <w:keepNext/>
        <w:spacing w:before="120" w:after="120" w:line="240" w:lineRule="auto"/>
        <w:ind w:left="1077"/>
        <w:contextualSpacing w:val="0"/>
        <w:rPr>
          <w:rFonts w:ascii="Times New Roman" w:eastAsia="Times New Roman" w:hAnsi="Times New Roman" w:cs="Times New Roman"/>
          <w:sz w:val="24"/>
          <w:szCs w:val="20"/>
          <w:lang w:val="es-ES_tradnl" w:eastAsia="en-US"/>
        </w:rPr>
      </w:pPr>
      <w:r w:rsidRPr="00456F70">
        <w:rPr>
          <w:rFonts w:ascii="Times New Roman" w:eastAsia="Times New Roman" w:hAnsi="Times New Roman" w:cs="Times New Roman"/>
          <w:sz w:val="24"/>
          <w:szCs w:val="20"/>
          <w:lang w:val="es-ES_tradnl" w:eastAsia="en-US"/>
        </w:rPr>
        <w:lastRenderedPageBreak/>
        <w:t>Facilidades para la UGM</w:t>
      </w:r>
    </w:p>
    <w:p w:rsidR="00F776C7" w:rsidRDefault="00F776C7" w:rsidP="00F776C7">
      <w:pPr>
        <w:tabs>
          <w:tab w:val="num" w:pos="709"/>
        </w:tabs>
        <w:spacing w:before="240"/>
        <w:ind w:left="709"/>
        <w:jc w:val="both"/>
      </w:pPr>
      <w:r>
        <w:rPr>
          <w:noProof/>
          <w:lang w:val="es-ES" w:eastAsia="es-ES"/>
        </w:rPr>
        <w:drawing>
          <wp:inline distT="0" distB="0" distL="0" distR="0" wp14:anchorId="7B972FF1" wp14:editId="721734CC">
            <wp:extent cx="5199530" cy="2495045"/>
            <wp:effectExtent l="0" t="0" r="1270" b="635"/>
            <wp:docPr id="41"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49"/>
                    <a:stretch>
                      <a:fillRect/>
                    </a:stretch>
                  </pic:blipFill>
                  <pic:spPr>
                    <a:xfrm>
                      <a:off x="0" y="0"/>
                      <a:ext cx="5199738" cy="2495145"/>
                    </a:xfrm>
                    <a:prstGeom prst="rect">
                      <a:avLst/>
                    </a:prstGeom>
                  </pic:spPr>
                </pic:pic>
              </a:graphicData>
            </a:graphic>
          </wp:inline>
        </w:drawing>
      </w:r>
    </w:p>
    <w:p w:rsidR="00F776C7" w:rsidRPr="00456F70" w:rsidRDefault="00F776C7" w:rsidP="00456F70">
      <w:pPr>
        <w:pStyle w:val="ListParagraph"/>
        <w:keepNext/>
        <w:spacing w:before="120" w:after="120" w:line="240" w:lineRule="auto"/>
        <w:ind w:left="1077"/>
        <w:contextualSpacing w:val="0"/>
        <w:rPr>
          <w:rFonts w:ascii="Times New Roman" w:eastAsia="Times New Roman" w:hAnsi="Times New Roman" w:cs="Times New Roman"/>
          <w:sz w:val="24"/>
          <w:szCs w:val="20"/>
          <w:lang w:val="es-ES_tradnl" w:eastAsia="en-US"/>
        </w:rPr>
      </w:pPr>
      <w:r w:rsidRPr="00456F70">
        <w:rPr>
          <w:rFonts w:ascii="Times New Roman" w:eastAsia="Times New Roman" w:hAnsi="Times New Roman" w:cs="Times New Roman"/>
          <w:sz w:val="24"/>
          <w:szCs w:val="20"/>
          <w:lang w:val="es-ES_tradnl" w:eastAsia="en-US"/>
        </w:rPr>
        <w:t>Tramos</w:t>
      </w:r>
    </w:p>
    <w:p w:rsidR="00F776C7" w:rsidRDefault="00F776C7" w:rsidP="00F776C7">
      <w:pPr>
        <w:tabs>
          <w:tab w:val="num" w:pos="709"/>
        </w:tabs>
        <w:spacing w:before="240"/>
        <w:ind w:left="709"/>
        <w:jc w:val="both"/>
      </w:pPr>
      <w:r>
        <w:rPr>
          <w:noProof/>
          <w:lang w:val="es-ES" w:eastAsia="es-ES"/>
        </w:rPr>
        <w:drawing>
          <wp:inline distT="0" distB="0" distL="0" distR="0" wp14:anchorId="7F5166DF" wp14:editId="70E48773">
            <wp:extent cx="3944655" cy="4386729"/>
            <wp:effectExtent l="0" t="0" r="0" b="0"/>
            <wp:docPr id="42"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50"/>
                    <a:stretch>
                      <a:fillRect/>
                    </a:stretch>
                  </pic:blipFill>
                  <pic:spPr>
                    <a:xfrm>
                      <a:off x="0" y="0"/>
                      <a:ext cx="3945765" cy="4387964"/>
                    </a:xfrm>
                    <a:prstGeom prst="rect">
                      <a:avLst/>
                    </a:prstGeom>
                  </pic:spPr>
                </pic:pic>
              </a:graphicData>
            </a:graphic>
          </wp:inline>
        </w:drawing>
      </w:r>
    </w:p>
    <w:p w:rsidR="00F776C7" w:rsidRPr="002219E2" w:rsidRDefault="00F776C7" w:rsidP="00826CB7">
      <w:pPr>
        <w:pStyle w:val="ListParagraph"/>
        <w:keepNext/>
        <w:numPr>
          <w:ilvl w:val="0"/>
          <w:numId w:val="12"/>
        </w:numPr>
        <w:spacing w:before="120" w:after="120" w:line="240" w:lineRule="auto"/>
        <w:contextualSpacing w:val="0"/>
      </w:pPr>
      <w:r>
        <w:rPr>
          <w:rFonts w:ascii="Times New Roman" w:eastAsia="Times New Roman" w:hAnsi="Times New Roman" w:cs="Times New Roman"/>
          <w:sz w:val="24"/>
          <w:szCs w:val="20"/>
          <w:lang w:val="es-ES_tradnl" w:eastAsia="en-US"/>
        </w:rPr>
        <w:lastRenderedPageBreak/>
        <w:t>San Pedro</w:t>
      </w:r>
    </w:p>
    <w:p w:rsidR="00F776C7" w:rsidRDefault="00F776C7" w:rsidP="00F776C7">
      <w:pPr>
        <w:tabs>
          <w:tab w:val="num" w:pos="709"/>
        </w:tabs>
        <w:spacing w:before="240"/>
        <w:ind w:left="709"/>
        <w:jc w:val="both"/>
      </w:pPr>
      <w:r>
        <w:rPr>
          <w:noProof/>
          <w:lang w:val="es-ES" w:eastAsia="es-ES"/>
        </w:rPr>
        <w:drawing>
          <wp:inline distT="0" distB="0" distL="0" distR="0" wp14:anchorId="0A2D2C29" wp14:editId="0203CB3C">
            <wp:extent cx="4966447" cy="2669225"/>
            <wp:effectExtent l="0" t="0" r="5715" b="0"/>
            <wp:docPr id="43"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51"/>
                    <a:stretch>
                      <a:fillRect/>
                    </a:stretch>
                  </pic:blipFill>
                  <pic:spPr>
                    <a:xfrm>
                      <a:off x="0" y="0"/>
                      <a:ext cx="4966646" cy="2669332"/>
                    </a:xfrm>
                    <a:prstGeom prst="rect">
                      <a:avLst/>
                    </a:prstGeom>
                  </pic:spPr>
                </pic:pic>
              </a:graphicData>
            </a:graphic>
          </wp:inline>
        </w:drawing>
      </w:r>
    </w:p>
    <w:p w:rsidR="00F776C7" w:rsidRDefault="00F776C7" w:rsidP="00F776C7">
      <w:pPr>
        <w:tabs>
          <w:tab w:val="num" w:pos="709"/>
        </w:tabs>
        <w:spacing w:before="240"/>
        <w:ind w:left="709"/>
        <w:jc w:val="both"/>
      </w:pPr>
    </w:p>
    <w:p w:rsidR="00F776C7" w:rsidRPr="00456F70" w:rsidRDefault="00F776C7" w:rsidP="00456F70">
      <w:pPr>
        <w:pStyle w:val="ListParagraph"/>
        <w:keepNext/>
        <w:spacing w:before="120" w:after="120" w:line="240" w:lineRule="auto"/>
        <w:ind w:left="1077"/>
        <w:contextualSpacing w:val="0"/>
        <w:rPr>
          <w:rFonts w:ascii="Times New Roman" w:eastAsia="Times New Roman" w:hAnsi="Times New Roman" w:cs="Times New Roman"/>
          <w:sz w:val="24"/>
          <w:szCs w:val="20"/>
          <w:lang w:val="es-ES_tradnl" w:eastAsia="en-US"/>
        </w:rPr>
      </w:pPr>
      <w:r w:rsidRPr="00456F70">
        <w:rPr>
          <w:rFonts w:ascii="Times New Roman" w:eastAsia="Times New Roman" w:hAnsi="Times New Roman" w:cs="Times New Roman"/>
          <w:sz w:val="24"/>
          <w:szCs w:val="20"/>
          <w:lang w:val="es-ES_tradnl" w:eastAsia="en-US"/>
        </w:rPr>
        <w:t>Facilidades para la UGM</w:t>
      </w:r>
    </w:p>
    <w:p w:rsidR="00F776C7" w:rsidRDefault="00F776C7" w:rsidP="00F776C7">
      <w:pPr>
        <w:tabs>
          <w:tab w:val="num" w:pos="709"/>
        </w:tabs>
        <w:spacing w:before="240"/>
        <w:ind w:left="709"/>
        <w:jc w:val="both"/>
      </w:pPr>
      <w:r>
        <w:rPr>
          <w:noProof/>
          <w:lang w:val="es-ES" w:eastAsia="es-ES"/>
        </w:rPr>
        <w:drawing>
          <wp:inline distT="0" distB="0" distL="0" distR="0" wp14:anchorId="669861F6" wp14:editId="7EF2F7CD">
            <wp:extent cx="4978400" cy="2360769"/>
            <wp:effectExtent l="0" t="0" r="0" b="1905"/>
            <wp:docPr id="44"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52"/>
                    <a:stretch>
                      <a:fillRect/>
                    </a:stretch>
                  </pic:blipFill>
                  <pic:spPr>
                    <a:xfrm>
                      <a:off x="0" y="0"/>
                      <a:ext cx="4981687" cy="2362328"/>
                    </a:xfrm>
                    <a:prstGeom prst="rect">
                      <a:avLst/>
                    </a:prstGeom>
                  </pic:spPr>
                </pic:pic>
              </a:graphicData>
            </a:graphic>
          </wp:inline>
        </w:drawing>
      </w:r>
    </w:p>
    <w:p w:rsidR="00F776C7" w:rsidRPr="00456F70" w:rsidRDefault="00F776C7" w:rsidP="00456F70">
      <w:pPr>
        <w:pStyle w:val="ListParagraph"/>
        <w:keepNext/>
        <w:spacing w:before="120" w:after="120" w:line="240" w:lineRule="auto"/>
        <w:ind w:left="1077"/>
        <w:contextualSpacing w:val="0"/>
        <w:rPr>
          <w:rFonts w:ascii="Times New Roman" w:eastAsia="Times New Roman" w:hAnsi="Times New Roman" w:cs="Times New Roman"/>
          <w:sz w:val="24"/>
          <w:szCs w:val="20"/>
          <w:lang w:val="es-ES_tradnl" w:eastAsia="en-US"/>
        </w:rPr>
      </w:pPr>
      <w:r w:rsidRPr="00456F70">
        <w:rPr>
          <w:rFonts w:ascii="Times New Roman" w:eastAsia="Times New Roman" w:hAnsi="Times New Roman" w:cs="Times New Roman"/>
          <w:sz w:val="24"/>
          <w:szCs w:val="20"/>
          <w:lang w:val="es-ES_tradnl" w:eastAsia="en-US"/>
        </w:rPr>
        <w:lastRenderedPageBreak/>
        <w:t>Tramos</w:t>
      </w:r>
    </w:p>
    <w:p w:rsidR="00F776C7" w:rsidRDefault="00F776C7" w:rsidP="00F776C7">
      <w:pPr>
        <w:tabs>
          <w:tab w:val="num" w:pos="709"/>
        </w:tabs>
        <w:spacing w:before="240"/>
        <w:ind w:left="709"/>
        <w:jc w:val="both"/>
      </w:pPr>
      <w:r>
        <w:rPr>
          <w:noProof/>
          <w:lang w:val="es-ES" w:eastAsia="es-ES"/>
        </w:rPr>
        <w:drawing>
          <wp:inline distT="0" distB="0" distL="0" distR="0" wp14:anchorId="4A1977B9" wp14:editId="4E12BE9C">
            <wp:extent cx="4043274" cy="4213412"/>
            <wp:effectExtent l="0" t="0" r="0" b="0"/>
            <wp:docPr id="45"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53"/>
                    <a:stretch>
                      <a:fillRect/>
                    </a:stretch>
                  </pic:blipFill>
                  <pic:spPr>
                    <a:xfrm>
                      <a:off x="0" y="0"/>
                      <a:ext cx="4045454" cy="4215683"/>
                    </a:xfrm>
                    <a:prstGeom prst="rect">
                      <a:avLst/>
                    </a:prstGeom>
                  </pic:spPr>
                </pic:pic>
              </a:graphicData>
            </a:graphic>
          </wp:inline>
        </w:drawing>
      </w:r>
    </w:p>
    <w:p w:rsidR="00F776C7" w:rsidRDefault="00F776C7" w:rsidP="00F776C7">
      <w:pPr>
        <w:tabs>
          <w:tab w:val="num" w:pos="709"/>
        </w:tabs>
        <w:spacing w:before="240"/>
        <w:ind w:left="709"/>
        <w:jc w:val="both"/>
      </w:pPr>
    </w:p>
    <w:p w:rsidR="00F776C7" w:rsidRDefault="00F776C7" w:rsidP="00F776C7">
      <w:pPr>
        <w:tabs>
          <w:tab w:val="num" w:pos="709"/>
        </w:tabs>
        <w:spacing w:before="240"/>
        <w:ind w:left="709"/>
        <w:jc w:val="both"/>
      </w:pPr>
    </w:p>
    <w:p w:rsidR="00F776C7" w:rsidRPr="002219E2" w:rsidRDefault="00F776C7" w:rsidP="00826CB7">
      <w:pPr>
        <w:pStyle w:val="ListParagraph"/>
        <w:keepNext/>
        <w:numPr>
          <w:ilvl w:val="0"/>
          <w:numId w:val="12"/>
        </w:numPr>
        <w:spacing w:before="120" w:after="120" w:line="240" w:lineRule="auto"/>
        <w:contextualSpacing w:val="0"/>
      </w:pPr>
      <w:r>
        <w:rPr>
          <w:rFonts w:ascii="Times New Roman" w:eastAsia="Times New Roman" w:hAnsi="Times New Roman" w:cs="Times New Roman"/>
          <w:sz w:val="24"/>
          <w:szCs w:val="20"/>
          <w:lang w:val="es-ES_tradnl" w:eastAsia="en-US"/>
        </w:rPr>
        <w:t>Concepción - Amambay</w:t>
      </w:r>
    </w:p>
    <w:p w:rsidR="00F776C7" w:rsidRDefault="00F776C7" w:rsidP="00F776C7">
      <w:pPr>
        <w:tabs>
          <w:tab w:val="num" w:pos="709"/>
        </w:tabs>
        <w:spacing w:before="240"/>
        <w:ind w:left="709"/>
        <w:jc w:val="both"/>
      </w:pPr>
      <w:r>
        <w:rPr>
          <w:noProof/>
          <w:lang w:val="es-ES" w:eastAsia="es-ES"/>
        </w:rPr>
        <w:drawing>
          <wp:inline distT="0" distB="0" distL="0" distR="0" wp14:anchorId="40274EAC" wp14:editId="3F01FAD2">
            <wp:extent cx="4918636" cy="2663009"/>
            <wp:effectExtent l="0" t="0" r="0" b="4445"/>
            <wp:docPr id="46"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54"/>
                    <a:stretch>
                      <a:fillRect/>
                    </a:stretch>
                  </pic:blipFill>
                  <pic:spPr>
                    <a:xfrm>
                      <a:off x="0" y="0"/>
                      <a:ext cx="4922570" cy="2665139"/>
                    </a:xfrm>
                    <a:prstGeom prst="rect">
                      <a:avLst/>
                    </a:prstGeom>
                  </pic:spPr>
                </pic:pic>
              </a:graphicData>
            </a:graphic>
          </wp:inline>
        </w:drawing>
      </w:r>
    </w:p>
    <w:p w:rsidR="00F776C7" w:rsidRPr="00456F70" w:rsidRDefault="00F776C7" w:rsidP="00456F70">
      <w:pPr>
        <w:pStyle w:val="ListParagraph"/>
        <w:keepNext/>
        <w:spacing w:before="120" w:after="120" w:line="240" w:lineRule="auto"/>
        <w:ind w:left="1077"/>
        <w:contextualSpacing w:val="0"/>
        <w:rPr>
          <w:rFonts w:ascii="Times New Roman" w:eastAsia="Times New Roman" w:hAnsi="Times New Roman" w:cs="Times New Roman"/>
          <w:sz w:val="24"/>
          <w:szCs w:val="20"/>
          <w:lang w:val="es-ES_tradnl" w:eastAsia="en-US"/>
        </w:rPr>
      </w:pPr>
      <w:r w:rsidRPr="00456F70">
        <w:rPr>
          <w:rFonts w:ascii="Times New Roman" w:eastAsia="Times New Roman" w:hAnsi="Times New Roman" w:cs="Times New Roman"/>
          <w:sz w:val="24"/>
          <w:szCs w:val="20"/>
          <w:lang w:val="es-ES_tradnl" w:eastAsia="en-US"/>
        </w:rPr>
        <w:lastRenderedPageBreak/>
        <w:t>Facilidades para la UGM</w:t>
      </w:r>
    </w:p>
    <w:p w:rsidR="00F776C7" w:rsidRDefault="00F776C7" w:rsidP="00F776C7">
      <w:pPr>
        <w:tabs>
          <w:tab w:val="num" w:pos="709"/>
        </w:tabs>
        <w:spacing w:before="240"/>
        <w:ind w:left="709"/>
        <w:jc w:val="both"/>
      </w:pPr>
      <w:r>
        <w:rPr>
          <w:noProof/>
          <w:lang w:val="es-ES" w:eastAsia="es-ES"/>
        </w:rPr>
        <w:drawing>
          <wp:inline distT="0" distB="0" distL="0" distR="0" wp14:anchorId="4A001810" wp14:editId="00A80C7C">
            <wp:extent cx="4918636" cy="2355247"/>
            <wp:effectExtent l="0" t="0" r="0" b="6985"/>
            <wp:docPr id="47" name="5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 Imagen"/>
                    <pic:cNvPicPr>
                      <a:picLocks noChangeAspect="1"/>
                    </pic:cNvPicPr>
                  </pic:nvPicPr>
                  <pic:blipFill>
                    <a:blip r:embed="rId55"/>
                    <a:stretch>
                      <a:fillRect/>
                    </a:stretch>
                  </pic:blipFill>
                  <pic:spPr>
                    <a:xfrm>
                      <a:off x="0" y="0"/>
                      <a:ext cx="4918832" cy="2355341"/>
                    </a:xfrm>
                    <a:prstGeom prst="rect">
                      <a:avLst/>
                    </a:prstGeom>
                  </pic:spPr>
                </pic:pic>
              </a:graphicData>
            </a:graphic>
          </wp:inline>
        </w:drawing>
      </w:r>
    </w:p>
    <w:p w:rsidR="00F776C7" w:rsidRPr="00456F70" w:rsidRDefault="00F776C7" w:rsidP="00456F70">
      <w:pPr>
        <w:pStyle w:val="ListParagraph"/>
        <w:keepNext/>
        <w:spacing w:before="120" w:after="120" w:line="240" w:lineRule="auto"/>
        <w:ind w:left="1077"/>
        <w:contextualSpacing w:val="0"/>
        <w:rPr>
          <w:rFonts w:ascii="Times New Roman" w:eastAsia="Times New Roman" w:hAnsi="Times New Roman" w:cs="Times New Roman"/>
          <w:sz w:val="24"/>
          <w:szCs w:val="20"/>
          <w:lang w:val="es-ES_tradnl" w:eastAsia="en-US"/>
        </w:rPr>
      </w:pPr>
      <w:r w:rsidRPr="00456F70">
        <w:rPr>
          <w:rFonts w:ascii="Times New Roman" w:eastAsia="Times New Roman" w:hAnsi="Times New Roman" w:cs="Times New Roman"/>
          <w:sz w:val="24"/>
          <w:szCs w:val="20"/>
          <w:lang w:val="es-ES_tradnl" w:eastAsia="en-US"/>
        </w:rPr>
        <w:t>Tramos</w:t>
      </w:r>
    </w:p>
    <w:p w:rsidR="00F776C7" w:rsidRDefault="00F776C7" w:rsidP="00F776C7">
      <w:pPr>
        <w:tabs>
          <w:tab w:val="num" w:pos="709"/>
        </w:tabs>
        <w:spacing w:before="240"/>
        <w:ind w:left="709"/>
        <w:jc w:val="both"/>
      </w:pPr>
      <w:r>
        <w:rPr>
          <w:noProof/>
          <w:lang w:val="es-ES" w:eastAsia="es-ES"/>
        </w:rPr>
        <w:drawing>
          <wp:inline distT="0" distB="0" distL="0" distR="0" wp14:anchorId="49F3AF63" wp14:editId="249C479A">
            <wp:extent cx="4188192" cy="5761318"/>
            <wp:effectExtent l="0" t="0" r="3175" b="0"/>
            <wp:docPr id="48" name="6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 Imagen"/>
                    <pic:cNvPicPr>
                      <a:picLocks noChangeAspect="1"/>
                    </pic:cNvPicPr>
                  </pic:nvPicPr>
                  <pic:blipFill>
                    <a:blip r:embed="rId56"/>
                    <a:stretch>
                      <a:fillRect/>
                    </a:stretch>
                  </pic:blipFill>
                  <pic:spPr>
                    <a:xfrm>
                      <a:off x="0" y="0"/>
                      <a:ext cx="4188783" cy="5762131"/>
                    </a:xfrm>
                    <a:prstGeom prst="rect">
                      <a:avLst/>
                    </a:prstGeom>
                  </pic:spPr>
                </pic:pic>
              </a:graphicData>
            </a:graphic>
          </wp:inline>
        </w:drawing>
      </w:r>
    </w:p>
    <w:p w:rsidR="00F776C7" w:rsidRPr="002219E2" w:rsidRDefault="00F776C7" w:rsidP="00826CB7">
      <w:pPr>
        <w:pStyle w:val="ListParagraph"/>
        <w:keepNext/>
        <w:numPr>
          <w:ilvl w:val="0"/>
          <w:numId w:val="12"/>
        </w:numPr>
        <w:spacing w:before="120" w:after="120" w:line="240" w:lineRule="auto"/>
        <w:contextualSpacing w:val="0"/>
      </w:pPr>
      <w:r>
        <w:rPr>
          <w:rFonts w:ascii="Times New Roman" w:eastAsia="Times New Roman" w:hAnsi="Times New Roman" w:cs="Times New Roman"/>
          <w:sz w:val="24"/>
          <w:szCs w:val="20"/>
          <w:lang w:val="es-ES_tradnl" w:eastAsia="en-US"/>
        </w:rPr>
        <w:lastRenderedPageBreak/>
        <w:t>Resumen general</w:t>
      </w:r>
    </w:p>
    <w:tbl>
      <w:tblPr>
        <w:tblW w:w="9229" w:type="dxa"/>
        <w:tblInd w:w="55" w:type="dxa"/>
        <w:tblCellMar>
          <w:left w:w="70" w:type="dxa"/>
          <w:right w:w="70" w:type="dxa"/>
        </w:tblCellMar>
        <w:tblLook w:val="04A0" w:firstRow="1" w:lastRow="0" w:firstColumn="1" w:lastColumn="0" w:noHBand="0" w:noVBand="1"/>
      </w:tblPr>
      <w:tblGrid>
        <w:gridCol w:w="2120"/>
        <w:gridCol w:w="1014"/>
        <w:gridCol w:w="865"/>
        <w:gridCol w:w="1544"/>
        <w:gridCol w:w="1418"/>
        <w:gridCol w:w="992"/>
        <w:gridCol w:w="1276"/>
      </w:tblGrid>
      <w:tr w:rsidR="009E27E1" w:rsidRPr="009E27E1" w:rsidTr="009E27E1">
        <w:trPr>
          <w:trHeight w:val="300"/>
          <w:tblHeader/>
        </w:trPr>
        <w:tc>
          <w:tcPr>
            <w:tcW w:w="212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Área geográfica</w:t>
            </w:r>
          </w:p>
        </w:tc>
        <w:tc>
          <w:tcPr>
            <w:tcW w:w="1014"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Extensión (km)</w:t>
            </w:r>
          </w:p>
        </w:tc>
        <w:tc>
          <w:tcPr>
            <w:tcW w:w="6095" w:type="dxa"/>
            <w:gridSpan w:val="5"/>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Mantenimiento Inicial</w:t>
            </w:r>
          </w:p>
        </w:tc>
      </w:tr>
      <w:tr w:rsidR="009E27E1" w:rsidRPr="009E27E1" w:rsidTr="009E27E1">
        <w:trPr>
          <w:trHeight w:val="300"/>
          <w:tblHeader/>
        </w:trPr>
        <w:tc>
          <w:tcPr>
            <w:tcW w:w="212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E27E1" w:rsidRPr="009E27E1" w:rsidRDefault="009E27E1" w:rsidP="009E27E1">
            <w:pPr>
              <w:rPr>
                <w:b/>
                <w:bCs/>
                <w:color w:val="000000"/>
                <w:sz w:val="20"/>
                <w:lang w:val="es-PY" w:eastAsia="es-PY"/>
              </w:rPr>
            </w:pPr>
          </w:p>
        </w:tc>
        <w:tc>
          <w:tcPr>
            <w:tcW w:w="1014"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9E27E1" w:rsidRPr="009E27E1" w:rsidRDefault="009E27E1" w:rsidP="009E27E1">
            <w:pPr>
              <w:rPr>
                <w:b/>
                <w:bCs/>
                <w:color w:val="000000"/>
                <w:sz w:val="20"/>
                <w:lang w:val="es-PY" w:eastAsia="es-PY"/>
              </w:rPr>
            </w:pPr>
          </w:p>
        </w:tc>
        <w:tc>
          <w:tcPr>
            <w:tcW w:w="865" w:type="dxa"/>
            <w:tcBorders>
              <w:top w:val="nil"/>
              <w:left w:val="nil"/>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Plazo</w:t>
            </w:r>
          </w:p>
        </w:tc>
        <w:tc>
          <w:tcPr>
            <w:tcW w:w="1544" w:type="dxa"/>
            <w:tcBorders>
              <w:top w:val="nil"/>
              <w:left w:val="nil"/>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Monto (Gs)</w:t>
            </w:r>
          </w:p>
        </w:tc>
        <w:tc>
          <w:tcPr>
            <w:tcW w:w="1418" w:type="dxa"/>
            <w:tcBorders>
              <w:top w:val="nil"/>
              <w:left w:val="nil"/>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Monto (US$)</w:t>
            </w:r>
          </w:p>
        </w:tc>
        <w:tc>
          <w:tcPr>
            <w:tcW w:w="992" w:type="dxa"/>
            <w:tcBorders>
              <w:top w:val="nil"/>
              <w:left w:val="nil"/>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US$/km</w:t>
            </w:r>
          </w:p>
        </w:tc>
        <w:tc>
          <w:tcPr>
            <w:tcW w:w="1276" w:type="dxa"/>
            <w:tcBorders>
              <w:top w:val="nil"/>
              <w:left w:val="nil"/>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US$/km/año</w:t>
            </w:r>
          </w:p>
        </w:tc>
      </w:tr>
      <w:tr w:rsidR="009E27E1" w:rsidRPr="009E27E1" w:rsidTr="009E27E1">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rPr>
                <w:color w:val="000000"/>
                <w:sz w:val="20"/>
                <w:lang w:val="es-PY" w:eastAsia="es-PY"/>
              </w:rPr>
            </w:pPr>
            <w:r w:rsidRPr="009E27E1">
              <w:rPr>
                <w:color w:val="000000"/>
                <w:sz w:val="20"/>
                <w:lang w:val="es-PY" w:eastAsia="es-PY"/>
              </w:rPr>
              <w:t>Caaguazú</w:t>
            </w:r>
          </w:p>
        </w:tc>
        <w:tc>
          <w:tcPr>
            <w:tcW w:w="1014"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56,16 </w:t>
            </w:r>
          </w:p>
        </w:tc>
        <w:tc>
          <w:tcPr>
            <w:tcW w:w="865"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center"/>
              <w:rPr>
                <w:color w:val="000000"/>
                <w:sz w:val="20"/>
                <w:lang w:val="es-PY" w:eastAsia="es-PY"/>
              </w:rPr>
            </w:pPr>
            <w:r w:rsidRPr="009E27E1">
              <w:rPr>
                <w:color w:val="000000"/>
                <w:sz w:val="20"/>
                <w:lang w:val="es-PY" w:eastAsia="es-PY"/>
              </w:rPr>
              <w:t>8 meses</w:t>
            </w:r>
          </w:p>
        </w:tc>
        <w:tc>
          <w:tcPr>
            <w:tcW w:w="1544"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6.597.572.235 </w:t>
            </w:r>
          </w:p>
        </w:tc>
        <w:tc>
          <w:tcPr>
            <w:tcW w:w="1418"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1.570.851 </w:t>
            </w:r>
          </w:p>
        </w:tc>
        <w:tc>
          <w:tcPr>
            <w:tcW w:w="992"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4.411 </w:t>
            </w:r>
          </w:p>
        </w:tc>
        <w:tc>
          <w:tcPr>
            <w:tcW w:w="1276"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2.940 </w:t>
            </w:r>
          </w:p>
        </w:tc>
      </w:tr>
      <w:tr w:rsidR="009E27E1" w:rsidRPr="009E27E1" w:rsidTr="009E27E1">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rPr>
                <w:color w:val="000000"/>
                <w:sz w:val="20"/>
                <w:lang w:val="es-PY" w:eastAsia="es-PY"/>
              </w:rPr>
            </w:pPr>
            <w:r w:rsidRPr="009E27E1">
              <w:rPr>
                <w:color w:val="000000"/>
                <w:sz w:val="20"/>
                <w:lang w:val="es-PY" w:eastAsia="es-PY"/>
              </w:rPr>
              <w:t>San Pedro</w:t>
            </w:r>
          </w:p>
        </w:tc>
        <w:tc>
          <w:tcPr>
            <w:tcW w:w="1014"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18,59 </w:t>
            </w:r>
          </w:p>
        </w:tc>
        <w:tc>
          <w:tcPr>
            <w:tcW w:w="865"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center"/>
              <w:rPr>
                <w:color w:val="000000"/>
                <w:sz w:val="20"/>
                <w:lang w:val="es-PY" w:eastAsia="es-PY"/>
              </w:rPr>
            </w:pPr>
            <w:r w:rsidRPr="009E27E1">
              <w:rPr>
                <w:color w:val="000000"/>
                <w:sz w:val="20"/>
                <w:lang w:val="es-PY" w:eastAsia="es-PY"/>
              </w:rPr>
              <w:t>8 meses</w:t>
            </w:r>
          </w:p>
        </w:tc>
        <w:tc>
          <w:tcPr>
            <w:tcW w:w="1544" w:type="dxa"/>
            <w:tcBorders>
              <w:top w:val="nil"/>
              <w:left w:val="nil"/>
              <w:bottom w:val="nil"/>
              <w:right w:val="nil"/>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4.226.070.340 </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1.006.207 </w:t>
            </w:r>
          </w:p>
        </w:tc>
        <w:tc>
          <w:tcPr>
            <w:tcW w:w="992"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2.404 </w:t>
            </w:r>
          </w:p>
        </w:tc>
        <w:tc>
          <w:tcPr>
            <w:tcW w:w="1276"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1.603 </w:t>
            </w:r>
          </w:p>
        </w:tc>
      </w:tr>
      <w:tr w:rsidR="009E27E1" w:rsidRPr="009E27E1" w:rsidTr="009E27E1">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rPr>
                <w:color w:val="000000"/>
                <w:sz w:val="20"/>
                <w:lang w:val="es-PY" w:eastAsia="es-PY"/>
              </w:rPr>
            </w:pPr>
            <w:r w:rsidRPr="009E27E1">
              <w:rPr>
                <w:color w:val="000000"/>
                <w:sz w:val="20"/>
                <w:lang w:val="es-PY" w:eastAsia="es-PY"/>
              </w:rPr>
              <w:t>Concepción - Amambay</w:t>
            </w:r>
          </w:p>
        </w:tc>
        <w:tc>
          <w:tcPr>
            <w:tcW w:w="1014"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01,71 </w:t>
            </w:r>
          </w:p>
        </w:tc>
        <w:tc>
          <w:tcPr>
            <w:tcW w:w="865"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center"/>
              <w:rPr>
                <w:color w:val="000000"/>
                <w:sz w:val="20"/>
                <w:lang w:val="es-PY" w:eastAsia="es-PY"/>
              </w:rPr>
            </w:pPr>
            <w:r w:rsidRPr="009E27E1">
              <w:rPr>
                <w:color w:val="000000"/>
                <w:sz w:val="20"/>
                <w:lang w:val="es-PY" w:eastAsia="es-PY"/>
              </w:rPr>
              <w:t>8 meses</w:t>
            </w:r>
          </w:p>
        </w:tc>
        <w:tc>
          <w:tcPr>
            <w:tcW w:w="1544" w:type="dxa"/>
            <w:tcBorders>
              <w:top w:val="single" w:sz="4" w:space="0" w:color="auto"/>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5.567.047.680 </w:t>
            </w:r>
          </w:p>
        </w:tc>
        <w:tc>
          <w:tcPr>
            <w:tcW w:w="1418"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1.200.223 </w:t>
            </w:r>
          </w:p>
        </w:tc>
        <w:tc>
          <w:tcPr>
            <w:tcW w:w="992"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2.988 </w:t>
            </w:r>
          </w:p>
        </w:tc>
        <w:tc>
          <w:tcPr>
            <w:tcW w:w="1276"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1.992 </w:t>
            </w:r>
          </w:p>
        </w:tc>
      </w:tr>
      <w:tr w:rsidR="009E27E1" w:rsidRPr="009E27E1" w:rsidTr="009E27E1">
        <w:trPr>
          <w:trHeight w:val="315"/>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rPr>
                <w:color w:val="000000"/>
                <w:sz w:val="20"/>
                <w:lang w:val="es-PY" w:eastAsia="es-PY"/>
              </w:rPr>
            </w:pPr>
            <w:r w:rsidRPr="009E27E1">
              <w:rPr>
                <w:color w:val="000000"/>
                <w:sz w:val="20"/>
                <w:lang w:val="es-PY" w:eastAsia="es-PY"/>
              </w:rPr>
              <w:t>Suma</w:t>
            </w:r>
          </w:p>
        </w:tc>
        <w:tc>
          <w:tcPr>
            <w:tcW w:w="1014" w:type="dxa"/>
            <w:tcBorders>
              <w:top w:val="nil"/>
              <w:left w:val="nil"/>
              <w:bottom w:val="double" w:sz="6"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1.176,46 </w:t>
            </w:r>
          </w:p>
        </w:tc>
        <w:tc>
          <w:tcPr>
            <w:tcW w:w="865" w:type="dxa"/>
            <w:tcBorders>
              <w:top w:val="nil"/>
              <w:left w:val="nil"/>
              <w:bottom w:val="single" w:sz="4" w:space="0" w:color="auto"/>
              <w:right w:val="nil"/>
            </w:tcBorders>
            <w:shd w:val="clear" w:color="auto" w:fill="auto"/>
            <w:noWrap/>
            <w:vAlign w:val="center"/>
            <w:hideMark/>
          </w:tcPr>
          <w:p w:rsidR="009E27E1" w:rsidRPr="009E27E1" w:rsidRDefault="009E27E1" w:rsidP="009E27E1">
            <w:pPr>
              <w:rPr>
                <w:color w:val="000000"/>
                <w:sz w:val="20"/>
                <w:lang w:val="es-PY" w:eastAsia="es-PY"/>
              </w:rPr>
            </w:pPr>
            <w:r w:rsidRPr="009E27E1">
              <w:rPr>
                <w:color w:val="000000"/>
                <w:sz w:val="20"/>
                <w:lang w:val="es-PY" w:eastAsia="es-PY"/>
              </w:rPr>
              <w:t> </w:t>
            </w:r>
          </w:p>
        </w:tc>
        <w:tc>
          <w:tcPr>
            <w:tcW w:w="1544" w:type="dxa"/>
            <w:tcBorders>
              <w:top w:val="nil"/>
              <w:left w:val="nil"/>
              <w:bottom w:val="single" w:sz="4" w:space="0" w:color="auto"/>
              <w:right w:val="nil"/>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w:t>
            </w:r>
          </w:p>
        </w:tc>
        <w:tc>
          <w:tcPr>
            <w:tcW w:w="1418" w:type="dxa"/>
            <w:tcBorders>
              <w:top w:val="nil"/>
              <w:left w:val="single" w:sz="4" w:space="0" w:color="auto"/>
              <w:bottom w:val="double" w:sz="6"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3.777.281 </w:t>
            </w:r>
          </w:p>
        </w:tc>
        <w:tc>
          <w:tcPr>
            <w:tcW w:w="992"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3.211 </w:t>
            </w:r>
          </w:p>
        </w:tc>
        <w:tc>
          <w:tcPr>
            <w:tcW w:w="1276"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2.140 </w:t>
            </w:r>
          </w:p>
        </w:tc>
      </w:tr>
    </w:tbl>
    <w:p w:rsidR="00F776C7" w:rsidRDefault="00F776C7" w:rsidP="00F776C7">
      <w:pPr>
        <w:tabs>
          <w:tab w:val="num" w:pos="709"/>
        </w:tabs>
        <w:spacing w:before="240"/>
        <w:ind w:left="709"/>
        <w:jc w:val="both"/>
      </w:pPr>
    </w:p>
    <w:tbl>
      <w:tblPr>
        <w:tblW w:w="9343" w:type="dxa"/>
        <w:tblInd w:w="55" w:type="dxa"/>
        <w:tblCellMar>
          <w:left w:w="70" w:type="dxa"/>
          <w:right w:w="70" w:type="dxa"/>
        </w:tblCellMar>
        <w:tblLook w:val="04A0" w:firstRow="1" w:lastRow="0" w:firstColumn="1" w:lastColumn="0" w:noHBand="0" w:noVBand="1"/>
      </w:tblPr>
      <w:tblGrid>
        <w:gridCol w:w="2120"/>
        <w:gridCol w:w="1014"/>
        <w:gridCol w:w="992"/>
        <w:gridCol w:w="1559"/>
        <w:gridCol w:w="1418"/>
        <w:gridCol w:w="992"/>
        <w:gridCol w:w="1248"/>
      </w:tblGrid>
      <w:tr w:rsidR="009E27E1" w:rsidRPr="009E27E1" w:rsidTr="009E27E1">
        <w:trPr>
          <w:trHeight w:val="300"/>
          <w:tblHeader/>
        </w:trPr>
        <w:tc>
          <w:tcPr>
            <w:tcW w:w="212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Área geográfica</w:t>
            </w:r>
          </w:p>
        </w:tc>
        <w:tc>
          <w:tcPr>
            <w:tcW w:w="1014"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Extensión (km)</w:t>
            </w:r>
          </w:p>
        </w:tc>
        <w:tc>
          <w:tcPr>
            <w:tcW w:w="6209" w:type="dxa"/>
            <w:gridSpan w:val="5"/>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Mantenimiento Rutinario</w:t>
            </w:r>
          </w:p>
        </w:tc>
      </w:tr>
      <w:tr w:rsidR="009E27E1" w:rsidRPr="009E27E1" w:rsidTr="009E27E1">
        <w:trPr>
          <w:trHeight w:val="300"/>
          <w:tblHeader/>
        </w:trPr>
        <w:tc>
          <w:tcPr>
            <w:tcW w:w="212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E27E1" w:rsidRPr="009E27E1" w:rsidRDefault="009E27E1" w:rsidP="009E27E1">
            <w:pPr>
              <w:rPr>
                <w:b/>
                <w:bCs/>
                <w:color w:val="000000"/>
                <w:sz w:val="20"/>
                <w:lang w:val="es-PY" w:eastAsia="es-PY"/>
              </w:rPr>
            </w:pPr>
          </w:p>
        </w:tc>
        <w:tc>
          <w:tcPr>
            <w:tcW w:w="1014"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9E27E1" w:rsidRPr="009E27E1" w:rsidRDefault="009E27E1" w:rsidP="009E27E1">
            <w:pPr>
              <w:rPr>
                <w:b/>
                <w:bCs/>
                <w:color w:val="000000"/>
                <w:sz w:val="20"/>
                <w:lang w:val="es-PY" w:eastAsia="es-PY"/>
              </w:rPr>
            </w:pPr>
          </w:p>
        </w:tc>
        <w:tc>
          <w:tcPr>
            <w:tcW w:w="992" w:type="dxa"/>
            <w:tcBorders>
              <w:top w:val="nil"/>
              <w:left w:val="nil"/>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Plazo</w:t>
            </w:r>
          </w:p>
        </w:tc>
        <w:tc>
          <w:tcPr>
            <w:tcW w:w="1559" w:type="dxa"/>
            <w:tcBorders>
              <w:top w:val="nil"/>
              <w:left w:val="nil"/>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Monto (Gs)</w:t>
            </w:r>
          </w:p>
        </w:tc>
        <w:tc>
          <w:tcPr>
            <w:tcW w:w="1418" w:type="dxa"/>
            <w:tcBorders>
              <w:top w:val="nil"/>
              <w:left w:val="nil"/>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Monto (US$)</w:t>
            </w:r>
          </w:p>
        </w:tc>
        <w:tc>
          <w:tcPr>
            <w:tcW w:w="992" w:type="dxa"/>
            <w:tcBorders>
              <w:top w:val="nil"/>
              <w:left w:val="nil"/>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US$/km</w:t>
            </w:r>
          </w:p>
        </w:tc>
        <w:tc>
          <w:tcPr>
            <w:tcW w:w="1248" w:type="dxa"/>
            <w:tcBorders>
              <w:top w:val="nil"/>
              <w:left w:val="nil"/>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US$/km/año</w:t>
            </w:r>
          </w:p>
        </w:tc>
      </w:tr>
      <w:tr w:rsidR="009E27E1" w:rsidRPr="009E27E1" w:rsidTr="009E27E1">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rPr>
                <w:color w:val="000000"/>
                <w:sz w:val="20"/>
                <w:lang w:val="es-PY" w:eastAsia="es-PY"/>
              </w:rPr>
            </w:pPr>
            <w:r w:rsidRPr="009E27E1">
              <w:rPr>
                <w:color w:val="000000"/>
                <w:sz w:val="20"/>
                <w:lang w:val="es-PY" w:eastAsia="es-PY"/>
              </w:rPr>
              <w:t>Caaguazú</w:t>
            </w:r>
          </w:p>
        </w:tc>
        <w:tc>
          <w:tcPr>
            <w:tcW w:w="1014"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Pr>
                <w:color w:val="000000"/>
                <w:sz w:val="20"/>
                <w:lang w:val="es-PY" w:eastAsia="es-PY"/>
              </w:rPr>
              <w:t xml:space="preserve">      </w:t>
            </w:r>
            <w:r w:rsidRPr="009E27E1">
              <w:rPr>
                <w:color w:val="000000"/>
                <w:sz w:val="20"/>
                <w:lang w:val="es-PY" w:eastAsia="es-PY"/>
              </w:rPr>
              <w:t xml:space="preserve">356,16 </w:t>
            </w:r>
          </w:p>
        </w:tc>
        <w:tc>
          <w:tcPr>
            <w:tcW w:w="992"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center"/>
              <w:rPr>
                <w:color w:val="000000"/>
                <w:sz w:val="20"/>
                <w:lang w:val="es-PY" w:eastAsia="es-PY"/>
              </w:rPr>
            </w:pPr>
            <w:r w:rsidRPr="009E27E1">
              <w:rPr>
                <w:color w:val="000000"/>
                <w:sz w:val="20"/>
                <w:lang w:val="es-PY" w:eastAsia="es-PY"/>
              </w:rPr>
              <w:t>36 meses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11.255.111.181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2.679.789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7.524 </w:t>
            </w:r>
          </w:p>
        </w:tc>
        <w:tc>
          <w:tcPr>
            <w:tcW w:w="1248"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2.508 </w:t>
            </w:r>
          </w:p>
        </w:tc>
      </w:tr>
      <w:tr w:rsidR="009E27E1" w:rsidRPr="009E27E1" w:rsidTr="009E27E1">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rPr>
                <w:color w:val="000000"/>
                <w:sz w:val="20"/>
                <w:lang w:val="es-PY" w:eastAsia="es-PY"/>
              </w:rPr>
            </w:pPr>
            <w:r w:rsidRPr="009E27E1">
              <w:rPr>
                <w:color w:val="000000"/>
                <w:sz w:val="20"/>
                <w:lang w:val="es-PY" w:eastAsia="es-PY"/>
              </w:rPr>
              <w:t>San Pedro</w:t>
            </w:r>
          </w:p>
        </w:tc>
        <w:tc>
          <w:tcPr>
            <w:tcW w:w="1014"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418,59 </w:t>
            </w:r>
          </w:p>
        </w:tc>
        <w:tc>
          <w:tcPr>
            <w:tcW w:w="992"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center"/>
              <w:rPr>
                <w:color w:val="000000"/>
                <w:sz w:val="20"/>
                <w:lang w:val="es-PY" w:eastAsia="es-PY"/>
              </w:rPr>
            </w:pPr>
            <w:r w:rsidRPr="009E27E1">
              <w:rPr>
                <w:color w:val="000000"/>
                <w:sz w:val="20"/>
                <w:lang w:val="es-PY" w:eastAsia="es-PY"/>
              </w:rPr>
              <w:t>36 meses</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10.435.783.542 </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2.484.711 </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5.936 </w:t>
            </w:r>
          </w:p>
        </w:tc>
        <w:tc>
          <w:tcPr>
            <w:tcW w:w="1248"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1.979 </w:t>
            </w:r>
          </w:p>
        </w:tc>
      </w:tr>
      <w:tr w:rsidR="009E27E1" w:rsidRPr="009E27E1" w:rsidTr="009E27E1">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rPr>
                <w:color w:val="000000"/>
                <w:sz w:val="20"/>
                <w:lang w:val="es-PY" w:eastAsia="es-PY"/>
              </w:rPr>
            </w:pPr>
            <w:r w:rsidRPr="009E27E1">
              <w:rPr>
                <w:color w:val="000000"/>
                <w:sz w:val="20"/>
                <w:lang w:val="es-PY" w:eastAsia="es-PY"/>
              </w:rPr>
              <w:t>Concepción - Amambay</w:t>
            </w:r>
          </w:p>
        </w:tc>
        <w:tc>
          <w:tcPr>
            <w:tcW w:w="1014"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401,71 </w:t>
            </w:r>
          </w:p>
        </w:tc>
        <w:tc>
          <w:tcPr>
            <w:tcW w:w="992"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center"/>
              <w:rPr>
                <w:color w:val="000000"/>
                <w:sz w:val="20"/>
                <w:lang w:val="es-PY" w:eastAsia="es-PY"/>
              </w:rPr>
            </w:pPr>
            <w:r w:rsidRPr="009E27E1">
              <w:rPr>
                <w:color w:val="000000"/>
                <w:sz w:val="20"/>
                <w:lang w:val="es-PY" w:eastAsia="es-PY"/>
              </w:rPr>
              <w:t>36 meses</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11.205.899.937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2.422.869 </w:t>
            </w:r>
          </w:p>
        </w:tc>
        <w:tc>
          <w:tcPr>
            <w:tcW w:w="992"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6.031 </w:t>
            </w:r>
          </w:p>
        </w:tc>
        <w:tc>
          <w:tcPr>
            <w:tcW w:w="1248"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2.010 </w:t>
            </w:r>
          </w:p>
        </w:tc>
      </w:tr>
      <w:tr w:rsidR="009E27E1" w:rsidRPr="009E27E1" w:rsidTr="009E27E1">
        <w:trPr>
          <w:trHeight w:val="315"/>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rPr>
                <w:color w:val="000000"/>
                <w:sz w:val="20"/>
                <w:lang w:val="es-PY" w:eastAsia="es-PY"/>
              </w:rPr>
            </w:pPr>
            <w:r w:rsidRPr="009E27E1">
              <w:rPr>
                <w:color w:val="000000"/>
                <w:sz w:val="20"/>
                <w:lang w:val="es-PY" w:eastAsia="es-PY"/>
              </w:rPr>
              <w:t>Suma</w:t>
            </w:r>
          </w:p>
        </w:tc>
        <w:tc>
          <w:tcPr>
            <w:tcW w:w="1014" w:type="dxa"/>
            <w:tcBorders>
              <w:top w:val="nil"/>
              <w:left w:val="nil"/>
              <w:bottom w:val="double" w:sz="6"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1.176,46 </w:t>
            </w:r>
          </w:p>
        </w:tc>
        <w:tc>
          <w:tcPr>
            <w:tcW w:w="992" w:type="dxa"/>
            <w:tcBorders>
              <w:top w:val="nil"/>
              <w:left w:val="nil"/>
              <w:bottom w:val="single" w:sz="4" w:space="0" w:color="auto"/>
              <w:right w:val="nil"/>
            </w:tcBorders>
            <w:shd w:val="clear" w:color="auto" w:fill="auto"/>
            <w:noWrap/>
            <w:vAlign w:val="center"/>
            <w:hideMark/>
          </w:tcPr>
          <w:p w:rsidR="009E27E1" w:rsidRPr="009E27E1" w:rsidRDefault="009E27E1" w:rsidP="009E27E1">
            <w:pPr>
              <w:rPr>
                <w:color w:val="000000"/>
                <w:sz w:val="20"/>
                <w:lang w:val="es-PY" w:eastAsia="es-PY"/>
              </w:rPr>
            </w:pPr>
            <w:r w:rsidRPr="009E27E1">
              <w:rPr>
                <w:color w:val="000000"/>
                <w:sz w:val="20"/>
                <w:lang w:val="es-PY" w:eastAsia="es-PY"/>
              </w:rPr>
              <w:t> </w:t>
            </w:r>
          </w:p>
        </w:tc>
        <w:tc>
          <w:tcPr>
            <w:tcW w:w="1559" w:type="dxa"/>
            <w:tcBorders>
              <w:top w:val="nil"/>
              <w:left w:val="nil"/>
              <w:bottom w:val="single" w:sz="4" w:space="0" w:color="auto"/>
              <w:right w:val="nil"/>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w:t>
            </w:r>
          </w:p>
        </w:tc>
        <w:tc>
          <w:tcPr>
            <w:tcW w:w="1418" w:type="dxa"/>
            <w:tcBorders>
              <w:top w:val="nil"/>
              <w:left w:val="single" w:sz="4" w:space="0" w:color="auto"/>
              <w:bottom w:val="double" w:sz="6"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7.587.369 </w:t>
            </w:r>
          </w:p>
        </w:tc>
        <w:tc>
          <w:tcPr>
            <w:tcW w:w="992"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6.449 </w:t>
            </w:r>
          </w:p>
        </w:tc>
        <w:tc>
          <w:tcPr>
            <w:tcW w:w="1248"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2.150 </w:t>
            </w:r>
          </w:p>
        </w:tc>
      </w:tr>
    </w:tbl>
    <w:p w:rsidR="00F776C7" w:rsidRDefault="00F776C7" w:rsidP="00F776C7">
      <w:pPr>
        <w:tabs>
          <w:tab w:val="num" w:pos="709"/>
        </w:tabs>
        <w:spacing w:before="240"/>
        <w:ind w:left="709"/>
        <w:jc w:val="both"/>
      </w:pPr>
    </w:p>
    <w:tbl>
      <w:tblPr>
        <w:tblW w:w="9485" w:type="dxa"/>
        <w:tblInd w:w="55" w:type="dxa"/>
        <w:tblCellMar>
          <w:left w:w="70" w:type="dxa"/>
          <w:right w:w="70" w:type="dxa"/>
        </w:tblCellMar>
        <w:tblLook w:val="04A0" w:firstRow="1" w:lastRow="0" w:firstColumn="1" w:lastColumn="0" w:noHBand="0" w:noVBand="1"/>
      </w:tblPr>
      <w:tblGrid>
        <w:gridCol w:w="2120"/>
        <w:gridCol w:w="1000"/>
        <w:gridCol w:w="1006"/>
        <w:gridCol w:w="1559"/>
        <w:gridCol w:w="1418"/>
        <w:gridCol w:w="1134"/>
        <w:gridCol w:w="1248"/>
      </w:tblGrid>
      <w:tr w:rsidR="009E27E1" w:rsidRPr="009E27E1" w:rsidTr="009E27E1">
        <w:trPr>
          <w:trHeight w:val="300"/>
          <w:tblHeader/>
        </w:trPr>
        <w:tc>
          <w:tcPr>
            <w:tcW w:w="212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Área geográfica</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Extensión (km)</w:t>
            </w:r>
          </w:p>
        </w:tc>
        <w:tc>
          <w:tcPr>
            <w:tcW w:w="6365" w:type="dxa"/>
            <w:gridSpan w:val="5"/>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9E27E1" w:rsidRPr="009E27E1" w:rsidRDefault="009E27E1" w:rsidP="00456F70">
            <w:pPr>
              <w:jc w:val="center"/>
              <w:rPr>
                <w:b/>
                <w:bCs/>
                <w:color w:val="000000"/>
                <w:sz w:val="20"/>
                <w:lang w:val="es-PY" w:eastAsia="es-PY"/>
              </w:rPr>
            </w:pPr>
            <w:r w:rsidRPr="009E27E1">
              <w:rPr>
                <w:b/>
                <w:bCs/>
                <w:color w:val="000000"/>
                <w:sz w:val="20"/>
                <w:lang w:val="es-PY" w:eastAsia="es-PY"/>
              </w:rPr>
              <w:t xml:space="preserve">Total </w:t>
            </w:r>
            <w:r w:rsidR="00456F70">
              <w:rPr>
                <w:b/>
                <w:bCs/>
                <w:color w:val="000000"/>
                <w:sz w:val="20"/>
                <w:lang w:val="es-PY" w:eastAsia="es-PY"/>
              </w:rPr>
              <w:t>previsto para cada</w:t>
            </w:r>
            <w:r w:rsidRPr="009E27E1">
              <w:rPr>
                <w:b/>
                <w:bCs/>
                <w:color w:val="000000"/>
                <w:sz w:val="20"/>
                <w:lang w:val="es-PY" w:eastAsia="es-PY"/>
              </w:rPr>
              <w:t xml:space="preserve"> Contrato</w:t>
            </w:r>
          </w:p>
        </w:tc>
      </w:tr>
      <w:tr w:rsidR="009E27E1" w:rsidRPr="009E27E1" w:rsidTr="009E27E1">
        <w:trPr>
          <w:trHeight w:val="300"/>
          <w:tblHeader/>
        </w:trPr>
        <w:tc>
          <w:tcPr>
            <w:tcW w:w="212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9E27E1" w:rsidRPr="009E27E1" w:rsidRDefault="009E27E1" w:rsidP="009E27E1">
            <w:pPr>
              <w:rPr>
                <w:b/>
                <w:bCs/>
                <w:color w:val="000000"/>
                <w:sz w:val="20"/>
                <w:lang w:val="es-PY" w:eastAsia="es-PY"/>
              </w:rPr>
            </w:pPr>
          </w:p>
        </w:tc>
        <w:tc>
          <w:tcPr>
            <w:tcW w:w="1000"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9E27E1" w:rsidRPr="009E27E1" w:rsidRDefault="009E27E1" w:rsidP="009E27E1">
            <w:pPr>
              <w:rPr>
                <w:b/>
                <w:bCs/>
                <w:color w:val="000000"/>
                <w:sz w:val="20"/>
                <w:lang w:val="es-PY" w:eastAsia="es-PY"/>
              </w:rPr>
            </w:pPr>
          </w:p>
        </w:tc>
        <w:tc>
          <w:tcPr>
            <w:tcW w:w="1006" w:type="dxa"/>
            <w:tcBorders>
              <w:top w:val="nil"/>
              <w:left w:val="nil"/>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Plazo</w:t>
            </w:r>
          </w:p>
        </w:tc>
        <w:tc>
          <w:tcPr>
            <w:tcW w:w="1559" w:type="dxa"/>
            <w:tcBorders>
              <w:top w:val="nil"/>
              <w:left w:val="nil"/>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Monto (Gs)</w:t>
            </w:r>
          </w:p>
        </w:tc>
        <w:tc>
          <w:tcPr>
            <w:tcW w:w="1418" w:type="dxa"/>
            <w:tcBorders>
              <w:top w:val="nil"/>
              <w:left w:val="nil"/>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Monto (US$)</w:t>
            </w:r>
          </w:p>
        </w:tc>
        <w:tc>
          <w:tcPr>
            <w:tcW w:w="1134" w:type="dxa"/>
            <w:tcBorders>
              <w:top w:val="nil"/>
              <w:left w:val="nil"/>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US$/km</w:t>
            </w:r>
          </w:p>
        </w:tc>
        <w:tc>
          <w:tcPr>
            <w:tcW w:w="1248" w:type="dxa"/>
            <w:tcBorders>
              <w:top w:val="nil"/>
              <w:left w:val="nil"/>
              <w:bottom w:val="single" w:sz="4" w:space="0" w:color="auto"/>
              <w:right w:val="single" w:sz="4" w:space="0" w:color="auto"/>
            </w:tcBorders>
            <w:shd w:val="clear" w:color="auto" w:fill="DAEEF3" w:themeFill="accent5" w:themeFillTint="33"/>
            <w:noWrap/>
            <w:vAlign w:val="center"/>
            <w:hideMark/>
          </w:tcPr>
          <w:p w:rsidR="009E27E1" w:rsidRPr="009E27E1" w:rsidRDefault="009E27E1" w:rsidP="009E27E1">
            <w:pPr>
              <w:jc w:val="center"/>
              <w:rPr>
                <w:b/>
                <w:bCs/>
                <w:color w:val="000000"/>
                <w:sz w:val="20"/>
                <w:lang w:val="es-PY" w:eastAsia="es-PY"/>
              </w:rPr>
            </w:pPr>
            <w:r w:rsidRPr="009E27E1">
              <w:rPr>
                <w:b/>
                <w:bCs/>
                <w:color w:val="000000"/>
                <w:sz w:val="20"/>
                <w:lang w:val="es-PY" w:eastAsia="es-PY"/>
              </w:rPr>
              <w:t>US$/km/año</w:t>
            </w:r>
          </w:p>
        </w:tc>
      </w:tr>
      <w:tr w:rsidR="009E27E1" w:rsidRPr="009E27E1" w:rsidTr="009E27E1">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rPr>
                <w:color w:val="000000"/>
                <w:sz w:val="20"/>
                <w:lang w:val="es-PY" w:eastAsia="es-PY"/>
              </w:rPr>
            </w:pPr>
            <w:r w:rsidRPr="009E27E1">
              <w:rPr>
                <w:color w:val="000000"/>
                <w:sz w:val="20"/>
                <w:lang w:val="es-PY" w:eastAsia="es-PY"/>
              </w:rPr>
              <w:t>Caaguazú</w:t>
            </w:r>
          </w:p>
        </w:tc>
        <w:tc>
          <w:tcPr>
            <w:tcW w:w="1000"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356,16 </w:t>
            </w:r>
          </w:p>
        </w:tc>
        <w:tc>
          <w:tcPr>
            <w:tcW w:w="1006"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center"/>
              <w:rPr>
                <w:color w:val="000000"/>
                <w:sz w:val="20"/>
                <w:lang w:val="es-PY" w:eastAsia="es-PY"/>
              </w:rPr>
            </w:pPr>
            <w:r w:rsidRPr="009E27E1">
              <w:rPr>
                <w:color w:val="000000"/>
                <w:sz w:val="20"/>
                <w:lang w:val="es-PY" w:eastAsia="es-PY"/>
              </w:rPr>
              <w:t>44 meses</w:t>
            </w:r>
          </w:p>
        </w:tc>
        <w:tc>
          <w:tcPr>
            <w:tcW w:w="1559"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17.852.683.416 </w:t>
            </w:r>
          </w:p>
        </w:tc>
        <w:tc>
          <w:tcPr>
            <w:tcW w:w="1418"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4.250.640 </w:t>
            </w:r>
          </w:p>
        </w:tc>
        <w:tc>
          <w:tcPr>
            <w:tcW w:w="1134"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11.935 </w:t>
            </w:r>
          </w:p>
        </w:tc>
        <w:tc>
          <w:tcPr>
            <w:tcW w:w="1248"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2.616 </w:t>
            </w:r>
          </w:p>
        </w:tc>
      </w:tr>
      <w:tr w:rsidR="009E27E1" w:rsidRPr="009E27E1" w:rsidTr="009E27E1">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rPr>
                <w:color w:val="000000"/>
                <w:sz w:val="20"/>
                <w:lang w:val="es-PY" w:eastAsia="es-PY"/>
              </w:rPr>
            </w:pPr>
            <w:r w:rsidRPr="009E27E1">
              <w:rPr>
                <w:color w:val="000000"/>
                <w:sz w:val="20"/>
                <w:lang w:val="es-PY" w:eastAsia="es-PY"/>
              </w:rPr>
              <w:t>San Pedro</w:t>
            </w:r>
          </w:p>
        </w:tc>
        <w:tc>
          <w:tcPr>
            <w:tcW w:w="1000"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418,59 </w:t>
            </w:r>
          </w:p>
        </w:tc>
        <w:tc>
          <w:tcPr>
            <w:tcW w:w="1006"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center"/>
              <w:rPr>
                <w:color w:val="000000"/>
                <w:sz w:val="20"/>
                <w:lang w:val="es-PY" w:eastAsia="es-PY"/>
              </w:rPr>
            </w:pPr>
            <w:r w:rsidRPr="009E27E1">
              <w:rPr>
                <w:color w:val="000000"/>
                <w:sz w:val="20"/>
                <w:lang w:val="es-PY" w:eastAsia="es-PY"/>
              </w:rPr>
              <w:t>44 meses</w:t>
            </w:r>
          </w:p>
        </w:tc>
        <w:tc>
          <w:tcPr>
            <w:tcW w:w="1559"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14.661.853.882 </w:t>
            </w:r>
          </w:p>
        </w:tc>
        <w:tc>
          <w:tcPr>
            <w:tcW w:w="1418"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3.490.918 </w:t>
            </w:r>
          </w:p>
        </w:tc>
        <w:tc>
          <w:tcPr>
            <w:tcW w:w="1134"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8.340 </w:t>
            </w:r>
          </w:p>
        </w:tc>
        <w:tc>
          <w:tcPr>
            <w:tcW w:w="1248"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1.885 </w:t>
            </w:r>
          </w:p>
        </w:tc>
      </w:tr>
      <w:tr w:rsidR="009E27E1" w:rsidRPr="009E27E1" w:rsidTr="009E27E1">
        <w:trPr>
          <w:trHeight w:val="300"/>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rPr>
                <w:color w:val="000000"/>
                <w:sz w:val="20"/>
                <w:lang w:val="es-PY" w:eastAsia="es-PY"/>
              </w:rPr>
            </w:pPr>
            <w:r w:rsidRPr="009E27E1">
              <w:rPr>
                <w:color w:val="000000"/>
                <w:sz w:val="20"/>
                <w:lang w:val="es-PY" w:eastAsia="es-PY"/>
              </w:rPr>
              <w:t>Concepción - Amambay</w:t>
            </w:r>
          </w:p>
        </w:tc>
        <w:tc>
          <w:tcPr>
            <w:tcW w:w="1000"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401,71 </w:t>
            </w:r>
          </w:p>
        </w:tc>
        <w:tc>
          <w:tcPr>
            <w:tcW w:w="1006"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center"/>
              <w:rPr>
                <w:color w:val="000000"/>
                <w:sz w:val="20"/>
                <w:lang w:val="es-PY" w:eastAsia="es-PY"/>
              </w:rPr>
            </w:pPr>
            <w:r w:rsidRPr="009E27E1">
              <w:rPr>
                <w:color w:val="000000"/>
                <w:sz w:val="20"/>
                <w:lang w:val="es-PY" w:eastAsia="es-PY"/>
              </w:rPr>
              <w:t>44 meses</w:t>
            </w:r>
          </w:p>
        </w:tc>
        <w:tc>
          <w:tcPr>
            <w:tcW w:w="1559"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16.772.947.617 </w:t>
            </w:r>
          </w:p>
        </w:tc>
        <w:tc>
          <w:tcPr>
            <w:tcW w:w="1418"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3.623.092 </w:t>
            </w:r>
          </w:p>
        </w:tc>
        <w:tc>
          <w:tcPr>
            <w:tcW w:w="1134"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9.019 </w:t>
            </w:r>
          </w:p>
        </w:tc>
        <w:tc>
          <w:tcPr>
            <w:tcW w:w="1248"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2.006 </w:t>
            </w:r>
          </w:p>
        </w:tc>
      </w:tr>
      <w:tr w:rsidR="009E27E1" w:rsidRPr="009E27E1" w:rsidTr="009E27E1">
        <w:trPr>
          <w:trHeight w:val="315"/>
        </w:trPr>
        <w:tc>
          <w:tcPr>
            <w:tcW w:w="2120" w:type="dxa"/>
            <w:tcBorders>
              <w:top w:val="nil"/>
              <w:left w:val="single" w:sz="4" w:space="0" w:color="auto"/>
              <w:bottom w:val="single" w:sz="4" w:space="0" w:color="auto"/>
              <w:right w:val="single" w:sz="4" w:space="0" w:color="auto"/>
            </w:tcBorders>
            <w:shd w:val="clear" w:color="auto" w:fill="auto"/>
            <w:noWrap/>
            <w:vAlign w:val="center"/>
            <w:hideMark/>
          </w:tcPr>
          <w:p w:rsidR="009E27E1" w:rsidRPr="009E27E1" w:rsidRDefault="009E27E1" w:rsidP="009E27E1">
            <w:pPr>
              <w:rPr>
                <w:color w:val="000000"/>
                <w:sz w:val="20"/>
                <w:lang w:val="es-PY" w:eastAsia="es-PY"/>
              </w:rPr>
            </w:pPr>
            <w:r w:rsidRPr="009E27E1">
              <w:rPr>
                <w:color w:val="000000"/>
                <w:sz w:val="20"/>
                <w:lang w:val="es-PY" w:eastAsia="es-PY"/>
              </w:rPr>
              <w:t>Suma</w:t>
            </w:r>
          </w:p>
        </w:tc>
        <w:tc>
          <w:tcPr>
            <w:tcW w:w="1000" w:type="dxa"/>
            <w:tcBorders>
              <w:top w:val="nil"/>
              <w:left w:val="nil"/>
              <w:bottom w:val="double" w:sz="6"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1.176,46 </w:t>
            </w:r>
          </w:p>
        </w:tc>
        <w:tc>
          <w:tcPr>
            <w:tcW w:w="1006" w:type="dxa"/>
            <w:tcBorders>
              <w:top w:val="nil"/>
              <w:left w:val="nil"/>
              <w:bottom w:val="single" w:sz="4" w:space="0" w:color="auto"/>
              <w:right w:val="nil"/>
            </w:tcBorders>
            <w:shd w:val="clear" w:color="auto" w:fill="auto"/>
            <w:noWrap/>
            <w:vAlign w:val="center"/>
            <w:hideMark/>
          </w:tcPr>
          <w:p w:rsidR="009E27E1" w:rsidRPr="009E27E1" w:rsidRDefault="009E27E1" w:rsidP="009E27E1">
            <w:pPr>
              <w:rPr>
                <w:color w:val="000000"/>
                <w:sz w:val="20"/>
                <w:lang w:val="es-PY" w:eastAsia="es-PY"/>
              </w:rPr>
            </w:pPr>
            <w:r w:rsidRPr="009E27E1">
              <w:rPr>
                <w:color w:val="000000"/>
                <w:sz w:val="20"/>
                <w:lang w:val="es-PY" w:eastAsia="es-PY"/>
              </w:rPr>
              <w:t> </w:t>
            </w:r>
          </w:p>
        </w:tc>
        <w:tc>
          <w:tcPr>
            <w:tcW w:w="1559" w:type="dxa"/>
            <w:tcBorders>
              <w:top w:val="nil"/>
              <w:left w:val="nil"/>
              <w:bottom w:val="single" w:sz="4" w:space="0" w:color="auto"/>
              <w:right w:val="nil"/>
            </w:tcBorders>
            <w:shd w:val="clear" w:color="auto" w:fill="auto"/>
            <w:noWrap/>
            <w:vAlign w:val="center"/>
            <w:hideMark/>
          </w:tcPr>
          <w:p w:rsidR="009E27E1" w:rsidRPr="009E27E1" w:rsidRDefault="009E27E1" w:rsidP="009E27E1">
            <w:pPr>
              <w:rPr>
                <w:color w:val="000000"/>
                <w:sz w:val="20"/>
                <w:lang w:val="es-PY" w:eastAsia="es-PY"/>
              </w:rPr>
            </w:pPr>
            <w:r w:rsidRPr="009E27E1">
              <w:rPr>
                <w:color w:val="000000"/>
                <w:sz w:val="20"/>
                <w:lang w:val="es-PY" w:eastAsia="es-PY"/>
              </w:rPr>
              <w:t> </w:t>
            </w:r>
          </w:p>
        </w:tc>
        <w:tc>
          <w:tcPr>
            <w:tcW w:w="1418" w:type="dxa"/>
            <w:tcBorders>
              <w:top w:val="nil"/>
              <w:left w:val="single" w:sz="4" w:space="0" w:color="auto"/>
              <w:bottom w:val="double" w:sz="6"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11.364.650 </w:t>
            </w:r>
          </w:p>
        </w:tc>
        <w:tc>
          <w:tcPr>
            <w:tcW w:w="1134"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9.660 </w:t>
            </w:r>
          </w:p>
        </w:tc>
        <w:tc>
          <w:tcPr>
            <w:tcW w:w="1248" w:type="dxa"/>
            <w:tcBorders>
              <w:top w:val="nil"/>
              <w:left w:val="nil"/>
              <w:bottom w:val="single" w:sz="4" w:space="0" w:color="auto"/>
              <w:right w:val="single" w:sz="4" w:space="0" w:color="auto"/>
            </w:tcBorders>
            <w:shd w:val="clear" w:color="auto" w:fill="auto"/>
            <w:noWrap/>
            <w:vAlign w:val="center"/>
            <w:hideMark/>
          </w:tcPr>
          <w:p w:rsidR="009E27E1" w:rsidRPr="009E27E1" w:rsidRDefault="009E27E1" w:rsidP="009E27E1">
            <w:pPr>
              <w:jc w:val="right"/>
              <w:rPr>
                <w:color w:val="000000"/>
                <w:sz w:val="20"/>
                <w:lang w:val="es-PY" w:eastAsia="es-PY"/>
              </w:rPr>
            </w:pPr>
            <w:r w:rsidRPr="009E27E1">
              <w:rPr>
                <w:color w:val="000000"/>
                <w:sz w:val="20"/>
                <w:lang w:val="es-PY" w:eastAsia="es-PY"/>
              </w:rPr>
              <w:t xml:space="preserve">  2.147 </w:t>
            </w:r>
          </w:p>
        </w:tc>
      </w:tr>
    </w:tbl>
    <w:p w:rsidR="00D657F2" w:rsidRDefault="00FA0EF5" w:rsidP="00BA27F6">
      <w:pPr>
        <w:numPr>
          <w:ilvl w:val="1"/>
          <w:numId w:val="1"/>
        </w:numPr>
        <w:tabs>
          <w:tab w:val="clear" w:pos="360"/>
          <w:tab w:val="num" w:pos="709"/>
        </w:tabs>
        <w:spacing w:before="240"/>
        <w:ind w:left="709" w:hanging="709"/>
        <w:jc w:val="both"/>
      </w:pPr>
      <w:r>
        <w:rPr>
          <w:b/>
        </w:rPr>
        <w:t>Estado de la adquisición</w:t>
      </w:r>
      <w:r w:rsidR="00BA27F6">
        <w:t xml:space="preserve">. </w:t>
      </w:r>
      <w:r w:rsidR="00535857">
        <w:t xml:space="preserve">De acuerdo </w:t>
      </w:r>
      <w:r>
        <w:t>al SEPA se obtiene la información siguiente</w:t>
      </w:r>
      <w:r w:rsidR="00535857">
        <w:t>.</w:t>
      </w:r>
    </w:p>
    <w:p w:rsidR="00D2191F" w:rsidRDefault="00D2191F" w:rsidP="00D2191F">
      <w:pPr>
        <w:ind w:left="709"/>
        <w:jc w:val="both"/>
        <w:rPr>
          <w:b/>
        </w:rPr>
      </w:pPr>
    </w:p>
    <w:tbl>
      <w:tblPr>
        <w:tblStyle w:val="TableGrid"/>
        <w:tblW w:w="9498" w:type="dxa"/>
        <w:tblInd w:w="108" w:type="dxa"/>
        <w:tblLook w:val="04A0" w:firstRow="1" w:lastRow="0" w:firstColumn="1" w:lastColumn="0" w:noHBand="0" w:noVBand="1"/>
      </w:tblPr>
      <w:tblGrid>
        <w:gridCol w:w="1061"/>
        <w:gridCol w:w="1016"/>
        <w:gridCol w:w="1061"/>
        <w:gridCol w:w="1438"/>
        <w:gridCol w:w="1271"/>
        <w:gridCol w:w="1116"/>
        <w:gridCol w:w="1116"/>
        <w:gridCol w:w="1419"/>
      </w:tblGrid>
      <w:tr w:rsidR="00D2191F" w:rsidTr="00D2191F">
        <w:tc>
          <w:tcPr>
            <w:tcW w:w="1061" w:type="dxa"/>
            <w:shd w:val="clear" w:color="auto" w:fill="DAEEF3" w:themeFill="accent5" w:themeFillTint="33"/>
          </w:tcPr>
          <w:p w:rsidR="00D2191F" w:rsidRPr="00D2191F" w:rsidRDefault="00D2191F" w:rsidP="007530BB">
            <w:pPr>
              <w:rPr>
                <w:b/>
                <w:sz w:val="20"/>
                <w:lang w:val="es-PY" w:eastAsia="es-PY"/>
              </w:rPr>
            </w:pPr>
            <w:r w:rsidRPr="00D2191F">
              <w:rPr>
                <w:b/>
                <w:sz w:val="20"/>
                <w:lang w:val="es-PY" w:eastAsia="es-PY"/>
              </w:rPr>
              <w:t>Categoría</w:t>
            </w:r>
          </w:p>
        </w:tc>
        <w:tc>
          <w:tcPr>
            <w:tcW w:w="1016" w:type="dxa"/>
            <w:shd w:val="clear" w:color="auto" w:fill="DAEEF3" w:themeFill="accent5" w:themeFillTint="33"/>
          </w:tcPr>
          <w:p w:rsidR="00D2191F" w:rsidRPr="00D2191F" w:rsidRDefault="00D2191F" w:rsidP="007530BB">
            <w:pPr>
              <w:rPr>
                <w:b/>
                <w:sz w:val="20"/>
                <w:lang w:val="es-PY" w:eastAsia="es-PY"/>
              </w:rPr>
            </w:pPr>
            <w:r w:rsidRPr="00D2191F">
              <w:rPr>
                <w:b/>
                <w:sz w:val="20"/>
                <w:lang w:val="es-PY" w:eastAsia="es-PY"/>
              </w:rPr>
              <w:t>Estado</w:t>
            </w:r>
          </w:p>
        </w:tc>
        <w:tc>
          <w:tcPr>
            <w:tcW w:w="1061" w:type="dxa"/>
            <w:shd w:val="clear" w:color="auto" w:fill="DAEEF3" w:themeFill="accent5" w:themeFillTint="33"/>
          </w:tcPr>
          <w:p w:rsidR="00D2191F" w:rsidRPr="00D2191F" w:rsidRDefault="00D2191F" w:rsidP="007530BB">
            <w:pPr>
              <w:rPr>
                <w:b/>
                <w:sz w:val="20"/>
                <w:lang w:val="es-PY" w:eastAsia="es-PY"/>
              </w:rPr>
            </w:pPr>
            <w:r w:rsidRPr="00D2191F">
              <w:rPr>
                <w:b/>
                <w:sz w:val="20"/>
                <w:lang w:val="es-PY" w:eastAsia="es-PY"/>
              </w:rPr>
              <w:t>Provincia</w:t>
            </w:r>
          </w:p>
        </w:tc>
        <w:tc>
          <w:tcPr>
            <w:tcW w:w="1438" w:type="dxa"/>
            <w:shd w:val="clear" w:color="auto" w:fill="DAEEF3" w:themeFill="accent5" w:themeFillTint="33"/>
          </w:tcPr>
          <w:p w:rsidR="00D2191F" w:rsidRPr="00D2191F" w:rsidRDefault="00D2191F" w:rsidP="007530BB">
            <w:pPr>
              <w:rPr>
                <w:b/>
                <w:sz w:val="20"/>
                <w:lang w:val="es-PY" w:eastAsia="es-PY"/>
              </w:rPr>
            </w:pPr>
            <w:r w:rsidRPr="00D2191F">
              <w:rPr>
                <w:b/>
                <w:sz w:val="20"/>
                <w:lang w:val="es-PY" w:eastAsia="es-PY"/>
              </w:rPr>
              <w:t>Objeto</w:t>
            </w:r>
          </w:p>
        </w:tc>
        <w:tc>
          <w:tcPr>
            <w:tcW w:w="1271" w:type="dxa"/>
            <w:shd w:val="clear" w:color="auto" w:fill="DAEEF3" w:themeFill="accent5" w:themeFillTint="33"/>
          </w:tcPr>
          <w:p w:rsidR="00D2191F" w:rsidRPr="00D2191F" w:rsidRDefault="00D2191F" w:rsidP="007530BB">
            <w:pPr>
              <w:rPr>
                <w:b/>
                <w:sz w:val="20"/>
                <w:lang w:val="es-PY" w:eastAsia="es-PY"/>
              </w:rPr>
            </w:pPr>
            <w:r w:rsidRPr="00D2191F">
              <w:rPr>
                <w:b/>
                <w:sz w:val="20"/>
                <w:lang w:val="es-PY" w:eastAsia="es-PY"/>
              </w:rPr>
              <w:t>Método</w:t>
            </w:r>
          </w:p>
        </w:tc>
        <w:tc>
          <w:tcPr>
            <w:tcW w:w="1116" w:type="dxa"/>
            <w:shd w:val="clear" w:color="auto" w:fill="DAEEF3" w:themeFill="accent5" w:themeFillTint="33"/>
          </w:tcPr>
          <w:p w:rsidR="00D2191F" w:rsidRPr="00D2191F" w:rsidRDefault="00D2191F" w:rsidP="007530BB">
            <w:pPr>
              <w:jc w:val="right"/>
              <w:rPr>
                <w:b/>
                <w:sz w:val="20"/>
                <w:lang w:val="es-PY" w:eastAsia="es-PY"/>
              </w:rPr>
            </w:pPr>
            <w:r>
              <w:rPr>
                <w:b/>
                <w:sz w:val="20"/>
                <w:lang w:val="es-PY" w:eastAsia="es-PY"/>
              </w:rPr>
              <w:t>Monto Estimado (en U$S</w:t>
            </w:r>
            <w:r w:rsidRPr="00D2191F">
              <w:rPr>
                <w:b/>
                <w:sz w:val="20"/>
                <w:lang w:val="es-PY" w:eastAsia="es-PY"/>
              </w:rPr>
              <w:t>)</w:t>
            </w:r>
          </w:p>
        </w:tc>
        <w:tc>
          <w:tcPr>
            <w:tcW w:w="1116" w:type="dxa"/>
            <w:shd w:val="clear" w:color="auto" w:fill="DAEEF3" w:themeFill="accent5" w:themeFillTint="33"/>
          </w:tcPr>
          <w:p w:rsidR="00D2191F" w:rsidRPr="00D2191F" w:rsidRDefault="00D2191F" w:rsidP="00D2191F">
            <w:pPr>
              <w:jc w:val="right"/>
              <w:rPr>
                <w:b/>
                <w:sz w:val="20"/>
                <w:lang w:val="es-PY" w:eastAsia="es-PY"/>
              </w:rPr>
            </w:pPr>
            <w:r w:rsidRPr="00D2191F">
              <w:rPr>
                <w:b/>
                <w:sz w:val="20"/>
                <w:lang w:val="es-PY" w:eastAsia="es-PY"/>
              </w:rPr>
              <w:t xml:space="preserve">Monto Contratos (en </w:t>
            </w:r>
            <w:r>
              <w:rPr>
                <w:b/>
                <w:sz w:val="20"/>
                <w:lang w:val="es-PY" w:eastAsia="es-PY"/>
              </w:rPr>
              <w:t>U</w:t>
            </w:r>
            <w:r w:rsidRPr="00D2191F">
              <w:rPr>
                <w:b/>
                <w:sz w:val="20"/>
                <w:lang w:val="es-PY" w:eastAsia="es-PY"/>
              </w:rPr>
              <w:t>$</w:t>
            </w:r>
            <w:r>
              <w:rPr>
                <w:b/>
                <w:sz w:val="20"/>
                <w:lang w:val="es-PY" w:eastAsia="es-PY"/>
              </w:rPr>
              <w:t>S</w:t>
            </w:r>
            <w:r w:rsidRPr="00D2191F">
              <w:rPr>
                <w:b/>
                <w:sz w:val="20"/>
                <w:lang w:val="es-PY" w:eastAsia="es-PY"/>
              </w:rPr>
              <w:t>)</w:t>
            </w:r>
          </w:p>
        </w:tc>
        <w:tc>
          <w:tcPr>
            <w:tcW w:w="1419" w:type="dxa"/>
            <w:shd w:val="clear" w:color="auto" w:fill="DAEEF3" w:themeFill="accent5" w:themeFillTint="33"/>
          </w:tcPr>
          <w:p w:rsidR="00D2191F" w:rsidRPr="00D2191F" w:rsidRDefault="00D2191F" w:rsidP="007530BB">
            <w:pPr>
              <w:jc w:val="center"/>
              <w:rPr>
                <w:b/>
                <w:sz w:val="20"/>
                <w:lang w:val="es-PY" w:eastAsia="es-PY"/>
              </w:rPr>
            </w:pPr>
            <w:r w:rsidRPr="00D2191F">
              <w:rPr>
                <w:b/>
                <w:sz w:val="20"/>
                <w:lang w:val="es-PY" w:eastAsia="es-PY"/>
              </w:rPr>
              <w:t>Oferentes y Adjudicados</w:t>
            </w:r>
          </w:p>
        </w:tc>
      </w:tr>
      <w:tr w:rsidR="00D2191F" w:rsidTr="00D2191F">
        <w:tc>
          <w:tcPr>
            <w:tcW w:w="1061" w:type="dxa"/>
          </w:tcPr>
          <w:p w:rsidR="00D2191F" w:rsidRPr="00D2191F" w:rsidRDefault="00D2191F" w:rsidP="007530BB">
            <w:pPr>
              <w:rPr>
                <w:sz w:val="20"/>
                <w:lang w:val="es-PY" w:eastAsia="es-PY"/>
              </w:rPr>
            </w:pPr>
            <w:r w:rsidRPr="00D2191F">
              <w:rPr>
                <w:sz w:val="20"/>
                <w:lang w:val="es-PY" w:eastAsia="es-PY"/>
              </w:rPr>
              <w:t>Obras</w:t>
            </w:r>
          </w:p>
        </w:tc>
        <w:tc>
          <w:tcPr>
            <w:tcW w:w="1016" w:type="dxa"/>
          </w:tcPr>
          <w:p w:rsidR="00D2191F" w:rsidRPr="00D2191F" w:rsidRDefault="00D2191F" w:rsidP="007530BB">
            <w:pPr>
              <w:rPr>
                <w:sz w:val="20"/>
                <w:lang w:val="es-PY" w:eastAsia="es-PY"/>
              </w:rPr>
            </w:pPr>
            <w:r w:rsidRPr="00D2191F">
              <w:rPr>
                <w:sz w:val="20"/>
                <w:lang w:val="es-PY" w:eastAsia="es-PY"/>
              </w:rPr>
              <w:t>Contrato en Ejecución</w:t>
            </w:r>
          </w:p>
        </w:tc>
        <w:tc>
          <w:tcPr>
            <w:tcW w:w="1061" w:type="dxa"/>
          </w:tcPr>
          <w:p w:rsidR="00D2191F" w:rsidRPr="00D2191F" w:rsidRDefault="00D2191F" w:rsidP="007530BB">
            <w:pPr>
              <w:rPr>
                <w:sz w:val="20"/>
                <w:lang w:val="es-PY" w:eastAsia="es-PY"/>
              </w:rPr>
            </w:pPr>
            <w:r w:rsidRPr="00D2191F">
              <w:rPr>
                <w:sz w:val="20"/>
                <w:lang w:val="es-PY" w:eastAsia="es-PY"/>
              </w:rPr>
              <w:t>_Paraguay</w:t>
            </w:r>
          </w:p>
        </w:tc>
        <w:tc>
          <w:tcPr>
            <w:tcW w:w="1438" w:type="dxa"/>
          </w:tcPr>
          <w:p w:rsidR="00D2191F" w:rsidRPr="00D2191F" w:rsidRDefault="00D2191F" w:rsidP="00D2191F">
            <w:pPr>
              <w:rPr>
                <w:sz w:val="20"/>
                <w:lang w:val="es-PY" w:eastAsia="es-PY"/>
              </w:rPr>
            </w:pPr>
            <w:r w:rsidRPr="00D2191F">
              <w:rPr>
                <w:sz w:val="20"/>
                <w:lang w:val="es-PY" w:eastAsia="es-PY"/>
              </w:rPr>
              <w:t>Mantenimiento</w:t>
            </w:r>
            <w:r>
              <w:rPr>
                <w:sz w:val="20"/>
                <w:lang w:val="es-PY" w:eastAsia="es-PY"/>
              </w:rPr>
              <w:t xml:space="preserve"> </w:t>
            </w:r>
            <w:r w:rsidRPr="00D2191F">
              <w:rPr>
                <w:sz w:val="20"/>
                <w:lang w:val="es-PY" w:eastAsia="es-PY"/>
              </w:rPr>
              <w:t xml:space="preserve">de Caminos </w:t>
            </w:r>
            <w:r>
              <w:rPr>
                <w:sz w:val="20"/>
                <w:lang w:val="es-PY" w:eastAsia="es-PY"/>
              </w:rPr>
              <w:t>p</w:t>
            </w:r>
            <w:r w:rsidRPr="00D2191F">
              <w:rPr>
                <w:sz w:val="20"/>
                <w:lang w:val="es-PY" w:eastAsia="es-PY"/>
              </w:rPr>
              <w:t xml:space="preserve">or Contratos </w:t>
            </w:r>
          </w:p>
        </w:tc>
        <w:tc>
          <w:tcPr>
            <w:tcW w:w="1271" w:type="dxa"/>
          </w:tcPr>
          <w:p w:rsidR="00D2191F" w:rsidRPr="00D2191F" w:rsidRDefault="00D2191F" w:rsidP="007530BB">
            <w:pPr>
              <w:rPr>
                <w:sz w:val="20"/>
                <w:lang w:val="es-PY" w:eastAsia="es-PY"/>
              </w:rPr>
            </w:pPr>
            <w:r w:rsidRPr="00D2191F">
              <w:rPr>
                <w:sz w:val="20"/>
                <w:lang w:val="es-PY" w:eastAsia="es-PY"/>
              </w:rPr>
              <w:t>Licitación Pública Internacional</w:t>
            </w:r>
          </w:p>
        </w:tc>
        <w:tc>
          <w:tcPr>
            <w:tcW w:w="1116" w:type="dxa"/>
          </w:tcPr>
          <w:p w:rsidR="00D2191F" w:rsidRPr="00D2191F" w:rsidRDefault="00D2191F" w:rsidP="007530BB">
            <w:pPr>
              <w:rPr>
                <w:sz w:val="20"/>
                <w:lang w:val="es-PY" w:eastAsia="es-PY"/>
              </w:rPr>
            </w:pPr>
            <w:r w:rsidRPr="00D2191F">
              <w:rPr>
                <w:sz w:val="20"/>
                <w:lang w:val="es-PY" w:eastAsia="es-PY"/>
              </w:rPr>
              <w:t xml:space="preserve">13,314,000 </w:t>
            </w:r>
          </w:p>
        </w:tc>
        <w:tc>
          <w:tcPr>
            <w:tcW w:w="1116" w:type="dxa"/>
          </w:tcPr>
          <w:p w:rsidR="00D2191F" w:rsidRPr="00D2191F" w:rsidRDefault="00D2191F" w:rsidP="007530BB">
            <w:pPr>
              <w:rPr>
                <w:sz w:val="20"/>
                <w:lang w:val="es-PY" w:eastAsia="es-PY"/>
              </w:rPr>
            </w:pPr>
            <w:r w:rsidRPr="00D2191F">
              <w:rPr>
                <w:sz w:val="20"/>
                <w:lang w:val="es-PY" w:eastAsia="es-PY"/>
              </w:rPr>
              <w:t xml:space="preserve">12,719,121 </w:t>
            </w:r>
          </w:p>
        </w:tc>
        <w:tc>
          <w:tcPr>
            <w:tcW w:w="1419" w:type="dxa"/>
          </w:tcPr>
          <w:p w:rsidR="00D2191F" w:rsidRDefault="00D2191F" w:rsidP="007530BB">
            <w:pPr>
              <w:rPr>
                <w:sz w:val="20"/>
                <w:lang w:val="es-PY" w:eastAsia="es-PY"/>
              </w:rPr>
            </w:pPr>
            <w:r w:rsidRPr="00D2191F">
              <w:rPr>
                <w:sz w:val="20"/>
                <w:lang w:val="es-PY" w:eastAsia="es-PY"/>
              </w:rPr>
              <w:t xml:space="preserve">6 Oferentes </w:t>
            </w:r>
            <w:r>
              <w:rPr>
                <w:sz w:val="20"/>
                <w:lang w:val="es-PY" w:eastAsia="es-PY"/>
              </w:rPr>
              <w:t>–</w:t>
            </w:r>
            <w:r w:rsidRPr="00D2191F">
              <w:rPr>
                <w:sz w:val="20"/>
                <w:lang w:val="es-PY" w:eastAsia="es-PY"/>
              </w:rPr>
              <w:t xml:space="preserve"> </w:t>
            </w:r>
          </w:p>
          <w:p w:rsidR="00D2191F" w:rsidRPr="00D2191F" w:rsidRDefault="00D2191F" w:rsidP="007530BB">
            <w:pPr>
              <w:rPr>
                <w:sz w:val="20"/>
                <w:lang w:val="es-PY" w:eastAsia="es-PY"/>
              </w:rPr>
            </w:pPr>
            <w:r w:rsidRPr="00D2191F">
              <w:rPr>
                <w:sz w:val="20"/>
                <w:lang w:val="es-PY" w:eastAsia="es-PY"/>
              </w:rPr>
              <w:t>3 Adjudicados</w:t>
            </w:r>
          </w:p>
        </w:tc>
      </w:tr>
    </w:tbl>
    <w:p w:rsidR="00D2191F" w:rsidRPr="00D2191F" w:rsidRDefault="00D2191F" w:rsidP="00D2191F">
      <w:pPr>
        <w:spacing w:before="240"/>
        <w:ind w:left="709"/>
        <w:jc w:val="both"/>
      </w:pPr>
      <w:r>
        <w:t>Anexos y oferta adjudicada</w:t>
      </w:r>
    </w:p>
    <w:tbl>
      <w:tblPr>
        <w:tblStyle w:val="TableGrid"/>
        <w:tblW w:w="8789" w:type="dxa"/>
        <w:tblInd w:w="108" w:type="dxa"/>
        <w:tblLook w:val="04A0" w:firstRow="1" w:lastRow="0" w:firstColumn="1" w:lastColumn="0" w:noHBand="0" w:noVBand="1"/>
      </w:tblPr>
      <w:tblGrid>
        <w:gridCol w:w="3866"/>
        <w:gridCol w:w="1393"/>
        <w:gridCol w:w="1397"/>
        <w:gridCol w:w="2133"/>
      </w:tblGrid>
      <w:tr w:rsidR="00FA0EF5" w:rsidTr="00FA0EF5">
        <w:tc>
          <w:tcPr>
            <w:tcW w:w="3866" w:type="dxa"/>
            <w:shd w:val="clear" w:color="auto" w:fill="DAEEF3" w:themeFill="accent5" w:themeFillTint="33"/>
            <w:vAlign w:val="center"/>
          </w:tcPr>
          <w:p w:rsidR="00FA0EF5" w:rsidRPr="00D2191F" w:rsidRDefault="00FA0EF5" w:rsidP="00FA0EF5">
            <w:pPr>
              <w:jc w:val="center"/>
              <w:rPr>
                <w:b/>
                <w:sz w:val="20"/>
                <w:lang w:val="es-PY" w:eastAsia="es-PY"/>
              </w:rPr>
            </w:pPr>
            <w:r w:rsidRPr="00FA0EF5">
              <w:rPr>
                <w:b/>
                <w:sz w:val="20"/>
                <w:lang w:val="es-PY" w:eastAsia="es-PY"/>
              </w:rPr>
              <w:t>Oferente</w:t>
            </w:r>
          </w:p>
        </w:tc>
        <w:tc>
          <w:tcPr>
            <w:tcW w:w="1393" w:type="dxa"/>
            <w:shd w:val="clear" w:color="auto" w:fill="DAEEF3" w:themeFill="accent5" w:themeFillTint="33"/>
            <w:vAlign w:val="center"/>
          </w:tcPr>
          <w:p w:rsidR="00FA0EF5" w:rsidRPr="00D2191F" w:rsidRDefault="00FA0EF5" w:rsidP="00FA0EF5">
            <w:pPr>
              <w:jc w:val="center"/>
              <w:rPr>
                <w:b/>
                <w:sz w:val="20"/>
                <w:lang w:val="es-PY" w:eastAsia="es-PY"/>
              </w:rPr>
            </w:pPr>
            <w:r w:rsidRPr="00FA0EF5">
              <w:rPr>
                <w:b/>
                <w:sz w:val="20"/>
                <w:lang w:val="es-PY" w:eastAsia="es-PY"/>
              </w:rPr>
              <w:t>Adjudicado</w:t>
            </w:r>
          </w:p>
        </w:tc>
        <w:tc>
          <w:tcPr>
            <w:tcW w:w="1397" w:type="dxa"/>
            <w:shd w:val="clear" w:color="auto" w:fill="DAEEF3" w:themeFill="accent5" w:themeFillTint="33"/>
            <w:vAlign w:val="center"/>
          </w:tcPr>
          <w:p w:rsidR="00FA0EF5" w:rsidRPr="00D2191F" w:rsidRDefault="00FA0EF5" w:rsidP="00FA0EF5">
            <w:pPr>
              <w:jc w:val="center"/>
              <w:rPr>
                <w:b/>
                <w:sz w:val="20"/>
                <w:lang w:val="es-PY" w:eastAsia="es-PY"/>
              </w:rPr>
            </w:pPr>
            <w:r w:rsidRPr="00FA0EF5">
              <w:rPr>
                <w:b/>
                <w:sz w:val="20"/>
                <w:lang w:val="es-PY" w:eastAsia="es-PY"/>
              </w:rPr>
              <w:t>Comentario</w:t>
            </w:r>
          </w:p>
        </w:tc>
        <w:tc>
          <w:tcPr>
            <w:tcW w:w="2133" w:type="dxa"/>
            <w:shd w:val="clear" w:color="auto" w:fill="DAEEF3" w:themeFill="accent5" w:themeFillTint="33"/>
            <w:vAlign w:val="center"/>
          </w:tcPr>
          <w:p w:rsidR="00FA0EF5" w:rsidRPr="00D2191F" w:rsidRDefault="00FA0EF5" w:rsidP="00FA0EF5">
            <w:pPr>
              <w:jc w:val="center"/>
              <w:rPr>
                <w:b/>
                <w:sz w:val="20"/>
                <w:lang w:val="es-PY" w:eastAsia="es-PY"/>
              </w:rPr>
            </w:pPr>
            <w:r>
              <w:rPr>
                <w:b/>
                <w:sz w:val="20"/>
                <w:lang w:val="es-PY" w:eastAsia="es-PY"/>
              </w:rPr>
              <w:t xml:space="preserve">Monto Ofertado </w:t>
            </w:r>
            <w:r w:rsidRPr="00FA0EF5">
              <w:rPr>
                <w:b/>
                <w:sz w:val="20"/>
                <w:lang w:val="es-PY" w:eastAsia="es-PY"/>
              </w:rPr>
              <w:t>(en PYG)</w:t>
            </w:r>
          </w:p>
        </w:tc>
      </w:tr>
      <w:tr w:rsidR="00FA0EF5" w:rsidTr="00FA0EF5">
        <w:tc>
          <w:tcPr>
            <w:tcW w:w="3866" w:type="dxa"/>
            <w:vAlign w:val="center"/>
          </w:tcPr>
          <w:p w:rsidR="00FA0EF5" w:rsidRPr="00D2191F" w:rsidRDefault="00FA0EF5" w:rsidP="007530BB">
            <w:pPr>
              <w:rPr>
                <w:sz w:val="20"/>
                <w:lang w:val="es-PY" w:eastAsia="es-PY"/>
              </w:rPr>
            </w:pPr>
            <w:r w:rsidRPr="00FA0EF5">
              <w:rPr>
                <w:sz w:val="20"/>
                <w:lang w:val="es-PY" w:eastAsia="es-PY"/>
              </w:rPr>
              <w:t>Proel Ingeniería</w:t>
            </w:r>
          </w:p>
        </w:tc>
        <w:tc>
          <w:tcPr>
            <w:tcW w:w="1393" w:type="dxa"/>
            <w:vAlign w:val="center"/>
          </w:tcPr>
          <w:p w:rsidR="00FA0EF5" w:rsidRPr="00D2191F" w:rsidRDefault="00FA0EF5" w:rsidP="00FA0EF5">
            <w:pPr>
              <w:jc w:val="center"/>
              <w:rPr>
                <w:sz w:val="20"/>
                <w:lang w:val="es-PY" w:eastAsia="es-PY"/>
              </w:rPr>
            </w:pPr>
            <w:r w:rsidRPr="00FA0EF5">
              <w:rPr>
                <w:sz w:val="20"/>
                <w:lang w:val="es-PY" w:eastAsia="es-PY"/>
              </w:rPr>
              <w:t>Sí</w:t>
            </w:r>
          </w:p>
        </w:tc>
        <w:tc>
          <w:tcPr>
            <w:tcW w:w="1397" w:type="dxa"/>
          </w:tcPr>
          <w:p w:rsidR="00FA0EF5" w:rsidRPr="00FA0EF5" w:rsidRDefault="00FA0EF5" w:rsidP="00FA0EF5">
            <w:pPr>
              <w:jc w:val="center"/>
              <w:rPr>
                <w:sz w:val="20"/>
                <w:lang w:val="es-PY" w:eastAsia="es-PY"/>
              </w:rPr>
            </w:pPr>
            <w:r>
              <w:rPr>
                <w:sz w:val="20"/>
                <w:lang w:val="es-PY" w:eastAsia="es-PY"/>
              </w:rPr>
              <w:t>---</w:t>
            </w:r>
          </w:p>
        </w:tc>
        <w:tc>
          <w:tcPr>
            <w:tcW w:w="2133" w:type="dxa"/>
            <w:vAlign w:val="center"/>
          </w:tcPr>
          <w:p w:rsidR="00FA0EF5" w:rsidRPr="00D2191F" w:rsidRDefault="00FA0EF5" w:rsidP="00FA0EF5">
            <w:pPr>
              <w:jc w:val="right"/>
              <w:rPr>
                <w:sz w:val="20"/>
                <w:lang w:val="es-PY" w:eastAsia="es-PY"/>
              </w:rPr>
            </w:pPr>
            <w:r w:rsidRPr="00FA0EF5">
              <w:rPr>
                <w:sz w:val="20"/>
                <w:lang w:val="es-PY" w:eastAsia="es-PY"/>
              </w:rPr>
              <w:t>24,092,328,590.00 </w:t>
            </w:r>
          </w:p>
        </w:tc>
      </w:tr>
      <w:tr w:rsidR="00FA0EF5" w:rsidRPr="00FA0EF5" w:rsidTr="00FA0EF5">
        <w:tc>
          <w:tcPr>
            <w:tcW w:w="3866" w:type="dxa"/>
            <w:vAlign w:val="center"/>
          </w:tcPr>
          <w:p w:rsidR="00FA0EF5" w:rsidRPr="00D2191F" w:rsidRDefault="00FA0EF5" w:rsidP="007530BB">
            <w:pPr>
              <w:rPr>
                <w:sz w:val="20"/>
                <w:lang w:val="pt-BR" w:eastAsia="es-PY"/>
              </w:rPr>
            </w:pPr>
            <w:r w:rsidRPr="00FA0EF5">
              <w:rPr>
                <w:sz w:val="20"/>
                <w:lang w:val="pt-BR" w:eastAsia="es-PY"/>
              </w:rPr>
              <w:t xml:space="preserve">Benito Roggio e </w:t>
            </w:r>
            <w:r w:rsidRPr="007530BB">
              <w:rPr>
                <w:sz w:val="20"/>
                <w:lang w:val="pt-BR" w:eastAsia="es-PY"/>
              </w:rPr>
              <w:t>Hijos</w:t>
            </w:r>
            <w:r w:rsidRPr="00FA0EF5">
              <w:rPr>
                <w:sz w:val="20"/>
                <w:lang w:val="pt-BR" w:eastAsia="es-PY"/>
              </w:rPr>
              <w:t xml:space="preserve"> S.A.</w:t>
            </w:r>
          </w:p>
        </w:tc>
        <w:tc>
          <w:tcPr>
            <w:tcW w:w="1393" w:type="dxa"/>
            <w:vAlign w:val="center"/>
          </w:tcPr>
          <w:p w:rsidR="00FA0EF5" w:rsidRPr="00D2191F" w:rsidRDefault="00FA0EF5" w:rsidP="00FA0EF5">
            <w:pPr>
              <w:jc w:val="center"/>
              <w:rPr>
                <w:sz w:val="20"/>
                <w:lang w:val="es-PY" w:eastAsia="es-PY"/>
              </w:rPr>
            </w:pPr>
            <w:r w:rsidRPr="00FA0EF5">
              <w:rPr>
                <w:sz w:val="20"/>
                <w:lang w:val="es-PY" w:eastAsia="es-PY"/>
              </w:rPr>
              <w:t>No</w:t>
            </w:r>
          </w:p>
        </w:tc>
        <w:tc>
          <w:tcPr>
            <w:tcW w:w="1397" w:type="dxa"/>
          </w:tcPr>
          <w:p w:rsidR="00FA0EF5" w:rsidRDefault="00FA0EF5" w:rsidP="00FA0EF5">
            <w:pPr>
              <w:jc w:val="center"/>
            </w:pPr>
            <w:r w:rsidRPr="007B155C">
              <w:rPr>
                <w:sz w:val="20"/>
                <w:lang w:val="es-PY" w:eastAsia="es-PY"/>
              </w:rPr>
              <w:t>---</w:t>
            </w:r>
          </w:p>
        </w:tc>
        <w:tc>
          <w:tcPr>
            <w:tcW w:w="2133" w:type="dxa"/>
            <w:vAlign w:val="center"/>
          </w:tcPr>
          <w:p w:rsidR="00FA0EF5" w:rsidRPr="00D2191F" w:rsidRDefault="00FA0EF5" w:rsidP="00FA0EF5">
            <w:pPr>
              <w:jc w:val="right"/>
              <w:rPr>
                <w:sz w:val="20"/>
                <w:lang w:val="es-PY" w:eastAsia="es-PY"/>
              </w:rPr>
            </w:pPr>
            <w:r w:rsidRPr="00FA0EF5">
              <w:rPr>
                <w:sz w:val="20"/>
                <w:lang w:val="es-PY" w:eastAsia="es-PY"/>
              </w:rPr>
              <w:t>31,796,573,788.00 </w:t>
            </w:r>
          </w:p>
        </w:tc>
      </w:tr>
      <w:tr w:rsidR="00FA0EF5" w:rsidTr="00FA0EF5">
        <w:tc>
          <w:tcPr>
            <w:tcW w:w="3866" w:type="dxa"/>
            <w:vAlign w:val="center"/>
          </w:tcPr>
          <w:p w:rsidR="00FA0EF5" w:rsidRPr="00D2191F" w:rsidRDefault="00FA0EF5" w:rsidP="007530BB">
            <w:pPr>
              <w:rPr>
                <w:sz w:val="20"/>
                <w:lang w:val="es-PY" w:eastAsia="es-PY"/>
              </w:rPr>
            </w:pPr>
            <w:r w:rsidRPr="00FA0EF5">
              <w:rPr>
                <w:sz w:val="20"/>
                <w:lang w:val="es-PY" w:eastAsia="es-PY"/>
              </w:rPr>
              <w:t xml:space="preserve">DC </w:t>
            </w:r>
            <w:r w:rsidR="008C630B" w:rsidRPr="00FA0EF5">
              <w:rPr>
                <w:sz w:val="20"/>
                <w:lang w:val="es-PY" w:eastAsia="es-PY"/>
              </w:rPr>
              <w:t>Ingeniería</w:t>
            </w:r>
            <w:r w:rsidRPr="00FA0EF5">
              <w:rPr>
                <w:sz w:val="20"/>
                <w:lang w:val="es-PY" w:eastAsia="es-PY"/>
              </w:rPr>
              <w:t xml:space="preserve"> S.A.</w:t>
            </w:r>
          </w:p>
        </w:tc>
        <w:tc>
          <w:tcPr>
            <w:tcW w:w="1393" w:type="dxa"/>
            <w:vAlign w:val="center"/>
          </w:tcPr>
          <w:p w:rsidR="00FA0EF5" w:rsidRPr="00D2191F" w:rsidRDefault="00FA0EF5" w:rsidP="00FA0EF5">
            <w:pPr>
              <w:jc w:val="center"/>
              <w:rPr>
                <w:sz w:val="20"/>
                <w:lang w:val="es-PY" w:eastAsia="es-PY"/>
              </w:rPr>
            </w:pPr>
            <w:r w:rsidRPr="00FA0EF5">
              <w:rPr>
                <w:sz w:val="20"/>
                <w:lang w:val="es-PY" w:eastAsia="es-PY"/>
              </w:rPr>
              <w:t>No</w:t>
            </w:r>
          </w:p>
        </w:tc>
        <w:tc>
          <w:tcPr>
            <w:tcW w:w="1397" w:type="dxa"/>
          </w:tcPr>
          <w:p w:rsidR="00FA0EF5" w:rsidRDefault="00FA0EF5" w:rsidP="00FA0EF5">
            <w:pPr>
              <w:jc w:val="center"/>
            </w:pPr>
            <w:r w:rsidRPr="007B155C">
              <w:rPr>
                <w:sz w:val="20"/>
                <w:lang w:val="es-PY" w:eastAsia="es-PY"/>
              </w:rPr>
              <w:t>---</w:t>
            </w:r>
          </w:p>
        </w:tc>
        <w:tc>
          <w:tcPr>
            <w:tcW w:w="2133" w:type="dxa"/>
            <w:vAlign w:val="center"/>
          </w:tcPr>
          <w:p w:rsidR="00FA0EF5" w:rsidRPr="00D2191F" w:rsidRDefault="00FA0EF5" w:rsidP="00FA0EF5">
            <w:pPr>
              <w:jc w:val="right"/>
              <w:rPr>
                <w:sz w:val="20"/>
                <w:lang w:val="es-PY" w:eastAsia="es-PY"/>
              </w:rPr>
            </w:pPr>
            <w:r w:rsidRPr="00FA0EF5">
              <w:rPr>
                <w:sz w:val="20"/>
                <w:lang w:val="es-PY" w:eastAsia="es-PY"/>
              </w:rPr>
              <w:t>16,212,125,159.00 </w:t>
            </w:r>
          </w:p>
        </w:tc>
      </w:tr>
      <w:tr w:rsidR="00FA0EF5" w:rsidTr="00FA0EF5">
        <w:tc>
          <w:tcPr>
            <w:tcW w:w="3866" w:type="dxa"/>
            <w:vAlign w:val="center"/>
          </w:tcPr>
          <w:p w:rsidR="00FA0EF5" w:rsidRPr="00D2191F" w:rsidRDefault="00FA0EF5" w:rsidP="007530BB">
            <w:pPr>
              <w:rPr>
                <w:sz w:val="20"/>
                <w:lang w:val="es-PY" w:eastAsia="es-PY"/>
              </w:rPr>
            </w:pPr>
            <w:r w:rsidRPr="00FA0EF5">
              <w:rPr>
                <w:sz w:val="20"/>
                <w:lang w:val="es-PY" w:eastAsia="es-PY"/>
              </w:rPr>
              <w:t>DC Ingeniería S.A.</w:t>
            </w:r>
          </w:p>
        </w:tc>
        <w:tc>
          <w:tcPr>
            <w:tcW w:w="1393" w:type="dxa"/>
            <w:vAlign w:val="center"/>
          </w:tcPr>
          <w:p w:rsidR="00FA0EF5" w:rsidRPr="00D2191F" w:rsidRDefault="00FA0EF5" w:rsidP="00FA0EF5">
            <w:pPr>
              <w:jc w:val="center"/>
              <w:rPr>
                <w:sz w:val="20"/>
                <w:lang w:val="es-PY" w:eastAsia="es-PY"/>
              </w:rPr>
            </w:pPr>
            <w:r w:rsidRPr="00FA0EF5">
              <w:rPr>
                <w:sz w:val="20"/>
                <w:lang w:val="es-PY" w:eastAsia="es-PY"/>
              </w:rPr>
              <w:t>Sí</w:t>
            </w:r>
          </w:p>
        </w:tc>
        <w:tc>
          <w:tcPr>
            <w:tcW w:w="1397" w:type="dxa"/>
          </w:tcPr>
          <w:p w:rsidR="00FA0EF5" w:rsidRDefault="00FA0EF5" w:rsidP="00FA0EF5">
            <w:pPr>
              <w:jc w:val="center"/>
            </w:pPr>
            <w:r w:rsidRPr="007B155C">
              <w:rPr>
                <w:sz w:val="20"/>
                <w:lang w:val="es-PY" w:eastAsia="es-PY"/>
              </w:rPr>
              <w:t>---</w:t>
            </w:r>
          </w:p>
        </w:tc>
        <w:tc>
          <w:tcPr>
            <w:tcW w:w="2133" w:type="dxa"/>
            <w:vAlign w:val="center"/>
          </w:tcPr>
          <w:p w:rsidR="00FA0EF5" w:rsidRPr="00D2191F" w:rsidRDefault="00FA0EF5" w:rsidP="00FA0EF5">
            <w:pPr>
              <w:jc w:val="right"/>
              <w:rPr>
                <w:sz w:val="20"/>
                <w:lang w:val="es-PY" w:eastAsia="es-PY"/>
              </w:rPr>
            </w:pPr>
            <w:r w:rsidRPr="00FA0EF5">
              <w:rPr>
                <w:sz w:val="20"/>
                <w:lang w:val="es-PY" w:eastAsia="es-PY"/>
              </w:rPr>
              <w:t>13,685,480,182.00 </w:t>
            </w:r>
          </w:p>
        </w:tc>
      </w:tr>
      <w:tr w:rsidR="00FA0EF5" w:rsidTr="00FA0EF5">
        <w:tc>
          <w:tcPr>
            <w:tcW w:w="3866" w:type="dxa"/>
            <w:vAlign w:val="center"/>
          </w:tcPr>
          <w:p w:rsidR="00FA0EF5" w:rsidRPr="00D2191F" w:rsidRDefault="00FA0EF5" w:rsidP="007530BB">
            <w:pPr>
              <w:rPr>
                <w:sz w:val="20"/>
                <w:lang w:val="es-PY" w:eastAsia="es-PY"/>
              </w:rPr>
            </w:pPr>
            <w:r w:rsidRPr="00FA0EF5">
              <w:rPr>
                <w:sz w:val="20"/>
                <w:lang w:val="es-PY" w:eastAsia="es-PY"/>
              </w:rPr>
              <w:t>Consorcio de Mantenimiento Rural</w:t>
            </w:r>
          </w:p>
        </w:tc>
        <w:tc>
          <w:tcPr>
            <w:tcW w:w="1393" w:type="dxa"/>
            <w:vAlign w:val="center"/>
          </w:tcPr>
          <w:p w:rsidR="00FA0EF5" w:rsidRPr="00D2191F" w:rsidRDefault="00FA0EF5" w:rsidP="00FA0EF5">
            <w:pPr>
              <w:jc w:val="center"/>
              <w:rPr>
                <w:sz w:val="20"/>
                <w:lang w:val="es-PY" w:eastAsia="es-PY"/>
              </w:rPr>
            </w:pPr>
            <w:r w:rsidRPr="00FA0EF5">
              <w:rPr>
                <w:sz w:val="20"/>
                <w:lang w:val="es-PY" w:eastAsia="es-PY"/>
              </w:rPr>
              <w:t>Sí</w:t>
            </w:r>
          </w:p>
        </w:tc>
        <w:tc>
          <w:tcPr>
            <w:tcW w:w="1397" w:type="dxa"/>
          </w:tcPr>
          <w:p w:rsidR="00FA0EF5" w:rsidRDefault="00FA0EF5" w:rsidP="00FA0EF5">
            <w:pPr>
              <w:jc w:val="center"/>
            </w:pPr>
            <w:r w:rsidRPr="007B155C">
              <w:rPr>
                <w:sz w:val="20"/>
                <w:lang w:val="es-PY" w:eastAsia="es-PY"/>
              </w:rPr>
              <w:t>---</w:t>
            </w:r>
          </w:p>
        </w:tc>
        <w:tc>
          <w:tcPr>
            <w:tcW w:w="2133" w:type="dxa"/>
            <w:vAlign w:val="center"/>
          </w:tcPr>
          <w:p w:rsidR="00FA0EF5" w:rsidRPr="00D2191F" w:rsidRDefault="00FA0EF5" w:rsidP="00FA0EF5">
            <w:pPr>
              <w:jc w:val="right"/>
              <w:rPr>
                <w:sz w:val="20"/>
                <w:lang w:val="es-PY" w:eastAsia="es-PY"/>
              </w:rPr>
            </w:pPr>
            <w:r w:rsidRPr="00FA0EF5">
              <w:rPr>
                <w:sz w:val="20"/>
                <w:lang w:val="es-PY" w:eastAsia="es-PY"/>
              </w:rPr>
              <w:t>16,698,187,766.00 </w:t>
            </w:r>
          </w:p>
        </w:tc>
      </w:tr>
      <w:tr w:rsidR="00FA0EF5" w:rsidTr="00FA0EF5">
        <w:tc>
          <w:tcPr>
            <w:tcW w:w="3866" w:type="dxa"/>
            <w:vAlign w:val="center"/>
          </w:tcPr>
          <w:p w:rsidR="00FA0EF5" w:rsidRPr="00D2191F" w:rsidRDefault="00FA0EF5" w:rsidP="007530BB">
            <w:pPr>
              <w:rPr>
                <w:sz w:val="20"/>
                <w:lang w:val="es-PY" w:eastAsia="es-PY"/>
              </w:rPr>
            </w:pPr>
            <w:r w:rsidRPr="00FA0EF5">
              <w:rPr>
                <w:sz w:val="20"/>
                <w:lang w:val="es-PY" w:eastAsia="es-PY"/>
              </w:rPr>
              <w:t xml:space="preserve">DC </w:t>
            </w:r>
            <w:r w:rsidR="008C630B" w:rsidRPr="00FA0EF5">
              <w:rPr>
                <w:sz w:val="20"/>
                <w:lang w:val="es-PY" w:eastAsia="es-PY"/>
              </w:rPr>
              <w:t>Ingeniería</w:t>
            </w:r>
            <w:r w:rsidRPr="00FA0EF5">
              <w:rPr>
                <w:sz w:val="20"/>
                <w:lang w:val="es-PY" w:eastAsia="es-PY"/>
              </w:rPr>
              <w:t xml:space="preserve"> S.A.</w:t>
            </w:r>
          </w:p>
        </w:tc>
        <w:tc>
          <w:tcPr>
            <w:tcW w:w="1393" w:type="dxa"/>
            <w:vAlign w:val="center"/>
          </w:tcPr>
          <w:p w:rsidR="00FA0EF5" w:rsidRPr="00D2191F" w:rsidRDefault="00FA0EF5" w:rsidP="00FA0EF5">
            <w:pPr>
              <w:jc w:val="center"/>
              <w:rPr>
                <w:sz w:val="20"/>
                <w:lang w:val="es-PY" w:eastAsia="es-PY"/>
              </w:rPr>
            </w:pPr>
            <w:r w:rsidRPr="00FA0EF5">
              <w:rPr>
                <w:sz w:val="20"/>
                <w:lang w:val="es-PY" w:eastAsia="es-PY"/>
              </w:rPr>
              <w:t>No</w:t>
            </w:r>
          </w:p>
        </w:tc>
        <w:tc>
          <w:tcPr>
            <w:tcW w:w="1397" w:type="dxa"/>
          </w:tcPr>
          <w:p w:rsidR="00FA0EF5" w:rsidRDefault="00FA0EF5" w:rsidP="00FA0EF5">
            <w:pPr>
              <w:jc w:val="center"/>
            </w:pPr>
            <w:r w:rsidRPr="007B155C">
              <w:rPr>
                <w:sz w:val="20"/>
                <w:lang w:val="es-PY" w:eastAsia="es-PY"/>
              </w:rPr>
              <w:t>---</w:t>
            </w:r>
          </w:p>
        </w:tc>
        <w:tc>
          <w:tcPr>
            <w:tcW w:w="2133" w:type="dxa"/>
            <w:vAlign w:val="center"/>
          </w:tcPr>
          <w:p w:rsidR="00FA0EF5" w:rsidRPr="00D2191F" w:rsidRDefault="00FA0EF5" w:rsidP="00FA0EF5">
            <w:pPr>
              <w:jc w:val="right"/>
              <w:rPr>
                <w:sz w:val="20"/>
                <w:lang w:val="es-PY" w:eastAsia="es-PY"/>
              </w:rPr>
            </w:pPr>
            <w:r w:rsidRPr="00FA0EF5">
              <w:rPr>
                <w:sz w:val="20"/>
                <w:lang w:val="es-PY" w:eastAsia="es-PY"/>
              </w:rPr>
              <w:t>14,092,935,042.00 </w:t>
            </w:r>
          </w:p>
        </w:tc>
      </w:tr>
    </w:tbl>
    <w:p w:rsidR="00FA0EF5" w:rsidRPr="00D443D5" w:rsidRDefault="00FA0EF5" w:rsidP="007654A9">
      <w:pPr>
        <w:shd w:val="clear" w:color="auto" w:fill="EEECE1" w:themeFill="background2"/>
        <w:spacing w:before="120" w:after="120"/>
        <w:jc w:val="both"/>
      </w:pPr>
      <w:r w:rsidRPr="00D443D5">
        <w:t xml:space="preserve">Observación: </w:t>
      </w:r>
      <w:r w:rsidR="00D443D5">
        <w:t xml:space="preserve">Se aprecia poca concurrencia de oferentes. </w:t>
      </w:r>
      <w:r w:rsidR="008C630B">
        <w:t>Solo cuatro oferentes para cuatro lotes.</w:t>
      </w:r>
    </w:p>
    <w:p w:rsidR="00FA0EF5" w:rsidRDefault="00FA0EF5" w:rsidP="0008505F">
      <w:pPr>
        <w:numPr>
          <w:ilvl w:val="1"/>
          <w:numId w:val="1"/>
        </w:numPr>
        <w:tabs>
          <w:tab w:val="clear" w:pos="360"/>
          <w:tab w:val="num" w:pos="709"/>
        </w:tabs>
        <w:spacing w:before="240"/>
        <w:ind w:left="709" w:hanging="709"/>
        <w:jc w:val="both"/>
      </w:pPr>
      <w:bookmarkStart w:id="46" w:name="_Ref396288046"/>
      <w:r>
        <w:rPr>
          <w:b/>
        </w:rPr>
        <w:t>El pliego de licitación</w:t>
      </w:r>
      <w:r>
        <w:t xml:space="preserve">. Se revisa el </w:t>
      </w:r>
      <w:r w:rsidR="00D443D5">
        <w:t>documento</w:t>
      </w:r>
      <w:r w:rsidR="00050137">
        <w:t xml:space="preserve"> correspondiente a la Licitación Pública Internacional N° 19/2012 </w:t>
      </w:r>
      <w:r w:rsidR="00050137" w:rsidRPr="00050137">
        <w:rPr>
          <w:i/>
        </w:rPr>
        <w:t xml:space="preserve">Mantenimiento de Caminos Rurales por Niveles de Servicio en Áreas Geográficas de los Departamentos de Guairá (Paquete N° 1), Caaguazú (Paquete N° 2), San Pedro (Paquete N° 3) y Concepción-Amambay </w:t>
      </w:r>
      <w:r w:rsidR="00050137" w:rsidRPr="00050137">
        <w:rPr>
          <w:i/>
        </w:rPr>
        <w:lastRenderedPageBreak/>
        <w:t>(Paquete N° 4)</w:t>
      </w:r>
      <w:r w:rsidR="00050137">
        <w:t xml:space="preserve">, </w:t>
      </w:r>
      <w:r w:rsidR="00D443D5">
        <w:t>a fin de detectar aspectos que pudieron afectar una mayor concurrencia de oferentes</w:t>
      </w:r>
      <w:r>
        <w:t>.</w:t>
      </w:r>
      <w:r w:rsidR="008C630B">
        <w:t xml:space="preserve"> E</w:t>
      </w:r>
      <w:r w:rsidR="0008505F">
        <w:t>n efecto, los montos</w:t>
      </w:r>
      <w:r w:rsidR="008C630B">
        <w:t xml:space="preserve"> de contrato por lotes </w:t>
      </w:r>
      <w:r w:rsidR="0008505F">
        <w:t>se indican a continuación</w:t>
      </w:r>
      <w:r w:rsidR="00050137">
        <w:t xml:space="preserve">, en función </w:t>
      </w:r>
      <w:r w:rsidR="0008505F">
        <w:t>de</w:t>
      </w:r>
      <w:r w:rsidR="00050137">
        <w:t xml:space="preserve"> la estimación indicada en ¶</w:t>
      </w:r>
      <w:r w:rsidR="00050137">
        <w:fldChar w:fldCharType="begin"/>
      </w:r>
      <w:r w:rsidR="00050137">
        <w:instrText xml:space="preserve"> REF _Ref396134873 \r \h </w:instrText>
      </w:r>
      <w:r w:rsidR="00050137">
        <w:fldChar w:fldCharType="separate"/>
      </w:r>
      <w:r w:rsidR="00050137">
        <w:t>9.2</w:t>
      </w:r>
      <w:r w:rsidR="00050137">
        <w:fldChar w:fldCharType="end"/>
      </w:r>
      <w:r w:rsidR="0008505F">
        <w:t>,</w:t>
      </w:r>
      <w:r w:rsidR="00050137">
        <w:t xml:space="preserve"> a la que se agrega Guairá</w:t>
      </w:r>
      <w:r w:rsidR="0008505F">
        <w:rPr>
          <w:rStyle w:val="FootnoteReference"/>
        </w:rPr>
        <w:footnoteReference w:id="8"/>
      </w:r>
      <w:r w:rsidR="00050137">
        <w:t>.</w:t>
      </w:r>
      <w:r w:rsidR="0008505F">
        <w:t xml:space="preserve"> Para la estimación del monto máximo anual de cada contrato se toman los valores correspondientes al mantenimiento inicial </w:t>
      </w:r>
      <w:r w:rsidR="0008505F">
        <w:rPr>
          <w:lang w:val="es-PY"/>
        </w:rPr>
        <w:t>(¶</w:t>
      </w:r>
      <w:r w:rsidR="0008505F">
        <w:fldChar w:fldCharType="begin"/>
      </w:r>
      <w:r w:rsidR="0008505F">
        <w:instrText xml:space="preserve"> REF _Ref396134873 \r \h </w:instrText>
      </w:r>
      <w:r w:rsidR="0008505F">
        <w:fldChar w:fldCharType="separate"/>
      </w:r>
      <w:r w:rsidR="0008505F">
        <w:t>9.2</w:t>
      </w:r>
      <w:r w:rsidR="0008505F">
        <w:fldChar w:fldCharType="end"/>
      </w:r>
      <w:r w:rsidR="0008505F">
        <w:rPr>
          <w:lang w:val="es-PY"/>
        </w:rPr>
        <w:t>);</w:t>
      </w:r>
      <w:r w:rsidR="0008505F" w:rsidRPr="0008505F">
        <w:rPr>
          <w:lang w:val="es-PY"/>
        </w:rPr>
        <w:t xml:space="preserve"> </w:t>
      </w:r>
      <w:r w:rsidR="0008505F">
        <w:rPr>
          <w:lang w:val="es-PY"/>
        </w:rPr>
        <w:t>e</w:t>
      </w:r>
      <w:r w:rsidR="0008505F" w:rsidRPr="0008505F">
        <w:rPr>
          <w:lang w:val="es-PY"/>
        </w:rPr>
        <w:t>l monto correspondiente a Guairá se asume equivalente a Caaguazú</w:t>
      </w:r>
      <w:r w:rsidR="0008505F">
        <w:rPr>
          <w:lang w:val="es-PY"/>
        </w:rPr>
        <w:t>. Para la estimación del anticipo se considera lo estipulado en la cláusula 14.2 de la Sección VIII. Condiciones Especiales del Contrato, del pliego, que indica:</w:t>
      </w:r>
      <w:bookmarkEnd w:id="46"/>
    </w:p>
    <w:p w:rsidR="0008505F" w:rsidRDefault="0008505F" w:rsidP="0008505F">
      <w:pPr>
        <w:spacing w:before="240"/>
        <w:ind w:left="709"/>
        <w:jc w:val="both"/>
      </w:pPr>
    </w:p>
    <w:tbl>
      <w:tblPr>
        <w:tblStyle w:val="TableGrid"/>
        <w:tblW w:w="0" w:type="auto"/>
        <w:tblInd w:w="709" w:type="dxa"/>
        <w:tblLook w:val="04A0" w:firstRow="1" w:lastRow="0" w:firstColumn="1" w:lastColumn="0" w:noHBand="0" w:noVBand="1"/>
      </w:tblPr>
      <w:tblGrid>
        <w:gridCol w:w="8533"/>
      </w:tblGrid>
      <w:tr w:rsidR="0008505F" w:rsidTr="0008505F">
        <w:tc>
          <w:tcPr>
            <w:tcW w:w="9166" w:type="dxa"/>
          </w:tcPr>
          <w:p w:rsidR="0008505F" w:rsidRPr="0008505F" w:rsidRDefault="0008505F" w:rsidP="0008505F">
            <w:pPr>
              <w:spacing w:before="120"/>
              <w:jc w:val="both"/>
              <w:rPr>
                <w:sz w:val="22"/>
                <w:szCs w:val="22"/>
                <w:lang w:val="es-PY"/>
              </w:rPr>
            </w:pPr>
            <w:r w:rsidRPr="0008505F">
              <w:rPr>
                <w:sz w:val="22"/>
                <w:szCs w:val="22"/>
                <w:lang w:val="es-PY"/>
              </w:rPr>
              <w:t>El Contratante pagará al Contratista que lo solicite en concepto de anticipo, un monto según el siguiente detalle:</w:t>
            </w:r>
          </w:p>
          <w:p w:rsidR="0008505F" w:rsidRPr="00AA47DA" w:rsidRDefault="0008505F" w:rsidP="0008505F">
            <w:pPr>
              <w:spacing w:before="120"/>
              <w:jc w:val="both"/>
              <w:rPr>
                <w:sz w:val="22"/>
                <w:szCs w:val="22"/>
                <w:lang w:val="es-PY"/>
              </w:rPr>
            </w:pPr>
            <w:r w:rsidRPr="0008505F">
              <w:rPr>
                <w:sz w:val="22"/>
                <w:szCs w:val="22"/>
                <w:lang w:val="es-PY"/>
              </w:rPr>
              <w:t>Paquete</w:t>
            </w:r>
            <w:r w:rsidR="00AA47DA" w:rsidRPr="00AA47DA">
              <w:rPr>
                <w:sz w:val="22"/>
                <w:szCs w:val="22"/>
                <w:lang w:val="es-PY"/>
              </w:rPr>
              <w:t xml:space="preserve"> 1</w:t>
            </w:r>
            <w:r w:rsidRPr="00AA47DA">
              <w:rPr>
                <w:sz w:val="22"/>
                <w:szCs w:val="22"/>
                <w:lang w:val="es-PY"/>
              </w:rPr>
              <w:t xml:space="preserve"> Guairá: 30% del Monto Total del Mantenimiento Inicial.</w:t>
            </w:r>
          </w:p>
          <w:p w:rsidR="0008505F" w:rsidRPr="00AA47DA" w:rsidRDefault="00AA47DA" w:rsidP="0008505F">
            <w:pPr>
              <w:spacing w:before="120"/>
              <w:jc w:val="both"/>
              <w:rPr>
                <w:sz w:val="22"/>
                <w:szCs w:val="22"/>
                <w:lang w:val="es-PY"/>
              </w:rPr>
            </w:pPr>
            <w:r w:rsidRPr="00AA47DA">
              <w:rPr>
                <w:sz w:val="22"/>
                <w:szCs w:val="22"/>
                <w:lang w:val="es-PY"/>
              </w:rPr>
              <w:t>Paquete 2</w:t>
            </w:r>
            <w:r w:rsidR="0008505F" w:rsidRPr="00AA47DA">
              <w:rPr>
                <w:sz w:val="22"/>
                <w:szCs w:val="22"/>
                <w:lang w:val="es-PY"/>
              </w:rPr>
              <w:t xml:space="preserve"> Caaguazú: 25% del Monto Total del Mantenimiento Inicial.</w:t>
            </w:r>
          </w:p>
          <w:p w:rsidR="0008505F" w:rsidRPr="00AA47DA" w:rsidRDefault="00AA47DA" w:rsidP="0008505F">
            <w:pPr>
              <w:spacing w:before="120"/>
              <w:jc w:val="both"/>
              <w:rPr>
                <w:sz w:val="22"/>
                <w:szCs w:val="22"/>
                <w:lang w:val="es-PY"/>
              </w:rPr>
            </w:pPr>
            <w:r w:rsidRPr="00AA47DA">
              <w:rPr>
                <w:sz w:val="22"/>
                <w:szCs w:val="22"/>
                <w:lang w:val="es-PY"/>
              </w:rPr>
              <w:t>Paquete 3</w:t>
            </w:r>
            <w:r w:rsidR="0008505F" w:rsidRPr="00AA47DA">
              <w:rPr>
                <w:sz w:val="22"/>
                <w:szCs w:val="22"/>
                <w:lang w:val="es-PY"/>
              </w:rPr>
              <w:t xml:space="preserve"> San Pedro: 25% del Monto Total del Mantenimiento Inicial.</w:t>
            </w:r>
          </w:p>
          <w:p w:rsidR="0008505F" w:rsidRPr="0008505F" w:rsidRDefault="0008505F" w:rsidP="0008505F">
            <w:pPr>
              <w:spacing w:before="120"/>
              <w:jc w:val="both"/>
              <w:rPr>
                <w:sz w:val="22"/>
                <w:szCs w:val="22"/>
                <w:lang w:val="es-PY"/>
              </w:rPr>
            </w:pPr>
            <w:r w:rsidRPr="0008505F">
              <w:rPr>
                <w:sz w:val="22"/>
                <w:szCs w:val="22"/>
                <w:lang w:val="es-PY"/>
              </w:rPr>
              <w:t>Paquete 4 Concepción-Amambay: 25% del Monto Total del Mantenimiento Inicial.</w:t>
            </w:r>
          </w:p>
        </w:tc>
      </w:tr>
    </w:tbl>
    <w:p w:rsidR="0008505F" w:rsidRDefault="00AA47DA" w:rsidP="0008505F">
      <w:pPr>
        <w:spacing w:before="240"/>
        <w:ind w:left="709"/>
        <w:jc w:val="both"/>
      </w:pPr>
      <w:r>
        <w:t>En consecuencia, los valores de referencia son los siguientes:</w:t>
      </w:r>
    </w:p>
    <w:p w:rsidR="008C630B" w:rsidRDefault="008C630B" w:rsidP="00D2191F">
      <w:pPr>
        <w:ind w:left="709"/>
        <w:jc w:val="both"/>
        <w:rPr>
          <w:b/>
        </w:rPr>
      </w:pPr>
    </w:p>
    <w:tbl>
      <w:tblPr>
        <w:tblW w:w="8079" w:type="dxa"/>
        <w:tblInd w:w="779" w:type="dxa"/>
        <w:tblCellMar>
          <w:left w:w="70" w:type="dxa"/>
          <w:right w:w="70" w:type="dxa"/>
        </w:tblCellMar>
        <w:tblLook w:val="04A0" w:firstRow="1" w:lastRow="0" w:firstColumn="1" w:lastColumn="0" w:noHBand="0" w:noVBand="1"/>
      </w:tblPr>
      <w:tblGrid>
        <w:gridCol w:w="2410"/>
        <w:gridCol w:w="1276"/>
        <w:gridCol w:w="1417"/>
        <w:gridCol w:w="1559"/>
        <w:gridCol w:w="1417"/>
      </w:tblGrid>
      <w:tr w:rsidR="00AA47DA" w:rsidRPr="00AA47DA" w:rsidTr="00AA47DA">
        <w:tc>
          <w:tcPr>
            <w:tcW w:w="2410" w:type="dxa"/>
            <w:tcBorders>
              <w:top w:val="single" w:sz="4" w:space="0" w:color="auto"/>
              <w:left w:val="single" w:sz="4" w:space="0" w:color="auto"/>
              <w:bottom w:val="nil"/>
              <w:right w:val="single" w:sz="4" w:space="0" w:color="auto"/>
            </w:tcBorders>
            <w:shd w:val="clear" w:color="000000" w:fill="DAEEF3"/>
            <w:vAlign w:val="center"/>
            <w:hideMark/>
          </w:tcPr>
          <w:p w:rsidR="00AA47DA" w:rsidRPr="00AA47DA" w:rsidRDefault="00AA47DA" w:rsidP="00AA47DA">
            <w:pPr>
              <w:rPr>
                <w:b/>
                <w:bCs/>
                <w:color w:val="000000"/>
                <w:sz w:val="20"/>
                <w:lang w:val="es-PY" w:eastAsia="es-PY"/>
              </w:rPr>
            </w:pPr>
            <w:r w:rsidRPr="00AA47DA">
              <w:rPr>
                <w:b/>
                <w:bCs/>
                <w:color w:val="000000"/>
                <w:sz w:val="20"/>
                <w:lang w:val="es-PY" w:eastAsia="es-PY"/>
              </w:rPr>
              <w:t>Área geográfica</w:t>
            </w:r>
          </w:p>
        </w:tc>
        <w:tc>
          <w:tcPr>
            <w:tcW w:w="1276" w:type="dxa"/>
            <w:tcBorders>
              <w:top w:val="single" w:sz="4" w:space="0" w:color="auto"/>
              <w:left w:val="nil"/>
              <w:bottom w:val="nil"/>
              <w:right w:val="single" w:sz="4" w:space="0" w:color="auto"/>
            </w:tcBorders>
            <w:shd w:val="clear" w:color="000000" w:fill="DAEEF3"/>
            <w:vAlign w:val="center"/>
            <w:hideMark/>
          </w:tcPr>
          <w:p w:rsidR="00AA47DA" w:rsidRPr="00AA47DA" w:rsidRDefault="00AA47DA" w:rsidP="00AA47DA">
            <w:pPr>
              <w:jc w:val="center"/>
              <w:rPr>
                <w:b/>
                <w:bCs/>
                <w:color w:val="000000"/>
                <w:sz w:val="20"/>
                <w:lang w:val="es-PY" w:eastAsia="es-PY"/>
              </w:rPr>
            </w:pPr>
            <w:r w:rsidRPr="00AA47DA">
              <w:rPr>
                <w:b/>
                <w:bCs/>
                <w:color w:val="000000"/>
                <w:sz w:val="20"/>
                <w:lang w:val="es-PY" w:eastAsia="es-PY"/>
              </w:rPr>
              <w:t>Extensión (km)</w:t>
            </w:r>
          </w:p>
        </w:tc>
        <w:tc>
          <w:tcPr>
            <w:tcW w:w="1417" w:type="dxa"/>
            <w:tcBorders>
              <w:top w:val="single" w:sz="4" w:space="0" w:color="auto"/>
              <w:left w:val="nil"/>
              <w:bottom w:val="nil"/>
              <w:right w:val="single" w:sz="4" w:space="0" w:color="auto"/>
            </w:tcBorders>
            <w:shd w:val="clear" w:color="000000" w:fill="DAEEF3"/>
            <w:vAlign w:val="center"/>
            <w:hideMark/>
          </w:tcPr>
          <w:p w:rsidR="00AA47DA" w:rsidRDefault="00AA47DA" w:rsidP="00AA47DA">
            <w:pPr>
              <w:jc w:val="center"/>
              <w:rPr>
                <w:b/>
                <w:bCs/>
                <w:color w:val="000000"/>
                <w:sz w:val="20"/>
                <w:lang w:val="es-PY" w:eastAsia="es-PY"/>
              </w:rPr>
            </w:pPr>
            <w:r w:rsidRPr="00AA47DA">
              <w:rPr>
                <w:b/>
                <w:bCs/>
                <w:color w:val="000000"/>
                <w:sz w:val="20"/>
                <w:lang w:val="es-PY" w:eastAsia="es-PY"/>
              </w:rPr>
              <w:t xml:space="preserve">Monto </w:t>
            </w:r>
          </w:p>
          <w:p w:rsidR="00AA47DA" w:rsidRPr="00AA47DA" w:rsidRDefault="00AA47DA" w:rsidP="00AA47DA">
            <w:pPr>
              <w:jc w:val="center"/>
              <w:rPr>
                <w:b/>
                <w:bCs/>
                <w:color w:val="000000"/>
                <w:sz w:val="20"/>
                <w:lang w:val="es-PY" w:eastAsia="es-PY"/>
              </w:rPr>
            </w:pPr>
            <w:r w:rsidRPr="00AA47DA">
              <w:rPr>
                <w:b/>
                <w:bCs/>
                <w:color w:val="000000"/>
                <w:sz w:val="20"/>
                <w:lang w:val="es-PY" w:eastAsia="es-PY"/>
              </w:rPr>
              <w:t>(US$)</w:t>
            </w:r>
          </w:p>
        </w:tc>
        <w:tc>
          <w:tcPr>
            <w:tcW w:w="1559" w:type="dxa"/>
            <w:tcBorders>
              <w:top w:val="single" w:sz="4" w:space="0" w:color="auto"/>
              <w:left w:val="nil"/>
              <w:bottom w:val="nil"/>
              <w:right w:val="single" w:sz="4" w:space="0" w:color="auto"/>
            </w:tcBorders>
            <w:shd w:val="clear" w:color="000000" w:fill="DAEEF3"/>
            <w:vAlign w:val="center"/>
            <w:hideMark/>
          </w:tcPr>
          <w:p w:rsidR="00AA47DA" w:rsidRPr="00AA47DA" w:rsidRDefault="00AA47DA" w:rsidP="00AA47DA">
            <w:pPr>
              <w:jc w:val="center"/>
              <w:rPr>
                <w:b/>
                <w:bCs/>
                <w:color w:val="000000"/>
                <w:sz w:val="20"/>
                <w:lang w:val="es-PY" w:eastAsia="es-PY"/>
              </w:rPr>
            </w:pPr>
            <w:r w:rsidRPr="00AA47DA">
              <w:rPr>
                <w:b/>
                <w:bCs/>
                <w:color w:val="000000"/>
                <w:sz w:val="20"/>
                <w:lang w:val="es-PY" w:eastAsia="es-PY"/>
              </w:rPr>
              <w:t>Máximo Anual (US$)</w:t>
            </w:r>
          </w:p>
        </w:tc>
        <w:tc>
          <w:tcPr>
            <w:tcW w:w="1417" w:type="dxa"/>
            <w:tcBorders>
              <w:top w:val="single" w:sz="4" w:space="0" w:color="auto"/>
              <w:left w:val="nil"/>
              <w:bottom w:val="nil"/>
              <w:right w:val="single" w:sz="4" w:space="0" w:color="auto"/>
            </w:tcBorders>
            <w:shd w:val="clear" w:color="000000" w:fill="DAEEF3"/>
            <w:vAlign w:val="center"/>
            <w:hideMark/>
          </w:tcPr>
          <w:p w:rsidR="00AA47DA" w:rsidRDefault="00AA47DA" w:rsidP="00AA47DA">
            <w:pPr>
              <w:jc w:val="center"/>
              <w:rPr>
                <w:b/>
                <w:bCs/>
                <w:color w:val="000000"/>
                <w:sz w:val="20"/>
                <w:lang w:val="es-PY" w:eastAsia="es-PY"/>
              </w:rPr>
            </w:pPr>
            <w:r w:rsidRPr="00AA47DA">
              <w:rPr>
                <w:b/>
                <w:bCs/>
                <w:color w:val="000000"/>
                <w:sz w:val="20"/>
                <w:lang w:val="es-PY" w:eastAsia="es-PY"/>
              </w:rPr>
              <w:t xml:space="preserve">Anticipo </w:t>
            </w:r>
          </w:p>
          <w:p w:rsidR="00AA47DA" w:rsidRPr="00AA47DA" w:rsidRDefault="00AA47DA" w:rsidP="00AA47DA">
            <w:pPr>
              <w:jc w:val="center"/>
              <w:rPr>
                <w:b/>
                <w:bCs/>
                <w:color w:val="000000"/>
                <w:sz w:val="20"/>
                <w:lang w:val="es-PY" w:eastAsia="es-PY"/>
              </w:rPr>
            </w:pPr>
            <w:r w:rsidRPr="00AA47DA">
              <w:rPr>
                <w:b/>
                <w:bCs/>
                <w:color w:val="000000"/>
                <w:sz w:val="20"/>
                <w:lang w:val="es-PY" w:eastAsia="es-PY"/>
              </w:rPr>
              <w:t>(US$)</w:t>
            </w:r>
          </w:p>
        </w:tc>
      </w:tr>
      <w:tr w:rsidR="00AA47DA" w:rsidRPr="00AA47DA" w:rsidTr="00AA47DA">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Caaguazú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 xml:space="preserve">        356,16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 xml:space="preserve">        4.300.000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 xml:space="preserve">          1.600.000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 xml:space="preserve">           400.000 </w:t>
            </w:r>
          </w:p>
        </w:tc>
      </w:tr>
      <w:tr w:rsidR="00AA47DA" w:rsidRPr="00AA47DA" w:rsidTr="00AA47DA">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San Pedro</w:t>
            </w:r>
          </w:p>
        </w:tc>
        <w:tc>
          <w:tcPr>
            <w:tcW w:w="1276" w:type="dxa"/>
            <w:tcBorders>
              <w:top w:val="nil"/>
              <w:left w:val="nil"/>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 xml:space="preserve">        418,59 </w:t>
            </w:r>
          </w:p>
        </w:tc>
        <w:tc>
          <w:tcPr>
            <w:tcW w:w="1417" w:type="dxa"/>
            <w:tcBorders>
              <w:top w:val="nil"/>
              <w:left w:val="nil"/>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 xml:space="preserve">        3.500.000 </w:t>
            </w:r>
          </w:p>
        </w:tc>
        <w:tc>
          <w:tcPr>
            <w:tcW w:w="1559" w:type="dxa"/>
            <w:tcBorders>
              <w:top w:val="nil"/>
              <w:left w:val="nil"/>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 xml:space="preserve">          1.000.000 </w:t>
            </w:r>
          </w:p>
        </w:tc>
        <w:tc>
          <w:tcPr>
            <w:tcW w:w="1417" w:type="dxa"/>
            <w:tcBorders>
              <w:top w:val="nil"/>
              <w:left w:val="nil"/>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 xml:space="preserve">           250.000 </w:t>
            </w:r>
          </w:p>
        </w:tc>
      </w:tr>
      <w:tr w:rsidR="00AA47DA" w:rsidRPr="00AA47DA" w:rsidTr="00AA47DA">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Concepción - Amambay</w:t>
            </w:r>
          </w:p>
        </w:tc>
        <w:tc>
          <w:tcPr>
            <w:tcW w:w="1276" w:type="dxa"/>
            <w:tcBorders>
              <w:top w:val="nil"/>
              <w:left w:val="nil"/>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 xml:space="preserve">        401,71 </w:t>
            </w:r>
          </w:p>
        </w:tc>
        <w:tc>
          <w:tcPr>
            <w:tcW w:w="1417" w:type="dxa"/>
            <w:tcBorders>
              <w:top w:val="nil"/>
              <w:left w:val="nil"/>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 xml:space="preserve">        3.650.000 </w:t>
            </w:r>
          </w:p>
        </w:tc>
        <w:tc>
          <w:tcPr>
            <w:tcW w:w="1559" w:type="dxa"/>
            <w:tcBorders>
              <w:top w:val="nil"/>
              <w:left w:val="nil"/>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 xml:space="preserve">          1.200.000 </w:t>
            </w:r>
          </w:p>
        </w:tc>
        <w:tc>
          <w:tcPr>
            <w:tcW w:w="1417" w:type="dxa"/>
            <w:tcBorders>
              <w:top w:val="nil"/>
              <w:left w:val="nil"/>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 xml:space="preserve">           300.000 </w:t>
            </w:r>
          </w:p>
        </w:tc>
      </w:tr>
      <w:tr w:rsidR="00AA47DA" w:rsidRPr="00AA47DA" w:rsidTr="00AA47DA">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Guairá</w:t>
            </w:r>
          </w:p>
        </w:tc>
        <w:tc>
          <w:tcPr>
            <w:tcW w:w="1276" w:type="dxa"/>
            <w:tcBorders>
              <w:top w:val="nil"/>
              <w:left w:val="nil"/>
              <w:bottom w:val="nil"/>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 xml:space="preserve">        277,85 </w:t>
            </w:r>
          </w:p>
        </w:tc>
        <w:tc>
          <w:tcPr>
            <w:tcW w:w="1417" w:type="dxa"/>
            <w:tcBorders>
              <w:top w:val="nil"/>
              <w:left w:val="nil"/>
              <w:bottom w:val="nil"/>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 xml:space="preserve">        4.400.000 </w:t>
            </w:r>
          </w:p>
        </w:tc>
        <w:tc>
          <w:tcPr>
            <w:tcW w:w="1559" w:type="dxa"/>
            <w:tcBorders>
              <w:top w:val="nil"/>
              <w:left w:val="nil"/>
              <w:bottom w:val="nil"/>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 xml:space="preserve">          1.600.000 </w:t>
            </w:r>
          </w:p>
        </w:tc>
        <w:tc>
          <w:tcPr>
            <w:tcW w:w="1417" w:type="dxa"/>
            <w:tcBorders>
              <w:top w:val="nil"/>
              <w:left w:val="nil"/>
              <w:bottom w:val="single" w:sz="4" w:space="0" w:color="auto"/>
              <w:right w:val="single" w:sz="4" w:space="0" w:color="auto"/>
            </w:tcBorders>
            <w:shd w:val="clear" w:color="auto" w:fill="auto"/>
            <w:noWrap/>
            <w:vAlign w:val="center"/>
            <w:hideMark/>
          </w:tcPr>
          <w:p w:rsidR="00AA47DA" w:rsidRPr="00AA47DA" w:rsidRDefault="00AA47DA" w:rsidP="00AA47DA">
            <w:pPr>
              <w:rPr>
                <w:color w:val="000000"/>
                <w:sz w:val="20"/>
                <w:lang w:val="es-PY" w:eastAsia="es-PY"/>
              </w:rPr>
            </w:pPr>
            <w:r w:rsidRPr="00AA47DA">
              <w:rPr>
                <w:color w:val="000000"/>
                <w:sz w:val="20"/>
                <w:lang w:val="es-PY" w:eastAsia="es-PY"/>
              </w:rPr>
              <w:t xml:space="preserve">           480.000 </w:t>
            </w:r>
          </w:p>
        </w:tc>
      </w:tr>
      <w:tr w:rsidR="00AA47DA" w:rsidRPr="00AA47DA" w:rsidTr="00AA47DA">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AA47DA" w:rsidRPr="00AA47DA" w:rsidRDefault="00AA47DA" w:rsidP="00AA47DA">
            <w:pPr>
              <w:rPr>
                <w:b/>
                <w:bCs/>
                <w:color w:val="000000"/>
                <w:sz w:val="20"/>
                <w:lang w:val="es-PY" w:eastAsia="es-PY"/>
              </w:rPr>
            </w:pPr>
            <w:r w:rsidRPr="00AA47DA">
              <w:rPr>
                <w:b/>
                <w:bCs/>
                <w:color w:val="000000"/>
                <w:sz w:val="20"/>
                <w:lang w:val="es-PY" w:eastAsia="es-PY"/>
              </w:rPr>
              <w:t>Total</w:t>
            </w:r>
          </w:p>
        </w:tc>
        <w:tc>
          <w:tcPr>
            <w:tcW w:w="1276" w:type="dxa"/>
            <w:tcBorders>
              <w:top w:val="single" w:sz="4" w:space="0" w:color="auto"/>
              <w:left w:val="nil"/>
              <w:bottom w:val="double" w:sz="6" w:space="0" w:color="auto"/>
              <w:right w:val="single" w:sz="4" w:space="0" w:color="auto"/>
            </w:tcBorders>
            <w:shd w:val="clear" w:color="auto" w:fill="auto"/>
            <w:noWrap/>
            <w:vAlign w:val="center"/>
            <w:hideMark/>
          </w:tcPr>
          <w:p w:rsidR="00AA47DA" w:rsidRPr="00AA47DA" w:rsidRDefault="00AA47DA" w:rsidP="00AA47DA">
            <w:pPr>
              <w:rPr>
                <w:b/>
                <w:bCs/>
                <w:color w:val="000000"/>
                <w:sz w:val="20"/>
                <w:lang w:val="es-PY" w:eastAsia="es-PY"/>
              </w:rPr>
            </w:pPr>
            <w:r w:rsidRPr="00AA47DA">
              <w:rPr>
                <w:b/>
                <w:bCs/>
                <w:color w:val="000000"/>
                <w:sz w:val="20"/>
                <w:lang w:val="es-PY" w:eastAsia="es-PY"/>
              </w:rPr>
              <w:t xml:space="preserve">   1.454,31 </w:t>
            </w:r>
          </w:p>
        </w:tc>
        <w:tc>
          <w:tcPr>
            <w:tcW w:w="1417" w:type="dxa"/>
            <w:tcBorders>
              <w:top w:val="single" w:sz="4" w:space="0" w:color="auto"/>
              <w:left w:val="nil"/>
              <w:bottom w:val="double" w:sz="6" w:space="0" w:color="auto"/>
              <w:right w:val="single" w:sz="4" w:space="0" w:color="auto"/>
            </w:tcBorders>
            <w:shd w:val="clear" w:color="auto" w:fill="auto"/>
            <w:noWrap/>
            <w:vAlign w:val="center"/>
            <w:hideMark/>
          </w:tcPr>
          <w:p w:rsidR="00AA47DA" w:rsidRPr="00AA47DA" w:rsidRDefault="00AA47DA" w:rsidP="00AA47DA">
            <w:pPr>
              <w:rPr>
                <w:b/>
                <w:bCs/>
                <w:color w:val="000000"/>
                <w:sz w:val="20"/>
                <w:lang w:val="es-PY" w:eastAsia="es-PY"/>
              </w:rPr>
            </w:pPr>
            <w:r w:rsidRPr="00AA47DA">
              <w:rPr>
                <w:b/>
                <w:bCs/>
                <w:color w:val="000000"/>
                <w:sz w:val="20"/>
                <w:lang w:val="es-PY" w:eastAsia="es-PY"/>
              </w:rPr>
              <w:t xml:space="preserve">   15.850.000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AA47DA" w:rsidRPr="00AA47DA" w:rsidRDefault="00AA47DA" w:rsidP="00AA47DA">
            <w:pPr>
              <w:rPr>
                <w:b/>
                <w:bCs/>
                <w:color w:val="000000"/>
                <w:sz w:val="20"/>
                <w:lang w:val="es-PY" w:eastAsia="es-PY"/>
              </w:rPr>
            </w:pPr>
            <w:r w:rsidRPr="00AA47DA">
              <w:rPr>
                <w:b/>
                <w:bCs/>
                <w:color w:val="000000"/>
                <w:sz w:val="20"/>
                <w:lang w:val="es-PY" w:eastAsia="es-PY"/>
              </w:rPr>
              <w:t> </w:t>
            </w:r>
          </w:p>
        </w:tc>
        <w:tc>
          <w:tcPr>
            <w:tcW w:w="1417" w:type="dxa"/>
            <w:tcBorders>
              <w:top w:val="nil"/>
              <w:left w:val="nil"/>
              <w:bottom w:val="single" w:sz="4" w:space="0" w:color="auto"/>
              <w:right w:val="single" w:sz="4" w:space="0" w:color="auto"/>
            </w:tcBorders>
            <w:shd w:val="clear" w:color="auto" w:fill="auto"/>
            <w:noWrap/>
            <w:vAlign w:val="center"/>
            <w:hideMark/>
          </w:tcPr>
          <w:p w:rsidR="00AA47DA" w:rsidRPr="00AA47DA" w:rsidRDefault="00AA47DA" w:rsidP="00AA47DA">
            <w:pPr>
              <w:rPr>
                <w:b/>
                <w:bCs/>
                <w:color w:val="000000"/>
                <w:sz w:val="20"/>
                <w:lang w:val="es-PY" w:eastAsia="es-PY"/>
              </w:rPr>
            </w:pPr>
            <w:r w:rsidRPr="00AA47DA">
              <w:rPr>
                <w:b/>
                <w:bCs/>
                <w:color w:val="000000"/>
                <w:sz w:val="20"/>
                <w:lang w:val="es-PY" w:eastAsia="es-PY"/>
              </w:rPr>
              <w:t> </w:t>
            </w:r>
          </w:p>
        </w:tc>
      </w:tr>
    </w:tbl>
    <w:p w:rsidR="007530BB" w:rsidRDefault="007530BB" w:rsidP="00050137">
      <w:pPr>
        <w:numPr>
          <w:ilvl w:val="1"/>
          <w:numId w:val="1"/>
        </w:numPr>
        <w:tabs>
          <w:tab w:val="clear" w:pos="360"/>
          <w:tab w:val="num" w:pos="709"/>
        </w:tabs>
        <w:spacing w:before="240"/>
        <w:ind w:left="709" w:hanging="709"/>
        <w:jc w:val="both"/>
      </w:pPr>
      <w:r>
        <w:t xml:space="preserve">En la </w:t>
      </w:r>
      <w:r w:rsidRPr="00EA5072">
        <w:t xml:space="preserve">Sección II. </w:t>
      </w:r>
      <w:r>
        <w:t xml:space="preserve">Datos de la Licitación, se observa </w:t>
      </w:r>
      <w:r w:rsidR="00C350BA">
        <w:t>en F. Criterios de Adjudicación, lo</w:t>
      </w:r>
      <w:r>
        <w:t xml:space="preserve"> siguiente.</w:t>
      </w:r>
    </w:p>
    <w:p w:rsidR="007530BB" w:rsidRDefault="007530BB" w:rsidP="007530BB">
      <w:pPr>
        <w:spacing w:before="240"/>
        <w:ind w:left="709"/>
        <w:jc w:val="both"/>
      </w:pPr>
    </w:p>
    <w:tbl>
      <w:tblPr>
        <w:tblW w:w="921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08"/>
        <w:gridCol w:w="8106"/>
      </w:tblGrid>
      <w:tr w:rsidR="007530BB" w:rsidRPr="00EA5072" w:rsidTr="00C350BA">
        <w:tc>
          <w:tcPr>
            <w:tcW w:w="1108" w:type="dxa"/>
          </w:tcPr>
          <w:p w:rsidR="007530BB" w:rsidRPr="00EA5072" w:rsidRDefault="00C350BA" w:rsidP="007530BB">
            <w:pPr>
              <w:widowControl w:val="0"/>
              <w:rPr>
                <w:sz w:val="22"/>
                <w:szCs w:val="22"/>
              </w:rPr>
            </w:pPr>
            <w:r>
              <w:rPr>
                <w:sz w:val="22"/>
                <w:szCs w:val="22"/>
              </w:rPr>
              <w:t>IAO 38</w:t>
            </w:r>
          </w:p>
        </w:tc>
        <w:tc>
          <w:tcPr>
            <w:tcW w:w="8106" w:type="dxa"/>
          </w:tcPr>
          <w:p w:rsidR="007530BB" w:rsidRDefault="00C350BA" w:rsidP="007530BB">
            <w:pPr>
              <w:rPr>
                <w:sz w:val="22"/>
                <w:szCs w:val="22"/>
              </w:rPr>
            </w:pPr>
            <w:r>
              <w:rPr>
                <w:sz w:val="22"/>
                <w:szCs w:val="22"/>
              </w:rPr>
              <w:t>La adjudicación del contrato se realizará a la empresa que: i) satisfaga sustancialmente los criterios de evaluación y calificación, y ii) cotice el monto total más bajo, que surge de sumar el monto ofertado por el Oferente para “Mantenimiento Inicial”, el “Mantenimiento Rutinario” y las “Facilidades”.</w:t>
            </w:r>
          </w:p>
          <w:p w:rsidR="00C350BA" w:rsidRDefault="00C350BA" w:rsidP="007530BB">
            <w:pPr>
              <w:rPr>
                <w:sz w:val="22"/>
                <w:szCs w:val="22"/>
              </w:rPr>
            </w:pPr>
          </w:p>
          <w:p w:rsidR="00C350BA" w:rsidRDefault="00C350BA" w:rsidP="007530BB">
            <w:pPr>
              <w:rPr>
                <w:sz w:val="22"/>
                <w:szCs w:val="22"/>
              </w:rPr>
            </w:pPr>
            <w:r>
              <w:rPr>
                <w:sz w:val="22"/>
                <w:szCs w:val="22"/>
              </w:rPr>
              <w:t>El Contratante adjudicará el Contrato al Oferente cuya oferta haya sida evaluada como la más baja, o a la que resulte de la combinación de Ofertas más conveniente para el MOPC, aplicando el siguiente criterio: en caso de que un Oferente presentare la Oferta más baja en más obras de mantenimiento las que se pueda adjudicar, se le adjudicará aquella cuya diferencia con la segunda oferta sea mayor.</w:t>
            </w:r>
          </w:p>
          <w:p w:rsidR="00C350BA" w:rsidRDefault="00C350BA" w:rsidP="007530BB">
            <w:pPr>
              <w:rPr>
                <w:sz w:val="22"/>
                <w:szCs w:val="22"/>
              </w:rPr>
            </w:pPr>
          </w:p>
          <w:p w:rsidR="00C350BA" w:rsidRPr="00C350BA" w:rsidRDefault="00C350BA" w:rsidP="007530BB">
            <w:pPr>
              <w:rPr>
                <w:i/>
                <w:sz w:val="22"/>
                <w:szCs w:val="22"/>
              </w:rPr>
            </w:pPr>
            <w:r w:rsidRPr="00C350BA">
              <w:rPr>
                <w:b/>
                <w:i/>
                <w:sz w:val="22"/>
                <w:szCs w:val="22"/>
              </w:rPr>
              <w:t>Un Oferente podrá presentar ofertas para todos los Paquetes; sin embargo solo podrá ser adjudicado, como máximo, en un Paquete, toda vez que esté calificado para el efecto</w:t>
            </w:r>
            <w:r w:rsidRPr="00C350BA">
              <w:rPr>
                <w:i/>
                <w:sz w:val="22"/>
                <w:szCs w:val="22"/>
              </w:rPr>
              <w:t>.</w:t>
            </w:r>
          </w:p>
          <w:p w:rsidR="00C350BA" w:rsidRPr="00C350BA" w:rsidRDefault="00C350BA" w:rsidP="007530BB">
            <w:pPr>
              <w:rPr>
                <w:i/>
                <w:sz w:val="22"/>
                <w:szCs w:val="22"/>
              </w:rPr>
            </w:pPr>
          </w:p>
          <w:p w:rsidR="00C350BA" w:rsidRPr="00EA5072" w:rsidRDefault="00C350BA" w:rsidP="007530BB">
            <w:pPr>
              <w:rPr>
                <w:sz w:val="22"/>
                <w:szCs w:val="22"/>
              </w:rPr>
            </w:pPr>
            <w:r w:rsidRPr="00C350BA">
              <w:rPr>
                <w:i/>
                <w:sz w:val="22"/>
                <w:szCs w:val="22"/>
              </w:rPr>
              <w:t xml:space="preserve">En el caso que el monto total evaluado como más bajo sea significativamente inferior al presupuesto referencial, el Contratante podrá solicitar la presentación de la estrategia de mantenimiento (cronograma con cantidades de obra a realizar) y el desglose de los </w:t>
            </w:r>
            <w:r w:rsidRPr="00C350BA">
              <w:rPr>
                <w:i/>
                <w:sz w:val="22"/>
                <w:szCs w:val="22"/>
              </w:rPr>
              <w:lastRenderedPageBreak/>
              <w:t>precios que justifiquen la oferta. Luego de analizarla la estrategia de mantenimiento y el desglose de precios, el Contratante a su solo juicio podrá desestimar la oferta si la considera inviable.</w:t>
            </w:r>
          </w:p>
        </w:tc>
      </w:tr>
    </w:tbl>
    <w:p w:rsidR="00C350BA" w:rsidRPr="00D443D5" w:rsidRDefault="00C350BA" w:rsidP="007654A9">
      <w:pPr>
        <w:shd w:val="clear" w:color="auto" w:fill="EEECE1" w:themeFill="background2"/>
        <w:spacing w:before="120" w:after="120"/>
        <w:jc w:val="both"/>
      </w:pPr>
      <w:r w:rsidRPr="00D443D5">
        <w:lastRenderedPageBreak/>
        <w:t xml:space="preserve">Observación: </w:t>
      </w:r>
      <w:r>
        <w:t>En el documento de licitación se estableció que solo se adjudicará un solo paquete o lote por oferente.</w:t>
      </w:r>
    </w:p>
    <w:p w:rsidR="00050137" w:rsidRDefault="00EA5072" w:rsidP="00050137">
      <w:pPr>
        <w:numPr>
          <w:ilvl w:val="1"/>
          <w:numId w:val="1"/>
        </w:numPr>
        <w:tabs>
          <w:tab w:val="clear" w:pos="360"/>
          <w:tab w:val="num" w:pos="709"/>
        </w:tabs>
        <w:spacing w:before="240"/>
        <w:ind w:left="709" w:hanging="709"/>
        <w:jc w:val="both"/>
      </w:pPr>
      <w:r>
        <w:t xml:space="preserve">En la </w:t>
      </w:r>
      <w:r w:rsidRPr="00EA5072">
        <w:t xml:space="preserve">Sección III. </w:t>
      </w:r>
      <w:bookmarkStart w:id="47" w:name="_Toc101929323"/>
      <w:bookmarkStart w:id="48" w:name="_Toc101931207"/>
      <w:r w:rsidRPr="00EA5072">
        <w:rPr>
          <w:iCs/>
          <w:lang w:val="es-ES"/>
        </w:rPr>
        <w:t>Criterios de evaluación y calificación</w:t>
      </w:r>
      <w:bookmarkEnd w:id="47"/>
      <w:bookmarkEnd w:id="48"/>
      <w:r>
        <w:rPr>
          <w:iCs/>
          <w:lang w:val="es-ES"/>
        </w:rPr>
        <w:t xml:space="preserve">, del </w:t>
      </w:r>
      <w:r w:rsidR="00AA47DA">
        <w:rPr>
          <w:iCs/>
          <w:lang w:val="es-ES"/>
        </w:rPr>
        <w:t>pliego</w:t>
      </w:r>
      <w:r>
        <w:rPr>
          <w:iCs/>
          <w:lang w:val="es-ES"/>
        </w:rPr>
        <w:t xml:space="preserve"> de licitación utilizado, se analizan los</w:t>
      </w:r>
      <w:r w:rsidR="00050137">
        <w:t xml:space="preserve"> requisitos de calificación más relevantes.</w:t>
      </w:r>
    </w:p>
    <w:p w:rsidR="00EA5072" w:rsidRDefault="00EA5072" w:rsidP="00D2191F">
      <w:pPr>
        <w:ind w:left="709"/>
        <w:jc w:val="both"/>
        <w:rPr>
          <w:b/>
        </w:rPr>
      </w:pPr>
    </w:p>
    <w:tbl>
      <w:tblPr>
        <w:tblW w:w="9191"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08"/>
        <w:gridCol w:w="1839"/>
        <w:gridCol w:w="6244"/>
      </w:tblGrid>
      <w:tr w:rsidR="00EA5072" w:rsidRPr="000C0880" w:rsidTr="00EA5072">
        <w:tc>
          <w:tcPr>
            <w:tcW w:w="1108" w:type="dxa"/>
          </w:tcPr>
          <w:p w:rsidR="00EA5072" w:rsidRPr="00EA5072" w:rsidRDefault="00EA5072" w:rsidP="0001275D">
            <w:pPr>
              <w:widowControl w:val="0"/>
              <w:rPr>
                <w:sz w:val="22"/>
                <w:szCs w:val="22"/>
              </w:rPr>
            </w:pPr>
            <w:r w:rsidRPr="00EA5072">
              <w:rPr>
                <w:sz w:val="22"/>
                <w:szCs w:val="22"/>
              </w:rPr>
              <w:t>2.3.2</w:t>
            </w:r>
          </w:p>
        </w:tc>
        <w:tc>
          <w:tcPr>
            <w:tcW w:w="1839" w:type="dxa"/>
          </w:tcPr>
          <w:p w:rsidR="00EA5072" w:rsidRPr="00EA5072" w:rsidRDefault="00EA5072" w:rsidP="007530BB">
            <w:pPr>
              <w:widowControl w:val="0"/>
              <w:rPr>
                <w:i/>
                <w:sz w:val="22"/>
                <w:szCs w:val="22"/>
              </w:rPr>
            </w:pPr>
            <w:r w:rsidRPr="00EA5072">
              <w:rPr>
                <w:i/>
                <w:sz w:val="22"/>
                <w:szCs w:val="22"/>
              </w:rPr>
              <w:t>Promedio  anual de producción en Obras de Construcción</w:t>
            </w:r>
          </w:p>
        </w:tc>
        <w:tc>
          <w:tcPr>
            <w:tcW w:w="6244" w:type="dxa"/>
          </w:tcPr>
          <w:p w:rsidR="00EA5072" w:rsidRPr="00EA5072" w:rsidRDefault="00EA5072" w:rsidP="00EA5072">
            <w:pPr>
              <w:rPr>
                <w:sz w:val="22"/>
                <w:szCs w:val="22"/>
              </w:rPr>
            </w:pPr>
            <w:r w:rsidRPr="00EA5072">
              <w:rPr>
                <w:sz w:val="22"/>
                <w:szCs w:val="22"/>
              </w:rPr>
              <w:t>Promedio</w:t>
            </w:r>
            <w:r>
              <w:rPr>
                <w:sz w:val="22"/>
                <w:szCs w:val="22"/>
              </w:rPr>
              <w:t xml:space="preserve"> del volumen</w:t>
            </w:r>
            <w:r w:rsidRPr="00EA5072">
              <w:rPr>
                <w:sz w:val="22"/>
                <w:szCs w:val="22"/>
              </w:rPr>
              <w:t xml:space="preserve"> anual de</w:t>
            </w:r>
            <w:r>
              <w:rPr>
                <w:sz w:val="22"/>
                <w:szCs w:val="22"/>
              </w:rPr>
              <w:t xml:space="preserve"> construcción equivalente en Dólares de los Estado Unidos de Norteamérica Tres Millones (USD 3.000.000), calculado sobre la base </w:t>
            </w:r>
            <w:r w:rsidRPr="00EA5072">
              <w:rPr>
                <w:sz w:val="22"/>
                <w:szCs w:val="22"/>
              </w:rPr>
              <w:t xml:space="preserve">del total de pagos </w:t>
            </w:r>
            <w:r>
              <w:rPr>
                <w:sz w:val="22"/>
                <w:szCs w:val="22"/>
              </w:rPr>
              <w:t xml:space="preserve">certificados recibidos </w:t>
            </w:r>
            <w:r w:rsidRPr="00EA5072">
              <w:rPr>
                <w:sz w:val="22"/>
                <w:szCs w:val="22"/>
              </w:rPr>
              <w:t xml:space="preserve">por contratos en proceso o terminados, promedio de los </w:t>
            </w:r>
            <w:r>
              <w:rPr>
                <w:sz w:val="22"/>
                <w:szCs w:val="22"/>
              </w:rPr>
              <w:t xml:space="preserve">mejores 5 (cinco) años de los </w:t>
            </w:r>
            <w:r w:rsidRPr="00EA5072">
              <w:rPr>
                <w:sz w:val="22"/>
                <w:szCs w:val="22"/>
              </w:rPr>
              <w:t>últimos</w:t>
            </w:r>
            <w:r>
              <w:rPr>
                <w:sz w:val="22"/>
                <w:szCs w:val="22"/>
              </w:rPr>
              <w:t xml:space="preserve"> 10 (diez) </w:t>
            </w:r>
            <w:r w:rsidRPr="00EA5072">
              <w:rPr>
                <w:sz w:val="22"/>
                <w:szCs w:val="22"/>
              </w:rPr>
              <w:t>años.</w:t>
            </w:r>
          </w:p>
        </w:tc>
      </w:tr>
    </w:tbl>
    <w:p w:rsidR="008C630B" w:rsidRDefault="008C630B" w:rsidP="00D2191F">
      <w:pPr>
        <w:ind w:left="709"/>
        <w:jc w:val="both"/>
        <w:rPr>
          <w:b/>
        </w:rPr>
      </w:pPr>
    </w:p>
    <w:tbl>
      <w:tblPr>
        <w:tblW w:w="921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34"/>
        <w:gridCol w:w="1843"/>
        <w:gridCol w:w="6237"/>
      </w:tblGrid>
      <w:tr w:rsidR="00AA47DA" w:rsidRPr="00AA47DA" w:rsidTr="00AA47DA">
        <w:tc>
          <w:tcPr>
            <w:tcW w:w="1134" w:type="dxa"/>
          </w:tcPr>
          <w:p w:rsidR="00AA47DA" w:rsidRPr="00AA47DA" w:rsidRDefault="00AA47DA" w:rsidP="0001275D">
            <w:pPr>
              <w:widowControl w:val="0"/>
              <w:rPr>
                <w:sz w:val="22"/>
                <w:szCs w:val="22"/>
              </w:rPr>
            </w:pPr>
            <w:r w:rsidRPr="00AA47DA">
              <w:rPr>
                <w:sz w:val="22"/>
                <w:szCs w:val="22"/>
              </w:rPr>
              <w:t>2.3.3</w:t>
            </w:r>
          </w:p>
        </w:tc>
        <w:tc>
          <w:tcPr>
            <w:tcW w:w="1843" w:type="dxa"/>
          </w:tcPr>
          <w:p w:rsidR="00AA47DA" w:rsidRPr="00AA47DA" w:rsidRDefault="00AA47DA" w:rsidP="007530BB">
            <w:pPr>
              <w:widowControl w:val="0"/>
              <w:rPr>
                <w:i/>
                <w:sz w:val="22"/>
                <w:szCs w:val="22"/>
              </w:rPr>
            </w:pPr>
            <w:r w:rsidRPr="00AA47DA">
              <w:rPr>
                <w:i/>
                <w:sz w:val="22"/>
                <w:szCs w:val="22"/>
              </w:rPr>
              <w:t xml:space="preserve">Recursos Financieros </w:t>
            </w:r>
          </w:p>
        </w:tc>
        <w:tc>
          <w:tcPr>
            <w:tcW w:w="6237" w:type="dxa"/>
          </w:tcPr>
          <w:p w:rsidR="006D573C" w:rsidRDefault="00AA47DA" w:rsidP="007530BB">
            <w:pPr>
              <w:widowControl w:val="0"/>
              <w:rPr>
                <w:sz w:val="22"/>
                <w:szCs w:val="22"/>
                <w:lang w:val="es-ES"/>
              </w:rPr>
            </w:pPr>
            <w:r w:rsidRPr="00AA47DA">
              <w:rPr>
                <w:sz w:val="22"/>
                <w:szCs w:val="22"/>
                <w:lang w:val="es-ES"/>
              </w:rPr>
              <w:t>El Oferente deberá demostrar</w:t>
            </w:r>
            <w:r w:rsidR="006D573C">
              <w:rPr>
                <w:sz w:val="22"/>
                <w:szCs w:val="22"/>
                <w:lang w:val="es-ES"/>
              </w:rPr>
              <w:t xml:space="preserve">, basado en el último Balance General, una disponibilidad calculada como el monto obtenido de la diferencia entre el Activo Corriente menos el Pasivo Corriente, de Dólares de los Estados Unidos de Norteamérica </w:t>
            </w:r>
            <w:r w:rsidR="006D573C" w:rsidRPr="000A72B2">
              <w:rPr>
                <w:b/>
                <w:sz w:val="22"/>
                <w:szCs w:val="22"/>
                <w:lang w:val="es-ES"/>
              </w:rPr>
              <w:t>Un millón (USD 1.000.000)</w:t>
            </w:r>
            <w:r w:rsidR="006D573C">
              <w:rPr>
                <w:sz w:val="22"/>
                <w:szCs w:val="22"/>
                <w:lang w:val="es-ES"/>
              </w:rPr>
              <w:t>. Esta disponibilidad podrá ser complementada con un certificado bancario que demuestre que la empresa tiene acceso a una línea de crédito y que en el caso de ser adjudicada la misma podrá disponer de dicha línea.</w:t>
            </w:r>
          </w:p>
          <w:p w:rsidR="006D573C" w:rsidRDefault="006D573C" w:rsidP="007530BB">
            <w:pPr>
              <w:widowControl w:val="0"/>
              <w:rPr>
                <w:sz w:val="22"/>
                <w:szCs w:val="22"/>
                <w:lang w:val="es-ES"/>
              </w:rPr>
            </w:pPr>
            <w:r>
              <w:rPr>
                <w:sz w:val="22"/>
                <w:szCs w:val="22"/>
                <w:lang w:val="es-ES"/>
              </w:rPr>
              <w:t>Para los efectos de la evaluación, el Tipo de Cambio a ser utilizado es el de referencia emitido por el Departamento de Operaciones de Mercado Abierto. División Operaciones del Banco Central del Paraguay (</w:t>
            </w:r>
            <w:hyperlink r:id="rId57" w:history="1">
              <w:r w:rsidRPr="000A1CEB">
                <w:rPr>
                  <w:rStyle w:val="Hyperlink"/>
                  <w:sz w:val="22"/>
                  <w:szCs w:val="22"/>
                  <w:lang w:val="es-ES"/>
                </w:rPr>
                <w:t>www.bcp.gov.py</w:t>
              </w:r>
            </w:hyperlink>
            <w:r>
              <w:rPr>
                <w:sz w:val="22"/>
                <w:szCs w:val="22"/>
                <w:lang w:val="es-ES"/>
              </w:rPr>
              <w:t>) a la fecha del cierre del último ejercicio fenecido (31 de diciembre).</w:t>
            </w:r>
          </w:p>
          <w:p w:rsidR="00AA47DA" w:rsidRPr="00AA47DA" w:rsidRDefault="00AA47DA" w:rsidP="007530BB">
            <w:pPr>
              <w:rPr>
                <w:sz w:val="22"/>
                <w:szCs w:val="22"/>
              </w:rPr>
            </w:pPr>
          </w:p>
        </w:tc>
      </w:tr>
    </w:tbl>
    <w:p w:rsidR="000A72B2" w:rsidRPr="00D443D5" w:rsidRDefault="000A72B2" w:rsidP="007654A9">
      <w:pPr>
        <w:shd w:val="clear" w:color="auto" w:fill="EEECE1" w:themeFill="background2"/>
        <w:spacing w:before="120" w:after="120"/>
        <w:jc w:val="both"/>
      </w:pPr>
      <w:r w:rsidRPr="00D443D5">
        <w:t xml:space="preserve">Observación: </w:t>
      </w:r>
      <w:r>
        <w:t>Este requisito debe ser consistente con el capital de trabajo requerido para el contrato, el cual se financia mayormente con el anticipo recibido. Considerando los montos estimados para el anticipo en ¶</w:t>
      </w:r>
      <w:r>
        <w:fldChar w:fldCharType="begin"/>
      </w:r>
      <w:r>
        <w:instrText xml:space="preserve"> REF _Ref396288046 \r \h </w:instrText>
      </w:r>
      <w:r w:rsidR="007654A9">
        <w:instrText xml:space="preserve"> \* MERGEFORMAT </w:instrText>
      </w:r>
      <w:r>
        <w:fldChar w:fldCharType="separate"/>
      </w:r>
      <w:r>
        <w:t>9.4</w:t>
      </w:r>
      <w:r>
        <w:fldChar w:fldCharType="end"/>
      </w:r>
      <w:r>
        <w:t>, se aprecia que el requisito mínimo de un millón de USD es por lo menos el doble</w:t>
      </w:r>
      <w:r w:rsidR="007654A9">
        <w:t xml:space="preserve"> y hasta el cuádruple para el caso de San Pedro</w:t>
      </w:r>
      <w:r>
        <w:t>.</w:t>
      </w:r>
    </w:p>
    <w:p w:rsidR="000A72B2" w:rsidRDefault="000A72B2" w:rsidP="009E27E1">
      <w:pPr>
        <w:spacing w:before="240"/>
        <w:ind w:left="709"/>
        <w:jc w:val="both"/>
        <w:rPr>
          <w:b/>
        </w:rPr>
      </w:pPr>
    </w:p>
    <w:tbl>
      <w:tblPr>
        <w:tblW w:w="921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34"/>
        <w:gridCol w:w="1839"/>
        <w:gridCol w:w="6241"/>
      </w:tblGrid>
      <w:tr w:rsidR="0001275D" w:rsidRPr="000C0880" w:rsidTr="0001275D">
        <w:tc>
          <w:tcPr>
            <w:tcW w:w="1134" w:type="dxa"/>
          </w:tcPr>
          <w:p w:rsidR="0001275D" w:rsidRPr="0001275D" w:rsidRDefault="0001275D" w:rsidP="0001275D">
            <w:pPr>
              <w:widowControl w:val="0"/>
              <w:rPr>
                <w:sz w:val="22"/>
                <w:szCs w:val="22"/>
              </w:rPr>
            </w:pPr>
            <w:r w:rsidRPr="0001275D">
              <w:rPr>
                <w:sz w:val="22"/>
                <w:szCs w:val="22"/>
              </w:rPr>
              <w:t>2.4.2</w:t>
            </w:r>
            <w:r>
              <w:rPr>
                <w:sz w:val="22"/>
                <w:szCs w:val="22"/>
              </w:rPr>
              <w:t xml:space="preserve"> </w:t>
            </w:r>
            <w:r w:rsidRPr="0001275D">
              <w:rPr>
                <w:sz w:val="22"/>
                <w:szCs w:val="22"/>
              </w:rPr>
              <w:t>(a)</w:t>
            </w:r>
          </w:p>
        </w:tc>
        <w:tc>
          <w:tcPr>
            <w:tcW w:w="1839" w:type="dxa"/>
          </w:tcPr>
          <w:p w:rsidR="0001275D" w:rsidRPr="0001275D" w:rsidRDefault="0001275D" w:rsidP="00C350BA">
            <w:pPr>
              <w:widowControl w:val="0"/>
              <w:rPr>
                <w:i/>
                <w:sz w:val="22"/>
                <w:szCs w:val="22"/>
              </w:rPr>
            </w:pPr>
            <w:r w:rsidRPr="0001275D">
              <w:rPr>
                <w:i/>
                <w:sz w:val="22"/>
                <w:szCs w:val="22"/>
              </w:rPr>
              <w:t>Experiencia específica en Construcción</w:t>
            </w:r>
          </w:p>
        </w:tc>
        <w:tc>
          <w:tcPr>
            <w:tcW w:w="6241" w:type="dxa"/>
          </w:tcPr>
          <w:p w:rsidR="00B94E8F" w:rsidRDefault="0001275D" w:rsidP="00B94E8F">
            <w:pPr>
              <w:rPr>
                <w:sz w:val="22"/>
                <w:szCs w:val="22"/>
              </w:rPr>
            </w:pPr>
            <w:r w:rsidRPr="0001275D">
              <w:rPr>
                <w:sz w:val="22"/>
                <w:szCs w:val="22"/>
              </w:rPr>
              <w:t xml:space="preserve">Participación como Contratista principal, Contratista  administrador o Subcontratista  en por lo menos </w:t>
            </w:r>
            <w:r w:rsidRPr="0001275D">
              <w:rPr>
                <w:b/>
                <w:sz w:val="22"/>
                <w:szCs w:val="22"/>
              </w:rPr>
              <w:t>1 (un)</w:t>
            </w:r>
            <w:r w:rsidRPr="0001275D">
              <w:rPr>
                <w:sz w:val="22"/>
                <w:szCs w:val="22"/>
              </w:rPr>
              <w:t xml:space="preserve"> contrato </w:t>
            </w:r>
            <w:r w:rsidR="00B94E8F">
              <w:rPr>
                <w:sz w:val="22"/>
                <w:szCs w:val="22"/>
              </w:rPr>
              <w:t xml:space="preserve">de características similares a la obra propuesta </w:t>
            </w:r>
            <w:r w:rsidRPr="0001275D">
              <w:rPr>
                <w:sz w:val="22"/>
                <w:szCs w:val="22"/>
              </w:rPr>
              <w:t xml:space="preserve">en los últimos </w:t>
            </w:r>
            <w:r w:rsidRPr="0001275D">
              <w:rPr>
                <w:b/>
                <w:sz w:val="22"/>
                <w:szCs w:val="22"/>
              </w:rPr>
              <w:t>10 (diez) años</w:t>
            </w:r>
            <w:r w:rsidRPr="0001275D">
              <w:rPr>
                <w:sz w:val="22"/>
                <w:szCs w:val="22"/>
              </w:rPr>
              <w:t xml:space="preserve">, </w:t>
            </w:r>
            <w:r w:rsidR="00C350BA">
              <w:rPr>
                <w:sz w:val="22"/>
                <w:szCs w:val="22"/>
              </w:rPr>
              <w:t xml:space="preserve">con </w:t>
            </w:r>
            <w:r w:rsidR="00B94E8F">
              <w:rPr>
                <w:sz w:val="22"/>
                <w:szCs w:val="22"/>
              </w:rPr>
              <w:t xml:space="preserve">un </w:t>
            </w:r>
            <w:r w:rsidR="00C350BA">
              <w:rPr>
                <w:sz w:val="22"/>
                <w:szCs w:val="22"/>
              </w:rPr>
              <w:t>valor</w:t>
            </w:r>
            <w:r w:rsidR="00B94E8F">
              <w:rPr>
                <w:sz w:val="22"/>
                <w:szCs w:val="22"/>
              </w:rPr>
              <w:t xml:space="preserve"> mínimo de </w:t>
            </w:r>
            <w:r w:rsidRPr="0001275D">
              <w:rPr>
                <w:sz w:val="22"/>
                <w:szCs w:val="22"/>
              </w:rPr>
              <w:t xml:space="preserve">Dólares </w:t>
            </w:r>
            <w:r w:rsidR="00B94E8F">
              <w:rPr>
                <w:sz w:val="22"/>
                <w:szCs w:val="22"/>
              </w:rPr>
              <w:t>de los Estados Unidos de América de:</w:t>
            </w:r>
          </w:p>
          <w:p w:rsidR="00B94E8F" w:rsidRDefault="00B94E8F" w:rsidP="00B94E8F">
            <w:pPr>
              <w:rPr>
                <w:sz w:val="22"/>
                <w:szCs w:val="22"/>
              </w:rPr>
            </w:pPr>
          </w:p>
          <w:p w:rsidR="00B94E8F" w:rsidRDefault="00B94E8F" w:rsidP="00B94E8F">
            <w:pPr>
              <w:rPr>
                <w:sz w:val="22"/>
                <w:szCs w:val="22"/>
              </w:rPr>
            </w:pPr>
            <w:r>
              <w:rPr>
                <w:sz w:val="22"/>
                <w:szCs w:val="22"/>
              </w:rPr>
              <w:t xml:space="preserve">Paquete N° 1, Mantenimiento de Caminos Rurales por Niveles de Servicio en el Dpto. de Guairá: </w:t>
            </w:r>
            <w:r>
              <w:rPr>
                <w:b/>
                <w:sz w:val="22"/>
                <w:szCs w:val="22"/>
              </w:rPr>
              <w:t>Un Millón Quinientos Mil</w:t>
            </w:r>
            <w:r w:rsidR="0001275D" w:rsidRPr="0001275D">
              <w:rPr>
                <w:b/>
                <w:sz w:val="22"/>
                <w:szCs w:val="22"/>
              </w:rPr>
              <w:t xml:space="preserve"> (USD </w:t>
            </w:r>
            <w:r>
              <w:rPr>
                <w:b/>
                <w:sz w:val="22"/>
                <w:szCs w:val="22"/>
              </w:rPr>
              <w:t>1.500.000</w:t>
            </w:r>
            <w:r w:rsidR="0001275D" w:rsidRPr="0001275D">
              <w:rPr>
                <w:b/>
                <w:sz w:val="22"/>
                <w:szCs w:val="22"/>
              </w:rPr>
              <w:t>)</w:t>
            </w:r>
            <w:r>
              <w:rPr>
                <w:sz w:val="22"/>
                <w:szCs w:val="22"/>
              </w:rPr>
              <w:t>.</w:t>
            </w:r>
          </w:p>
          <w:p w:rsidR="00B94E8F" w:rsidRDefault="00B94E8F" w:rsidP="00B94E8F">
            <w:pPr>
              <w:rPr>
                <w:sz w:val="22"/>
                <w:szCs w:val="22"/>
              </w:rPr>
            </w:pPr>
          </w:p>
          <w:p w:rsidR="00B94E8F" w:rsidRDefault="00B94E8F" w:rsidP="00B94E8F">
            <w:pPr>
              <w:rPr>
                <w:sz w:val="22"/>
                <w:szCs w:val="22"/>
              </w:rPr>
            </w:pPr>
            <w:r>
              <w:rPr>
                <w:sz w:val="22"/>
                <w:szCs w:val="22"/>
              </w:rPr>
              <w:t xml:space="preserve">Paquete N° 2, Mantenimiento de Caminos Rurales por Niveles de Servicio en el Dpto. de Caaguazú: </w:t>
            </w:r>
            <w:r>
              <w:rPr>
                <w:b/>
                <w:sz w:val="22"/>
                <w:szCs w:val="22"/>
              </w:rPr>
              <w:t>Un Millón Quinientos Mil</w:t>
            </w:r>
            <w:r w:rsidRPr="0001275D">
              <w:rPr>
                <w:b/>
                <w:sz w:val="22"/>
                <w:szCs w:val="22"/>
              </w:rPr>
              <w:t xml:space="preserve"> (USD </w:t>
            </w:r>
            <w:r>
              <w:rPr>
                <w:b/>
                <w:sz w:val="22"/>
                <w:szCs w:val="22"/>
              </w:rPr>
              <w:t>1.500.000</w:t>
            </w:r>
            <w:r w:rsidRPr="0001275D">
              <w:rPr>
                <w:b/>
                <w:sz w:val="22"/>
                <w:szCs w:val="22"/>
              </w:rPr>
              <w:t>)</w:t>
            </w:r>
            <w:r>
              <w:rPr>
                <w:sz w:val="22"/>
                <w:szCs w:val="22"/>
              </w:rPr>
              <w:t>.</w:t>
            </w:r>
          </w:p>
          <w:p w:rsidR="00B94E8F" w:rsidRDefault="00B94E8F" w:rsidP="00B94E8F">
            <w:pPr>
              <w:rPr>
                <w:sz w:val="22"/>
                <w:szCs w:val="22"/>
              </w:rPr>
            </w:pPr>
          </w:p>
          <w:p w:rsidR="00B94E8F" w:rsidRDefault="00B94E8F" w:rsidP="00B94E8F">
            <w:pPr>
              <w:rPr>
                <w:sz w:val="22"/>
                <w:szCs w:val="22"/>
              </w:rPr>
            </w:pPr>
            <w:r>
              <w:rPr>
                <w:sz w:val="22"/>
                <w:szCs w:val="22"/>
              </w:rPr>
              <w:t xml:space="preserve">Paquete N° 3, Mantenimiento de Caminos Rurales por Niveles de Servicio en el Dpto. de San Pedro: </w:t>
            </w:r>
            <w:r>
              <w:rPr>
                <w:b/>
                <w:sz w:val="22"/>
                <w:szCs w:val="22"/>
              </w:rPr>
              <w:t>Un Millón Quinientos Mil</w:t>
            </w:r>
            <w:r w:rsidRPr="0001275D">
              <w:rPr>
                <w:b/>
                <w:sz w:val="22"/>
                <w:szCs w:val="22"/>
              </w:rPr>
              <w:t xml:space="preserve"> (USD </w:t>
            </w:r>
            <w:r>
              <w:rPr>
                <w:b/>
                <w:sz w:val="22"/>
                <w:szCs w:val="22"/>
              </w:rPr>
              <w:t>1.500.000</w:t>
            </w:r>
            <w:r w:rsidRPr="0001275D">
              <w:rPr>
                <w:b/>
                <w:sz w:val="22"/>
                <w:szCs w:val="22"/>
              </w:rPr>
              <w:t>)</w:t>
            </w:r>
            <w:r>
              <w:rPr>
                <w:sz w:val="22"/>
                <w:szCs w:val="22"/>
              </w:rPr>
              <w:t>.</w:t>
            </w:r>
          </w:p>
          <w:p w:rsidR="00B94E8F" w:rsidRDefault="00B94E8F" w:rsidP="00B94E8F">
            <w:pPr>
              <w:rPr>
                <w:sz w:val="22"/>
                <w:szCs w:val="22"/>
              </w:rPr>
            </w:pPr>
          </w:p>
          <w:p w:rsidR="00B94E8F" w:rsidRDefault="00B94E8F" w:rsidP="00B94E8F">
            <w:pPr>
              <w:rPr>
                <w:sz w:val="22"/>
                <w:szCs w:val="22"/>
              </w:rPr>
            </w:pPr>
            <w:r>
              <w:rPr>
                <w:sz w:val="22"/>
                <w:szCs w:val="22"/>
              </w:rPr>
              <w:t xml:space="preserve">Paquete N° 4, Mantenimiento de Caminos Rurales por Niveles de </w:t>
            </w:r>
            <w:r>
              <w:rPr>
                <w:sz w:val="22"/>
                <w:szCs w:val="22"/>
              </w:rPr>
              <w:lastRenderedPageBreak/>
              <w:t xml:space="preserve">Servicio en los Dptos. </w:t>
            </w:r>
            <w:proofErr w:type="gramStart"/>
            <w:r>
              <w:rPr>
                <w:sz w:val="22"/>
                <w:szCs w:val="22"/>
              </w:rPr>
              <w:t>de</w:t>
            </w:r>
            <w:proofErr w:type="gramEnd"/>
            <w:r>
              <w:rPr>
                <w:sz w:val="22"/>
                <w:szCs w:val="22"/>
              </w:rPr>
              <w:t xml:space="preserve"> Concepción y Amambay: </w:t>
            </w:r>
            <w:r>
              <w:rPr>
                <w:b/>
                <w:sz w:val="22"/>
                <w:szCs w:val="22"/>
              </w:rPr>
              <w:t>Un Millón Quinientos Mil</w:t>
            </w:r>
            <w:r w:rsidRPr="0001275D">
              <w:rPr>
                <w:b/>
                <w:sz w:val="22"/>
                <w:szCs w:val="22"/>
              </w:rPr>
              <w:t xml:space="preserve"> (USD </w:t>
            </w:r>
            <w:r>
              <w:rPr>
                <w:b/>
                <w:sz w:val="22"/>
                <w:szCs w:val="22"/>
              </w:rPr>
              <w:t>1.500.000</w:t>
            </w:r>
            <w:r w:rsidRPr="0001275D">
              <w:rPr>
                <w:b/>
                <w:sz w:val="22"/>
                <w:szCs w:val="22"/>
              </w:rPr>
              <w:t>)</w:t>
            </w:r>
            <w:r>
              <w:rPr>
                <w:sz w:val="22"/>
                <w:szCs w:val="22"/>
              </w:rPr>
              <w:t>.</w:t>
            </w:r>
          </w:p>
          <w:p w:rsidR="00B94E8F" w:rsidRDefault="00B94E8F" w:rsidP="00B94E8F">
            <w:pPr>
              <w:rPr>
                <w:sz w:val="22"/>
                <w:szCs w:val="22"/>
              </w:rPr>
            </w:pPr>
          </w:p>
          <w:p w:rsidR="0001275D" w:rsidRDefault="0001275D" w:rsidP="00B94E8F">
            <w:pPr>
              <w:rPr>
                <w:sz w:val="22"/>
                <w:szCs w:val="22"/>
              </w:rPr>
            </w:pPr>
            <w:proofErr w:type="gramStart"/>
            <w:r w:rsidRPr="0001275D">
              <w:rPr>
                <w:sz w:val="22"/>
                <w:szCs w:val="22"/>
              </w:rPr>
              <w:t>el</w:t>
            </w:r>
            <w:proofErr w:type="gramEnd"/>
            <w:r w:rsidRPr="0001275D">
              <w:rPr>
                <w:sz w:val="22"/>
                <w:szCs w:val="22"/>
              </w:rPr>
              <w:t xml:space="preserve"> cual ha sido completado satisfactoria y sustancialmente.</w:t>
            </w:r>
          </w:p>
          <w:p w:rsidR="00B94E8F" w:rsidRDefault="00B94E8F" w:rsidP="00B94E8F">
            <w:pPr>
              <w:rPr>
                <w:sz w:val="22"/>
                <w:szCs w:val="22"/>
              </w:rPr>
            </w:pPr>
          </w:p>
          <w:p w:rsidR="00B94E8F" w:rsidRPr="0001275D" w:rsidRDefault="00B94E8F" w:rsidP="00B94E8F">
            <w:pPr>
              <w:rPr>
                <w:sz w:val="22"/>
                <w:szCs w:val="22"/>
              </w:rPr>
            </w:pPr>
            <w:r>
              <w:rPr>
                <w:sz w:val="22"/>
                <w:szCs w:val="22"/>
              </w:rPr>
              <w:t>Se entiende por obra similar a una obra de Pavimentación, rehabilitación y/o mantenimiento de caminos rurales o de características superiores.</w:t>
            </w:r>
          </w:p>
        </w:tc>
      </w:tr>
    </w:tbl>
    <w:p w:rsidR="007654A9" w:rsidRPr="00D443D5" w:rsidRDefault="007654A9" w:rsidP="007654A9">
      <w:pPr>
        <w:shd w:val="clear" w:color="auto" w:fill="EEECE1" w:themeFill="background2"/>
        <w:spacing w:before="120" w:after="120"/>
        <w:jc w:val="both"/>
      </w:pPr>
      <w:r w:rsidRPr="00D443D5">
        <w:lastRenderedPageBreak/>
        <w:t xml:space="preserve">Observación: </w:t>
      </w:r>
      <w:r>
        <w:t>Los montos mínimos establecidos son consistentes con los montos estimados para el máximo anual o mantenimiento inicial.</w:t>
      </w:r>
    </w:p>
    <w:p w:rsidR="00B94E8F" w:rsidRDefault="00B94E8F" w:rsidP="009E27E1">
      <w:pPr>
        <w:spacing w:before="240"/>
        <w:ind w:left="709"/>
        <w:jc w:val="both"/>
      </w:pPr>
    </w:p>
    <w:tbl>
      <w:tblPr>
        <w:tblW w:w="921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34"/>
        <w:gridCol w:w="1843"/>
        <w:gridCol w:w="6237"/>
      </w:tblGrid>
      <w:tr w:rsidR="0001275D" w:rsidRPr="0001275D" w:rsidTr="0001275D">
        <w:tc>
          <w:tcPr>
            <w:tcW w:w="1134" w:type="dxa"/>
          </w:tcPr>
          <w:p w:rsidR="0001275D" w:rsidRPr="0001275D" w:rsidRDefault="0001275D" w:rsidP="0001275D">
            <w:pPr>
              <w:widowControl w:val="0"/>
              <w:rPr>
                <w:sz w:val="22"/>
                <w:szCs w:val="22"/>
              </w:rPr>
            </w:pPr>
            <w:r w:rsidRPr="0001275D">
              <w:rPr>
                <w:sz w:val="22"/>
                <w:szCs w:val="22"/>
              </w:rPr>
              <w:t>2.4.2</w:t>
            </w:r>
            <w:r>
              <w:rPr>
                <w:sz w:val="22"/>
                <w:szCs w:val="22"/>
              </w:rPr>
              <w:t xml:space="preserve"> </w:t>
            </w:r>
            <w:r w:rsidRPr="0001275D">
              <w:rPr>
                <w:sz w:val="22"/>
                <w:szCs w:val="22"/>
              </w:rPr>
              <w:t>(b)</w:t>
            </w:r>
          </w:p>
        </w:tc>
        <w:tc>
          <w:tcPr>
            <w:tcW w:w="1843" w:type="dxa"/>
          </w:tcPr>
          <w:p w:rsidR="0001275D" w:rsidRPr="0001275D" w:rsidRDefault="0001275D" w:rsidP="007530BB">
            <w:pPr>
              <w:widowControl w:val="0"/>
              <w:rPr>
                <w:sz w:val="22"/>
                <w:szCs w:val="22"/>
              </w:rPr>
            </w:pPr>
          </w:p>
        </w:tc>
        <w:tc>
          <w:tcPr>
            <w:tcW w:w="6237" w:type="dxa"/>
          </w:tcPr>
          <w:p w:rsidR="0001275D" w:rsidRPr="0001275D" w:rsidRDefault="0001275D" w:rsidP="007530BB">
            <w:pPr>
              <w:widowControl w:val="0"/>
              <w:rPr>
                <w:sz w:val="22"/>
                <w:szCs w:val="22"/>
              </w:rPr>
            </w:pPr>
            <w:r w:rsidRPr="0001275D">
              <w:rPr>
                <w:sz w:val="22"/>
                <w:szCs w:val="22"/>
              </w:rPr>
              <w:t xml:space="preserve">Para los contratos enumerados anteriormente y </w:t>
            </w:r>
            <w:r w:rsidR="00B94E8F">
              <w:rPr>
                <w:sz w:val="22"/>
                <w:szCs w:val="22"/>
              </w:rPr>
              <w:t>los</w:t>
            </w:r>
            <w:r w:rsidRPr="0001275D">
              <w:rPr>
                <w:sz w:val="22"/>
                <w:szCs w:val="22"/>
              </w:rPr>
              <w:t xml:space="preserve"> ejecutados en el período estipulado en la Cláusula 2.4.2(a) anterior, experiencia mínima en construcción en los siguientes componentes </w:t>
            </w:r>
            <w:r w:rsidR="00B94E8F">
              <w:rPr>
                <w:sz w:val="22"/>
                <w:szCs w:val="22"/>
              </w:rPr>
              <w:t>críticos</w:t>
            </w:r>
            <w:r w:rsidRPr="0001275D">
              <w:rPr>
                <w:sz w:val="22"/>
                <w:szCs w:val="22"/>
              </w:rPr>
              <w:t>:</w:t>
            </w:r>
          </w:p>
          <w:p w:rsidR="00B94E8F" w:rsidRDefault="00B94E8F" w:rsidP="00826CB7">
            <w:pPr>
              <w:widowControl w:val="0"/>
              <w:numPr>
                <w:ilvl w:val="0"/>
                <w:numId w:val="14"/>
              </w:numPr>
              <w:ind w:left="183" w:hanging="142"/>
              <w:rPr>
                <w:sz w:val="22"/>
                <w:szCs w:val="22"/>
                <w:lang w:val="es-PY"/>
              </w:rPr>
            </w:pPr>
            <w:r w:rsidRPr="00B94E8F">
              <w:rPr>
                <w:sz w:val="22"/>
                <w:szCs w:val="22"/>
                <w:lang w:val="es-PY"/>
              </w:rPr>
              <w:t>Contratos concluidos con una ejecución</w:t>
            </w:r>
            <w:r>
              <w:rPr>
                <w:sz w:val="22"/>
                <w:szCs w:val="22"/>
                <w:lang w:val="es-PY"/>
              </w:rPr>
              <w:t xml:space="preserve"> de Terraplén de sesenta mil (60.000) m3 en los últimos diez años.</w:t>
            </w:r>
          </w:p>
          <w:p w:rsidR="0001275D" w:rsidRPr="004E0643" w:rsidRDefault="00B94E8F" w:rsidP="00826CB7">
            <w:pPr>
              <w:widowControl w:val="0"/>
              <w:numPr>
                <w:ilvl w:val="0"/>
                <w:numId w:val="14"/>
              </w:numPr>
              <w:ind w:left="183" w:hanging="142"/>
              <w:rPr>
                <w:sz w:val="22"/>
                <w:szCs w:val="22"/>
                <w:lang w:val="es-PY"/>
              </w:rPr>
            </w:pPr>
            <w:r w:rsidRPr="00B94E8F">
              <w:rPr>
                <w:sz w:val="22"/>
                <w:szCs w:val="22"/>
                <w:lang w:val="es-PY"/>
              </w:rPr>
              <w:t>Contratos concluidos con una ejecución</w:t>
            </w:r>
            <w:r>
              <w:rPr>
                <w:sz w:val="22"/>
                <w:szCs w:val="22"/>
                <w:lang w:val="es-PY"/>
              </w:rPr>
              <w:t xml:space="preserve"> de </w:t>
            </w:r>
            <w:r w:rsidR="004E0643">
              <w:rPr>
                <w:sz w:val="22"/>
                <w:szCs w:val="22"/>
                <w:lang w:val="es-PY"/>
              </w:rPr>
              <w:t>Construcción y/o mantenimiento de Puentes (puentes de madera u hormigón armado) de cien (100) ml en los últimos diez años.</w:t>
            </w:r>
          </w:p>
        </w:tc>
      </w:tr>
    </w:tbl>
    <w:p w:rsidR="00745363" w:rsidRDefault="00745363" w:rsidP="00745363">
      <w:pPr>
        <w:numPr>
          <w:ilvl w:val="1"/>
          <w:numId w:val="1"/>
        </w:numPr>
        <w:tabs>
          <w:tab w:val="clear" w:pos="360"/>
          <w:tab w:val="num" w:pos="709"/>
        </w:tabs>
        <w:spacing w:before="240"/>
        <w:ind w:left="709" w:hanging="709"/>
        <w:jc w:val="both"/>
      </w:pPr>
      <w:r>
        <w:t xml:space="preserve">En la </w:t>
      </w:r>
      <w:r w:rsidRPr="00EA5072">
        <w:t xml:space="preserve">Sección </w:t>
      </w:r>
      <w:r>
        <w:t>VI</w:t>
      </w:r>
      <w:r w:rsidRPr="00EA5072">
        <w:t xml:space="preserve">. </w:t>
      </w:r>
      <w:r>
        <w:rPr>
          <w:iCs/>
          <w:lang w:val="es-ES"/>
        </w:rPr>
        <w:t>Requisitos de las obras, se observa la siguiente información relevante</w:t>
      </w:r>
      <w:r>
        <w:t>.</w:t>
      </w:r>
    </w:p>
    <w:p w:rsidR="00745363" w:rsidRPr="00842DFB" w:rsidRDefault="00745363" w:rsidP="00826CB7">
      <w:pPr>
        <w:pStyle w:val="ListParagraph"/>
        <w:numPr>
          <w:ilvl w:val="0"/>
          <w:numId w:val="16"/>
        </w:numPr>
        <w:spacing w:before="240" w:after="120" w:line="240" w:lineRule="auto"/>
        <w:ind w:left="1066" w:hanging="357"/>
        <w:contextualSpacing w:val="0"/>
        <w:jc w:val="both"/>
        <w:rPr>
          <w:rFonts w:ascii="Times New Roman" w:hAnsi="Times New Roman" w:cs="Times New Roman"/>
          <w:b/>
        </w:rPr>
      </w:pPr>
      <w:r w:rsidRPr="00842DFB">
        <w:rPr>
          <w:rFonts w:ascii="Times New Roman" w:hAnsi="Times New Roman" w:cs="Times New Roman"/>
          <w:b/>
        </w:rPr>
        <w:t>Alcance de los Contratos de Gestión de Mantenimiento de caminos por niveles de servicio.</w:t>
      </w:r>
    </w:p>
    <w:p w:rsidR="00745363" w:rsidRPr="00581D7B" w:rsidRDefault="00745363" w:rsidP="00842DFB">
      <w:pPr>
        <w:pStyle w:val="ListParagraph"/>
        <w:spacing w:before="120" w:after="0" w:line="240" w:lineRule="auto"/>
        <w:ind w:left="1072"/>
        <w:contextualSpacing w:val="0"/>
        <w:jc w:val="both"/>
        <w:rPr>
          <w:rFonts w:ascii="Times New Roman" w:hAnsi="Times New Roman" w:cs="Times New Roman"/>
        </w:rPr>
      </w:pPr>
      <w:r w:rsidRPr="00581D7B">
        <w:rPr>
          <w:rFonts w:ascii="Times New Roman" w:hAnsi="Times New Roman" w:cs="Times New Roman"/>
        </w:rPr>
        <w:t xml:space="preserve">Se identifican los tramos comprendidos en cuatro paquetes a contratar, </w:t>
      </w:r>
      <w:r w:rsidR="00581D7B" w:rsidRPr="00581D7B">
        <w:rPr>
          <w:rFonts w:ascii="Times New Roman" w:hAnsi="Times New Roman" w:cs="Times New Roman"/>
        </w:rPr>
        <w:t>cuantificándose su extensión en kilómetros y las coordenadas geográficas de su inicio y final.</w:t>
      </w:r>
    </w:p>
    <w:p w:rsidR="00745363" w:rsidRPr="00581D7B" w:rsidRDefault="00581D7B" w:rsidP="00F04D83">
      <w:pPr>
        <w:pStyle w:val="ListParagraph"/>
        <w:spacing w:before="120" w:after="0" w:line="240" w:lineRule="auto"/>
        <w:ind w:left="1069"/>
        <w:contextualSpacing w:val="0"/>
        <w:jc w:val="both"/>
        <w:rPr>
          <w:rFonts w:ascii="Times New Roman" w:hAnsi="Times New Roman" w:cs="Times New Roman"/>
        </w:rPr>
      </w:pPr>
      <w:r w:rsidRPr="00581D7B">
        <w:rPr>
          <w:rFonts w:ascii="Times New Roman" w:hAnsi="Times New Roman" w:cs="Times New Roman"/>
        </w:rPr>
        <w:t>Se describen las obligaciones a efectos del contrato como:</w:t>
      </w:r>
    </w:p>
    <w:p w:rsidR="00581D7B" w:rsidRDefault="00581D7B" w:rsidP="00826CB7">
      <w:pPr>
        <w:pStyle w:val="ListParagraph"/>
        <w:numPr>
          <w:ilvl w:val="0"/>
          <w:numId w:val="15"/>
        </w:numPr>
        <w:spacing w:before="120" w:after="0" w:line="240" w:lineRule="auto"/>
        <w:ind w:left="1560" w:hanging="426"/>
        <w:contextualSpacing w:val="0"/>
        <w:jc w:val="both"/>
        <w:rPr>
          <w:rFonts w:ascii="Times New Roman" w:hAnsi="Times New Roman" w:cs="Times New Roman"/>
        </w:rPr>
      </w:pPr>
      <w:r w:rsidRPr="00581D7B">
        <w:rPr>
          <w:rFonts w:ascii="Times New Roman" w:hAnsi="Times New Roman" w:cs="Times New Roman"/>
          <w:b/>
        </w:rPr>
        <w:t>Servicios de Mantenimiento Inicial</w:t>
      </w:r>
      <w:r w:rsidRPr="00581D7B">
        <w:rPr>
          <w:rFonts w:ascii="Times New Roman" w:hAnsi="Times New Roman" w:cs="Times New Roman"/>
        </w:rPr>
        <w:t xml:space="preserve"> de los caminos indicados, los cuales consisten en todas las actividades necesarias para alcanzar los niveles de servicio claramente descriptos en las Especificaciones correspondientes. Estas actividades que comprenden el mantenimiento inicial serán de exclusiva responsabilidad del Contratista. El servicio se ofrecerá y pagará a una suma alzada fija (</w:t>
      </w:r>
      <w:proofErr w:type="spellStart"/>
      <w:r w:rsidRPr="00581D7B">
        <w:rPr>
          <w:rFonts w:ascii="Times New Roman" w:hAnsi="Times New Roman" w:cs="Times New Roman"/>
        </w:rPr>
        <w:t>lump</w:t>
      </w:r>
      <w:proofErr w:type="spellEnd"/>
      <w:r w:rsidRPr="00581D7B">
        <w:rPr>
          <w:rFonts w:ascii="Times New Roman" w:hAnsi="Times New Roman" w:cs="Times New Roman"/>
        </w:rPr>
        <w:t xml:space="preserve"> sum) por cada camino que haya alcanzado los niveles de servicio.</w:t>
      </w:r>
    </w:p>
    <w:p w:rsidR="00581D7B" w:rsidRDefault="00581D7B" w:rsidP="00826CB7">
      <w:pPr>
        <w:pStyle w:val="ListParagraph"/>
        <w:numPr>
          <w:ilvl w:val="0"/>
          <w:numId w:val="15"/>
        </w:numPr>
        <w:spacing w:before="120" w:after="0" w:line="240" w:lineRule="auto"/>
        <w:ind w:left="1560" w:hanging="426"/>
        <w:contextualSpacing w:val="0"/>
        <w:jc w:val="both"/>
        <w:rPr>
          <w:rFonts w:ascii="Times New Roman" w:hAnsi="Times New Roman" w:cs="Times New Roman"/>
        </w:rPr>
      </w:pPr>
      <w:r>
        <w:rPr>
          <w:rFonts w:ascii="Times New Roman" w:hAnsi="Times New Roman" w:cs="Times New Roman"/>
          <w:b/>
        </w:rPr>
        <w:t xml:space="preserve">Servicios de Mantenimiento Rutinario </w:t>
      </w:r>
      <w:r w:rsidRPr="00581D7B">
        <w:rPr>
          <w:rFonts w:ascii="Times New Roman" w:hAnsi="Times New Roman" w:cs="Times New Roman"/>
        </w:rPr>
        <w:t xml:space="preserve">de los </w:t>
      </w:r>
      <w:r>
        <w:rPr>
          <w:rFonts w:ascii="Times New Roman" w:hAnsi="Times New Roman" w:cs="Times New Roman"/>
        </w:rPr>
        <w:t>caminos indicados, que comprenden todas las actividades necesarias para mantener los niveles de servicio claramente descriptos en las Especificaciones correspondientes y alcanzados en el mantenimiento inicial, así como todas las actividades relacionadas con la gestión y evaluación de la red vial. El mantenimiento rutinario se ofrecerá y pagará a una suma alzada (</w:t>
      </w:r>
      <w:proofErr w:type="spellStart"/>
      <w:r>
        <w:rPr>
          <w:rFonts w:ascii="Times New Roman" w:hAnsi="Times New Roman" w:cs="Times New Roman"/>
        </w:rPr>
        <w:t>lump</w:t>
      </w:r>
      <w:proofErr w:type="spellEnd"/>
      <w:r>
        <w:rPr>
          <w:rFonts w:ascii="Times New Roman" w:hAnsi="Times New Roman" w:cs="Times New Roman"/>
        </w:rPr>
        <w:t xml:space="preserve"> sum) en cuotas mensuales iguales reajustables durante toda la vigencia del Contrato para este componente.</w:t>
      </w:r>
    </w:p>
    <w:p w:rsidR="00581D7B" w:rsidRDefault="00581D7B" w:rsidP="00826CB7">
      <w:pPr>
        <w:pStyle w:val="ListParagraph"/>
        <w:numPr>
          <w:ilvl w:val="0"/>
          <w:numId w:val="15"/>
        </w:numPr>
        <w:spacing w:before="120" w:after="0" w:line="240" w:lineRule="auto"/>
        <w:ind w:left="1560" w:hanging="426"/>
        <w:contextualSpacing w:val="0"/>
        <w:jc w:val="both"/>
        <w:rPr>
          <w:rFonts w:ascii="Times New Roman" w:hAnsi="Times New Roman" w:cs="Times New Roman"/>
        </w:rPr>
      </w:pPr>
      <w:r>
        <w:rPr>
          <w:rFonts w:ascii="Times New Roman" w:hAnsi="Times New Roman" w:cs="Times New Roman"/>
          <w:b/>
        </w:rPr>
        <w:t xml:space="preserve">Facilidades. </w:t>
      </w:r>
      <w:r>
        <w:rPr>
          <w:rFonts w:ascii="Times New Roman" w:hAnsi="Times New Roman" w:cs="Times New Roman"/>
        </w:rPr>
        <w:t>El Contratista deberá proveer los servicios, instalaciones e insumos en la medida indicada en el presente Pliego, para el mantenimiento de caminos rurales por niveles de servicio en áreas geográficas de los departamentos de Guairá (Paquete 1), Caaguazú (Paquete 2), San Pedro (Paquete 3) y Concepción – Amambay (Paquete 4). Los servicios se prolongarán durante la duración del Contrato.</w:t>
      </w:r>
    </w:p>
    <w:p w:rsidR="00581D7B" w:rsidRPr="00581D7B" w:rsidRDefault="00581D7B" w:rsidP="00826CB7">
      <w:pPr>
        <w:pStyle w:val="ListParagraph"/>
        <w:numPr>
          <w:ilvl w:val="0"/>
          <w:numId w:val="15"/>
        </w:numPr>
        <w:spacing w:before="120" w:after="0" w:line="240" w:lineRule="auto"/>
        <w:ind w:left="1560" w:hanging="426"/>
        <w:contextualSpacing w:val="0"/>
        <w:jc w:val="both"/>
        <w:rPr>
          <w:rFonts w:ascii="Times New Roman" w:hAnsi="Times New Roman" w:cs="Times New Roman"/>
        </w:rPr>
      </w:pPr>
      <w:r>
        <w:rPr>
          <w:rFonts w:ascii="Times New Roman" w:hAnsi="Times New Roman" w:cs="Times New Roman"/>
          <w:b/>
        </w:rPr>
        <w:t>Obras de Emergencia.</w:t>
      </w:r>
      <w:r>
        <w:rPr>
          <w:rFonts w:ascii="Times New Roman" w:hAnsi="Times New Roman" w:cs="Times New Roman"/>
        </w:rPr>
        <w:t xml:space="preserve"> El contrato abarcará la obligación del Contratista de ejecutar </w:t>
      </w:r>
      <w:r w:rsidR="00F04D83">
        <w:rPr>
          <w:rFonts w:ascii="Times New Roman" w:hAnsi="Times New Roman" w:cs="Times New Roman"/>
        </w:rPr>
        <w:t xml:space="preserve">todas aquellas obras, no incluidas </w:t>
      </w:r>
      <w:r w:rsidR="00F04D83" w:rsidRPr="00F04D83">
        <w:rPr>
          <w:rFonts w:ascii="Times New Roman" w:hAnsi="Times New Roman" w:cs="Times New Roman"/>
          <w:lang w:val="es-ES_tradnl"/>
        </w:rPr>
        <w:t>en los alcances del contrato, que el Contratante defina como necesarias para atender situaciones de Emergencia</w:t>
      </w:r>
      <w:r w:rsidR="00F04D83">
        <w:rPr>
          <w:rFonts w:ascii="Times New Roman" w:hAnsi="Times New Roman" w:cs="Times New Roman"/>
          <w:lang w:val="es-ES_tradnl"/>
        </w:rPr>
        <w:t>.</w:t>
      </w:r>
    </w:p>
    <w:p w:rsidR="00581D7B" w:rsidRPr="00F04D83" w:rsidRDefault="00584CC1" w:rsidP="00F04D83">
      <w:pPr>
        <w:pStyle w:val="ListParagraph"/>
        <w:spacing w:before="120" w:after="0" w:line="240" w:lineRule="auto"/>
        <w:ind w:left="1069"/>
        <w:contextualSpacing w:val="0"/>
        <w:jc w:val="both"/>
        <w:rPr>
          <w:rFonts w:ascii="Times New Roman" w:hAnsi="Times New Roman" w:cs="Times New Roman"/>
        </w:rPr>
      </w:pPr>
      <w:r w:rsidRPr="00584CC1">
        <w:rPr>
          <w:rFonts w:ascii="Times New Roman" w:hAnsi="Times New Roman" w:cs="Times New Roman"/>
          <w:b/>
        </w:rPr>
        <w:lastRenderedPageBreak/>
        <w:t>Montos del Contrato</w:t>
      </w:r>
      <w:r>
        <w:rPr>
          <w:rFonts w:ascii="Times New Roman" w:hAnsi="Times New Roman" w:cs="Times New Roman"/>
        </w:rPr>
        <w:t xml:space="preserve">. </w:t>
      </w:r>
      <w:r w:rsidR="00F04D83" w:rsidRPr="00F04D83">
        <w:rPr>
          <w:rFonts w:ascii="Times New Roman" w:hAnsi="Times New Roman" w:cs="Times New Roman"/>
        </w:rPr>
        <w:t>Se indican montos de Contrato y topes para la fracción correspondiente al mantenimiento inicial.</w:t>
      </w:r>
    </w:p>
    <w:p w:rsidR="00F04D83" w:rsidRPr="00F04D83" w:rsidRDefault="00F04D83" w:rsidP="00F04D83">
      <w:pPr>
        <w:pStyle w:val="ListParagraph"/>
        <w:spacing w:before="120" w:after="0" w:line="240" w:lineRule="auto"/>
        <w:ind w:left="1069"/>
        <w:contextualSpacing w:val="0"/>
        <w:jc w:val="both"/>
        <w:rPr>
          <w:rFonts w:ascii="Times New Roman" w:hAnsi="Times New Roman" w:cs="Times New Roman"/>
        </w:rPr>
      </w:pPr>
    </w:p>
    <w:tbl>
      <w:tblPr>
        <w:tblStyle w:val="TableGrid"/>
        <w:tblW w:w="8058" w:type="dxa"/>
        <w:tblInd w:w="1101" w:type="dxa"/>
        <w:tblLook w:val="04A0" w:firstRow="1" w:lastRow="0" w:firstColumn="1" w:lastColumn="0" w:noHBand="0" w:noVBand="1"/>
      </w:tblPr>
      <w:tblGrid>
        <w:gridCol w:w="1134"/>
        <w:gridCol w:w="2551"/>
        <w:gridCol w:w="2403"/>
        <w:gridCol w:w="1970"/>
      </w:tblGrid>
      <w:tr w:rsidR="00F04D83" w:rsidRPr="00F04D83" w:rsidTr="00F04D83">
        <w:tc>
          <w:tcPr>
            <w:tcW w:w="1134" w:type="dxa"/>
            <w:shd w:val="clear" w:color="auto" w:fill="DAEEF3" w:themeFill="accent5" w:themeFillTint="33"/>
          </w:tcPr>
          <w:p w:rsidR="00F04D83" w:rsidRPr="00F04D83" w:rsidRDefault="00F04D83" w:rsidP="00F04D83">
            <w:pPr>
              <w:pStyle w:val="ListParagraph"/>
              <w:spacing w:after="0" w:line="240" w:lineRule="auto"/>
              <w:ind w:left="33"/>
              <w:contextualSpacing w:val="0"/>
              <w:jc w:val="both"/>
              <w:rPr>
                <w:rFonts w:ascii="Times New Roman" w:hAnsi="Times New Roman" w:cs="Times New Roman"/>
              </w:rPr>
            </w:pPr>
            <w:r>
              <w:rPr>
                <w:rFonts w:ascii="Times New Roman" w:hAnsi="Times New Roman" w:cs="Times New Roman"/>
              </w:rPr>
              <w:t>Paquete</w:t>
            </w:r>
          </w:p>
        </w:tc>
        <w:tc>
          <w:tcPr>
            <w:tcW w:w="2551" w:type="dxa"/>
            <w:shd w:val="clear" w:color="auto" w:fill="DAEEF3" w:themeFill="accent5" w:themeFillTint="33"/>
          </w:tcPr>
          <w:p w:rsidR="00F04D83" w:rsidRPr="00F04D83" w:rsidRDefault="00F04D83" w:rsidP="00F04D83">
            <w:pPr>
              <w:pStyle w:val="ListParagraph"/>
              <w:spacing w:after="0" w:line="240" w:lineRule="auto"/>
              <w:ind w:left="33"/>
              <w:contextualSpacing w:val="0"/>
              <w:jc w:val="both"/>
              <w:rPr>
                <w:rFonts w:ascii="Times New Roman" w:hAnsi="Times New Roman" w:cs="Times New Roman"/>
              </w:rPr>
            </w:pPr>
            <w:r>
              <w:rPr>
                <w:rFonts w:ascii="Times New Roman" w:hAnsi="Times New Roman" w:cs="Times New Roman"/>
              </w:rPr>
              <w:t>Departamento</w:t>
            </w:r>
          </w:p>
        </w:tc>
        <w:tc>
          <w:tcPr>
            <w:tcW w:w="2403" w:type="dxa"/>
            <w:shd w:val="clear" w:color="auto" w:fill="DAEEF3" w:themeFill="accent5" w:themeFillTint="33"/>
          </w:tcPr>
          <w:p w:rsidR="00F04D83" w:rsidRDefault="00F04D83" w:rsidP="00F04D83">
            <w:pPr>
              <w:pStyle w:val="ListParagraph"/>
              <w:spacing w:after="0" w:line="240" w:lineRule="auto"/>
              <w:ind w:left="33"/>
              <w:contextualSpacing w:val="0"/>
              <w:jc w:val="center"/>
              <w:rPr>
                <w:rFonts w:ascii="Times New Roman" w:hAnsi="Times New Roman" w:cs="Times New Roman"/>
              </w:rPr>
            </w:pPr>
            <w:r>
              <w:rPr>
                <w:rFonts w:ascii="Times New Roman" w:hAnsi="Times New Roman" w:cs="Times New Roman"/>
              </w:rPr>
              <w:t>Monto total fijo, incluye IVA, ajustes de precio y obras de emergencia</w:t>
            </w:r>
          </w:p>
          <w:p w:rsidR="00F04D83" w:rsidRPr="00F04D83" w:rsidRDefault="00F04D83" w:rsidP="00F04D83">
            <w:pPr>
              <w:pStyle w:val="ListParagraph"/>
              <w:spacing w:after="0" w:line="240" w:lineRule="auto"/>
              <w:ind w:left="33"/>
              <w:contextualSpacing w:val="0"/>
              <w:jc w:val="center"/>
              <w:rPr>
                <w:rFonts w:ascii="Times New Roman" w:hAnsi="Times New Roman" w:cs="Times New Roman"/>
              </w:rPr>
            </w:pPr>
            <w:r>
              <w:rPr>
                <w:rFonts w:ascii="Times New Roman" w:hAnsi="Times New Roman" w:cs="Times New Roman"/>
              </w:rPr>
              <w:t>(US$)</w:t>
            </w:r>
          </w:p>
        </w:tc>
        <w:tc>
          <w:tcPr>
            <w:tcW w:w="1970" w:type="dxa"/>
            <w:shd w:val="clear" w:color="auto" w:fill="DAEEF3" w:themeFill="accent5" w:themeFillTint="33"/>
          </w:tcPr>
          <w:p w:rsidR="00F04D83" w:rsidRPr="00F04D83" w:rsidRDefault="00F04D83" w:rsidP="00F04D83">
            <w:pPr>
              <w:pStyle w:val="ListParagraph"/>
              <w:spacing w:after="0" w:line="240" w:lineRule="auto"/>
              <w:ind w:left="33"/>
              <w:contextualSpacing w:val="0"/>
              <w:jc w:val="center"/>
              <w:rPr>
                <w:rFonts w:ascii="Times New Roman" w:hAnsi="Times New Roman" w:cs="Times New Roman"/>
              </w:rPr>
            </w:pPr>
            <w:r>
              <w:rPr>
                <w:rFonts w:ascii="Times New Roman" w:hAnsi="Times New Roman" w:cs="Times New Roman"/>
              </w:rPr>
              <w:t>Tope para mantenimiento inicial</w:t>
            </w:r>
          </w:p>
        </w:tc>
      </w:tr>
      <w:tr w:rsidR="00F04D83" w:rsidRPr="00F04D83" w:rsidTr="00F04D83">
        <w:tc>
          <w:tcPr>
            <w:tcW w:w="1134" w:type="dxa"/>
          </w:tcPr>
          <w:p w:rsidR="00F04D83" w:rsidRPr="00F04D83" w:rsidRDefault="00F04D83" w:rsidP="00584CC1">
            <w:pPr>
              <w:pStyle w:val="ListParagraph"/>
              <w:spacing w:after="0" w:line="240" w:lineRule="auto"/>
              <w:ind w:left="33"/>
              <w:contextualSpacing w:val="0"/>
              <w:jc w:val="center"/>
              <w:rPr>
                <w:rFonts w:ascii="Times New Roman" w:hAnsi="Times New Roman" w:cs="Times New Roman"/>
              </w:rPr>
            </w:pPr>
            <w:r>
              <w:rPr>
                <w:rFonts w:ascii="Times New Roman" w:hAnsi="Times New Roman" w:cs="Times New Roman"/>
              </w:rPr>
              <w:t>1</w:t>
            </w:r>
          </w:p>
        </w:tc>
        <w:tc>
          <w:tcPr>
            <w:tcW w:w="2551" w:type="dxa"/>
          </w:tcPr>
          <w:p w:rsidR="00F04D83" w:rsidRPr="00F04D83" w:rsidRDefault="00F04D83" w:rsidP="00F04D83">
            <w:pPr>
              <w:pStyle w:val="ListParagraph"/>
              <w:spacing w:after="0" w:line="240" w:lineRule="auto"/>
              <w:ind w:left="33"/>
              <w:contextualSpacing w:val="0"/>
              <w:jc w:val="both"/>
              <w:rPr>
                <w:rFonts w:ascii="Times New Roman" w:hAnsi="Times New Roman" w:cs="Times New Roman"/>
              </w:rPr>
            </w:pPr>
            <w:r>
              <w:rPr>
                <w:rFonts w:ascii="Times New Roman" w:hAnsi="Times New Roman" w:cs="Times New Roman"/>
              </w:rPr>
              <w:t>Guairá</w:t>
            </w:r>
          </w:p>
        </w:tc>
        <w:tc>
          <w:tcPr>
            <w:tcW w:w="2403" w:type="dxa"/>
          </w:tcPr>
          <w:p w:rsidR="00F04D83" w:rsidRPr="00F04D83" w:rsidRDefault="00F04D83" w:rsidP="00F04D83">
            <w:pPr>
              <w:pStyle w:val="ListParagraph"/>
              <w:spacing w:after="0" w:line="240" w:lineRule="auto"/>
              <w:ind w:left="33"/>
              <w:contextualSpacing w:val="0"/>
              <w:jc w:val="right"/>
              <w:rPr>
                <w:rFonts w:ascii="Times New Roman" w:hAnsi="Times New Roman" w:cs="Times New Roman"/>
              </w:rPr>
            </w:pPr>
            <w:r>
              <w:rPr>
                <w:rFonts w:ascii="Times New Roman" w:hAnsi="Times New Roman" w:cs="Times New Roman"/>
              </w:rPr>
              <w:t>4.400.000</w:t>
            </w:r>
          </w:p>
        </w:tc>
        <w:tc>
          <w:tcPr>
            <w:tcW w:w="1970" w:type="dxa"/>
          </w:tcPr>
          <w:p w:rsidR="00F04D83" w:rsidRPr="00F04D83" w:rsidRDefault="00F04D83" w:rsidP="00F04D83">
            <w:pPr>
              <w:pStyle w:val="ListParagraph"/>
              <w:spacing w:after="0" w:line="240" w:lineRule="auto"/>
              <w:ind w:left="33"/>
              <w:contextualSpacing w:val="0"/>
              <w:jc w:val="center"/>
              <w:rPr>
                <w:rFonts w:ascii="Times New Roman" w:hAnsi="Times New Roman" w:cs="Times New Roman"/>
              </w:rPr>
            </w:pPr>
            <w:r>
              <w:rPr>
                <w:rFonts w:ascii="Times New Roman" w:hAnsi="Times New Roman" w:cs="Times New Roman"/>
              </w:rPr>
              <w:t>45%</w:t>
            </w:r>
          </w:p>
        </w:tc>
      </w:tr>
      <w:tr w:rsidR="00F04D83" w:rsidRPr="00F04D83" w:rsidTr="00F04D83">
        <w:tc>
          <w:tcPr>
            <w:tcW w:w="1134" w:type="dxa"/>
          </w:tcPr>
          <w:p w:rsidR="00F04D83" w:rsidRPr="00F04D83" w:rsidRDefault="00F04D83" w:rsidP="00584CC1">
            <w:pPr>
              <w:pStyle w:val="ListParagraph"/>
              <w:spacing w:after="0" w:line="240" w:lineRule="auto"/>
              <w:ind w:left="33"/>
              <w:contextualSpacing w:val="0"/>
              <w:jc w:val="center"/>
              <w:rPr>
                <w:rFonts w:ascii="Times New Roman" w:hAnsi="Times New Roman" w:cs="Times New Roman"/>
              </w:rPr>
            </w:pPr>
            <w:r>
              <w:rPr>
                <w:rFonts w:ascii="Times New Roman" w:hAnsi="Times New Roman" w:cs="Times New Roman"/>
              </w:rPr>
              <w:t>2</w:t>
            </w:r>
          </w:p>
        </w:tc>
        <w:tc>
          <w:tcPr>
            <w:tcW w:w="2551" w:type="dxa"/>
          </w:tcPr>
          <w:p w:rsidR="00F04D83" w:rsidRPr="00F04D83" w:rsidRDefault="00F04D83" w:rsidP="00F04D83">
            <w:pPr>
              <w:pStyle w:val="ListParagraph"/>
              <w:spacing w:after="0" w:line="240" w:lineRule="auto"/>
              <w:ind w:left="33"/>
              <w:contextualSpacing w:val="0"/>
              <w:jc w:val="both"/>
              <w:rPr>
                <w:rFonts w:ascii="Times New Roman" w:hAnsi="Times New Roman" w:cs="Times New Roman"/>
              </w:rPr>
            </w:pPr>
            <w:r>
              <w:rPr>
                <w:rFonts w:ascii="Times New Roman" w:hAnsi="Times New Roman" w:cs="Times New Roman"/>
              </w:rPr>
              <w:t>Caaguazú</w:t>
            </w:r>
          </w:p>
        </w:tc>
        <w:tc>
          <w:tcPr>
            <w:tcW w:w="2403" w:type="dxa"/>
          </w:tcPr>
          <w:p w:rsidR="00F04D83" w:rsidRPr="00F04D83" w:rsidRDefault="00F04D83" w:rsidP="00F04D83">
            <w:pPr>
              <w:pStyle w:val="ListParagraph"/>
              <w:spacing w:after="0" w:line="240" w:lineRule="auto"/>
              <w:ind w:left="33"/>
              <w:contextualSpacing w:val="0"/>
              <w:jc w:val="right"/>
              <w:rPr>
                <w:rFonts w:ascii="Times New Roman" w:hAnsi="Times New Roman" w:cs="Times New Roman"/>
              </w:rPr>
            </w:pPr>
            <w:r>
              <w:rPr>
                <w:rFonts w:ascii="Times New Roman" w:hAnsi="Times New Roman" w:cs="Times New Roman"/>
              </w:rPr>
              <w:t>4.300.000</w:t>
            </w:r>
          </w:p>
        </w:tc>
        <w:tc>
          <w:tcPr>
            <w:tcW w:w="1970" w:type="dxa"/>
          </w:tcPr>
          <w:p w:rsidR="00F04D83" w:rsidRPr="00F04D83" w:rsidRDefault="00F04D83" w:rsidP="00F04D83">
            <w:pPr>
              <w:pStyle w:val="ListParagraph"/>
              <w:spacing w:after="0" w:line="240" w:lineRule="auto"/>
              <w:ind w:left="33"/>
              <w:contextualSpacing w:val="0"/>
              <w:jc w:val="center"/>
              <w:rPr>
                <w:rFonts w:ascii="Times New Roman" w:hAnsi="Times New Roman" w:cs="Times New Roman"/>
              </w:rPr>
            </w:pPr>
            <w:r>
              <w:rPr>
                <w:rFonts w:ascii="Times New Roman" w:hAnsi="Times New Roman" w:cs="Times New Roman"/>
              </w:rPr>
              <w:t>40%</w:t>
            </w:r>
          </w:p>
        </w:tc>
      </w:tr>
      <w:tr w:rsidR="00F04D83" w:rsidRPr="00F04D83" w:rsidTr="00F04D83">
        <w:tc>
          <w:tcPr>
            <w:tcW w:w="1134" w:type="dxa"/>
          </w:tcPr>
          <w:p w:rsidR="00F04D83" w:rsidRPr="00F04D83" w:rsidRDefault="00F04D83" w:rsidP="00584CC1">
            <w:pPr>
              <w:pStyle w:val="ListParagraph"/>
              <w:spacing w:after="0" w:line="240" w:lineRule="auto"/>
              <w:ind w:left="33"/>
              <w:contextualSpacing w:val="0"/>
              <w:jc w:val="center"/>
              <w:rPr>
                <w:rFonts w:ascii="Times New Roman" w:hAnsi="Times New Roman" w:cs="Times New Roman"/>
              </w:rPr>
            </w:pPr>
            <w:r>
              <w:rPr>
                <w:rFonts w:ascii="Times New Roman" w:hAnsi="Times New Roman" w:cs="Times New Roman"/>
              </w:rPr>
              <w:t>3</w:t>
            </w:r>
          </w:p>
        </w:tc>
        <w:tc>
          <w:tcPr>
            <w:tcW w:w="2551" w:type="dxa"/>
          </w:tcPr>
          <w:p w:rsidR="00F04D83" w:rsidRPr="00F04D83" w:rsidRDefault="00F04D83" w:rsidP="00F04D83">
            <w:pPr>
              <w:pStyle w:val="ListParagraph"/>
              <w:spacing w:after="0" w:line="240" w:lineRule="auto"/>
              <w:ind w:left="33"/>
              <w:contextualSpacing w:val="0"/>
              <w:jc w:val="both"/>
              <w:rPr>
                <w:rFonts w:ascii="Times New Roman" w:hAnsi="Times New Roman" w:cs="Times New Roman"/>
              </w:rPr>
            </w:pPr>
            <w:r>
              <w:rPr>
                <w:rFonts w:ascii="Times New Roman" w:hAnsi="Times New Roman" w:cs="Times New Roman"/>
              </w:rPr>
              <w:t>San Pedro</w:t>
            </w:r>
          </w:p>
        </w:tc>
        <w:tc>
          <w:tcPr>
            <w:tcW w:w="2403" w:type="dxa"/>
          </w:tcPr>
          <w:p w:rsidR="00F04D83" w:rsidRPr="00F04D83" w:rsidRDefault="00F04D83" w:rsidP="00F04D83">
            <w:pPr>
              <w:pStyle w:val="ListParagraph"/>
              <w:spacing w:after="0" w:line="240" w:lineRule="auto"/>
              <w:ind w:left="33"/>
              <w:contextualSpacing w:val="0"/>
              <w:jc w:val="right"/>
              <w:rPr>
                <w:rFonts w:ascii="Times New Roman" w:hAnsi="Times New Roman" w:cs="Times New Roman"/>
              </w:rPr>
            </w:pPr>
            <w:r>
              <w:rPr>
                <w:rFonts w:ascii="Times New Roman" w:hAnsi="Times New Roman" w:cs="Times New Roman"/>
              </w:rPr>
              <w:t>3.500.000</w:t>
            </w:r>
          </w:p>
        </w:tc>
        <w:tc>
          <w:tcPr>
            <w:tcW w:w="1970" w:type="dxa"/>
          </w:tcPr>
          <w:p w:rsidR="00F04D83" w:rsidRPr="00F04D83" w:rsidRDefault="00F04D83" w:rsidP="00F04D83">
            <w:pPr>
              <w:pStyle w:val="ListParagraph"/>
              <w:spacing w:after="0" w:line="240" w:lineRule="auto"/>
              <w:ind w:left="33"/>
              <w:contextualSpacing w:val="0"/>
              <w:jc w:val="center"/>
              <w:rPr>
                <w:rFonts w:ascii="Times New Roman" w:hAnsi="Times New Roman" w:cs="Times New Roman"/>
              </w:rPr>
            </w:pPr>
            <w:r>
              <w:rPr>
                <w:rFonts w:ascii="Times New Roman" w:hAnsi="Times New Roman" w:cs="Times New Roman"/>
              </w:rPr>
              <w:t>30%</w:t>
            </w:r>
          </w:p>
        </w:tc>
      </w:tr>
      <w:tr w:rsidR="00F04D83" w:rsidRPr="00F04D83" w:rsidTr="00F04D83">
        <w:tc>
          <w:tcPr>
            <w:tcW w:w="1134" w:type="dxa"/>
          </w:tcPr>
          <w:p w:rsidR="00F04D83" w:rsidRPr="00F04D83" w:rsidRDefault="00F04D83" w:rsidP="00584CC1">
            <w:pPr>
              <w:pStyle w:val="ListParagraph"/>
              <w:spacing w:after="0" w:line="240" w:lineRule="auto"/>
              <w:ind w:left="33"/>
              <w:contextualSpacing w:val="0"/>
              <w:jc w:val="center"/>
              <w:rPr>
                <w:rFonts w:ascii="Times New Roman" w:hAnsi="Times New Roman" w:cs="Times New Roman"/>
              </w:rPr>
            </w:pPr>
            <w:r>
              <w:rPr>
                <w:rFonts w:ascii="Times New Roman" w:hAnsi="Times New Roman" w:cs="Times New Roman"/>
              </w:rPr>
              <w:t>4</w:t>
            </w:r>
          </w:p>
        </w:tc>
        <w:tc>
          <w:tcPr>
            <w:tcW w:w="2551" w:type="dxa"/>
          </w:tcPr>
          <w:p w:rsidR="00F04D83" w:rsidRPr="00F04D83" w:rsidRDefault="00F04D83" w:rsidP="00F04D83">
            <w:pPr>
              <w:pStyle w:val="ListParagraph"/>
              <w:spacing w:after="0" w:line="240" w:lineRule="auto"/>
              <w:ind w:left="33"/>
              <w:contextualSpacing w:val="0"/>
              <w:jc w:val="both"/>
              <w:rPr>
                <w:rFonts w:ascii="Times New Roman" w:hAnsi="Times New Roman" w:cs="Times New Roman"/>
              </w:rPr>
            </w:pPr>
            <w:r>
              <w:rPr>
                <w:rFonts w:ascii="Times New Roman" w:hAnsi="Times New Roman" w:cs="Times New Roman"/>
              </w:rPr>
              <w:t>Concepción - Amambay</w:t>
            </w:r>
          </w:p>
        </w:tc>
        <w:tc>
          <w:tcPr>
            <w:tcW w:w="2403" w:type="dxa"/>
          </w:tcPr>
          <w:p w:rsidR="00F04D83" w:rsidRPr="00F04D83" w:rsidRDefault="00F04D83" w:rsidP="00F04D83">
            <w:pPr>
              <w:pStyle w:val="ListParagraph"/>
              <w:spacing w:after="0" w:line="240" w:lineRule="auto"/>
              <w:ind w:left="33"/>
              <w:contextualSpacing w:val="0"/>
              <w:jc w:val="right"/>
              <w:rPr>
                <w:rFonts w:ascii="Times New Roman" w:hAnsi="Times New Roman" w:cs="Times New Roman"/>
              </w:rPr>
            </w:pPr>
            <w:r>
              <w:rPr>
                <w:rFonts w:ascii="Times New Roman" w:hAnsi="Times New Roman" w:cs="Times New Roman"/>
              </w:rPr>
              <w:t>3.650.000</w:t>
            </w:r>
          </w:p>
        </w:tc>
        <w:tc>
          <w:tcPr>
            <w:tcW w:w="1970" w:type="dxa"/>
          </w:tcPr>
          <w:p w:rsidR="00F04D83" w:rsidRPr="00F04D83" w:rsidRDefault="00F04D83" w:rsidP="00F04D83">
            <w:pPr>
              <w:pStyle w:val="ListParagraph"/>
              <w:spacing w:after="0" w:line="240" w:lineRule="auto"/>
              <w:ind w:left="33"/>
              <w:contextualSpacing w:val="0"/>
              <w:jc w:val="center"/>
              <w:rPr>
                <w:rFonts w:ascii="Times New Roman" w:hAnsi="Times New Roman" w:cs="Times New Roman"/>
              </w:rPr>
            </w:pPr>
            <w:r>
              <w:rPr>
                <w:rFonts w:ascii="Times New Roman" w:hAnsi="Times New Roman" w:cs="Times New Roman"/>
              </w:rPr>
              <w:t>30%</w:t>
            </w:r>
          </w:p>
        </w:tc>
      </w:tr>
    </w:tbl>
    <w:p w:rsidR="00584CC1" w:rsidRPr="00C44B2E" w:rsidRDefault="00584CC1" w:rsidP="00C44B2E">
      <w:pPr>
        <w:pStyle w:val="ListParagraph"/>
        <w:spacing w:before="120" w:after="0" w:line="240" w:lineRule="auto"/>
        <w:ind w:left="1069"/>
        <w:contextualSpacing w:val="0"/>
        <w:jc w:val="both"/>
        <w:rPr>
          <w:rFonts w:ascii="Times New Roman" w:hAnsi="Times New Roman" w:cs="Times New Roman"/>
        </w:rPr>
      </w:pPr>
      <w:r w:rsidRPr="00C44B2E">
        <w:rPr>
          <w:rFonts w:ascii="Times New Roman" w:hAnsi="Times New Roman" w:cs="Times New Roman"/>
          <w:b/>
        </w:rPr>
        <w:t>Plazos del Contrato</w:t>
      </w:r>
      <w:r w:rsidRPr="00C44B2E">
        <w:rPr>
          <w:rFonts w:ascii="Times New Roman" w:hAnsi="Times New Roman" w:cs="Times New Roman"/>
        </w:rPr>
        <w:t>. El plazo total del Contrato es de 46 meses, correspondiendo 10 a 12 meses para el Mantenimiento Inicial y 34 a 36 meses para el Mantenimiento Rutinario.</w:t>
      </w:r>
    </w:p>
    <w:p w:rsidR="00581D7B" w:rsidRPr="00C44B2E" w:rsidRDefault="00584CC1" w:rsidP="00C44B2E">
      <w:pPr>
        <w:pStyle w:val="ListParagraph"/>
        <w:spacing w:before="120" w:after="0" w:line="240" w:lineRule="auto"/>
        <w:ind w:left="1069"/>
        <w:contextualSpacing w:val="0"/>
        <w:jc w:val="both"/>
        <w:rPr>
          <w:rFonts w:ascii="Times New Roman" w:hAnsi="Times New Roman" w:cs="Times New Roman"/>
        </w:rPr>
      </w:pPr>
      <w:r w:rsidRPr="00C44B2E">
        <w:rPr>
          <w:rFonts w:ascii="Times New Roman" w:hAnsi="Times New Roman" w:cs="Times New Roman"/>
          <w:b/>
        </w:rPr>
        <w:t>Pagos del Contrato</w:t>
      </w:r>
      <w:r w:rsidRPr="00C44B2E">
        <w:rPr>
          <w:rFonts w:ascii="Times New Roman" w:hAnsi="Times New Roman" w:cs="Times New Roman"/>
        </w:rPr>
        <w:t>. El Contratista recibirá el pago de los precios unitarios cotizados en su oferta (tanto para el Mantenimiento Inicial como para el Mantenimiento Rutinario) por la ejecución de los rubros ordenados en el marco del contrato. El Contratante podrá descontar de estos pagos los importes de las multas que se le impongan al Contratista en el marco de este contrato o cualquier otro adeudo que mantenga el Contratista con el Contratante por este u otro contrato</w:t>
      </w:r>
      <w:r w:rsidR="00F04D83" w:rsidRPr="00C44B2E">
        <w:rPr>
          <w:rFonts w:ascii="Times New Roman" w:hAnsi="Times New Roman" w:cs="Times New Roman"/>
        </w:rPr>
        <w:t>.</w:t>
      </w:r>
      <w:r w:rsidR="00C44B2E" w:rsidRPr="00C44B2E">
        <w:rPr>
          <w:rFonts w:ascii="Times New Roman" w:hAnsi="Times New Roman" w:cs="Times New Roman"/>
        </w:rPr>
        <w:t xml:space="preserve"> Se prevé que el Contratista podrá solicitar pagos anticipados como se estipula en la Cláusula 14.2 de las Condiciones Especiales del Contrato. Se prevé ajuste de precios como se estipula en la Cláusula 13.8 de las CEC.</w:t>
      </w:r>
    </w:p>
    <w:p w:rsidR="00C44B2E" w:rsidRPr="00581D7B" w:rsidRDefault="00C44B2E" w:rsidP="00826CB7">
      <w:pPr>
        <w:pStyle w:val="ListParagraph"/>
        <w:numPr>
          <w:ilvl w:val="0"/>
          <w:numId w:val="16"/>
        </w:numPr>
        <w:spacing w:before="120" w:after="0" w:line="240" w:lineRule="auto"/>
        <w:contextualSpacing w:val="0"/>
        <w:jc w:val="both"/>
        <w:rPr>
          <w:rFonts w:ascii="Times New Roman" w:hAnsi="Times New Roman" w:cs="Times New Roman"/>
          <w:b/>
        </w:rPr>
      </w:pPr>
      <w:r>
        <w:rPr>
          <w:rFonts w:ascii="Times New Roman" w:hAnsi="Times New Roman" w:cs="Times New Roman"/>
          <w:b/>
        </w:rPr>
        <w:t>Especificaciones</w:t>
      </w:r>
      <w:r w:rsidRPr="00581D7B">
        <w:rPr>
          <w:rFonts w:ascii="Times New Roman" w:hAnsi="Times New Roman" w:cs="Times New Roman"/>
          <w:b/>
        </w:rPr>
        <w:t>.</w:t>
      </w:r>
    </w:p>
    <w:p w:rsidR="00842DFB" w:rsidRPr="00581D7B" w:rsidRDefault="00842DFB" w:rsidP="00826CB7">
      <w:pPr>
        <w:pStyle w:val="ListParagraph"/>
        <w:numPr>
          <w:ilvl w:val="0"/>
          <w:numId w:val="17"/>
        </w:numPr>
        <w:spacing w:before="120" w:after="0" w:line="240" w:lineRule="auto"/>
        <w:contextualSpacing w:val="0"/>
        <w:jc w:val="both"/>
        <w:rPr>
          <w:rFonts w:ascii="Times New Roman" w:hAnsi="Times New Roman" w:cs="Times New Roman"/>
          <w:b/>
        </w:rPr>
      </w:pPr>
      <w:r>
        <w:rPr>
          <w:rFonts w:ascii="Times New Roman" w:hAnsi="Times New Roman" w:cs="Times New Roman"/>
          <w:b/>
        </w:rPr>
        <w:t>Generalidades</w:t>
      </w:r>
      <w:r w:rsidRPr="00581D7B">
        <w:rPr>
          <w:rFonts w:ascii="Times New Roman" w:hAnsi="Times New Roman" w:cs="Times New Roman"/>
          <w:b/>
        </w:rPr>
        <w:t>.</w:t>
      </w:r>
    </w:p>
    <w:p w:rsidR="00C44B2E" w:rsidRDefault="00842DFB" w:rsidP="00C44B2E">
      <w:pPr>
        <w:pStyle w:val="ListParagraph"/>
        <w:spacing w:before="120" w:after="0" w:line="240" w:lineRule="auto"/>
        <w:ind w:left="1069"/>
        <w:contextualSpacing w:val="0"/>
        <w:jc w:val="both"/>
        <w:rPr>
          <w:rFonts w:ascii="Times New Roman" w:hAnsi="Times New Roman" w:cs="Times New Roman"/>
        </w:rPr>
      </w:pPr>
      <w:r>
        <w:rPr>
          <w:rFonts w:ascii="Times New Roman" w:hAnsi="Times New Roman" w:cs="Times New Roman"/>
        </w:rPr>
        <w:t>EL objetivo de los contratos es gestionar y ejecutar el mantenimiento de una red de la infraestructura vial rural de forma a satisfacer ciertos indicadores denominados estándares, establecidos en las bases de licitación, que garanticen un nivel de servicio de calidad y seguridad</w:t>
      </w:r>
      <w:r w:rsidR="00C44B2E" w:rsidRPr="00581D7B">
        <w:rPr>
          <w:rFonts w:ascii="Times New Roman" w:hAnsi="Times New Roman" w:cs="Times New Roman"/>
        </w:rPr>
        <w:t>.</w:t>
      </w:r>
      <w:r>
        <w:rPr>
          <w:rFonts w:ascii="Times New Roman" w:hAnsi="Times New Roman" w:cs="Times New Roman"/>
        </w:rPr>
        <w:t xml:space="preserve"> La administración de la red vial integrante del contrato continuará a cargo del Contratante, siendo éste el responsable de establecer y fiscalizar las reglamentaciones que correspondan.</w:t>
      </w:r>
    </w:p>
    <w:p w:rsidR="00842DFB" w:rsidRDefault="00842DFB" w:rsidP="00C44B2E">
      <w:pPr>
        <w:pStyle w:val="ListParagraph"/>
        <w:spacing w:before="120" w:after="0" w:line="240" w:lineRule="auto"/>
        <w:ind w:left="1069"/>
        <w:contextualSpacing w:val="0"/>
        <w:jc w:val="both"/>
        <w:rPr>
          <w:rFonts w:ascii="Times New Roman" w:hAnsi="Times New Roman" w:cs="Times New Roman"/>
        </w:rPr>
      </w:pPr>
      <w:r>
        <w:rPr>
          <w:rFonts w:ascii="Times New Roman" w:hAnsi="Times New Roman" w:cs="Times New Roman"/>
        </w:rPr>
        <w:t xml:space="preserve">El estado de los caminos se expresa a través de indicadores a los cuales se les establece límites admisibles, denominados estándares, como forma de asegurarles a los usuarios de los mismos ciertas condiciones de seguridad y confort. Entonces, el mantenimiento por indicadores de un camino incluye la ejecución de las diferentes obras de mantenimiento (rutinario, periódico y/o extraordinario) y rehabilitación necesarias para alcanzar y mantener </w:t>
      </w:r>
      <w:r w:rsidR="00CE7640">
        <w:rPr>
          <w:rFonts w:ascii="Times New Roman" w:hAnsi="Times New Roman" w:cs="Times New Roman"/>
        </w:rPr>
        <w:t>ciertas condiciones de estado, denominadas estándares y niveles de servicio, con independencia de la causa que generó el deterioro: simple deterioro por efecto combinado del tránsito y el clima, materiales defectuosos, fenómenos climáticos, accidentes de tránsito, vandalismos, etc. Las únicas obras que el Contratista se encuentra exonerado de realizar como parte de las obligaciones de mantenimiento son aquellas derivadas directamente de fenómenos extraordinarios como conflictos sociales, tormentas, inundaciones o terremotos que provoquen deterioros que superan una cierta magnitud que se establece, circunstancia en que se habilitará un procedimiento especial para atender tales situaciones excepcionales.</w:t>
      </w:r>
    </w:p>
    <w:p w:rsidR="00842DFB" w:rsidRPr="00581D7B" w:rsidRDefault="00842DFB" w:rsidP="00826CB7">
      <w:pPr>
        <w:pStyle w:val="ListParagraph"/>
        <w:numPr>
          <w:ilvl w:val="0"/>
          <w:numId w:val="17"/>
        </w:numPr>
        <w:spacing w:before="120" w:after="0" w:line="240" w:lineRule="auto"/>
        <w:contextualSpacing w:val="0"/>
        <w:jc w:val="both"/>
        <w:rPr>
          <w:rFonts w:ascii="Times New Roman" w:hAnsi="Times New Roman" w:cs="Times New Roman"/>
          <w:b/>
        </w:rPr>
      </w:pPr>
      <w:r>
        <w:rPr>
          <w:rFonts w:ascii="Times New Roman" w:hAnsi="Times New Roman" w:cs="Times New Roman"/>
          <w:b/>
        </w:rPr>
        <w:t>Mantenimiento inicial</w:t>
      </w:r>
      <w:r w:rsidRPr="00581D7B">
        <w:rPr>
          <w:rFonts w:ascii="Times New Roman" w:hAnsi="Times New Roman" w:cs="Times New Roman"/>
          <w:b/>
        </w:rPr>
        <w:t>.</w:t>
      </w:r>
    </w:p>
    <w:p w:rsidR="00842DFB" w:rsidRDefault="00B46384" w:rsidP="00842DFB">
      <w:pPr>
        <w:pStyle w:val="ListParagraph"/>
        <w:spacing w:before="120" w:after="0" w:line="240" w:lineRule="auto"/>
        <w:ind w:left="1069"/>
        <w:contextualSpacing w:val="0"/>
        <w:jc w:val="both"/>
        <w:rPr>
          <w:rFonts w:ascii="Times New Roman" w:hAnsi="Times New Roman" w:cs="Times New Roman"/>
        </w:rPr>
      </w:pPr>
      <w:r>
        <w:rPr>
          <w:rFonts w:ascii="Times New Roman" w:hAnsi="Times New Roman" w:cs="Times New Roman"/>
        </w:rPr>
        <w:t>El Mantenimiento inicial comprende la realización de las obras definidas en este Capítulo y todas aquellas tareas de mantenimiento que el Contratista considere necesarias para alcanzar los estándares previstos</w:t>
      </w:r>
      <w:r w:rsidR="00842DFB" w:rsidRPr="00581D7B">
        <w:rPr>
          <w:rFonts w:ascii="Times New Roman" w:hAnsi="Times New Roman" w:cs="Times New Roman"/>
        </w:rPr>
        <w:t>.</w:t>
      </w:r>
    </w:p>
    <w:p w:rsidR="00B46384" w:rsidRDefault="00FE5A86" w:rsidP="00842DFB">
      <w:pPr>
        <w:pStyle w:val="ListParagraph"/>
        <w:spacing w:before="120" w:after="0" w:line="240" w:lineRule="auto"/>
        <w:ind w:left="1069"/>
        <w:contextualSpacing w:val="0"/>
        <w:jc w:val="both"/>
        <w:rPr>
          <w:rFonts w:ascii="Times New Roman" w:hAnsi="Times New Roman" w:cs="Times New Roman"/>
        </w:rPr>
      </w:pPr>
      <w:r w:rsidRPr="00FE5A86">
        <w:rPr>
          <w:rFonts w:ascii="Times New Roman" w:hAnsi="Times New Roman" w:cs="Times New Roman"/>
          <w:b/>
        </w:rPr>
        <w:t>Niveles de servicio</w:t>
      </w:r>
      <w:r>
        <w:rPr>
          <w:rFonts w:ascii="Times New Roman" w:hAnsi="Times New Roman" w:cs="Times New Roman"/>
        </w:rPr>
        <w:t xml:space="preserve">. </w:t>
      </w:r>
      <w:r w:rsidR="00B46384">
        <w:rPr>
          <w:rFonts w:ascii="Times New Roman" w:hAnsi="Times New Roman" w:cs="Times New Roman"/>
        </w:rPr>
        <w:t xml:space="preserve">Para que el Contratista tenga derecho al pago por los servicios prestados deberá asegurar que los tramos objeto del Contrato cumplan con los estándares o indicadores que se hayan especificado en los documentos de licitación. Dichos </w:t>
      </w:r>
      <w:r w:rsidR="00B46384">
        <w:rPr>
          <w:rFonts w:ascii="Times New Roman" w:hAnsi="Times New Roman" w:cs="Times New Roman"/>
        </w:rPr>
        <w:lastRenderedPageBreak/>
        <w:t>estándares o indicadores permitirán alcanzar los niveles de servicio que se describen a continuación.</w:t>
      </w:r>
    </w:p>
    <w:p w:rsidR="00B46384" w:rsidRDefault="00B46384" w:rsidP="00826CB7">
      <w:pPr>
        <w:pStyle w:val="ListParagraph"/>
        <w:numPr>
          <w:ilvl w:val="0"/>
          <w:numId w:val="18"/>
        </w:numPr>
        <w:spacing w:after="0" w:line="240" w:lineRule="auto"/>
        <w:contextualSpacing w:val="0"/>
        <w:jc w:val="both"/>
        <w:rPr>
          <w:rFonts w:ascii="Times New Roman" w:hAnsi="Times New Roman" w:cs="Times New Roman"/>
        </w:rPr>
      </w:pPr>
      <w:r>
        <w:rPr>
          <w:rFonts w:ascii="Times New Roman" w:hAnsi="Times New Roman" w:cs="Times New Roman"/>
        </w:rPr>
        <w:t>Franja de dominio.</w:t>
      </w:r>
    </w:p>
    <w:p w:rsidR="00B46384" w:rsidRDefault="00B46384" w:rsidP="00826CB7">
      <w:pPr>
        <w:pStyle w:val="ListParagraph"/>
        <w:numPr>
          <w:ilvl w:val="0"/>
          <w:numId w:val="18"/>
        </w:numPr>
        <w:spacing w:after="0" w:line="240" w:lineRule="auto"/>
        <w:contextualSpacing w:val="0"/>
        <w:jc w:val="both"/>
        <w:rPr>
          <w:rFonts w:ascii="Times New Roman" w:hAnsi="Times New Roman" w:cs="Times New Roman"/>
        </w:rPr>
      </w:pPr>
      <w:r>
        <w:rPr>
          <w:rFonts w:ascii="Times New Roman" w:hAnsi="Times New Roman" w:cs="Times New Roman"/>
        </w:rPr>
        <w:t>Superficie de rodadura.</w:t>
      </w:r>
    </w:p>
    <w:p w:rsidR="00B46384" w:rsidRDefault="00B46384" w:rsidP="00826CB7">
      <w:pPr>
        <w:pStyle w:val="ListParagraph"/>
        <w:numPr>
          <w:ilvl w:val="0"/>
          <w:numId w:val="18"/>
        </w:numPr>
        <w:spacing w:after="0" w:line="240" w:lineRule="auto"/>
        <w:contextualSpacing w:val="0"/>
        <w:jc w:val="both"/>
        <w:rPr>
          <w:rFonts w:ascii="Times New Roman" w:hAnsi="Times New Roman" w:cs="Times New Roman"/>
        </w:rPr>
      </w:pPr>
      <w:r>
        <w:rPr>
          <w:rFonts w:ascii="Times New Roman" w:hAnsi="Times New Roman" w:cs="Times New Roman"/>
        </w:rPr>
        <w:t>Cunetas revestidas.</w:t>
      </w:r>
    </w:p>
    <w:p w:rsidR="00B46384" w:rsidRDefault="00B46384" w:rsidP="00826CB7">
      <w:pPr>
        <w:pStyle w:val="ListParagraph"/>
        <w:numPr>
          <w:ilvl w:val="0"/>
          <w:numId w:val="18"/>
        </w:numPr>
        <w:spacing w:after="0" w:line="240" w:lineRule="auto"/>
        <w:contextualSpacing w:val="0"/>
        <w:jc w:val="both"/>
        <w:rPr>
          <w:rFonts w:ascii="Times New Roman" w:hAnsi="Times New Roman" w:cs="Times New Roman"/>
        </w:rPr>
      </w:pPr>
      <w:r>
        <w:rPr>
          <w:rFonts w:ascii="Times New Roman" w:hAnsi="Times New Roman" w:cs="Times New Roman"/>
        </w:rPr>
        <w:t>Cunetas naturales y zanjas de drenaje.</w:t>
      </w:r>
    </w:p>
    <w:p w:rsidR="00B46384" w:rsidRDefault="00B46384" w:rsidP="00826CB7">
      <w:pPr>
        <w:pStyle w:val="ListParagraph"/>
        <w:numPr>
          <w:ilvl w:val="0"/>
          <w:numId w:val="18"/>
        </w:numPr>
        <w:spacing w:after="0" w:line="240" w:lineRule="auto"/>
        <w:contextualSpacing w:val="0"/>
        <w:jc w:val="both"/>
        <w:rPr>
          <w:rFonts w:ascii="Times New Roman" w:hAnsi="Times New Roman" w:cs="Times New Roman"/>
        </w:rPr>
      </w:pPr>
      <w:r>
        <w:rPr>
          <w:rFonts w:ascii="Times New Roman" w:hAnsi="Times New Roman" w:cs="Times New Roman"/>
        </w:rPr>
        <w:t>Alcantarillas.</w:t>
      </w:r>
    </w:p>
    <w:p w:rsidR="00B46384" w:rsidRDefault="00B46384" w:rsidP="00826CB7">
      <w:pPr>
        <w:pStyle w:val="ListParagraph"/>
        <w:numPr>
          <w:ilvl w:val="0"/>
          <w:numId w:val="18"/>
        </w:numPr>
        <w:spacing w:after="0" w:line="240" w:lineRule="auto"/>
        <w:contextualSpacing w:val="0"/>
        <w:jc w:val="both"/>
        <w:rPr>
          <w:rFonts w:ascii="Times New Roman" w:hAnsi="Times New Roman" w:cs="Times New Roman"/>
        </w:rPr>
      </w:pPr>
      <w:r>
        <w:rPr>
          <w:rFonts w:ascii="Times New Roman" w:hAnsi="Times New Roman" w:cs="Times New Roman"/>
        </w:rPr>
        <w:t>Mantenimiento de puentes de hormigón.</w:t>
      </w:r>
    </w:p>
    <w:p w:rsidR="00B46384" w:rsidRDefault="00B46384" w:rsidP="00826CB7">
      <w:pPr>
        <w:pStyle w:val="ListParagraph"/>
        <w:numPr>
          <w:ilvl w:val="0"/>
          <w:numId w:val="18"/>
        </w:numPr>
        <w:spacing w:after="0" w:line="240" w:lineRule="auto"/>
        <w:contextualSpacing w:val="0"/>
        <w:jc w:val="both"/>
        <w:rPr>
          <w:rFonts w:ascii="Times New Roman" w:hAnsi="Times New Roman" w:cs="Times New Roman"/>
        </w:rPr>
      </w:pPr>
      <w:r>
        <w:rPr>
          <w:rFonts w:ascii="Times New Roman" w:hAnsi="Times New Roman" w:cs="Times New Roman"/>
        </w:rPr>
        <w:t>Obras de puesta a punto de puentes de madera.</w:t>
      </w:r>
    </w:p>
    <w:p w:rsidR="00B46384" w:rsidRDefault="00B46384" w:rsidP="00826CB7">
      <w:pPr>
        <w:pStyle w:val="ListParagraph"/>
        <w:numPr>
          <w:ilvl w:val="0"/>
          <w:numId w:val="18"/>
        </w:numPr>
        <w:spacing w:after="0" w:line="240" w:lineRule="auto"/>
        <w:contextualSpacing w:val="0"/>
        <w:jc w:val="both"/>
        <w:rPr>
          <w:rFonts w:ascii="Times New Roman" w:hAnsi="Times New Roman" w:cs="Times New Roman"/>
        </w:rPr>
      </w:pPr>
      <w:r>
        <w:rPr>
          <w:rFonts w:ascii="Times New Roman" w:hAnsi="Times New Roman" w:cs="Times New Roman"/>
        </w:rPr>
        <w:t>Señalizaciones (preventivas e informativas).</w:t>
      </w:r>
    </w:p>
    <w:p w:rsidR="00B46384" w:rsidRDefault="00B46384" w:rsidP="00842DFB">
      <w:pPr>
        <w:pStyle w:val="ListParagraph"/>
        <w:spacing w:before="120" w:after="0" w:line="240" w:lineRule="auto"/>
        <w:ind w:left="1069"/>
        <w:contextualSpacing w:val="0"/>
        <w:jc w:val="both"/>
        <w:rPr>
          <w:rFonts w:ascii="Times New Roman" w:hAnsi="Times New Roman" w:cs="Times New Roman"/>
        </w:rPr>
      </w:pPr>
    </w:p>
    <w:p w:rsidR="00B46384" w:rsidRDefault="00B46384" w:rsidP="00842DFB">
      <w:pPr>
        <w:pStyle w:val="ListParagraph"/>
        <w:spacing w:before="120" w:after="0" w:line="240" w:lineRule="auto"/>
        <w:ind w:left="1069"/>
        <w:contextualSpacing w:val="0"/>
        <w:jc w:val="both"/>
        <w:rPr>
          <w:rFonts w:ascii="Times New Roman" w:hAnsi="Times New Roman" w:cs="Times New Roman"/>
        </w:rPr>
      </w:pPr>
      <w:r>
        <w:rPr>
          <w:rFonts w:ascii="Times New Roman" w:hAnsi="Times New Roman" w:cs="Times New Roman"/>
        </w:rPr>
        <w:t>Para la determinación de los Niveles de Servicio se realizará la evaluación del estado de cada camino, de forma tal a caracterizar las variables que permitan determinar la condición funcional y estructural del mismo. La condición funcional está influenciada por la condición estructural. En ambos casos, los defectos superficiales constituyen un síntoma de fallas que inciden en el estado del camino. La evaluación del estado del camino consiste en el relevamiento de las condiciones en que se encuentra cada camino y reflejadas a través de los indicadores establecidos que cuantificarán los resultados y calificaciones alcanzados. La inspección visual será un procedimiento a utilizar en el presente Contrato y permitirá identificar y caracterizar el estado del camino.</w:t>
      </w:r>
    </w:p>
    <w:p w:rsidR="00B46384" w:rsidRDefault="00B46384" w:rsidP="00842DFB">
      <w:pPr>
        <w:pStyle w:val="ListParagraph"/>
        <w:spacing w:before="120" w:after="0" w:line="240" w:lineRule="auto"/>
        <w:ind w:left="1069"/>
        <w:contextualSpacing w:val="0"/>
        <w:jc w:val="both"/>
        <w:rPr>
          <w:rFonts w:ascii="Times New Roman" w:hAnsi="Times New Roman" w:cs="Times New Roman"/>
        </w:rPr>
      </w:pPr>
      <w:r>
        <w:rPr>
          <w:rFonts w:ascii="Times New Roman" w:hAnsi="Times New Roman" w:cs="Times New Roman"/>
        </w:rPr>
        <w:t>Se incluyen cuadros que muestran los indicadores, el método de inspección, la tolerancia y la calificación de cada uno de los elementos.</w:t>
      </w:r>
    </w:p>
    <w:p w:rsidR="00B46384" w:rsidRDefault="00B46384" w:rsidP="00842DFB">
      <w:pPr>
        <w:pStyle w:val="ListParagraph"/>
        <w:spacing w:before="120" w:after="0" w:line="240" w:lineRule="auto"/>
        <w:ind w:left="1069"/>
        <w:contextualSpacing w:val="0"/>
        <w:jc w:val="both"/>
        <w:rPr>
          <w:rFonts w:ascii="Times New Roman" w:hAnsi="Times New Roman" w:cs="Times New Roman"/>
        </w:rPr>
      </w:pPr>
      <w:r w:rsidRPr="00B46384">
        <w:rPr>
          <w:rFonts w:ascii="Times New Roman" w:hAnsi="Times New Roman" w:cs="Times New Roman"/>
          <w:b/>
        </w:rPr>
        <w:t>Puesta a punto de puentes de madera</w:t>
      </w:r>
      <w:r>
        <w:rPr>
          <w:rFonts w:ascii="Times New Roman" w:hAnsi="Times New Roman" w:cs="Times New Roman"/>
        </w:rPr>
        <w:t>. Se incluye la lista de identificación de cada puente con sus coordenadas, según tramo y paquete.</w:t>
      </w:r>
    </w:p>
    <w:p w:rsidR="00FE5A86" w:rsidRDefault="00FE5A86" w:rsidP="00842DFB">
      <w:pPr>
        <w:pStyle w:val="ListParagraph"/>
        <w:spacing w:before="120" w:after="0" w:line="240" w:lineRule="auto"/>
        <w:ind w:left="1069"/>
        <w:contextualSpacing w:val="0"/>
        <w:jc w:val="both"/>
        <w:rPr>
          <w:rFonts w:ascii="Times New Roman" w:hAnsi="Times New Roman" w:cs="Times New Roman"/>
        </w:rPr>
      </w:pPr>
      <w:r>
        <w:rPr>
          <w:rFonts w:ascii="Times New Roman" w:hAnsi="Times New Roman" w:cs="Times New Roman"/>
          <w:b/>
        </w:rPr>
        <w:t>Forma de pago</w:t>
      </w:r>
      <w:r w:rsidRPr="00FE5A86">
        <w:rPr>
          <w:rFonts w:ascii="Times New Roman" w:hAnsi="Times New Roman" w:cs="Times New Roman"/>
        </w:rPr>
        <w:t>.</w:t>
      </w:r>
      <w:r>
        <w:rPr>
          <w:rFonts w:ascii="Times New Roman" w:hAnsi="Times New Roman" w:cs="Times New Roman"/>
        </w:rPr>
        <w:t xml:space="preserve"> Es por suma alzada fija por cada camino concluido, de acuerdo a los montos ofertados por el Contratista para cada camino en el Mantenimiento Inicial, siempre y cuando la evaluación dé como resultado una calificación igual o superior al 80%. En caso de que el Contratista no haya alcanzado el 70% de su cronograma físico financiero al 10° mes de iniciado el Contrato, esto implicará la rescisión del Contrato en forma inmediata, salvo situaciones no imputables al Contratista. Igualmente si al finalizar el 12° mes de iniciado el Contrato el Contratista no concluye el Mantenimiento Inicial de la totalidad de los tramos afectados, esto implicará la rescisión del Contrato en forma inmediata. Entre el 10° y el 12° mes el Contratista no podrá percibir importe alguno relacionado a Mantenimiento Rutinario.</w:t>
      </w:r>
    </w:p>
    <w:p w:rsidR="00842DFB" w:rsidRPr="00581D7B" w:rsidRDefault="00842DFB" w:rsidP="00842DFB">
      <w:pPr>
        <w:pStyle w:val="ListParagraph"/>
        <w:spacing w:before="120" w:after="0" w:line="240" w:lineRule="auto"/>
        <w:ind w:left="1069"/>
        <w:contextualSpacing w:val="0"/>
        <w:jc w:val="both"/>
        <w:rPr>
          <w:rFonts w:ascii="Times New Roman" w:hAnsi="Times New Roman" w:cs="Times New Roman"/>
        </w:rPr>
      </w:pPr>
      <w:r w:rsidRPr="00842DFB">
        <w:rPr>
          <w:rFonts w:ascii="Times New Roman" w:hAnsi="Times New Roman" w:cs="Times New Roman"/>
          <w:b/>
        </w:rPr>
        <w:t>Lluvia (a partir de 10mm)</w:t>
      </w:r>
      <w:r>
        <w:rPr>
          <w:rFonts w:ascii="Times New Roman" w:hAnsi="Times New Roman" w:cs="Times New Roman"/>
        </w:rPr>
        <w:t>. El Contratista deberá prever ocho (8) días calendarios por mes, de inactividad por lluvia para el periodo de Mantenimiento Inicial (diez meses). A partir de esto, el Contratista podrá solicitar prolongación de los plazos de ejecución por dicho efecto. Las Estaciones Pluviométricas que se usarán de referencia para la determinación de días perdidos por lluvia serán definidas por el Supervisor de Obras del MOPC.</w:t>
      </w:r>
    </w:p>
    <w:p w:rsidR="00842DFB" w:rsidRPr="00581D7B" w:rsidRDefault="00842DFB" w:rsidP="00826CB7">
      <w:pPr>
        <w:pStyle w:val="ListParagraph"/>
        <w:numPr>
          <w:ilvl w:val="0"/>
          <w:numId w:val="17"/>
        </w:numPr>
        <w:spacing w:before="120" w:after="0" w:line="240" w:lineRule="auto"/>
        <w:contextualSpacing w:val="0"/>
        <w:jc w:val="both"/>
        <w:rPr>
          <w:rFonts w:ascii="Times New Roman" w:hAnsi="Times New Roman" w:cs="Times New Roman"/>
          <w:b/>
        </w:rPr>
      </w:pPr>
      <w:r>
        <w:rPr>
          <w:rFonts w:ascii="Times New Roman" w:hAnsi="Times New Roman" w:cs="Times New Roman"/>
          <w:b/>
        </w:rPr>
        <w:t>Mantenimiento rutinario</w:t>
      </w:r>
      <w:r w:rsidRPr="00581D7B">
        <w:rPr>
          <w:rFonts w:ascii="Times New Roman" w:hAnsi="Times New Roman" w:cs="Times New Roman"/>
          <w:b/>
        </w:rPr>
        <w:t>.</w:t>
      </w:r>
    </w:p>
    <w:p w:rsidR="00842DFB" w:rsidRDefault="00FE5A86" w:rsidP="00842DFB">
      <w:pPr>
        <w:pStyle w:val="ListParagraph"/>
        <w:spacing w:before="120" w:after="0" w:line="240" w:lineRule="auto"/>
        <w:ind w:left="1069"/>
        <w:contextualSpacing w:val="0"/>
        <w:jc w:val="both"/>
        <w:rPr>
          <w:rFonts w:ascii="Times New Roman" w:hAnsi="Times New Roman" w:cs="Times New Roman"/>
        </w:rPr>
      </w:pPr>
      <w:r>
        <w:rPr>
          <w:rFonts w:ascii="Times New Roman" w:hAnsi="Times New Roman" w:cs="Times New Roman"/>
        </w:rPr>
        <w:t>El Mantenimiento Rutinario abarcará la obligación del Contratista de mantener los estándares alcanzados en el Mantenimiento Inicial, establecidos para los distintos elementos que integran la infraestructura de los diferentes caminos objeto del Contrato</w:t>
      </w:r>
      <w:r w:rsidR="00842DFB" w:rsidRPr="00581D7B">
        <w:rPr>
          <w:rFonts w:ascii="Times New Roman" w:hAnsi="Times New Roman" w:cs="Times New Roman"/>
        </w:rPr>
        <w:t>.</w:t>
      </w:r>
    </w:p>
    <w:p w:rsidR="00FE5A86" w:rsidRDefault="00FE5A86" w:rsidP="00FE5A86">
      <w:pPr>
        <w:pStyle w:val="ListParagraph"/>
        <w:spacing w:before="120" w:after="0" w:line="240" w:lineRule="auto"/>
        <w:ind w:left="1069"/>
        <w:contextualSpacing w:val="0"/>
        <w:jc w:val="both"/>
        <w:rPr>
          <w:rFonts w:ascii="Times New Roman" w:hAnsi="Times New Roman" w:cs="Times New Roman"/>
        </w:rPr>
      </w:pPr>
      <w:r w:rsidRPr="00FE5A86">
        <w:rPr>
          <w:rFonts w:ascii="Times New Roman" w:hAnsi="Times New Roman" w:cs="Times New Roman"/>
          <w:b/>
        </w:rPr>
        <w:t>Niveles de servicio</w:t>
      </w:r>
      <w:r>
        <w:rPr>
          <w:rFonts w:ascii="Times New Roman" w:hAnsi="Times New Roman" w:cs="Times New Roman"/>
        </w:rPr>
        <w:t>. Para que el Contratista tenga derecho al pago por los servicios prestados deberá asegurar que los tramos objeto del Contrato cumplan con los estándares o indicadores que se hayan especificado en los documentos de licitación. Dichos estándares o indicadores permitirán alcanzar los niveles de servicio que se describen a continuación.</w:t>
      </w:r>
    </w:p>
    <w:p w:rsidR="00FE5A86" w:rsidRDefault="00FE5A86" w:rsidP="00826CB7">
      <w:pPr>
        <w:pStyle w:val="ListParagraph"/>
        <w:numPr>
          <w:ilvl w:val="0"/>
          <w:numId w:val="18"/>
        </w:numPr>
        <w:spacing w:after="0" w:line="240" w:lineRule="auto"/>
        <w:contextualSpacing w:val="0"/>
        <w:jc w:val="both"/>
        <w:rPr>
          <w:rFonts w:ascii="Times New Roman" w:hAnsi="Times New Roman" w:cs="Times New Roman"/>
        </w:rPr>
      </w:pPr>
      <w:r>
        <w:rPr>
          <w:rFonts w:ascii="Times New Roman" w:hAnsi="Times New Roman" w:cs="Times New Roman"/>
        </w:rPr>
        <w:t>Franja de dominio.</w:t>
      </w:r>
    </w:p>
    <w:p w:rsidR="00FE5A86" w:rsidRDefault="00FE5A86" w:rsidP="00826CB7">
      <w:pPr>
        <w:pStyle w:val="ListParagraph"/>
        <w:numPr>
          <w:ilvl w:val="0"/>
          <w:numId w:val="18"/>
        </w:numPr>
        <w:spacing w:after="0" w:line="240" w:lineRule="auto"/>
        <w:contextualSpacing w:val="0"/>
        <w:jc w:val="both"/>
        <w:rPr>
          <w:rFonts w:ascii="Times New Roman" w:hAnsi="Times New Roman" w:cs="Times New Roman"/>
        </w:rPr>
      </w:pPr>
      <w:r>
        <w:rPr>
          <w:rFonts w:ascii="Times New Roman" w:hAnsi="Times New Roman" w:cs="Times New Roman"/>
        </w:rPr>
        <w:lastRenderedPageBreak/>
        <w:t>Superficie de rodadura.</w:t>
      </w:r>
    </w:p>
    <w:p w:rsidR="00FE5A86" w:rsidRDefault="00FE5A86" w:rsidP="00826CB7">
      <w:pPr>
        <w:pStyle w:val="ListParagraph"/>
        <w:numPr>
          <w:ilvl w:val="0"/>
          <w:numId w:val="18"/>
        </w:numPr>
        <w:spacing w:after="0" w:line="240" w:lineRule="auto"/>
        <w:contextualSpacing w:val="0"/>
        <w:jc w:val="both"/>
        <w:rPr>
          <w:rFonts w:ascii="Times New Roman" w:hAnsi="Times New Roman" w:cs="Times New Roman"/>
        </w:rPr>
      </w:pPr>
      <w:r>
        <w:rPr>
          <w:rFonts w:ascii="Times New Roman" w:hAnsi="Times New Roman" w:cs="Times New Roman"/>
        </w:rPr>
        <w:t>Cunetas revestidas.</w:t>
      </w:r>
    </w:p>
    <w:p w:rsidR="00FE5A86" w:rsidRDefault="00FE5A86" w:rsidP="00826CB7">
      <w:pPr>
        <w:pStyle w:val="ListParagraph"/>
        <w:numPr>
          <w:ilvl w:val="0"/>
          <w:numId w:val="18"/>
        </w:numPr>
        <w:spacing w:after="0" w:line="240" w:lineRule="auto"/>
        <w:contextualSpacing w:val="0"/>
        <w:jc w:val="both"/>
        <w:rPr>
          <w:rFonts w:ascii="Times New Roman" w:hAnsi="Times New Roman" w:cs="Times New Roman"/>
        </w:rPr>
      </w:pPr>
      <w:r>
        <w:rPr>
          <w:rFonts w:ascii="Times New Roman" w:hAnsi="Times New Roman" w:cs="Times New Roman"/>
        </w:rPr>
        <w:t>Cunetas naturales y zanjas de drenaje.</w:t>
      </w:r>
    </w:p>
    <w:p w:rsidR="00FE5A86" w:rsidRDefault="00FE5A86" w:rsidP="00826CB7">
      <w:pPr>
        <w:pStyle w:val="ListParagraph"/>
        <w:numPr>
          <w:ilvl w:val="0"/>
          <w:numId w:val="18"/>
        </w:numPr>
        <w:spacing w:after="0" w:line="240" w:lineRule="auto"/>
        <w:contextualSpacing w:val="0"/>
        <w:jc w:val="both"/>
        <w:rPr>
          <w:rFonts w:ascii="Times New Roman" w:hAnsi="Times New Roman" w:cs="Times New Roman"/>
        </w:rPr>
      </w:pPr>
      <w:r>
        <w:rPr>
          <w:rFonts w:ascii="Times New Roman" w:hAnsi="Times New Roman" w:cs="Times New Roman"/>
        </w:rPr>
        <w:t>Alcantarillas.</w:t>
      </w:r>
    </w:p>
    <w:p w:rsidR="00FE5A86" w:rsidRDefault="00FE5A86" w:rsidP="00826CB7">
      <w:pPr>
        <w:pStyle w:val="ListParagraph"/>
        <w:numPr>
          <w:ilvl w:val="0"/>
          <w:numId w:val="18"/>
        </w:numPr>
        <w:spacing w:after="0" w:line="240" w:lineRule="auto"/>
        <w:contextualSpacing w:val="0"/>
        <w:jc w:val="both"/>
        <w:rPr>
          <w:rFonts w:ascii="Times New Roman" w:hAnsi="Times New Roman" w:cs="Times New Roman"/>
        </w:rPr>
      </w:pPr>
      <w:r>
        <w:rPr>
          <w:rFonts w:ascii="Times New Roman" w:hAnsi="Times New Roman" w:cs="Times New Roman"/>
        </w:rPr>
        <w:t>Mantenimiento de puentes de hormigón y puentes de madera.</w:t>
      </w:r>
    </w:p>
    <w:p w:rsidR="00FE5A86" w:rsidRDefault="00FE5A86" w:rsidP="00826CB7">
      <w:pPr>
        <w:pStyle w:val="ListParagraph"/>
        <w:numPr>
          <w:ilvl w:val="0"/>
          <w:numId w:val="18"/>
        </w:numPr>
        <w:spacing w:after="0" w:line="240" w:lineRule="auto"/>
        <w:contextualSpacing w:val="0"/>
        <w:jc w:val="both"/>
        <w:rPr>
          <w:rFonts w:ascii="Times New Roman" w:hAnsi="Times New Roman" w:cs="Times New Roman"/>
        </w:rPr>
      </w:pPr>
      <w:r>
        <w:rPr>
          <w:rFonts w:ascii="Times New Roman" w:hAnsi="Times New Roman" w:cs="Times New Roman"/>
        </w:rPr>
        <w:t>Señalizaciones (preventivas e informativas).</w:t>
      </w:r>
    </w:p>
    <w:p w:rsidR="00FE5A86" w:rsidRDefault="00FE5A86" w:rsidP="00FE5A86">
      <w:pPr>
        <w:pStyle w:val="ListParagraph"/>
        <w:spacing w:before="120" w:after="0" w:line="240" w:lineRule="auto"/>
        <w:ind w:left="1069"/>
        <w:contextualSpacing w:val="0"/>
        <w:jc w:val="both"/>
        <w:rPr>
          <w:rFonts w:ascii="Times New Roman" w:hAnsi="Times New Roman" w:cs="Times New Roman"/>
        </w:rPr>
      </w:pPr>
      <w:r>
        <w:rPr>
          <w:rFonts w:ascii="Times New Roman" w:hAnsi="Times New Roman" w:cs="Times New Roman"/>
        </w:rPr>
        <w:t>Para la determinación de los Niveles de Servicio se realizará la evaluación del estado de cada camino, de forma tal a caracterizar las variables que permitan determinar la condición funcional y estructural del mismo. La condición funcional está influenciada por la condición estructural. En ambos casos, los defectos superficiales constituyen un síntoma de fallas que inciden en el estado del camino. La evaluación del estado del camino consiste en el relevamiento de las condiciones en que se encuentra cada camino y reflejadas a través de los indicadores establecidos que cuantificarán los resultados y calificaciones alcanzados. La inspección visual será un procedimiento a utilizar en el presente Contrato y permitirá identificar y caracterizar el estado del camino.</w:t>
      </w:r>
    </w:p>
    <w:p w:rsidR="00FE5A86" w:rsidRPr="00FE5A86" w:rsidRDefault="00FE5A86" w:rsidP="00FE5A86">
      <w:pPr>
        <w:pStyle w:val="ListParagraph"/>
        <w:spacing w:before="120" w:after="0" w:line="240" w:lineRule="auto"/>
        <w:ind w:left="1069"/>
        <w:contextualSpacing w:val="0"/>
        <w:jc w:val="both"/>
        <w:rPr>
          <w:rFonts w:ascii="Times New Roman" w:hAnsi="Times New Roman" w:cs="Times New Roman"/>
        </w:rPr>
      </w:pPr>
      <w:r>
        <w:rPr>
          <w:rFonts w:ascii="Times New Roman" w:hAnsi="Times New Roman" w:cs="Times New Roman"/>
        </w:rPr>
        <w:t>Se incluyen cuadros que muestran los indicadores, el método de inspección, la tolerancia y la calificación de cada uno de los elementos</w:t>
      </w:r>
    </w:p>
    <w:p w:rsidR="00856E19" w:rsidRDefault="00856E19" w:rsidP="00856E19">
      <w:pPr>
        <w:pStyle w:val="ListParagraph"/>
        <w:spacing w:before="120" w:after="0" w:line="240" w:lineRule="auto"/>
        <w:ind w:left="1069"/>
        <w:contextualSpacing w:val="0"/>
        <w:jc w:val="both"/>
        <w:rPr>
          <w:rFonts w:ascii="Times New Roman" w:hAnsi="Times New Roman" w:cs="Times New Roman"/>
        </w:rPr>
      </w:pPr>
      <w:r>
        <w:rPr>
          <w:rFonts w:ascii="Times New Roman" w:hAnsi="Times New Roman" w:cs="Times New Roman"/>
          <w:b/>
        </w:rPr>
        <w:t>Forma de pago</w:t>
      </w:r>
      <w:r w:rsidRPr="00FE5A86">
        <w:rPr>
          <w:rFonts w:ascii="Times New Roman" w:hAnsi="Times New Roman" w:cs="Times New Roman"/>
        </w:rPr>
        <w:t>.</w:t>
      </w:r>
      <w:r>
        <w:rPr>
          <w:rFonts w:ascii="Times New Roman" w:hAnsi="Times New Roman" w:cs="Times New Roman"/>
        </w:rPr>
        <w:t xml:space="preserve"> Es por suma alzada fija mensual resultante de todos los tramos. Las cuotas correspondientes al Mantenimiento Rutinario regirán a partir de la conclusión del periodo de Mantenimiento Inicial de la totalidad de los tramos afectados. Esta suma alzada será abonada siempre y cuando se cumplan con todos los niveles de servicio exigidos, ya que en caso contrario la misma sufrirá reducciones.</w:t>
      </w:r>
    </w:p>
    <w:p w:rsidR="00E97935" w:rsidRDefault="00856E19" w:rsidP="00856E19">
      <w:pPr>
        <w:pStyle w:val="ListParagraph"/>
        <w:spacing w:before="120" w:after="0" w:line="240" w:lineRule="auto"/>
        <w:ind w:left="1069"/>
        <w:contextualSpacing w:val="0"/>
        <w:jc w:val="both"/>
        <w:rPr>
          <w:rFonts w:ascii="Times New Roman" w:hAnsi="Times New Roman" w:cs="Times New Roman"/>
        </w:rPr>
      </w:pPr>
      <w:r>
        <w:rPr>
          <w:rFonts w:ascii="Times New Roman" w:hAnsi="Times New Roman" w:cs="Times New Roman"/>
          <w:b/>
        </w:rPr>
        <w:t>Sanciones por incumplimiento</w:t>
      </w:r>
      <w:r w:rsidRPr="00856E19">
        <w:rPr>
          <w:rFonts w:ascii="Times New Roman" w:hAnsi="Times New Roman" w:cs="Times New Roman"/>
        </w:rPr>
        <w:t>.</w:t>
      </w:r>
      <w:r>
        <w:rPr>
          <w:rFonts w:ascii="Times New Roman" w:hAnsi="Times New Roman" w:cs="Times New Roman"/>
        </w:rPr>
        <w:t xml:space="preserve"> Se considerará que cuando el promedio</w:t>
      </w:r>
      <w:r w:rsidR="00E97935">
        <w:rPr>
          <w:rFonts w:ascii="Times New Roman" w:hAnsi="Times New Roman" w:cs="Times New Roman"/>
        </w:rPr>
        <w:t xml:space="preserve"> de la calificación final de todos los tramos iguale o supere el 80% el Contratista tendrá derecho a percibir el 100% de su cuota mensual. Los puntajes inferiores a lo indicado precedentemente, tendrán una penalización según la descripción que se indica más abajo, dado que el objetivo principal del presente Contrato es la conservación y el mantenimiento de todos los caminos en el mismo.</w:t>
      </w:r>
    </w:p>
    <w:p w:rsidR="00426DCF" w:rsidRDefault="00426DCF" w:rsidP="00856E19">
      <w:pPr>
        <w:pStyle w:val="ListParagraph"/>
        <w:spacing w:before="120" w:after="0" w:line="240" w:lineRule="auto"/>
        <w:ind w:left="1069"/>
        <w:contextualSpacing w:val="0"/>
        <w:jc w:val="both"/>
        <w:rPr>
          <w:rFonts w:ascii="Times New Roman" w:hAnsi="Times New Roman" w:cs="Times New Roman"/>
        </w:rPr>
      </w:pPr>
    </w:p>
    <w:tbl>
      <w:tblPr>
        <w:tblStyle w:val="TableGrid"/>
        <w:tblW w:w="0" w:type="auto"/>
        <w:tblInd w:w="1069" w:type="dxa"/>
        <w:tblLook w:val="04A0" w:firstRow="1" w:lastRow="0" w:firstColumn="1" w:lastColumn="0" w:noHBand="0" w:noVBand="1"/>
      </w:tblPr>
      <w:tblGrid>
        <w:gridCol w:w="3575"/>
        <w:gridCol w:w="2268"/>
      </w:tblGrid>
      <w:tr w:rsidR="00426DCF" w:rsidTr="00426DCF">
        <w:tc>
          <w:tcPr>
            <w:tcW w:w="3575" w:type="dxa"/>
            <w:shd w:val="clear" w:color="auto" w:fill="DAEEF3" w:themeFill="accent5" w:themeFillTint="33"/>
          </w:tcPr>
          <w:p w:rsidR="00426DCF" w:rsidRDefault="00426DCF" w:rsidP="00426DCF">
            <w:pPr>
              <w:pStyle w:val="ListParagraph"/>
              <w:spacing w:after="0" w:line="240" w:lineRule="auto"/>
              <w:ind w:left="0"/>
              <w:contextualSpacing w:val="0"/>
              <w:jc w:val="center"/>
              <w:rPr>
                <w:rFonts w:ascii="Times New Roman" w:hAnsi="Times New Roman" w:cs="Times New Roman"/>
              </w:rPr>
            </w:pPr>
            <w:r>
              <w:rPr>
                <w:rFonts w:ascii="Times New Roman" w:hAnsi="Times New Roman" w:cs="Times New Roman"/>
              </w:rPr>
              <w:t>Promedio de calificación final de todos los caminos</w:t>
            </w:r>
          </w:p>
        </w:tc>
        <w:tc>
          <w:tcPr>
            <w:tcW w:w="2268" w:type="dxa"/>
            <w:shd w:val="clear" w:color="auto" w:fill="DAEEF3" w:themeFill="accent5" w:themeFillTint="33"/>
          </w:tcPr>
          <w:p w:rsidR="00426DCF" w:rsidRDefault="00426DCF" w:rsidP="00426DCF">
            <w:pPr>
              <w:pStyle w:val="ListParagraph"/>
              <w:spacing w:after="0" w:line="240" w:lineRule="auto"/>
              <w:ind w:left="0"/>
              <w:contextualSpacing w:val="0"/>
              <w:jc w:val="center"/>
              <w:rPr>
                <w:rFonts w:ascii="Times New Roman" w:hAnsi="Times New Roman" w:cs="Times New Roman"/>
              </w:rPr>
            </w:pPr>
            <w:r>
              <w:rPr>
                <w:rFonts w:ascii="Times New Roman" w:hAnsi="Times New Roman" w:cs="Times New Roman"/>
              </w:rPr>
              <w:t>Quita de la cuota total mensual</w:t>
            </w:r>
          </w:p>
        </w:tc>
      </w:tr>
      <w:tr w:rsidR="00426DCF" w:rsidTr="00426DCF">
        <w:tc>
          <w:tcPr>
            <w:tcW w:w="3575" w:type="dxa"/>
          </w:tcPr>
          <w:p w:rsidR="00426DCF" w:rsidRDefault="00426DCF" w:rsidP="002930DC">
            <w:pPr>
              <w:pStyle w:val="ListParagraph"/>
              <w:spacing w:after="0" w:line="240" w:lineRule="auto"/>
              <w:ind w:left="0"/>
              <w:contextualSpacing w:val="0"/>
              <w:jc w:val="both"/>
              <w:rPr>
                <w:rFonts w:ascii="Times New Roman" w:hAnsi="Times New Roman" w:cs="Times New Roman"/>
              </w:rPr>
            </w:pPr>
            <w:r>
              <w:rPr>
                <w:rFonts w:ascii="Times New Roman" w:hAnsi="Times New Roman" w:cs="Times New Roman"/>
              </w:rPr>
              <w:t>Menor de 80%  hasta 70%</w:t>
            </w:r>
          </w:p>
        </w:tc>
        <w:tc>
          <w:tcPr>
            <w:tcW w:w="2268" w:type="dxa"/>
          </w:tcPr>
          <w:p w:rsidR="00426DCF" w:rsidRDefault="00426DCF" w:rsidP="00426DCF">
            <w:pPr>
              <w:pStyle w:val="ListParagraph"/>
              <w:spacing w:after="0" w:line="240" w:lineRule="auto"/>
              <w:ind w:left="0"/>
              <w:contextualSpacing w:val="0"/>
              <w:jc w:val="center"/>
              <w:rPr>
                <w:rFonts w:ascii="Times New Roman" w:hAnsi="Times New Roman" w:cs="Times New Roman"/>
              </w:rPr>
            </w:pPr>
            <w:r>
              <w:rPr>
                <w:rFonts w:ascii="Times New Roman" w:hAnsi="Times New Roman" w:cs="Times New Roman"/>
              </w:rPr>
              <w:t>15%</w:t>
            </w:r>
          </w:p>
        </w:tc>
      </w:tr>
      <w:tr w:rsidR="00426DCF" w:rsidTr="00426DCF">
        <w:tc>
          <w:tcPr>
            <w:tcW w:w="3575" w:type="dxa"/>
          </w:tcPr>
          <w:p w:rsidR="00426DCF" w:rsidRDefault="00426DCF" w:rsidP="002930DC">
            <w:pPr>
              <w:pStyle w:val="ListParagraph"/>
              <w:spacing w:after="0" w:line="240" w:lineRule="auto"/>
              <w:ind w:left="0"/>
              <w:contextualSpacing w:val="0"/>
              <w:jc w:val="both"/>
              <w:rPr>
                <w:rFonts w:ascii="Times New Roman" w:hAnsi="Times New Roman" w:cs="Times New Roman"/>
              </w:rPr>
            </w:pPr>
            <w:r>
              <w:rPr>
                <w:rFonts w:ascii="Times New Roman" w:hAnsi="Times New Roman" w:cs="Times New Roman"/>
              </w:rPr>
              <w:t>Menor de 70% hasta 50%</w:t>
            </w:r>
          </w:p>
        </w:tc>
        <w:tc>
          <w:tcPr>
            <w:tcW w:w="2268" w:type="dxa"/>
          </w:tcPr>
          <w:p w:rsidR="00426DCF" w:rsidRDefault="00426DCF" w:rsidP="00426DCF">
            <w:pPr>
              <w:pStyle w:val="ListParagraph"/>
              <w:spacing w:after="0" w:line="240" w:lineRule="auto"/>
              <w:ind w:left="0"/>
              <w:contextualSpacing w:val="0"/>
              <w:jc w:val="center"/>
              <w:rPr>
                <w:rFonts w:ascii="Times New Roman" w:hAnsi="Times New Roman" w:cs="Times New Roman"/>
              </w:rPr>
            </w:pPr>
            <w:r>
              <w:rPr>
                <w:rFonts w:ascii="Times New Roman" w:hAnsi="Times New Roman" w:cs="Times New Roman"/>
              </w:rPr>
              <w:t>50%</w:t>
            </w:r>
          </w:p>
        </w:tc>
      </w:tr>
      <w:tr w:rsidR="00426DCF" w:rsidTr="00426DCF">
        <w:tc>
          <w:tcPr>
            <w:tcW w:w="3575" w:type="dxa"/>
          </w:tcPr>
          <w:p w:rsidR="00426DCF" w:rsidRDefault="00426DCF" w:rsidP="002930DC">
            <w:pPr>
              <w:pStyle w:val="ListParagraph"/>
              <w:spacing w:after="0" w:line="240" w:lineRule="auto"/>
              <w:ind w:left="0"/>
              <w:contextualSpacing w:val="0"/>
              <w:jc w:val="both"/>
              <w:rPr>
                <w:rFonts w:ascii="Times New Roman" w:hAnsi="Times New Roman" w:cs="Times New Roman"/>
              </w:rPr>
            </w:pPr>
            <w:r>
              <w:rPr>
                <w:rFonts w:ascii="Times New Roman" w:hAnsi="Times New Roman" w:cs="Times New Roman"/>
              </w:rPr>
              <w:t>Menor de 50%</w:t>
            </w:r>
          </w:p>
        </w:tc>
        <w:tc>
          <w:tcPr>
            <w:tcW w:w="2268" w:type="dxa"/>
          </w:tcPr>
          <w:p w:rsidR="00426DCF" w:rsidRDefault="00426DCF" w:rsidP="00426DCF">
            <w:pPr>
              <w:pStyle w:val="ListParagraph"/>
              <w:spacing w:after="0" w:line="240" w:lineRule="auto"/>
              <w:ind w:left="0"/>
              <w:contextualSpacing w:val="0"/>
              <w:jc w:val="center"/>
              <w:rPr>
                <w:rFonts w:ascii="Times New Roman" w:hAnsi="Times New Roman" w:cs="Times New Roman"/>
              </w:rPr>
            </w:pPr>
            <w:r>
              <w:rPr>
                <w:rFonts w:ascii="Times New Roman" w:hAnsi="Times New Roman" w:cs="Times New Roman"/>
              </w:rPr>
              <w:t>70%</w:t>
            </w:r>
          </w:p>
        </w:tc>
      </w:tr>
    </w:tbl>
    <w:p w:rsidR="00E97935" w:rsidRDefault="00E97935" w:rsidP="00856E19">
      <w:pPr>
        <w:pStyle w:val="ListParagraph"/>
        <w:spacing w:before="120" w:after="0" w:line="240" w:lineRule="auto"/>
        <w:ind w:left="1069"/>
        <w:contextualSpacing w:val="0"/>
        <w:jc w:val="both"/>
        <w:rPr>
          <w:rFonts w:ascii="Times New Roman" w:hAnsi="Times New Roman" w:cs="Times New Roman"/>
        </w:rPr>
      </w:pPr>
      <w:r>
        <w:rPr>
          <w:rFonts w:ascii="Times New Roman" w:hAnsi="Times New Roman" w:cs="Times New Roman"/>
        </w:rPr>
        <w:t>En todos los casos, además de las penalizaciones establecidas para un promedio final de calificación inferior a 80%, el Contratista será sancionado con una quita del 15% del monto total de su cuota mensual cuando uno o más caminos no alcancen en dos meses consecutivos una calificación igual o mayor al 80%. Por cada mes consecutivo que continúe el incumplimiento, esta penalización aumentará en un 5% del monto total de su cuota mensual por cada mes hasta completar un máximo de 30% de quita, en cuyo caso será pasible de rescisión inmediata del Contrato.</w:t>
      </w:r>
    </w:p>
    <w:p w:rsidR="00426DCF" w:rsidRPr="00581D7B" w:rsidRDefault="00426DCF" w:rsidP="00826CB7">
      <w:pPr>
        <w:pStyle w:val="ListParagraph"/>
        <w:numPr>
          <w:ilvl w:val="0"/>
          <w:numId w:val="17"/>
        </w:numPr>
        <w:spacing w:before="120" w:after="0" w:line="240" w:lineRule="auto"/>
        <w:contextualSpacing w:val="0"/>
        <w:jc w:val="both"/>
        <w:rPr>
          <w:rFonts w:ascii="Times New Roman" w:hAnsi="Times New Roman" w:cs="Times New Roman"/>
          <w:b/>
        </w:rPr>
      </w:pPr>
      <w:r>
        <w:rPr>
          <w:rFonts w:ascii="Times New Roman" w:hAnsi="Times New Roman" w:cs="Times New Roman"/>
          <w:b/>
        </w:rPr>
        <w:t>Facilidades</w:t>
      </w:r>
      <w:r w:rsidRPr="00581D7B">
        <w:rPr>
          <w:rFonts w:ascii="Times New Roman" w:hAnsi="Times New Roman" w:cs="Times New Roman"/>
          <w:b/>
        </w:rPr>
        <w:t>.</w:t>
      </w:r>
    </w:p>
    <w:p w:rsidR="00E97935" w:rsidRDefault="00426DCF" w:rsidP="00426DCF">
      <w:pPr>
        <w:pStyle w:val="ListParagraph"/>
        <w:spacing w:before="120" w:after="0" w:line="240" w:lineRule="auto"/>
        <w:ind w:left="1069"/>
        <w:contextualSpacing w:val="0"/>
        <w:jc w:val="both"/>
        <w:rPr>
          <w:rFonts w:ascii="Times New Roman" w:hAnsi="Times New Roman" w:cs="Times New Roman"/>
        </w:rPr>
      </w:pPr>
      <w:r>
        <w:rPr>
          <w:rFonts w:ascii="Times New Roman" w:hAnsi="Times New Roman" w:cs="Times New Roman"/>
        </w:rPr>
        <w:t xml:space="preserve">Se establece que el Contratista deberá proveer servicios, instalaciones e insumos para el funcionamiento de la supervisión del MOPC. Existen provisiones a realizar por una única vez (cámara fotográfica, notebook) y provisiones mensuales (teléfono celular, alojamiento y alimentación, vehículo pick-up 4x4 con mantenimiento y seguro, combustible, insumos de oficina). </w:t>
      </w:r>
    </w:p>
    <w:p w:rsidR="00426DCF" w:rsidRPr="00581D7B" w:rsidRDefault="00426DCF" w:rsidP="00826CB7">
      <w:pPr>
        <w:pStyle w:val="ListParagraph"/>
        <w:numPr>
          <w:ilvl w:val="0"/>
          <w:numId w:val="17"/>
        </w:numPr>
        <w:spacing w:before="120" w:after="0" w:line="240" w:lineRule="auto"/>
        <w:contextualSpacing w:val="0"/>
        <w:jc w:val="both"/>
        <w:rPr>
          <w:rFonts w:ascii="Times New Roman" w:hAnsi="Times New Roman" w:cs="Times New Roman"/>
          <w:b/>
        </w:rPr>
      </w:pPr>
      <w:r>
        <w:rPr>
          <w:rFonts w:ascii="Times New Roman" w:hAnsi="Times New Roman" w:cs="Times New Roman"/>
          <w:b/>
        </w:rPr>
        <w:t>Obras de emergencia</w:t>
      </w:r>
      <w:r w:rsidRPr="00581D7B">
        <w:rPr>
          <w:rFonts w:ascii="Times New Roman" w:hAnsi="Times New Roman" w:cs="Times New Roman"/>
          <w:b/>
        </w:rPr>
        <w:t>.</w:t>
      </w:r>
    </w:p>
    <w:p w:rsidR="00426DCF" w:rsidRDefault="00426DCF" w:rsidP="00426DCF">
      <w:pPr>
        <w:pStyle w:val="ListParagraph"/>
        <w:spacing w:before="120" w:after="0" w:line="240" w:lineRule="auto"/>
        <w:ind w:left="1069"/>
        <w:contextualSpacing w:val="0"/>
        <w:jc w:val="both"/>
        <w:rPr>
          <w:rFonts w:ascii="Times New Roman" w:hAnsi="Times New Roman" w:cs="Times New Roman"/>
        </w:rPr>
      </w:pPr>
      <w:r>
        <w:rPr>
          <w:rFonts w:ascii="Times New Roman" w:hAnsi="Times New Roman" w:cs="Times New Roman"/>
        </w:rPr>
        <w:lastRenderedPageBreak/>
        <w:t xml:space="preserve">El contrato abarcará la obligación del Contratista de ejecutar todas aquellas obras, no incluidas en los otros alcances del contrato, que el Contratante defina como necesarias para atender situaciones de emergencia. Las Obras de Emergencia no podrán superar el 5% del mono del contrato. </w:t>
      </w:r>
    </w:p>
    <w:p w:rsidR="002930DC" w:rsidRDefault="002930DC" w:rsidP="00426DCF">
      <w:pPr>
        <w:pStyle w:val="ListParagraph"/>
        <w:spacing w:before="120" w:after="0" w:line="240" w:lineRule="auto"/>
        <w:ind w:left="1069"/>
        <w:contextualSpacing w:val="0"/>
        <w:jc w:val="both"/>
        <w:rPr>
          <w:rFonts w:ascii="Times New Roman" w:hAnsi="Times New Roman" w:cs="Times New Roman"/>
        </w:rPr>
      </w:pPr>
      <w:r>
        <w:rPr>
          <w:rFonts w:ascii="Times New Roman" w:hAnsi="Times New Roman" w:cs="Times New Roman"/>
        </w:rPr>
        <w:t>En caso que la situación sea catalogada como de emergencia y corresponda ejecutar una obra de emergencia, el Contratante establecerá el precio según los precios referenciales de mercado, y dispondrá que el Contratista proceda a realizar las mismas en un cierto plazo y de acuerdo con un cronograma mediante una Orden de Cambio.</w:t>
      </w:r>
    </w:p>
    <w:p w:rsidR="00856E19" w:rsidRDefault="00856E19" w:rsidP="00856E19">
      <w:pPr>
        <w:pStyle w:val="ListParagraph"/>
        <w:spacing w:before="120" w:after="0" w:line="240" w:lineRule="auto"/>
        <w:ind w:left="1069"/>
        <w:contextualSpacing w:val="0"/>
        <w:jc w:val="both"/>
        <w:rPr>
          <w:rFonts w:ascii="Times New Roman" w:hAnsi="Times New Roman" w:cs="Times New Roman"/>
        </w:rPr>
      </w:pPr>
      <w:r>
        <w:rPr>
          <w:rFonts w:ascii="Times New Roman" w:hAnsi="Times New Roman" w:cs="Times New Roman"/>
        </w:rPr>
        <w:t>….</w:t>
      </w:r>
    </w:p>
    <w:p w:rsidR="002930DC" w:rsidRDefault="002930DC" w:rsidP="002930DC">
      <w:pPr>
        <w:shd w:val="clear" w:color="auto" w:fill="EEECE1" w:themeFill="background2"/>
        <w:spacing w:before="120" w:after="120"/>
        <w:jc w:val="both"/>
      </w:pPr>
      <w:r w:rsidRPr="00D443D5">
        <w:t xml:space="preserve">Observación: </w:t>
      </w:r>
      <w:r>
        <w:t xml:space="preserve">Las condiciones que establecen el alcance de los trabajos a realizar, particularmente para el mantenimiento inicial, dejan a cargo del oferente toda la responsabilidad en la determinación de las cantidades de obra a ejecutar, pudiendo apreciarse fácilmente la gran incertidumbre sobre la precisión para realizarla con éxito. Con excepción del presupuesto global contenido en el Pliego de Licitación, el oferente carece de una referencia que pueda orientarlo en una estimación justa de su oferta. Además, los caminos rurales, en su gran mayoría sin pavimento y con numerosos puentes de madera, son afectados significativamente por las lluvias, actualmente agravados por los efectos del cambio climático global y regional, dejando </w:t>
      </w:r>
      <w:r w:rsidR="009334CD">
        <w:t xml:space="preserve">cada vez menos vigente </w:t>
      </w:r>
      <w:r>
        <w:t>la información histórica hidrológica</w:t>
      </w:r>
      <w:r w:rsidR="009334CD">
        <w:t xml:space="preserve">, lo que dificulta la valoración del riesgo por esta causa. Circunstancias que no se aprecian que se trate en el contrato, de una forma que pueda proteger objetivamente al Contratista. </w:t>
      </w:r>
    </w:p>
    <w:p w:rsidR="009334CD" w:rsidRDefault="009334CD" w:rsidP="002930DC">
      <w:pPr>
        <w:shd w:val="clear" w:color="auto" w:fill="EEECE1" w:themeFill="background2"/>
        <w:spacing w:before="120" w:after="120"/>
        <w:jc w:val="both"/>
      </w:pPr>
      <w:r>
        <w:t>Lo observado, más que los requisitos de calificación contenidos en el pliego de licitación, es razón válida para justificar la poca presencia de oferentes y la gran dispersión de precio en las pocas ofertas presentadas.</w:t>
      </w:r>
    </w:p>
    <w:p w:rsidR="00BA27F6" w:rsidRDefault="00BA27F6" w:rsidP="00BA27F6">
      <w:pPr>
        <w:numPr>
          <w:ilvl w:val="1"/>
          <w:numId w:val="1"/>
        </w:numPr>
        <w:tabs>
          <w:tab w:val="clear" w:pos="360"/>
          <w:tab w:val="num" w:pos="709"/>
        </w:tabs>
        <w:spacing w:before="240"/>
        <w:ind w:left="709" w:hanging="709"/>
        <w:jc w:val="both"/>
      </w:pPr>
      <w:bookmarkStart w:id="49" w:name="_Ref396316387"/>
      <w:r w:rsidRPr="00BA27F6">
        <w:rPr>
          <w:b/>
        </w:rPr>
        <w:t>Las ofertas recibidas</w:t>
      </w:r>
      <w:r w:rsidR="00A31BD1">
        <w:rPr>
          <w:b/>
        </w:rPr>
        <w:t xml:space="preserve"> y </w:t>
      </w:r>
      <w:r w:rsidR="007654A9">
        <w:rPr>
          <w:b/>
        </w:rPr>
        <w:t xml:space="preserve">la </w:t>
      </w:r>
      <w:r w:rsidR="00A31BD1">
        <w:rPr>
          <w:b/>
        </w:rPr>
        <w:t>adjudicación</w:t>
      </w:r>
      <w:r>
        <w:t xml:space="preserve">. </w:t>
      </w:r>
      <w:r w:rsidR="007654A9">
        <w:t>Del Acta de apertura de ofertas y documentos de adjudicación se extraen los resultados</w:t>
      </w:r>
      <w:r>
        <w:t>.</w:t>
      </w:r>
      <w:bookmarkEnd w:id="49"/>
    </w:p>
    <w:p w:rsidR="007654A9" w:rsidRPr="00745363" w:rsidRDefault="00745363" w:rsidP="007654A9">
      <w:pPr>
        <w:spacing w:before="240"/>
        <w:ind w:left="709"/>
        <w:jc w:val="both"/>
        <w:rPr>
          <w:b/>
        </w:rPr>
      </w:pPr>
      <w:r w:rsidRPr="00745363">
        <w:rPr>
          <w:b/>
        </w:rPr>
        <w:t>Ofertas recibidas</w:t>
      </w:r>
      <w:r>
        <w:rPr>
          <w:b/>
        </w:rPr>
        <w:t xml:space="preserve"> con IVA incluido</w:t>
      </w:r>
    </w:p>
    <w:tbl>
      <w:tblPr>
        <w:tblStyle w:val="TableGrid"/>
        <w:tblW w:w="6912" w:type="dxa"/>
        <w:tblInd w:w="817" w:type="dxa"/>
        <w:tblLook w:val="04A0" w:firstRow="1" w:lastRow="0" w:firstColumn="1" w:lastColumn="0" w:noHBand="0" w:noVBand="1"/>
      </w:tblPr>
      <w:tblGrid>
        <w:gridCol w:w="5179"/>
        <w:gridCol w:w="1733"/>
      </w:tblGrid>
      <w:tr w:rsidR="007654A9" w:rsidRPr="00745363" w:rsidTr="00745363">
        <w:tc>
          <w:tcPr>
            <w:tcW w:w="6912" w:type="dxa"/>
            <w:gridSpan w:val="2"/>
          </w:tcPr>
          <w:p w:rsidR="007654A9" w:rsidRPr="00745363" w:rsidRDefault="007654A9" w:rsidP="007654A9">
            <w:pPr>
              <w:jc w:val="both"/>
              <w:rPr>
                <w:b/>
                <w:sz w:val="22"/>
                <w:szCs w:val="22"/>
              </w:rPr>
            </w:pPr>
            <w:proofErr w:type="spellStart"/>
            <w:r w:rsidRPr="00745363">
              <w:rPr>
                <w:b/>
                <w:sz w:val="22"/>
                <w:szCs w:val="22"/>
              </w:rPr>
              <w:t>Paquete</w:t>
            </w:r>
            <w:proofErr w:type="spellEnd"/>
            <w:r w:rsidRPr="00745363">
              <w:rPr>
                <w:b/>
                <w:sz w:val="22"/>
                <w:szCs w:val="22"/>
              </w:rPr>
              <w:t xml:space="preserve"> 1. Guairá</w:t>
            </w:r>
          </w:p>
        </w:tc>
      </w:tr>
      <w:tr w:rsidR="007654A9" w:rsidRPr="00745363" w:rsidTr="00745363">
        <w:tc>
          <w:tcPr>
            <w:tcW w:w="5179" w:type="dxa"/>
          </w:tcPr>
          <w:p w:rsidR="007654A9" w:rsidRPr="00745363" w:rsidRDefault="007654A9" w:rsidP="007654A9">
            <w:pPr>
              <w:ind w:left="709"/>
              <w:jc w:val="both"/>
              <w:rPr>
                <w:sz w:val="22"/>
                <w:szCs w:val="22"/>
                <w:lang w:val="es-PY"/>
              </w:rPr>
            </w:pPr>
            <w:r w:rsidRPr="00745363">
              <w:rPr>
                <w:sz w:val="22"/>
                <w:szCs w:val="22"/>
                <w:lang w:val="es-PY"/>
              </w:rPr>
              <w:t>(Sin oferentes)</w:t>
            </w:r>
          </w:p>
        </w:tc>
        <w:tc>
          <w:tcPr>
            <w:tcW w:w="1733" w:type="dxa"/>
          </w:tcPr>
          <w:p w:rsidR="007654A9" w:rsidRPr="00745363" w:rsidRDefault="00745363" w:rsidP="00745363">
            <w:pPr>
              <w:jc w:val="center"/>
              <w:rPr>
                <w:b/>
                <w:sz w:val="22"/>
                <w:szCs w:val="22"/>
                <w:lang w:val="es-PY"/>
              </w:rPr>
            </w:pPr>
            <w:r w:rsidRPr="00745363">
              <w:rPr>
                <w:b/>
                <w:sz w:val="22"/>
                <w:szCs w:val="22"/>
                <w:lang w:val="es-PY"/>
              </w:rPr>
              <w:t>---</w:t>
            </w:r>
          </w:p>
        </w:tc>
      </w:tr>
      <w:tr w:rsidR="007654A9" w:rsidRPr="00745363" w:rsidTr="00745363">
        <w:tc>
          <w:tcPr>
            <w:tcW w:w="6912" w:type="dxa"/>
            <w:gridSpan w:val="2"/>
          </w:tcPr>
          <w:p w:rsidR="007654A9" w:rsidRPr="00745363" w:rsidRDefault="007654A9" w:rsidP="007654A9">
            <w:pPr>
              <w:jc w:val="both"/>
              <w:rPr>
                <w:b/>
                <w:sz w:val="22"/>
                <w:szCs w:val="22"/>
              </w:rPr>
            </w:pPr>
            <w:proofErr w:type="spellStart"/>
            <w:r w:rsidRPr="00745363">
              <w:rPr>
                <w:b/>
                <w:sz w:val="22"/>
                <w:szCs w:val="22"/>
              </w:rPr>
              <w:t>Paquete</w:t>
            </w:r>
            <w:proofErr w:type="spellEnd"/>
            <w:r w:rsidRPr="00745363">
              <w:rPr>
                <w:b/>
                <w:sz w:val="22"/>
                <w:szCs w:val="22"/>
              </w:rPr>
              <w:t xml:space="preserve"> 2. Caaguazú</w:t>
            </w:r>
          </w:p>
        </w:tc>
      </w:tr>
      <w:tr w:rsidR="007654A9" w:rsidRPr="00745363" w:rsidTr="00745363">
        <w:tc>
          <w:tcPr>
            <w:tcW w:w="5179" w:type="dxa"/>
          </w:tcPr>
          <w:p w:rsidR="007654A9" w:rsidRPr="00745363" w:rsidRDefault="007654A9" w:rsidP="007654A9">
            <w:pPr>
              <w:ind w:left="709"/>
              <w:jc w:val="both"/>
              <w:rPr>
                <w:sz w:val="22"/>
                <w:szCs w:val="22"/>
                <w:lang w:val="es-PY"/>
              </w:rPr>
            </w:pPr>
            <w:proofErr w:type="spellStart"/>
            <w:r w:rsidRPr="00745363">
              <w:rPr>
                <w:sz w:val="22"/>
                <w:szCs w:val="22"/>
                <w:lang w:val="es-PY"/>
              </w:rPr>
              <w:t>Roggio</w:t>
            </w:r>
            <w:proofErr w:type="spellEnd"/>
            <w:r w:rsidRPr="00745363">
              <w:rPr>
                <w:sz w:val="22"/>
                <w:szCs w:val="22"/>
                <w:lang w:val="es-PY"/>
              </w:rPr>
              <w:t xml:space="preserve"> S.A.</w:t>
            </w:r>
          </w:p>
          <w:p w:rsidR="007654A9" w:rsidRPr="00745363" w:rsidRDefault="007654A9" w:rsidP="007654A9">
            <w:pPr>
              <w:ind w:left="709"/>
              <w:jc w:val="both"/>
              <w:rPr>
                <w:sz w:val="22"/>
                <w:szCs w:val="22"/>
                <w:lang w:val="es-PY"/>
              </w:rPr>
            </w:pPr>
            <w:r w:rsidRPr="00745363">
              <w:rPr>
                <w:sz w:val="22"/>
                <w:szCs w:val="22"/>
                <w:lang w:val="es-PY"/>
              </w:rPr>
              <w:t>Proel Ingeniería</w:t>
            </w:r>
          </w:p>
          <w:p w:rsidR="007654A9" w:rsidRPr="00745363" w:rsidRDefault="007654A9" w:rsidP="007654A9">
            <w:pPr>
              <w:ind w:left="709"/>
              <w:jc w:val="both"/>
              <w:rPr>
                <w:sz w:val="22"/>
                <w:szCs w:val="22"/>
                <w:lang w:val="es-PY"/>
              </w:rPr>
            </w:pPr>
            <w:r w:rsidRPr="00745363">
              <w:rPr>
                <w:sz w:val="22"/>
                <w:szCs w:val="22"/>
                <w:lang w:val="es-PY"/>
              </w:rPr>
              <w:t>DC Ingeniería S.A.</w:t>
            </w:r>
          </w:p>
        </w:tc>
        <w:tc>
          <w:tcPr>
            <w:tcW w:w="1733" w:type="dxa"/>
          </w:tcPr>
          <w:p w:rsidR="00745363" w:rsidRPr="00745363" w:rsidRDefault="00745363" w:rsidP="00745363">
            <w:pPr>
              <w:jc w:val="right"/>
              <w:rPr>
                <w:sz w:val="22"/>
                <w:szCs w:val="22"/>
                <w:lang w:val="es-PY"/>
              </w:rPr>
            </w:pPr>
            <w:r w:rsidRPr="00745363">
              <w:rPr>
                <w:sz w:val="22"/>
                <w:szCs w:val="22"/>
                <w:lang w:val="es-PY"/>
              </w:rPr>
              <w:t>31.796.573.805</w:t>
            </w:r>
          </w:p>
          <w:p w:rsidR="00745363" w:rsidRPr="00745363" w:rsidRDefault="00745363" w:rsidP="00745363">
            <w:pPr>
              <w:jc w:val="right"/>
              <w:rPr>
                <w:sz w:val="22"/>
                <w:szCs w:val="22"/>
                <w:lang w:val="es-PY"/>
              </w:rPr>
            </w:pPr>
            <w:r w:rsidRPr="00745363">
              <w:rPr>
                <w:sz w:val="22"/>
                <w:szCs w:val="22"/>
                <w:lang w:val="es-PY"/>
              </w:rPr>
              <w:t>24.092.328.580</w:t>
            </w:r>
          </w:p>
          <w:p w:rsidR="007654A9" w:rsidRPr="00745363" w:rsidRDefault="00745363" w:rsidP="00745363">
            <w:pPr>
              <w:jc w:val="right"/>
              <w:rPr>
                <w:sz w:val="22"/>
                <w:szCs w:val="22"/>
                <w:lang w:val="es-PY"/>
              </w:rPr>
            </w:pPr>
            <w:r w:rsidRPr="00745363">
              <w:rPr>
                <w:sz w:val="22"/>
                <w:szCs w:val="22"/>
                <w:lang w:val="es-PY"/>
              </w:rPr>
              <w:t>16.202.125.145</w:t>
            </w:r>
          </w:p>
        </w:tc>
      </w:tr>
      <w:tr w:rsidR="007654A9" w:rsidRPr="00745363" w:rsidTr="00745363">
        <w:tc>
          <w:tcPr>
            <w:tcW w:w="6912" w:type="dxa"/>
            <w:gridSpan w:val="2"/>
          </w:tcPr>
          <w:p w:rsidR="007654A9" w:rsidRPr="00745363" w:rsidRDefault="007654A9" w:rsidP="007654A9">
            <w:pPr>
              <w:jc w:val="both"/>
              <w:rPr>
                <w:b/>
                <w:sz w:val="22"/>
                <w:szCs w:val="22"/>
              </w:rPr>
            </w:pPr>
            <w:proofErr w:type="spellStart"/>
            <w:r w:rsidRPr="00745363">
              <w:rPr>
                <w:b/>
                <w:sz w:val="22"/>
                <w:szCs w:val="22"/>
              </w:rPr>
              <w:t>Paquete</w:t>
            </w:r>
            <w:proofErr w:type="spellEnd"/>
            <w:r w:rsidRPr="00745363">
              <w:rPr>
                <w:b/>
                <w:sz w:val="22"/>
                <w:szCs w:val="22"/>
              </w:rPr>
              <w:t xml:space="preserve"> 3. San Pedro</w:t>
            </w:r>
          </w:p>
        </w:tc>
      </w:tr>
      <w:tr w:rsidR="007654A9" w:rsidRPr="00745363" w:rsidTr="00745363">
        <w:tc>
          <w:tcPr>
            <w:tcW w:w="5179" w:type="dxa"/>
          </w:tcPr>
          <w:p w:rsidR="007654A9" w:rsidRPr="00745363" w:rsidRDefault="00745363" w:rsidP="00745363">
            <w:pPr>
              <w:ind w:left="709"/>
              <w:jc w:val="both"/>
              <w:rPr>
                <w:sz w:val="22"/>
                <w:szCs w:val="22"/>
                <w:lang w:val="es-PY"/>
              </w:rPr>
            </w:pPr>
            <w:r w:rsidRPr="00745363">
              <w:rPr>
                <w:sz w:val="22"/>
                <w:szCs w:val="22"/>
                <w:lang w:val="es-PY"/>
              </w:rPr>
              <w:t>DC Ingeniería SA</w:t>
            </w:r>
          </w:p>
        </w:tc>
        <w:tc>
          <w:tcPr>
            <w:tcW w:w="1733" w:type="dxa"/>
          </w:tcPr>
          <w:p w:rsidR="007654A9" w:rsidRPr="00745363" w:rsidRDefault="00745363" w:rsidP="00745363">
            <w:pPr>
              <w:jc w:val="right"/>
              <w:rPr>
                <w:sz w:val="22"/>
                <w:szCs w:val="22"/>
                <w:lang w:val="es-PY"/>
              </w:rPr>
            </w:pPr>
            <w:r w:rsidRPr="00745363">
              <w:rPr>
                <w:sz w:val="22"/>
                <w:szCs w:val="22"/>
                <w:lang w:val="es-PY"/>
              </w:rPr>
              <w:t>13.685.480.192</w:t>
            </w:r>
          </w:p>
        </w:tc>
      </w:tr>
      <w:tr w:rsidR="007654A9" w:rsidRPr="00745363" w:rsidTr="00745363">
        <w:tc>
          <w:tcPr>
            <w:tcW w:w="6912" w:type="dxa"/>
            <w:gridSpan w:val="2"/>
          </w:tcPr>
          <w:p w:rsidR="007654A9" w:rsidRPr="00745363" w:rsidRDefault="007654A9" w:rsidP="007654A9">
            <w:pPr>
              <w:jc w:val="both"/>
              <w:rPr>
                <w:b/>
                <w:sz w:val="22"/>
                <w:szCs w:val="22"/>
              </w:rPr>
            </w:pPr>
            <w:proofErr w:type="spellStart"/>
            <w:r w:rsidRPr="00745363">
              <w:rPr>
                <w:b/>
                <w:sz w:val="22"/>
                <w:szCs w:val="22"/>
              </w:rPr>
              <w:t>Paquete</w:t>
            </w:r>
            <w:proofErr w:type="spellEnd"/>
            <w:r w:rsidRPr="00745363">
              <w:rPr>
                <w:b/>
                <w:sz w:val="22"/>
                <w:szCs w:val="22"/>
              </w:rPr>
              <w:t xml:space="preserve"> 4. Concepción / Amambay</w:t>
            </w:r>
          </w:p>
        </w:tc>
      </w:tr>
      <w:tr w:rsidR="007654A9" w:rsidRPr="00745363" w:rsidTr="00745363">
        <w:tc>
          <w:tcPr>
            <w:tcW w:w="5179" w:type="dxa"/>
          </w:tcPr>
          <w:p w:rsidR="007654A9" w:rsidRPr="00745363" w:rsidRDefault="007654A9" w:rsidP="007654A9">
            <w:pPr>
              <w:ind w:left="709"/>
              <w:jc w:val="both"/>
              <w:rPr>
                <w:sz w:val="22"/>
                <w:szCs w:val="22"/>
                <w:lang w:val="es-PY"/>
              </w:rPr>
            </w:pPr>
            <w:r w:rsidRPr="00745363">
              <w:rPr>
                <w:sz w:val="22"/>
                <w:szCs w:val="22"/>
                <w:lang w:val="es-PY"/>
              </w:rPr>
              <w:t>DC Ingeniería SA</w:t>
            </w:r>
          </w:p>
          <w:p w:rsidR="007654A9" w:rsidRPr="00745363" w:rsidRDefault="007654A9" w:rsidP="00745363">
            <w:pPr>
              <w:ind w:left="709"/>
              <w:jc w:val="both"/>
              <w:rPr>
                <w:b/>
                <w:sz w:val="22"/>
                <w:szCs w:val="22"/>
                <w:lang w:val="es-PY"/>
              </w:rPr>
            </w:pPr>
            <w:r w:rsidRPr="00745363">
              <w:rPr>
                <w:sz w:val="22"/>
                <w:szCs w:val="22"/>
                <w:lang w:val="es-PY"/>
              </w:rPr>
              <w:t>Consorcio Mantenimiento Rural</w:t>
            </w:r>
            <w:r w:rsidR="00745363" w:rsidRPr="00745363">
              <w:rPr>
                <w:sz w:val="22"/>
                <w:szCs w:val="22"/>
                <w:lang w:val="es-PY"/>
              </w:rPr>
              <w:t xml:space="preserve"> </w:t>
            </w:r>
            <w:r w:rsidR="00745363" w:rsidRPr="00745363">
              <w:rPr>
                <w:sz w:val="18"/>
                <w:szCs w:val="18"/>
                <w:lang w:val="es-PY"/>
              </w:rPr>
              <w:t>(Ing. Ricardo Levi – Ing. Juan Neri Gamarra Reyes – Construcciones Edgar Núñez – PROCON S.R.L.)</w:t>
            </w:r>
          </w:p>
        </w:tc>
        <w:tc>
          <w:tcPr>
            <w:tcW w:w="1733" w:type="dxa"/>
          </w:tcPr>
          <w:p w:rsidR="00745363" w:rsidRPr="00745363" w:rsidRDefault="00745363" w:rsidP="00745363">
            <w:pPr>
              <w:jc w:val="right"/>
              <w:rPr>
                <w:sz w:val="22"/>
                <w:szCs w:val="22"/>
                <w:lang w:val="es-PY"/>
              </w:rPr>
            </w:pPr>
            <w:r w:rsidRPr="00745363">
              <w:rPr>
                <w:sz w:val="22"/>
                <w:szCs w:val="22"/>
                <w:lang w:val="es-PY"/>
              </w:rPr>
              <w:t>14.092.935.030</w:t>
            </w:r>
          </w:p>
          <w:p w:rsidR="007654A9" w:rsidRPr="00745363" w:rsidRDefault="00745363" w:rsidP="00745363">
            <w:pPr>
              <w:jc w:val="right"/>
              <w:rPr>
                <w:sz w:val="22"/>
                <w:szCs w:val="22"/>
                <w:lang w:val="es-PY"/>
              </w:rPr>
            </w:pPr>
            <w:r w:rsidRPr="00745363">
              <w:rPr>
                <w:sz w:val="22"/>
                <w:szCs w:val="22"/>
                <w:lang w:val="es-PY"/>
              </w:rPr>
              <w:t>16.698.187.766</w:t>
            </w:r>
          </w:p>
        </w:tc>
      </w:tr>
    </w:tbl>
    <w:p w:rsidR="00C20421" w:rsidRDefault="00C20421" w:rsidP="00C20421">
      <w:pPr>
        <w:shd w:val="clear" w:color="auto" w:fill="EEECE1" w:themeFill="background2"/>
        <w:spacing w:before="240"/>
        <w:jc w:val="both"/>
        <w:rPr>
          <w:b/>
        </w:rPr>
      </w:pPr>
      <w:r w:rsidRPr="00D443D5">
        <w:t xml:space="preserve">Observación: </w:t>
      </w:r>
      <w:r>
        <w:t xml:space="preserve">Se aprecia una dispersión importante de los precios presentados para el Paquete 2, la segunda mejor oferta excede en 48% a la primera, y la tercera 32% a la segunda y un 96% a la primera. En el Paquete 1 no hubo oferentes. </w:t>
      </w:r>
    </w:p>
    <w:p w:rsidR="00745363" w:rsidRPr="00745363" w:rsidRDefault="00745363" w:rsidP="00B261EE">
      <w:pPr>
        <w:keepNext/>
        <w:spacing w:before="240"/>
        <w:ind w:left="709"/>
        <w:jc w:val="both"/>
        <w:rPr>
          <w:b/>
        </w:rPr>
      </w:pPr>
      <w:r>
        <w:rPr>
          <w:b/>
        </w:rPr>
        <w:t>Adjudicaciones</w:t>
      </w:r>
    </w:p>
    <w:tbl>
      <w:tblPr>
        <w:tblW w:w="8528" w:type="dxa"/>
        <w:tblInd w:w="779" w:type="dxa"/>
        <w:tblCellMar>
          <w:left w:w="70" w:type="dxa"/>
          <w:right w:w="70" w:type="dxa"/>
        </w:tblCellMar>
        <w:tblLook w:val="04A0" w:firstRow="1" w:lastRow="0" w:firstColumn="1" w:lastColumn="0" w:noHBand="0" w:noVBand="1"/>
      </w:tblPr>
      <w:tblGrid>
        <w:gridCol w:w="1701"/>
        <w:gridCol w:w="993"/>
        <w:gridCol w:w="1984"/>
        <w:gridCol w:w="1390"/>
        <w:gridCol w:w="1230"/>
        <w:gridCol w:w="1230"/>
      </w:tblGrid>
      <w:tr w:rsidR="00A31BD1" w:rsidRPr="00A31BD1" w:rsidTr="00745363">
        <w:trPr>
          <w:tblHeader/>
        </w:trPr>
        <w:tc>
          <w:tcPr>
            <w:tcW w:w="170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A31BD1" w:rsidRPr="00A31BD1" w:rsidRDefault="00A31BD1" w:rsidP="00B261EE">
            <w:pPr>
              <w:keepNext/>
              <w:jc w:val="center"/>
              <w:rPr>
                <w:b/>
                <w:bCs/>
                <w:color w:val="000000"/>
                <w:sz w:val="20"/>
                <w:lang w:val="es-PY" w:eastAsia="es-PY"/>
              </w:rPr>
            </w:pPr>
            <w:r w:rsidRPr="00A31BD1">
              <w:rPr>
                <w:b/>
                <w:bCs/>
                <w:color w:val="000000"/>
                <w:sz w:val="20"/>
                <w:lang w:val="es-PY" w:eastAsia="es-PY"/>
              </w:rPr>
              <w:t>Área geográfica</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A31BD1" w:rsidRPr="00A31BD1" w:rsidRDefault="00A31BD1" w:rsidP="00B261EE">
            <w:pPr>
              <w:keepNext/>
              <w:jc w:val="center"/>
              <w:rPr>
                <w:b/>
                <w:bCs/>
                <w:color w:val="000000"/>
                <w:sz w:val="20"/>
                <w:lang w:val="es-PY" w:eastAsia="es-PY"/>
              </w:rPr>
            </w:pPr>
            <w:r w:rsidRPr="00A31BD1">
              <w:rPr>
                <w:b/>
                <w:bCs/>
                <w:color w:val="000000"/>
                <w:sz w:val="20"/>
                <w:lang w:val="es-PY" w:eastAsia="es-PY"/>
              </w:rPr>
              <w:t>Extensión (km)</w:t>
            </w:r>
          </w:p>
        </w:tc>
        <w:tc>
          <w:tcPr>
            <w:tcW w:w="5834" w:type="dxa"/>
            <w:gridSpan w:val="4"/>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A31BD1" w:rsidRPr="00A31BD1" w:rsidRDefault="00A31BD1" w:rsidP="00B261EE">
            <w:pPr>
              <w:keepNext/>
              <w:jc w:val="center"/>
              <w:rPr>
                <w:b/>
                <w:bCs/>
                <w:color w:val="000000"/>
                <w:sz w:val="20"/>
                <w:lang w:val="es-PY" w:eastAsia="es-PY"/>
              </w:rPr>
            </w:pPr>
            <w:r w:rsidRPr="00A31BD1">
              <w:rPr>
                <w:b/>
                <w:bCs/>
                <w:color w:val="000000"/>
                <w:sz w:val="20"/>
                <w:lang w:val="es-PY" w:eastAsia="es-PY"/>
              </w:rPr>
              <w:t>Contratos</w:t>
            </w:r>
          </w:p>
        </w:tc>
      </w:tr>
      <w:tr w:rsidR="00A31BD1" w:rsidRPr="00A31BD1" w:rsidTr="00745363">
        <w:trPr>
          <w:tblHeader/>
        </w:trPr>
        <w:tc>
          <w:tcPr>
            <w:tcW w:w="170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A31BD1" w:rsidRPr="00A31BD1" w:rsidRDefault="00A31BD1" w:rsidP="00B261EE">
            <w:pPr>
              <w:keepNext/>
              <w:rPr>
                <w:b/>
                <w:bCs/>
                <w:color w:val="000000"/>
                <w:sz w:val="20"/>
                <w:lang w:val="es-PY" w:eastAsia="es-PY"/>
              </w:rPr>
            </w:pPr>
          </w:p>
        </w:tc>
        <w:tc>
          <w:tcPr>
            <w:tcW w:w="993"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A31BD1" w:rsidRPr="00A31BD1" w:rsidRDefault="00A31BD1" w:rsidP="00B261EE">
            <w:pPr>
              <w:keepNext/>
              <w:rPr>
                <w:b/>
                <w:bCs/>
                <w:color w:val="000000"/>
                <w:sz w:val="20"/>
                <w:lang w:val="es-PY" w:eastAsia="es-PY"/>
              </w:rPr>
            </w:pPr>
          </w:p>
        </w:tc>
        <w:tc>
          <w:tcPr>
            <w:tcW w:w="1984" w:type="dxa"/>
            <w:tcBorders>
              <w:top w:val="nil"/>
              <w:left w:val="nil"/>
              <w:bottom w:val="single" w:sz="4" w:space="0" w:color="auto"/>
              <w:right w:val="single" w:sz="4" w:space="0" w:color="auto"/>
            </w:tcBorders>
            <w:shd w:val="clear" w:color="auto" w:fill="DAEEF3" w:themeFill="accent5" w:themeFillTint="33"/>
            <w:noWrap/>
            <w:vAlign w:val="center"/>
            <w:hideMark/>
          </w:tcPr>
          <w:p w:rsidR="00A31BD1" w:rsidRPr="00A31BD1" w:rsidRDefault="00A31BD1" w:rsidP="00B261EE">
            <w:pPr>
              <w:keepNext/>
              <w:jc w:val="center"/>
              <w:rPr>
                <w:b/>
                <w:bCs/>
                <w:color w:val="000000"/>
                <w:sz w:val="20"/>
                <w:lang w:val="es-PY" w:eastAsia="es-PY"/>
              </w:rPr>
            </w:pPr>
            <w:r w:rsidRPr="00A31BD1">
              <w:rPr>
                <w:b/>
                <w:bCs/>
                <w:color w:val="000000"/>
                <w:sz w:val="20"/>
                <w:lang w:val="es-PY" w:eastAsia="es-PY"/>
              </w:rPr>
              <w:t>Contratista</w:t>
            </w:r>
          </w:p>
        </w:tc>
        <w:tc>
          <w:tcPr>
            <w:tcW w:w="1390" w:type="dxa"/>
            <w:tcBorders>
              <w:top w:val="nil"/>
              <w:left w:val="nil"/>
              <w:bottom w:val="single" w:sz="4" w:space="0" w:color="auto"/>
              <w:right w:val="single" w:sz="4" w:space="0" w:color="auto"/>
            </w:tcBorders>
            <w:shd w:val="clear" w:color="auto" w:fill="DAEEF3" w:themeFill="accent5" w:themeFillTint="33"/>
            <w:noWrap/>
            <w:vAlign w:val="center"/>
            <w:hideMark/>
          </w:tcPr>
          <w:p w:rsidR="00A31BD1" w:rsidRPr="00A31BD1" w:rsidRDefault="00A31BD1" w:rsidP="00B261EE">
            <w:pPr>
              <w:keepNext/>
              <w:jc w:val="center"/>
              <w:rPr>
                <w:b/>
                <w:bCs/>
                <w:color w:val="000000"/>
                <w:sz w:val="20"/>
                <w:lang w:val="es-PY" w:eastAsia="es-PY"/>
              </w:rPr>
            </w:pPr>
            <w:r w:rsidRPr="00A31BD1">
              <w:rPr>
                <w:b/>
                <w:bCs/>
                <w:color w:val="000000"/>
                <w:sz w:val="20"/>
                <w:lang w:val="es-PY" w:eastAsia="es-PY"/>
              </w:rPr>
              <w:t>Monto (Gs)</w:t>
            </w:r>
          </w:p>
        </w:tc>
        <w:tc>
          <w:tcPr>
            <w:tcW w:w="1230" w:type="dxa"/>
            <w:tcBorders>
              <w:top w:val="nil"/>
              <w:left w:val="nil"/>
              <w:bottom w:val="single" w:sz="4" w:space="0" w:color="auto"/>
              <w:right w:val="single" w:sz="4" w:space="0" w:color="auto"/>
            </w:tcBorders>
            <w:shd w:val="clear" w:color="auto" w:fill="DAEEF3" w:themeFill="accent5" w:themeFillTint="33"/>
            <w:noWrap/>
            <w:vAlign w:val="center"/>
            <w:hideMark/>
          </w:tcPr>
          <w:p w:rsidR="00A31BD1" w:rsidRPr="00A31BD1" w:rsidRDefault="00A31BD1" w:rsidP="00B261EE">
            <w:pPr>
              <w:keepNext/>
              <w:jc w:val="center"/>
              <w:rPr>
                <w:b/>
                <w:bCs/>
                <w:color w:val="000000"/>
                <w:sz w:val="20"/>
                <w:lang w:val="es-PY" w:eastAsia="es-PY"/>
              </w:rPr>
            </w:pPr>
            <w:r w:rsidRPr="00A31BD1">
              <w:rPr>
                <w:b/>
                <w:bCs/>
                <w:color w:val="000000"/>
                <w:sz w:val="20"/>
                <w:lang w:val="es-PY" w:eastAsia="es-PY"/>
              </w:rPr>
              <w:t>Monto (US$)</w:t>
            </w:r>
          </w:p>
        </w:tc>
        <w:tc>
          <w:tcPr>
            <w:tcW w:w="1230" w:type="dxa"/>
            <w:tcBorders>
              <w:top w:val="nil"/>
              <w:left w:val="nil"/>
              <w:bottom w:val="single" w:sz="4" w:space="0" w:color="auto"/>
              <w:right w:val="single" w:sz="4" w:space="0" w:color="auto"/>
            </w:tcBorders>
            <w:shd w:val="clear" w:color="auto" w:fill="DAEEF3" w:themeFill="accent5" w:themeFillTint="33"/>
            <w:noWrap/>
            <w:vAlign w:val="center"/>
            <w:hideMark/>
          </w:tcPr>
          <w:p w:rsidR="00A31BD1" w:rsidRPr="00A31BD1" w:rsidRDefault="00A31BD1" w:rsidP="00B261EE">
            <w:pPr>
              <w:keepNext/>
              <w:jc w:val="center"/>
              <w:rPr>
                <w:b/>
                <w:bCs/>
                <w:color w:val="000000"/>
                <w:sz w:val="20"/>
                <w:lang w:val="es-PY" w:eastAsia="es-PY"/>
              </w:rPr>
            </w:pPr>
            <w:r w:rsidRPr="00A31BD1">
              <w:rPr>
                <w:b/>
                <w:bCs/>
                <w:color w:val="000000"/>
                <w:sz w:val="20"/>
                <w:lang w:val="es-PY" w:eastAsia="es-PY"/>
              </w:rPr>
              <w:t>US$/km/año</w:t>
            </w:r>
          </w:p>
        </w:tc>
      </w:tr>
      <w:tr w:rsidR="00A31BD1" w:rsidRPr="00A31BD1" w:rsidTr="00745363">
        <w:tc>
          <w:tcPr>
            <w:tcW w:w="1701" w:type="dxa"/>
            <w:tcBorders>
              <w:top w:val="nil"/>
              <w:left w:val="single" w:sz="4" w:space="0" w:color="auto"/>
              <w:bottom w:val="single" w:sz="4" w:space="0" w:color="auto"/>
              <w:right w:val="single" w:sz="4" w:space="0" w:color="auto"/>
            </w:tcBorders>
            <w:shd w:val="clear" w:color="auto" w:fill="auto"/>
            <w:noWrap/>
            <w:hideMark/>
          </w:tcPr>
          <w:p w:rsidR="00A31BD1" w:rsidRPr="00A31BD1" w:rsidRDefault="00A31BD1" w:rsidP="00A31BD1">
            <w:pPr>
              <w:rPr>
                <w:color w:val="000000"/>
                <w:sz w:val="20"/>
                <w:lang w:val="es-PY" w:eastAsia="es-PY"/>
              </w:rPr>
            </w:pPr>
            <w:r w:rsidRPr="00A31BD1">
              <w:rPr>
                <w:color w:val="000000"/>
                <w:sz w:val="20"/>
                <w:lang w:val="es-PY" w:eastAsia="es-PY"/>
              </w:rPr>
              <w:t>Caaguazú</w:t>
            </w:r>
          </w:p>
        </w:tc>
        <w:tc>
          <w:tcPr>
            <w:tcW w:w="993" w:type="dxa"/>
            <w:tcBorders>
              <w:top w:val="nil"/>
              <w:left w:val="nil"/>
              <w:bottom w:val="single" w:sz="4" w:space="0" w:color="auto"/>
              <w:right w:val="single" w:sz="4" w:space="0" w:color="auto"/>
            </w:tcBorders>
            <w:shd w:val="clear" w:color="auto" w:fill="auto"/>
            <w:noWrap/>
            <w:hideMark/>
          </w:tcPr>
          <w:p w:rsidR="00A31BD1" w:rsidRPr="00A31BD1" w:rsidRDefault="00172649" w:rsidP="00A31BD1">
            <w:pPr>
              <w:rPr>
                <w:color w:val="000000"/>
                <w:sz w:val="20"/>
                <w:lang w:val="es-PY" w:eastAsia="es-PY"/>
              </w:rPr>
            </w:pPr>
            <w:r>
              <w:rPr>
                <w:color w:val="000000"/>
                <w:sz w:val="20"/>
                <w:lang w:val="es-PY" w:eastAsia="es-PY"/>
              </w:rPr>
              <w:t xml:space="preserve">      </w:t>
            </w:r>
            <w:r w:rsidR="00A31BD1" w:rsidRPr="00A31BD1">
              <w:rPr>
                <w:color w:val="000000"/>
                <w:sz w:val="20"/>
                <w:lang w:val="es-PY" w:eastAsia="es-PY"/>
              </w:rPr>
              <w:t xml:space="preserve">356,16 </w:t>
            </w:r>
          </w:p>
        </w:tc>
        <w:tc>
          <w:tcPr>
            <w:tcW w:w="1984" w:type="dxa"/>
            <w:tcBorders>
              <w:top w:val="nil"/>
              <w:left w:val="nil"/>
              <w:bottom w:val="single" w:sz="4" w:space="0" w:color="auto"/>
              <w:right w:val="single" w:sz="4" w:space="0" w:color="auto"/>
            </w:tcBorders>
            <w:shd w:val="clear" w:color="auto" w:fill="auto"/>
            <w:hideMark/>
          </w:tcPr>
          <w:p w:rsidR="00A31BD1" w:rsidRPr="00A31BD1" w:rsidRDefault="00A31BD1" w:rsidP="00A31BD1">
            <w:pPr>
              <w:rPr>
                <w:color w:val="000000"/>
                <w:sz w:val="20"/>
                <w:lang w:val="es-PY" w:eastAsia="es-PY"/>
              </w:rPr>
            </w:pPr>
            <w:r w:rsidRPr="00A31BD1">
              <w:rPr>
                <w:color w:val="000000"/>
                <w:sz w:val="20"/>
                <w:lang w:val="es-PY" w:eastAsia="es-PY"/>
              </w:rPr>
              <w:t>Proel Ingeniería</w:t>
            </w:r>
          </w:p>
        </w:tc>
        <w:tc>
          <w:tcPr>
            <w:tcW w:w="1390" w:type="dxa"/>
            <w:tcBorders>
              <w:top w:val="nil"/>
              <w:left w:val="nil"/>
              <w:bottom w:val="single" w:sz="4" w:space="0" w:color="auto"/>
              <w:right w:val="single" w:sz="4" w:space="0" w:color="auto"/>
            </w:tcBorders>
            <w:shd w:val="clear" w:color="auto" w:fill="auto"/>
            <w:noWrap/>
            <w:hideMark/>
          </w:tcPr>
          <w:p w:rsidR="00A31BD1" w:rsidRPr="00A31BD1" w:rsidRDefault="00A31BD1" w:rsidP="00172649">
            <w:pPr>
              <w:jc w:val="right"/>
              <w:rPr>
                <w:color w:val="000000"/>
                <w:sz w:val="20"/>
                <w:lang w:val="es-PY" w:eastAsia="es-PY"/>
              </w:rPr>
            </w:pPr>
            <w:r w:rsidRPr="00A31BD1">
              <w:rPr>
                <w:color w:val="000000"/>
                <w:sz w:val="20"/>
                <w:lang w:val="es-PY" w:eastAsia="es-PY"/>
              </w:rPr>
              <w:t xml:space="preserve">24.092.328.590 </w:t>
            </w:r>
          </w:p>
        </w:tc>
        <w:tc>
          <w:tcPr>
            <w:tcW w:w="1230" w:type="dxa"/>
            <w:tcBorders>
              <w:top w:val="nil"/>
              <w:left w:val="nil"/>
              <w:bottom w:val="single" w:sz="4" w:space="0" w:color="auto"/>
              <w:right w:val="single" w:sz="4" w:space="0" w:color="auto"/>
            </w:tcBorders>
            <w:shd w:val="clear" w:color="auto" w:fill="auto"/>
            <w:noWrap/>
            <w:hideMark/>
          </w:tcPr>
          <w:p w:rsidR="00A31BD1" w:rsidRPr="00A31BD1" w:rsidRDefault="00172649" w:rsidP="00172649">
            <w:pPr>
              <w:jc w:val="right"/>
              <w:rPr>
                <w:color w:val="000000"/>
                <w:sz w:val="20"/>
                <w:lang w:val="es-PY" w:eastAsia="es-PY"/>
              </w:rPr>
            </w:pPr>
            <w:r>
              <w:rPr>
                <w:color w:val="000000"/>
                <w:sz w:val="20"/>
                <w:lang w:val="es-PY" w:eastAsia="es-PY"/>
              </w:rPr>
              <w:t xml:space="preserve">     </w:t>
            </w:r>
            <w:r w:rsidR="00A31BD1" w:rsidRPr="00A31BD1">
              <w:rPr>
                <w:color w:val="000000"/>
                <w:sz w:val="20"/>
                <w:lang w:val="es-PY" w:eastAsia="es-PY"/>
              </w:rPr>
              <w:t xml:space="preserve">5.466.832 </w:t>
            </w:r>
          </w:p>
        </w:tc>
        <w:tc>
          <w:tcPr>
            <w:tcW w:w="1230" w:type="dxa"/>
            <w:tcBorders>
              <w:top w:val="nil"/>
              <w:left w:val="nil"/>
              <w:bottom w:val="single" w:sz="4" w:space="0" w:color="auto"/>
              <w:right w:val="single" w:sz="4" w:space="0" w:color="auto"/>
            </w:tcBorders>
            <w:shd w:val="clear" w:color="auto" w:fill="auto"/>
            <w:noWrap/>
            <w:hideMark/>
          </w:tcPr>
          <w:p w:rsidR="00A31BD1" w:rsidRPr="00A31BD1" w:rsidRDefault="00172649" w:rsidP="00172649">
            <w:pPr>
              <w:jc w:val="right"/>
              <w:rPr>
                <w:color w:val="000000"/>
                <w:sz w:val="20"/>
                <w:lang w:val="es-PY" w:eastAsia="es-PY"/>
              </w:rPr>
            </w:pPr>
            <w:r>
              <w:rPr>
                <w:color w:val="000000"/>
                <w:sz w:val="20"/>
                <w:lang w:val="es-PY" w:eastAsia="es-PY"/>
              </w:rPr>
              <w:t xml:space="preserve">          </w:t>
            </w:r>
            <w:r w:rsidR="00A31BD1" w:rsidRPr="00A31BD1">
              <w:rPr>
                <w:color w:val="000000"/>
                <w:sz w:val="20"/>
                <w:lang w:val="es-PY" w:eastAsia="es-PY"/>
              </w:rPr>
              <w:t xml:space="preserve">  4.186 </w:t>
            </w:r>
          </w:p>
        </w:tc>
      </w:tr>
      <w:tr w:rsidR="00A31BD1" w:rsidRPr="00A31BD1" w:rsidTr="00745363">
        <w:tc>
          <w:tcPr>
            <w:tcW w:w="1701" w:type="dxa"/>
            <w:tcBorders>
              <w:top w:val="nil"/>
              <w:left w:val="single" w:sz="4" w:space="0" w:color="auto"/>
              <w:bottom w:val="single" w:sz="4" w:space="0" w:color="auto"/>
              <w:right w:val="single" w:sz="4" w:space="0" w:color="auto"/>
            </w:tcBorders>
            <w:shd w:val="clear" w:color="auto" w:fill="auto"/>
            <w:noWrap/>
            <w:hideMark/>
          </w:tcPr>
          <w:p w:rsidR="00A31BD1" w:rsidRPr="00A31BD1" w:rsidRDefault="00A31BD1" w:rsidP="00A31BD1">
            <w:pPr>
              <w:rPr>
                <w:color w:val="000000"/>
                <w:sz w:val="20"/>
                <w:lang w:val="es-PY" w:eastAsia="es-PY"/>
              </w:rPr>
            </w:pPr>
            <w:r w:rsidRPr="00A31BD1">
              <w:rPr>
                <w:color w:val="000000"/>
                <w:sz w:val="20"/>
                <w:lang w:val="es-PY" w:eastAsia="es-PY"/>
              </w:rPr>
              <w:lastRenderedPageBreak/>
              <w:t>San Pedro</w:t>
            </w:r>
          </w:p>
        </w:tc>
        <w:tc>
          <w:tcPr>
            <w:tcW w:w="993" w:type="dxa"/>
            <w:tcBorders>
              <w:top w:val="nil"/>
              <w:left w:val="nil"/>
              <w:bottom w:val="single" w:sz="4" w:space="0" w:color="auto"/>
              <w:right w:val="single" w:sz="4" w:space="0" w:color="auto"/>
            </w:tcBorders>
            <w:shd w:val="clear" w:color="auto" w:fill="auto"/>
            <w:noWrap/>
            <w:hideMark/>
          </w:tcPr>
          <w:p w:rsidR="00A31BD1" w:rsidRPr="00A31BD1" w:rsidRDefault="00172649" w:rsidP="00A31BD1">
            <w:pPr>
              <w:rPr>
                <w:color w:val="000000"/>
                <w:sz w:val="20"/>
                <w:lang w:val="es-PY" w:eastAsia="es-PY"/>
              </w:rPr>
            </w:pPr>
            <w:r>
              <w:rPr>
                <w:color w:val="000000"/>
                <w:sz w:val="20"/>
                <w:lang w:val="es-PY" w:eastAsia="es-PY"/>
              </w:rPr>
              <w:t xml:space="preserve">      </w:t>
            </w:r>
            <w:r w:rsidR="00A31BD1" w:rsidRPr="00A31BD1">
              <w:rPr>
                <w:color w:val="000000"/>
                <w:sz w:val="20"/>
                <w:lang w:val="es-PY" w:eastAsia="es-PY"/>
              </w:rPr>
              <w:t xml:space="preserve">418,59 </w:t>
            </w:r>
          </w:p>
        </w:tc>
        <w:tc>
          <w:tcPr>
            <w:tcW w:w="1984" w:type="dxa"/>
            <w:tcBorders>
              <w:top w:val="nil"/>
              <w:left w:val="nil"/>
              <w:bottom w:val="single" w:sz="4" w:space="0" w:color="auto"/>
              <w:right w:val="single" w:sz="4" w:space="0" w:color="auto"/>
            </w:tcBorders>
            <w:shd w:val="clear" w:color="auto" w:fill="auto"/>
            <w:hideMark/>
          </w:tcPr>
          <w:p w:rsidR="00A31BD1" w:rsidRPr="00A31BD1" w:rsidRDefault="00A31BD1" w:rsidP="00A31BD1">
            <w:pPr>
              <w:rPr>
                <w:color w:val="000000"/>
                <w:sz w:val="20"/>
                <w:lang w:val="es-PY" w:eastAsia="es-PY"/>
              </w:rPr>
            </w:pPr>
            <w:r w:rsidRPr="00A31BD1">
              <w:rPr>
                <w:color w:val="000000"/>
                <w:sz w:val="20"/>
                <w:lang w:val="es-PY" w:eastAsia="es-PY"/>
              </w:rPr>
              <w:t>DC Ingeniería SA</w:t>
            </w:r>
          </w:p>
        </w:tc>
        <w:tc>
          <w:tcPr>
            <w:tcW w:w="1390" w:type="dxa"/>
            <w:tcBorders>
              <w:top w:val="nil"/>
              <w:left w:val="nil"/>
              <w:bottom w:val="single" w:sz="4" w:space="0" w:color="auto"/>
              <w:right w:val="single" w:sz="4" w:space="0" w:color="auto"/>
            </w:tcBorders>
            <w:shd w:val="clear" w:color="auto" w:fill="auto"/>
            <w:noWrap/>
            <w:hideMark/>
          </w:tcPr>
          <w:p w:rsidR="00A31BD1" w:rsidRPr="00A31BD1" w:rsidRDefault="00A31BD1" w:rsidP="00172649">
            <w:pPr>
              <w:jc w:val="right"/>
              <w:rPr>
                <w:color w:val="000000"/>
                <w:sz w:val="20"/>
                <w:lang w:val="es-PY" w:eastAsia="es-PY"/>
              </w:rPr>
            </w:pPr>
            <w:r w:rsidRPr="00A31BD1">
              <w:rPr>
                <w:color w:val="000000"/>
                <w:sz w:val="20"/>
                <w:lang w:val="es-PY" w:eastAsia="es-PY"/>
              </w:rPr>
              <w:t xml:space="preserve">13.685.480.182 </w:t>
            </w:r>
          </w:p>
        </w:tc>
        <w:tc>
          <w:tcPr>
            <w:tcW w:w="1230" w:type="dxa"/>
            <w:tcBorders>
              <w:top w:val="nil"/>
              <w:left w:val="nil"/>
              <w:bottom w:val="single" w:sz="4" w:space="0" w:color="auto"/>
              <w:right w:val="single" w:sz="4" w:space="0" w:color="auto"/>
            </w:tcBorders>
            <w:shd w:val="clear" w:color="auto" w:fill="auto"/>
            <w:noWrap/>
            <w:hideMark/>
          </w:tcPr>
          <w:p w:rsidR="00A31BD1" w:rsidRPr="00A31BD1" w:rsidRDefault="00172649" w:rsidP="00172649">
            <w:pPr>
              <w:jc w:val="right"/>
              <w:rPr>
                <w:color w:val="000000"/>
                <w:sz w:val="20"/>
                <w:lang w:val="es-PY" w:eastAsia="es-PY"/>
              </w:rPr>
            </w:pPr>
            <w:r>
              <w:rPr>
                <w:color w:val="000000"/>
                <w:sz w:val="20"/>
                <w:lang w:val="es-PY" w:eastAsia="es-PY"/>
              </w:rPr>
              <w:t xml:space="preserve">     </w:t>
            </w:r>
            <w:r w:rsidR="00A31BD1" w:rsidRPr="00A31BD1">
              <w:rPr>
                <w:color w:val="000000"/>
                <w:sz w:val="20"/>
                <w:lang w:val="es-PY" w:eastAsia="es-PY"/>
              </w:rPr>
              <w:t xml:space="preserve">3.105.396 </w:t>
            </w:r>
          </w:p>
        </w:tc>
        <w:tc>
          <w:tcPr>
            <w:tcW w:w="1230" w:type="dxa"/>
            <w:tcBorders>
              <w:top w:val="nil"/>
              <w:left w:val="nil"/>
              <w:bottom w:val="single" w:sz="4" w:space="0" w:color="auto"/>
              <w:right w:val="single" w:sz="4" w:space="0" w:color="auto"/>
            </w:tcBorders>
            <w:shd w:val="clear" w:color="auto" w:fill="auto"/>
            <w:noWrap/>
            <w:hideMark/>
          </w:tcPr>
          <w:p w:rsidR="00A31BD1" w:rsidRPr="00A31BD1" w:rsidRDefault="00172649" w:rsidP="00172649">
            <w:pPr>
              <w:jc w:val="right"/>
              <w:rPr>
                <w:color w:val="000000"/>
                <w:sz w:val="20"/>
                <w:lang w:val="es-PY" w:eastAsia="es-PY"/>
              </w:rPr>
            </w:pPr>
            <w:r>
              <w:rPr>
                <w:color w:val="000000"/>
                <w:sz w:val="20"/>
                <w:lang w:val="es-PY" w:eastAsia="es-PY"/>
              </w:rPr>
              <w:t xml:space="preserve">      </w:t>
            </w:r>
            <w:r w:rsidR="00A31BD1" w:rsidRPr="00A31BD1">
              <w:rPr>
                <w:color w:val="000000"/>
                <w:sz w:val="20"/>
                <w:lang w:val="es-PY" w:eastAsia="es-PY"/>
              </w:rPr>
              <w:t xml:space="preserve">      2.023 </w:t>
            </w:r>
          </w:p>
        </w:tc>
      </w:tr>
      <w:tr w:rsidR="00A31BD1" w:rsidRPr="00A31BD1" w:rsidTr="00745363">
        <w:tc>
          <w:tcPr>
            <w:tcW w:w="1701" w:type="dxa"/>
            <w:tcBorders>
              <w:top w:val="nil"/>
              <w:left w:val="single" w:sz="4" w:space="0" w:color="auto"/>
              <w:bottom w:val="single" w:sz="4" w:space="0" w:color="auto"/>
              <w:right w:val="single" w:sz="4" w:space="0" w:color="auto"/>
            </w:tcBorders>
            <w:shd w:val="clear" w:color="auto" w:fill="auto"/>
            <w:noWrap/>
            <w:hideMark/>
          </w:tcPr>
          <w:p w:rsidR="00A31BD1" w:rsidRPr="00A31BD1" w:rsidRDefault="00A31BD1" w:rsidP="00A31BD1">
            <w:pPr>
              <w:rPr>
                <w:color w:val="000000"/>
                <w:sz w:val="20"/>
                <w:lang w:val="es-PY" w:eastAsia="es-PY"/>
              </w:rPr>
            </w:pPr>
            <w:r w:rsidRPr="00A31BD1">
              <w:rPr>
                <w:color w:val="000000"/>
                <w:sz w:val="20"/>
                <w:lang w:val="es-PY" w:eastAsia="es-PY"/>
              </w:rPr>
              <w:t>Concepción - Amambay</w:t>
            </w:r>
          </w:p>
        </w:tc>
        <w:tc>
          <w:tcPr>
            <w:tcW w:w="993" w:type="dxa"/>
            <w:tcBorders>
              <w:top w:val="nil"/>
              <w:left w:val="nil"/>
              <w:bottom w:val="single" w:sz="4" w:space="0" w:color="auto"/>
              <w:right w:val="single" w:sz="4" w:space="0" w:color="auto"/>
            </w:tcBorders>
            <w:shd w:val="clear" w:color="auto" w:fill="auto"/>
            <w:noWrap/>
            <w:hideMark/>
          </w:tcPr>
          <w:p w:rsidR="00A31BD1" w:rsidRPr="00A31BD1" w:rsidRDefault="00172649" w:rsidP="00A31BD1">
            <w:pPr>
              <w:rPr>
                <w:color w:val="000000"/>
                <w:sz w:val="20"/>
                <w:lang w:val="es-PY" w:eastAsia="es-PY"/>
              </w:rPr>
            </w:pPr>
            <w:r>
              <w:rPr>
                <w:color w:val="000000"/>
                <w:sz w:val="20"/>
                <w:lang w:val="es-PY" w:eastAsia="es-PY"/>
              </w:rPr>
              <w:t xml:space="preserve">      </w:t>
            </w:r>
            <w:r w:rsidR="00A31BD1" w:rsidRPr="00A31BD1">
              <w:rPr>
                <w:color w:val="000000"/>
                <w:sz w:val="20"/>
                <w:lang w:val="es-PY" w:eastAsia="es-PY"/>
              </w:rPr>
              <w:t xml:space="preserve">401,71 </w:t>
            </w:r>
          </w:p>
        </w:tc>
        <w:tc>
          <w:tcPr>
            <w:tcW w:w="1984" w:type="dxa"/>
            <w:tcBorders>
              <w:top w:val="nil"/>
              <w:left w:val="nil"/>
              <w:bottom w:val="single" w:sz="4" w:space="0" w:color="auto"/>
              <w:right w:val="single" w:sz="4" w:space="0" w:color="auto"/>
            </w:tcBorders>
            <w:shd w:val="clear" w:color="auto" w:fill="auto"/>
            <w:hideMark/>
          </w:tcPr>
          <w:p w:rsidR="00A31BD1" w:rsidRPr="00A31BD1" w:rsidRDefault="00A31BD1" w:rsidP="00A31BD1">
            <w:pPr>
              <w:rPr>
                <w:color w:val="000000"/>
                <w:sz w:val="20"/>
                <w:lang w:val="es-PY" w:eastAsia="es-PY"/>
              </w:rPr>
            </w:pPr>
            <w:r w:rsidRPr="00A31BD1">
              <w:rPr>
                <w:color w:val="000000"/>
                <w:sz w:val="20"/>
                <w:lang w:val="es-PY" w:eastAsia="es-PY"/>
              </w:rPr>
              <w:t>Consorcio Mantenimiento Rural</w:t>
            </w:r>
          </w:p>
        </w:tc>
        <w:tc>
          <w:tcPr>
            <w:tcW w:w="1390" w:type="dxa"/>
            <w:tcBorders>
              <w:top w:val="nil"/>
              <w:left w:val="nil"/>
              <w:bottom w:val="single" w:sz="4" w:space="0" w:color="auto"/>
              <w:right w:val="single" w:sz="4" w:space="0" w:color="auto"/>
            </w:tcBorders>
            <w:shd w:val="clear" w:color="auto" w:fill="auto"/>
            <w:noWrap/>
            <w:hideMark/>
          </w:tcPr>
          <w:p w:rsidR="00A31BD1" w:rsidRPr="00A31BD1" w:rsidRDefault="00A31BD1" w:rsidP="00172649">
            <w:pPr>
              <w:jc w:val="right"/>
              <w:rPr>
                <w:color w:val="000000"/>
                <w:sz w:val="20"/>
                <w:lang w:val="es-PY" w:eastAsia="es-PY"/>
              </w:rPr>
            </w:pPr>
            <w:r w:rsidRPr="00A31BD1">
              <w:rPr>
                <w:color w:val="000000"/>
                <w:sz w:val="20"/>
                <w:lang w:val="es-PY" w:eastAsia="es-PY"/>
              </w:rPr>
              <w:t xml:space="preserve">16.698.187.766 </w:t>
            </w:r>
          </w:p>
        </w:tc>
        <w:tc>
          <w:tcPr>
            <w:tcW w:w="1230" w:type="dxa"/>
            <w:tcBorders>
              <w:top w:val="nil"/>
              <w:left w:val="nil"/>
              <w:bottom w:val="single" w:sz="4" w:space="0" w:color="auto"/>
              <w:right w:val="single" w:sz="4" w:space="0" w:color="auto"/>
            </w:tcBorders>
            <w:shd w:val="clear" w:color="auto" w:fill="auto"/>
            <w:noWrap/>
            <w:hideMark/>
          </w:tcPr>
          <w:p w:rsidR="00A31BD1" w:rsidRPr="00A31BD1" w:rsidRDefault="00172649" w:rsidP="00172649">
            <w:pPr>
              <w:jc w:val="right"/>
              <w:rPr>
                <w:color w:val="000000"/>
                <w:sz w:val="20"/>
                <w:lang w:val="es-PY" w:eastAsia="es-PY"/>
              </w:rPr>
            </w:pPr>
            <w:r>
              <w:rPr>
                <w:color w:val="000000"/>
                <w:sz w:val="20"/>
                <w:lang w:val="es-PY" w:eastAsia="es-PY"/>
              </w:rPr>
              <w:t xml:space="preserve">     </w:t>
            </w:r>
            <w:r w:rsidR="00A31BD1" w:rsidRPr="00A31BD1">
              <w:rPr>
                <w:color w:val="000000"/>
                <w:sz w:val="20"/>
                <w:lang w:val="es-PY" w:eastAsia="es-PY"/>
              </w:rPr>
              <w:t xml:space="preserve">3.789.015 </w:t>
            </w:r>
          </w:p>
        </w:tc>
        <w:tc>
          <w:tcPr>
            <w:tcW w:w="1230" w:type="dxa"/>
            <w:tcBorders>
              <w:top w:val="nil"/>
              <w:left w:val="nil"/>
              <w:bottom w:val="single" w:sz="4" w:space="0" w:color="auto"/>
              <w:right w:val="single" w:sz="4" w:space="0" w:color="auto"/>
            </w:tcBorders>
            <w:shd w:val="clear" w:color="auto" w:fill="auto"/>
            <w:noWrap/>
            <w:hideMark/>
          </w:tcPr>
          <w:p w:rsidR="00A31BD1" w:rsidRPr="00A31BD1" w:rsidRDefault="00172649" w:rsidP="00172649">
            <w:pPr>
              <w:jc w:val="right"/>
              <w:rPr>
                <w:color w:val="000000"/>
                <w:sz w:val="20"/>
                <w:lang w:val="es-PY" w:eastAsia="es-PY"/>
              </w:rPr>
            </w:pPr>
            <w:r>
              <w:rPr>
                <w:color w:val="000000"/>
                <w:sz w:val="20"/>
                <w:lang w:val="es-PY" w:eastAsia="es-PY"/>
              </w:rPr>
              <w:t xml:space="preserve">         </w:t>
            </w:r>
            <w:r w:rsidR="00A31BD1" w:rsidRPr="00A31BD1">
              <w:rPr>
                <w:color w:val="000000"/>
                <w:sz w:val="20"/>
                <w:lang w:val="es-PY" w:eastAsia="es-PY"/>
              </w:rPr>
              <w:t xml:space="preserve">   2.572 </w:t>
            </w:r>
          </w:p>
        </w:tc>
      </w:tr>
      <w:tr w:rsidR="00A31BD1" w:rsidRPr="00A31BD1" w:rsidTr="00745363">
        <w:tc>
          <w:tcPr>
            <w:tcW w:w="1701" w:type="dxa"/>
            <w:tcBorders>
              <w:top w:val="nil"/>
              <w:left w:val="single" w:sz="4" w:space="0" w:color="auto"/>
              <w:bottom w:val="single" w:sz="4" w:space="0" w:color="auto"/>
              <w:right w:val="single" w:sz="4" w:space="0" w:color="auto"/>
            </w:tcBorders>
            <w:shd w:val="clear" w:color="auto" w:fill="auto"/>
            <w:noWrap/>
            <w:hideMark/>
          </w:tcPr>
          <w:p w:rsidR="00A31BD1" w:rsidRPr="00A31BD1" w:rsidRDefault="00A31BD1" w:rsidP="00A31BD1">
            <w:pPr>
              <w:rPr>
                <w:color w:val="000000"/>
                <w:sz w:val="20"/>
                <w:lang w:val="es-PY" w:eastAsia="es-PY"/>
              </w:rPr>
            </w:pPr>
            <w:r w:rsidRPr="00A31BD1">
              <w:rPr>
                <w:color w:val="000000"/>
                <w:sz w:val="20"/>
                <w:lang w:val="es-PY" w:eastAsia="es-PY"/>
              </w:rPr>
              <w:t>Suma</w:t>
            </w:r>
          </w:p>
        </w:tc>
        <w:tc>
          <w:tcPr>
            <w:tcW w:w="993" w:type="dxa"/>
            <w:tcBorders>
              <w:top w:val="nil"/>
              <w:left w:val="nil"/>
              <w:bottom w:val="double" w:sz="6" w:space="0" w:color="auto"/>
              <w:right w:val="single" w:sz="4" w:space="0" w:color="auto"/>
            </w:tcBorders>
            <w:shd w:val="clear" w:color="auto" w:fill="auto"/>
            <w:noWrap/>
            <w:hideMark/>
          </w:tcPr>
          <w:p w:rsidR="00A31BD1" w:rsidRPr="00A31BD1" w:rsidRDefault="00172649" w:rsidP="00A31BD1">
            <w:pPr>
              <w:rPr>
                <w:color w:val="000000"/>
                <w:sz w:val="20"/>
                <w:lang w:val="es-PY" w:eastAsia="es-PY"/>
              </w:rPr>
            </w:pPr>
            <w:r>
              <w:rPr>
                <w:color w:val="000000"/>
                <w:sz w:val="20"/>
                <w:lang w:val="es-PY" w:eastAsia="es-PY"/>
              </w:rPr>
              <w:t xml:space="preserve">   </w:t>
            </w:r>
            <w:r w:rsidR="00A31BD1" w:rsidRPr="00A31BD1">
              <w:rPr>
                <w:color w:val="000000"/>
                <w:sz w:val="20"/>
                <w:lang w:val="es-PY" w:eastAsia="es-PY"/>
              </w:rPr>
              <w:t xml:space="preserve">1.176,46 </w:t>
            </w:r>
          </w:p>
        </w:tc>
        <w:tc>
          <w:tcPr>
            <w:tcW w:w="1984" w:type="dxa"/>
            <w:tcBorders>
              <w:top w:val="nil"/>
              <w:left w:val="nil"/>
              <w:bottom w:val="single" w:sz="4" w:space="0" w:color="auto"/>
              <w:right w:val="nil"/>
            </w:tcBorders>
            <w:shd w:val="clear" w:color="auto" w:fill="auto"/>
            <w:noWrap/>
            <w:hideMark/>
          </w:tcPr>
          <w:p w:rsidR="00A31BD1" w:rsidRPr="00A31BD1" w:rsidRDefault="00A31BD1" w:rsidP="00A31BD1">
            <w:pPr>
              <w:rPr>
                <w:color w:val="000000"/>
                <w:sz w:val="20"/>
                <w:lang w:val="es-PY" w:eastAsia="es-PY"/>
              </w:rPr>
            </w:pPr>
            <w:r w:rsidRPr="00A31BD1">
              <w:rPr>
                <w:color w:val="000000"/>
                <w:sz w:val="20"/>
                <w:lang w:val="es-PY" w:eastAsia="es-PY"/>
              </w:rPr>
              <w:t> </w:t>
            </w:r>
          </w:p>
        </w:tc>
        <w:tc>
          <w:tcPr>
            <w:tcW w:w="1390" w:type="dxa"/>
            <w:tcBorders>
              <w:top w:val="nil"/>
              <w:left w:val="nil"/>
              <w:bottom w:val="single" w:sz="4" w:space="0" w:color="auto"/>
              <w:right w:val="nil"/>
            </w:tcBorders>
            <w:shd w:val="clear" w:color="auto" w:fill="auto"/>
            <w:noWrap/>
            <w:hideMark/>
          </w:tcPr>
          <w:p w:rsidR="00A31BD1" w:rsidRPr="00A31BD1" w:rsidRDefault="00A31BD1" w:rsidP="00172649">
            <w:pPr>
              <w:jc w:val="right"/>
              <w:rPr>
                <w:color w:val="000000"/>
                <w:sz w:val="20"/>
                <w:lang w:val="es-PY" w:eastAsia="es-PY"/>
              </w:rPr>
            </w:pPr>
            <w:r w:rsidRPr="00A31BD1">
              <w:rPr>
                <w:color w:val="000000"/>
                <w:sz w:val="20"/>
                <w:lang w:val="es-PY" w:eastAsia="es-PY"/>
              </w:rPr>
              <w:t> </w:t>
            </w:r>
          </w:p>
        </w:tc>
        <w:tc>
          <w:tcPr>
            <w:tcW w:w="1230" w:type="dxa"/>
            <w:tcBorders>
              <w:top w:val="nil"/>
              <w:left w:val="single" w:sz="4" w:space="0" w:color="auto"/>
              <w:bottom w:val="double" w:sz="6" w:space="0" w:color="auto"/>
              <w:right w:val="single" w:sz="4" w:space="0" w:color="auto"/>
            </w:tcBorders>
            <w:shd w:val="clear" w:color="auto" w:fill="auto"/>
            <w:noWrap/>
            <w:hideMark/>
          </w:tcPr>
          <w:p w:rsidR="00A31BD1" w:rsidRPr="00A31BD1" w:rsidRDefault="00172649" w:rsidP="00172649">
            <w:pPr>
              <w:jc w:val="right"/>
              <w:rPr>
                <w:color w:val="000000"/>
                <w:sz w:val="20"/>
                <w:lang w:val="es-PY" w:eastAsia="es-PY"/>
              </w:rPr>
            </w:pPr>
            <w:r>
              <w:rPr>
                <w:color w:val="000000"/>
                <w:sz w:val="20"/>
                <w:lang w:val="es-PY" w:eastAsia="es-PY"/>
              </w:rPr>
              <w:t xml:space="preserve">   </w:t>
            </w:r>
            <w:r w:rsidR="00A31BD1" w:rsidRPr="00A31BD1">
              <w:rPr>
                <w:color w:val="000000"/>
                <w:sz w:val="20"/>
                <w:lang w:val="es-PY" w:eastAsia="es-PY"/>
              </w:rPr>
              <w:t xml:space="preserve">12.361.243 </w:t>
            </w:r>
          </w:p>
        </w:tc>
        <w:tc>
          <w:tcPr>
            <w:tcW w:w="1230" w:type="dxa"/>
            <w:tcBorders>
              <w:top w:val="nil"/>
              <w:left w:val="nil"/>
              <w:bottom w:val="single" w:sz="4" w:space="0" w:color="auto"/>
              <w:right w:val="single" w:sz="4" w:space="0" w:color="auto"/>
            </w:tcBorders>
            <w:shd w:val="clear" w:color="auto" w:fill="auto"/>
            <w:noWrap/>
            <w:hideMark/>
          </w:tcPr>
          <w:p w:rsidR="00A31BD1" w:rsidRPr="00A31BD1" w:rsidRDefault="00172649" w:rsidP="00172649">
            <w:pPr>
              <w:jc w:val="right"/>
              <w:rPr>
                <w:color w:val="000000"/>
                <w:sz w:val="20"/>
                <w:lang w:val="es-PY" w:eastAsia="es-PY"/>
              </w:rPr>
            </w:pPr>
            <w:r>
              <w:rPr>
                <w:color w:val="000000"/>
                <w:sz w:val="20"/>
                <w:lang w:val="es-PY" w:eastAsia="es-PY"/>
              </w:rPr>
              <w:t xml:space="preserve">            </w:t>
            </w:r>
            <w:r w:rsidR="00A31BD1" w:rsidRPr="00A31BD1">
              <w:rPr>
                <w:color w:val="000000"/>
                <w:sz w:val="20"/>
                <w:lang w:val="es-PY" w:eastAsia="es-PY"/>
              </w:rPr>
              <w:t xml:space="preserve">2.866 </w:t>
            </w:r>
          </w:p>
        </w:tc>
      </w:tr>
    </w:tbl>
    <w:p w:rsidR="00E65CE7" w:rsidRDefault="00E65CE7" w:rsidP="00E65CE7">
      <w:pPr>
        <w:spacing w:before="240"/>
        <w:ind w:left="709"/>
        <w:jc w:val="both"/>
        <w:rPr>
          <w:b/>
        </w:rPr>
      </w:pPr>
    </w:p>
    <w:p w:rsidR="00E65CE7" w:rsidRDefault="00E65CE7" w:rsidP="00E65CE7">
      <w:pPr>
        <w:spacing w:before="240"/>
        <w:ind w:left="709"/>
        <w:jc w:val="both"/>
        <w:rPr>
          <w:b/>
        </w:rPr>
      </w:pPr>
    </w:p>
    <w:p w:rsidR="00E65CE7" w:rsidRDefault="00E65CE7" w:rsidP="00E65CE7">
      <w:pPr>
        <w:spacing w:before="240"/>
        <w:ind w:left="709"/>
        <w:jc w:val="both"/>
        <w:rPr>
          <w:b/>
        </w:rPr>
      </w:pPr>
    </w:p>
    <w:p w:rsidR="00E65CE7" w:rsidRPr="00745363" w:rsidRDefault="00E65CE7" w:rsidP="00E65CE7">
      <w:pPr>
        <w:spacing w:before="240"/>
        <w:ind w:left="709"/>
        <w:jc w:val="both"/>
        <w:rPr>
          <w:b/>
        </w:rPr>
      </w:pPr>
      <w:r>
        <w:rPr>
          <w:b/>
        </w:rPr>
        <w:t xml:space="preserve">Contratos </w:t>
      </w:r>
      <w:r w:rsidR="003C630D">
        <w:rPr>
          <w:b/>
        </w:rPr>
        <w:t>-vs-</w:t>
      </w:r>
      <w:r>
        <w:rPr>
          <w:b/>
        </w:rPr>
        <w:t xml:space="preserve"> Presupuesto</w:t>
      </w:r>
    </w:p>
    <w:tbl>
      <w:tblPr>
        <w:tblW w:w="8361" w:type="dxa"/>
        <w:tblInd w:w="779" w:type="dxa"/>
        <w:tblLayout w:type="fixed"/>
        <w:tblCellMar>
          <w:left w:w="70" w:type="dxa"/>
          <w:right w:w="70" w:type="dxa"/>
        </w:tblCellMar>
        <w:tblLook w:val="04A0" w:firstRow="1" w:lastRow="0" w:firstColumn="1" w:lastColumn="0" w:noHBand="0" w:noVBand="1"/>
      </w:tblPr>
      <w:tblGrid>
        <w:gridCol w:w="1238"/>
        <w:gridCol w:w="1030"/>
        <w:gridCol w:w="1645"/>
        <w:gridCol w:w="1099"/>
        <w:gridCol w:w="1128"/>
        <w:gridCol w:w="1134"/>
        <w:gridCol w:w="1087"/>
      </w:tblGrid>
      <w:tr w:rsidR="00E65CE7" w:rsidRPr="00A31BD1" w:rsidTr="003C630D">
        <w:trPr>
          <w:tblHeader/>
        </w:trPr>
        <w:tc>
          <w:tcPr>
            <w:tcW w:w="123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E65CE7" w:rsidRPr="00A31BD1" w:rsidRDefault="00E65CE7" w:rsidP="006F47D2">
            <w:pPr>
              <w:jc w:val="center"/>
              <w:rPr>
                <w:b/>
                <w:bCs/>
                <w:color w:val="000000"/>
                <w:sz w:val="20"/>
                <w:lang w:val="es-PY" w:eastAsia="es-PY"/>
              </w:rPr>
            </w:pPr>
            <w:r w:rsidRPr="00A31BD1">
              <w:rPr>
                <w:b/>
                <w:bCs/>
                <w:color w:val="000000"/>
                <w:sz w:val="20"/>
                <w:lang w:val="es-PY" w:eastAsia="es-PY"/>
              </w:rPr>
              <w:t>Área geográfica</w:t>
            </w:r>
          </w:p>
        </w:tc>
        <w:tc>
          <w:tcPr>
            <w:tcW w:w="1030"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E65CE7" w:rsidRPr="00A31BD1" w:rsidRDefault="00E65CE7" w:rsidP="006F47D2">
            <w:pPr>
              <w:jc w:val="center"/>
              <w:rPr>
                <w:b/>
                <w:bCs/>
                <w:color w:val="000000"/>
                <w:sz w:val="20"/>
                <w:lang w:val="es-PY" w:eastAsia="es-PY"/>
              </w:rPr>
            </w:pPr>
            <w:r w:rsidRPr="00A31BD1">
              <w:rPr>
                <w:b/>
                <w:bCs/>
                <w:color w:val="000000"/>
                <w:sz w:val="20"/>
                <w:lang w:val="es-PY" w:eastAsia="es-PY"/>
              </w:rPr>
              <w:t>Extensión (km)</w:t>
            </w:r>
          </w:p>
        </w:tc>
        <w:tc>
          <w:tcPr>
            <w:tcW w:w="3872" w:type="dxa"/>
            <w:gridSpan w:val="3"/>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E65CE7" w:rsidRPr="00A31BD1" w:rsidRDefault="00E65CE7" w:rsidP="006F47D2">
            <w:pPr>
              <w:jc w:val="center"/>
              <w:rPr>
                <w:b/>
                <w:bCs/>
                <w:color w:val="000000"/>
                <w:sz w:val="20"/>
                <w:lang w:val="es-PY" w:eastAsia="es-PY"/>
              </w:rPr>
            </w:pPr>
            <w:r w:rsidRPr="00A31BD1">
              <w:rPr>
                <w:b/>
                <w:bCs/>
                <w:color w:val="000000"/>
                <w:sz w:val="20"/>
                <w:lang w:val="es-PY" w:eastAsia="es-PY"/>
              </w:rPr>
              <w:t>Contratos</w:t>
            </w:r>
          </w:p>
        </w:tc>
        <w:tc>
          <w:tcPr>
            <w:tcW w:w="2221" w:type="dxa"/>
            <w:gridSpan w:val="2"/>
            <w:tcBorders>
              <w:top w:val="single" w:sz="4" w:space="0" w:color="auto"/>
              <w:left w:val="nil"/>
              <w:bottom w:val="single" w:sz="4" w:space="0" w:color="auto"/>
              <w:right w:val="single" w:sz="4" w:space="0" w:color="000000"/>
            </w:tcBorders>
            <w:shd w:val="clear" w:color="auto" w:fill="DAEEF3" w:themeFill="accent5" w:themeFillTint="33"/>
            <w:vAlign w:val="center"/>
          </w:tcPr>
          <w:p w:rsidR="00E65CE7" w:rsidRPr="00A31BD1" w:rsidRDefault="00E65CE7" w:rsidP="006F47D2">
            <w:pPr>
              <w:jc w:val="center"/>
              <w:rPr>
                <w:b/>
                <w:bCs/>
                <w:color w:val="000000"/>
                <w:sz w:val="20"/>
                <w:lang w:val="es-PY" w:eastAsia="es-PY"/>
              </w:rPr>
            </w:pPr>
            <w:r>
              <w:rPr>
                <w:b/>
                <w:bCs/>
                <w:color w:val="000000"/>
                <w:sz w:val="20"/>
                <w:lang w:val="es-PY" w:eastAsia="es-PY"/>
              </w:rPr>
              <w:t>Presupuesto</w:t>
            </w:r>
          </w:p>
        </w:tc>
      </w:tr>
      <w:tr w:rsidR="003C630D" w:rsidRPr="00A31BD1" w:rsidTr="003C630D">
        <w:trPr>
          <w:tblHeader/>
        </w:trPr>
        <w:tc>
          <w:tcPr>
            <w:tcW w:w="123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E65CE7" w:rsidRPr="00A31BD1" w:rsidRDefault="00E65CE7" w:rsidP="006F47D2">
            <w:pPr>
              <w:rPr>
                <w:b/>
                <w:bCs/>
                <w:color w:val="000000"/>
                <w:sz w:val="20"/>
                <w:lang w:val="es-PY" w:eastAsia="es-PY"/>
              </w:rPr>
            </w:pPr>
          </w:p>
        </w:tc>
        <w:tc>
          <w:tcPr>
            <w:tcW w:w="1030"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E65CE7" w:rsidRPr="00A31BD1" w:rsidRDefault="00E65CE7" w:rsidP="006F47D2">
            <w:pPr>
              <w:rPr>
                <w:b/>
                <w:bCs/>
                <w:color w:val="000000"/>
                <w:sz w:val="20"/>
                <w:lang w:val="es-PY" w:eastAsia="es-PY"/>
              </w:rPr>
            </w:pPr>
          </w:p>
        </w:tc>
        <w:tc>
          <w:tcPr>
            <w:tcW w:w="1645" w:type="dxa"/>
            <w:tcBorders>
              <w:top w:val="nil"/>
              <w:left w:val="nil"/>
              <w:bottom w:val="single" w:sz="4" w:space="0" w:color="auto"/>
              <w:right w:val="single" w:sz="4" w:space="0" w:color="auto"/>
            </w:tcBorders>
            <w:shd w:val="clear" w:color="auto" w:fill="DAEEF3" w:themeFill="accent5" w:themeFillTint="33"/>
            <w:noWrap/>
            <w:vAlign w:val="center"/>
            <w:hideMark/>
          </w:tcPr>
          <w:p w:rsidR="00E65CE7" w:rsidRPr="00A31BD1" w:rsidRDefault="00E65CE7" w:rsidP="006F47D2">
            <w:pPr>
              <w:jc w:val="center"/>
              <w:rPr>
                <w:b/>
                <w:bCs/>
                <w:color w:val="000000"/>
                <w:sz w:val="20"/>
                <w:lang w:val="es-PY" w:eastAsia="es-PY"/>
              </w:rPr>
            </w:pPr>
            <w:r w:rsidRPr="00A31BD1">
              <w:rPr>
                <w:b/>
                <w:bCs/>
                <w:color w:val="000000"/>
                <w:sz w:val="20"/>
                <w:lang w:val="es-PY" w:eastAsia="es-PY"/>
              </w:rPr>
              <w:t>Contratista</w:t>
            </w:r>
          </w:p>
        </w:tc>
        <w:tc>
          <w:tcPr>
            <w:tcW w:w="1099" w:type="dxa"/>
            <w:tcBorders>
              <w:top w:val="single" w:sz="4" w:space="0" w:color="auto"/>
              <w:left w:val="nil"/>
              <w:bottom w:val="single" w:sz="4" w:space="0" w:color="auto"/>
              <w:right w:val="single" w:sz="4" w:space="0" w:color="auto"/>
            </w:tcBorders>
            <w:shd w:val="clear" w:color="auto" w:fill="DAEEF3" w:themeFill="accent5" w:themeFillTint="33"/>
            <w:noWrap/>
            <w:vAlign w:val="center"/>
          </w:tcPr>
          <w:p w:rsidR="00E65CE7" w:rsidRPr="00A31BD1" w:rsidRDefault="00E65CE7" w:rsidP="006F47D2">
            <w:pPr>
              <w:jc w:val="center"/>
              <w:rPr>
                <w:b/>
                <w:bCs/>
                <w:color w:val="000000"/>
                <w:sz w:val="20"/>
                <w:lang w:val="es-PY" w:eastAsia="es-PY"/>
              </w:rPr>
            </w:pPr>
            <w:r w:rsidRPr="00A31BD1">
              <w:rPr>
                <w:b/>
                <w:bCs/>
                <w:color w:val="000000"/>
                <w:sz w:val="20"/>
                <w:lang w:val="es-PY" w:eastAsia="es-PY"/>
              </w:rPr>
              <w:t>Monto (US$)</w:t>
            </w:r>
          </w:p>
        </w:tc>
        <w:tc>
          <w:tcPr>
            <w:tcW w:w="1128" w:type="dxa"/>
            <w:tcBorders>
              <w:top w:val="nil"/>
              <w:left w:val="nil"/>
              <w:bottom w:val="single" w:sz="4" w:space="0" w:color="auto"/>
              <w:right w:val="single" w:sz="4" w:space="0" w:color="auto"/>
            </w:tcBorders>
            <w:shd w:val="clear" w:color="auto" w:fill="DAEEF3" w:themeFill="accent5" w:themeFillTint="33"/>
            <w:noWrap/>
            <w:vAlign w:val="center"/>
          </w:tcPr>
          <w:p w:rsidR="003C630D" w:rsidRDefault="00E65CE7" w:rsidP="006F47D2">
            <w:pPr>
              <w:jc w:val="center"/>
              <w:rPr>
                <w:b/>
                <w:bCs/>
                <w:color w:val="000000"/>
                <w:sz w:val="20"/>
                <w:lang w:val="es-PY" w:eastAsia="es-PY"/>
              </w:rPr>
            </w:pPr>
            <w:r w:rsidRPr="00A31BD1">
              <w:rPr>
                <w:b/>
                <w:bCs/>
                <w:color w:val="000000"/>
                <w:sz w:val="20"/>
                <w:lang w:val="es-PY" w:eastAsia="es-PY"/>
              </w:rPr>
              <w:t>US$/km/</w:t>
            </w:r>
          </w:p>
          <w:p w:rsidR="00E65CE7" w:rsidRPr="00A31BD1" w:rsidRDefault="00E65CE7" w:rsidP="006F47D2">
            <w:pPr>
              <w:jc w:val="center"/>
              <w:rPr>
                <w:b/>
                <w:bCs/>
                <w:color w:val="000000"/>
                <w:sz w:val="20"/>
                <w:lang w:val="es-PY" w:eastAsia="es-PY"/>
              </w:rPr>
            </w:pPr>
            <w:r w:rsidRPr="00A31BD1">
              <w:rPr>
                <w:b/>
                <w:bCs/>
                <w:color w:val="000000"/>
                <w:sz w:val="20"/>
                <w:lang w:val="es-PY" w:eastAsia="es-PY"/>
              </w:rPr>
              <w:t>año</w:t>
            </w:r>
          </w:p>
        </w:tc>
        <w:tc>
          <w:tcPr>
            <w:tcW w:w="1134" w:type="dxa"/>
            <w:tcBorders>
              <w:top w:val="nil"/>
              <w:left w:val="nil"/>
              <w:bottom w:val="single" w:sz="4" w:space="0" w:color="auto"/>
              <w:right w:val="single" w:sz="4" w:space="0" w:color="auto"/>
            </w:tcBorders>
            <w:shd w:val="clear" w:color="auto" w:fill="DAEEF3" w:themeFill="accent5" w:themeFillTint="33"/>
            <w:noWrap/>
            <w:vAlign w:val="center"/>
            <w:hideMark/>
          </w:tcPr>
          <w:p w:rsidR="00E65CE7" w:rsidRPr="00A31BD1" w:rsidRDefault="00E65CE7" w:rsidP="006F47D2">
            <w:pPr>
              <w:jc w:val="center"/>
              <w:rPr>
                <w:b/>
                <w:bCs/>
                <w:color w:val="000000"/>
                <w:sz w:val="20"/>
                <w:lang w:val="es-PY" w:eastAsia="es-PY"/>
              </w:rPr>
            </w:pPr>
            <w:r w:rsidRPr="00A31BD1">
              <w:rPr>
                <w:b/>
                <w:bCs/>
                <w:color w:val="000000"/>
                <w:sz w:val="20"/>
                <w:lang w:val="es-PY" w:eastAsia="es-PY"/>
              </w:rPr>
              <w:t>Monto (US$)</w:t>
            </w:r>
          </w:p>
        </w:tc>
        <w:tc>
          <w:tcPr>
            <w:tcW w:w="1087" w:type="dxa"/>
            <w:tcBorders>
              <w:top w:val="nil"/>
              <w:left w:val="nil"/>
              <w:bottom w:val="single" w:sz="4" w:space="0" w:color="auto"/>
              <w:right w:val="single" w:sz="4" w:space="0" w:color="auto"/>
            </w:tcBorders>
            <w:shd w:val="clear" w:color="auto" w:fill="DAEEF3" w:themeFill="accent5" w:themeFillTint="33"/>
            <w:vAlign w:val="center"/>
          </w:tcPr>
          <w:p w:rsidR="003C630D" w:rsidRDefault="00E65CE7" w:rsidP="006F47D2">
            <w:pPr>
              <w:jc w:val="center"/>
              <w:rPr>
                <w:b/>
                <w:bCs/>
                <w:color w:val="000000"/>
                <w:sz w:val="20"/>
                <w:lang w:val="es-PY" w:eastAsia="es-PY"/>
              </w:rPr>
            </w:pPr>
            <w:r w:rsidRPr="00A31BD1">
              <w:rPr>
                <w:b/>
                <w:bCs/>
                <w:color w:val="000000"/>
                <w:sz w:val="20"/>
                <w:lang w:val="es-PY" w:eastAsia="es-PY"/>
              </w:rPr>
              <w:t>US$/km/</w:t>
            </w:r>
          </w:p>
          <w:p w:rsidR="00E65CE7" w:rsidRPr="00A31BD1" w:rsidRDefault="00E65CE7" w:rsidP="006F47D2">
            <w:pPr>
              <w:jc w:val="center"/>
              <w:rPr>
                <w:b/>
                <w:bCs/>
                <w:color w:val="000000"/>
                <w:sz w:val="20"/>
                <w:lang w:val="es-PY" w:eastAsia="es-PY"/>
              </w:rPr>
            </w:pPr>
            <w:r w:rsidRPr="00A31BD1">
              <w:rPr>
                <w:b/>
                <w:bCs/>
                <w:color w:val="000000"/>
                <w:sz w:val="20"/>
                <w:lang w:val="es-PY" w:eastAsia="es-PY"/>
              </w:rPr>
              <w:t>año</w:t>
            </w:r>
          </w:p>
        </w:tc>
      </w:tr>
      <w:tr w:rsidR="003C630D" w:rsidRPr="00A31BD1" w:rsidTr="003C630D">
        <w:tc>
          <w:tcPr>
            <w:tcW w:w="1238" w:type="dxa"/>
            <w:tcBorders>
              <w:top w:val="nil"/>
              <w:left w:val="single" w:sz="4" w:space="0" w:color="auto"/>
              <w:bottom w:val="single" w:sz="4" w:space="0" w:color="auto"/>
              <w:right w:val="single" w:sz="4" w:space="0" w:color="auto"/>
            </w:tcBorders>
            <w:shd w:val="clear" w:color="auto" w:fill="auto"/>
            <w:noWrap/>
            <w:hideMark/>
          </w:tcPr>
          <w:p w:rsidR="003C630D" w:rsidRPr="00A31BD1" w:rsidRDefault="003C630D" w:rsidP="006F47D2">
            <w:pPr>
              <w:rPr>
                <w:color w:val="000000"/>
                <w:sz w:val="20"/>
                <w:lang w:val="es-PY" w:eastAsia="es-PY"/>
              </w:rPr>
            </w:pPr>
            <w:r w:rsidRPr="00A31BD1">
              <w:rPr>
                <w:color w:val="000000"/>
                <w:sz w:val="20"/>
                <w:lang w:val="es-PY" w:eastAsia="es-PY"/>
              </w:rPr>
              <w:t>Caaguazú</w:t>
            </w:r>
          </w:p>
        </w:tc>
        <w:tc>
          <w:tcPr>
            <w:tcW w:w="1030" w:type="dxa"/>
            <w:tcBorders>
              <w:top w:val="nil"/>
              <w:left w:val="nil"/>
              <w:bottom w:val="single" w:sz="4" w:space="0" w:color="auto"/>
              <w:right w:val="single" w:sz="4" w:space="0" w:color="auto"/>
            </w:tcBorders>
            <w:shd w:val="clear" w:color="auto" w:fill="auto"/>
            <w:noWrap/>
            <w:hideMark/>
          </w:tcPr>
          <w:p w:rsidR="003C630D" w:rsidRPr="00A31BD1" w:rsidRDefault="003C630D" w:rsidP="006F47D2">
            <w:pPr>
              <w:rPr>
                <w:color w:val="000000"/>
                <w:sz w:val="20"/>
                <w:lang w:val="es-PY" w:eastAsia="es-PY"/>
              </w:rPr>
            </w:pPr>
            <w:r>
              <w:rPr>
                <w:color w:val="000000"/>
                <w:sz w:val="20"/>
                <w:lang w:val="es-PY" w:eastAsia="es-PY"/>
              </w:rPr>
              <w:t xml:space="preserve">      </w:t>
            </w:r>
            <w:r w:rsidRPr="00A31BD1">
              <w:rPr>
                <w:color w:val="000000"/>
                <w:sz w:val="20"/>
                <w:lang w:val="es-PY" w:eastAsia="es-PY"/>
              </w:rPr>
              <w:t xml:space="preserve">356,16 </w:t>
            </w:r>
          </w:p>
        </w:tc>
        <w:tc>
          <w:tcPr>
            <w:tcW w:w="1645" w:type="dxa"/>
            <w:tcBorders>
              <w:top w:val="nil"/>
              <w:left w:val="nil"/>
              <w:bottom w:val="single" w:sz="4" w:space="0" w:color="auto"/>
              <w:right w:val="single" w:sz="4" w:space="0" w:color="auto"/>
            </w:tcBorders>
            <w:shd w:val="clear" w:color="auto" w:fill="auto"/>
            <w:hideMark/>
          </w:tcPr>
          <w:p w:rsidR="003C630D" w:rsidRPr="00A31BD1" w:rsidRDefault="003C630D" w:rsidP="006F47D2">
            <w:pPr>
              <w:rPr>
                <w:color w:val="000000"/>
                <w:sz w:val="20"/>
                <w:lang w:val="es-PY" w:eastAsia="es-PY"/>
              </w:rPr>
            </w:pPr>
            <w:r w:rsidRPr="00A31BD1">
              <w:rPr>
                <w:color w:val="000000"/>
                <w:sz w:val="20"/>
                <w:lang w:val="es-PY" w:eastAsia="es-PY"/>
              </w:rPr>
              <w:t>Proel Ingeniería</w:t>
            </w:r>
          </w:p>
        </w:tc>
        <w:tc>
          <w:tcPr>
            <w:tcW w:w="1099" w:type="dxa"/>
            <w:tcBorders>
              <w:top w:val="single" w:sz="4" w:space="0" w:color="auto"/>
              <w:left w:val="nil"/>
              <w:bottom w:val="single" w:sz="4" w:space="0" w:color="auto"/>
              <w:right w:val="single" w:sz="4" w:space="0" w:color="auto"/>
            </w:tcBorders>
            <w:shd w:val="clear" w:color="auto" w:fill="auto"/>
            <w:noWrap/>
          </w:tcPr>
          <w:p w:rsidR="003C630D" w:rsidRPr="00A31BD1" w:rsidRDefault="003C630D" w:rsidP="003C630D">
            <w:pPr>
              <w:jc w:val="right"/>
              <w:rPr>
                <w:color w:val="000000"/>
                <w:sz w:val="20"/>
                <w:lang w:val="es-PY" w:eastAsia="es-PY"/>
              </w:rPr>
            </w:pPr>
            <w:r w:rsidRPr="00A31BD1">
              <w:rPr>
                <w:color w:val="000000"/>
                <w:sz w:val="20"/>
                <w:lang w:val="es-PY" w:eastAsia="es-PY"/>
              </w:rPr>
              <w:t xml:space="preserve">5.466.832 </w:t>
            </w:r>
          </w:p>
        </w:tc>
        <w:tc>
          <w:tcPr>
            <w:tcW w:w="1128" w:type="dxa"/>
            <w:tcBorders>
              <w:top w:val="nil"/>
              <w:left w:val="nil"/>
              <w:bottom w:val="single" w:sz="4" w:space="0" w:color="auto"/>
              <w:right w:val="single" w:sz="4" w:space="0" w:color="auto"/>
            </w:tcBorders>
            <w:shd w:val="clear" w:color="auto" w:fill="auto"/>
            <w:noWrap/>
          </w:tcPr>
          <w:p w:rsidR="003C630D" w:rsidRPr="00A31BD1" w:rsidRDefault="003C630D" w:rsidP="003C630D">
            <w:pPr>
              <w:jc w:val="right"/>
              <w:rPr>
                <w:color w:val="000000"/>
                <w:sz w:val="20"/>
                <w:lang w:val="es-PY" w:eastAsia="es-PY"/>
              </w:rPr>
            </w:pPr>
            <w:r>
              <w:rPr>
                <w:color w:val="000000"/>
                <w:sz w:val="20"/>
                <w:lang w:val="es-PY" w:eastAsia="es-PY"/>
              </w:rPr>
              <w:t xml:space="preserve">        </w:t>
            </w:r>
            <w:r w:rsidRPr="00A31BD1">
              <w:rPr>
                <w:color w:val="000000"/>
                <w:sz w:val="20"/>
                <w:lang w:val="es-PY" w:eastAsia="es-PY"/>
              </w:rPr>
              <w:t xml:space="preserve">  4.186 </w:t>
            </w:r>
          </w:p>
        </w:tc>
        <w:tc>
          <w:tcPr>
            <w:tcW w:w="1134" w:type="dxa"/>
            <w:tcBorders>
              <w:top w:val="nil"/>
              <w:left w:val="nil"/>
              <w:bottom w:val="single" w:sz="4" w:space="0" w:color="auto"/>
              <w:right w:val="single" w:sz="4" w:space="0" w:color="auto"/>
            </w:tcBorders>
            <w:shd w:val="clear" w:color="auto" w:fill="auto"/>
            <w:noWrap/>
          </w:tcPr>
          <w:p w:rsidR="003C630D" w:rsidRPr="009E27E1" w:rsidRDefault="003C630D" w:rsidP="003C630D">
            <w:pPr>
              <w:jc w:val="right"/>
              <w:rPr>
                <w:color w:val="000000"/>
                <w:sz w:val="20"/>
                <w:lang w:val="es-PY" w:eastAsia="es-PY"/>
              </w:rPr>
            </w:pPr>
            <w:r w:rsidRPr="009E27E1">
              <w:rPr>
                <w:color w:val="000000"/>
                <w:sz w:val="20"/>
                <w:lang w:val="es-PY" w:eastAsia="es-PY"/>
              </w:rPr>
              <w:t xml:space="preserve"> 4.250.640 </w:t>
            </w:r>
          </w:p>
        </w:tc>
        <w:tc>
          <w:tcPr>
            <w:tcW w:w="1087" w:type="dxa"/>
            <w:tcBorders>
              <w:top w:val="nil"/>
              <w:left w:val="nil"/>
              <w:bottom w:val="single" w:sz="4" w:space="0" w:color="auto"/>
              <w:right w:val="single" w:sz="4" w:space="0" w:color="auto"/>
            </w:tcBorders>
          </w:tcPr>
          <w:p w:rsidR="003C630D" w:rsidRPr="009E27E1" w:rsidRDefault="003C630D" w:rsidP="003C630D">
            <w:pPr>
              <w:jc w:val="right"/>
              <w:rPr>
                <w:color w:val="000000"/>
                <w:sz w:val="20"/>
                <w:lang w:val="es-PY" w:eastAsia="es-PY"/>
              </w:rPr>
            </w:pPr>
            <w:r w:rsidRPr="009E27E1">
              <w:rPr>
                <w:color w:val="000000"/>
                <w:sz w:val="20"/>
                <w:lang w:val="es-PY" w:eastAsia="es-PY"/>
              </w:rPr>
              <w:t xml:space="preserve">2.616 </w:t>
            </w:r>
          </w:p>
        </w:tc>
      </w:tr>
      <w:tr w:rsidR="003C630D" w:rsidRPr="00A31BD1" w:rsidTr="003C630D">
        <w:tc>
          <w:tcPr>
            <w:tcW w:w="1238" w:type="dxa"/>
            <w:tcBorders>
              <w:top w:val="nil"/>
              <w:left w:val="single" w:sz="4" w:space="0" w:color="auto"/>
              <w:bottom w:val="single" w:sz="4" w:space="0" w:color="auto"/>
              <w:right w:val="single" w:sz="4" w:space="0" w:color="auto"/>
            </w:tcBorders>
            <w:shd w:val="clear" w:color="auto" w:fill="auto"/>
            <w:noWrap/>
            <w:hideMark/>
          </w:tcPr>
          <w:p w:rsidR="003C630D" w:rsidRPr="00A31BD1" w:rsidRDefault="003C630D" w:rsidP="006F47D2">
            <w:pPr>
              <w:rPr>
                <w:color w:val="000000"/>
                <w:sz w:val="20"/>
                <w:lang w:val="es-PY" w:eastAsia="es-PY"/>
              </w:rPr>
            </w:pPr>
            <w:r w:rsidRPr="00A31BD1">
              <w:rPr>
                <w:color w:val="000000"/>
                <w:sz w:val="20"/>
                <w:lang w:val="es-PY" w:eastAsia="es-PY"/>
              </w:rPr>
              <w:t>San Pedro</w:t>
            </w:r>
          </w:p>
        </w:tc>
        <w:tc>
          <w:tcPr>
            <w:tcW w:w="1030" w:type="dxa"/>
            <w:tcBorders>
              <w:top w:val="nil"/>
              <w:left w:val="nil"/>
              <w:bottom w:val="single" w:sz="4" w:space="0" w:color="auto"/>
              <w:right w:val="single" w:sz="4" w:space="0" w:color="auto"/>
            </w:tcBorders>
            <w:shd w:val="clear" w:color="auto" w:fill="auto"/>
            <w:noWrap/>
            <w:hideMark/>
          </w:tcPr>
          <w:p w:rsidR="003C630D" w:rsidRPr="00A31BD1" w:rsidRDefault="003C630D" w:rsidP="006F47D2">
            <w:pPr>
              <w:rPr>
                <w:color w:val="000000"/>
                <w:sz w:val="20"/>
                <w:lang w:val="es-PY" w:eastAsia="es-PY"/>
              </w:rPr>
            </w:pPr>
            <w:r>
              <w:rPr>
                <w:color w:val="000000"/>
                <w:sz w:val="20"/>
                <w:lang w:val="es-PY" w:eastAsia="es-PY"/>
              </w:rPr>
              <w:t xml:space="preserve">      </w:t>
            </w:r>
            <w:r w:rsidRPr="00A31BD1">
              <w:rPr>
                <w:color w:val="000000"/>
                <w:sz w:val="20"/>
                <w:lang w:val="es-PY" w:eastAsia="es-PY"/>
              </w:rPr>
              <w:t xml:space="preserve">418,59 </w:t>
            </w:r>
          </w:p>
        </w:tc>
        <w:tc>
          <w:tcPr>
            <w:tcW w:w="1645" w:type="dxa"/>
            <w:tcBorders>
              <w:top w:val="nil"/>
              <w:left w:val="nil"/>
              <w:bottom w:val="single" w:sz="4" w:space="0" w:color="auto"/>
              <w:right w:val="single" w:sz="4" w:space="0" w:color="auto"/>
            </w:tcBorders>
            <w:shd w:val="clear" w:color="auto" w:fill="auto"/>
            <w:hideMark/>
          </w:tcPr>
          <w:p w:rsidR="003C630D" w:rsidRPr="00A31BD1" w:rsidRDefault="003C630D" w:rsidP="006F47D2">
            <w:pPr>
              <w:rPr>
                <w:color w:val="000000"/>
                <w:sz w:val="20"/>
                <w:lang w:val="es-PY" w:eastAsia="es-PY"/>
              </w:rPr>
            </w:pPr>
            <w:r w:rsidRPr="00A31BD1">
              <w:rPr>
                <w:color w:val="000000"/>
                <w:sz w:val="20"/>
                <w:lang w:val="es-PY" w:eastAsia="es-PY"/>
              </w:rPr>
              <w:t>DC Ingeniería SA</w:t>
            </w:r>
          </w:p>
        </w:tc>
        <w:tc>
          <w:tcPr>
            <w:tcW w:w="1099" w:type="dxa"/>
            <w:tcBorders>
              <w:top w:val="single" w:sz="4" w:space="0" w:color="auto"/>
              <w:left w:val="nil"/>
              <w:bottom w:val="single" w:sz="4" w:space="0" w:color="auto"/>
              <w:right w:val="single" w:sz="4" w:space="0" w:color="auto"/>
            </w:tcBorders>
            <w:shd w:val="clear" w:color="auto" w:fill="auto"/>
            <w:noWrap/>
          </w:tcPr>
          <w:p w:rsidR="003C630D" w:rsidRPr="00A31BD1" w:rsidRDefault="003C630D" w:rsidP="003C630D">
            <w:pPr>
              <w:jc w:val="right"/>
              <w:rPr>
                <w:color w:val="000000"/>
                <w:sz w:val="20"/>
                <w:lang w:val="es-PY" w:eastAsia="es-PY"/>
              </w:rPr>
            </w:pPr>
            <w:r w:rsidRPr="00A31BD1">
              <w:rPr>
                <w:color w:val="000000"/>
                <w:sz w:val="20"/>
                <w:lang w:val="es-PY" w:eastAsia="es-PY"/>
              </w:rPr>
              <w:t xml:space="preserve">3.105.396 </w:t>
            </w:r>
          </w:p>
        </w:tc>
        <w:tc>
          <w:tcPr>
            <w:tcW w:w="1128" w:type="dxa"/>
            <w:tcBorders>
              <w:top w:val="nil"/>
              <w:left w:val="nil"/>
              <w:bottom w:val="single" w:sz="4" w:space="0" w:color="auto"/>
              <w:right w:val="single" w:sz="4" w:space="0" w:color="auto"/>
            </w:tcBorders>
            <w:shd w:val="clear" w:color="auto" w:fill="auto"/>
            <w:noWrap/>
          </w:tcPr>
          <w:p w:rsidR="003C630D" w:rsidRPr="00A31BD1" w:rsidRDefault="003C630D" w:rsidP="003C630D">
            <w:pPr>
              <w:jc w:val="right"/>
              <w:rPr>
                <w:color w:val="000000"/>
                <w:sz w:val="20"/>
                <w:lang w:val="es-PY" w:eastAsia="es-PY"/>
              </w:rPr>
            </w:pPr>
            <w:r w:rsidRPr="00A31BD1">
              <w:rPr>
                <w:color w:val="000000"/>
                <w:sz w:val="20"/>
                <w:lang w:val="es-PY" w:eastAsia="es-PY"/>
              </w:rPr>
              <w:t xml:space="preserve">    2.023 </w:t>
            </w:r>
          </w:p>
        </w:tc>
        <w:tc>
          <w:tcPr>
            <w:tcW w:w="1134" w:type="dxa"/>
            <w:tcBorders>
              <w:top w:val="nil"/>
              <w:left w:val="nil"/>
              <w:bottom w:val="single" w:sz="4" w:space="0" w:color="auto"/>
              <w:right w:val="single" w:sz="4" w:space="0" w:color="auto"/>
            </w:tcBorders>
            <w:shd w:val="clear" w:color="auto" w:fill="auto"/>
            <w:noWrap/>
          </w:tcPr>
          <w:p w:rsidR="003C630D" w:rsidRPr="009E27E1" w:rsidRDefault="003C630D" w:rsidP="003C630D">
            <w:pPr>
              <w:jc w:val="right"/>
              <w:rPr>
                <w:color w:val="000000"/>
                <w:sz w:val="20"/>
                <w:lang w:val="es-PY" w:eastAsia="es-PY"/>
              </w:rPr>
            </w:pPr>
            <w:r w:rsidRPr="009E27E1">
              <w:rPr>
                <w:color w:val="000000"/>
                <w:sz w:val="20"/>
                <w:lang w:val="es-PY" w:eastAsia="es-PY"/>
              </w:rPr>
              <w:t xml:space="preserve">3.490.918 </w:t>
            </w:r>
          </w:p>
        </w:tc>
        <w:tc>
          <w:tcPr>
            <w:tcW w:w="1087" w:type="dxa"/>
            <w:tcBorders>
              <w:top w:val="nil"/>
              <w:left w:val="nil"/>
              <w:bottom w:val="single" w:sz="4" w:space="0" w:color="auto"/>
              <w:right w:val="single" w:sz="4" w:space="0" w:color="auto"/>
            </w:tcBorders>
          </w:tcPr>
          <w:p w:rsidR="003C630D" w:rsidRPr="009E27E1" w:rsidRDefault="003C630D" w:rsidP="003C630D">
            <w:pPr>
              <w:jc w:val="right"/>
              <w:rPr>
                <w:color w:val="000000"/>
                <w:sz w:val="20"/>
                <w:lang w:val="es-PY" w:eastAsia="es-PY"/>
              </w:rPr>
            </w:pPr>
            <w:r w:rsidRPr="009E27E1">
              <w:rPr>
                <w:color w:val="000000"/>
                <w:sz w:val="20"/>
                <w:lang w:val="es-PY" w:eastAsia="es-PY"/>
              </w:rPr>
              <w:t xml:space="preserve"> 1.885 </w:t>
            </w:r>
          </w:p>
        </w:tc>
      </w:tr>
      <w:tr w:rsidR="003C630D" w:rsidRPr="00A31BD1" w:rsidTr="003C630D">
        <w:tc>
          <w:tcPr>
            <w:tcW w:w="1238" w:type="dxa"/>
            <w:tcBorders>
              <w:top w:val="nil"/>
              <w:left w:val="single" w:sz="4" w:space="0" w:color="auto"/>
              <w:bottom w:val="single" w:sz="4" w:space="0" w:color="auto"/>
              <w:right w:val="single" w:sz="4" w:space="0" w:color="auto"/>
            </w:tcBorders>
            <w:shd w:val="clear" w:color="auto" w:fill="auto"/>
            <w:noWrap/>
            <w:hideMark/>
          </w:tcPr>
          <w:p w:rsidR="003C630D" w:rsidRPr="00A31BD1" w:rsidRDefault="003C630D" w:rsidP="006F47D2">
            <w:pPr>
              <w:rPr>
                <w:color w:val="000000"/>
                <w:sz w:val="20"/>
                <w:lang w:val="es-PY" w:eastAsia="es-PY"/>
              </w:rPr>
            </w:pPr>
            <w:r w:rsidRPr="00A31BD1">
              <w:rPr>
                <w:color w:val="000000"/>
                <w:sz w:val="20"/>
                <w:lang w:val="es-PY" w:eastAsia="es-PY"/>
              </w:rPr>
              <w:t>Concepción - Amambay</w:t>
            </w:r>
          </w:p>
        </w:tc>
        <w:tc>
          <w:tcPr>
            <w:tcW w:w="1030" w:type="dxa"/>
            <w:tcBorders>
              <w:top w:val="nil"/>
              <w:left w:val="nil"/>
              <w:bottom w:val="single" w:sz="4" w:space="0" w:color="auto"/>
              <w:right w:val="single" w:sz="4" w:space="0" w:color="auto"/>
            </w:tcBorders>
            <w:shd w:val="clear" w:color="auto" w:fill="auto"/>
            <w:noWrap/>
            <w:hideMark/>
          </w:tcPr>
          <w:p w:rsidR="003C630D" w:rsidRPr="00A31BD1" w:rsidRDefault="003C630D" w:rsidP="006F47D2">
            <w:pPr>
              <w:rPr>
                <w:color w:val="000000"/>
                <w:sz w:val="20"/>
                <w:lang w:val="es-PY" w:eastAsia="es-PY"/>
              </w:rPr>
            </w:pPr>
            <w:r>
              <w:rPr>
                <w:color w:val="000000"/>
                <w:sz w:val="20"/>
                <w:lang w:val="es-PY" w:eastAsia="es-PY"/>
              </w:rPr>
              <w:t xml:space="preserve">      </w:t>
            </w:r>
            <w:r w:rsidRPr="00A31BD1">
              <w:rPr>
                <w:color w:val="000000"/>
                <w:sz w:val="20"/>
                <w:lang w:val="es-PY" w:eastAsia="es-PY"/>
              </w:rPr>
              <w:t xml:space="preserve">401,71 </w:t>
            </w:r>
          </w:p>
        </w:tc>
        <w:tc>
          <w:tcPr>
            <w:tcW w:w="1645" w:type="dxa"/>
            <w:tcBorders>
              <w:top w:val="nil"/>
              <w:left w:val="nil"/>
              <w:bottom w:val="single" w:sz="4" w:space="0" w:color="auto"/>
              <w:right w:val="single" w:sz="4" w:space="0" w:color="auto"/>
            </w:tcBorders>
            <w:shd w:val="clear" w:color="auto" w:fill="auto"/>
            <w:hideMark/>
          </w:tcPr>
          <w:p w:rsidR="003C630D" w:rsidRPr="00A31BD1" w:rsidRDefault="003C630D" w:rsidP="006F47D2">
            <w:pPr>
              <w:rPr>
                <w:color w:val="000000"/>
                <w:sz w:val="20"/>
                <w:lang w:val="es-PY" w:eastAsia="es-PY"/>
              </w:rPr>
            </w:pPr>
            <w:r w:rsidRPr="00A31BD1">
              <w:rPr>
                <w:color w:val="000000"/>
                <w:sz w:val="20"/>
                <w:lang w:val="es-PY" w:eastAsia="es-PY"/>
              </w:rPr>
              <w:t>Consorcio Mantenimiento Rural</w:t>
            </w:r>
          </w:p>
        </w:tc>
        <w:tc>
          <w:tcPr>
            <w:tcW w:w="1099" w:type="dxa"/>
            <w:tcBorders>
              <w:top w:val="single" w:sz="4" w:space="0" w:color="auto"/>
              <w:left w:val="nil"/>
              <w:bottom w:val="single" w:sz="4" w:space="0" w:color="auto"/>
              <w:right w:val="single" w:sz="4" w:space="0" w:color="auto"/>
            </w:tcBorders>
            <w:shd w:val="clear" w:color="auto" w:fill="auto"/>
            <w:noWrap/>
          </w:tcPr>
          <w:p w:rsidR="003C630D" w:rsidRPr="00A31BD1" w:rsidRDefault="003C630D" w:rsidP="003C630D">
            <w:pPr>
              <w:jc w:val="right"/>
              <w:rPr>
                <w:color w:val="000000"/>
                <w:sz w:val="20"/>
                <w:lang w:val="es-PY" w:eastAsia="es-PY"/>
              </w:rPr>
            </w:pPr>
            <w:r w:rsidRPr="00A31BD1">
              <w:rPr>
                <w:color w:val="000000"/>
                <w:sz w:val="20"/>
                <w:lang w:val="es-PY" w:eastAsia="es-PY"/>
              </w:rPr>
              <w:t xml:space="preserve">3.789.015 </w:t>
            </w:r>
          </w:p>
        </w:tc>
        <w:tc>
          <w:tcPr>
            <w:tcW w:w="1128" w:type="dxa"/>
            <w:tcBorders>
              <w:top w:val="nil"/>
              <w:left w:val="nil"/>
              <w:bottom w:val="single" w:sz="4" w:space="0" w:color="auto"/>
              <w:right w:val="single" w:sz="4" w:space="0" w:color="auto"/>
            </w:tcBorders>
            <w:shd w:val="clear" w:color="auto" w:fill="auto"/>
            <w:noWrap/>
          </w:tcPr>
          <w:p w:rsidR="003C630D" w:rsidRPr="00A31BD1" w:rsidRDefault="003C630D" w:rsidP="003C630D">
            <w:pPr>
              <w:jc w:val="right"/>
              <w:rPr>
                <w:color w:val="000000"/>
                <w:sz w:val="20"/>
                <w:lang w:val="es-PY" w:eastAsia="es-PY"/>
              </w:rPr>
            </w:pPr>
            <w:r>
              <w:rPr>
                <w:color w:val="000000"/>
                <w:sz w:val="20"/>
                <w:lang w:val="es-PY" w:eastAsia="es-PY"/>
              </w:rPr>
              <w:t xml:space="preserve">  </w:t>
            </w:r>
            <w:r w:rsidRPr="00A31BD1">
              <w:rPr>
                <w:color w:val="000000"/>
                <w:sz w:val="20"/>
                <w:lang w:val="es-PY" w:eastAsia="es-PY"/>
              </w:rPr>
              <w:t xml:space="preserve">   2.572 </w:t>
            </w:r>
          </w:p>
        </w:tc>
        <w:tc>
          <w:tcPr>
            <w:tcW w:w="1134" w:type="dxa"/>
            <w:tcBorders>
              <w:top w:val="nil"/>
              <w:left w:val="nil"/>
              <w:bottom w:val="single" w:sz="4" w:space="0" w:color="auto"/>
              <w:right w:val="single" w:sz="4" w:space="0" w:color="auto"/>
            </w:tcBorders>
            <w:shd w:val="clear" w:color="auto" w:fill="auto"/>
            <w:noWrap/>
          </w:tcPr>
          <w:p w:rsidR="003C630D" w:rsidRPr="009E27E1" w:rsidRDefault="003C630D" w:rsidP="003C630D">
            <w:pPr>
              <w:jc w:val="right"/>
              <w:rPr>
                <w:color w:val="000000"/>
                <w:sz w:val="20"/>
                <w:lang w:val="es-PY" w:eastAsia="es-PY"/>
              </w:rPr>
            </w:pPr>
            <w:r w:rsidRPr="009E27E1">
              <w:rPr>
                <w:color w:val="000000"/>
                <w:sz w:val="20"/>
                <w:lang w:val="es-PY" w:eastAsia="es-PY"/>
              </w:rPr>
              <w:t xml:space="preserve"> 3.623.092 </w:t>
            </w:r>
          </w:p>
        </w:tc>
        <w:tc>
          <w:tcPr>
            <w:tcW w:w="1087" w:type="dxa"/>
            <w:tcBorders>
              <w:top w:val="nil"/>
              <w:left w:val="nil"/>
              <w:bottom w:val="single" w:sz="4" w:space="0" w:color="auto"/>
              <w:right w:val="single" w:sz="4" w:space="0" w:color="auto"/>
            </w:tcBorders>
          </w:tcPr>
          <w:p w:rsidR="003C630D" w:rsidRPr="009E27E1" w:rsidRDefault="003C630D" w:rsidP="003C630D">
            <w:pPr>
              <w:jc w:val="right"/>
              <w:rPr>
                <w:color w:val="000000"/>
                <w:sz w:val="20"/>
                <w:lang w:val="es-PY" w:eastAsia="es-PY"/>
              </w:rPr>
            </w:pPr>
            <w:r w:rsidRPr="009E27E1">
              <w:rPr>
                <w:color w:val="000000"/>
                <w:sz w:val="20"/>
                <w:lang w:val="es-PY" w:eastAsia="es-PY"/>
              </w:rPr>
              <w:t xml:space="preserve">  2.006 </w:t>
            </w:r>
          </w:p>
        </w:tc>
      </w:tr>
      <w:tr w:rsidR="003C630D" w:rsidRPr="00A31BD1" w:rsidTr="003C630D">
        <w:tc>
          <w:tcPr>
            <w:tcW w:w="1238" w:type="dxa"/>
            <w:tcBorders>
              <w:top w:val="nil"/>
              <w:left w:val="single" w:sz="4" w:space="0" w:color="auto"/>
              <w:bottom w:val="single" w:sz="4" w:space="0" w:color="auto"/>
              <w:right w:val="single" w:sz="4" w:space="0" w:color="auto"/>
            </w:tcBorders>
            <w:shd w:val="clear" w:color="auto" w:fill="auto"/>
            <w:noWrap/>
            <w:hideMark/>
          </w:tcPr>
          <w:p w:rsidR="00E65CE7" w:rsidRPr="00A31BD1" w:rsidRDefault="00E65CE7" w:rsidP="006F47D2">
            <w:pPr>
              <w:rPr>
                <w:color w:val="000000"/>
                <w:sz w:val="20"/>
                <w:lang w:val="es-PY" w:eastAsia="es-PY"/>
              </w:rPr>
            </w:pPr>
            <w:r w:rsidRPr="00A31BD1">
              <w:rPr>
                <w:color w:val="000000"/>
                <w:sz w:val="20"/>
                <w:lang w:val="es-PY" w:eastAsia="es-PY"/>
              </w:rPr>
              <w:t>Suma</w:t>
            </w:r>
          </w:p>
        </w:tc>
        <w:tc>
          <w:tcPr>
            <w:tcW w:w="1030" w:type="dxa"/>
            <w:tcBorders>
              <w:top w:val="nil"/>
              <w:left w:val="nil"/>
              <w:bottom w:val="double" w:sz="6" w:space="0" w:color="auto"/>
              <w:right w:val="single" w:sz="4" w:space="0" w:color="auto"/>
            </w:tcBorders>
            <w:shd w:val="clear" w:color="auto" w:fill="auto"/>
            <w:noWrap/>
            <w:hideMark/>
          </w:tcPr>
          <w:p w:rsidR="00E65CE7" w:rsidRPr="00A31BD1" w:rsidRDefault="00E65CE7" w:rsidP="006F47D2">
            <w:pPr>
              <w:rPr>
                <w:color w:val="000000"/>
                <w:sz w:val="20"/>
                <w:lang w:val="es-PY" w:eastAsia="es-PY"/>
              </w:rPr>
            </w:pPr>
            <w:r>
              <w:rPr>
                <w:color w:val="000000"/>
                <w:sz w:val="20"/>
                <w:lang w:val="es-PY" w:eastAsia="es-PY"/>
              </w:rPr>
              <w:t xml:space="preserve">   </w:t>
            </w:r>
            <w:r w:rsidRPr="00A31BD1">
              <w:rPr>
                <w:color w:val="000000"/>
                <w:sz w:val="20"/>
                <w:lang w:val="es-PY" w:eastAsia="es-PY"/>
              </w:rPr>
              <w:t xml:space="preserve">1.176,46 </w:t>
            </w:r>
          </w:p>
        </w:tc>
        <w:tc>
          <w:tcPr>
            <w:tcW w:w="1645" w:type="dxa"/>
            <w:tcBorders>
              <w:top w:val="nil"/>
              <w:left w:val="nil"/>
              <w:bottom w:val="single" w:sz="4" w:space="0" w:color="auto"/>
              <w:right w:val="single" w:sz="4" w:space="0" w:color="auto"/>
            </w:tcBorders>
            <w:shd w:val="clear" w:color="auto" w:fill="auto"/>
            <w:noWrap/>
            <w:hideMark/>
          </w:tcPr>
          <w:p w:rsidR="00E65CE7" w:rsidRPr="00A31BD1" w:rsidRDefault="00E65CE7" w:rsidP="006F47D2">
            <w:pPr>
              <w:rPr>
                <w:color w:val="000000"/>
                <w:sz w:val="20"/>
                <w:lang w:val="es-PY" w:eastAsia="es-PY"/>
              </w:rPr>
            </w:pPr>
            <w:r w:rsidRPr="00A31BD1">
              <w:rPr>
                <w:color w:val="000000"/>
                <w:sz w:val="20"/>
                <w:lang w:val="es-PY" w:eastAsia="es-PY"/>
              </w:rPr>
              <w:t> </w:t>
            </w:r>
          </w:p>
        </w:tc>
        <w:tc>
          <w:tcPr>
            <w:tcW w:w="1099" w:type="dxa"/>
            <w:tcBorders>
              <w:top w:val="single" w:sz="4" w:space="0" w:color="auto"/>
              <w:left w:val="single" w:sz="4" w:space="0" w:color="auto"/>
              <w:bottom w:val="double" w:sz="4" w:space="0" w:color="auto"/>
              <w:right w:val="nil"/>
            </w:tcBorders>
            <w:shd w:val="clear" w:color="auto" w:fill="auto"/>
            <w:noWrap/>
            <w:hideMark/>
          </w:tcPr>
          <w:p w:rsidR="00E65CE7" w:rsidRPr="00A31BD1" w:rsidRDefault="00E65CE7" w:rsidP="003C630D">
            <w:pPr>
              <w:jc w:val="right"/>
              <w:rPr>
                <w:color w:val="000000"/>
                <w:sz w:val="20"/>
                <w:lang w:val="es-PY" w:eastAsia="es-PY"/>
              </w:rPr>
            </w:pPr>
            <w:r>
              <w:rPr>
                <w:color w:val="000000"/>
                <w:sz w:val="20"/>
                <w:lang w:val="es-PY" w:eastAsia="es-PY"/>
              </w:rPr>
              <w:t xml:space="preserve"> </w:t>
            </w:r>
            <w:r w:rsidRPr="00A31BD1">
              <w:rPr>
                <w:color w:val="000000"/>
                <w:sz w:val="20"/>
                <w:lang w:val="es-PY" w:eastAsia="es-PY"/>
              </w:rPr>
              <w:t xml:space="preserve">12.361.243 </w:t>
            </w:r>
          </w:p>
        </w:tc>
        <w:tc>
          <w:tcPr>
            <w:tcW w:w="1128" w:type="dxa"/>
            <w:tcBorders>
              <w:top w:val="single" w:sz="4" w:space="0" w:color="auto"/>
              <w:left w:val="single" w:sz="4" w:space="0" w:color="auto"/>
              <w:bottom w:val="single" w:sz="4" w:space="0" w:color="auto"/>
              <w:right w:val="single" w:sz="4" w:space="0" w:color="auto"/>
            </w:tcBorders>
            <w:shd w:val="clear" w:color="auto" w:fill="auto"/>
            <w:noWrap/>
          </w:tcPr>
          <w:p w:rsidR="00E65CE7" w:rsidRPr="00A31BD1" w:rsidRDefault="00E65CE7" w:rsidP="003C630D">
            <w:pPr>
              <w:jc w:val="right"/>
              <w:rPr>
                <w:color w:val="000000"/>
                <w:sz w:val="20"/>
                <w:lang w:val="es-PY" w:eastAsia="es-PY"/>
              </w:rPr>
            </w:pPr>
            <w:r>
              <w:rPr>
                <w:color w:val="000000"/>
                <w:sz w:val="20"/>
                <w:lang w:val="es-PY" w:eastAsia="es-PY"/>
              </w:rPr>
              <w:t xml:space="preserve">     </w:t>
            </w:r>
            <w:r w:rsidRPr="00A31BD1">
              <w:rPr>
                <w:color w:val="000000"/>
                <w:sz w:val="20"/>
                <w:lang w:val="es-PY" w:eastAsia="es-PY"/>
              </w:rPr>
              <w:t xml:space="preserve">2.866 </w:t>
            </w:r>
          </w:p>
        </w:tc>
        <w:tc>
          <w:tcPr>
            <w:tcW w:w="1134" w:type="dxa"/>
            <w:tcBorders>
              <w:top w:val="single" w:sz="4" w:space="0" w:color="auto"/>
              <w:left w:val="nil"/>
              <w:bottom w:val="double" w:sz="6" w:space="0" w:color="auto"/>
              <w:right w:val="single" w:sz="4" w:space="0" w:color="auto"/>
            </w:tcBorders>
            <w:shd w:val="clear" w:color="auto" w:fill="auto"/>
            <w:noWrap/>
          </w:tcPr>
          <w:p w:rsidR="00E65CE7" w:rsidRPr="00A31BD1" w:rsidRDefault="003C630D" w:rsidP="003C630D">
            <w:pPr>
              <w:jc w:val="right"/>
              <w:rPr>
                <w:color w:val="000000"/>
                <w:sz w:val="20"/>
                <w:lang w:val="es-PY" w:eastAsia="es-PY"/>
              </w:rPr>
            </w:pPr>
            <w:r w:rsidRPr="009E27E1">
              <w:rPr>
                <w:color w:val="000000"/>
                <w:sz w:val="20"/>
                <w:lang w:val="es-PY" w:eastAsia="es-PY"/>
              </w:rPr>
              <w:t>11.364.650</w:t>
            </w:r>
          </w:p>
        </w:tc>
        <w:tc>
          <w:tcPr>
            <w:tcW w:w="1087" w:type="dxa"/>
            <w:tcBorders>
              <w:top w:val="nil"/>
              <w:left w:val="nil"/>
              <w:bottom w:val="single" w:sz="4" w:space="0" w:color="auto"/>
              <w:right w:val="single" w:sz="4" w:space="0" w:color="auto"/>
            </w:tcBorders>
          </w:tcPr>
          <w:p w:rsidR="00E65CE7" w:rsidRPr="00A31BD1" w:rsidRDefault="003C630D" w:rsidP="003C630D">
            <w:pPr>
              <w:jc w:val="right"/>
              <w:rPr>
                <w:color w:val="000000"/>
                <w:sz w:val="20"/>
                <w:lang w:val="es-PY" w:eastAsia="es-PY"/>
              </w:rPr>
            </w:pPr>
            <w:r w:rsidRPr="009E27E1">
              <w:rPr>
                <w:color w:val="000000"/>
                <w:sz w:val="20"/>
                <w:lang w:val="es-PY" w:eastAsia="es-PY"/>
              </w:rPr>
              <w:t xml:space="preserve">  2.147</w:t>
            </w:r>
          </w:p>
        </w:tc>
      </w:tr>
    </w:tbl>
    <w:p w:rsidR="00BA27F6" w:rsidRDefault="00BA27F6" w:rsidP="00BA27F6">
      <w:pPr>
        <w:numPr>
          <w:ilvl w:val="1"/>
          <w:numId w:val="1"/>
        </w:numPr>
        <w:tabs>
          <w:tab w:val="clear" w:pos="360"/>
          <w:tab w:val="num" w:pos="709"/>
        </w:tabs>
        <w:spacing w:before="240"/>
        <w:ind w:left="709" w:hanging="709"/>
        <w:jc w:val="both"/>
      </w:pPr>
      <w:r w:rsidRPr="00522C1C">
        <w:rPr>
          <w:b/>
        </w:rPr>
        <w:t xml:space="preserve">Observaciones </w:t>
      </w:r>
      <w:r>
        <w:rPr>
          <w:b/>
        </w:rPr>
        <w:t>generales a la modalidad de mantenimiento por Contrato</w:t>
      </w:r>
      <w:r w:rsidRPr="00522C1C">
        <w:t xml:space="preserve">. </w:t>
      </w:r>
      <w:r>
        <w:t>Se destacan los siguientes aspectos más relevantes.</w:t>
      </w:r>
    </w:p>
    <w:p w:rsidR="009334CD" w:rsidRPr="009334CD" w:rsidRDefault="009334CD" w:rsidP="00826CB7">
      <w:pPr>
        <w:pStyle w:val="ListParagraph"/>
        <w:numPr>
          <w:ilvl w:val="0"/>
          <w:numId w:val="6"/>
        </w:numPr>
        <w:shd w:val="clear" w:color="auto" w:fill="EEECE1" w:themeFill="background2"/>
        <w:spacing w:before="240" w:after="0" w:line="240" w:lineRule="auto"/>
        <w:ind w:left="1134" w:hanging="425"/>
        <w:contextualSpacing w:val="0"/>
        <w:jc w:val="both"/>
        <w:rPr>
          <w:rFonts w:ascii="Times New Roman" w:hAnsi="Times New Roman" w:cs="Times New Roman"/>
          <w:sz w:val="24"/>
          <w:szCs w:val="24"/>
        </w:rPr>
      </w:pPr>
      <w:r w:rsidRPr="009334CD">
        <w:rPr>
          <w:rFonts w:ascii="Times New Roman" w:hAnsi="Times New Roman" w:cs="Times New Roman"/>
          <w:b/>
          <w:sz w:val="24"/>
          <w:szCs w:val="24"/>
        </w:rPr>
        <w:t>Sobre el alcance del contrato</w:t>
      </w:r>
      <w:r>
        <w:rPr>
          <w:rFonts w:ascii="Times New Roman" w:hAnsi="Times New Roman" w:cs="Times New Roman"/>
          <w:sz w:val="24"/>
          <w:szCs w:val="24"/>
        </w:rPr>
        <w:t>.</w:t>
      </w:r>
      <w:r w:rsidRPr="009334CD">
        <w:rPr>
          <w:rFonts w:ascii="Times New Roman" w:hAnsi="Times New Roman" w:cs="Times New Roman"/>
          <w:sz w:val="24"/>
          <w:szCs w:val="24"/>
        </w:rPr>
        <w:t xml:space="preserve"> Las condiciones que establecen el alcance de los trabajos a realizar, particularmente para el mantenimiento inicial, dejan a cargo del oferente toda la responsabilidad en la determinación de las cantidades de obra a ejecutar, pudiendo apreciarse fácilmente la gran incertidumbre sobre la precisión para realizarla con éxito. Con excepción del presupuesto global contenido en el Pliego de Licitación, el oferente carece de una referencia que pueda orientarlo en una estimación justa de su oferta. Además, los caminos rurales, en su gran mayoría sin pavimento y con numerosos puentes de madera, son afectados significativamente por las lluvias, actualmente agravados por los efectos del cambio climático global y regional, dejando cada vez menos vigente la información histórica hidrológica, lo que dificulta la valoración del riesgo por esta causa. Circunstancias que no se aprecian que se trate en el contrato, de una forma que pueda proteger objetivamente al Contratista. </w:t>
      </w:r>
    </w:p>
    <w:p w:rsidR="009334CD" w:rsidRPr="009334CD" w:rsidRDefault="009334CD" w:rsidP="00826CB7">
      <w:pPr>
        <w:pStyle w:val="ListParagraph"/>
        <w:numPr>
          <w:ilvl w:val="0"/>
          <w:numId w:val="6"/>
        </w:numPr>
        <w:shd w:val="clear" w:color="auto" w:fill="EEECE1" w:themeFill="background2"/>
        <w:spacing w:before="240" w:after="0" w:line="240" w:lineRule="auto"/>
        <w:ind w:left="1134" w:hanging="425"/>
        <w:contextualSpacing w:val="0"/>
        <w:jc w:val="both"/>
        <w:rPr>
          <w:rFonts w:ascii="Times New Roman" w:hAnsi="Times New Roman" w:cs="Times New Roman"/>
          <w:sz w:val="24"/>
          <w:szCs w:val="24"/>
        </w:rPr>
      </w:pPr>
      <w:r w:rsidRPr="009334CD">
        <w:rPr>
          <w:rFonts w:ascii="Times New Roman" w:hAnsi="Times New Roman" w:cs="Times New Roman"/>
          <w:sz w:val="24"/>
          <w:szCs w:val="24"/>
        </w:rPr>
        <w:t xml:space="preserve">Lo observado, más que los requisitos de calificación contenidos en el pliego de licitación, es razón válida para </w:t>
      </w:r>
      <w:r w:rsidR="00C20421">
        <w:rPr>
          <w:rFonts w:ascii="Times New Roman" w:hAnsi="Times New Roman" w:cs="Times New Roman"/>
          <w:sz w:val="24"/>
          <w:szCs w:val="24"/>
        </w:rPr>
        <w:t>entender</w:t>
      </w:r>
      <w:r w:rsidRPr="009334CD">
        <w:rPr>
          <w:rFonts w:ascii="Times New Roman" w:hAnsi="Times New Roman" w:cs="Times New Roman"/>
          <w:sz w:val="24"/>
          <w:szCs w:val="24"/>
        </w:rPr>
        <w:t xml:space="preserve"> </w:t>
      </w:r>
      <w:r w:rsidR="00C20421">
        <w:rPr>
          <w:rFonts w:ascii="Times New Roman" w:hAnsi="Times New Roman" w:cs="Times New Roman"/>
          <w:sz w:val="24"/>
          <w:szCs w:val="24"/>
        </w:rPr>
        <w:t>la poca presencia de oferentes e incluso</w:t>
      </w:r>
      <w:r w:rsidRPr="009334CD">
        <w:rPr>
          <w:rFonts w:ascii="Times New Roman" w:hAnsi="Times New Roman" w:cs="Times New Roman"/>
          <w:sz w:val="24"/>
          <w:szCs w:val="24"/>
        </w:rPr>
        <w:t xml:space="preserve"> la gran dispersión de precio</w:t>
      </w:r>
      <w:r w:rsidR="00C20421">
        <w:rPr>
          <w:rFonts w:ascii="Times New Roman" w:hAnsi="Times New Roman" w:cs="Times New Roman"/>
          <w:sz w:val="24"/>
          <w:szCs w:val="24"/>
        </w:rPr>
        <w:t>s</w:t>
      </w:r>
      <w:r w:rsidRPr="009334CD">
        <w:rPr>
          <w:rFonts w:ascii="Times New Roman" w:hAnsi="Times New Roman" w:cs="Times New Roman"/>
          <w:sz w:val="24"/>
          <w:szCs w:val="24"/>
        </w:rPr>
        <w:t xml:space="preserve"> en las pocas ofertas presentadas.</w:t>
      </w:r>
    </w:p>
    <w:p w:rsidR="00BA27F6" w:rsidRPr="00FC565F" w:rsidRDefault="00BA27F6" w:rsidP="00BA27F6">
      <w:pPr>
        <w:pStyle w:val="Heading1"/>
      </w:pPr>
      <w:r>
        <w:t>Sistematización de la Experiencia y Lecciones Aprendidas</w:t>
      </w:r>
      <w:r w:rsidR="009334CD">
        <w:t>.</w:t>
      </w:r>
    </w:p>
    <w:p w:rsidR="00BA27F6" w:rsidRDefault="00BA27F6" w:rsidP="00BA27F6">
      <w:pPr>
        <w:pStyle w:val="Heading2"/>
      </w:pPr>
      <w:r>
        <w:t>Sistematización de la experiencia de los Convenios.</w:t>
      </w:r>
    </w:p>
    <w:p w:rsidR="009334CD" w:rsidRPr="009334CD" w:rsidRDefault="009334CD" w:rsidP="006E5550">
      <w:pPr>
        <w:numPr>
          <w:ilvl w:val="1"/>
          <w:numId w:val="1"/>
        </w:numPr>
        <w:tabs>
          <w:tab w:val="clear" w:pos="360"/>
          <w:tab w:val="num" w:pos="709"/>
        </w:tabs>
        <w:spacing w:before="120" w:after="120" w:line="240" w:lineRule="atLeast"/>
        <w:ind w:left="709" w:hanging="709"/>
        <w:jc w:val="both"/>
      </w:pPr>
      <w:r>
        <w:rPr>
          <w:bCs/>
        </w:rPr>
        <w:t xml:space="preserve">En el avance de la elaboración del presente estudio, la sistematización de la experiencia de los Convenios se halla en fase de ejecución. Por tanto aún no puede indicarse resultados y recomendaciones al respecto. Consecuentemente, está pendiente </w:t>
      </w:r>
      <w:r>
        <w:rPr>
          <w:bCs/>
        </w:rPr>
        <w:lastRenderedPageBreak/>
        <w:t xml:space="preserve">completar la identificación y análisis de las dependencias o unidades intervinientes, </w:t>
      </w:r>
      <w:r w:rsidRPr="00BA27F6">
        <w:rPr>
          <w:bCs/>
        </w:rPr>
        <w:t>alcance de la actuación, responsabilidades, desempeño,</w:t>
      </w:r>
      <w:r>
        <w:rPr>
          <w:bCs/>
        </w:rPr>
        <w:t xml:space="preserve"> y otras. El análisis del</w:t>
      </w:r>
      <w:r w:rsidRPr="00BA27F6">
        <w:rPr>
          <w:bCs/>
        </w:rPr>
        <w:t xml:space="preserve"> marco jurídico de los convenios</w:t>
      </w:r>
      <w:r>
        <w:rPr>
          <w:bCs/>
        </w:rPr>
        <w:t xml:space="preserve"> se trata en </w:t>
      </w:r>
      <w:r w:rsidR="006E5550">
        <w:rPr>
          <w:bCs/>
        </w:rPr>
        <w:t>¶</w:t>
      </w:r>
      <w:r w:rsidR="006E5550">
        <w:rPr>
          <w:bCs/>
        </w:rPr>
        <w:fldChar w:fldCharType="begin"/>
      </w:r>
      <w:r w:rsidR="006E5550">
        <w:rPr>
          <w:bCs/>
        </w:rPr>
        <w:instrText xml:space="preserve"> REF _Ref396299604 \r \h </w:instrText>
      </w:r>
      <w:r w:rsidR="006E5550">
        <w:rPr>
          <w:bCs/>
        </w:rPr>
      </w:r>
      <w:r w:rsidR="006E5550">
        <w:rPr>
          <w:bCs/>
        </w:rPr>
        <w:fldChar w:fldCharType="separate"/>
      </w:r>
      <w:r w:rsidR="006E5550">
        <w:rPr>
          <w:bCs/>
        </w:rPr>
        <w:t>7.2</w:t>
      </w:r>
      <w:r w:rsidR="006E5550">
        <w:rPr>
          <w:bCs/>
        </w:rPr>
        <w:fldChar w:fldCharType="end"/>
      </w:r>
      <w:r>
        <w:rPr>
          <w:bCs/>
        </w:rPr>
        <w:t>.</w:t>
      </w:r>
    </w:p>
    <w:p w:rsidR="00BA27F6" w:rsidRPr="006E5550" w:rsidRDefault="006E5550" w:rsidP="006E5550">
      <w:pPr>
        <w:numPr>
          <w:ilvl w:val="1"/>
          <w:numId w:val="1"/>
        </w:numPr>
        <w:tabs>
          <w:tab w:val="clear" w:pos="360"/>
          <w:tab w:val="num" w:pos="709"/>
        </w:tabs>
        <w:spacing w:before="120" w:after="120"/>
        <w:ind w:left="709" w:hanging="709"/>
        <w:jc w:val="both"/>
        <w:rPr>
          <w:bCs/>
        </w:rPr>
      </w:pPr>
      <w:r w:rsidRPr="006E5550">
        <w:rPr>
          <w:bCs/>
        </w:rPr>
        <w:t>También está pendiente</w:t>
      </w:r>
      <w:r>
        <w:rPr>
          <w:bCs/>
        </w:rPr>
        <w:t xml:space="preserve"> completar</w:t>
      </w:r>
      <w:r w:rsidRPr="006E5550">
        <w:rPr>
          <w:bCs/>
        </w:rPr>
        <w:t xml:space="preserve"> </w:t>
      </w:r>
      <w:r>
        <w:rPr>
          <w:bCs/>
        </w:rPr>
        <w:t>el relevamiento de</w:t>
      </w:r>
      <w:r w:rsidR="00BA27F6" w:rsidRPr="006E5550">
        <w:rPr>
          <w:bCs/>
        </w:rPr>
        <w:t xml:space="preserve"> la experiencia analizando críticamente la gestión del mantenimiento, considerando los sistemas, mecanismos, procedimientos y herramientas instalados para el efecto, así como la capacidad de los recursos humanos asignados, cantidad y preparación técnica del plantel, además los recursos logísticos empleados.</w:t>
      </w:r>
      <w:r w:rsidRPr="006E5550">
        <w:rPr>
          <w:bCs/>
        </w:rPr>
        <w:t xml:space="preserve"> </w:t>
      </w:r>
      <w:r>
        <w:rPr>
          <w:bCs/>
        </w:rPr>
        <w:t>Finalmente, r</w:t>
      </w:r>
      <w:r w:rsidR="00BA27F6" w:rsidRPr="006E5550">
        <w:rPr>
          <w:bCs/>
        </w:rPr>
        <w:t>ecuperar el proceso de la gestión del mantenimiento, identificando los problemas surgidos, causas, soluciones aplicadas, clasificación y sistematización.</w:t>
      </w:r>
    </w:p>
    <w:p w:rsidR="00BA27F6" w:rsidRDefault="00BA27F6" w:rsidP="00BA27F6">
      <w:pPr>
        <w:pStyle w:val="Heading2"/>
      </w:pPr>
      <w:r>
        <w:t>Lecciones aprendidas.</w:t>
      </w:r>
    </w:p>
    <w:p w:rsidR="00BA27F6" w:rsidRPr="00BA27F6" w:rsidRDefault="006E5550" w:rsidP="00BA27F6">
      <w:pPr>
        <w:numPr>
          <w:ilvl w:val="1"/>
          <w:numId w:val="1"/>
        </w:numPr>
        <w:tabs>
          <w:tab w:val="clear" w:pos="360"/>
          <w:tab w:val="num" w:pos="709"/>
        </w:tabs>
        <w:spacing w:before="240" w:after="120" w:line="240" w:lineRule="atLeast"/>
        <w:ind w:left="709" w:hanging="709"/>
        <w:jc w:val="both"/>
        <w:rPr>
          <w:bCs/>
        </w:rPr>
      </w:pPr>
      <w:r>
        <w:rPr>
          <w:bCs/>
        </w:rPr>
        <w:t>Con los resultados de la sistematización de la experiencia se generarán la</w:t>
      </w:r>
      <w:r w:rsidR="00EF5492">
        <w:rPr>
          <w:bCs/>
        </w:rPr>
        <w:t>s</w:t>
      </w:r>
      <w:r w:rsidR="00BA27F6" w:rsidRPr="00BA27F6">
        <w:rPr>
          <w:bCs/>
        </w:rPr>
        <w:t xml:space="preserve"> lecciones aprendidas sobre la gestión del mantenimiento</w:t>
      </w:r>
      <w:r>
        <w:rPr>
          <w:bCs/>
        </w:rPr>
        <w:t>.</w:t>
      </w:r>
    </w:p>
    <w:p w:rsidR="00BA27F6" w:rsidRPr="00FC565F" w:rsidRDefault="00BA27F6" w:rsidP="00BA27F6">
      <w:pPr>
        <w:pStyle w:val="Heading1"/>
      </w:pPr>
      <w:r>
        <w:t>Evaluación de Eficiencia y Eficacia</w:t>
      </w:r>
      <w:r w:rsidR="00B261EE">
        <w:t xml:space="preserve"> de las Modalidades</w:t>
      </w:r>
    </w:p>
    <w:p w:rsidR="00BA27F6" w:rsidRDefault="00BA22DC" w:rsidP="00BA27F6">
      <w:pPr>
        <w:pStyle w:val="Heading2"/>
      </w:pPr>
      <w:r>
        <w:t>Conceptos de eficiencia y eficacia</w:t>
      </w:r>
      <w:r w:rsidR="00BA27F6">
        <w:t>.</w:t>
      </w:r>
    </w:p>
    <w:p w:rsidR="00BA22DC" w:rsidRDefault="0041747E" w:rsidP="00BA22DC">
      <w:pPr>
        <w:numPr>
          <w:ilvl w:val="1"/>
          <w:numId w:val="1"/>
        </w:numPr>
        <w:tabs>
          <w:tab w:val="clear" w:pos="360"/>
          <w:tab w:val="num" w:pos="709"/>
        </w:tabs>
        <w:spacing w:before="240" w:after="120" w:line="240" w:lineRule="atLeast"/>
        <w:ind w:left="709" w:hanging="709"/>
        <w:jc w:val="both"/>
        <w:rPr>
          <w:bCs/>
        </w:rPr>
      </w:pPr>
      <w:r>
        <w:rPr>
          <w:bCs/>
        </w:rPr>
        <w:t xml:space="preserve">A los efectos de este estudio se entenderá la eficiencia como la relación beneficio – costo del método o modalidad aplicada en el proyecto. Así, a similitud de resultados obtenidos en el mantenimiento de una red de caminos rurales, el menor costo de la modalidad implicaría mayor eficiencia. En este sentido, la razón de costo por kilómetro por año (US$/km/año, por ejemplo) </w:t>
      </w:r>
      <w:r w:rsidR="00544ED1">
        <w:rPr>
          <w:bCs/>
        </w:rPr>
        <w:t xml:space="preserve">será </w:t>
      </w:r>
      <w:r>
        <w:rPr>
          <w:bCs/>
        </w:rPr>
        <w:t>un indicador de eficiencia en el supuesto de que los resultados obtenidos son similares.</w:t>
      </w:r>
    </w:p>
    <w:p w:rsidR="00BA27F6" w:rsidRDefault="0041747E" w:rsidP="00BA22DC">
      <w:pPr>
        <w:numPr>
          <w:ilvl w:val="1"/>
          <w:numId w:val="1"/>
        </w:numPr>
        <w:tabs>
          <w:tab w:val="clear" w:pos="360"/>
          <w:tab w:val="num" w:pos="709"/>
        </w:tabs>
        <w:spacing w:before="240" w:after="120" w:line="240" w:lineRule="atLeast"/>
        <w:ind w:left="709" w:hanging="709"/>
        <w:jc w:val="both"/>
        <w:rPr>
          <w:bCs/>
        </w:rPr>
      </w:pPr>
      <w:r>
        <w:rPr>
          <w:bCs/>
        </w:rPr>
        <w:t>En el mismo contexto, se entenderá la e</w:t>
      </w:r>
      <w:r w:rsidR="00BA22DC">
        <w:rPr>
          <w:bCs/>
        </w:rPr>
        <w:t>ficacia</w:t>
      </w:r>
      <w:r>
        <w:rPr>
          <w:bCs/>
        </w:rPr>
        <w:t xml:space="preserve"> como el logro de los resultados o cumplimiento de los objetivos previstos en el proyecto</w:t>
      </w:r>
      <w:r w:rsidR="00BA22DC">
        <w:rPr>
          <w:bCs/>
        </w:rPr>
        <w:t>.</w:t>
      </w:r>
      <w:r>
        <w:rPr>
          <w:bCs/>
        </w:rPr>
        <w:t xml:space="preserve"> </w:t>
      </w:r>
      <w:r w:rsidR="00544ED1">
        <w:rPr>
          <w:bCs/>
        </w:rPr>
        <w:t>Para ello</w:t>
      </w:r>
      <w:r>
        <w:rPr>
          <w:bCs/>
        </w:rPr>
        <w:t xml:space="preserve"> ser</w:t>
      </w:r>
      <w:r w:rsidR="00DE733C">
        <w:rPr>
          <w:bCs/>
        </w:rPr>
        <w:t>ía</w:t>
      </w:r>
      <w:r>
        <w:rPr>
          <w:bCs/>
        </w:rPr>
        <w:t xml:space="preserve"> necesario examinar la matriz de resultados para apreciar si la ejecución ha sido eficaz.</w:t>
      </w:r>
    </w:p>
    <w:p w:rsidR="00680504" w:rsidRDefault="00680504" w:rsidP="00680504">
      <w:pPr>
        <w:pStyle w:val="Heading2"/>
      </w:pPr>
      <w:r>
        <w:t>El Plan Vial Participativo (PVP).</w:t>
      </w:r>
    </w:p>
    <w:p w:rsidR="00544ED1" w:rsidRDefault="0041747E" w:rsidP="00680504">
      <w:pPr>
        <w:numPr>
          <w:ilvl w:val="1"/>
          <w:numId w:val="1"/>
        </w:numPr>
        <w:tabs>
          <w:tab w:val="clear" w:pos="360"/>
          <w:tab w:val="num" w:pos="709"/>
        </w:tabs>
        <w:spacing w:before="240" w:after="120" w:line="240" w:lineRule="atLeast"/>
        <w:ind w:left="709" w:hanging="709"/>
        <w:jc w:val="both"/>
        <w:rPr>
          <w:bCs/>
        </w:rPr>
      </w:pPr>
      <w:r>
        <w:rPr>
          <w:bCs/>
        </w:rPr>
        <w:t xml:space="preserve">Como parte del análisis de eficiencia y eficacia se examina el Plan Vial Participativo realizado en el marco del proyecto. En el supuesto de que tal plan contribuiría a </w:t>
      </w:r>
      <w:r w:rsidR="00BE4859">
        <w:rPr>
          <w:bCs/>
        </w:rPr>
        <w:t>definir una red priorizada según criterios que apuntan a una óptima distribución de los limitados recursos de los préstamos</w:t>
      </w:r>
      <w:r w:rsidR="00680504" w:rsidRPr="00BA22DC">
        <w:rPr>
          <w:bCs/>
        </w:rPr>
        <w:t>.</w:t>
      </w:r>
      <w:r w:rsidR="00BE4859">
        <w:rPr>
          <w:bCs/>
        </w:rPr>
        <w:t xml:space="preserve"> De hecho, se realizaron los PVP en los diferentes departamentos, con diferentes fuentes de financiamiento </w:t>
      </w:r>
      <w:r w:rsidR="000259D3">
        <w:rPr>
          <w:bCs/>
        </w:rPr>
        <w:t xml:space="preserve">como se indica en </w:t>
      </w:r>
      <w:r w:rsidR="00A76FC4">
        <w:rPr>
          <w:bCs/>
        </w:rPr>
        <w:t>¶</w:t>
      </w:r>
      <w:r w:rsidR="00A76FC4">
        <w:rPr>
          <w:bCs/>
        </w:rPr>
        <w:fldChar w:fldCharType="begin"/>
      </w:r>
      <w:r w:rsidR="00A76FC4">
        <w:rPr>
          <w:bCs/>
        </w:rPr>
        <w:instrText xml:space="preserve"> REF _Ref396118995 \r \h </w:instrText>
      </w:r>
      <w:r w:rsidR="00A76FC4">
        <w:rPr>
          <w:bCs/>
        </w:rPr>
      </w:r>
      <w:r w:rsidR="00A76FC4">
        <w:rPr>
          <w:bCs/>
        </w:rPr>
        <w:fldChar w:fldCharType="separate"/>
      </w:r>
      <w:r w:rsidR="00A76FC4">
        <w:rPr>
          <w:bCs/>
        </w:rPr>
        <w:t>6.3</w:t>
      </w:r>
      <w:r w:rsidR="00A76FC4">
        <w:rPr>
          <w:bCs/>
        </w:rPr>
        <w:fldChar w:fldCharType="end"/>
      </w:r>
      <w:r w:rsidR="00544ED1">
        <w:rPr>
          <w:bCs/>
        </w:rPr>
        <w:t xml:space="preserve">, lo cual podría eventualmente responder a </w:t>
      </w:r>
      <w:r w:rsidR="000259D3">
        <w:rPr>
          <w:bCs/>
        </w:rPr>
        <w:t>diferentes criterios</w:t>
      </w:r>
      <w:r w:rsidR="00544ED1">
        <w:rPr>
          <w:bCs/>
        </w:rPr>
        <w:t xml:space="preserve"> de priorización</w:t>
      </w:r>
      <w:r w:rsidR="000259D3">
        <w:rPr>
          <w:bCs/>
        </w:rPr>
        <w:t xml:space="preserve">. </w:t>
      </w:r>
      <w:r w:rsidR="00544ED1">
        <w:rPr>
          <w:bCs/>
        </w:rPr>
        <w:t>De todas maneras, debe entenderse que los PVP deben ser aplicados</w:t>
      </w:r>
      <w:r w:rsidR="000259D3">
        <w:rPr>
          <w:bCs/>
        </w:rPr>
        <w:t xml:space="preserve"> en la priorización de </w:t>
      </w:r>
      <w:r w:rsidR="00544ED1">
        <w:rPr>
          <w:bCs/>
        </w:rPr>
        <w:t>los caminos a ser mejorados, lo cual no es el caso de los caminos a ser mantenidos, los que incluyen a los ya mejorados anteriormente y los que vayan a serlo en la Fase II.</w:t>
      </w:r>
    </w:p>
    <w:p w:rsidR="005F4A1F" w:rsidRDefault="005F4A1F" w:rsidP="005F4A1F">
      <w:pPr>
        <w:pStyle w:val="Heading2"/>
      </w:pPr>
      <w:r>
        <w:t>Evaluación de eficiencia de las modalidades.</w:t>
      </w:r>
    </w:p>
    <w:p w:rsidR="00BA22DC" w:rsidRDefault="00E65CE7" w:rsidP="00BA22DC">
      <w:pPr>
        <w:numPr>
          <w:ilvl w:val="1"/>
          <w:numId w:val="1"/>
        </w:numPr>
        <w:tabs>
          <w:tab w:val="clear" w:pos="360"/>
          <w:tab w:val="num" w:pos="709"/>
        </w:tabs>
        <w:spacing w:before="240" w:after="120" w:line="240" w:lineRule="atLeast"/>
        <w:ind w:left="709" w:hanging="709"/>
        <w:jc w:val="both"/>
        <w:rPr>
          <w:bCs/>
        </w:rPr>
      </w:pPr>
      <w:r w:rsidRPr="00E65CE7">
        <w:rPr>
          <w:b/>
          <w:bCs/>
        </w:rPr>
        <w:t>Mantenimiento por Contrato</w:t>
      </w:r>
      <w:r>
        <w:rPr>
          <w:bCs/>
        </w:rPr>
        <w:t>. Se presentan los indicadores obtenidos de los datos del contrato, según ¶</w:t>
      </w:r>
      <w:r w:rsidR="003C630D">
        <w:rPr>
          <w:bCs/>
        </w:rPr>
        <w:fldChar w:fldCharType="begin"/>
      </w:r>
      <w:r w:rsidR="003C630D">
        <w:rPr>
          <w:bCs/>
        </w:rPr>
        <w:instrText xml:space="preserve"> REF _Ref396316387 \r \h </w:instrText>
      </w:r>
      <w:r w:rsidR="003C630D">
        <w:rPr>
          <w:bCs/>
        </w:rPr>
      </w:r>
      <w:r w:rsidR="003C630D">
        <w:rPr>
          <w:bCs/>
        </w:rPr>
        <w:fldChar w:fldCharType="separate"/>
      </w:r>
      <w:r w:rsidR="003C630D">
        <w:rPr>
          <w:bCs/>
        </w:rPr>
        <w:t>9.8</w:t>
      </w:r>
      <w:r w:rsidR="003C630D">
        <w:rPr>
          <w:bCs/>
        </w:rPr>
        <w:fldChar w:fldCharType="end"/>
      </w:r>
      <w:r w:rsidR="00BA22DC" w:rsidRPr="00BA22DC">
        <w:rPr>
          <w:bCs/>
        </w:rPr>
        <w:t>.</w:t>
      </w:r>
      <w:r w:rsidR="001757A7">
        <w:rPr>
          <w:bCs/>
        </w:rPr>
        <w:t xml:space="preserve"> En este caso la dispersión de los valores de los indicadores también dependen de la competitividad conseguida en la licitación. Así, en el caso de Caaguazú, el costo de 4.186 US$/Km/año supera a la media en un 46%.</w:t>
      </w:r>
    </w:p>
    <w:tbl>
      <w:tblPr>
        <w:tblW w:w="8528" w:type="dxa"/>
        <w:tblInd w:w="779" w:type="dxa"/>
        <w:tblCellMar>
          <w:left w:w="70" w:type="dxa"/>
          <w:right w:w="70" w:type="dxa"/>
        </w:tblCellMar>
        <w:tblLook w:val="04A0" w:firstRow="1" w:lastRow="0" w:firstColumn="1" w:lastColumn="0" w:noHBand="0" w:noVBand="1"/>
      </w:tblPr>
      <w:tblGrid>
        <w:gridCol w:w="1701"/>
        <w:gridCol w:w="993"/>
        <w:gridCol w:w="1984"/>
        <w:gridCol w:w="1390"/>
        <w:gridCol w:w="1230"/>
        <w:gridCol w:w="1230"/>
      </w:tblGrid>
      <w:tr w:rsidR="003C630D" w:rsidRPr="00A31BD1" w:rsidTr="006F47D2">
        <w:trPr>
          <w:tblHeader/>
        </w:trPr>
        <w:tc>
          <w:tcPr>
            <w:tcW w:w="170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3C630D" w:rsidRPr="00A31BD1" w:rsidRDefault="003C630D" w:rsidP="006F47D2">
            <w:pPr>
              <w:jc w:val="center"/>
              <w:rPr>
                <w:b/>
                <w:bCs/>
                <w:color w:val="000000"/>
                <w:sz w:val="20"/>
                <w:lang w:val="es-PY" w:eastAsia="es-PY"/>
              </w:rPr>
            </w:pPr>
            <w:r w:rsidRPr="00A31BD1">
              <w:rPr>
                <w:b/>
                <w:bCs/>
                <w:color w:val="000000"/>
                <w:sz w:val="20"/>
                <w:lang w:val="es-PY" w:eastAsia="es-PY"/>
              </w:rPr>
              <w:t>Área geográfica</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3C630D" w:rsidRPr="00A31BD1" w:rsidRDefault="003C630D" w:rsidP="006F47D2">
            <w:pPr>
              <w:jc w:val="center"/>
              <w:rPr>
                <w:b/>
                <w:bCs/>
                <w:color w:val="000000"/>
                <w:sz w:val="20"/>
                <w:lang w:val="es-PY" w:eastAsia="es-PY"/>
              </w:rPr>
            </w:pPr>
            <w:r w:rsidRPr="00A31BD1">
              <w:rPr>
                <w:b/>
                <w:bCs/>
                <w:color w:val="000000"/>
                <w:sz w:val="20"/>
                <w:lang w:val="es-PY" w:eastAsia="es-PY"/>
              </w:rPr>
              <w:t xml:space="preserve">Extensión </w:t>
            </w:r>
            <w:r w:rsidRPr="00A31BD1">
              <w:rPr>
                <w:b/>
                <w:bCs/>
                <w:color w:val="000000"/>
                <w:sz w:val="20"/>
                <w:lang w:val="es-PY" w:eastAsia="es-PY"/>
              </w:rPr>
              <w:lastRenderedPageBreak/>
              <w:t>(km)</w:t>
            </w:r>
          </w:p>
        </w:tc>
        <w:tc>
          <w:tcPr>
            <w:tcW w:w="5834" w:type="dxa"/>
            <w:gridSpan w:val="4"/>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3C630D" w:rsidRPr="00A31BD1" w:rsidRDefault="003C630D" w:rsidP="006F47D2">
            <w:pPr>
              <w:jc w:val="center"/>
              <w:rPr>
                <w:b/>
                <w:bCs/>
                <w:color w:val="000000"/>
                <w:sz w:val="20"/>
                <w:lang w:val="es-PY" w:eastAsia="es-PY"/>
              </w:rPr>
            </w:pPr>
            <w:r w:rsidRPr="00A31BD1">
              <w:rPr>
                <w:b/>
                <w:bCs/>
                <w:color w:val="000000"/>
                <w:sz w:val="20"/>
                <w:lang w:val="es-PY" w:eastAsia="es-PY"/>
              </w:rPr>
              <w:lastRenderedPageBreak/>
              <w:t>Contratos</w:t>
            </w:r>
          </w:p>
        </w:tc>
      </w:tr>
      <w:tr w:rsidR="003C630D" w:rsidRPr="00A31BD1" w:rsidTr="006F47D2">
        <w:trPr>
          <w:tblHeader/>
        </w:trPr>
        <w:tc>
          <w:tcPr>
            <w:tcW w:w="170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C630D" w:rsidRPr="00A31BD1" w:rsidRDefault="003C630D" w:rsidP="006F47D2">
            <w:pPr>
              <w:rPr>
                <w:b/>
                <w:bCs/>
                <w:color w:val="000000"/>
                <w:sz w:val="20"/>
                <w:lang w:val="es-PY" w:eastAsia="es-PY"/>
              </w:rPr>
            </w:pPr>
          </w:p>
        </w:tc>
        <w:tc>
          <w:tcPr>
            <w:tcW w:w="993"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3C630D" w:rsidRPr="00A31BD1" w:rsidRDefault="003C630D" w:rsidP="006F47D2">
            <w:pPr>
              <w:rPr>
                <w:b/>
                <w:bCs/>
                <w:color w:val="000000"/>
                <w:sz w:val="20"/>
                <w:lang w:val="es-PY" w:eastAsia="es-PY"/>
              </w:rPr>
            </w:pPr>
          </w:p>
        </w:tc>
        <w:tc>
          <w:tcPr>
            <w:tcW w:w="1984" w:type="dxa"/>
            <w:tcBorders>
              <w:top w:val="nil"/>
              <w:left w:val="nil"/>
              <w:bottom w:val="single" w:sz="4" w:space="0" w:color="auto"/>
              <w:right w:val="single" w:sz="4" w:space="0" w:color="auto"/>
            </w:tcBorders>
            <w:shd w:val="clear" w:color="auto" w:fill="DAEEF3" w:themeFill="accent5" w:themeFillTint="33"/>
            <w:noWrap/>
            <w:vAlign w:val="center"/>
            <w:hideMark/>
          </w:tcPr>
          <w:p w:rsidR="003C630D" w:rsidRPr="00A31BD1" w:rsidRDefault="003C630D" w:rsidP="006F47D2">
            <w:pPr>
              <w:jc w:val="center"/>
              <w:rPr>
                <w:b/>
                <w:bCs/>
                <w:color w:val="000000"/>
                <w:sz w:val="20"/>
                <w:lang w:val="es-PY" w:eastAsia="es-PY"/>
              </w:rPr>
            </w:pPr>
            <w:r w:rsidRPr="00A31BD1">
              <w:rPr>
                <w:b/>
                <w:bCs/>
                <w:color w:val="000000"/>
                <w:sz w:val="20"/>
                <w:lang w:val="es-PY" w:eastAsia="es-PY"/>
              </w:rPr>
              <w:t>Contratista</w:t>
            </w:r>
          </w:p>
        </w:tc>
        <w:tc>
          <w:tcPr>
            <w:tcW w:w="1390" w:type="dxa"/>
            <w:tcBorders>
              <w:top w:val="nil"/>
              <w:left w:val="nil"/>
              <w:bottom w:val="single" w:sz="4" w:space="0" w:color="auto"/>
              <w:right w:val="single" w:sz="4" w:space="0" w:color="auto"/>
            </w:tcBorders>
            <w:shd w:val="clear" w:color="auto" w:fill="DAEEF3" w:themeFill="accent5" w:themeFillTint="33"/>
            <w:noWrap/>
            <w:vAlign w:val="center"/>
            <w:hideMark/>
          </w:tcPr>
          <w:p w:rsidR="003C630D" w:rsidRPr="00A31BD1" w:rsidRDefault="003C630D" w:rsidP="006F47D2">
            <w:pPr>
              <w:jc w:val="center"/>
              <w:rPr>
                <w:b/>
                <w:bCs/>
                <w:color w:val="000000"/>
                <w:sz w:val="20"/>
                <w:lang w:val="es-PY" w:eastAsia="es-PY"/>
              </w:rPr>
            </w:pPr>
            <w:r w:rsidRPr="00A31BD1">
              <w:rPr>
                <w:b/>
                <w:bCs/>
                <w:color w:val="000000"/>
                <w:sz w:val="20"/>
                <w:lang w:val="es-PY" w:eastAsia="es-PY"/>
              </w:rPr>
              <w:t>Monto (Gs)</w:t>
            </w:r>
          </w:p>
        </w:tc>
        <w:tc>
          <w:tcPr>
            <w:tcW w:w="1230" w:type="dxa"/>
            <w:tcBorders>
              <w:top w:val="nil"/>
              <w:left w:val="nil"/>
              <w:bottom w:val="single" w:sz="4" w:space="0" w:color="auto"/>
              <w:right w:val="single" w:sz="4" w:space="0" w:color="auto"/>
            </w:tcBorders>
            <w:shd w:val="clear" w:color="auto" w:fill="DAEEF3" w:themeFill="accent5" w:themeFillTint="33"/>
            <w:noWrap/>
            <w:vAlign w:val="center"/>
            <w:hideMark/>
          </w:tcPr>
          <w:p w:rsidR="003C630D" w:rsidRPr="00A31BD1" w:rsidRDefault="003C630D" w:rsidP="006F47D2">
            <w:pPr>
              <w:jc w:val="center"/>
              <w:rPr>
                <w:b/>
                <w:bCs/>
                <w:color w:val="000000"/>
                <w:sz w:val="20"/>
                <w:lang w:val="es-PY" w:eastAsia="es-PY"/>
              </w:rPr>
            </w:pPr>
            <w:r w:rsidRPr="00A31BD1">
              <w:rPr>
                <w:b/>
                <w:bCs/>
                <w:color w:val="000000"/>
                <w:sz w:val="20"/>
                <w:lang w:val="es-PY" w:eastAsia="es-PY"/>
              </w:rPr>
              <w:t>Monto (US$)</w:t>
            </w:r>
          </w:p>
        </w:tc>
        <w:tc>
          <w:tcPr>
            <w:tcW w:w="1230" w:type="dxa"/>
            <w:tcBorders>
              <w:top w:val="nil"/>
              <w:left w:val="nil"/>
              <w:bottom w:val="single" w:sz="4" w:space="0" w:color="auto"/>
              <w:right w:val="single" w:sz="4" w:space="0" w:color="auto"/>
            </w:tcBorders>
            <w:shd w:val="clear" w:color="auto" w:fill="DAEEF3" w:themeFill="accent5" w:themeFillTint="33"/>
            <w:noWrap/>
            <w:vAlign w:val="center"/>
            <w:hideMark/>
          </w:tcPr>
          <w:p w:rsidR="003C630D" w:rsidRPr="00A31BD1" w:rsidRDefault="003C630D" w:rsidP="006F47D2">
            <w:pPr>
              <w:jc w:val="center"/>
              <w:rPr>
                <w:b/>
                <w:bCs/>
                <w:color w:val="000000"/>
                <w:sz w:val="20"/>
                <w:lang w:val="es-PY" w:eastAsia="es-PY"/>
              </w:rPr>
            </w:pPr>
            <w:r w:rsidRPr="00A31BD1">
              <w:rPr>
                <w:b/>
                <w:bCs/>
                <w:color w:val="000000"/>
                <w:sz w:val="20"/>
                <w:lang w:val="es-PY" w:eastAsia="es-PY"/>
              </w:rPr>
              <w:t>US$/km/año</w:t>
            </w:r>
          </w:p>
        </w:tc>
      </w:tr>
      <w:tr w:rsidR="003C630D" w:rsidRPr="00A31BD1" w:rsidTr="006F47D2">
        <w:tc>
          <w:tcPr>
            <w:tcW w:w="1701" w:type="dxa"/>
            <w:tcBorders>
              <w:top w:val="nil"/>
              <w:left w:val="single" w:sz="4" w:space="0" w:color="auto"/>
              <w:bottom w:val="single" w:sz="4" w:space="0" w:color="auto"/>
              <w:right w:val="single" w:sz="4" w:space="0" w:color="auto"/>
            </w:tcBorders>
            <w:shd w:val="clear" w:color="auto" w:fill="auto"/>
            <w:noWrap/>
            <w:hideMark/>
          </w:tcPr>
          <w:p w:rsidR="003C630D" w:rsidRPr="00A31BD1" w:rsidRDefault="003C630D" w:rsidP="006F47D2">
            <w:pPr>
              <w:rPr>
                <w:color w:val="000000"/>
                <w:sz w:val="20"/>
                <w:lang w:val="es-PY" w:eastAsia="es-PY"/>
              </w:rPr>
            </w:pPr>
            <w:r w:rsidRPr="00A31BD1">
              <w:rPr>
                <w:color w:val="000000"/>
                <w:sz w:val="20"/>
                <w:lang w:val="es-PY" w:eastAsia="es-PY"/>
              </w:rPr>
              <w:lastRenderedPageBreak/>
              <w:t>Caaguazú</w:t>
            </w:r>
          </w:p>
        </w:tc>
        <w:tc>
          <w:tcPr>
            <w:tcW w:w="993" w:type="dxa"/>
            <w:tcBorders>
              <w:top w:val="nil"/>
              <w:left w:val="nil"/>
              <w:bottom w:val="single" w:sz="4" w:space="0" w:color="auto"/>
              <w:right w:val="single" w:sz="4" w:space="0" w:color="auto"/>
            </w:tcBorders>
            <w:shd w:val="clear" w:color="auto" w:fill="auto"/>
            <w:noWrap/>
            <w:hideMark/>
          </w:tcPr>
          <w:p w:rsidR="003C630D" w:rsidRPr="00A31BD1" w:rsidRDefault="003C630D" w:rsidP="006F47D2">
            <w:pPr>
              <w:rPr>
                <w:color w:val="000000"/>
                <w:sz w:val="20"/>
                <w:lang w:val="es-PY" w:eastAsia="es-PY"/>
              </w:rPr>
            </w:pPr>
            <w:r>
              <w:rPr>
                <w:color w:val="000000"/>
                <w:sz w:val="20"/>
                <w:lang w:val="es-PY" w:eastAsia="es-PY"/>
              </w:rPr>
              <w:t xml:space="preserve">      </w:t>
            </w:r>
            <w:r w:rsidRPr="00A31BD1">
              <w:rPr>
                <w:color w:val="000000"/>
                <w:sz w:val="20"/>
                <w:lang w:val="es-PY" w:eastAsia="es-PY"/>
              </w:rPr>
              <w:t xml:space="preserve">356,16 </w:t>
            </w:r>
          </w:p>
        </w:tc>
        <w:tc>
          <w:tcPr>
            <w:tcW w:w="1984" w:type="dxa"/>
            <w:tcBorders>
              <w:top w:val="nil"/>
              <w:left w:val="nil"/>
              <w:bottom w:val="single" w:sz="4" w:space="0" w:color="auto"/>
              <w:right w:val="single" w:sz="4" w:space="0" w:color="auto"/>
            </w:tcBorders>
            <w:shd w:val="clear" w:color="auto" w:fill="auto"/>
            <w:hideMark/>
          </w:tcPr>
          <w:p w:rsidR="003C630D" w:rsidRPr="00A31BD1" w:rsidRDefault="003C630D" w:rsidP="006F47D2">
            <w:pPr>
              <w:rPr>
                <w:color w:val="000000"/>
                <w:sz w:val="20"/>
                <w:lang w:val="es-PY" w:eastAsia="es-PY"/>
              </w:rPr>
            </w:pPr>
            <w:r w:rsidRPr="00A31BD1">
              <w:rPr>
                <w:color w:val="000000"/>
                <w:sz w:val="20"/>
                <w:lang w:val="es-PY" w:eastAsia="es-PY"/>
              </w:rPr>
              <w:t>Proel Ingeniería</w:t>
            </w:r>
          </w:p>
        </w:tc>
        <w:tc>
          <w:tcPr>
            <w:tcW w:w="1390" w:type="dxa"/>
            <w:tcBorders>
              <w:top w:val="nil"/>
              <w:left w:val="nil"/>
              <w:bottom w:val="single" w:sz="4" w:space="0" w:color="auto"/>
              <w:right w:val="single" w:sz="4" w:space="0" w:color="auto"/>
            </w:tcBorders>
            <w:shd w:val="clear" w:color="auto" w:fill="auto"/>
            <w:noWrap/>
            <w:hideMark/>
          </w:tcPr>
          <w:p w:rsidR="003C630D" w:rsidRPr="00A31BD1" w:rsidRDefault="003C630D" w:rsidP="006F47D2">
            <w:pPr>
              <w:jc w:val="right"/>
              <w:rPr>
                <w:color w:val="000000"/>
                <w:sz w:val="20"/>
                <w:lang w:val="es-PY" w:eastAsia="es-PY"/>
              </w:rPr>
            </w:pPr>
            <w:r w:rsidRPr="00A31BD1">
              <w:rPr>
                <w:color w:val="000000"/>
                <w:sz w:val="20"/>
                <w:lang w:val="es-PY" w:eastAsia="es-PY"/>
              </w:rPr>
              <w:t xml:space="preserve">24.092.328.590 </w:t>
            </w:r>
          </w:p>
        </w:tc>
        <w:tc>
          <w:tcPr>
            <w:tcW w:w="1230" w:type="dxa"/>
            <w:tcBorders>
              <w:top w:val="nil"/>
              <w:left w:val="nil"/>
              <w:bottom w:val="single" w:sz="4" w:space="0" w:color="auto"/>
              <w:right w:val="single" w:sz="4" w:space="0" w:color="auto"/>
            </w:tcBorders>
            <w:shd w:val="clear" w:color="auto" w:fill="auto"/>
            <w:noWrap/>
            <w:hideMark/>
          </w:tcPr>
          <w:p w:rsidR="003C630D" w:rsidRPr="00A31BD1" w:rsidRDefault="003C630D" w:rsidP="006F47D2">
            <w:pPr>
              <w:jc w:val="right"/>
              <w:rPr>
                <w:color w:val="000000"/>
                <w:sz w:val="20"/>
                <w:lang w:val="es-PY" w:eastAsia="es-PY"/>
              </w:rPr>
            </w:pPr>
            <w:r>
              <w:rPr>
                <w:color w:val="000000"/>
                <w:sz w:val="20"/>
                <w:lang w:val="es-PY" w:eastAsia="es-PY"/>
              </w:rPr>
              <w:t xml:space="preserve">     </w:t>
            </w:r>
            <w:r w:rsidRPr="00A31BD1">
              <w:rPr>
                <w:color w:val="000000"/>
                <w:sz w:val="20"/>
                <w:lang w:val="es-PY" w:eastAsia="es-PY"/>
              </w:rPr>
              <w:t xml:space="preserve">5.466.832 </w:t>
            </w:r>
          </w:p>
        </w:tc>
        <w:tc>
          <w:tcPr>
            <w:tcW w:w="1230" w:type="dxa"/>
            <w:tcBorders>
              <w:top w:val="nil"/>
              <w:left w:val="nil"/>
              <w:bottom w:val="single" w:sz="4" w:space="0" w:color="auto"/>
              <w:right w:val="single" w:sz="4" w:space="0" w:color="auto"/>
            </w:tcBorders>
            <w:shd w:val="clear" w:color="auto" w:fill="auto"/>
            <w:noWrap/>
            <w:hideMark/>
          </w:tcPr>
          <w:p w:rsidR="003C630D" w:rsidRPr="00A31BD1" w:rsidRDefault="003C630D" w:rsidP="006F47D2">
            <w:pPr>
              <w:jc w:val="right"/>
              <w:rPr>
                <w:color w:val="000000"/>
                <w:sz w:val="20"/>
                <w:lang w:val="es-PY" w:eastAsia="es-PY"/>
              </w:rPr>
            </w:pPr>
            <w:r>
              <w:rPr>
                <w:color w:val="000000"/>
                <w:sz w:val="20"/>
                <w:lang w:val="es-PY" w:eastAsia="es-PY"/>
              </w:rPr>
              <w:t xml:space="preserve">          </w:t>
            </w:r>
            <w:r w:rsidRPr="00A31BD1">
              <w:rPr>
                <w:color w:val="000000"/>
                <w:sz w:val="20"/>
                <w:lang w:val="es-PY" w:eastAsia="es-PY"/>
              </w:rPr>
              <w:t xml:space="preserve">  4.186 </w:t>
            </w:r>
          </w:p>
        </w:tc>
      </w:tr>
      <w:tr w:rsidR="003C630D" w:rsidRPr="00A31BD1" w:rsidTr="006F47D2">
        <w:tc>
          <w:tcPr>
            <w:tcW w:w="1701" w:type="dxa"/>
            <w:tcBorders>
              <w:top w:val="nil"/>
              <w:left w:val="single" w:sz="4" w:space="0" w:color="auto"/>
              <w:bottom w:val="single" w:sz="4" w:space="0" w:color="auto"/>
              <w:right w:val="single" w:sz="4" w:space="0" w:color="auto"/>
            </w:tcBorders>
            <w:shd w:val="clear" w:color="auto" w:fill="auto"/>
            <w:noWrap/>
            <w:hideMark/>
          </w:tcPr>
          <w:p w:rsidR="003C630D" w:rsidRPr="00A31BD1" w:rsidRDefault="003C630D" w:rsidP="006F47D2">
            <w:pPr>
              <w:rPr>
                <w:color w:val="000000"/>
                <w:sz w:val="20"/>
                <w:lang w:val="es-PY" w:eastAsia="es-PY"/>
              </w:rPr>
            </w:pPr>
            <w:r w:rsidRPr="00A31BD1">
              <w:rPr>
                <w:color w:val="000000"/>
                <w:sz w:val="20"/>
                <w:lang w:val="es-PY" w:eastAsia="es-PY"/>
              </w:rPr>
              <w:t>San Pedro</w:t>
            </w:r>
          </w:p>
        </w:tc>
        <w:tc>
          <w:tcPr>
            <w:tcW w:w="993" w:type="dxa"/>
            <w:tcBorders>
              <w:top w:val="nil"/>
              <w:left w:val="nil"/>
              <w:bottom w:val="single" w:sz="4" w:space="0" w:color="auto"/>
              <w:right w:val="single" w:sz="4" w:space="0" w:color="auto"/>
            </w:tcBorders>
            <w:shd w:val="clear" w:color="auto" w:fill="auto"/>
            <w:noWrap/>
            <w:hideMark/>
          </w:tcPr>
          <w:p w:rsidR="003C630D" w:rsidRPr="00A31BD1" w:rsidRDefault="003C630D" w:rsidP="006F47D2">
            <w:pPr>
              <w:rPr>
                <w:color w:val="000000"/>
                <w:sz w:val="20"/>
                <w:lang w:val="es-PY" w:eastAsia="es-PY"/>
              </w:rPr>
            </w:pPr>
            <w:r>
              <w:rPr>
                <w:color w:val="000000"/>
                <w:sz w:val="20"/>
                <w:lang w:val="es-PY" w:eastAsia="es-PY"/>
              </w:rPr>
              <w:t xml:space="preserve">      </w:t>
            </w:r>
            <w:r w:rsidRPr="00A31BD1">
              <w:rPr>
                <w:color w:val="000000"/>
                <w:sz w:val="20"/>
                <w:lang w:val="es-PY" w:eastAsia="es-PY"/>
              </w:rPr>
              <w:t xml:space="preserve">418,59 </w:t>
            </w:r>
          </w:p>
        </w:tc>
        <w:tc>
          <w:tcPr>
            <w:tcW w:w="1984" w:type="dxa"/>
            <w:tcBorders>
              <w:top w:val="nil"/>
              <w:left w:val="nil"/>
              <w:bottom w:val="single" w:sz="4" w:space="0" w:color="auto"/>
              <w:right w:val="single" w:sz="4" w:space="0" w:color="auto"/>
            </w:tcBorders>
            <w:shd w:val="clear" w:color="auto" w:fill="auto"/>
            <w:hideMark/>
          </w:tcPr>
          <w:p w:rsidR="003C630D" w:rsidRPr="00A31BD1" w:rsidRDefault="003C630D" w:rsidP="006F47D2">
            <w:pPr>
              <w:rPr>
                <w:color w:val="000000"/>
                <w:sz w:val="20"/>
                <w:lang w:val="es-PY" w:eastAsia="es-PY"/>
              </w:rPr>
            </w:pPr>
            <w:r w:rsidRPr="00A31BD1">
              <w:rPr>
                <w:color w:val="000000"/>
                <w:sz w:val="20"/>
                <w:lang w:val="es-PY" w:eastAsia="es-PY"/>
              </w:rPr>
              <w:t>DC Ingeniería SA</w:t>
            </w:r>
          </w:p>
        </w:tc>
        <w:tc>
          <w:tcPr>
            <w:tcW w:w="1390" w:type="dxa"/>
            <w:tcBorders>
              <w:top w:val="nil"/>
              <w:left w:val="nil"/>
              <w:bottom w:val="single" w:sz="4" w:space="0" w:color="auto"/>
              <w:right w:val="single" w:sz="4" w:space="0" w:color="auto"/>
            </w:tcBorders>
            <w:shd w:val="clear" w:color="auto" w:fill="auto"/>
            <w:noWrap/>
            <w:hideMark/>
          </w:tcPr>
          <w:p w:rsidR="003C630D" w:rsidRPr="00A31BD1" w:rsidRDefault="003C630D" w:rsidP="006F47D2">
            <w:pPr>
              <w:jc w:val="right"/>
              <w:rPr>
                <w:color w:val="000000"/>
                <w:sz w:val="20"/>
                <w:lang w:val="es-PY" w:eastAsia="es-PY"/>
              </w:rPr>
            </w:pPr>
            <w:r w:rsidRPr="00A31BD1">
              <w:rPr>
                <w:color w:val="000000"/>
                <w:sz w:val="20"/>
                <w:lang w:val="es-PY" w:eastAsia="es-PY"/>
              </w:rPr>
              <w:t xml:space="preserve">13.685.480.182 </w:t>
            </w:r>
          </w:p>
        </w:tc>
        <w:tc>
          <w:tcPr>
            <w:tcW w:w="1230" w:type="dxa"/>
            <w:tcBorders>
              <w:top w:val="nil"/>
              <w:left w:val="nil"/>
              <w:bottom w:val="single" w:sz="4" w:space="0" w:color="auto"/>
              <w:right w:val="single" w:sz="4" w:space="0" w:color="auto"/>
            </w:tcBorders>
            <w:shd w:val="clear" w:color="auto" w:fill="auto"/>
            <w:noWrap/>
            <w:hideMark/>
          </w:tcPr>
          <w:p w:rsidR="003C630D" w:rsidRPr="00A31BD1" w:rsidRDefault="003C630D" w:rsidP="006F47D2">
            <w:pPr>
              <w:jc w:val="right"/>
              <w:rPr>
                <w:color w:val="000000"/>
                <w:sz w:val="20"/>
                <w:lang w:val="es-PY" w:eastAsia="es-PY"/>
              </w:rPr>
            </w:pPr>
            <w:r>
              <w:rPr>
                <w:color w:val="000000"/>
                <w:sz w:val="20"/>
                <w:lang w:val="es-PY" w:eastAsia="es-PY"/>
              </w:rPr>
              <w:t xml:space="preserve">     </w:t>
            </w:r>
            <w:r w:rsidRPr="00A31BD1">
              <w:rPr>
                <w:color w:val="000000"/>
                <w:sz w:val="20"/>
                <w:lang w:val="es-PY" w:eastAsia="es-PY"/>
              </w:rPr>
              <w:t xml:space="preserve">3.105.396 </w:t>
            </w:r>
          </w:p>
        </w:tc>
        <w:tc>
          <w:tcPr>
            <w:tcW w:w="1230" w:type="dxa"/>
            <w:tcBorders>
              <w:top w:val="nil"/>
              <w:left w:val="nil"/>
              <w:bottom w:val="single" w:sz="4" w:space="0" w:color="auto"/>
              <w:right w:val="single" w:sz="4" w:space="0" w:color="auto"/>
            </w:tcBorders>
            <w:shd w:val="clear" w:color="auto" w:fill="auto"/>
            <w:noWrap/>
            <w:hideMark/>
          </w:tcPr>
          <w:p w:rsidR="003C630D" w:rsidRPr="00A31BD1" w:rsidRDefault="003C630D" w:rsidP="006F47D2">
            <w:pPr>
              <w:jc w:val="right"/>
              <w:rPr>
                <w:color w:val="000000"/>
                <w:sz w:val="20"/>
                <w:lang w:val="es-PY" w:eastAsia="es-PY"/>
              </w:rPr>
            </w:pPr>
            <w:r>
              <w:rPr>
                <w:color w:val="000000"/>
                <w:sz w:val="20"/>
                <w:lang w:val="es-PY" w:eastAsia="es-PY"/>
              </w:rPr>
              <w:t xml:space="preserve">      </w:t>
            </w:r>
            <w:r w:rsidRPr="00A31BD1">
              <w:rPr>
                <w:color w:val="000000"/>
                <w:sz w:val="20"/>
                <w:lang w:val="es-PY" w:eastAsia="es-PY"/>
              </w:rPr>
              <w:t xml:space="preserve">      2.023 </w:t>
            </w:r>
          </w:p>
        </w:tc>
      </w:tr>
      <w:tr w:rsidR="003C630D" w:rsidRPr="00A31BD1" w:rsidTr="006F47D2">
        <w:tc>
          <w:tcPr>
            <w:tcW w:w="1701" w:type="dxa"/>
            <w:tcBorders>
              <w:top w:val="nil"/>
              <w:left w:val="single" w:sz="4" w:space="0" w:color="auto"/>
              <w:bottom w:val="single" w:sz="4" w:space="0" w:color="auto"/>
              <w:right w:val="single" w:sz="4" w:space="0" w:color="auto"/>
            </w:tcBorders>
            <w:shd w:val="clear" w:color="auto" w:fill="auto"/>
            <w:noWrap/>
            <w:hideMark/>
          </w:tcPr>
          <w:p w:rsidR="003C630D" w:rsidRPr="00A31BD1" w:rsidRDefault="003C630D" w:rsidP="006F47D2">
            <w:pPr>
              <w:rPr>
                <w:color w:val="000000"/>
                <w:sz w:val="20"/>
                <w:lang w:val="es-PY" w:eastAsia="es-PY"/>
              </w:rPr>
            </w:pPr>
            <w:r w:rsidRPr="00A31BD1">
              <w:rPr>
                <w:color w:val="000000"/>
                <w:sz w:val="20"/>
                <w:lang w:val="es-PY" w:eastAsia="es-PY"/>
              </w:rPr>
              <w:t>Concepción - Amambay</w:t>
            </w:r>
          </w:p>
        </w:tc>
        <w:tc>
          <w:tcPr>
            <w:tcW w:w="993" w:type="dxa"/>
            <w:tcBorders>
              <w:top w:val="nil"/>
              <w:left w:val="nil"/>
              <w:bottom w:val="single" w:sz="4" w:space="0" w:color="auto"/>
              <w:right w:val="single" w:sz="4" w:space="0" w:color="auto"/>
            </w:tcBorders>
            <w:shd w:val="clear" w:color="auto" w:fill="auto"/>
            <w:noWrap/>
            <w:hideMark/>
          </w:tcPr>
          <w:p w:rsidR="003C630D" w:rsidRPr="00A31BD1" w:rsidRDefault="003C630D" w:rsidP="006F47D2">
            <w:pPr>
              <w:rPr>
                <w:color w:val="000000"/>
                <w:sz w:val="20"/>
                <w:lang w:val="es-PY" w:eastAsia="es-PY"/>
              </w:rPr>
            </w:pPr>
            <w:r>
              <w:rPr>
                <w:color w:val="000000"/>
                <w:sz w:val="20"/>
                <w:lang w:val="es-PY" w:eastAsia="es-PY"/>
              </w:rPr>
              <w:t xml:space="preserve">      </w:t>
            </w:r>
            <w:r w:rsidRPr="00A31BD1">
              <w:rPr>
                <w:color w:val="000000"/>
                <w:sz w:val="20"/>
                <w:lang w:val="es-PY" w:eastAsia="es-PY"/>
              </w:rPr>
              <w:t xml:space="preserve">401,71 </w:t>
            </w:r>
          </w:p>
        </w:tc>
        <w:tc>
          <w:tcPr>
            <w:tcW w:w="1984" w:type="dxa"/>
            <w:tcBorders>
              <w:top w:val="nil"/>
              <w:left w:val="nil"/>
              <w:bottom w:val="single" w:sz="4" w:space="0" w:color="auto"/>
              <w:right w:val="single" w:sz="4" w:space="0" w:color="auto"/>
            </w:tcBorders>
            <w:shd w:val="clear" w:color="auto" w:fill="auto"/>
            <w:hideMark/>
          </w:tcPr>
          <w:p w:rsidR="003C630D" w:rsidRPr="00A31BD1" w:rsidRDefault="003C630D" w:rsidP="006F47D2">
            <w:pPr>
              <w:rPr>
                <w:color w:val="000000"/>
                <w:sz w:val="20"/>
                <w:lang w:val="es-PY" w:eastAsia="es-PY"/>
              </w:rPr>
            </w:pPr>
            <w:r w:rsidRPr="00A31BD1">
              <w:rPr>
                <w:color w:val="000000"/>
                <w:sz w:val="20"/>
                <w:lang w:val="es-PY" w:eastAsia="es-PY"/>
              </w:rPr>
              <w:t>Consorcio Mantenimiento Rural</w:t>
            </w:r>
          </w:p>
        </w:tc>
        <w:tc>
          <w:tcPr>
            <w:tcW w:w="1390" w:type="dxa"/>
            <w:tcBorders>
              <w:top w:val="nil"/>
              <w:left w:val="nil"/>
              <w:bottom w:val="single" w:sz="4" w:space="0" w:color="auto"/>
              <w:right w:val="single" w:sz="4" w:space="0" w:color="auto"/>
            </w:tcBorders>
            <w:shd w:val="clear" w:color="auto" w:fill="auto"/>
            <w:noWrap/>
            <w:hideMark/>
          </w:tcPr>
          <w:p w:rsidR="003C630D" w:rsidRPr="00A31BD1" w:rsidRDefault="003C630D" w:rsidP="006F47D2">
            <w:pPr>
              <w:jc w:val="right"/>
              <w:rPr>
                <w:color w:val="000000"/>
                <w:sz w:val="20"/>
                <w:lang w:val="es-PY" w:eastAsia="es-PY"/>
              </w:rPr>
            </w:pPr>
            <w:r w:rsidRPr="00A31BD1">
              <w:rPr>
                <w:color w:val="000000"/>
                <w:sz w:val="20"/>
                <w:lang w:val="es-PY" w:eastAsia="es-PY"/>
              </w:rPr>
              <w:t xml:space="preserve">16.698.187.766 </w:t>
            </w:r>
          </w:p>
        </w:tc>
        <w:tc>
          <w:tcPr>
            <w:tcW w:w="1230" w:type="dxa"/>
            <w:tcBorders>
              <w:top w:val="nil"/>
              <w:left w:val="nil"/>
              <w:bottom w:val="single" w:sz="4" w:space="0" w:color="auto"/>
              <w:right w:val="single" w:sz="4" w:space="0" w:color="auto"/>
            </w:tcBorders>
            <w:shd w:val="clear" w:color="auto" w:fill="auto"/>
            <w:noWrap/>
            <w:hideMark/>
          </w:tcPr>
          <w:p w:rsidR="003C630D" w:rsidRPr="00A31BD1" w:rsidRDefault="003C630D" w:rsidP="006F47D2">
            <w:pPr>
              <w:jc w:val="right"/>
              <w:rPr>
                <w:color w:val="000000"/>
                <w:sz w:val="20"/>
                <w:lang w:val="es-PY" w:eastAsia="es-PY"/>
              </w:rPr>
            </w:pPr>
            <w:r>
              <w:rPr>
                <w:color w:val="000000"/>
                <w:sz w:val="20"/>
                <w:lang w:val="es-PY" w:eastAsia="es-PY"/>
              </w:rPr>
              <w:t xml:space="preserve">     </w:t>
            </w:r>
            <w:r w:rsidRPr="00A31BD1">
              <w:rPr>
                <w:color w:val="000000"/>
                <w:sz w:val="20"/>
                <w:lang w:val="es-PY" w:eastAsia="es-PY"/>
              </w:rPr>
              <w:t xml:space="preserve">3.789.015 </w:t>
            </w:r>
          </w:p>
        </w:tc>
        <w:tc>
          <w:tcPr>
            <w:tcW w:w="1230" w:type="dxa"/>
            <w:tcBorders>
              <w:top w:val="nil"/>
              <w:left w:val="nil"/>
              <w:bottom w:val="single" w:sz="4" w:space="0" w:color="auto"/>
              <w:right w:val="single" w:sz="4" w:space="0" w:color="auto"/>
            </w:tcBorders>
            <w:shd w:val="clear" w:color="auto" w:fill="auto"/>
            <w:noWrap/>
            <w:hideMark/>
          </w:tcPr>
          <w:p w:rsidR="003C630D" w:rsidRPr="00A31BD1" w:rsidRDefault="003C630D" w:rsidP="006F47D2">
            <w:pPr>
              <w:jc w:val="right"/>
              <w:rPr>
                <w:color w:val="000000"/>
                <w:sz w:val="20"/>
                <w:lang w:val="es-PY" w:eastAsia="es-PY"/>
              </w:rPr>
            </w:pPr>
            <w:r>
              <w:rPr>
                <w:color w:val="000000"/>
                <w:sz w:val="20"/>
                <w:lang w:val="es-PY" w:eastAsia="es-PY"/>
              </w:rPr>
              <w:t xml:space="preserve">         </w:t>
            </w:r>
            <w:r w:rsidRPr="00A31BD1">
              <w:rPr>
                <w:color w:val="000000"/>
                <w:sz w:val="20"/>
                <w:lang w:val="es-PY" w:eastAsia="es-PY"/>
              </w:rPr>
              <w:t xml:space="preserve">   2.572 </w:t>
            </w:r>
          </w:p>
        </w:tc>
      </w:tr>
      <w:tr w:rsidR="003C630D" w:rsidRPr="00A31BD1" w:rsidTr="006F47D2">
        <w:tc>
          <w:tcPr>
            <w:tcW w:w="1701" w:type="dxa"/>
            <w:tcBorders>
              <w:top w:val="nil"/>
              <w:left w:val="single" w:sz="4" w:space="0" w:color="auto"/>
              <w:bottom w:val="single" w:sz="4" w:space="0" w:color="auto"/>
              <w:right w:val="single" w:sz="4" w:space="0" w:color="auto"/>
            </w:tcBorders>
            <w:shd w:val="clear" w:color="auto" w:fill="auto"/>
            <w:noWrap/>
            <w:hideMark/>
          </w:tcPr>
          <w:p w:rsidR="003C630D" w:rsidRPr="002373EE" w:rsidRDefault="003C630D" w:rsidP="006F47D2">
            <w:pPr>
              <w:rPr>
                <w:b/>
                <w:color w:val="000000"/>
                <w:sz w:val="20"/>
                <w:lang w:val="es-PY" w:eastAsia="es-PY"/>
              </w:rPr>
            </w:pPr>
            <w:r w:rsidRPr="002373EE">
              <w:rPr>
                <w:b/>
                <w:color w:val="000000"/>
                <w:sz w:val="20"/>
                <w:lang w:val="es-PY" w:eastAsia="es-PY"/>
              </w:rPr>
              <w:t>Suma</w:t>
            </w:r>
          </w:p>
        </w:tc>
        <w:tc>
          <w:tcPr>
            <w:tcW w:w="993" w:type="dxa"/>
            <w:tcBorders>
              <w:top w:val="nil"/>
              <w:left w:val="nil"/>
              <w:bottom w:val="double" w:sz="6" w:space="0" w:color="auto"/>
              <w:right w:val="single" w:sz="4" w:space="0" w:color="auto"/>
            </w:tcBorders>
            <w:shd w:val="clear" w:color="auto" w:fill="auto"/>
            <w:noWrap/>
            <w:hideMark/>
          </w:tcPr>
          <w:p w:rsidR="003C630D" w:rsidRPr="002373EE" w:rsidRDefault="003C630D" w:rsidP="006F47D2">
            <w:pPr>
              <w:rPr>
                <w:b/>
                <w:color w:val="000000"/>
                <w:sz w:val="20"/>
                <w:lang w:val="es-PY" w:eastAsia="es-PY"/>
              </w:rPr>
            </w:pPr>
            <w:r w:rsidRPr="002373EE">
              <w:rPr>
                <w:b/>
                <w:color w:val="000000"/>
                <w:sz w:val="20"/>
                <w:lang w:val="es-PY" w:eastAsia="es-PY"/>
              </w:rPr>
              <w:t xml:space="preserve">   1.176,46 </w:t>
            </w:r>
          </w:p>
        </w:tc>
        <w:tc>
          <w:tcPr>
            <w:tcW w:w="1984" w:type="dxa"/>
            <w:tcBorders>
              <w:top w:val="nil"/>
              <w:left w:val="nil"/>
              <w:bottom w:val="single" w:sz="4" w:space="0" w:color="auto"/>
              <w:right w:val="nil"/>
            </w:tcBorders>
            <w:shd w:val="clear" w:color="auto" w:fill="auto"/>
            <w:noWrap/>
            <w:hideMark/>
          </w:tcPr>
          <w:p w:rsidR="003C630D" w:rsidRPr="002373EE" w:rsidRDefault="003C630D" w:rsidP="006F47D2">
            <w:pPr>
              <w:rPr>
                <w:b/>
                <w:color w:val="000000"/>
                <w:sz w:val="20"/>
                <w:lang w:val="es-PY" w:eastAsia="es-PY"/>
              </w:rPr>
            </w:pPr>
            <w:r w:rsidRPr="002373EE">
              <w:rPr>
                <w:b/>
                <w:color w:val="000000"/>
                <w:sz w:val="20"/>
                <w:lang w:val="es-PY" w:eastAsia="es-PY"/>
              </w:rPr>
              <w:t> </w:t>
            </w:r>
          </w:p>
        </w:tc>
        <w:tc>
          <w:tcPr>
            <w:tcW w:w="1390" w:type="dxa"/>
            <w:tcBorders>
              <w:top w:val="nil"/>
              <w:left w:val="nil"/>
              <w:bottom w:val="single" w:sz="4" w:space="0" w:color="auto"/>
              <w:right w:val="nil"/>
            </w:tcBorders>
            <w:shd w:val="clear" w:color="auto" w:fill="auto"/>
            <w:noWrap/>
            <w:hideMark/>
          </w:tcPr>
          <w:p w:rsidR="003C630D" w:rsidRPr="002373EE" w:rsidRDefault="003C630D" w:rsidP="006F47D2">
            <w:pPr>
              <w:jc w:val="right"/>
              <w:rPr>
                <w:b/>
                <w:color w:val="000000"/>
                <w:sz w:val="20"/>
                <w:lang w:val="es-PY" w:eastAsia="es-PY"/>
              </w:rPr>
            </w:pPr>
            <w:r w:rsidRPr="002373EE">
              <w:rPr>
                <w:b/>
                <w:color w:val="000000"/>
                <w:sz w:val="20"/>
                <w:lang w:val="es-PY" w:eastAsia="es-PY"/>
              </w:rPr>
              <w:t> </w:t>
            </w:r>
          </w:p>
        </w:tc>
        <w:tc>
          <w:tcPr>
            <w:tcW w:w="1230" w:type="dxa"/>
            <w:tcBorders>
              <w:top w:val="nil"/>
              <w:left w:val="single" w:sz="4" w:space="0" w:color="auto"/>
              <w:bottom w:val="double" w:sz="6" w:space="0" w:color="auto"/>
              <w:right w:val="single" w:sz="4" w:space="0" w:color="auto"/>
            </w:tcBorders>
            <w:shd w:val="clear" w:color="auto" w:fill="auto"/>
            <w:noWrap/>
            <w:hideMark/>
          </w:tcPr>
          <w:p w:rsidR="003C630D" w:rsidRPr="002373EE" w:rsidRDefault="003C630D" w:rsidP="006F47D2">
            <w:pPr>
              <w:jc w:val="right"/>
              <w:rPr>
                <w:b/>
                <w:color w:val="000000"/>
                <w:sz w:val="20"/>
                <w:lang w:val="es-PY" w:eastAsia="es-PY"/>
              </w:rPr>
            </w:pPr>
            <w:r w:rsidRPr="002373EE">
              <w:rPr>
                <w:b/>
                <w:color w:val="000000"/>
                <w:sz w:val="20"/>
                <w:lang w:val="es-PY" w:eastAsia="es-PY"/>
              </w:rPr>
              <w:t xml:space="preserve">   12.361.243 </w:t>
            </w:r>
          </w:p>
        </w:tc>
        <w:tc>
          <w:tcPr>
            <w:tcW w:w="1230" w:type="dxa"/>
            <w:tcBorders>
              <w:top w:val="nil"/>
              <w:left w:val="nil"/>
              <w:bottom w:val="single" w:sz="4" w:space="0" w:color="auto"/>
              <w:right w:val="single" w:sz="4" w:space="0" w:color="auto"/>
            </w:tcBorders>
            <w:shd w:val="clear" w:color="auto" w:fill="auto"/>
            <w:noWrap/>
            <w:hideMark/>
          </w:tcPr>
          <w:p w:rsidR="003C630D" w:rsidRPr="002373EE" w:rsidRDefault="003C630D" w:rsidP="006F47D2">
            <w:pPr>
              <w:jc w:val="right"/>
              <w:rPr>
                <w:b/>
                <w:color w:val="000000"/>
                <w:sz w:val="20"/>
                <w:lang w:val="es-PY" w:eastAsia="es-PY"/>
              </w:rPr>
            </w:pPr>
            <w:r w:rsidRPr="002373EE">
              <w:rPr>
                <w:b/>
                <w:color w:val="000000"/>
                <w:sz w:val="20"/>
                <w:lang w:val="es-PY" w:eastAsia="es-PY"/>
              </w:rPr>
              <w:t xml:space="preserve">            2.866 </w:t>
            </w:r>
          </w:p>
        </w:tc>
      </w:tr>
    </w:tbl>
    <w:p w:rsidR="00BA22DC" w:rsidRDefault="001757A7" w:rsidP="00BA22DC">
      <w:pPr>
        <w:numPr>
          <w:ilvl w:val="1"/>
          <w:numId w:val="1"/>
        </w:numPr>
        <w:tabs>
          <w:tab w:val="clear" w:pos="360"/>
          <w:tab w:val="num" w:pos="709"/>
        </w:tabs>
        <w:spacing w:before="240" w:after="120" w:line="240" w:lineRule="atLeast"/>
        <w:ind w:left="709" w:hanging="709"/>
        <w:jc w:val="both"/>
        <w:rPr>
          <w:bCs/>
        </w:rPr>
      </w:pPr>
      <w:r w:rsidRPr="001757A7">
        <w:rPr>
          <w:b/>
          <w:bCs/>
        </w:rPr>
        <w:t xml:space="preserve">Mantenimiento por </w:t>
      </w:r>
      <w:r>
        <w:rPr>
          <w:b/>
          <w:bCs/>
        </w:rPr>
        <w:t>Convenio con GL</w:t>
      </w:r>
      <w:r>
        <w:rPr>
          <w:bCs/>
        </w:rPr>
        <w:t xml:space="preserve">. </w:t>
      </w:r>
      <w:r w:rsidRPr="001757A7">
        <w:rPr>
          <w:bCs/>
        </w:rPr>
        <w:t xml:space="preserve">Se presentan los indicadores obtenidos de los datos </w:t>
      </w:r>
      <w:r>
        <w:rPr>
          <w:bCs/>
        </w:rPr>
        <w:t>de presupuesto de los Convenios</w:t>
      </w:r>
      <w:r w:rsidRPr="001757A7">
        <w:rPr>
          <w:bCs/>
        </w:rPr>
        <w:t>, según ¶</w:t>
      </w:r>
      <w:r>
        <w:rPr>
          <w:bCs/>
        </w:rPr>
        <w:fldChar w:fldCharType="begin"/>
      </w:r>
      <w:r>
        <w:rPr>
          <w:bCs/>
        </w:rPr>
        <w:instrText xml:space="preserve"> REF _Ref396316842 \r \h </w:instrText>
      </w:r>
      <w:r>
        <w:rPr>
          <w:bCs/>
        </w:rPr>
      </w:r>
      <w:r>
        <w:rPr>
          <w:bCs/>
        </w:rPr>
        <w:fldChar w:fldCharType="separate"/>
      </w:r>
      <w:r>
        <w:rPr>
          <w:bCs/>
        </w:rPr>
        <w:t>7.6</w:t>
      </w:r>
      <w:r>
        <w:rPr>
          <w:bCs/>
        </w:rPr>
        <w:fldChar w:fldCharType="end"/>
      </w:r>
      <w:r w:rsidRPr="001757A7">
        <w:rPr>
          <w:bCs/>
        </w:rPr>
        <w:t>.</w:t>
      </w:r>
    </w:p>
    <w:tbl>
      <w:tblPr>
        <w:tblW w:w="8505" w:type="dxa"/>
        <w:tblInd w:w="779" w:type="dxa"/>
        <w:tblCellMar>
          <w:left w:w="70" w:type="dxa"/>
          <w:right w:w="70" w:type="dxa"/>
        </w:tblCellMar>
        <w:tblLook w:val="04A0" w:firstRow="1" w:lastRow="0" w:firstColumn="1" w:lastColumn="0" w:noHBand="0" w:noVBand="1"/>
      </w:tblPr>
      <w:tblGrid>
        <w:gridCol w:w="1706"/>
        <w:gridCol w:w="1180"/>
        <w:gridCol w:w="1372"/>
        <w:gridCol w:w="1559"/>
        <w:gridCol w:w="1418"/>
        <w:gridCol w:w="1270"/>
      </w:tblGrid>
      <w:tr w:rsidR="001757A7" w:rsidRPr="001757A7" w:rsidTr="00D219B7">
        <w:trPr>
          <w:trHeight w:val="300"/>
        </w:trPr>
        <w:tc>
          <w:tcPr>
            <w:tcW w:w="170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1757A7" w:rsidRPr="001757A7" w:rsidRDefault="001757A7" w:rsidP="001757A7">
            <w:pPr>
              <w:jc w:val="center"/>
              <w:rPr>
                <w:b/>
                <w:bCs/>
                <w:color w:val="000000"/>
                <w:sz w:val="20"/>
                <w:lang w:val="es-PY" w:eastAsia="es-PY"/>
              </w:rPr>
            </w:pPr>
            <w:r w:rsidRPr="001757A7">
              <w:rPr>
                <w:b/>
                <w:bCs/>
                <w:color w:val="000000"/>
                <w:sz w:val="20"/>
                <w:lang w:val="es-PY" w:eastAsia="es-PY"/>
              </w:rPr>
              <w:t>Área geográfica</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1757A7" w:rsidRPr="001757A7" w:rsidRDefault="001757A7" w:rsidP="001757A7">
            <w:pPr>
              <w:jc w:val="center"/>
              <w:rPr>
                <w:b/>
                <w:bCs/>
                <w:color w:val="000000"/>
                <w:sz w:val="20"/>
                <w:lang w:val="es-PY" w:eastAsia="es-PY"/>
              </w:rPr>
            </w:pPr>
            <w:r w:rsidRPr="001757A7">
              <w:rPr>
                <w:b/>
                <w:bCs/>
                <w:color w:val="000000"/>
                <w:sz w:val="20"/>
                <w:lang w:val="es-PY" w:eastAsia="es-PY"/>
              </w:rPr>
              <w:t>Extensión (km)</w:t>
            </w:r>
          </w:p>
        </w:tc>
        <w:tc>
          <w:tcPr>
            <w:tcW w:w="1372"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1757A7" w:rsidRPr="001757A7" w:rsidRDefault="001757A7" w:rsidP="001757A7">
            <w:pPr>
              <w:jc w:val="center"/>
              <w:rPr>
                <w:b/>
                <w:bCs/>
                <w:color w:val="000000"/>
                <w:sz w:val="20"/>
                <w:lang w:val="es-PY" w:eastAsia="es-PY"/>
              </w:rPr>
            </w:pPr>
            <w:r w:rsidRPr="001757A7">
              <w:rPr>
                <w:b/>
                <w:bCs/>
                <w:color w:val="000000"/>
                <w:sz w:val="20"/>
                <w:lang w:val="es-PY" w:eastAsia="es-PY"/>
              </w:rPr>
              <w:t>Entidad Ejecutora</w:t>
            </w:r>
          </w:p>
        </w:tc>
        <w:tc>
          <w:tcPr>
            <w:tcW w:w="4247" w:type="dxa"/>
            <w:gridSpan w:val="3"/>
            <w:tcBorders>
              <w:top w:val="single" w:sz="4" w:space="0" w:color="auto"/>
              <w:left w:val="nil"/>
              <w:bottom w:val="single" w:sz="4" w:space="0" w:color="auto"/>
              <w:right w:val="single" w:sz="4" w:space="0" w:color="auto"/>
            </w:tcBorders>
            <w:shd w:val="clear" w:color="auto" w:fill="DAEEF3" w:themeFill="accent5" w:themeFillTint="33"/>
            <w:noWrap/>
            <w:vAlign w:val="center"/>
            <w:hideMark/>
          </w:tcPr>
          <w:p w:rsidR="001757A7" w:rsidRPr="001757A7" w:rsidRDefault="001757A7" w:rsidP="001757A7">
            <w:pPr>
              <w:jc w:val="center"/>
              <w:rPr>
                <w:b/>
                <w:bCs/>
                <w:color w:val="000000"/>
                <w:sz w:val="20"/>
                <w:lang w:val="es-PY" w:eastAsia="es-PY"/>
              </w:rPr>
            </w:pPr>
            <w:r>
              <w:rPr>
                <w:b/>
                <w:bCs/>
                <w:color w:val="000000"/>
                <w:sz w:val="20"/>
                <w:lang w:val="es-PY" w:eastAsia="es-PY"/>
              </w:rPr>
              <w:t>Total</w:t>
            </w:r>
          </w:p>
        </w:tc>
      </w:tr>
      <w:tr w:rsidR="00A71497" w:rsidRPr="001757A7" w:rsidTr="00D219B7">
        <w:trPr>
          <w:trHeight w:val="300"/>
        </w:trPr>
        <w:tc>
          <w:tcPr>
            <w:tcW w:w="170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1757A7" w:rsidRPr="001757A7" w:rsidRDefault="001757A7" w:rsidP="001757A7">
            <w:pPr>
              <w:rPr>
                <w:b/>
                <w:bCs/>
                <w:color w:val="000000"/>
                <w:sz w:val="20"/>
                <w:lang w:val="es-PY" w:eastAsia="es-PY"/>
              </w:rPr>
            </w:pPr>
          </w:p>
        </w:tc>
        <w:tc>
          <w:tcPr>
            <w:tcW w:w="1180"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1757A7" w:rsidRPr="001757A7" w:rsidRDefault="001757A7" w:rsidP="001757A7">
            <w:pPr>
              <w:rPr>
                <w:b/>
                <w:bCs/>
                <w:color w:val="000000"/>
                <w:sz w:val="20"/>
                <w:lang w:val="es-PY" w:eastAsia="es-PY"/>
              </w:rPr>
            </w:pPr>
          </w:p>
        </w:tc>
        <w:tc>
          <w:tcPr>
            <w:tcW w:w="1372"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1757A7" w:rsidRPr="001757A7" w:rsidRDefault="001757A7" w:rsidP="001757A7">
            <w:pPr>
              <w:rPr>
                <w:b/>
                <w:bCs/>
                <w:color w:val="000000"/>
                <w:sz w:val="20"/>
                <w:lang w:val="es-PY" w:eastAsia="es-PY"/>
              </w:rPr>
            </w:pPr>
          </w:p>
        </w:tc>
        <w:tc>
          <w:tcPr>
            <w:tcW w:w="1559" w:type="dxa"/>
            <w:tcBorders>
              <w:top w:val="nil"/>
              <w:left w:val="nil"/>
              <w:bottom w:val="single" w:sz="4" w:space="0" w:color="auto"/>
              <w:right w:val="single" w:sz="4" w:space="0" w:color="auto"/>
            </w:tcBorders>
            <w:shd w:val="clear" w:color="auto" w:fill="DAEEF3" w:themeFill="accent5" w:themeFillTint="33"/>
            <w:vAlign w:val="center"/>
            <w:hideMark/>
          </w:tcPr>
          <w:p w:rsidR="001757A7" w:rsidRPr="001757A7" w:rsidRDefault="001757A7" w:rsidP="001757A7">
            <w:pPr>
              <w:jc w:val="center"/>
              <w:rPr>
                <w:b/>
                <w:bCs/>
                <w:color w:val="000000"/>
                <w:sz w:val="20"/>
                <w:lang w:val="es-PY" w:eastAsia="es-PY"/>
              </w:rPr>
            </w:pPr>
            <w:r w:rsidRPr="001757A7">
              <w:rPr>
                <w:b/>
                <w:bCs/>
                <w:color w:val="000000"/>
                <w:sz w:val="20"/>
                <w:lang w:val="es-PY" w:eastAsia="es-PY"/>
              </w:rPr>
              <w:t>Total (Gs)</w:t>
            </w:r>
          </w:p>
        </w:tc>
        <w:tc>
          <w:tcPr>
            <w:tcW w:w="1418" w:type="dxa"/>
            <w:tcBorders>
              <w:top w:val="nil"/>
              <w:left w:val="nil"/>
              <w:bottom w:val="single" w:sz="4" w:space="0" w:color="auto"/>
              <w:right w:val="single" w:sz="4" w:space="0" w:color="auto"/>
            </w:tcBorders>
            <w:shd w:val="clear" w:color="auto" w:fill="DAEEF3" w:themeFill="accent5" w:themeFillTint="33"/>
            <w:vAlign w:val="center"/>
            <w:hideMark/>
          </w:tcPr>
          <w:p w:rsidR="001757A7" w:rsidRPr="001757A7" w:rsidRDefault="001757A7" w:rsidP="001757A7">
            <w:pPr>
              <w:jc w:val="center"/>
              <w:rPr>
                <w:b/>
                <w:bCs/>
                <w:color w:val="000000"/>
                <w:sz w:val="20"/>
                <w:lang w:val="es-PY" w:eastAsia="es-PY"/>
              </w:rPr>
            </w:pPr>
            <w:r w:rsidRPr="001757A7">
              <w:rPr>
                <w:b/>
                <w:bCs/>
                <w:color w:val="000000"/>
                <w:sz w:val="20"/>
                <w:lang w:val="es-PY" w:eastAsia="es-PY"/>
              </w:rPr>
              <w:t>Total (US$)</w:t>
            </w:r>
          </w:p>
        </w:tc>
        <w:tc>
          <w:tcPr>
            <w:tcW w:w="1270" w:type="dxa"/>
            <w:tcBorders>
              <w:top w:val="nil"/>
              <w:left w:val="nil"/>
              <w:bottom w:val="single" w:sz="4" w:space="0" w:color="auto"/>
              <w:right w:val="single" w:sz="4" w:space="0" w:color="auto"/>
            </w:tcBorders>
            <w:shd w:val="clear" w:color="auto" w:fill="DAEEF3" w:themeFill="accent5" w:themeFillTint="33"/>
            <w:vAlign w:val="center"/>
            <w:hideMark/>
          </w:tcPr>
          <w:p w:rsidR="001757A7" w:rsidRPr="001757A7" w:rsidRDefault="001757A7" w:rsidP="001757A7">
            <w:pPr>
              <w:jc w:val="center"/>
              <w:rPr>
                <w:b/>
                <w:bCs/>
                <w:color w:val="000000"/>
                <w:sz w:val="20"/>
                <w:lang w:val="es-PY" w:eastAsia="es-PY"/>
              </w:rPr>
            </w:pPr>
            <w:r w:rsidRPr="001757A7">
              <w:rPr>
                <w:b/>
                <w:bCs/>
                <w:color w:val="000000"/>
                <w:sz w:val="20"/>
                <w:lang w:val="es-PY" w:eastAsia="es-PY"/>
              </w:rPr>
              <w:t>US$/km/año</w:t>
            </w:r>
          </w:p>
        </w:tc>
      </w:tr>
      <w:tr w:rsidR="001757A7" w:rsidRPr="001757A7" w:rsidTr="00D219B7">
        <w:trPr>
          <w:trHeight w:val="300"/>
        </w:trPr>
        <w:tc>
          <w:tcPr>
            <w:tcW w:w="1706" w:type="dxa"/>
            <w:tcBorders>
              <w:top w:val="nil"/>
              <w:left w:val="single" w:sz="4" w:space="0" w:color="auto"/>
              <w:bottom w:val="single" w:sz="4" w:space="0" w:color="auto"/>
              <w:right w:val="single" w:sz="4" w:space="0" w:color="auto"/>
            </w:tcBorders>
            <w:shd w:val="clear" w:color="auto" w:fill="auto"/>
            <w:noWrap/>
            <w:hideMark/>
          </w:tcPr>
          <w:p w:rsidR="001757A7" w:rsidRPr="001757A7" w:rsidRDefault="001757A7" w:rsidP="001757A7">
            <w:pPr>
              <w:rPr>
                <w:color w:val="000000"/>
                <w:sz w:val="20"/>
                <w:lang w:val="es-PY" w:eastAsia="es-PY"/>
              </w:rPr>
            </w:pPr>
            <w:r w:rsidRPr="001757A7">
              <w:rPr>
                <w:color w:val="000000"/>
                <w:sz w:val="20"/>
                <w:lang w:val="es-PY" w:eastAsia="es-PY"/>
              </w:rPr>
              <w:t>Itapuá</w:t>
            </w:r>
          </w:p>
        </w:tc>
        <w:tc>
          <w:tcPr>
            <w:tcW w:w="1180" w:type="dxa"/>
            <w:tcBorders>
              <w:top w:val="nil"/>
              <w:left w:val="nil"/>
              <w:bottom w:val="single" w:sz="4" w:space="0" w:color="auto"/>
              <w:right w:val="single" w:sz="4" w:space="0" w:color="auto"/>
            </w:tcBorders>
            <w:shd w:val="clear" w:color="auto" w:fill="auto"/>
            <w:noWrap/>
            <w:hideMark/>
          </w:tcPr>
          <w:p w:rsidR="001757A7" w:rsidRPr="001757A7" w:rsidRDefault="001757A7" w:rsidP="001757A7">
            <w:pPr>
              <w:jc w:val="right"/>
              <w:rPr>
                <w:color w:val="000000"/>
                <w:sz w:val="20"/>
                <w:lang w:val="es-PY" w:eastAsia="es-PY"/>
              </w:rPr>
            </w:pPr>
            <w:r w:rsidRPr="001757A7">
              <w:rPr>
                <w:color w:val="000000"/>
                <w:sz w:val="20"/>
                <w:lang w:val="es-PY" w:eastAsia="es-PY"/>
              </w:rPr>
              <w:t xml:space="preserve">       427,64 </w:t>
            </w:r>
          </w:p>
        </w:tc>
        <w:tc>
          <w:tcPr>
            <w:tcW w:w="1372" w:type="dxa"/>
            <w:tcBorders>
              <w:top w:val="nil"/>
              <w:left w:val="nil"/>
              <w:bottom w:val="single" w:sz="4" w:space="0" w:color="auto"/>
              <w:right w:val="single" w:sz="4" w:space="0" w:color="auto"/>
            </w:tcBorders>
            <w:shd w:val="clear" w:color="auto" w:fill="auto"/>
            <w:noWrap/>
            <w:hideMark/>
          </w:tcPr>
          <w:p w:rsidR="001757A7" w:rsidRPr="001757A7" w:rsidRDefault="001757A7" w:rsidP="001757A7">
            <w:pPr>
              <w:rPr>
                <w:color w:val="000000"/>
                <w:sz w:val="20"/>
                <w:lang w:val="es-PY" w:eastAsia="es-PY"/>
              </w:rPr>
            </w:pPr>
            <w:r w:rsidRPr="001757A7">
              <w:rPr>
                <w:color w:val="000000"/>
                <w:sz w:val="20"/>
                <w:lang w:val="es-PY" w:eastAsia="es-PY"/>
              </w:rPr>
              <w:t xml:space="preserve"> Trinidad </w:t>
            </w:r>
          </w:p>
        </w:tc>
        <w:tc>
          <w:tcPr>
            <w:tcW w:w="1559" w:type="dxa"/>
            <w:tcBorders>
              <w:top w:val="nil"/>
              <w:left w:val="nil"/>
              <w:bottom w:val="single" w:sz="4" w:space="0" w:color="auto"/>
              <w:right w:val="single" w:sz="4" w:space="0" w:color="auto"/>
            </w:tcBorders>
            <w:shd w:val="clear" w:color="auto" w:fill="auto"/>
            <w:noWrap/>
            <w:hideMark/>
          </w:tcPr>
          <w:p w:rsidR="001757A7" w:rsidRPr="001757A7" w:rsidRDefault="001757A7" w:rsidP="00A71497">
            <w:pPr>
              <w:jc w:val="center"/>
              <w:rPr>
                <w:color w:val="000000"/>
                <w:sz w:val="20"/>
                <w:lang w:val="es-PY" w:eastAsia="es-PY"/>
              </w:rPr>
            </w:pPr>
            <w:r w:rsidRPr="001757A7">
              <w:rPr>
                <w:color w:val="000000"/>
                <w:sz w:val="20"/>
                <w:lang w:val="es-PY" w:eastAsia="es-PY"/>
              </w:rPr>
              <w:t xml:space="preserve">     8.956.871.661 </w:t>
            </w:r>
          </w:p>
        </w:tc>
        <w:tc>
          <w:tcPr>
            <w:tcW w:w="1418" w:type="dxa"/>
            <w:tcBorders>
              <w:top w:val="nil"/>
              <w:left w:val="nil"/>
              <w:bottom w:val="single" w:sz="4" w:space="0" w:color="auto"/>
              <w:right w:val="single" w:sz="4" w:space="0" w:color="auto"/>
            </w:tcBorders>
            <w:shd w:val="clear" w:color="auto" w:fill="auto"/>
            <w:noWrap/>
            <w:hideMark/>
          </w:tcPr>
          <w:p w:rsidR="001757A7" w:rsidRPr="001757A7" w:rsidRDefault="001757A7" w:rsidP="001757A7">
            <w:pPr>
              <w:jc w:val="right"/>
              <w:rPr>
                <w:color w:val="000000"/>
                <w:sz w:val="20"/>
                <w:lang w:val="es-PY" w:eastAsia="es-PY"/>
              </w:rPr>
            </w:pPr>
            <w:r w:rsidRPr="001757A7">
              <w:rPr>
                <w:color w:val="000000"/>
                <w:sz w:val="20"/>
                <w:lang w:val="es-PY" w:eastAsia="es-PY"/>
              </w:rPr>
              <w:t xml:space="preserve">         2.054.933 </w:t>
            </w:r>
          </w:p>
        </w:tc>
        <w:tc>
          <w:tcPr>
            <w:tcW w:w="1270" w:type="dxa"/>
            <w:tcBorders>
              <w:top w:val="nil"/>
              <w:left w:val="nil"/>
              <w:bottom w:val="single" w:sz="4" w:space="0" w:color="auto"/>
              <w:right w:val="single" w:sz="4" w:space="0" w:color="auto"/>
            </w:tcBorders>
            <w:shd w:val="clear" w:color="auto" w:fill="auto"/>
            <w:noWrap/>
            <w:hideMark/>
          </w:tcPr>
          <w:p w:rsidR="001757A7" w:rsidRPr="001757A7" w:rsidRDefault="001757A7" w:rsidP="00D219B7">
            <w:pPr>
              <w:jc w:val="right"/>
              <w:rPr>
                <w:color w:val="000000"/>
                <w:sz w:val="20"/>
                <w:lang w:val="es-PY" w:eastAsia="es-PY"/>
              </w:rPr>
            </w:pPr>
            <w:r w:rsidRPr="001757A7">
              <w:rPr>
                <w:color w:val="000000"/>
                <w:sz w:val="20"/>
                <w:lang w:val="es-PY" w:eastAsia="es-PY"/>
              </w:rPr>
              <w:t xml:space="preserve">      2.403 </w:t>
            </w:r>
          </w:p>
        </w:tc>
      </w:tr>
      <w:tr w:rsidR="001757A7" w:rsidRPr="001757A7" w:rsidTr="00D219B7">
        <w:trPr>
          <w:trHeight w:val="300"/>
        </w:trPr>
        <w:tc>
          <w:tcPr>
            <w:tcW w:w="1706" w:type="dxa"/>
            <w:tcBorders>
              <w:top w:val="nil"/>
              <w:left w:val="single" w:sz="4" w:space="0" w:color="auto"/>
              <w:bottom w:val="single" w:sz="4" w:space="0" w:color="auto"/>
              <w:right w:val="single" w:sz="4" w:space="0" w:color="auto"/>
            </w:tcBorders>
            <w:shd w:val="clear" w:color="auto" w:fill="auto"/>
            <w:noWrap/>
            <w:hideMark/>
          </w:tcPr>
          <w:p w:rsidR="001757A7" w:rsidRPr="001757A7" w:rsidRDefault="001757A7" w:rsidP="001757A7">
            <w:pPr>
              <w:rPr>
                <w:color w:val="000000"/>
                <w:sz w:val="20"/>
                <w:lang w:val="es-PY" w:eastAsia="es-PY"/>
              </w:rPr>
            </w:pPr>
            <w:r w:rsidRPr="001757A7">
              <w:rPr>
                <w:color w:val="000000"/>
                <w:sz w:val="20"/>
                <w:lang w:val="es-PY" w:eastAsia="es-PY"/>
              </w:rPr>
              <w:t>Alto Paraná Sur</w:t>
            </w:r>
          </w:p>
        </w:tc>
        <w:tc>
          <w:tcPr>
            <w:tcW w:w="1180" w:type="dxa"/>
            <w:tcBorders>
              <w:top w:val="nil"/>
              <w:left w:val="nil"/>
              <w:bottom w:val="single" w:sz="4" w:space="0" w:color="auto"/>
              <w:right w:val="single" w:sz="4" w:space="0" w:color="auto"/>
            </w:tcBorders>
            <w:shd w:val="clear" w:color="auto" w:fill="auto"/>
            <w:noWrap/>
            <w:hideMark/>
          </w:tcPr>
          <w:p w:rsidR="001757A7" w:rsidRPr="001757A7" w:rsidRDefault="001757A7" w:rsidP="001757A7">
            <w:pPr>
              <w:jc w:val="right"/>
              <w:rPr>
                <w:color w:val="000000"/>
                <w:sz w:val="20"/>
                <w:lang w:val="es-PY" w:eastAsia="es-PY"/>
              </w:rPr>
            </w:pPr>
            <w:r w:rsidRPr="001757A7">
              <w:rPr>
                <w:color w:val="000000"/>
                <w:sz w:val="20"/>
                <w:lang w:val="es-PY" w:eastAsia="es-PY"/>
              </w:rPr>
              <w:t xml:space="preserve">       504,15 </w:t>
            </w:r>
          </w:p>
        </w:tc>
        <w:tc>
          <w:tcPr>
            <w:tcW w:w="1372" w:type="dxa"/>
            <w:tcBorders>
              <w:top w:val="nil"/>
              <w:left w:val="nil"/>
              <w:bottom w:val="single" w:sz="4" w:space="0" w:color="auto"/>
              <w:right w:val="single" w:sz="4" w:space="0" w:color="auto"/>
            </w:tcBorders>
            <w:shd w:val="clear" w:color="auto" w:fill="auto"/>
            <w:noWrap/>
            <w:hideMark/>
          </w:tcPr>
          <w:p w:rsidR="001757A7" w:rsidRPr="001757A7" w:rsidRDefault="001757A7" w:rsidP="001757A7">
            <w:pPr>
              <w:rPr>
                <w:color w:val="000000"/>
                <w:sz w:val="20"/>
                <w:lang w:val="es-PY" w:eastAsia="es-PY"/>
              </w:rPr>
            </w:pPr>
            <w:r w:rsidRPr="001757A7">
              <w:rPr>
                <w:color w:val="000000"/>
                <w:sz w:val="20"/>
                <w:lang w:val="es-PY" w:eastAsia="es-PY"/>
              </w:rPr>
              <w:t xml:space="preserve"> Naranjal </w:t>
            </w:r>
          </w:p>
        </w:tc>
        <w:tc>
          <w:tcPr>
            <w:tcW w:w="1559" w:type="dxa"/>
            <w:tcBorders>
              <w:top w:val="nil"/>
              <w:left w:val="nil"/>
              <w:bottom w:val="single" w:sz="4" w:space="0" w:color="auto"/>
              <w:right w:val="single" w:sz="4" w:space="0" w:color="auto"/>
            </w:tcBorders>
            <w:shd w:val="clear" w:color="auto" w:fill="auto"/>
            <w:noWrap/>
            <w:hideMark/>
          </w:tcPr>
          <w:p w:rsidR="001757A7" w:rsidRPr="001757A7" w:rsidRDefault="001757A7" w:rsidP="00A71497">
            <w:pPr>
              <w:rPr>
                <w:color w:val="000000"/>
                <w:sz w:val="20"/>
                <w:lang w:val="es-PY" w:eastAsia="es-PY"/>
              </w:rPr>
            </w:pPr>
            <w:r w:rsidRPr="001757A7">
              <w:rPr>
                <w:color w:val="000000"/>
                <w:sz w:val="20"/>
                <w:lang w:val="es-PY" w:eastAsia="es-PY"/>
              </w:rPr>
              <w:t xml:space="preserve">   10.958.934.559 </w:t>
            </w:r>
          </w:p>
        </w:tc>
        <w:tc>
          <w:tcPr>
            <w:tcW w:w="1418" w:type="dxa"/>
            <w:tcBorders>
              <w:top w:val="nil"/>
              <w:left w:val="nil"/>
              <w:bottom w:val="single" w:sz="4" w:space="0" w:color="auto"/>
              <w:right w:val="single" w:sz="4" w:space="0" w:color="auto"/>
            </w:tcBorders>
            <w:shd w:val="clear" w:color="auto" w:fill="auto"/>
            <w:noWrap/>
            <w:hideMark/>
          </w:tcPr>
          <w:p w:rsidR="001757A7" w:rsidRPr="001757A7" w:rsidRDefault="001757A7" w:rsidP="001757A7">
            <w:pPr>
              <w:jc w:val="right"/>
              <w:rPr>
                <w:color w:val="000000"/>
                <w:sz w:val="20"/>
                <w:lang w:val="es-PY" w:eastAsia="es-PY"/>
              </w:rPr>
            </w:pPr>
            <w:r w:rsidRPr="001757A7">
              <w:rPr>
                <w:color w:val="000000"/>
                <w:sz w:val="20"/>
                <w:lang w:val="es-PY" w:eastAsia="es-PY"/>
              </w:rPr>
              <w:t xml:space="preserve">         2.510.677 </w:t>
            </w:r>
          </w:p>
        </w:tc>
        <w:tc>
          <w:tcPr>
            <w:tcW w:w="1270" w:type="dxa"/>
            <w:tcBorders>
              <w:top w:val="nil"/>
              <w:left w:val="nil"/>
              <w:bottom w:val="single" w:sz="4" w:space="0" w:color="auto"/>
              <w:right w:val="single" w:sz="4" w:space="0" w:color="auto"/>
            </w:tcBorders>
            <w:shd w:val="clear" w:color="auto" w:fill="auto"/>
            <w:noWrap/>
            <w:hideMark/>
          </w:tcPr>
          <w:p w:rsidR="001757A7" w:rsidRPr="001757A7" w:rsidRDefault="001757A7" w:rsidP="00D219B7">
            <w:pPr>
              <w:jc w:val="right"/>
              <w:rPr>
                <w:color w:val="000000"/>
                <w:sz w:val="20"/>
                <w:lang w:val="es-PY" w:eastAsia="es-PY"/>
              </w:rPr>
            </w:pPr>
            <w:r w:rsidRPr="001757A7">
              <w:rPr>
                <w:color w:val="000000"/>
                <w:sz w:val="20"/>
                <w:lang w:val="es-PY" w:eastAsia="es-PY"/>
              </w:rPr>
              <w:t xml:space="preserve">           2.490 </w:t>
            </w:r>
          </w:p>
        </w:tc>
      </w:tr>
      <w:tr w:rsidR="001757A7" w:rsidRPr="001757A7" w:rsidTr="00D219B7">
        <w:trPr>
          <w:trHeight w:val="300"/>
        </w:trPr>
        <w:tc>
          <w:tcPr>
            <w:tcW w:w="1706" w:type="dxa"/>
            <w:tcBorders>
              <w:top w:val="nil"/>
              <w:left w:val="single" w:sz="4" w:space="0" w:color="auto"/>
              <w:bottom w:val="single" w:sz="4" w:space="0" w:color="auto"/>
              <w:right w:val="single" w:sz="4" w:space="0" w:color="auto"/>
            </w:tcBorders>
            <w:shd w:val="clear" w:color="auto" w:fill="auto"/>
            <w:noWrap/>
            <w:hideMark/>
          </w:tcPr>
          <w:p w:rsidR="001757A7" w:rsidRPr="001757A7" w:rsidRDefault="001757A7" w:rsidP="001757A7">
            <w:pPr>
              <w:rPr>
                <w:color w:val="000000"/>
                <w:sz w:val="20"/>
                <w:lang w:val="es-PY" w:eastAsia="es-PY"/>
              </w:rPr>
            </w:pPr>
            <w:r w:rsidRPr="001757A7">
              <w:rPr>
                <w:color w:val="000000"/>
                <w:sz w:val="20"/>
                <w:lang w:val="es-PY" w:eastAsia="es-PY"/>
              </w:rPr>
              <w:t>Canindeyú Este</w:t>
            </w:r>
          </w:p>
        </w:tc>
        <w:tc>
          <w:tcPr>
            <w:tcW w:w="1180" w:type="dxa"/>
            <w:tcBorders>
              <w:top w:val="nil"/>
              <w:left w:val="nil"/>
              <w:bottom w:val="single" w:sz="4" w:space="0" w:color="auto"/>
              <w:right w:val="single" w:sz="4" w:space="0" w:color="auto"/>
            </w:tcBorders>
            <w:shd w:val="clear" w:color="auto" w:fill="auto"/>
            <w:noWrap/>
            <w:hideMark/>
          </w:tcPr>
          <w:p w:rsidR="001757A7" w:rsidRPr="001757A7" w:rsidRDefault="001757A7" w:rsidP="001757A7">
            <w:pPr>
              <w:jc w:val="right"/>
              <w:rPr>
                <w:color w:val="000000"/>
                <w:sz w:val="20"/>
                <w:lang w:val="es-PY" w:eastAsia="es-PY"/>
              </w:rPr>
            </w:pPr>
            <w:r w:rsidRPr="001757A7">
              <w:rPr>
                <w:color w:val="000000"/>
                <w:sz w:val="20"/>
                <w:lang w:val="es-PY" w:eastAsia="es-PY"/>
              </w:rPr>
              <w:t xml:space="preserve">       436,60 </w:t>
            </w:r>
          </w:p>
        </w:tc>
        <w:tc>
          <w:tcPr>
            <w:tcW w:w="1372" w:type="dxa"/>
            <w:tcBorders>
              <w:top w:val="nil"/>
              <w:left w:val="nil"/>
              <w:bottom w:val="single" w:sz="4" w:space="0" w:color="auto"/>
              <w:right w:val="single" w:sz="4" w:space="0" w:color="auto"/>
            </w:tcBorders>
            <w:shd w:val="clear" w:color="auto" w:fill="auto"/>
            <w:noWrap/>
            <w:hideMark/>
          </w:tcPr>
          <w:p w:rsidR="001757A7" w:rsidRPr="001757A7" w:rsidRDefault="001757A7" w:rsidP="001757A7">
            <w:pPr>
              <w:rPr>
                <w:color w:val="000000"/>
                <w:sz w:val="20"/>
                <w:lang w:val="es-PY" w:eastAsia="es-PY"/>
              </w:rPr>
            </w:pPr>
            <w:r w:rsidRPr="001757A7">
              <w:rPr>
                <w:color w:val="000000"/>
                <w:sz w:val="20"/>
                <w:lang w:val="es-PY" w:eastAsia="es-PY"/>
              </w:rPr>
              <w:t xml:space="preserve"> Corpus Cristi </w:t>
            </w:r>
          </w:p>
        </w:tc>
        <w:tc>
          <w:tcPr>
            <w:tcW w:w="1559" w:type="dxa"/>
            <w:tcBorders>
              <w:top w:val="nil"/>
              <w:left w:val="nil"/>
              <w:bottom w:val="single" w:sz="4" w:space="0" w:color="auto"/>
              <w:right w:val="single" w:sz="4" w:space="0" w:color="auto"/>
            </w:tcBorders>
            <w:shd w:val="clear" w:color="auto" w:fill="auto"/>
            <w:noWrap/>
            <w:hideMark/>
          </w:tcPr>
          <w:p w:rsidR="001757A7" w:rsidRPr="001757A7" w:rsidRDefault="001757A7" w:rsidP="00A71497">
            <w:pPr>
              <w:jc w:val="center"/>
              <w:rPr>
                <w:color w:val="000000"/>
                <w:sz w:val="20"/>
                <w:lang w:val="es-PY" w:eastAsia="es-PY"/>
              </w:rPr>
            </w:pPr>
            <w:r w:rsidRPr="001757A7">
              <w:rPr>
                <w:color w:val="000000"/>
                <w:sz w:val="20"/>
                <w:lang w:val="es-PY" w:eastAsia="es-PY"/>
              </w:rPr>
              <w:t xml:space="preserve">   11.466.183.346 </w:t>
            </w:r>
          </w:p>
        </w:tc>
        <w:tc>
          <w:tcPr>
            <w:tcW w:w="1418" w:type="dxa"/>
            <w:tcBorders>
              <w:top w:val="nil"/>
              <w:left w:val="nil"/>
              <w:bottom w:val="single" w:sz="4" w:space="0" w:color="auto"/>
              <w:right w:val="single" w:sz="4" w:space="0" w:color="auto"/>
            </w:tcBorders>
            <w:shd w:val="clear" w:color="auto" w:fill="auto"/>
            <w:noWrap/>
            <w:hideMark/>
          </w:tcPr>
          <w:p w:rsidR="001757A7" w:rsidRPr="001757A7" w:rsidRDefault="001757A7" w:rsidP="001757A7">
            <w:pPr>
              <w:jc w:val="right"/>
              <w:rPr>
                <w:color w:val="000000"/>
                <w:sz w:val="20"/>
                <w:lang w:val="es-PY" w:eastAsia="es-PY"/>
              </w:rPr>
            </w:pPr>
            <w:r w:rsidRPr="001757A7">
              <w:rPr>
                <w:color w:val="000000"/>
                <w:sz w:val="20"/>
                <w:lang w:val="es-PY" w:eastAsia="es-PY"/>
              </w:rPr>
              <w:t xml:space="preserve">         2.625.751 </w:t>
            </w:r>
          </w:p>
        </w:tc>
        <w:tc>
          <w:tcPr>
            <w:tcW w:w="1270" w:type="dxa"/>
            <w:tcBorders>
              <w:top w:val="nil"/>
              <w:left w:val="nil"/>
              <w:bottom w:val="single" w:sz="4" w:space="0" w:color="auto"/>
              <w:right w:val="single" w:sz="4" w:space="0" w:color="auto"/>
            </w:tcBorders>
            <w:shd w:val="clear" w:color="auto" w:fill="auto"/>
            <w:noWrap/>
            <w:hideMark/>
          </w:tcPr>
          <w:p w:rsidR="001757A7" w:rsidRPr="001757A7" w:rsidRDefault="001757A7" w:rsidP="00D219B7">
            <w:pPr>
              <w:jc w:val="right"/>
              <w:rPr>
                <w:color w:val="000000"/>
                <w:sz w:val="20"/>
                <w:lang w:val="es-PY" w:eastAsia="es-PY"/>
              </w:rPr>
            </w:pPr>
            <w:r w:rsidRPr="001757A7">
              <w:rPr>
                <w:color w:val="000000"/>
                <w:sz w:val="20"/>
                <w:lang w:val="es-PY" w:eastAsia="es-PY"/>
              </w:rPr>
              <w:t xml:space="preserve">     3.007 </w:t>
            </w:r>
          </w:p>
        </w:tc>
      </w:tr>
      <w:tr w:rsidR="001757A7" w:rsidRPr="001757A7" w:rsidTr="00D219B7">
        <w:trPr>
          <w:trHeight w:val="300"/>
        </w:trPr>
        <w:tc>
          <w:tcPr>
            <w:tcW w:w="1706" w:type="dxa"/>
            <w:tcBorders>
              <w:top w:val="nil"/>
              <w:left w:val="single" w:sz="4" w:space="0" w:color="auto"/>
              <w:bottom w:val="single" w:sz="4" w:space="0" w:color="auto"/>
              <w:right w:val="single" w:sz="4" w:space="0" w:color="auto"/>
            </w:tcBorders>
            <w:shd w:val="clear" w:color="auto" w:fill="auto"/>
            <w:noWrap/>
            <w:hideMark/>
          </w:tcPr>
          <w:p w:rsidR="001757A7" w:rsidRPr="001757A7" w:rsidRDefault="001757A7" w:rsidP="001757A7">
            <w:pPr>
              <w:rPr>
                <w:color w:val="000000"/>
                <w:sz w:val="20"/>
                <w:lang w:val="es-PY" w:eastAsia="es-PY"/>
              </w:rPr>
            </w:pPr>
            <w:r w:rsidRPr="001757A7">
              <w:rPr>
                <w:color w:val="000000"/>
                <w:sz w:val="20"/>
                <w:lang w:val="es-PY" w:eastAsia="es-PY"/>
              </w:rPr>
              <w:t>Caazapá</w:t>
            </w:r>
          </w:p>
        </w:tc>
        <w:tc>
          <w:tcPr>
            <w:tcW w:w="1180" w:type="dxa"/>
            <w:tcBorders>
              <w:top w:val="nil"/>
              <w:left w:val="nil"/>
              <w:bottom w:val="single" w:sz="4" w:space="0" w:color="auto"/>
              <w:right w:val="single" w:sz="4" w:space="0" w:color="auto"/>
            </w:tcBorders>
            <w:shd w:val="clear" w:color="auto" w:fill="auto"/>
            <w:noWrap/>
            <w:hideMark/>
          </w:tcPr>
          <w:p w:rsidR="001757A7" w:rsidRPr="001757A7" w:rsidRDefault="001757A7" w:rsidP="001757A7">
            <w:pPr>
              <w:jc w:val="right"/>
              <w:rPr>
                <w:color w:val="000000"/>
                <w:sz w:val="20"/>
                <w:lang w:val="es-PY" w:eastAsia="es-PY"/>
              </w:rPr>
            </w:pPr>
            <w:r w:rsidRPr="001757A7">
              <w:rPr>
                <w:color w:val="000000"/>
                <w:sz w:val="20"/>
                <w:lang w:val="es-PY" w:eastAsia="es-PY"/>
              </w:rPr>
              <w:t xml:space="preserve">       451,33 </w:t>
            </w:r>
          </w:p>
        </w:tc>
        <w:tc>
          <w:tcPr>
            <w:tcW w:w="1372" w:type="dxa"/>
            <w:tcBorders>
              <w:top w:val="nil"/>
              <w:left w:val="nil"/>
              <w:bottom w:val="single" w:sz="4" w:space="0" w:color="auto"/>
              <w:right w:val="single" w:sz="4" w:space="0" w:color="auto"/>
            </w:tcBorders>
            <w:shd w:val="clear" w:color="auto" w:fill="auto"/>
            <w:noWrap/>
            <w:hideMark/>
          </w:tcPr>
          <w:p w:rsidR="001757A7" w:rsidRPr="001757A7" w:rsidRDefault="001757A7" w:rsidP="001757A7">
            <w:pPr>
              <w:rPr>
                <w:color w:val="000000"/>
                <w:sz w:val="20"/>
                <w:lang w:val="es-PY" w:eastAsia="es-PY"/>
              </w:rPr>
            </w:pPr>
            <w:r w:rsidRPr="001757A7">
              <w:rPr>
                <w:color w:val="000000"/>
                <w:sz w:val="20"/>
                <w:lang w:val="es-PY" w:eastAsia="es-PY"/>
              </w:rPr>
              <w:t xml:space="preserve"> Caazapá </w:t>
            </w:r>
          </w:p>
        </w:tc>
        <w:tc>
          <w:tcPr>
            <w:tcW w:w="1559" w:type="dxa"/>
            <w:tcBorders>
              <w:top w:val="nil"/>
              <w:left w:val="nil"/>
              <w:bottom w:val="single" w:sz="4" w:space="0" w:color="auto"/>
              <w:right w:val="single" w:sz="4" w:space="0" w:color="auto"/>
            </w:tcBorders>
            <w:shd w:val="clear" w:color="auto" w:fill="auto"/>
            <w:noWrap/>
            <w:hideMark/>
          </w:tcPr>
          <w:p w:rsidR="001757A7" w:rsidRPr="001757A7" w:rsidRDefault="001757A7" w:rsidP="00A71497">
            <w:pPr>
              <w:rPr>
                <w:color w:val="000000"/>
                <w:sz w:val="20"/>
                <w:lang w:val="es-PY" w:eastAsia="es-PY"/>
              </w:rPr>
            </w:pPr>
            <w:r w:rsidRPr="001757A7">
              <w:rPr>
                <w:color w:val="000000"/>
                <w:sz w:val="20"/>
                <w:lang w:val="es-PY" w:eastAsia="es-PY"/>
              </w:rPr>
              <w:t xml:space="preserve">   15.185.697.675 </w:t>
            </w:r>
          </w:p>
        </w:tc>
        <w:tc>
          <w:tcPr>
            <w:tcW w:w="1418" w:type="dxa"/>
            <w:tcBorders>
              <w:top w:val="nil"/>
              <w:left w:val="nil"/>
              <w:bottom w:val="single" w:sz="4" w:space="0" w:color="auto"/>
              <w:right w:val="single" w:sz="4" w:space="0" w:color="auto"/>
            </w:tcBorders>
            <w:shd w:val="clear" w:color="auto" w:fill="auto"/>
            <w:noWrap/>
            <w:hideMark/>
          </w:tcPr>
          <w:p w:rsidR="001757A7" w:rsidRPr="001757A7" w:rsidRDefault="001757A7" w:rsidP="001757A7">
            <w:pPr>
              <w:jc w:val="right"/>
              <w:rPr>
                <w:color w:val="000000"/>
                <w:sz w:val="20"/>
                <w:lang w:val="es-PY" w:eastAsia="es-PY"/>
              </w:rPr>
            </w:pPr>
            <w:r w:rsidRPr="001757A7">
              <w:rPr>
                <w:color w:val="000000"/>
                <w:sz w:val="20"/>
                <w:lang w:val="es-PY" w:eastAsia="es-PY"/>
              </w:rPr>
              <w:t xml:space="preserve">         3.466.877 </w:t>
            </w:r>
          </w:p>
        </w:tc>
        <w:tc>
          <w:tcPr>
            <w:tcW w:w="1270" w:type="dxa"/>
            <w:tcBorders>
              <w:top w:val="nil"/>
              <w:left w:val="nil"/>
              <w:bottom w:val="single" w:sz="4" w:space="0" w:color="auto"/>
              <w:right w:val="single" w:sz="4" w:space="0" w:color="auto"/>
            </w:tcBorders>
            <w:shd w:val="clear" w:color="auto" w:fill="auto"/>
            <w:noWrap/>
            <w:hideMark/>
          </w:tcPr>
          <w:p w:rsidR="001757A7" w:rsidRPr="001757A7" w:rsidRDefault="001757A7" w:rsidP="00D219B7">
            <w:pPr>
              <w:jc w:val="right"/>
              <w:rPr>
                <w:color w:val="000000"/>
                <w:sz w:val="20"/>
                <w:lang w:val="es-PY" w:eastAsia="es-PY"/>
              </w:rPr>
            </w:pPr>
            <w:r w:rsidRPr="001757A7">
              <w:rPr>
                <w:color w:val="000000"/>
                <w:sz w:val="20"/>
                <w:lang w:val="es-PY" w:eastAsia="es-PY"/>
              </w:rPr>
              <w:t xml:space="preserve">       3.841 </w:t>
            </w:r>
          </w:p>
        </w:tc>
      </w:tr>
      <w:tr w:rsidR="001757A7" w:rsidRPr="001757A7" w:rsidTr="00D219B7">
        <w:trPr>
          <w:trHeight w:val="300"/>
        </w:trPr>
        <w:tc>
          <w:tcPr>
            <w:tcW w:w="1706" w:type="dxa"/>
            <w:tcBorders>
              <w:top w:val="nil"/>
              <w:left w:val="single" w:sz="4" w:space="0" w:color="auto"/>
              <w:bottom w:val="single" w:sz="4" w:space="0" w:color="auto"/>
              <w:right w:val="single" w:sz="4" w:space="0" w:color="auto"/>
            </w:tcBorders>
            <w:shd w:val="clear" w:color="auto" w:fill="auto"/>
            <w:noWrap/>
            <w:hideMark/>
          </w:tcPr>
          <w:p w:rsidR="001757A7" w:rsidRPr="001757A7" w:rsidRDefault="001757A7" w:rsidP="001757A7">
            <w:pPr>
              <w:rPr>
                <w:color w:val="000000"/>
                <w:sz w:val="20"/>
                <w:lang w:val="es-PY" w:eastAsia="es-PY"/>
              </w:rPr>
            </w:pPr>
            <w:r w:rsidRPr="001757A7">
              <w:rPr>
                <w:color w:val="000000"/>
                <w:sz w:val="20"/>
                <w:lang w:val="es-PY" w:eastAsia="es-PY"/>
              </w:rPr>
              <w:t>Guairá</w:t>
            </w:r>
          </w:p>
        </w:tc>
        <w:tc>
          <w:tcPr>
            <w:tcW w:w="1180" w:type="dxa"/>
            <w:tcBorders>
              <w:top w:val="nil"/>
              <w:left w:val="nil"/>
              <w:bottom w:val="single" w:sz="4" w:space="0" w:color="auto"/>
              <w:right w:val="single" w:sz="4" w:space="0" w:color="auto"/>
            </w:tcBorders>
            <w:shd w:val="clear" w:color="auto" w:fill="auto"/>
            <w:noWrap/>
            <w:hideMark/>
          </w:tcPr>
          <w:p w:rsidR="001757A7" w:rsidRPr="001757A7" w:rsidRDefault="001757A7" w:rsidP="001757A7">
            <w:pPr>
              <w:jc w:val="right"/>
              <w:rPr>
                <w:color w:val="000000"/>
                <w:sz w:val="20"/>
                <w:lang w:val="es-PY" w:eastAsia="es-PY"/>
              </w:rPr>
            </w:pPr>
            <w:r w:rsidRPr="001757A7">
              <w:rPr>
                <w:color w:val="000000"/>
                <w:sz w:val="20"/>
                <w:lang w:val="es-PY" w:eastAsia="es-PY"/>
              </w:rPr>
              <w:t xml:space="preserve">       321,53 </w:t>
            </w:r>
          </w:p>
        </w:tc>
        <w:tc>
          <w:tcPr>
            <w:tcW w:w="1372" w:type="dxa"/>
            <w:tcBorders>
              <w:top w:val="nil"/>
              <w:left w:val="nil"/>
              <w:bottom w:val="single" w:sz="4" w:space="0" w:color="auto"/>
              <w:right w:val="single" w:sz="4" w:space="0" w:color="auto"/>
            </w:tcBorders>
            <w:shd w:val="clear" w:color="auto" w:fill="auto"/>
            <w:noWrap/>
            <w:hideMark/>
          </w:tcPr>
          <w:p w:rsidR="001757A7" w:rsidRPr="001757A7" w:rsidRDefault="001757A7" w:rsidP="001757A7">
            <w:pPr>
              <w:rPr>
                <w:color w:val="000000"/>
                <w:sz w:val="20"/>
                <w:lang w:val="es-PY" w:eastAsia="es-PY"/>
              </w:rPr>
            </w:pPr>
            <w:r w:rsidRPr="001757A7">
              <w:rPr>
                <w:color w:val="000000"/>
                <w:sz w:val="20"/>
                <w:lang w:val="es-PY" w:eastAsia="es-PY"/>
              </w:rPr>
              <w:t xml:space="preserve"> Borja </w:t>
            </w:r>
          </w:p>
        </w:tc>
        <w:tc>
          <w:tcPr>
            <w:tcW w:w="1559" w:type="dxa"/>
            <w:tcBorders>
              <w:top w:val="nil"/>
              <w:left w:val="nil"/>
              <w:bottom w:val="single" w:sz="4" w:space="0" w:color="auto"/>
              <w:right w:val="single" w:sz="4" w:space="0" w:color="auto"/>
            </w:tcBorders>
            <w:shd w:val="clear" w:color="auto" w:fill="auto"/>
            <w:noWrap/>
            <w:hideMark/>
          </w:tcPr>
          <w:p w:rsidR="001757A7" w:rsidRPr="001757A7" w:rsidRDefault="001757A7" w:rsidP="00A71497">
            <w:pPr>
              <w:rPr>
                <w:color w:val="000000"/>
                <w:sz w:val="20"/>
                <w:lang w:val="es-PY" w:eastAsia="es-PY"/>
              </w:rPr>
            </w:pPr>
            <w:r w:rsidRPr="001757A7">
              <w:rPr>
                <w:color w:val="000000"/>
                <w:sz w:val="20"/>
                <w:lang w:val="es-PY" w:eastAsia="es-PY"/>
              </w:rPr>
              <w:t xml:space="preserve">   14.034.474.481 </w:t>
            </w:r>
          </w:p>
        </w:tc>
        <w:tc>
          <w:tcPr>
            <w:tcW w:w="1418" w:type="dxa"/>
            <w:tcBorders>
              <w:top w:val="nil"/>
              <w:left w:val="nil"/>
              <w:bottom w:val="single" w:sz="4" w:space="0" w:color="auto"/>
              <w:right w:val="single" w:sz="4" w:space="0" w:color="auto"/>
            </w:tcBorders>
            <w:shd w:val="clear" w:color="auto" w:fill="auto"/>
            <w:noWrap/>
            <w:hideMark/>
          </w:tcPr>
          <w:p w:rsidR="001757A7" w:rsidRPr="001757A7" w:rsidRDefault="001757A7" w:rsidP="001757A7">
            <w:pPr>
              <w:jc w:val="right"/>
              <w:rPr>
                <w:color w:val="000000"/>
                <w:sz w:val="20"/>
                <w:lang w:val="es-PY" w:eastAsia="es-PY"/>
              </w:rPr>
            </w:pPr>
            <w:r w:rsidRPr="001757A7">
              <w:rPr>
                <w:color w:val="000000"/>
                <w:sz w:val="20"/>
                <w:lang w:val="es-PY" w:eastAsia="es-PY"/>
              </w:rPr>
              <w:t xml:space="preserve">         3.148.320 </w:t>
            </w:r>
          </w:p>
        </w:tc>
        <w:tc>
          <w:tcPr>
            <w:tcW w:w="1270" w:type="dxa"/>
            <w:tcBorders>
              <w:top w:val="nil"/>
              <w:left w:val="nil"/>
              <w:bottom w:val="single" w:sz="4" w:space="0" w:color="auto"/>
              <w:right w:val="single" w:sz="4" w:space="0" w:color="auto"/>
            </w:tcBorders>
            <w:shd w:val="clear" w:color="auto" w:fill="auto"/>
            <w:noWrap/>
            <w:hideMark/>
          </w:tcPr>
          <w:p w:rsidR="001757A7" w:rsidRPr="001757A7" w:rsidRDefault="001757A7" w:rsidP="00D219B7">
            <w:pPr>
              <w:jc w:val="right"/>
              <w:rPr>
                <w:color w:val="000000"/>
                <w:sz w:val="20"/>
                <w:lang w:val="es-PY" w:eastAsia="es-PY"/>
              </w:rPr>
            </w:pPr>
            <w:r w:rsidRPr="001757A7">
              <w:rPr>
                <w:color w:val="000000"/>
                <w:sz w:val="20"/>
                <w:lang w:val="es-PY" w:eastAsia="es-PY"/>
              </w:rPr>
              <w:t xml:space="preserve">          4.896 </w:t>
            </w:r>
          </w:p>
        </w:tc>
      </w:tr>
      <w:tr w:rsidR="001757A7" w:rsidRPr="001757A7" w:rsidTr="00D219B7">
        <w:trPr>
          <w:trHeight w:val="273"/>
        </w:trPr>
        <w:tc>
          <w:tcPr>
            <w:tcW w:w="1706" w:type="dxa"/>
            <w:tcBorders>
              <w:top w:val="nil"/>
              <w:left w:val="single" w:sz="4" w:space="0" w:color="auto"/>
              <w:bottom w:val="single" w:sz="4" w:space="0" w:color="auto"/>
              <w:right w:val="single" w:sz="4" w:space="0" w:color="auto"/>
            </w:tcBorders>
            <w:shd w:val="clear" w:color="auto" w:fill="auto"/>
            <w:noWrap/>
            <w:hideMark/>
          </w:tcPr>
          <w:p w:rsidR="001757A7" w:rsidRPr="001757A7" w:rsidRDefault="001757A7" w:rsidP="001757A7">
            <w:pPr>
              <w:rPr>
                <w:b/>
                <w:bCs/>
                <w:color w:val="000000"/>
                <w:sz w:val="20"/>
                <w:lang w:val="es-PY" w:eastAsia="es-PY"/>
              </w:rPr>
            </w:pPr>
            <w:r w:rsidRPr="001757A7">
              <w:rPr>
                <w:b/>
                <w:bCs/>
                <w:color w:val="000000"/>
                <w:sz w:val="20"/>
                <w:lang w:val="es-PY" w:eastAsia="es-PY"/>
              </w:rPr>
              <w:t>Suma</w:t>
            </w:r>
          </w:p>
        </w:tc>
        <w:tc>
          <w:tcPr>
            <w:tcW w:w="1180" w:type="dxa"/>
            <w:tcBorders>
              <w:top w:val="nil"/>
              <w:left w:val="nil"/>
              <w:bottom w:val="double" w:sz="6" w:space="0" w:color="auto"/>
              <w:right w:val="single" w:sz="4" w:space="0" w:color="auto"/>
            </w:tcBorders>
            <w:shd w:val="clear" w:color="auto" w:fill="auto"/>
            <w:noWrap/>
            <w:hideMark/>
          </w:tcPr>
          <w:p w:rsidR="001757A7" w:rsidRPr="001757A7" w:rsidRDefault="001757A7" w:rsidP="001757A7">
            <w:pPr>
              <w:jc w:val="right"/>
              <w:rPr>
                <w:b/>
                <w:bCs/>
                <w:color w:val="000000"/>
                <w:sz w:val="20"/>
                <w:lang w:val="es-PY" w:eastAsia="es-PY"/>
              </w:rPr>
            </w:pPr>
            <w:r w:rsidRPr="001757A7">
              <w:rPr>
                <w:b/>
                <w:bCs/>
                <w:color w:val="000000"/>
                <w:sz w:val="20"/>
                <w:lang w:val="es-PY" w:eastAsia="es-PY"/>
              </w:rPr>
              <w:t xml:space="preserve">   2.141,25 </w:t>
            </w:r>
          </w:p>
        </w:tc>
        <w:tc>
          <w:tcPr>
            <w:tcW w:w="1372" w:type="dxa"/>
            <w:tcBorders>
              <w:top w:val="nil"/>
              <w:left w:val="nil"/>
              <w:bottom w:val="single" w:sz="4" w:space="0" w:color="auto"/>
              <w:right w:val="single" w:sz="4" w:space="0" w:color="auto"/>
            </w:tcBorders>
            <w:shd w:val="clear" w:color="auto" w:fill="auto"/>
            <w:noWrap/>
            <w:vAlign w:val="center"/>
            <w:hideMark/>
          </w:tcPr>
          <w:p w:rsidR="001757A7" w:rsidRPr="001757A7" w:rsidRDefault="001757A7" w:rsidP="001757A7">
            <w:pPr>
              <w:jc w:val="center"/>
              <w:rPr>
                <w:b/>
                <w:bCs/>
                <w:color w:val="000000"/>
                <w:sz w:val="20"/>
                <w:lang w:val="es-PY" w:eastAsia="es-PY"/>
              </w:rPr>
            </w:pPr>
            <w:r w:rsidRPr="001757A7">
              <w:rPr>
                <w:b/>
                <w:bCs/>
                <w:color w:val="000000"/>
                <w:sz w:val="20"/>
                <w:lang w:val="es-PY" w:eastAsia="es-PY"/>
              </w:rPr>
              <w:t xml:space="preserve"> --- </w:t>
            </w:r>
          </w:p>
        </w:tc>
        <w:tc>
          <w:tcPr>
            <w:tcW w:w="1559" w:type="dxa"/>
            <w:tcBorders>
              <w:top w:val="nil"/>
              <w:left w:val="nil"/>
              <w:bottom w:val="double" w:sz="6" w:space="0" w:color="auto"/>
              <w:right w:val="single" w:sz="4" w:space="0" w:color="auto"/>
            </w:tcBorders>
            <w:shd w:val="clear" w:color="auto" w:fill="auto"/>
            <w:noWrap/>
            <w:hideMark/>
          </w:tcPr>
          <w:p w:rsidR="001757A7" w:rsidRPr="001757A7" w:rsidRDefault="001757A7" w:rsidP="001757A7">
            <w:pPr>
              <w:jc w:val="right"/>
              <w:rPr>
                <w:b/>
                <w:bCs/>
                <w:color w:val="000000"/>
                <w:sz w:val="20"/>
                <w:lang w:val="es-PY" w:eastAsia="es-PY"/>
              </w:rPr>
            </w:pPr>
            <w:r w:rsidRPr="001757A7">
              <w:rPr>
                <w:b/>
                <w:bCs/>
                <w:color w:val="000000"/>
                <w:sz w:val="20"/>
                <w:lang w:val="es-PY" w:eastAsia="es-PY"/>
              </w:rPr>
              <w:t xml:space="preserve">   60.602.161.722 </w:t>
            </w:r>
          </w:p>
        </w:tc>
        <w:tc>
          <w:tcPr>
            <w:tcW w:w="1418" w:type="dxa"/>
            <w:tcBorders>
              <w:top w:val="nil"/>
              <w:left w:val="nil"/>
              <w:bottom w:val="double" w:sz="6" w:space="0" w:color="auto"/>
              <w:right w:val="single" w:sz="4" w:space="0" w:color="auto"/>
            </w:tcBorders>
            <w:shd w:val="clear" w:color="auto" w:fill="auto"/>
            <w:noWrap/>
            <w:hideMark/>
          </w:tcPr>
          <w:p w:rsidR="001757A7" w:rsidRPr="001757A7" w:rsidRDefault="001757A7" w:rsidP="001757A7">
            <w:pPr>
              <w:jc w:val="right"/>
              <w:rPr>
                <w:b/>
                <w:bCs/>
                <w:color w:val="000000"/>
                <w:sz w:val="20"/>
                <w:lang w:val="es-PY" w:eastAsia="es-PY"/>
              </w:rPr>
            </w:pPr>
            <w:r w:rsidRPr="001757A7">
              <w:rPr>
                <w:b/>
                <w:bCs/>
                <w:color w:val="000000"/>
                <w:sz w:val="20"/>
                <w:lang w:val="es-PY" w:eastAsia="es-PY"/>
              </w:rPr>
              <w:t xml:space="preserve">     13.806.558 </w:t>
            </w:r>
          </w:p>
        </w:tc>
        <w:tc>
          <w:tcPr>
            <w:tcW w:w="1270" w:type="dxa"/>
            <w:tcBorders>
              <w:top w:val="nil"/>
              <w:left w:val="nil"/>
              <w:bottom w:val="single" w:sz="4" w:space="0" w:color="auto"/>
              <w:right w:val="single" w:sz="4" w:space="0" w:color="auto"/>
            </w:tcBorders>
            <w:shd w:val="clear" w:color="auto" w:fill="auto"/>
            <w:noWrap/>
            <w:hideMark/>
          </w:tcPr>
          <w:p w:rsidR="001757A7" w:rsidRPr="001757A7" w:rsidRDefault="001757A7" w:rsidP="00D219B7">
            <w:pPr>
              <w:jc w:val="right"/>
              <w:rPr>
                <w:b/>
                <w:bCs/>
                <w:color w:val="000000"/>
                <w:sz w:val="20"/>
                <w:lang w:val="es-PY" w:eastAsia="es-PY"/>
              </w:rPr>
            </w:pPr>
            <w:r w:rsidRPr="001757A7">
              <w:rPr>
                <w:b/>
                <w:bCs/>
                <w:color w:val="000000"/>
                <w:sz w:val="20"/>
                <w:lang w:val="es-PY" w:eastAsia="es-PY"/>
              </w:rPr>
              <w:t xml:space="preserve">     3.224 </w:t>
            </w:r>
          </w:p>
        </w:tc>
      </w:tr>
    </w:tbl>
    <w:p w:rsidR="001757A7" w:rsidRDefault="00BA22DC" w:rsidP="00BA22DC">
      <w:pPr>
        <w:numPr>
          <w:ilvl w:val="1"/>
          <w:numId w:val="1"/>
        </w:numPr>
        <w:tabs>
          <w:tab w:val="clear" w:pos="360"/>
          <w:tab w:val="num" w:pos="709"/>
        </w:tabs>
        <w:spacing w:before="240" w:after="120" w:line="240" w:lineRule="atLeast"/>
        <w:ind w:left="709" w:hanging="709"/>
        <w:jc w:val="both"/>
        <w:rPr>
          <w:bCs/>
        </w:rPr>
      </w:pPr>
      <w:r w:rsidRPr="00BA22DC">
        <w:rPr>
          <w:bCs/>
        </w:rPr>
        <w:t xml:space="preserve">En la modalidad </w:t>
      </w:r>
      <w:r w:rsidR="001757A7">
        <w:rPr>
          <w:bCs/>
        </w:rPr>
        <w:t>p</w:t>
      </w:r>
      <w:r w:rsidRPr="00BA22DC">
        <w:rPr>
          <w:bCs/>
        </w:rPr>
        <w:t>or Convenio con Gobiernos Locales</w:t>
      </w:r>
      <w:r w:rsidR="001757A7">
        <w:rPr>
          <w:bCs/>
        </w:rPr>
        <w:t xml:space="preserve"> también se incluyen los costos de las Asociaciones de Conservación Vial (microempresas). El impacto de las mismas en el costo de la modalidad se presenta seguidamente.</w:t>
      </w:r>
    </w:p>
    <w:tbl>
      <w:tblPr>
        <w:tblW w:w="9083" w:type="dxa"/>
        <w:tblInd w:w="65" w:type="dxa"/>
        <w:tblCellMar>
          <w:left w:w="70" w:type="dxa"/>
          <w:right w:w="70" w:type="dxa"/>
        </w:tblCellMar>
        <w:tblLook w:val="04A0" w:firstRow="1" w:lastRow="0" w:firstColumn="1" w:lastColumn="0" w:noHBand="0" w:noVBand="1"/>
      </w:tblPr>
      <w:tblGrid>
        <w:gridCol w:w="1565"/>
        <w:gridCol w:w="1180"/>
        <w:gridCol w:w="1371"/>
        <w:gridCol w:w="1276"/>
        <w:gridCol w:w="1275"/>
        <w:gridCol w:w="1196"/>
        <w:gridCol w:w="1220"/>
      </w:tblGrid>
      <w:tr w:rsidR="00A71497" w:rsidRPr="00A71497" w:rsidTr="006D5F91">
        <w:tc>
          <w:tcPr>
            <w:tcW w:w="1565" w:type="dxa"/>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A71497" w:rsidRPr="00A71497" w:rsidRDefault="00A71497" w:rsidP="00A71497">
            <w:pPr>
              <w:jc w:val="center"/>
              <w:rPr>
                <w:b/>
                <w:bCs/>
                <w:color w:val="000000"/>
                <w:sz w:val="20"/>
                <w:lang w:val="es-PY" w:eastAsia="es-PY"/>
              </w:rPr>
            </w:pPr>
            <w:r w:rsidRPr="00A71497">
              <w:rPr>
                <w:b/>
                <w:bCs/>
                <w:color w:val="000000"/>
                <w:sz w:val="20"/>
                <w:lang w:val="es-PY" w:eastAsia="es-PY"/>
              </w:rPr>
              <w:t>Área geográfica</w:t>
            </w:r>
          </w:p>
        </w:tc>
        <w:tc>
          <w:tcPr>
            <w:tcW w:w="118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A71497" w:rsidRPr="00A71497" w:rsidRDefault="00A71497" w:rsidP="00A71497">
            <w:pPr>
              <w:jc w:val="center"/>
              <w:rPr>
                <w:b/>
                <w:bCs/>
                <w:color w:val="000000"/>
                <w:sz w:val="20"/>
                <w:lang w:val="es-PY" w:eastAsia="es-PY"/>
              </w:rPr>
            </w:pPr>
            <w:r w:rsidRPr="00A71497">
              <w:rPr>
                <w:b/>
                <w:bCs/>
                <w:color w:val="000000"/>
                <w:sz w:val="20"/>
                <w:lang w:val="es-PY" w:eastAsia="es-PY"/>
              </w:rPr>
              <w:t>Extensión (km)</w:t>
            </w:r>
          </w:p>
        </w:tc>
        <w:tc>
          <w:tcPr>
            <w:tcW w:w="1371"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A71497" w:rsidRPr="00A71497" w:rsidRDefault="00A71497" w:rsidP="00A71497">
            <w:pPr>
              <w:jc w:val="center"/>
              <w:rPr>
                <w:b/>
                <w:bCs/>
                <w:color w:val="000000"/>
                <w:sz w:val="20"/>
                <w:lang w:val="es-PY" w:eastAsia="es-PY"/>
              </w:rPr>
            </w:pPr>
            <w:r w:rsidRPr="00A71497">
              <w:rPr>
                <w:b/>
                <w:bCs/>
                <w:color w:val="000000"/>
                <w:sz w:val="20"/>
                <w:lang w:val="es-PY" w:eastAsia="es-PY"/>
              </w:rPr>
              <w:t>Entidad Ejecutora</w:t>
            </w:r>
          </w:p>
        </w:tc>
        <w:tc>
          <w:tcPr>
            <w:tcW w:w="2551" w:type="dxa"/>
            <w:gridSpan w:val="2"/>
            <w:tcBorders>
              <w:top w:val="single" w:sz="4" w:space="0" w:color="auto"/>
              <w:left w:val="nil"/>
              <w:bottom w:val="single" w:sz="4" w:space="0" w:color="auto"/>
              <w:right w:val="single" w:sz="4" w:space="0" w:color="000000"/>
            </w:tcBorders>
            <w:shd w:val="clear" w:color="000000" w:fill="FDE9D9"/>
            <w:noWrap/>
            <w:vAlign w:val="center"/>
            <w:hideMark/>
          </w:tcPr>
          <w:p w:rsidR="00A71497" w:rsidRPr="00A71497" w:rsidRDefault="00A71497" w:rsidP="00A71497">
            <w:pPr>
              <w:jc w:val="center"/>
              <w:rPr>
                <w:b/>
                <w:bCs/>
                <w:color w:val="000000"/>
                <w:sz w:val="20"/>
                <w:lang w:val="es-PY" w:eastAsia="es-PY"/>
              </w:rPr>
            </w:pPr>
            <w:r w:rsidRPr="00A71497">
              <w:rPr>
                <w:b/>
                <w:bCs/>
                <w:color w:val="000000"/>
                <w:sz w:val="20"/>
                <w:lang w:val="es-PY" w:eastAsia="es-PY"/>
              </w:rPr>
              <w:t xml:space="preserve"> Convenio </w:t>
            </w:r>
          </w:p>
        </w:tc>
        <w:tc>
          <w:tcPr>
            <w:tcW w:w="2416" w:type="dxa"/>
            <w:gridSpan w:val="2"/>
            <w:tcBorders>
              <w:top w:val="single" w:sz="4" w:space="0" w:color="auto"/>
              <w:left w:val="nil"/>
              <w:bottom w:val="single" w:sz="4" w:space="0" w:color="auto"/>
              <w:right w:val="single" w:sz="4" w:space="0" w:color="000000"/>
            </w:tcBorders>
            <w:shd w:val="clear" w:color="000000" w:fill="FDE9D9"/>
            <w:noWrap/>
            <w:vAlign w:val="center"/>
            <w:hideMark/>
          </w:tcPr>
          <w:p w:rsidR="00A71497" w:rsidRPr="00A71497" w:rsidRDefault="00A71497" w:rsidP="00A71497">
            <w:pPr>
              <w:jc w:val="center"/>
              <w:rPr>
                <w:b/>
                <w:bCs/>
                <w:color w:val="000000"/>
                <w:sz w:val="20"/>
                <w:lang w:val="es-PY" w:eastAsia="es-PY"/>
              </w:rPr>
            </w:pPr>
            <w:r w:rsidRPr="00A71497">
              <w:rPr>
                <w:b/>
                <w:bCs/>
                <w:color w:val="000000"/>
                <w:sz w:val="20"/>
                <w:lang w:val="es-PY" w:eastAsia="es-PY"/>
              </w:rPr>
              <w:t xml:space="preserve"> ACV </w:t>
            </w:r>
          </w:p>
        </w:tc>
      </w:tr>
      <w:tr w:rsidR="00A71497" w:rsidRPr="00A71497" w:rsidTr="006D5F91">
        <w:tc>
          <w:tcPr>
            <w:tcW w:w="1565" w:type="dxa"/>
            <w:vMerge/>
            <w:tcBorders>
              <w:top w:val="single" w:sz="4" w:space="0" w:color="auto"/>
              <w:left w:val="single" w:sz="4" w:space="0" w:color="auto"/>
              <w:bottom w:val="single" w:sz="4" w:space="0" w:color="auto"/>
              <w:right w:val="single" w:sz="4" w:space="0" w:color="auto"/>
            </w:tcBorders>
            <w:vAlign w:val="center"/>
            <w:hideMark/>
          </w:tcPr>
          <w:p w:rsidR="00A71497" w:rsidRPr="00A71497" w:rsidRDefault="00A71497" w:rsidP="00A71497">
            <w:pPr>
              <w:rPr>
                <w:b/>
                <w:bCs/>
                <w:color w:val="000000"/>
                <w:sz w:val="20"/>
                <w:lang w:val="es-PY" w:eastAsia="es-PY"/>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A71497" w:rsidRPr="00A71497" w:rsidRDefault="00A71497" w:rsidP="00A71497">
            <w:pPr>
              <w:rPr>
                <w:b/>
                <w:bCs/>
                <w:color w:val="000000"/>
                <w:sz w:val="20"/>
                <w:lang w:val="es-PY" w:eastAsia="es-PY"/>
              </w:rPr>
            </w:pPr>
          </w:p>
        </w:tc>
        <w:tc>
          <w:tcPr>
            <w:tcW w:w="1371" w:type="dxa"/>
            <w:vMerge/>
            <w:tcBorders>
              <w:top w:val="single" w:sz="4" w:space="0" w:color="auto"/>
              <w:left w:val="single" w:sz="4" w:space="0" w:color="auto"/>
              <w:bottom w:val="single" w:sz="4" w:space="0" w:color="000000"/>
              <w:right w:val="single" w:sz="4" w:space="0" w:color="auto"/>
            </w:tcBorders>
            <w:vAlign w:val="center"/>
            <w:hideMark/>
          </w:tcPr>
          <w:p w:rsidR="00A71497" w:rsidRPr="00A71497" w:rsidRDefault="00A71497" w:rsidP="00A71497">
            <w:pPr>
              <w:rPr>
                <w:b/>
                <w:bCs/>
                <w:color w:val="000000"/>
                <w:sz w:val="20"/>
                <w:lang w:val="es-PY" w:eastAsia="es-PY"/>
              </w:rPr>
            </w:pPr>
          </w:p>
        </w:tc>
        <w:tc>
          <w:tcPr>
            <w:tcW w:w="1276" w:type="dxa"/>
            <w:tcBorders>
              <w:top w:val="nil"/>
              <w:left w:val="nil"/>
              <w:bottom w:val="single" w:sz="4" w:space="0" w:color="auto"/>
              <w:right w:val="single" w:sz="4" w:space="0" w:color="auto"/>
            </w:tcBorders>
            <w:shd w:val="clear" w:color="000000" w:fill="FDE9D9"/>
            <w:vAlign w:val="center"/>
            <w:hideMark/>
          </w:tcPr>
          <w:p w:rsidR="00A71497" w:rsidRPr="00A71497" w:rsidRDefault="00A71497" w:rsidP="00A71497">
            <w:pPr>
              <w:rPr>
                <w:b/>
                <w:bCs/>
                <w:color w:val="000000"/>
                <w:sz w:val="20"/>
                <w:lang w:val="es-PY" w:eastAsia="es-PY"/>
              </w:rPr>
            </w:pPr>
            <w:r w:rsidRPr="00A71497">
              <w:rPr>
                <w:b/>
                <w:bCs/>
                <w:color w:val="000000"/>
                <w:sz w:val="20"/>
                <w:lang w:val="es-PY" w:eastAsia="es-PY"/>
              </w:rPr>
              <w:t xml:space="preserve"> Total (US$) </w:t>
            </w:r>
          </w:p>
        </w:tc>
        <w:tc>
          <w:tcPr>
            <w:tcW w:w="1275" w:type="dxa"/>
            <w:tcBorders>
              <w:top w:val="nil"/>
              <w:left w:val="nil"/>
              <w:bottom w:val="single" w:sz="4" w:space="0" w:color="auto"/>
              <w:right w:val="nil"/>
            </w:tcBorders>
            <w:shd w:val="clear" w:color="000000" w:fill="FDE9D9"/>
            <w:vAlign w:val="center"/>
            <w:hideMark/>
          </w:tcPr>
          <w:p w:rsidR="00A71497" w:rsidRPr="00A71497" w:rsidRDefault="00A71497" w:rsidP="00A71497">
            <w:pPr>
              <w:rPr>
                <w:b/>
                <w:bCs/>
                <w:color w:val="000000"/>
                <w:sz w:val="20"/>
                <w:lang w:val="es-PY" w:eastAsia="es-PY"/>
              </w:rPr>
            </w:pPr>
            <w:r w:rsidRPr="00A71497">
              <w:rPr>
                <w:b/>
                <w:bCs/>
                <w:color w:val="000000"/>
                <w:sz w:val="20"/>
                <w:lang w:val="es-PY" w:eastAsia="es-PY"/>
              </w:rPr>
              <w:t xml:space="preserve"> US$/km/año </w:t>
            </w:r>
          </w:p>
        </w:tc>
        <w:tc>
          <w:tcPr>
            <w:tcW w:w="1196" w:type="dxa"/>
            <w:tcBorders>
              <w:top w:val="nil"/>
              <w:left w:val="single" w:sz="4" w:space="0" w:color="auto"/>
              <w:bottom w:val="single" w:sz="4" w:space="0" w:color="auto"/>
              <w:right w:val="single" w:sz="4" w:space="0" w:color="auto"/>
            </w:tcBorders>
            <w:shd w:val="clear" w:color="000000" w:fill="FDE9D9"/>
            <w:vAlign w:val="center"/>
            <w:hideMark/>
          </w:tcPr>
          <w:p w:rsidR="00A71497" w:rsidRPr="00A71497" w:rsidRDefault="006D5F91" w:rsidP="006D5F91">
            <w:pPr>
              <w:rPr>
                <w:b/>
                <w:bCs/>
                <w:color w:val="000000"/>
                <w:sz w:val="20"/>
                <w:lang w:val="es-PY" w:eastAsia="es-PY"/>
              </w:rPr>
            </w:pPr>
            <w:r>
              <w:rPr>
                <w:b/>
                <w:bCs/>
                <w:color w:val="000000"/>
                <w:sz w:val="20"/>
                <w:lang w:val="es-PY" w:eastAsia="es-PY"/>
              </w:rPr>
              <w:t>U</w:t>
            </w:r>
            <w:r w:rsidR="00A71497" w:rsidRPr="00A71497">
              <w:rPr>
                <w:b/>
                <w:bCs/>
                <w:color w:val="000000"/>
                <w:sz w:val="20"/>
                <w:lang w:val="es-PY" w:eastAsia="es-PY"/>
              </w:rPr>
              <w:t xml:space="preserve">S$/km/año </w:t>
            </w:r>
          </w:p>
        </w:tc>
        <w:tc>
          <w:tcPr>
            <w:tcW w:w="1220" w:type="dxa"/>
            <w:tcBorders>
              <w:top w:val="nil"/>
              <w:left w:val="nil"/>
              <w:bottom w:val="single" w:sz="4" w:space="0" w:color="auto"/>
              <w:right w:val="single" w:sz="4" w:space="0" w:color="auto"/>
            </w:tcBorders>
            <w:shd w:val="clear" w:color="000000" w:fill="FDE9D9"/>
            <w:vAlign w:val="center"/>
            <w:hideMark/>
          </w:tcPr>
          <w:p w:rsidR="00A71497" w:rsidRPr="00A71497" w:rsidRDefault="00A71497" w:rsidP="00A71497">
            <w:pPr>
              <w:jc w:val="center"/>
              <w:rPr>
                <w:b/>
                <w:bCs/>
                <w:color w:val="000000"/>
                <w:sz w:val="20"/>
                <w:lang w:val="es-PY" w:eastAsia="es-PY"/>
              </w:rPr>
            </w:pPr>
            <w:r w:rsidRPr="00A71497">
              <w:rPr>
                <w:b/>
                <w:bCs/>
                <w:color w:val="000000"/>
                <w:sz w:val="20"/>
                <w:lang w:val="es-PY" w:eastAsia="es-PY"/>
              </w:rPr>
              <w:t xml:space="preserve"> Incidencia % </w:t>
            </w:r>
          </w:p>
        </w:tc>
      </w:tr>
      <w:tr w:rsidR="00A71497" w:rsidRPr="00A71497" w:rsidTr="006D5F91">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A71497" w:rsidRPr="00A71497" w:rsidRDefault="00A71497" w:rsidP="00A71497">
            <w:pPr>
              <w:rPr>
                <w:color w:val="000000"/>
                <w:sz w:val="20"/>
                <w:lang w:val="es-PY" w:eastAsia="es-PY"/>
              </w:rPr>
            </w:pPr>
            <w:r w:rsidRPr="006D5F91">
              <w:rPr>
                <w:color w:val="000000"/>
                <w:sz w:val="20"/>
                <w:lang w:val="es-PY" w:eastAsia="es-PY"/>
              </w:rPr>
              <w:t>Itapúa</w:t>
            </w:r>
          </w:p>
        </w:tc>
        <w:tc>
          <w:tcPr>
            <w:tcW w:w="1180"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A71497">
            <w:pPr>
              <w:rPr>
                <w:color w:val="000000"/>
                <w:sz w:val="20"/>
                <w:lang w:val="es-PY" w:eastAsia="es-PY"/>
              </w:rPr>
            </w:pPr>
            <w:r w:rsidRPr="00A71497">
              <w:rPr>
                <w:color w:val="000000"/>
                <w:sz w:val="20"/>
                <w:lang w:val="es-PY" w:eastAsia="es-PY"/>
              </w:rPr>
              <w:t xml:space="preserve">       427,64 </w:t>
            </w:r>
          </w:p>
        </w:tc>
        <w:tc>
          <w:tcPr>
            <w:tcW w:w="1371"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A71497">
            <w:pPr>
              <w:rPr>
                <w:color w:val="000000"/>
                <w:sz w:val="20"/>
                <w:lang w:val="es-PY" w:eastAsia="es-PY"/>
              </w:rPr>
            </w:pPr>
            <w:r w:rsidRPr="00A71497">
              <w:rPr>
                <w:color w:val="000000"/>
                <w:sz w:val="20"/>
                <w:lang w:val="es-PY" w:eastAsia="es-PY"/>
              </w:rPr>
              <w:t xml:space="preserve">Trinidad </w:t>
            </w:r>
          </w:p>
        </w:tc>
        <w:tc>
          <w:tcPr>
            <w:tcW w:w="1276"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6D5F91">
            <w:pPr>
              <w:jc w:val="right"/>
              <w:rPr>
                <w:color w:val="000000"/>
                <w:sz w:val="20"/>
                <w:lang w:val="es-PY" w:eastAsia="es-PY"/>
              </w:rPr>
            </w:pPr>
            <w:r w:rsidRPr="00A71497">
              <w:rPr>
                <w:color w:val="000000"/>
                <w:sz w:val="20"/>
                <w:lang w:val="es-PY" w:eastAsia="es-PY"/>
              </w:rPr>
              <w:t xml:space="preserve">      2.054.933 </w:t>
            </w:r>
          </w:p>
        </w:tc>
        <w:tc>
          <w:tcPr>
            <w:tcW w:w="1275" w:type="dxa"/>
            <w:tcBorders>
              <w:top w:val="nil"/>
              <w:left w:val="nil"/>
              <w:bottom w:val="single" w:sz="4" w:space="0" w:color="auto"/>
              <w:right w:val="nil"/>
            </w:tcBorders>
            <w:shd w:val="clear" w:color="auto" w:fill="auto"/>
            <w:noWrap/>
            <w:vAlign w:val="center"/>
            <w:hideMark/>
          </w:tcPr>
          <w:p w:rsidR="00A71497" w:rsidRPr="00A71497" w:rsidRDefault="00A71497" w:rsidP="00A71497">
            <w:pPr>
              <w:jc w:val="right"/>
              <w:rPr>
                <w:color w:val="000000"/>
                <w:sz w:val="20"/>
                <w:lang w:val="es-PY" w:eastAsia="es-PY"/>
              </w:rPr>
            </w:pPr>
            <w:r w:rsidRPr="00A71497">
              <w:rPr>
                <w:color w:val="000000"/>
                <w:sz w:val="20"/>
                <w:lang w:val="es-PY" w:eastAsia="es-PY"/>
              </w:rPr>
              <w:t xml:space="preserve">  2.403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rsidR="00A71497" w:rsidRPr="00A71497" w:rsidRDefault="00A71497" w:rsidP="006D5F91">
            <w:pPr>
              <w:jc w:val="right"/>
              <w:rPr>
                <w:color w:val="000000"/>
                <w:sz w:val="20"/>
                <w:lang w:val="es-PY" w:eastAsia="es-PY"/>
              </w:rPr>
            </w:pPr>
            <w:r w:rsidRPr="00A71497">
              <w:rPr>
                <w:color w:val="000000"/>
                <w:sz w:val="20"/>
                <w:lang w:val="es-PY" w:eastAsia="es-PY"/>
              </w:rPr>
              <w:t xml:space="preserve">  1.147 </w:t>
            </w:r>
          </w:p>
        </w:tc>
        <w:tc>
          <w:tcPr>
            <w:tcW w:w="1220"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6D5F91">
            <w:pPr>
              <w:jc w:val="center"/>
              <w:rPr>
                <w:color w:val="000000"/>
                <w:sz w:val="20"/>
                <w:lang w:val="es-PY" w:eastAsia="es-PY"/>
              </w:rPr>
            </w:pPr>
            <w:r w:rsidRPr="00A71497">
              <w:rPr>
                <w:color w:val="000000"/>
                <w:sz w:val="20"/>
                <w:lang w:val="es-PY" w:eastAsia="es-PY"/>
              </w:rPr>
              <w:t>48%</w:t>
            </w:r>
          </w:p>
        </w:tc>
      </w:tr>
      <w:tr w:rsidR="00A71497" w:rsidRPr="00A71497" w:rsidTr="006D5F91">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A71497" w:rsidRPr="00A71497" w:rsidRDefault="00A71497" w:rsidP="00A71497">
            <w:pPr>
              <w:rPr>
                <w:color w:val="000000"/>
                <w:sz w:val="20"/>
                <w:lang w:val="es-PY" w:eastAsia="es-PY"/>
              </w:rPr>
            </w:pPr>
            <w:r w:rsidRPr="00A71497">
              <w:rPr>
                <w:color w:val="000000"/>
                <w:sz w:val="20"/>
                <w:lang w:val="es-PY" w:eastAsia="es-PY"/>
              </w:rPr>
              <w:t>Alto Paraná Sur</w:t>
            </w:r>
          </w:p>
        </w:tc>
        <w:tc>
          <w:tcPr>
            <w:tcW w:w="1180"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A71497">
            <w:pPr>
              <w:rPr>
                <w:color w:val="000000"/>
                <w:sz w:val="20"/>
                <w:lang w:val="es-PY" w:eastAsia="es-PY"/>
              </w:rPr>
            </w:pPr>
            <w:r w:rsidRPr="00A71497">
              <w:rPr>
                <w:color w:val="000000"/>
                <w:sz w:val="20"/>
                <w:lang w:val="es-PY" w:eastAsia="es-PY"/>
              </w:rPr>
              <w:t xml:space="preserve">       504,15 </w:t>
            </w:r>
          </w:p>
        </w:tc>
        <w:tc>
          <w:tcPr>
            <w:tcW w:w="1371"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A71497">
            <w:pPr>
              <w:rPr>
                <w:color w:val="000000"/>
                <w:sz w:val="20"/>
                <w:lang w:val="es-PY" w:eastAsia="es-PY"/>
              </w:rPr>
            </w:pPr>
            <w:r w:rsidRPr="00A71497">
              <w:rPr>
                <w:color w:val="000000"/>
                <w:sz w:val="20"/>
                <w:lang w:val="es-PY" w:eastAsia="es-PY"/>
              </w:rPr>
              <w:t xml:space="preserve">Naranjal </w:t>
            </w:r>
          </w:p>
        </w:tc>
        <w:tc>
          <w:tcPr>
            <w:tcW w:w="1276"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6D5F91">
            <w:pPr>
              <w:jc w:val="right"/>
              <w:rPr>
                <w:color w:val="000000"/>
                <w:sz w:val="20"/>
                <w:lang w:val="es-PY" w:eastAsia="es-PY"/>
              </w:rPr>
            </w:pPr>
            <w:r w:rsidRPr="00A71497">
              <w:rPr>
                <w:color w:val="000000"/>
                <w:sz w:val="20"/>
                <w:lang w:val="es-PY" w:eastAsia="es-PY"/>
              </w:rPr>
              <w:t xml:space="preserve">     2.510.677 </w:t>
            </w:r>
          </w:p>
        </w:tc>
        <w:tc>
          <w:tcPr>
            <w:tcW w:w="1275" w:type="dxa"/>
            <w:tcBorders>
              <w:top w:val="nil"/>
              <w:left w:val="nil"/>
              <w:bottom w:val="single" w:sz="4" w:space="0" w:color="auto"/>
              <w:right w:val="nil"/>
            </w:tcBorders>
            <w:shd w:val="clear" w:color="auto" w:fill="auto"/>
            <w:noWrap/>
            <w:vAlign w:val="center"/>
            <w:hideMark/>
          </w:tcPr>
          <w:p w:rsidR="00A71497" w:rsidRPr="00A71497" w:rsidRDefault="00A71497" w:rsidP="00A71497">
            <w:pPr>
              <w:jc w:val="right"/>
              <w:rPr>
                <w:color w:val="000000"/>
                <w:sz w:val="20"/>
                <w:lang w:val="es-PY" w:eastAsia="es-PY"/>
              </w:rPr>
            </w:pPr>
            <w:r w:rsidRPr="00A71497">
              <w:rPr>
                <w:color w:val="000000"/>
                <w:sz w:val="20"/>
                <w:lang w:val="es-PY" w:eastAsia="es-PY"/>
              </w:rPr>
              <w:t xml:space="preserve">   2.490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rsidR="00A71497" w:rsidRPr="00A71497" w:rsidRDefault="00A71497" w:rsidP="006D5F91">
            <w:pPr>
              <w:jc w:val="right"/>
              <w:rPr>
                <w:color w:val="000000"/>
                <w:sz w:val="20"/>
                <w:lang w:val="es-PY" w:eastAsia="es-PY"/>
              </w:rPr>
            </w:pPr>
            <w:r w:rsidRPr="00A71497">
              <w:rPr>
                <w:color w:val="000000"/>
                <w:sz w:val="20"/>
                <w:lang w:val="es-PY" w:eastAsia="es-PY"/>
              </w:rPr>
              <w:t xml:space="preserve">   1.125 </w:t>
            </w:r>
          </w:p>
        </w:tc>
        <w:tc>
          <w:tcPr>
            <w:tcW w:w="1220"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6D5F91">
            <w:pPr>
              <w:jc w:val="center"/>
              <w:rPr>
                <w:color w:val="000000"/>
                <w:sz w:val="20"/>
                <w:lang w:val="es-PY" w:eastAsia="es-PY"/>
              </w:rPr>
            </w:pPr>
            <w:r w:rsidRPr="00A71497">
              <w:rPr>
                <w:color w:val="000000"/>
                <w:sz w:val="20"/>
                <w:lang w:val="es-PY" w:eastAsia="es-PY"/>
              </w:rPr>
              <w:t>45%</w:t>
            </w:r>
          </w:p>
        </w:tc>
      </w:tr>
      <w:tr w:rsidR="00A71497" w:rsidRPr="00A71497" w:rsidTr="006D5F91">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A71497" w:rsidRPr="00A71497" w:rsidRDefault="00A71497" w:rsidP="00A71497">
            <w:pPr>
              <w:rPr>
                <w:color w:val="000000"/>
                <w:sz w:val="20"/>
                <w:lang w:val="es-PY" w:eastAsia="es-PY"/>
              </w:rPr>
            </w:pPr>
            <w:r w:rsidRPr="00A71497">
              <w:rPr>
                <w:color w:val="000000"/>
                <w:sz w:val="20"/>
                <w:lang w:val="es-PY" w:eastAsia="es-PY"/>
              </w:rPr>
              <w:t>Canindeyú Este</w:t>
            </w:r>
          </w:p>
        </w:tc>
        <w:tc>
          <w:tcPr>
            <w:tcW w:w="1180"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A71497">
            <w:pPr>
              <w:rPr>
                <w:color w:val="000000"/>
                <w:sz w:val="20"/>
                <w:lang w:val="es-PY" w:eastAsia="es-PY"/>
              </w:rPr>
            </w:pPr>
            <w:r w:rsidRPr="00A71497">
              <w:rPr>
                <w:color w:val="000000"/>
                <w:sz w:val="20"/>
                <w:lang w:val="es-PY" w:eastAsia="es-PY"/>
              </w:rPr>
              <w:t xml:space="preserve">       436,60 </w:t>
            </w:r>
          </w:p>
        </w:tc>
        <w:tc>
          <w:tcPr>
            <w:tcW w:w="1371"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A71497">
            <w:pPr>
              <w:rPr>
                <w:color w:val="000000"/>
                <w:sz w:val="20"/>
                <w:lang w:val="es-PY" w:eastAsia="es-PY"/>
              </w:rPr>
            </w:pPr>
            <w:r w:rsidRPr="00A71497">
              <w:rPr>
                <w:color w:val="000000"/>
                <w:sz w:val="20"/>
                <w:lang w:val="es-PY" w:eastAsia="es-PY"/>
              </w:rPr>
              <w:t xml:space="preserve">Corpus Cristi </w:t>
            </w:r>
          </w:p>
        </w:tc>
        <w:tc>
          <w:tcPr>
            <w:tcW w:w="1276"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6D5F91">
            <w:pPr>
              <w:jc w:val="right"/>
              <w:rPr>
                <w:color w:val="000000"/>
                <w:sz w:val="20"/>
                <w:lang w:val="es-PY" w:eastAsia="es-PY"/>
              </w:rPr>
            </w:pPr>
            <w:r w:rsidRPr="00A71497">
              <w:rPr>
                <w:color w:val="000000"/>
                <w:sz w:val="20"/>
                <w:lang w:val="es-PY" w:eastAsia="es-PY"/>
              </w:rPr>
              <w:t xml:space="preserve">      2.625.751 </w:t>
            </w:r>
          </w:p>
        </w:tc>
        <w:tc>
          <w:tcPr>
            <w:tcW w:w="1275" w:type="dxa"/>
            <w:tcBorders>
              <w:top w:val="nil"/>
              <w:left w:val="nil"/>
              <w:bottom w:val="single" w:sz="4" w:space="0" w:color="auto"/>
              <w:right w:val="nil"/>
            </w:tcBorders>
            <w:shd w:val="clear" w:color="auto" w:fill="auto"/>
            <w:noWrap/>
            <w:vAlign w:val="center"/>
            <w:hideMark/>
          </w:tcPr>
          <w:p w:rsidR="00A71497" w:rsidRPr="00A71497" w:rsidRDefault="00A71497" w:rsidP="00A71497">
            <w:pPr>
              <w:jc w:val="right"/>
              <w:rPr>
                <w:color w:val="000000"/>
                <w:sz w:val="20"/>
                <w:lang w:val="es-PY" w:eastAsia="es-PY"/>
              </w:rPr>
            </w:pPr>
            <w:r w:rsidRPr="00A71497">
              <w:rPr>
                <w:color w:val="000000"/>
                <w:sz w:val="20"/>
                <w:lang w:val="es-PY" w:eastAsia="es-PY"/>
              </w:rPr>
              <w:t xml:space="preserve">    3.007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rsidR="00A71497" w:rsidRPr="00A71497" w:rsidRDefault="00A71497" w:rsidP="006D5F91">
            <w:pPr>
              <w:jc w:val="right"/>
              <w:rPr>
                <w:color w:val="000000"/>
                <w:sz w:val="20"/>
                <w:lang w:val="es-PY" w:eastAsia="es-PY"/>
              </w:rPr>
            </w:pPr>
            <w:r w:rsidRPr="00A71497">
              <w:rPr>
                <w:color w:val="000000"/>
                <w:sz w:val="20"/>
                <w:lang w:val="es-PY" w:eastAsia="es-PY"/>
              </w:rPr>
              <w:t xml:space="preserve">   1.131 </w:t>
            </w:r>
          </w:p>
        </w:tc>
        <w:tc>
          <w:tcPr>
            <w:tcW w:w="1220"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6D5F91">
            <w:pPr>
              <w:jc w:val="center"/>
              <w:rPr>
                <w:color w:val="000000"/>
                <w:sz w:val="20"/>
                <w:lang w:val="es-PY" w:eastAsia="es-PY"/>
              </w:rPr>
            </w:pPr>
            <w:r w:rsidRPr="00A71497">
              <w:rPr>
                <w:color w:val="000000"/>
                <w:sz w:val="20"/>
                <w:lang w:val="es-PY" w:eastAsia="es-PY"/>
              </w:rPr>
              <w:t>38%</w:t>
            </w:r>
          </w:p>
        </w:tc>
      </w:tr>
      <w:tr w:rsidR="00A71497" w:rsidRPr="00A71497" w:rsidTr="006D5F91">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A71497" w:rsidRPr="00A71497" w:rsidRDefault="00A71497" w:rsidP="00A71497">
            <w:pPr>
              <w:rPr>
                <w:color w:val="000000"/>
                <w:sz w:val="20"/>
                <w:lang w:val="es-PY" w:eastAsia="es-PY"/>
              </w:rPr>
            </w:pPr>
            <w:r w:rsidRPr="00A71497">
              <w:rPr>
                <w:color w:val="000000"/>
                <w:sz w:val="20"/>
                <w:lang w:val="es-PY" w:eastAsia="es-PY"/>
              </w:rPr>
              <w:t>Caazapá</w:t>
            </w:r>
          </w:p>
        </w:tc>
        <w:tc>
          <w:tcPr>
            <w:tcW w:w="1180"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A71497">
            <w:pPr>
              <w:rPr>
                <w:color w:val="000000"/>
                <w:sz w:val="20"/>
                <w:lang w:val="es-PY" w:eastAsia="es-PY"/>
              </w:rPr>
            </w:pPr>
            <w:r w:rsidRPr="00A71497">
              <w:rPr>
                <w:color w:val="000000"/>
                <w:sz w:val="20"/>
                <w:lang w:val="es-PY" w:eastAsia="es-PY"/>
              </w:rPr>
              <w:t xml:space="preserve">       451,33 </w:t>
            </w:r>
          </w:p>
        </w:tc>
        <w:tc>
          <w:tcPr>
            <w:tcW w:w="1371"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A71497">
            <w:pPr>
              <w:rPr>
                <w:color w:val="000000"/>
                <w:sz w:val="20"/>
                <w:lang w:val="es-PY" w:eastAsia="es-PY"/>
              </w:rPr>
            </w:pPr>
            <w:r w:rsidRPr="00A71497">
              <w:rPr>
                <w:color w:val="000000"/>
                <w:sz w:val="20"/>
                <w:lang w:val="es-PY" w:eastAsia="es-PY"/>
              </w:rPr>
              <w:t xml:space="preserve">Caazapá </w:t>
            </w:r>
          </w:p>
        </w:tc>
        <w:tc>
          <w:tcPr>
            <w:tcW w:w="1276"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6D5F91">
            <w:pPr>
              <w:jc w:val="right"/>
              <w:rPr>
                <w:color w:val="000000"/>
                <w:sz w:val="20"/>
                <w:lang w:val="es-PY" w:eastAsia="es-PY"/>
              </w:rPr>
            </w:pPr>
            <w:r w:rsidRPr="00A71497">
              <w:rPr>
                <w:color w:val="000000"/>
                <w:sz w:val="20"/>
                <w:lang w:val="es-PY" w:eastAsia="es-PY"/>
              </w:rPr>
              <w:t xml:space="preserve">     3.466.877 </w:t>
            </w:r>
          </w:p>
        </w:tc>
        <w:tc>
          <w:tcPr>
            <w:tcW w:w="1275" w:type="dxa"/>
            <w:tcBorders>
              <w:top w:val="nil"/>
              <w:left w:val="nil"/>
              <w:bottom w:val="single" w:sz="4" w:space="0" w:color="auto"/>
              <w:right w:val="nil"/>
            </w:tcBorders>
            <w:shd w:val="clear" w:color="auto" w:fill="auto"/>
            <w:noWrap/>
            <w:vAlign w:val="center"/>
            <w:hideMark/>
          </w:tcPr>
          <w:p w:rsidR="00A71497" w:rsidRPr="00A71497" w:rsidRDefault="00A71497" w:rsidP="00A71497">
            <w:pPr>
              <w:jc w:val="right"/>
              <w:rPr>
                <w:color w:val="000000"/>
                <w:sz w:val="20"/>
                <w:lang w:val="es-PY" w:eastAsia="es-PY"/>
              </w:rPr>
            </w:pPr>
            <w:r w:rsidRPr="00A71497">
              <w:rPr>
                <w:color w:val="000000"/>
                <w:sz w:val="20"/>
                <w:lang w:val="es-PY" w:eastAsia="es-PY"/>
              </w:rPr>
              <w:t xml:space="preserve">    3.841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rsidR="00A71497" w:rsidRPr="00A71497" w:rsidRDefault="00A71497" w:rsidP="006D5F91">
            <w:pPr>
              <w:jc w:val="right"/>
              <w:rPr>
                <w:color w:val="000000"/>
                <w:sz w:val="20"/>
                <w:lang w:val="es-PY" w:eastAsia="es-PY"/>
              </w:rPr>
            </w:pPr>
            <w:r w:rsidRPr="00A71497">
              <w:rPr>
                <w:color w:val="000000"/>
                <w:sz w:val="20"/>
                <w:lang w:val="es-PY" w:eastAsia="es-PY"/>
              </w:rPr>
              <w:t xml:space="preserve">    1.233 </w:t>
            </w:r>
          </w:p>
        </w:tc>
        <w:tc>
          <w:tcPr>
            <w:tcW w:w="1220"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6D5F91">
            <w:pPr>
              <w:jc w:val="center"/>
              <w:rPr>
                <w:color w:val="000000"/>
                <w:sz w:val="20"/>
                <w:lang w:val="es-PY" w:eastAsia="es-PY"/>
              </w:rPr>
            </w:pPr>
            <w:r w:rsidRPr="00A71497">
              <w:rPr>
                <w:color w:val="000000"/>
                <w:sz w:val="20"/>
                <w:lang w:val="es-PY" w:eastAsia="es-PY"/>
              </w:rPr>
              <w:t>32%</w:t>
            </w:r>
          </w:p>
        </w:tc>
      </w:tr>
      <w:tr w:rsidR="00A71497" w:rsidRPr="00A71497" w:rsidTr="006D5F91">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A71497" w:rsidRPr="00A71497" w:rsidRDefault="00A71497" w:rsidP="00A71497">
            <w:pPr>
              <w:rPr>
                <w:color w:val="000000"/>
                <w:sz w:val="20"/>
                <w:lang w:val="es-PY" w:eastAsia="es-PY"/>
              </w:rPr>
            </w:pPr>
            <w:r w:rsidRPr="00A71497">
              <w:rPr>
                <w:color w:val="000000"/>
                <w:sz w:val="20"/>
                <w:lang w:val="es-PY" w:eastAsia="es-PY"/>
              </w:rPr>
              <w:t>Guairá</w:t>
            </w:r>
          </w:p>
        </w:tc>
        <w:tc>
          <w:tcPr>
            <w:tcW w:w="1180"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A71497">
            <w:pPr>
              <w:rPr>
                <w:color w:val="000000"/>
                <w:sz w:val="20"/>
                <w:lang w:val="es-PY" w:eastAsia="es-PY"/>
              </w:rPr>
            </w:pPr>
            <w:r w:rsidRPr="00A71497">
              <w:rPr>
                <w:color w:val="000000"/>
                <w:sz w:val="20"/>
                <w:lang w:val="es-PY" w:eastAsia="es-PY"/>
              </w:rPr>
              <w:t xml:space="preserve">       321,53 </w:t>
            </w:r>
          </w:p>
        </w:tc>
        <w:tc>
          <w:tcPr>
            <w:tcW w:w="1371"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A71497">
            <w:pPr>
              <w:rPr>
                <w:color w:val="000000"/>
                <w:sz w:val="20"/>
                <w:lang w:val="es-PY" w:eastAsia="es-PY"/>
              </w:rPr>
            </w:pPr>
            <w:r w:rsidRPr="00A71497">
              <w:rPr>
                <w:color w:val="000000"/>
                <w:sz w:val="20"/>
                <w:lang w:val="es-PY" w:eastAsia="es-PY"/>
              </w:rPr>
              <w:t xml:space="preserve">Borja </w:t>
            </w:r>
          </w:p>
        </w:tc>
        <w:tc>
          <w:tcPr>
            <w:tcW w:w="1276"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6D5F91">
            <w:pPr>
              <w:jc w:val="right"/>
              <w:rPr>
                <w:color w:val="000000"/>
                <w:sz w:val="20"/>
                <w:lang w:val="es-PY" w:eastAsia="es-PY"/>
              </w:rPr>
            </w:pPr>
            <w:r w:rsidRPr="00A71497">
              <w:rPr>
                <w:color w:val="000000"/>
                <w:sz w:val="20"/>
                <w:lang w:val="es-PY" w:eastAsia="es-PY"/>
              </w:rPr>
              <w:t xml:space="preserve">     3.148.320 </w:t>
            </w:r>
          </w:p>
        </w:tc>
        <w:tc>
          <w:tcPr>
            <w:tcW w:w="1275" w:type="dxa"/>
            <w:tcBorders>
              <w:top w:val="nil"/>
              <w:left w:val="nil"/>
              <w:bottom w:val="single" w:sz="4" w:space="0" w:color="auto"/>
              <w:right w:val="nil"/>
            </w:tcBorders>
            <w:shd w:val="clear" w:color="auto" w:fill="auto"/>
            <w:noWrap/>
            <w:vAlign w:val="center"/>
            <w:hideMark/>
          </w:tcPr>
          <w:p w:rsidR="00A71497" w:rsidRPr="00A71497" w:rsidRDefault="00A71497" w:rsidP="00A71497">
            <w:pPr>
              <w:jc w:val="right"/>
              <w:rPr>
                <w:color w:val="000000"/>
                <w:sz w:val="20"/>
                <w:lang w:val="es-PY" w:eastAsia="es-PY"/>
              </w:rPr>
            </w:pPr>
            <w:r w:rsidRPr="00A71497">
              <w:rPr>
                <w:color w:val="000000"/>
                <w:sz w:val="20"/>
                <w:lang w:val="es-PY" w:eastAsia="es-PY"/>
              </w:rPr>
              <w:t xml:space="preserve">    4.896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rsidR="00A71497" w:rsidRPr="00A71497" w:rsidRDefault="006D5F91" w:rsidP="006D5F91">
            <w:pPr>
              <w:jc w:val="center"/>
              <w:rPr>
                <w:b/>
                <w:color w:val="000000"/>
                <w:sz w:val="20"/>
                <w:lang w:val="es-PY" w:eastAsia="es-PY"/>
              </w:rPr>
            </w:pPr>
            <w:r w:rsidRPr="006D5F91">
              <w:rPr>
                <w:b/>
                <w:color w:val="000000"/>
                <w:sz w:val="20"/>
                <w:lang w:val="es-PY" w:eastAsia="es-PY"/>
              </w:rPr>
              <w:t>---</w:t>
            </w:r>
          </w:p>
        </w:tc>
        <w:tc>
          <w:tcPr>
            <w:tcW w:w="1220" w:type="dxa"/>
            <w:tcBorders>
              <w:top w:val="nil"/>
              <w:left w:val="nil"/>
              <w:bottom w:val="single" w:sz="4" w:space="0" w:color="auto"/>
              <w:right w:val="single" w:sz="4" w:space="0" w:color="auto"/>
            </w:tcBorders>
            <w:shd w:val="clear" w:color="auto" w:fill="auto"/>
            <w:noWrap/>
            <w:vAlign w:val="center"/>
            <w:hideMark/>
          </w:tcPr>
          <w:p w:rsidR="00A71497" w:rsidRPr="00A71497" w:rsidRDefault="006D5F91" w:rsidP="006D5F91">
            <w:pPr>
              <w:jc w:val="center"/>
              <w:rPr>
                <w:b/>
                <w:color w:val="000000"/>
                <w:sz w:val="20"/>
                <w:lang w:val="es-PY" w:eastAsia="es-PY"/>
              </w:rPr>
            </w:pPr>
            <w:r w:rsidRPr="006D5F91">
              <w:rPr>
                <w:b/>
                <w:color w:val="000000"/>
                <w:sz w:val="20"/>
                <w:lang w:val="es-PY" w:eastAsia="es-PY"/>
              </w:rPr>
              <w:t>--</w:t>
            </w:r>
            <w:r w:rsidR="00A71497" w:rsidRPr="00A71497">
              <w:rPr>
                <w:b/>
                <w:color w:val="000000"/>
                <w:sz w:val="20"/>
                <w:lang w:val="es-PY" w:eastAsia="es-PY"/>
              </w:rPr>
              <w:t>-</w:t>
            </w:r>
          </w:p>
        </w:tc>
      </w:tr>
      <w:tr w:rsidR="00A71497" w:rsidRPr="00A71497" w:rsidTr="006D5F91">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A71497" w:rsidRPr="00A71497" w:rsidRDefault="00A71497" w:rsidP="00A71497">
            <w:pPr>
              <w:rPr>
                <w:b/>
                <w:bCs/>
                <w:color w:val="000000"/>
                <w:sz w:val="20"/>
                <w:lang w:val="es-PY" w:eastAsia="es-PY"/>
              </w:rPr>
            </w:pPr>
            <w:r w:rsidRPr="00A71497">
              <w:rPr>
                <w:b/>
                <w:bCs/>
                <w:color w:val="000000"/>
                <w:sz w:val="20"/>
                <w:lang w:val="es-PY" w:eastAsia="es-PY"/>
              </w:rPr>
              <w:t>Suma</w:t>
            </w:r>
          </w:p>
        </w:tc>
        <w:tc>
          <w:tcPr>
            <w:tcW w:w="1180" w:type="dxa"/>
            <w:tcBorders>
              <w:top w:val="nil"/>
              <w:left w:val="nil"/>
              <w:bottom w:val="double" w:sz="6" w:space="0" w:color="auto"/>
              <w:right w:val="single" w:sz="4" w:space="0" w:color="auto"/>
            </w:tcBorders>
            <w:shd w:val="clear" w:color="auto" w:fill="auto"/>
            <w:noWrap/>
            <w:vAlign w:val="center"/>
            <w:hideMark/>
          </w:tcPr>
          <w:p w:rsidR="00A71497" w:rsidRPr="00A71497" w:rsidRDefault="00A71497" w:rsidP="00A71497">
            <w:pPr>
              <w:rPr>
                <w:b/>
                <w:bCs/>
                <w:color w:val="000000"/>
                <w:sz w:val="20"/>
                <w:lang w:val="es-PY" w:eastAsia="es-PY"/>
              </w:rPr>
            </w:pPr>
            <w:r w:rsidRPr="00A71497">
              <w:rPr>
                <w:b/>
                <w:bCs/>
                <w:color w:val="000000"/>
                <w:sz w:val="20"/>
                <w:lang w:val="es-PY" w:eastAsia="es-PY"/>
              </w:rPr>
              <w:t xml:space="preserve">   2.141,25 </w:t>
            </w:r>
          </w:p>
        </w:tc>
        <w:tc>
          <w:tcPr>
            <w:tcW w:w="1371" w:type="dxa"/>
            <w:tcBorders>
              <w:top w:val="nil"/>
              <w:left w:val="nil"/>
              <w:bottom w:val="single" w:sz="4" w:space="0" w:color="auto"/>
              <w:right w:val="single" w:sz="4" w:space="0" w:color="auto"/>
            </w:tcBorders>
            <w:shd w:val="clear" w:color="auto" w:fill="auto"/>
            <w:noWrap/>
            <w:vAlign w:val="center"/>
            <w:hideMark/>
          </w:tcPr>
          <w:p w:rsidR="00A71497" w:rsidRPr="00A71497" w:rsidRDefault="00A71497" w:rsidP="00A71497">
            <w:pPr>
              <w:jc w:val="center"/>
              <w:rPr>
                <w:b/>
                <w:bCs/>
                <w:color w:val="000000"/>
                <w:sz w:val="20"/>
                <w:lang w:val="es-PY" w:eastAsia="es-PY"/>
              </w:rPr>
            </w:pPr>
            <w:r w:rsidRPr="00A71497">
              <w:rPr>
                <w:b/>
                <w:bCs/>
                <w:color w:val="000000"/>
                <w:sz w:val="20"/>
                <w:lang w:val="es-PY" w:eastAsia="es-PY"/>
              </w:rPr>
              <w:t xml:space="preserve"> --- </w:t>
            </w:r>
          </w:p>
        </w:tc>
        <w:tc>
          <w:tcPr>
            <w:tcW w:w="1276" w:type="dxa"/>
            <w:tcBorders>
              <w:top w:val="nil"/>
              <w:left w:val="nil"/>
              <w:bottom w:val="double" w:sz="6" w:space="0" w:color="auto"/>
              <w:right w:val="single" w:sz="4" w:space="0" w:color="auto"/>
            </w:tcBorders>
            <w:shd w:val="clear" w:color="auto" w:fill="auto"/>
            <w:noWrap/>
            <w:vAlign w:val="center"/>
            <w:hideMark/>
          </w:tcPr>
          <w:p w:rsidR="00A71497" w:rsidRPr="00A71497" w:rsidRDefault="00A71497" w:rsidP="006D5F91">
            <w:pPr>
              <w:jc w:val="right"/>
              <w:rPr>
                <w:b/>
                <w:bCs/>
                <w:color w:val="000000"/>
                <w:sz w:val="20"/>
                <w:lang w:val="es-PY" w:eastAsia="es-PY"/>
              </w:rPr>
            </w:pPr>
            <w:r w:rsidRPr="00A71497">
              <w:rPr>
                <w:b/>
                <w:bCs/>
                <w:color w:val="000000"/>
                <w:sz w:val="20"/>
                <w:lang w:val="es-PY" w:eastAsia="es-PY"/>
              </w:rPr>
              <w:t xml:space="preserve">    13.806.558 </w:t>
            </w:r>
          </w:p>
        </w:tc>
        <w:tc>
          <w:tcPr>
            <w:tcW w:w="1275" w:type="dxa"/>
            <w:tcBorders>
              <w:top w:val="nil"/>
              <w:left w:val="nil"/>
              <w:bottom w:val="single" w:sz="4" w:space="0" w:color="auto"/>
              <w:right w:val="nil"/>
            </w:tcBorders>
            <w:shd w:val="clear" w:color="auto" w:fill="auto"/>
            <w:noWrap/>
            <w:vAlign w:val="center"/>
            <w:hideMark/>
          </w:tcPr>
          <w:p w:rsidR="00A71497" w:rsidRPr="00A71497" w:rsidRDefault="00A71497" w:rsidP="00A71497">
            <w:pPr>
              <w:jc w:val="right"/>
              <w:rPr>
                <w:b/>
                <w:bCs/>
                <w:color w:val="000000"/>
                <w:sz w:val="20"/>
                <w:lang w:val="es-PY" w:eastAsia="es-PY"/>
              </w:rPr>
            </w:pPr>
            <w:r w:rsidRPr="00A71497">
              <w:rPr>
                <w:b/>
                <w:bCs/>
                <w:color w:val="000000"/>
                <w:sz w:val="20"/>
                <w:lang w:val="es-PY" w:eastAsia="es-PY"/>
              </w:rPr>
              <w:t xml:space="preserve">   3.224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rsidR="00A71497" w:rsidRPr="00A71497" w:rsidRDefault="006D5F91" w:rsidP="006D5F91">
            <w:pPr>
              <w:jc w:val="center"/>
              <w:rPr>
                <w:b/>
                <w:bCs/>
                <w:i/>
                <w:color w:val="000000"/>
                <w:sz w:val="20"/>
                <w:lang w:val="es-PY" w:eastAsia="es-PY"/>
              </w:rPr>
            </w:pPr>
            <w:r w:rsidRPr="006D5F91">
              <w:rPr>
                <w:b/>
                <w:bCs/>
                <w:i/>
                <w:color w:val="000000"/>
                <w:sz w:val="20"/>
                <w:lang w:val="es-PY" w:eastAsia="es-PY"/>
              </w:rPr>
              <w:t>---</w:t>
            </w:r>
          </w:p>
        </w:tc>
        <w:tc>
          <w:tcPr>
            <w:tcW w:w="1220" w:type="dxa"/>
            <w:tcBorders>
              <w:top w:val="nil"/>
              <w:left w:val="nil"/>
              <w:bottom w:val="single" w:sz="4" w:space="0" w:color="auto"/>
              <w:right w:val="single" w:sz="4" w:space="0" w:color="auto"/>
            </w:tcBorders>
            <w:shd w:val="clear" w:color="auto" w:fill="auto"/>
            <w:noWrap/>
            <w:vAlign w:val="center"/>
            <w:hideMark/>
          </w:tcPr>
          <w:p w:rsidR="00A71497" w:rsidRPr="00A71497" w:rsidRDefault="006D5F91" w:rsidP="006D5F91">
            <w:pPr>
              <w:jc w:val="center"/>
              <w:rPr>
                <w:b/>
                <w:bCs/>
                <w:i/>
                <w:color w:val="000000"/>
                <w:sz w:val="20"/>
                <w:lang w:val="es-PY" w:eastAsia="es-PY"/>
              </w:rPr>
            </w:pPr>
            <w:r w:rsidRPr="006D5F91">
              <w:rPr>
                <w:b/>
                <w:bCs/>
                <w:i/>
                <w:color w:val="000000"/>
                <w:sz w:val="20"/>
                <w:lang w:val="es-PY" w:eastAsia="es-PY"/>
              </w:rPr>
              <w:t>---</w:t>
            </w:r>
          </w:p>
        </w:tc>
      </w:tr>
    </w:tbl>
    <w:p w:rsidR="006D5F91" w:rsidRDefault="006D5F91" w:rsidP="00BA22DC">
      <w:pPr>
        <w:numPr>
          <w:ilvl w:val="1"/>
          <w:numId w:val="1"/>
        </w:numPr>
        <w:tabs>
          <w:tab w:val="clear" w:pos="360"/>
          <w:tab w:val="num" w:pos="709"/>
        </w:tabs>
        <w:spacing w:before="240" w:after="120" w:line="240" w:lineRule="atLeast"/>
        <w:ind w:left="709" w:hanging="709"/>
        <w:jc w:val="both"/>
        <w:rPr>
          <w:bCs/>
        </w:rPr>
      </w:pPr>
      <w:r>
        <w:rPr>
          <w:bCs/>
        </w:rPr>
        <w:t>Por otro lado, en el caso de los Convenios, no se incluyen los costos de la amortización de las maquinarias utilizadas. La mayoría de estos equipos fueron proveídos en la fase I del PNCR-2, y otros equipos pertenecen a las Municipalidades y a la Gobernación. De manera que, a fin de realizar una comparación de costos reales, seguidamente se estiman los costos de amortización de los equipos o costo de posesión, que las empresas privadas incluyen en sus precios para cubrir la reposición futura de los mismos.</w:t>
      </w:r>
    </w:p>
    <w:p w:rsidR="00E521D1" w:rsidRDefault="00E521D1" w:rsidP="00BA22DC">
      <w:pPr>
        <w:numPr>
          <w:ilvl w:val="1"/>
          <w:numId w:val="1"/>
        </w:numPr>
        <w:tabs>
          <w:tab w:val="clear" w:pos="360"/>
          <w:tab w:val="num" w:pos="709"/>
        </w:tabs>
        <w:spacing w:before="240" w:after="120" w:line="240" w:lineRule="atLeast"/>
        <w:ind w:left="709" w:hanging="709"/>
        <w:jc w:val="both"/>
        <w:rPr>
          <w:bCs/>
        </w:rPr>
      </w:pPr>
      <w:r w:rsidRPr="00D219B7">
        <w:rPr>
          <w:b/>
          <w:bCs/>
          <w:i/>
        </w:rPr>
        <w:t>Costo de amortización de equipos o costos de posesión</w:t>
      </w:r>
      <w:r>
        <w:rPr>
          <w:bCs/>
        </w:rPr>
        <w:t xml:space="preserve">. Las hipótesis de cálculo </w:t>
      </w:r>
      <w:r w:rsidR="00F03932">
        <w:rPr>
          <w:bCs/>
        </w:rPr>
        <w:t xml:space="preserve">de los costos </w:t>
      </w:r>
      <w:r>
        <w:rPr>
          <w:bCs/>
        </w:rPr>
        <w:t>para asociarlos al mantenimiento</w:t>
      </w:r>
      <w:r w:rsidR="00F03932">
        <w:rPr>
          <w:bCs/>
        </w:rPr>
        <w:t xml:space="preserve"> de una red de caminos rurales</w:t>
      </w:r>
      <w:r>
        <w:rPr>
          <w:bCs/>
        </w:rPr>
        <w:t xml:space="preserve"> son las siguientes:</w:t>
      </w:r>
    </w:p>
    <w:tbl>
      <w:tblPr>
        <w:tblW w:w="3976" w:type="dxa"/>
        <w:tblInd w:w="779" w:type="dxa"/>
        <w:tblCellMar>
          <w:left w:w="70" w:type="dxa"/>
          <w:right w:w="70" w:type="dxa"/>
        </w:tblCellMar>
        <w:tblLook w:val="04A0" w:firstRow="1" w:lastRow="0" w:firstColumn="1" w:lastColumn="0" w:noHBand="0" w:noVBand="1"/>
      </w:tblPr>
      <w:tblGrid>
        <w:gridCol w:w="3028"/>
        <w:gridCol w:w="948"/>
      </w:tblGrid>
      <w:tr w:rsidR="00F03932" w:rsidRPr="00F03932" w:rsidTr="00F03932">
        <w:tc>
          <w:tcPr>
            <w:tcW w:w="3028" w:type="dxa"/>
            <w:tcBorders>
              <w:top w:val="single" w:sz="4" w:space="0" w:color="auto"/>
              <w:left w:val="single" w:sz="4" w:space="0" w:color="auto"/>
              <w:bottom w:val="single" w:sz="4" w:space="0" w:color="auto"/>
              <w:right w:val="nil"/>
            </w:tcBorders>
            <w:shd w:val="clear" w:color="000000" w:fill="DAEEF3"/>
            <w:noWrap/>
            <w:vAlign w:val="bottom"/>
            <w:hideMark/>
          </w:tcPr>
          <w:p w:rsidR="00F03932" w:rsidRPr="00F03932" w:rsidRDefault="00F03932" w:rsidP="00F03932">
            <w:pPr>
              <w:rPr>
                <w:b/>
                <w:bCs/>
                <w:color w:val="000000"/>
                <w:sz w:val="22"/>
                <w:szCs w:val="22"/>
                <w:lang w:val="es-PY" w:eastAsia="es-PY"/>
              </w:rPr>
            </w:pPr>
            <w:r w:rsidRPr="00F03932">
              <w:rPr>
                <w:b/>
                <w:bCs/>
                <w:color w:val="000000"/>
                <w:sz w:val="22"/>
                <w:szCs w:val="22"/>
                <w:lang w:val="es-PY" w:eastAsia="es-PY"/>
              </w:rPr>
              <w:t>Tiempo de utilización</w:t>
            </w:r>
          </w:p>
        </w:tc>
        <w:tc>
          <w:tcPr>
            <w:tcW w:w="948" w:type="dxa"/>
            <w:tcBorders>
              <w:top w:val="single" w:sz="4" w:space="0" w:color="auto"/>
              <w:left w:val="nil"/>
              <w:bottom w:val="single" w:sz="4" w:space="0" w:color="auto"/>
              <w:right w:val="single" w:sz="4" w:space="0" w:color="auto"/>
            </w:tcBorders>
            <w:shd w:val="clear" w:color="000000" w:fill="DAEEF3"/>
            <w:noWrap/>
            <w:vAlign w:val="bottom"/>
            <w:hideMark/>
          </w:tcPr>
          <w:p w:rsidR="00F03932" w:rsidRPr="00F03932" w:rsidRDefault="00F03932" w:rsidP="00F03932">
            <w:pPr>
              <w:rPr>
                <w:sz w:val="22"/>
                <w:szCs w:val="22"/>
                <w:lang w:val="es-PY" w:eastAsia="es-PY"/>
              </w:rPr>
            </w:pPr>
            <w:r w:rsidRPr="00F03932">
              <w:rPr>
                <w:sz w:val="22"/>
                <w:szCs w:val="22"/>
                <w:lang w:val="es-PY" w:eastAsia="es-PY"/>
              </w:rPr>
              <w:t> </w:t>
            </w:r>
          </w:p>
        </w:tc>
      </w:tr>
      <w:tr w:rsidR="00F03932" w:rsidRPr="00F03932" w:rsidTr="00F03932">
        <w:tc>
          <w:tcPr>
            <w:tcW w:w="3028" w:type="dxa"/>
            <w:tcBorders>
              <w:top w:val="nil"/>
              <w:left w:val="single" w:sz="4" w:space="0" w:color="auto"/>
              <w:bottom w:val="single" w:sz="4" w:space="0" w:color="auto"/>
              <w:right w:val="single" w:sz="4" w:space="0" w:color="auto"/>
            </w:tcBorders>
            <w:shd w:val="clear" w:color="auto" w:fill="auto"/>
            <w:noWrap/>
            <w:vAlign w:val="bottom"/>
            <w:hideMark/>
          </w:tcPr>
          <w:p w:rsidR="00F03932" w:rsidRPr="00F03932" w:rsidRDefault="00F03932" w:rsidP="00F03932">
            <w:pPr>
              <w:rPr>
                <w:color w:val="000000"/>
                <w:sz w:val="20"/>
                <w:lang w:val="es-PY" w:eastAsia="es-PY"/>
              </w:rPr>
            </w:pPr>
            <w:r w:rsidRPr="00F03932">
              <w:rPr>
                <w:color w:val="000000"/>
                <w:sz w:val="20"/>
                <w:lang w:val="es-PY" w:eastAsia="es-PY"/>
              </w:rPr>
              <w:t xml:space="preserve">Horas al </w:t>
            </w:r>
            <w:r w:rsidR="00054973" w:rsidRPr="00F03932">
              <w:rPr>
                <w:color w:val="000000"/>
                <w:sz w:val="20"/>
                <w:lang w:val="es-PY" w:eastAsia="es-PY"/>
              </w:rPr>
              <w:t>día</w:t>
            </w:r>
          </w:p>
        </w:tc>
        <w:tc>
          <w:tcPr>
            <w:tcW w:w="948" w:type="dxa"/>
            <w:tcBorders>
              <w:top w:val="nil"/>
              <w:left w:val="nil"/>
              <w:bottom w:val="single" w:sz="4" w:space="0" w:color="auto"/>
              <w:right w:val="single" w:sz="4" w:space="0" w:color="auto"/>
            </w:tcBorders>
            <w:shd w:val="clear" w:color="auto" w:fill="auto"/>
            <w:noWrap/>
            <w:vAlign w:val="bottom"/>
            <w:hideMark/>
          </w:tcPr>
          <w:p w:rsidR="00F03932" w:rsidRPr="00F03932" w:rsidRDefault="00F03932" w:rsidP="00F03932">
            <w:pPr>
              <w:jc w:val="right"/>
              <w:rPr>
                <w:sz w:val="20"/>
                <w:lang w:val="es-PY" w:eastAsia="es-PY"/>
              </w:rPr>
            </w:pPr>
            <w:r w:rsidRPr="00F03932">
              <w:rPr>
                <w:sz w:val="20"/>
                <w:lang w:val="es-PY" w:eastAsia="es-PY"/>
              </w:rPr>
              <w:t xml:space="preserve">8 </w:t>
            </w:r>
          </w:p>
        </w:tc>
      </w:tr>
      <w:tr w:rsidR="00F03932" w:rsidRPr="00F03932" w:rsidTr="00F03932">
        <w:tc>
          <w:tcPr>
            <w:tcW w:w="3028" w:type="dxa"/>
            <w:tcBorders>
              <w:top w:val="nil"/>
              <w:left w:val="single" w:sz="4" w:space="0" w:color="auto"/>
              <w:bottom w:val="single" w:sz="4" w:space="0" w:color="auto"/>
              <w:right w:val="single" w:sz="4" w:space="0" w:color="auto"/>
            </w:tcBorders>
            <w:shd w:val="clear" w:color="auto" w:fill="auto"/>
            <w:noWrap/>
            <w:vAlign w:val="bottom"/>
            <w:hideMark/>
          </w:tcPr>
          <w:p w:rsidR="00F03932" w:rsidRPr="00F03932" w:rsidRDefault="00054973" w:rsidP="00F03932">
            <w:pPr>
              <w:rPr>
                <w:color w:val="000000"/>
                <w:sz w:val="20"/>
                <w:lang w:val="es-PY" w:eastAsia="es-PY"/>
              </w:rPr>
            </w:pPr>
            <w:r w:rsidRPr="00F03932">
              <w:rPr>
                <w:color w:val="000000"/>
                <w:sz w:val="20"/>
                <w:lang w:val="es-PY" w:eastAsia="es-PY"/>
              </w:rPr>
              <w:t>Días</w:t>
            </w:r>
            <w:r w:rsidR="00F03932" w:rsidRPr="00F03932">
              <w:rPr>
                <w:color w:val="000000"/>
                <w:sz w:val="20"/>
                <w:lang w:val="es-PY" w:eastAsia="es-PY"/>
              </w:rPr>
              <w:t xml:space="preserve"> al mes</w:t>
            </w:r>
          </w:p>
        </w:tc>
        <w:tc>
          <w:tcPr>
            <w:tcW w:w="948" w:type="dxa"/>
            <w:tcBorders>
              <w:top w:val="nil"/>
              <w:left w:val="nil"/>
              <w:bottom w:val="single" w:sz="4" w:space="0" w:color="auto"/>
              <w:right w:val="single" w:sz="4" w:space="0" w:color="auto"/>
            </w:tcBorders>
            <w:shd w:val="clear" w:color="auto" w:fill="auto"/>
            <w:noWrap/>
            <w:vAlign w:val="bottom"/>
            <w:hideMark/>
          </w:tcPr>
          <w:p w:rsidR="00F03932" w:rsidRPr="00F03932" w:rsidRDefault="00F03932" w:rsidP="00F03932">
            <w:pPr>
              <w:jc w:val="right"/>
              <w:rPr>
                <w:sz w:val="20"/>
                <w:lang w:val="es-PY" w:eastAsia="es-PY"/>
              </w:rPr>
            </w:pPr>
            <w:r w:rsidRPr="00F03932">
              <w:rPr>
                <w:sz w:val="20"/>
                <w:lang w:val="es-PY" w:eastAsia="es-PY"/>
              </w:rPr>
              <w:t xml:space="preserve">20 </w:t>
            </w:r>
          </w:p>
        </w:tc>
      </w:tr>
      <w:tr w:rsidR="00F03932" w:rsidRPr="00F03932" w:rsidTr="00F03932">
        <w:tc>
          <w:tcPr>
            <w:tcW w:w="3028" w:type="dxa"/>
            <w:tcBorders>
              <w:top w:val="nil"/>
              <w:left w:val="single" w:sz="4" w:space="0" w:color="auto"/>
              <w:bottom w:val="single" w:sz="4" w:space="0" w:color="auto"/>
              <w:right w:val="single" w:sz="4" w:space="0" w:color="auto"/>
            </w:tcBorders>
            <w:shd w:val="clear" w:color="auto" w:fill="auto"/>
            <w:noWrap/>
            <w:vAlign w:val="bottom"/>
            <w:hideMark/>
          </w:tcPr>
          <w:p w:rsidR="00F03932" w:rsidRPr="00F03932" w:rsidRDefault="00F03932" w:rsidP="00F03932">
            <w:pPr>
              <w:rPr>
                <w:color w:val="000000"/>
                <w:sz w:val="20"/>
                <w:lang w:val="es-PY" w:eastAsia="es-PY"/>
              </w:rPr>
            </w:pPr>
            <w:r w:rsidRPr="00F03932">
              <w:rPr>
                <w:color w:val="000000"/>
                <w:sz w:val="20"/>
                <w:lang w:val="es-PY" w:eastAsia="es-PY"/>
              </w:rPr>
              <w:t>Meses por año</w:t>
            </w:r>
          </w:p>
        </w:tc>
        <w:tc>
          <w:tcPr>
            <w:tcW w:w="948" w:type="dxa"/>
            <w:tcBorders>
              <w:top w:val="nil"/>
              <w:left w:val="nil"/>
              <w:bottom w:val="single" w:sz="4" w:space="0" w:color="auto"/>
              <w:right w:val="single" w:sz="4" w:space="0" w:color="auto"/>
            </w:tcBorders>
            <w:shd w:val="clear" w:color="auto" w:fill="auto"/>
            <w:noWrap/>
            <w:vAlign w:val="bottom"/>
            <w:hideMark/>
          </w:tcPr>
          <w:p w:rsidR="00F03932" w:rsidRPr="00F03932" w:rsidRDefault="00F03932" w:rsidP="00F03932">
            <w:pPr>
              <w:jc w:val="right"/>
              <w:rPr>
                <w:sz w:val="20"/>
                <w:lang w:val="es-PY" w:eastAsia="es-PY"/>
              </w:rPr>
            </w:pPr>
            <w:r w:rsidRPr="00F03932">
              <w:rPr>
                <w:sz w:val="20"/>
                <w:lang w:val="es-PY" w:eastAsia="es-PY"/>
              </w:rPr>
              <w:t xml:space="preserve">12 </w:t>
            </w:r>
          </w:p>
        </w:tc>
      </w:tr>
      <w:tr w:rsidR="00F03932" w:rsidRPr="00F03932" w:rsidTr="00F03932">
        <w:tc>
          <w:tcPr>
            <w:tcW w:w="3028" w:type="dxa"/>
            <w:tcBorders>
              <w:top w:val="nil"/>
              <w:left w:val="single" w:sz="4" w:space="0" w:color="auto"/>
              <w:bottom w:val="single" w:sz="4" w:space="0" w:color="auto"/>
              <w:right w:val="single" w:sz="4" w:space="0" w:color="auto"/>
            </w:tcBorders>
            <w:shd w:val="clear" w:color="auto" w:fill="auto"/>
            <w:noWrap/>
            <w:vAlign w:val="bottom"/>
            <w:hideMark/>
          </w:tcPr>
          <w:p w:rsidR="00F03932" w:rsidRPr="00F03932" w:rsidRDefault="00F03932" w:rsidP="00F03932">
            <w:pPr>
              <w:rPr>
                <w:color w:val="000000"/>
                <w:sz w:val="20"/>
                <w:lang w:val="es-PY" w:eastAsia="es-PY"/>
              </w:rPr>
            </w:pPr>
            <w:r w:rsidRPr="00F03932">
              <w:rPr>
                <w:color w:val="000000"/>
                <w:sz w:val="20"/>
                <w:lang w:val="es-PY" w:eastAsia="es-PY"/>
              </w:rPr>
              <w:t>Horas al año</w:t>
            </w:r>
          </w:p>
        </w:tc>
        <w:tc>
          <w:tcPr>
            <w:tcW w:w="948" w:type="dxa"/>
            <w:tcBorders>
              <w:top w:val="nil"/>
              <w:left w:val="nil"/>
              <w:bottom w:val="single" w:sz="4" w:space="0" w:color="auto"/>
              <w:right w:val="single" w:sz="4" w:space="0" w:color="auto"/>
            </w:tcBorders>
            <w:shd w:val="clear" w:color="auto" w:fill="auto"/>
            <w:noWrap/>
            <w:vAlign w:val="bottom"/>
            <w:hideMark/>
          </w:tcPr>
          <w:p w:rsidR="00F03932" w:rsidRPr="00F03932" w:rsidRDefault="00F03932" w:rsidP="00F03932">
            <w:pPr>
              <w:jc w:val="right"/>
              <w:rPr>
                <w:sz w:val="20"/>
                <w:lang w:val="es-PY" w:eastAsia="es-PY"/>
              </w:rPr>
            </w:pPr>
            <w:r w:rsidRPr="00F03932">
              <w:rPr>
                <w:sz w:val="20"/>
                <w:lang w:val="es-PY" w:eastAsia="es-PY"/>
              </w:rPr>
              <w:t>1</w:t>
            </w:r>
            <w:r w:rsidR="006F47D2">
              <w:rPr>
                <w:sz w:val="20"/>
                <w:lang w:val="es-PY" w:eastAsia="es-PY"/>
              </w:rPr>
              <w:t>.</w:t>
            </w:r>
            <w:r w:rsidRPr="00F03932">
              <w:rPr>
                <w:sz w:val="20"/>
                <w:lang w:val="es-PY" w:eastAsia="es-PY"/>
              </w:rPr>
              <w:t xml:space="preserve">920 </w:t>
            </w:r>
          </w:p>
        </w:tc>
      </w:tr>
    </w:tbl>
    <w:p w:rsidR="00D219B7" w:rsidRPr="00D219B7" w:rsidRDefault="00D219B7" w:rsidP="00054973">
      <w:pPr>
        <w:spacing w:before="240" w:after="120" w:line="240" w:lineRule="atLeast"/>
        <w:ind w:left="709"/>
        <w:jc w:val="both"/>
        <w:rPr>
          <w:bCs/>
          <w:szCs w:val="24"/>
        </w:rPr>
      </w:pPr>
      <w:r w:rsidRPr="00D219B7">
        <w:rPr>
          <w:b/>
          <w:bCs/>
          <w:szCs w:val="24"/>
          <w:lang w:val="es-PY"/>
        </w:rPr>
        <w:lastRenderedPageBreak/>
        <w:t>Área geográfica y plantel de equipos</w:t>
      </w:r>
      <w:r w:rsidRPr="00D219B7">
        <w:rPr>
          <w:bCs/>
          <w:szCs w:val="24"/>
          <w:lang w:val="es-PY"/>
        </w:rPr>
        <w:t xml:space="preserve">. </w:t>
      </w:r>
      <w:r w:rsidRPr="00D219B7">
        <w:rPr>
          <w:bCs/>
          <w:szCs w:val="24"/>
        </w:rPr>
        <w:t>El lote típico de equipos es el empleado en el Convenio de Caazap</w:t>
      </w:r>
      <w:r>
        <w:rPr>
          <w:bCs/>
          <w:szCs w:val="24"/>
        </w:rPr>
        <w:t>á;</w:t>
      </w:r>
      <w:r w:rsidRPr="00D219B7">
        <w:rPr>
          <w:bCs/>
          <w:szCs w:val="24"/>
        </w:rPr>
        <w:t xml:space="preserve"> se aplica su amortización también a la red de caminos asignada</w:t>
      </w:r>
      <w:r>
        <w:rPr>
          <w:bCs/>
          <w:szCs w:val="24"/>
        </w:rPr>
        <w:t xml:space="preserve"> en ese departamento</w:t>
      </w:r>
      <w:r w:rsidRPr="00D219B7">
        <w:rPr>
          <w:bCs/>
          <w:szCs w:val="24"/>
        </w:rPr>
        <w:t>.</w:t>
      </w:r>
    </w:p>
    <w:p w:rsidR="00E521D1" w:rsidRPr="006F47D2" w:rsidRDefault="00054973" w:rsidP="00D219B7">
      <w:pPr>
        <w:keepNext/>
        <w:spacing w:before="240" w:after="120" w:line="240" w:lineRule="atLeast"/>
        <w:ind w:left="709"/>
        <w:jc w:val="both"/>
        <w:rPr>
          <w:b/>
          <w:bCs/>
          <w:sz w:val="22"/>
          <w:szCs w:val="22"/>
        </w:rPr>
      </w:pPr>
      <w:r w:rsidRPr="006F47D2">
        <w:rPr>
          <w:b/>
          <w:bCs/>
          <w:sz w:val="22"/>
          <w:szCs w:val="22"/>
        </w:rPr>
        <w:t>Maquinarias y valor horario a depreciar</w:t>
      </w:r>
    </w:p>
    <w:tbl>
      <w:tblPr>
        <w:tblW w:w="8388" w:type="dxa"/>
        <w:tblInd w:w="779" w:type="dxa"/>
        <w:tblCellMar>
          <w:left w:w="70" w:type="dxa"/>
          <w:right w:w="70" w:type="dxa"/>
        </w:tblCellMar>
        <w:tblLook w:val="04A0" w:firstRow="1" w:lastRow="0" w:firstColumn="1" w:lastColumn="0" w:noHBand="0" w:noVBand="1"/>
      </w:tblPr>
      <w:tblGrid>
        <w:gridCol w:w="2268"/>
        <w:gridCol w:w="709"/>
        <w:gridCol w:w="790"/>
        <w:gridCol w:w="769"/>
        <w:gridCol w:w="542"/>
        <w:gridCol w:w="849"/>
        <w:gridCol w:w="1199"/>
        <w:gridCol w:w="1262"/>
      </w:tblGrid>
      <w:tr w:rsidR="00054973" w:rsidRPr="00054973" w:rsidTr="006F47D2">
        <w:trPr>
          <w:trHeight w:val="557"/>
          <w:tblHeader/>
        </w:trPr>
        <w:tc>
          <w:tcPr>
            <w:tcW w:w="2268" w:type="dxa"/>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rsidR="00054973" w:rsidRPr="00054973" w:rsidRDefault="006F47D2" w:rsidP="00D219B7">
            <w:pPr>
              <w:keepNext/>
              <w:jc w:val="center"/>
              <w:rPr>
                <w:b/>
                <w:bCs/>
                <w:color w:val="000000"/>
                <w:sz w:val="20"/>
                <w:lang w:val="es-PY" w:eastAsia="es-PY"/>
              </w:rPr>
            </w:pPr>
            <w:r>
              <w:rPr>
                <w:b/>
                <w:bCs/>
                <w:color w:val="000000"/>
                <w:sz w:val="20"/>
                <w:lang w:val="es-PY" w:eastAsia="es-PY"/>
              </w:rPr>
              <w:t>Equipos</w:t>
            </w:r>
          </w:p>
        </w:tc>
        <w:tc>
          <w:tcPr>
            <w:tcW w:w="1499" w:type="dxa"/>
            <w:gridSpan w:val="2"/>
            <w:tcBorders>
              <w:top w:val="single" w:sz="4" w:space="0" w:color="auto"/>
              <w:left w:val="nil"/>
              <w:bottom w:val="single" w:sz="4" w:space="0" w:color="auto"/>
              <w:right w:val="single" w:sz="4" w:space="0" w:color="auto"/>
            </w:tcBorders>
            <w:shd w:val="clear" w:color="000000" w:fill="DAEEF3"/>
            <w:vAlign w:val="center"/>
            <w:hideMark/>
          </w:tcPr>
          <w:p w:rsidR="00054973" w:rsidRPr="00054973" w:rsidRDefault="00054973" w:rsidP="00D219B7">
            <w:pPr>
              <w:keepNext/>
              <w:jc w:val="center"/>
              <w:rPr>
                <w:b/>
                <w:bCs/>
                <w:color w:val="000000"/>
                <w:sz w:val="20"/>
                <w:lang w:val="es-PY" w:eastAsia="es-PY"/>
              </w:rPr>
            </w:pPr>
            <w:r>
              <w:rPr>
                <w:b/>
                <w:bCs/>
                <w:color w:val="000000"/>
                <w:sz w:val="20"/>
                <w:lang w:val="es-PY" w:eastAsia="es-PY"/>
              </w:rPr>
              <w:t>P</w:t>
            </w:r>
            <w:r w:rsidRPr="00054973">
              <w:rPr>
                <w:b/>
                <w:bCs/>
                <w:color w:val="000000"/>
                <w:sz w:val="20"/>
                <w:lang w:val="es-PY" w:eastAsia="es-PY"/>
              </w:rPr>
              <w:t>recio de adquisición</w:t>
            </w:r>
          </w:p>
        </w:tc>
        <w:tc>
          <w:tcPr>
            <w:tcW w:w="1311" w:type="dxa"/>
            <w:gridSpan w:val="2"/>
            <w:tcBorders>
              <w:top w:val="single" w:sz="4" w:space="0" w:color="auto"/>
              <w:left w:val="nil"/>
              <w:bottom w:val="single" w:sz="4" w:space="0" w:color="auto"/>
              <w:right w:val="single" w:sz="4" w:space="0" w:color="000000"/>
            </w:tcBorders>
            <w:shd w:val="clear" w:color="000000" w:fill="DAEEF3"/>
            <w:vAlign w:val="center"/>
            <w:hideMark/>
          </w:tcPr>
          <w:p w:rsidR="00054973" w:rsidRPr="00054973" w:rsidRDefault="00054973" w:rsidP="00D219B7">
            <w:pPr>
              <w:keepNext/>
              <w:jc w:val="center"/>
              <w:rPr>
                <w:b/>
                <w:bCs/>
                <w:color w:val="000000"/>
                <w:sz w:val="20"/>
                <w:lang w:val="es-PY" w:eastAsia="es-PY"/>
              </w:rPr>
            </w:pPr>
            <w:r>
              <w:rPr>
                <w:b/>
                <w:bCs/>
                <w:color w:val="000000"/>
                <w:sz w:val="20"/>
                <w:lang w:val="es-PY" w:eastAsia="es-PY"/>
              </w:rPr>
              <w:t>V</w:t>
            </w:r>
            <w:r w:rsidRPr="00054973">
              <w:rPr>
                <w:b/>
                <w:bCs/>
                <w:color w:val="000000"/>
                <w:sz w:val="20"/>
                <w:lang w:val="es-PY" w:eastAsia="es-PY"/>
              </w:rPr>
              <w:t>ida útil</w:t>
            </w:r>
          </w:p>
        </w:tc>
        <w:tc>
          <w:tcPr>
            <w:tcW w:w="849" w:type="dxa"/>
            <w:tcBorders>
              <w:top w:val="single" w:sz="4" w:space="0" w:color="auto"/>
              <w:left w:val="nil"/>
              <w:bottom w:val="single" w:sz="4" w:space="0" w:color="auto"/>
              <w:right w:val="single" w:sz="4" w:space="0" w:color="auto"/>
            </w:tcBorders>
            <w:shd w:val="clear" w:color="000000" w:fill="DAEEF3"/>
            <w:vAlign w:val="center"/>
            <w:hideMark/>
          </w:tcPr>
          <w:p w:rsidR="00054973" w:rsidRPr="00054973" w:rsidRDefault="00054973" w:rsidP="00D219B7">
            <w:pPr>
              <w:keepNext/>
              <w:jc w:val="center"/>
              <w:rPr>
                <w:b/>
                <w:bCs/>
                <w:color w:val="000000"/>
                <w:sz w:val="20"/>
                <w:lang w:val="es-PY" w:eastAsia="es-PY"/>
              </w:rPr>
            </w:pPr>
            <w:r>
              <w:rPr>
                <w:b/>
                <w:bCs/>
                <w:color w:val="000000"/>
                <w:sz w:val="20"/>
                <w:lang w:val="es-PY" w:eastAsia="es-PY"/>
              </w:rPr>
              <w:t>V</w:t>
            </w:r>
            <w:r w:rsidRPr="00054973">
              <w:rPr>
                <w:b/>
                <w:bCs/>
                <w:color w:val="000000"/>
                <w:sz w:val="20"/>
                <w:lang w:val="es-PY" w:eastAsia="es-PY"/>
              </w:rPr>
              <w:t>alor residual</w:t>
            </w:r>
          </w:p>
        </w:tc>
        <w:tc>
          <w:tcPr>
            <w:tcW w:w="1199" w:type="dxa"/>
            <w:tcBorders>
              <w:top w:val="single" w:sz="4" w:space="0" w:color="auto"/>
              <w:left w:val="nil"/>
              <w:bottom w:val="single" w:sz="4" w:space="0" w:color="auto"/>
              <w:right w:val="single" w:sz="4" w:space="0" w:color="auto"/>
            </w:tcBorders>
            <w:shd w:val="clear" w:color="000000" w:fill="DAEEF3"/>
            <w:vAlign w:val="center"/>
            <w:hideMark/>
          </w:tcPr>
          <w:p w:rsidR="00054973" w:rsidRPr="00054973" w:rsidRDefault="00054973" w:rsidP="00D219B7">
            <w:pPr>
              <w:keepNext/>
              <w:jc w:val="center"/>
              <w:rPr>
                <w:b/>
                <w:bCs/>
                <w:color w:val="000000"/>
                <w:sz w:val="20"/>
                <w:lang w:val="es-PY" w:eastAsia="es-PY"/>
              </w:rPr>
            </w:pPr>
            <w:r>
              <w:rPr>
                <w:b/>
                <w:bCs/>
                <w:color w:val="000000"/>
                <w:sz w:val="20"/>
                <w:lang w:val="es-PY" w:eastAsia="es-PY"/>
              </w:rPr>
              <w:t>V</w:t>
            </w:r>
            <w:r w:rsidRPr="00054973">
              <w:rPr>
                <w:b/>
                <w:bCs/>
                <w:color w:val="000000"/>
                <w:sz w:val="20"/>
                <w:lang w:val="es-PY" w:eastAsia="es-PY"/>
              </w:rPr>
              <w:t>alor a depreciar</w:t>
            </w:r>
          </w:p>
        </w:tc>
        <w:tc>
          <w:tcPr>
            <w:tcW w:w="1262" w:type="dxa"/>
            <w:tcBorders>
              <w:top w:val="single" w:sz="4" w:space="0" w:color="auto"/>
              <w:left w:val="nil"/>
              <w:bottom w:val="single" w:sz="4" w:space="0" w:color="auto"/>
              <w:right w:val="single" w:sz="4" w:space="0" w:color="auto"/>
            </w:tcBorders>
            <w:shd w:val="clear" w:color="000000" w:fill="DAEEF3"/>
            <w:vAlign w:val="center"/>
            <w:hideMark/>
          </w:tcPr>
          <w:p w:rsidR="00054973" w:rsidRPr="00054973" w:rsidRDefault="006F47D2" w:rsidP="00D219B7">
            <w:pPr>
              <w:keepNext/>
              <w:jc w:val="center"/>
              <w:rPr>
                <w:b/>
                <w:bCs/>
                <w:color w:val="000000"/>
                <w:sz w:val="20"/>
                <w:lang w:val="es-PY" w:eastAsia="es-PY"/>
              </w:rPr>
            </w:pPr>
            <w:r>
              <w:rPr>
                <w:b/>
                <w:bCs/>
                <w:color w:val="000000"/>
                <w:sz w:val="20"/>
                <w:lang w:val="es-PY" w:eastAsia="es-PY"/>
              </w:rPr>
              <w:t>Depreciación horaria</w:t>
            </w:r>
          </w:p>
        </w:tc>
      </w:tr>
      <w:tr w:rsidR="00054973" w:rsidRPr="00054973" w:rsidTr="006F47D2">
        <w:trPr>
          <w:trHeight w:val="255"/>
          <w:tblHeader/>
        </w:trPr>
        <w:tc>
          <w:tcPr>
            <w:tcW w:w="2268" w:type="dxa"/>
            <w:vMerge/>
            <w:tcBorders>
              <w:top w:val="single" w:sz="4" w:space="0" w:color="auto"/>
              <w:left w:val="single" w:sz="4" w:space="0" w:color="auto"/>
              <w:bottom w:val="single" w:sz="4" w:space="0" w:color="auto"/>
              <w:right w:val="single" w:sz="4" w:space="0" w:color="auto"/>
            </w:tcBorders>
            <w:vAlign w:val="center"/>
            <w:hideMark/>
          </w:tcPr>
          <w:p w:rsidR="00054973" w:rsidRPr="00054973" w:rsidRDefault="00054973" w:rsidP="00D219B7">
            <w:pPr>
              <w:keepNext/>
              <w:rPr>
                <w:b/>
                <w:bCs/>
                <w:color w:val="000000"/>
                <w:sz w:val="20"/>
                <w:lang w:val="es-PY" w:eastAsia="es-PY"/>
              </w:rPr>
            </w:pPr>
          </w:p>
        </w:tc>
        <w:tc>
          <w:tcPr>
            <w:tcW w:w="709" w:type="dxa"/>
            <w:tcBorders>
              <w:top w:val="nil"/>
              <w:left w:val="nil"/>
              <w:bottom w:val="single" w:sz="4" w:space="0" w:color="auto"/>
              <w:right w:val="single" w:sz="4" w:space="0" w:color="auto"/>
            </w:tcBorders>
            <w:shd w:val="clear" w:color="000000" w:fill="DAEEF3"/>
            <w:noWrap/>
            <w:hideMark/>
          </w:tcPr>
          <w:p w:rsidR="00054973" w:rsidRPr="00054973" w:rsidRDefault="006F47D2" w:rsidP="00D219B7">
            <w:pPr>
              <w:keepNext/>
              <w:jc w:val="center"/>
              <w:rPr>
                <w:b/>
                <w:bCs/>
                <w:color w:val="000000"/>
                <w:sz w:val="18"/>
                <w:szCs w:val="18"/>
                <w:lang w:val="en-US" w:eastAsia="es-PY"/>
              </w:rPr>
            </w:pPr>
            <w:r>
              <w:rPr>
                <w:b/>
                <w:bCs/>
                <w:color w:val="000000"/>
                <w:sz w:val="18"/>
                <w:szCs w:val="18"/>
                <w:lang w:val="en-US" w:eastAsia="es-PY"/>
              </w:rPr>
              <w:t>HP</w:t>
            </w:r>
          </w:p>
        </w:tc>
        <w:tc>
          <w:tcPr>
            <w:tcW w:w="790" w:type="dxa"/>
            <w:tcBorders>
              <w:top w:val="nil"/>
              <w:left w:val="nil"/>
              <w:bottom w:val="single" w:sz="4" w:space="0" w:color="auto"/>
              <w:right w:val="single" w:sz="4" w:space="0" w:color="auto"/>
            </w:tcBorders>
            <w:shd w:val="clear" w:color="000000" w:fill="DAEEF3"/>
            <w:noWrap/>
            <w:hideMark/>
          </w:tcPr>
          <w:p w:rsidR="00054973" w:rsidRPr="00054973" w:rsidRDefault="006F47D2" w:rsidP="00D219B7">
            <w:pPr>
              <w:keepNext/>
              <w:jc w:val="center"/>
              <w:rPr>
                <w:b/>
                <w:bCs/>
                <w:color w:val="000000"/>
                <w:sz w:val="18"/>
                <w:szCs w:val="18"/>
                <w:lang w:val="en-US" w:eastAsia="es-PY"/>
              </w:rPr>
            </w:pPr>
            <w:r>
              <w:rPr>
                <w:b/>
                <w:bCs/>
                <w:color w:val="000000"/>
                <w:sz w:val="18"/>
                <w:szCs w:val="18"/>
                <w:lang w:val="en-US" w:eastAsia="es-PY"/>
              </w:rPr>
              <w:t>US$</w:t>
            </w:r>
          </w:p>
        </w:tc>
        <w:tc>
          <w:tcPr>
            <w:tcW w:w="769" w:type="dxa"/>
            <w:tcBorders>
              <w:top w:val="nil"/>
              <w:left w:val="nil"/>
              <w:bottom w:val="single" w:sz="4" w:space="0" w:color="auto"/>
              <w:right w:val="single" w:sz="4" w:space="0" w:color="auto"/>
            </w:tcBorders>
            <w:shd w:val="clear" w:color="000000" w:fill="DAEEF3"/>
            <w:noWrap/>
            <w:hideMark/>
          </w:tcPr>
          <w:p w:rsidR="00054973" w:rsidRPr="00054973" w:rsidRDefault="00054973" w:rsidP="00D219B7">
            <w:pPr>
              <w:keepNext/>
              <w:jc w:val="center"/>
              <w:rPr>
                <w:b/>
                <w:bCs/>
                <w:color w:val="000000"/>
                <w:sz w:val="18"/>
                <w:szCs w:val="18"/>
                <w:lang w:val="en-US" w:eastAsia="es-PY"/>
              </w:rPr>
            </w:pPr>
            <w:r w:rsidRPr="00054973">
              <w:rPr>
                <w:b/>
                <w:bCs/>
                <w:color w:val="000000"/>
                <w:sz w:val="18"/>
                <w:szCs w:val="18"/>
                <w:lang w:val="en-US" w:eastAsia="es-PY"/>
              </w:rPr>
              <w:t>horas</w:t>
            </w:r>
          </w:p>
        </w:tc>
        <w:tc>
          <w:tcPr>
            <w:tcW w:w="542" w:type="dxa"/>
            <w:tcBorders>
              <w:top w:val="nil"/>
              <w:left w:val="nil"/>
              <w:bottom w:val="single" w:sz="4" w:space="0" w:color="auto"/>
              <w:right w:val="single" w:sz="4" w:space="0" w:color="auto"/>
            </w:tcBorders>
            <w:shd w:val="clear" w:color="000000" w:fill="DAEEF3"/>
            <w:noWrap/>
            <w:hideMark/>
          </w:tcPr>
          <w:p w:rsidR="00054973" w:rsidRPr="00054973" w:rsidRDefault="00054973" w:rsidP="00D219B7">
            <w:pPr>
              <w:keepNext/>
              <w:jc w:val="center"/>
              <w:rPr>
                <w:b/>
                <w:bCs/>
                <w:color w:val="000000"/>
                <w:sz w:val="18"/>
                <w:szCs w:val="18"/>
                <w:lang w:val="en-US" w:eastAsia="es-PY"/>
              </w:rPr>
            </w:pPr>
            <w:proofErr w:type="spellStart"/>
            <w:r>
              <w:rPr>
                <w:b/>
                <w:bCs/>
                <w:color w:val="000000"/>
                <w:sz w:val="18"/>
                <w:szCs w:val="18"/>
                <w:lang w:val="en-US" w:eastAsia="es-PY"/>
              </w:rPr>
              <w:t>años</w:t>
            </w:r>
            <w:proofErr w:type="spellEnd"/>
          </w:p>
        </w:tc>
        <w:tc>
          <w:tcPr>
            <w:tcW w:w="849" w:type="dxa"/>
            <w:tcBorders>
              <w:top w:val="nil"/>
              <w:left w:val="nil"/>
              <w:bottom w:val="single" w:sz="4" w:space="0" w:color="auto"/>
              <w:right w:val="single" w:sz="4" w:space="0" w:color="auto"/>
            </w:tcBorders>
            <w:shd w:val="clear" w:color="000000" w:fill="DAEEF3"/>
            <w:noWrap/>
            <w:hideMark/>
          </w:tcPr>
          <w:p w:rsidR="00054973" w:rsidRPr="00054973" w:rsidRDefault="006F47D2" w:rsidP="00D219B7">
            <w:pPr>
              <w:keepNext/>
              <w:jc w:val="center"/>
              <w:rPr>
                <w:b/>
                <w:bCs/>
                <w:sz w:val="18"/>
                <w:szCs w:val="18"/>
                <w:lang w:val="en-US" w:eastAsia="es-PY"/>
              </w:rPr>
            </w:pPr>
            <w:r>
              <w:rPr>
                <w:b/>
                <w:bCs/>
                <w:sz w:val="18"/>
                <w:szCs w:val="18"/>
                <w:lang w:val="en-US" w:eastAsia="es-PY"/>
              </w:rPr>
              <w:t>US$</w:t>
            </w:r>
          </w:p>
        </w:tc>
        <w:tc>
          <w:tcPr>
            <w:tcW w:w="1199" w:type="dxa"/>
            <w:tcBorders>
              <w:top w:val="nil"/>
              <w:left w:val="nil"/>
              <w:bottom w:val="single" w:sz="4" w:space="0" w:color="auto"/>
              <w:right w:val="single" w:sz="4" w:space="0" w:color="auto"/>
            </w:tcBorders>
            <w:shd w:val="clear" w:color="000000" w:fill="DAEEF3"/>
            <w:noWrap/>
            <w:hideMark/>
          </w:tcPr>
          <w:p w:rsidR="00054973" w:rsidRPr="00054973" w:rsidRDefault="006F47D2" w:rsidP="00D219B7">
            <w:pPr>
              <w:keepNext/>
              <w:jc w:val="center"/>
              <w:rPr>
                <w:b/>
                <w:bCs/>
                <w:sz w:val="18"/>
                <w:szCs w:val="18"/>
                <w:lang w:val="en-US" w:eastAsia="es-PY"/>
              </w:rPr>
            </w:pPr>
            <w:r>
              <w:rPr>
                <w:b/>
                <w:bCs/>
                <w:sz w:val="18"/>
                <w:szCs w:val="18"/>
                <w:lang w:val="en-US" w:eastAsia="es-PY"/>
              </w:rPr>
              <w:t>US$</w:t>
            </w:r>
          </w:p>
        </w:tc>
        <w:tc>
          <w:tcPr>
            <w:tcW w:w="1262" w:type="dxa"/>
            <w:tcBorders>
              <w:top w:val="nil"/>
              <w:left w:val="nil"/>
              <w:bottom w:val="single" w:sz="4" w:space="0" w:color="auto"/>
              <w:right w:val="single" w:sz="4" w:space="0" w:color="auto"/>
            </w:tcBorders>
            <w:shd w:val="clear" w:color="000000" w:fill="DAEEF3"/>
            <w:noWrap/>
            <w:hideMark/>
          </w:tcPr>
          <w:p w:rsidR="00054973" w:rsidRPr="00054973" w:rsidRDefault="006F47D2" w:rsidP="00D219B7">
            <w:pPr>
              <w:keepNext/>
              <w:jc w:val="center"/>
              <w:rPr>
                <w:b/>
                <w:bCs/>
                <w:sz w:val="18"/>
                <w:szCs w:val="18"/>
                <w:lang w:val="en-US" w:eastAsia="es-PY"/>
              </w:rPr>
            </w:pPr>
            <w:r>
              <w:rPr>
                <w:b/>
                <w:bCs/>
                <w:sz w:val="18"/>
                <w:szCs w:val="18"/>
                <w:lang w:val="en-US" w:eastAsia="es-PY"/>
              </w:rPr>
              <w:t>US$</w:t>
            </w:r>
          </w:p>
        </w:tc>
      </w:tr>
      <w:tr w:rsidR="00054973" w:rsidRPr="00054973" w:rsidTr="006F47D2">
        <w:trPr>
          <w:trHeight w:val="360"/>
        </w:trPr>
        <w:tc>
          <w:tcPr>
            <w:tcW w:w="2268" w:type="dxa"/>
            <w:tcBorders>
              <w:top w:val="nil"/>
              <w:left w:val="single" w:sz="4" w:space="0" w:color="auto"/>
              <w:bottom w:val="single" w:sz="4" w:space="0" w:color="auto"/>
              <w:right w:val="single" w:sz="4" w:space="0" w:color="auto"/>
            </w:tcBorders>
            <w:shd w:val="clear" w:color="auto" w:fill="auto"/>
            <w:noWrap/>
            <w:hideMark/>
          </w:tcPr>
          <w:p w:rsidR="00054973" w:rsidRPr="00054973" w:rsidRDefault="00054973" w:rsidP="006F47D2">
            <w:pPr>
              <w:rPr>
                <w:color w:val="000000"/>
                <w:sz w:val="20"/>
                <w:lang w:val="en-US" w:eastAsia="es-PY"/>
              </w:rPr>
            </w:pPr>
            <w:proofErr w:type="spellStart"/>
            <w:r w:rsidRPr="00054973">
              <w:rPr>
                <w:color w:val="000000"/>
                <w:sz w:val="20"/>
                <w:lang w:val="en-US" w:eastAsia="es-PY"/>
              </w:rPr>
              <w:t>Motoniveladora</w:t>
            </w:r>
            <w:proofErr w:type="spellEnd"/>
            <w:r w:rsidRPr="00054973">
              <w:rPr>
                <w:color w:val="000000"/>
                <w:sz w:val="20"/>
                <w:lang w:val="en-US" w:eastAsia="es-PY"/>
              </w:rPr>
              <w:t xml:space="preserve"> CAT </w:t>
            </w:r>
            <w:r w:rsidR="006F47D2">
              <w:rPr>
                <w:color w:val="000000"/>
                <w:sz w:val="20"/>
                <w:lang w:val="en-US" w:eastAsia="es-PY"/>
              </w:rPr>
              <w:t>1</w:t>
            </w:r>
            <w:r w:rsidRPr="00054973">
              <w:rPr>
                <w:color w:val="000000"/>
                <w:sz w:val="20"/>
                <w:lang w:val="en-US" w:eastAsia="es-PY"/>
              </w:rPr>
              <w:t>20K</w:t>
            </w:r>
          </w:p>
        </w:tc>
        <w:tc>
          <w:tcPr>
            <w:tcW w:w="70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n-US" w:eastAsia="es-PY"/>
              </w:rPr>
            </w:pPr>
            <w:r w:rsidRPr="00054973">
              <w:rPr>
                <w:color w:val="000000"/>
                <w:sz w:val="20"/>
                <w:lang w:val="en-US" w:eastAsia="es-PY"/>
              </w:rPr>
              <w:t>125</w:t>
            </w:r>
          </w:p>
        </w:tc>
        <w:tc>
          <w:tcPr>
            <w:tcW w:w="790"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n-US" w:eastAsia="es-PY"/>
              </w:rPr>
            </w:pPr>
            <w:r w:rsidRPr="00054973">
              <w:rPr>
                <w:color w:val="000000"/>
                <w:sz w:val="20"/>
                <w:lang w:val="en-US" w:eastAsia="es-PY"/>
              </w:rPr>
              <w:t>240.000</w:t>
            </w:r>
          </w:p>
        </w:tc>
        <w:tc>
          <w:tcPr>
            <w:tcW w:w="76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n-US" w:eastAsia="es-PY"/>
              </w:rPr>
            </w:pPr>
            <w:r w:rsidRPr="00054973">
              <w:rPr>
                <w:color w:val="000000"/>
                <w:sz w:val="20"/>
                <w:lang w:val="en-US" w:eastAsia="es-PY"/>
              </w:rPr>
              <w:t>10.000</w:t>
            </w:r>
          </w:p>
        </w:tc>
        <w:tc>
          <w:tcPr>
            <w:tcW w:w="542"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n-US" w:eastAsia="es-PY"/>
              </w:rPr>
            </w:pPr>
            <w:r w:rsidRPr="00054973">
              <w:rPr>
                <w:color w:val="000000"/>
                <w:sz w:val="20"/>
                <w:lang w:val="en-US" w:eastAsia="es-PY"/>
              </w:rPr>
              <w:t>5</w:t>
            </w:r>
          </w:p>
        </w:tc>
        <w:tc>
          <w:tcPr>
            <w:tcW w:w="84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n-US" w:eastAsia="es-PY"/>
              </w:rPr>
            </w:pPr>
            <w:r w:rsidRPr="00054973">
              <w:rPr>
                <w:color w:val="000000"/>
                <w:sz w:val="20"/>
                <w:lang w:val="en-US" w:eastAsia="es-PY"/>
              </w:rPr>
              <w:t>48.000</w:t>
            </w:r>
          </w:p>
        </w:tc>
        <w:tc>
          <w:tcPr>
            <w:tcW w:w="119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n-US" w:eastAsia="es-PY"/>
              </w:rPr>
            </w:pPr>
            <w:r w:rsidRPr="00054973">
              <w:rPr>
                <w:color w:val="000000"/>
                <w:sz w:val="20"/>
                <w:lang w:val="en-US" w:eastAsia="es-PY"/>
              </w:rPr>
              <w:t>192.000</w:t>
            </w:r>
          </w:p>
        </w:tc>
        <w:tc>
          <w:tcPr>
            <w:tcW w:w="1262"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n-US" w:eastAsia="es-PY"/>
              </w:rPr>
            </w:pPr>
            <w:r w:rsidRPr="00054973">
              <w:rPr>
                <w:color w:val="000000"/>
                <w:sz w:val="20"/>
                <w:lang w:val="en-US" w:eastAsia="es-PY"/>
              </w:rPr>
              <w:t>19,2</w:t>
            </w:r>
          </w:p>
        </w:tc>
      </w:tr>
      <w:tr w:rsidR="00054973" w:rsidRPr="00054973" w:rsidTr="006F47D2">
        <w:trPr>
          <w:trHeight w:val="249"/>
        </w:trPr>
        <w:tc>
          <w:tcPr>
            <w:tcW w:w="2268" w:type="dxa"/>
            <w:tcBorders>
              <w:top w:val="nil"/>
              <w:left w:val="single" w:sz="4" w:space="0" w:color="auto"/>
              <w:bottom w:val="single" w:sz="4" w:space="0" w:color="auto"/>
              <w:right w:val="single" w:sz="4" w:space="0" w:color="auto"/>
            </w:tcBorders>
            <w:shd w:val="clear" w:color="auto" w:fill="auto"/>
            <w:noWrap/>
            <w:hideMark/>
          </w:tcPr>
          <w:p w:rsidR="00054973" w:rsidRPr="00054973" w:rsidRDefault="00054973" w:rsidP="006F47D2">
            <w:pPr>
              <w:rPr>
                <w:color w:val="000000"/>
                <w:sz w:val="20"/>
                <w:lang w:val="es-PY" w:eastAsia="es-PY"/>
              </w:rPr>
            </w:pPr>
            <w:r w:rsidRPr="00054973">
              <w:rPr>
                <w:color w:val="000000"/>
                <w:sz w:val="20"/>
                <w:lang w:val="en-US" w:eastAsia="es-PY"/>
              </w:rPr>
              <w:t>Pa</w:t>
            </w:r>
            <w:r w:rsidRPr="00054973">
              <w:rPr>
                <w:color w:val="000000"/>
                <w:sz w:val="20"/>
                <w:lang w:val="es-PY" w:eastAsia="es-PY"/>
              </w:rPr>
              <w:t>la Cargadora 1,3 m</w:t>
            </w:r>
            <w:r w:rsidRPr="00054973">
              <w:rPr>
                <w:color w:val="000000"/>
                <w:sz w:val="20"/>
                <w:vertAlign w:val="superscript"/>
                <w:lang w:val="es-PY" w:eastAsia="es-PY"/>
              </w:rPr>
              <w:t>3</w:t>
            </w:r>
          </w:p>
        </w:tc>
        <w:tc>
          <w:tcPr>
            <w:tcW w:w="70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105</w:t>
            </w:r>
          </w:p>
        </w:tc>
        <w:tc>
          <w:tcPr>
            <w:tcW w:w="790"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165.000</w:t>
            </w:r>
          </w:p>
        </w:tc>
        <w:tc>
          <w:tcPr>
            <w:tcW w:w="76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10.000</w:t>
            </w:r>
          </w:p>
        </w:tc>
        <w:tc>
          <w:tcPr>
            <w:tcW w:w="542"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5</w:t>
            </w:r>
          </w:p>
        </w:tc>
        <w:tc>
          <w:tcPr>
            <w:tcW w:w="84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33.000</w:t>
            </w:r>
          </w:p>
        </w:tc>
        <w:tc>
          <w:tcPr>
            <w:tcW w:w="119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132.000</w:t>
            </w:r>
          </w:p>
        </w:tc>
        <w:tc>
          <w:tcPr>
            <w:tcW w:w="1262"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13,2</w:t>
            </w:r>
          </w:p>
        </w:tc>
      </w:tr>
      <w:tr w:rsidR="00054973" w:rsidRPr="00054973" w:rsidTr="006F47D2">
        <w:trPr>
          <w:trHeight w:val="267"/>
        </w:trPr>
        <w:tc>
          <w:tcPr>
            <w:tcW w:w="2268" w:type="dxa"/>
            <w:tcBorders>
              <w:top w:val="nil"/>
              <w:left w:val="single" w:sz="4" w:space="0" w:color="auto"/>
              <w:bottom w:val="single" w:sz="4" w:space="0" w:color="auto"/>
              <w:right w:val="single" w:sz="4" w:space="0" w:color="auto"/>
            </w:tcBorders>
            <w:shd w:val="clear" w:color="auto" w:fill="auto"/>
            <w:noWrap/>
            <w:hideMark/>
          </w:tcPr>
          <w:p w:rsidR="00054973" w:rsidRPr="00054973" w:rsidRDefault="00054973" w:rsidP="006F47D2">
            <w:pPr>
              <w:rPr>
                <w:color w:val="000000"/>
                <w:sz w:val="20"/>
                <w:lang w:val="es-PY" w:eastAsia="es-PY"/>
              </w:rPr>
            </w:pPr>
            <w:r w:rsidRPr="00054973">
              <w:rPr>
                <w:color w:val="000000"/>
                <w:sz w:val="20"/>
                <w:lang w:val="es-PY" w:eastAsia="es-PY"/>
              </w:rPr>
              <w:t xml:space="preserve">Retro </w:t>
            </w:r>
            <w:proofErr w:type="spellStart"/>
            <w:r w:rsidRPr="00054973">
              <w:rPr>
                <w:color w:val="000000"/>
                <w:sz w:val="20"/>
                <w:lang w:val="es-PY" w:eastAsia="es-PY"/>
              </w:rPr>
              <w:t>Excav</w:t>
            </w:r>
            <w:proofErr w:type="spellEnd"/>
            <w:r w:rsidRPr="00054973">
              <w:rPr>
                <w:color w:val="000000"/>
                <w:sz w:val="20"/>
                <w:lang w:val="es-PY" w:eastAsia="es-PY"/>
              </w:rPr>
              <w:t xml:space="preserve">. </w:t>
            </w:r>
            <w:proofErr w:type="spellStart"/>
            <w:r w:rsidRPr="00054973">
              <w:rPr>
                <w:color w:val="000000"/>
                <w:sz w:val="20"/>
                <w:lang w:val="es-PY" w:eastAsia="es-PY"/>
              </w:rPr>
              <w:t>Cat</w:t>
            </w:r>
            <w:proofErr w:type="spellEnd"/>
            <w:r w:rsidRPr="00054973">
              <w:rPr>
                <w:color w:val="000000"/>
                <w:sz w:val="20"/>
                <w:lang w:val="es-PY" w:eastAsia="es-PY"/>
              </w:rPr>
              <w:t xml:space="preserve"> 416E</w:t>
            </w:r>
          </w:p>
        </w:tc>
        <w:tc>
          <w:tcPr>
            <w:tcW w:w="70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130</w:t>
            </w:r>
          </w:p>
        </w:tc>
        <w:tc>
          <w:tcPr>
            <w:tcW w:w="790"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98.000</w:t>
            </w:r>
          </w:p>
        </w:tc>
        <w:tc>
          <w:tcPr>
            <w:tcW w:w="76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10.000</w:t>
            </w:r>
          </w:p>
        </w:tc>
        <w:tc>
          <w:tcPr>
            <w:tcW w:w="542"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5</w:t>
            </w:r>
          </w:p>
        </w:tc>
        <w:tc>
          <w:tcPr>
            <w:tcW w:w="84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19.600</w:t>
            </w:r>
          </w:p>
        </w:tc>
        <w:tc>
          <w:tcPr>
            <w:tcW w:w="119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78.400</w:t>
            </w:r>
          </w:p>
        </w:tc>
        <w:tc>
          <w:tcPr>
            <w:tcW w:w="1262"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7,8</w:t>
            </w:r>
          </w:p>
        </w:tc>
      </w:tr>
      <w:tr w:rsidR="00054973" w:rsidRPr="00054973" w:rsidTr="006F47D2">
        <w:trPr>
          <w:trHeight w:val="300"/>
        </w:trPr>
        <w:tc>
          <w:tcPr>
            <w:tcW w:w="2268" w:type="dxa"/>
            <w:tcBorders>
              <w:top w:val="nil"/>
              <w:left w:val="single" w:sz="4" w:space="0" w:color="auto"/>
              <w:bottom w:val="single" w:sz="4" w:space="0" w:color="auto"/>
              <w:right w:val="single" w:sz="4" w:space="0" w:color="auto"/>
            </w:tcBorders>
            <w:shd w:val="clear" w:color="auto" w:fill="auto"/>
            <w:noWrap/>
            <w:hideMark/>
          </w:tcPr>
          <w:p w:rsidR="00054973" w:rsidRPr="00054973" w:rsidRDefault="00054973" w:rsidP="006F47D2">
            <w:pPr>
              <w:rPr>
                <w:color w:val="000000"/>
                <w:sz w:val="20"/>
                <w:lang w:val="es-PY" w:eastAsia="es-PY"/>
              </w:rPr>
            </w:pPr>
            <w:r w:rsidRPr="00054973">
              <w:rPr>
                <w:color w:val="000000"/>
                <w:sz w:val="20"/>
                <w:lang w:val="es-PY" w:eastAsia="es-PY"/>
              </w:rPr>
              <w:t xml:space="preserve">Camión Volquete (10 </w:t>
            </w:r>
            <w:proofErr w:type="spellStart"/>
            <w:r w:rsidRPr="00054973">
              <w:rPr>
                <w:color w:val="000000"/>
                <w:sz w:val="20"/>
                <w:lang w:val="es-PY" w:eastAsia="es-PY"/>
              </w:rPr>
              <w:t>Tn</w:t>
            </w:r>
            <w:proofErr w:type="spellEnd"/>
            <w:r w:rsidRPr="00054973">
              <w:rPr>
                <w:color w:val="000000"/>
                <w:sz w:val="20"/>
                <w:lang w:val="es-PY" w:eastAsia="es-PY"/>
              </w:rPr>
              <w:t>.)</w:t>
            </w:r>
          </w:p>
        </w:tc>
        <w:tc>
          <w:tcPr>
            <w:tcW w:w="70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136</w:t>
            </w:r>
          </w:p>
        </w:tc>
        <w:tc>
          <w:tcPr>
            <w:tcW w:w="790"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75.000</w:t>
            </w:r>
          </w:p>
        </w:tc>
        <w:tc>
          <w:tcPr>
            <w:tcW w:w="76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10.000</w:t>
            </w:r>
          </w:p>
        </w:tc>
        <w:tc>
          <w:tcPr>
            <w:tcW w:w="542"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5</w:t>
            </w:r>
          </w:p>
        </w:tc>
        <w:tc>
          <w:tcPr>
            <w:tcW w:w="84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15.000</w:t>
            </w:r>
          </w:p>
        </w:tc>
        <w:tc>
          <w:tcPr>
            <w:tcW w:w="119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60.000</w:t>
            </w:r>
          </w:p>
        </w:tc>
        <w:tc>
          <w:tcPr>
            <w:tcW w:w="1262"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6,0</w:t>
            </w:r>
          </w:p>
        </w:tc>
      </w:tr>
      <w:tr w:rsidR="00054973" w:rsidRPr="00054973" w:rsidTr="006F47D2">
        <w:trPr>
          <w:trHeight w:val="134"/>
        </w:trPr>
        <w:tc>
          <w:tcPr>
            <w:tcW w:w="2268" w:type="dxa"/>
            <w:tcBorders>
              <w:top w:val="nil"/>
              <w:left w:val="single" w:sz="4" w:space="0" w:color="auto"/>
              <w:bottom w:val="single" w:sz="4" w:space="0" w:color="auto"/>
              <w:right w:val="single" w:sz="4" w:space="0" w:color="auto"/>
            </w:tcBorders>
            <w:shd w:val="clear" w:color="auto" w:fill="auto"/>
            <w:noWrap/>
            <w:hideMark/>
          </w:tcPr>
          <w:p w:rsidR="00054973" w:rsidRPr="00054973" w:rsidRDefault="00054973" w:rsidP="006F47D2">
            <w:pPr>
              <w:rPr>
                <w:color w:val="000000"/>
                <w:sz w:val="20"/>
                <w:lang w:val="es-PY" w:eastAsia="es-PY"/>
              </w:rPr>
            </w:pPr>
            <w:r w:rsidRPr="00054973">
              <w:rPr>
                <w:color w:val="000000"/>
                <w:sz w:val="20"/>
                <w:lang w:val="es-PY" w:eastAsia="es-PY"/>
              </w:rPr>
              <w:t>Camión Volquete (17Tn.)</w:t>
            </w:r>
          </w:p>
        </w:tc>
        <w:tc>
          <w:tcPr>
            <w:tcW w:w="70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145</w:t>
            </w:r>
          </w:p>
        </w:tc>
        <w:tc>
          <w:tcPr>
            <w:tcW w:w="790"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95.000</w:t>
            </w:r>
          </w:p>
        </w:tc>
        <w:tc>
          <w:tcPr>
            <w:tcW w:w="76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10.000</w:t>
            </w:r>
          </w:p>
        </w:tc>
        <w:tc>
          <w:tcPr>
            <w:tcW w:w="542"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5</w:t>
            </w:r>
          </w:p>
        </w:tc>
        <w:tc>
          <w:tcPr>
            <w:tcW w:w="84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19.000</w:t>
            </w:r>
          </w:p>
        </w:tc>
        <w:tc>
          <w:tcPr>
            <w:tcW w:w="1199"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76.000</w:t>
            </w:r>
          </w:p>
        </w:tc>
        <w:tc>
          <w:tcPr>
            <w:tcW w:w="1262" w:type="dxa"/>
            <w:tcBorders>
              <w:top w:val="nil"/>
              <w:left w:val="nil"/>
              <w:bottom w:val="single" w:sz="4" w:space="0" w:color="auto"/>
              <w:right w:val="single" w:sz="4" w:space="0" w:color="auto"/>
            </w:tcBorders>
            <w:shd w:val="clear" w:color="auto" w:fill="auto"/>
            <w:noWrap/>
            <w:hideMark/>
          </w:tcPr>
          <w:p w:rsidR="00054973" w:rsidRPr="00054973" w:rsidRDefault="00054973" w:rsidP="006F47D2">
            <w:pPr>
              <w:jc w:val="center"/>
              <w:rPr>
                <w:color w:val="000000"/>
                <w:sz w:val="20"/>
                <w:lang w:val="es-PY" w:eastAsia="es-PY"/>
              </w:rPr>
            </w:pPr>
            <w:r w:rsidRPr="00054973">
              <w:rPr>
                <w:color w:val="000000"/>
                <w:sz w:val="20"/>
                <w:lang w:val="es-PY" w:eastAsia="es-PY"/>
              </w:rPr>
              <w:t>7,6</w:t>
            </w:r>
          </w:p>
        </w:tc>
      </w:tr>
    </w:tbl>
    <w:p w:rsidR="006F47D2" w:rsidRPr="006F47D2" w:rsidRDefault="006F47D2" w:rsidP="006F47D2">
      <w:pPr>
        <w:spacing w:before="240" w:after="120" w:line="240" w:lineRule="atLeast"/>
        <w:ind w:left="709"/>
        <w:jc w:val="both"/>
        <w:rPr>
          <w:b/>
          <w:bCs/>
          <w:sz w:val="22"/>
          <w:szCs w:val="22"/>
        </w:rPr>
      </w:pPr>
      <w:r>
        <w:rPr>
          <w:b/>
          <w:bCs/>
          <w:sz w:val="22"/>
          <w:szCs w:val="22"/>
        </w:rPr>
        <w:t>Lote de maquinarias aplicadas al mantenimiento anual de 450 km</w:t>
      </w:r>
    </w:p>
    <w:tbl>
      <w:tblPr>
        <w:tblW w:w="7938" w:type="dxa"/>
        <w:tblInd w:w="779" w:type="dxa"/>
        <w:tblCellMar>
          <w:left w:w="70" w:type="dxa"/>
          <w:right w:w="70" w:type="dxa"/>
        </w:tblCellMar>
        <w:tblLook w:val="04A0" w:firstRow="1" w:lastRow="0" w:firstColumn="1" w:lastColumn="0" w:noHBand="0" w:noVBand="1"/>
      </w:tblPr>
      <w:tblGrid>
        <w:gridCol w:w="2835"/>
        <w:gridCol w:w="1021"/>
        <w:gridCol w:w="1106"/>
        <w:gridCol w:w="1417"/>
        <w:gridCol w:w="1559"/>
      </w:tblGrid>
      <w:tr w:rsidR="006F47D2" w:rsidRPr="006F47D2" w:rsidTr="006F47D2">
        <w:trPr>
          <w:trHeight w:val="373"/>
        </w:trPr>
        <w:tc>
          <w:tcPr>
            <w:tcW w:w="2835" w:type="dxa"/>
            <w:vMerge w:val="restart"/>
            <w:tcBorders>
              <w:top w:val="single" w:sz="4" w:space="0" w:color="auto"/>
              <w:left w:val="single" w:sz="4" w:space="0" w:color="auto"/>
              <w:right w:val="single" w:sz="4" w:space="0" w:color="auto"/>
            </w:tcBorders>
            <w:shd w:val="clear" w:color="000000" w:fill="DAEEF3"/>
            <w:vAlign w:val="center"/>
            <w:hideMark/>
          </w:tcPr>
          <w:p w:rsidR="006F47D2" w:rsidRPr="006F47D2" w:rsidRDefault="006F47D2" w:rsidP="006F47D2">
            <w:pPr>
              <w:jc w:val="center"/>
              <w:rPr>
                <w:b/>
                <w:bCs/>
                <w:sz w:val="20"/>
                <w:lang w:val="es-PY" w:eastAsia="es-PY"/>
              </w:rPr>
            </w:pPr>
            <w:r w:rsidRPr="006F47D2">
              <w:rPr>
                <w:b/>
                <w:bCs/>
                <w:sz w:val="20"/>
                <w:lang w:val="es-PY" w:eastAsia="es-PY"/>
              </w:rPr>
              <w:t>Equipo</w:t>
            </w:r>
            <w:r>
              <w:rPr>
                <w:b/>
                <w:bCs/>
                <w:sz w:val="20"/>
                <w:lang w:val="es-PY" w:eastAsia="es-PY"/>
              </w:rPr>
              <w:t>s</w:t>
            </w:r>
          </w:p>
        </w:tc>
        <w:tc>
          <w:tcPr>
            <w:tcW w:w="1021" w:type="dxa"/>
            <w:vMerge w:val="restart"/>
            <w:tcBorders>
              <w:top w:val="single" w:sz="4" w:space="0" w:color="auto"/>
              <w:left w:val="single" w:sz="4" w:space="0" w:color="auto"/>
              <w:bottom w:val="nil"/>
              <w:right w:val="single" w:sz="4" w:space="0" w:color="auto"/>
            </w:tcBorders>
            <w:shd w:val="clear" w:color="000000" w:fill="DAEEF3"/>
            <w:vAlign w:val="center"/>
            <w:hideMark/>
          </w:tcPr>
          <w:p w:rsidR="006F47D2" w:rsidRPr="006F47D2" w:rsidRDefault="006F47D2" w:rsidP="006F47D2">
            <w:pPr>
              <w:jc w:val="center"/>
              <w:rPr>
                <w:b/>
                <w:bCs/>
                <w:sz w:val="20"/>
                <w:lang w:val="es-PY" w:eastAsia="es-PY"/>
              </w:rPr>
            </w:pPr>
            <w:r w:rsidRPr="006F47D2">
              <w:rPr>
                <w:b/>
                <w:bCs/>
                <w:sz w:val="20"/>
                <w:lang w:val="es-PY" w:eastAsia="es-PY"/>
              </w:rPr>
              <w:t>Cantidad</w:t>
            </w:r>
          </w:p>
        </w:tc>
        <w:tc>
          <w:tcPr>
            <w:tcW w:w="1106"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6F47D2" w:rsidRPr="006F47D2" w:rsidRDefault="006F47D2" w:rsidP="006F47D2">
            <w:pPr>
              <w:jc w:val="center"/>
              <w:rPr>
                <w:b/>
                <w:bCs/>
                <w:sz w:val="20"/>
                <w:lang w:val="es-PY" w:eastAsia="es-PY"/>
              </w:rPr>
            </w:pPr>
            <w:r w:rsidRPr="006F47D2">
              <w:rPr>
                <w:b/>
                <w:bCs/>
                <w:sz w:val="20"/>
                <w:lang w:val="es-PY" w:eastAsia="es-PY"/>
              </w:rPr>
              <w:t xml:space="preserve">Uso </w:t>
            </w:r>
            <w:r>
              <w:rPr>
                <w:b/>
                <w:bCs/>
                <w:sz w:val="20"/>
                <w:lang w:val="es-PY" w:eastAsia="es-PY"/>
              </w:rPr>
              <w:t>anual</w:t>
            </w:r>
          </w:p>
        </w:tc>
        <w:tc>
          <w:tcPr>
            <w:tcW w:w="1417"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6F47D2" w:rsidRPr="006F47D2" w:rsidRDefault="006F47D2" w:rsidP="006F47D2">
            <w:pPr>
              <w:jc w:val="center"/>
              <w:rPr>
                <w:b/>
                <w:bCs/>
                <w:sz w:val="20"/>
                <w:lang w:val="es-PY" w:eastAsia="es-PY"/>
              </w:rPr>
            </w:pPr>
            <w:r>
              <w:rPr>
                <w:b/>
                <w:bCs/>
                <w:sz w:val="20"/>
                <w:lang w:val="es-PY" w:eastAsia="es-PY"/>
              </w:rPr>
              <w:t>Depreciación horaria</w:t>
            </w:r>
          </w:p>
        </w:tc>
        <w:tc>
          <w:tcPr>
            <w:tcW w:w="1559" w:type="dxa"/>
            <w:tcBorders>
              <w:top w:val="single" w:sz="4" w:space="0" w:color="auto"/>
              <w:left w:val="single" w:sz="4" w:space="0" w:color="auto"/>
              <w:bottom w:val="single" w:sz="4" w:space="0" w:color="auto"/>
              <w:right w:val="single" w:sz="4" w:space="0" w:color="auto"/>
            </w:tcBorders>
            <w:shd w:val="clear" w:color="000000" w:fill="DAEEF3"/>
            <w:vAlign w:val="center"/>
            <w:hideMark/>
          </w:tcPr>
          <w:p w:rsidR="006F47D2" w:rsidRPr="006F47D2" w:rsidRDefault="006F47D2" w:rsidP="006F47D2">
            <w:pPr>
              <w:jc w:val="center"/>
              <w:rPr>
                <w:b/>
                <w:bCs/>
                <w:sz w:val="20"/>
                <w:lang w:val="pt-BR" w:eastAsia="es-PY"/>
              </w:rPr>
            </w:pPr>
            <w:r w:rsidRPr="006F47D2">
              <w:rPr>
                <w:b/>
                <w:bCs/>
                <w:sz w:val="20"/>
                <w:lang w:val="es-PY" w:eastAsia="es-PY"/>
              </w:rPr>
              <w:t>Depreciación</w:t>
            </w:r>
            <w:r>
              <w:rPr>
                <w:b/>
                <w:bCs/>
                <w:sz w:val="20"/>
                <w:lang w:val="pt-BR" w:eastAsia="es-PY"/>
              </w:rPr>
              <w:t xml:space="preserve"> anual</w:t>
            </w:r>
          </w:p>
        </w:tc>
      </w:tr>
      <w:tr w:rsidR="006F47D2" w:rsidRPr="006F47D2" w:rsidTr="006F47D2">
        <w:trPr>
          <w:trHeight w:val="253"/>
        </w:trPr>
        <w:tc>
          <w:tcPr>
            <w:tcW w:w="2835" w:type="dxa"/>
            <w:vMerge/>
            <w:tcBorders>
              <w:left w:val="single" w:sz="4" w:space="0" w:color="auto"/>
              <w:bottom w:val="single" w:sz="4" w:space="0" w:color="auto"/>
              <w:right w:val="single" w:sz="4" w:space="0" w:color="auto"/>
            </w:tcBorders>
            <w:vAlign w:val="center"/>
          </w:tcPr>
          <w:p w:rsidR="006F47D2" w:rsidRPr="006F47D2" w:rsidRDefault="006F47D2" w:rsidP="006F47D2">
            <w:pPr>
              <w:rPr>
                <w:b/>
                <w:bCs/>
                <w:sz w:val="20"/>
                <w:lang w:val="pt-BR" w:eastAsia="es-PY"/>
              </w:rPr>
            </w:pPr>
          </w:p>
        </w:tc>
        <w:tc>
          <w:tcPr>
            <w:tcW w:w="1021" w:type="dxa"/>
            <w:vMerge/>
            <w:tcBorders>
              <w:left w:val="single" w:sz="4" w:space="0" w:color="auto"/>
              <w:bottom w:val="single" w:sz="4" w:space="0" w:color="auto"/>
              <w:right w:val="single" w:sz="4" w:space="0" w:color="auto"/>
            </w:tcBorders>
            <w:vAlign w:val="center"/>
          </w:tcPr>
          <w:p w:rsidR="006F47D2" w:rsidRPr="006F47D2" w:rsidRDefault="006F47D2" w:rsidP="006F47D2">
            <w:pPr>
              <w:rPr>
                <w:b/>
                <w:bCs/>
                <w:sz w:val="20"/>
                <w:lang w:val="pt-BR" w:eastAsia="es-PY"/>
              </w:rPr>
            </w:pPr>
          </w:p>
        </w:tc>
        <w:tc>
          <w:tcPr>
            <w:tcW w:w="11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F47D2" w:rsidRPr="006F47D2" w:rsidRDefault="006F47D2" w:rsidP="006F47D2">
            <w:pPr>
              <w:jc w:val="center"/>
              <w:rPr>
                <w:b/>
                <w:bCs/>
                <w:sz w:val="20"/>
                <w:lang w:val="pt-BR" w:eastAsia="es-PY"/>
              </w:rPr>
            </w:pPr>
            <w:r>
              <w:rPr>
                <w:b/>
                <w:bCs/>
                <w:sz w:val="20"/>
                <w:lang w:val="pt-BR" w:eastAsia="es-PY"/>
              </w:rPr>
              <w:t>horas</w:t>
            </w:r>
          </w:p>
        </w:tc>
        <w:tc>
          <w:tcPr>
            <w:tcW w:w="141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F47D2" w:rsidRPr="006F47D2" w:rsidRDefault="006F47D2" w:rsidP="006F47D2">
            <w:pPr>
              <w:jc w:val="center"/>
              <w:rPr>
                <w:b/>
                <w:bCs/>
                <w:sz w:val="20"/>
                <w:lang w:val="pt-BR" w:eastAsia="es-PY"/>
              </w:rPr>
            </w:pPr>
            <w:r>
              <w:rPr>
                <w:b/>
                <w:bCs/>
                <w:sz w:val="20"/>
                <w:lang w:val="pt-BR" w:eastAsia="es-PY"/>
              </w:rPr>
              <w:t>US$</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6F47D2" w:rsidRPr="006F47D2" w:rsidRDefault="006F47D2" w:rsidP="006F47D2">
            <w:pPr>
              <w:jc w:val="center"/>
              <w:rPr>
                <w:b/>
                <w:bCs/>
                <w:sz w:val="20"/>
                <w:lang w:val="pt-BR" w:eastAsia="es-PY"/>
              </w:rPr>
            </w:pPr>
            <w:r>
              <w:rPr>
                <w:b/>
                <w:bCs/>
                <w:sz w:val="20"/>
                <w:lang w:val="pt-BR" w:eastAsia="es-PY"/>
              </w:rPr>
              <w:t>US$</w:t>
            </w:r>
          </w:p>
        </w:tc>
      </w:tr>
      <w:tr w:rsidR="006F47D2" w:rsidRPr="006F47D2" w:rsidTr="006F47D2">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6F47D2" w:rsidRPr="006F47D2" w:rsidRDefault="006F47D2" w:rsidP="006F47D2">
            <w:pPr>
              <w:rPr>
                <w:sz w:val="20"/>
                <w:lang w:val="es-PY" w:eastAsia="es-PY"/>
              </w:rPr>
            </w:pPr>
            <w:r w:rsidRPr="006F47D2">
              <w:rPr>
                <w:sz w:val="20"/>
                <w:lang w:val="es-PY" w:eastAsia="es-PY"/>
              </w:rPr>
              <w:t>Motoniveladora CAT 120K</w:t>
            </w:r>
          </w:p>
        </w:tc>
        <w:tc>
          <w:tcPr>
            <w:tcW w:w="1021"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3</w:t>
            </w:r>
          </w:p>
        </w:tc>
        <w:tc>
          <w:tcPr>
            <w:tcW w:w="1106"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1.920</w:t>
            </w:r>
          </w:p>
        </w:tc>
        <w:tc>
          <w:tcPr>
            <w:tcW w:w="1417"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19,2</w:t>
            </w:r>
          </w:p>
        </w:tc>
        <w:tc>
          <w:tcPr>
            <w:tcW w:w="1559"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110.592</w:t>
            </w:r>
          </w:p>
        </w:tc>
      </w:tr>
      <w:tr w:rsidR="006F47D2" w:rsidRPr="006F47D2" w:rsidTr="006F47D2">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6F47D2" w:rsidRPr="006F47D2" w:rsidRDefault="006F47D2" w:rsidP="006F47D2">
            <w:pPr>
              <w:rPr>
                <w:sz w:val="20"/>
                <w:lang w:val="es-PY" w:eastAsia="es-PY"/>
              </w:rPr>
            </w:pPr>
            <w:r w:rsidRPr="006F47D2">
              <w:rPr>
                <w:sz w:val="20"/>
                <w:lang w:val="es-PY" w:eastAsia="es-PY"/>
              </w:rPr>
              <w:t>Pala Cargadora 1,3 m3</w:t>
            </w:r>
          </w:p>
        </w:tc>
        <w:tc>
          <w:tcPr>
            <w:tcW w:w="1021"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1</w:t>
            </w:r>
          </w:p>
        </w:tc>
        <w:tc>
          <w:tcPr>
            <w:tcW w:w="1106"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1.920</w:t>
            </w:r>
          </w:p>
        </w:tc>
        <w:tc>
          <w:tcPr>
            <w:tcW w:w="1417"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13,2</w:t>
            </w:r>
          </w:p>
        </w:tc>
        <w:tc>
          <w:tcPr>
            <w:tcW w:w="1559"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25.344</w:t>
            </w:r>
          </w:p>
        </w:tc>
      </w:tr>
      <w:tr w:rsidR="006F47D2" w:rsidRPr="006F47D2" w:rsidTr="006F47D2">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6F47D2" w:rsidRPr="006F47D2" w:rsidRDefault="006F47D2" w:rsidP="006F47D2">
            <w:pPr>
              <w:rPr>
                <w:sz w:val="20"/>
                <w:lang w:val="es-PY" w:eastAsia="es-PY"/>
              </w:rPr>
            </w:pPr>
            <w:r w:rsidRPr="006F47D2">
              <w:rPr>
                <w:sz w:val="20"/>
                <w:lang w:val="es-PY" w:eastAsia="es-PY"/>
              </w:rPr>
              <w:t xml:space="preserve">Retro </w:t>
            </w:r>
            <w:r>
              <w:rPr>
                <w:sz w:val="20"/>
                <w:lang w:val="es-PY" w:eastAsia="es-PY"/>
              </w:rPr>
              <w:t>e</w:t>
            </w:r>
            <w:r w:rsidRPr="006F47D2">
              <w:rPr>
                <w:sz w:val="20"/>
                <w:lang w:val="es-PY" w:eastAsia="es-PY"/>
              </w:rPr>
              <w:t>xcav</w:t>
            </w:r>
            <w:r>
              <w:rPr>
                <w:sz w:val="20"/>
                <w:lang w:val="es-PY" w:eastAsia="es-PY"/>
              </w:rPr>
              <w:t>adora</w:t>
            </w:r>
            <w:r w:rsidRPr="006F47D2">
              <w:rPr>
                <w:sz w:val="20"/>
                <w:lang w:val="es-PY" w:eastAsia="es-PY"/>
              </w:rPr>
              <w:t xml:space="preserve"> C</w:t>
            </w:r>
            <w:r>
              <w:rPr>
                <w:sz w:val="20"/>
                <w:lang w:val="es-PY" w:eastAsia="es-PY"/>
              </w:rPr>
              <w:t>AT</w:t>
            </w:r>
            <w:r w:rsidRPr="006F47D2">
              <w:rPr>
                <w:sz w:val="20"/>
                <w:lang w:val="es-PY" w:eastAsia="es-PY"/>
              </w:rPr>
              <w:t xml:space="preserve"> 416E</w:t>
            </w:r>
          </w:p>
        </w:tc>
        <w:tc>
          <w:tcPr>
            <w:tcW w:w="1021"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2</w:t>
            </w:r>
          </w:p>
        </w:tc>
        <w:tc>
          <w:tcPr>
            <w:tcW w:w="1106"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1.920</w:t>
            </w:r>
          </w:p>
        </w:tc>
        <w:tc>
          <w:tcPr>
            <w:tcW w:w="1417"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7,8</w:t>
            </w:r>
          </w:p>
        </w:tc>
        <w:tc>
          <w:tcPr>
            <w:tcW w:w="1559"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30.106</w:t>
            </w:r>
          </w:p>
        </w:tc>
      </w:tr>
      <w:tr w:rsidR="006F47D2" w:rsidRPr="006F47D2" w:rsidTr="006F47D2">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6F47D2" w:rsidRPr="006F47D2" w:rsidRDefault="006F47D2" w:rsidP="006F47D2">
            <w:pPr>
              <w:rPr>
                <w:sz w:val="20"/>
                <w:lang w:val="es-PY" w:eastAsia="es-PY"/>
              </w:rPr>
            </w:pPr>
            <w:r w:rsidRPr="006F47D2">
              <w:rPr>
                <w:sz w:val="20"/>
                <w:lang w:val="es-PY" w:eastAsia="es-PY"/>
              </w:rPr>
              <w:t>Camión Volquete (10Tn.)</w:t>
            </w:r>
          </w:p>
        </w:tc>
        <w:tc>
          <w:tcPr>
            <w:tcW w:w="1021"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2</w:t>
            </w:r>
          </w:p>
        </w:tc>
        <w:tc>
          <w:tcPr>
            <w:tcW w:w="1106"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1.920</w:t>
            </w:r>
          </w:p>
        </w:tc>
        <w:tc>
          <w:tcPr>
            <w:tcW w:w="1417"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6,0</w:t>
            </w:r>
          </w:p>
        </w:tc>
        <w:tc>
          <w:tcPr>
            <w:tcW w:w="1559"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23.040</w:t>
            </w:r>
          </w:p>
        </w:tc>
      </w:tr>
      <w:tr w:rsidR="006F47D2" w:rsidRPr="006F47D2" w:rsidTr="006F47D2">
        <w:tc>
          <w:tcPr>
            <w:tcW w:w="2835" w:type="dxa"/>
            <w:tcBorders>
              <w:top w:val="nil"/>
              <w:left w:val="single" w:sz="4" w:space="0" w:color="auto"/>
              <w:bottom w:val="single" w:sz="4" w:space="0" w:color="auto"/>
              <w:right w:val="single" w:sz="4" w:space="0" w:color="auto"/>
            </w:tcBorders>
            <w:shd w:val="clear" w:color="auto" w:fill="auto"/>
            <w:noWrap/>
            <w:vAlign w:val="bottom"/>
            <w:hideMark/>
          </w:tcPr>
          <w:p w:rsidR="006F47D2" w:rsidRPr="006F47D2" w:rsidRDefault="006F47D2" w:rsidP="006F47D2">
            <w:pPr>
              <w:rPr>
                <w:sz w:val="20"/>
                <w:lang w:val="es-PY" w:eastAsia="es-PY"/>
              </w:rPr>
            </w:pPr>
            <w:r w:rsidRPr="006F47D2">
              <w:rPr>
                <w:sz w:val="20"/>
                <w:lang w:val="es-PY" w:eastAsia="es-PY"/>
              </w:rPr>
              <w:t>Camión Volquete (17Tn.)</w:t>
            </w:r>
          </w:p>
        </w:tc>
        <w:tc>
          <w:tcPr>
            <w:tcW w:w="1021"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1</w:t>
            </w:r>
          </w:p>
        </w:tc>
        <w:tc>
          <w:tcPr>
            <w:tcW w:w="1106"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1.920</w:t>
            </w:r>
          </w:p>
        </w:tc>
        <w:tc>
          <w:tcPr>
            <w:tcW w:w="1417"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7,6</w:t>
            </w:r>
          </w:p>
        </w:tc>
        <w:tc>
          <w:tcPr>
            <w:tcW w:w="1559"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sz w:val="20"/>
                <w:lang w:val="es-PY" w:eastAsia="es-PY"/>
              </w:rPr>
            </w:pPr>
            <w:r w:rsidRPr="006F47D2">
              <w:rPr>
                <w:sz w:val="20"/>
                <w:lang w:val="es-PY" w:eastAsia="es-PY"/>
              </w:rPr>
              <w:t>14.592</w:t>
            </w:r>
          </w:p>
        </w:tc>
      </w:tr>
      <w:tr w:rsidR="006F47D2" w:rsidRPr="006F47D2" w:rsidTr="006F47D2">
        <w:tc>
          <w:tcPr>
            <w:tcW w:w="6379" w:type="dxa"/>
            <w:gridSpan w:val="4"/>
            <w:tcBorders>
              <w:top w:val="nil"/>
              <w:left w:val="single" w:sz="4" w:space="0" w:color="auto"/>
              <w:bottom w:val="single" w:sz="4" w:space="0" w:color="auto"/>
              <w:right w:val="single" w:sz="4" w:space="0" w:color="auto"/>
            </w:tcBorders>
            <w:shd w:val="clear" w:color="auto" w:fill="auto"/>
            <w:noWrap/>
            <w:vAlign w:val="bottom"/>
            <w:hideMark/>
          </w:tcPr>
          <w:p w:rsidR="006F47D2" w:rsidRPr="006F47D2" w:rsidRDefault="006F47D2" w:rsidP="006F47D2">
            <w:pPr>
              <w:rPr>
                <w:b/>
                <w:bCs/>
                <w:sz w:val="20"/>
                <w:lang w:val="es-PY" w:eastAsia="es-PY"/>
              </w:rPr>
            </w:pPr>
            <w:r w:rsidRPr="006F47D2">
              <w:rPr>
                <w:b/>
                <w:bCs/>
                <w:sz w:val="20"/>
                <w:lang w:val="es-PY" w:eastAsia="es-PY"/>
              </w:rPr>
              <w:t>Costo depreciación de equipos</w:t>
            </w:r>
            <w:r>
              <w:rPr>
                <w:b/>
                <w:bCs/>
                <w:sz w:val="20"/>
                <w:lang w:val="es-PY" w:eastAsia="es-PY"/>
              </w:rPr>
              <w:t xml:space="preserve"> (US$)</w:t>
            </w:r>
          </w:p>
        </w:tc>
        <w:tc>
          <w:tcPr>
            <w:tcW w:w="1559" w:type="dxa"/>
            <w:tcBorders>
              <w:top w:val="single" w:sz="4" w:space="0" w:color="auto"/>
              <w:left w:val="nil"/>
              <w:bottom w:val="double" w:sz="6" w:space="0" w:color="auto"/>
              <w:right w:val="single" w:sz="4" w:space="0" w:color="auto"/>
            </w:tcBorders>
            <w:shd w:val="clear" w:color="auto" w:fill="auto"/>
            <w:noWrap/>
            <w:vAlign w:val="center"/>
            <w:hideMark/>
          </w:tcPr>
          <w:p w:rsidR="006F47D2" w:rsidRPr="006F47D2" w:rsidRDefault="006F47D2" w:rsidP="006F47D2">
            <w:pPr>
              <w:jc w:val="right"/>
              <w:rPr>
                <w:b/>
                <w:bCs/>
                <w:sz w:val="20"/>
              </w:rPr>
            </w:pPr>
            <w:r w:rsidRPr="006F47D2">
              <w:rPr>
                <w:b/>
                <w:bCs/>
                <w:sz w:val="20"/>
              </w:rPr>
              <w:t>203.674</w:t>
            </w:r>
          </w:p>
        </w:tc>
      </w:tr>
      <w:tr w:rsidR="006F47D2" w:rsidRPr="006F47D2" w:rsidTr="006F47D2">
        <w:tc>
          <w:tcPr>
            <w:tcW w:w="6379" w:type="dxa"/>
            <w:gridSpan w:val="4"/>
            <w:tcBorders>
              <w:top w:val="nil"/>
              <w:left w:val="single" w:sz="4" w:space="0" w:color="auto"/>
              <w:bottom w:val="single" w:sz="4" w:space="0" w:color="auto"/>
              <w:right w:val="single" w:sz="4" w:space="0" w:color="auto"/>
            </w:tcBorders>
            <w:shd w:val="clear" w:color="auto" w:fill="auto"/>
            <w:noWrap/>
            <w:vAlign w:val="bottom"/>
            <w:hideMark/>
          </w:tcPr>
          <w:p w:rsidR="006F47D2" w:rsidRPr="006F47D2" w:rsidRDefault="006F47D2" w:rsidP="006F47D2">
            <w:pPr>
              <w:rPr>
                <w:b/>
                <w:bCs/>
                <w:sz w:val="20"/>
                <w:lang w:val="es-PY" w:eastAsia="es-PY"/>
              </w:rPr>
            </w:pPr>
            <w:r w:rsidRPr="006F47D2">
              <w:rPr>
                <w:b/>
                <w:bCs/>
                <w:sz w:val="20"/>
                <w:lang w:val="es-PY" w:eastAsia="es-PY"/>
              </w:rPr>
              <w:t>Red de caminos</w:t>
            </w:r>
            <w:r>
              <w:rPr>
                <w:b/>
                <w:bCs/>
                <w:sz w:val="20"/>
                <w:lang w:val="es-PY" w:eastAsia="es-PY"/>
              </w:rPr>
              <w:t xml:space="preserve"> (km)</w:t>
            </w:r>
          </w:p>
        </w:tc>
        <w:tc>
          <w:tcPr>
            <w:tcW w:w="1559"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b/>
                <w:bCs/>
                <w:sz w:val="20"/>
                <w:lang w:val="es-PY" w:eastAsia="es-PY"/>
              </w:rPr>
            </w:pPr>
            <w:r w:rsidRPr="006F47D2">
              <w:rPr>
                <w:b/>
                <w:bCs/>
                <w:sz w:val="20"/>
                <w:lang w:val="es-PY" w:eastAsia="es-PY"/>
              </w:rPr>
              <w:t>450</w:t>
            </w:r>
          </w:p>
        </w:tc>
      </w:tr>
      <w:tr w:rsidR="006F47D2" w:rsidRPr="006F47D2" w:rsidTr="006F47D2">
        <w:tc>
          <w:tcPr>
            <w:tcW w:w="6379" w:type="dxa"/>
            <w:gridSpan w:val="4"/>
            <w:tcBorders>
              <w:top w:val="nil"/>
              <w:left w:val="single" w:sz="4" w:space="0" w:color="auto"/>
              <w:bottom w:val="single" w:sz="4" w:space="0" w:color="auto"/>
              <w:right w:val="single" w:sz="4" w:space="0" w:color="auto"/>
            </w:tcBorders>
            <w:shd w:val="clear" w:color="auto" w:fill="auto"/>
            <w:noWrap/>
            <w:vAlign w:val="bottom"/>
            <w:hideMark/>
          </w:tcPr>
          <w:p w:rsidR="006F47D2" w:rsidRPr="006F47D2" w:rsidRDefault="006F47D2" w:rsidP="006F47D2">
            <w:pPr>
              <w:rPr>
                <w:b/>
                <w:bCs/>
                <w:sz w:val="20"/>
                <w:lang w:val="es-PY" w:eastAsia="es-PY"/>
              </w:rPr>
            </w:pPr>
            <w:r w:rsidRPr="006F47D2">
              <w:rPr>
                <w:b/>
                <w:bCs/>
                <w:sz w:val="20"/>
                <w:lang w:val="es-PY" w:eastAsia="es-PY"/>
              </w:rPr>
              <w:t>Costo en US$/km/año</w:t>
            </w:r>
          </w:p>
        </w:tc>
        <w:tc>
          <w:tcPr>
            <w:tcW w:w="1559" w:type="dxa"/>
            <w:tcBorders>
              <w:top w:val="nil"/>
              <w:left w:val="nil"/>
              <w:bottom w:val="single" w:sz="4" w:space="0" w:color="auto"/>
              <w:right w:val="single" w:sz="4" w:space="0" w:color="auto"/>
            </w:tcBorders>
            <w:shd w:val="clear" w:color="auto" w:fill="auto"/>
            <w:noWrap/>
            <w:vAlign w:val="bottom"/>
            <w:hideMark/>
          </w:tcPr>
          <w:p w:rsidR="006F47D2" w:rsidRPr="006F47D2" w:rsidRDefault="006F47D2" w:rsidP="006F47D2">
            <w:pPr>
              <w:jc w:val="right"/>
              <w:rPr>
                <w:b/>
                <w:bCs/>
                <w:sz w:val="20"/>
                <w:lang w:val="es-PY" w:eastAsia="es-PY"/>
              </w:rPr>
            </w:pPr>
            <w:r w:rsidRPr="006F47D2">
              <w:rPr>
                <w:b/>
                <w:bCs/>
                <w:sz w:val="20"/>
                <w:lang w:val="es-PY" w:eastAsia="es-PY"/>
              </w:rPr>
              <w:t>453</w:t>
            </w:r>
          </w:p>
        </w:tc>
      </w:tr>
    </w:tbl>
    <w:p w:rsidR="00BA22DC" w:rsidRDefault="00631CB5" w:rsidP="00BA22DC">
      <w:pPr>
        <w:numPr>
          <w:ilvl w:val="1"/>
          <w:numId w:val="1"/>
        </w:numPr>
        <w:tabs>
          <w:tab w:val="clear" w:pos="360"/>
          <w:tab w:val="num" w:pos="709"/>
        </w:tabs>
        <w:spacing w:before="240" w:after="120" w:line="240" w:lineRule="atLeast"/>
        <w:ind w:left="709" w:hanging="709"/>
        <w:jc w:val="both"/>
        <w:rPr>
          <w:bCs/>
        </w:rPr>
      </w:pPr>
      <w:r w:rsidRPr="00D219B7">
        <w:rPr>
          <w:b/>
          <w:bCs/>
          <w:i/>
        </w:rPr>
        <w:t>Composición del indicador en la modalidad por Convenio con GL</w:t>
      </w:r>
      <w:r>
        <w:rPr>
          <w:bCs/>
        </w:rPr>
        <w:t>. Se indica la suma de l</w:t>
      </w:r>
      <w:r w:rsidR="00D219B7">
        <w:rPr>
          <w:bCs/>
        </w:rPr>
        <w:t>os costos, incluyendo los contabilizados a ser pagados con los fondos del Convenio así como los costos de amortización o de posesión de los equipos. Se aclara que los costos de posesión por km y año se basan en una estimaci</w:t>
      </w:r>
      <w:r w:rsidR="002373EE">
        <w:rPr>
          <w:bCs/>
        </w:rPr>
        <w:t>ón sobre un lote de maquinarias similar al utilizado en el Convenio de Caazapá, para una red de 450km.</w:t>
      </w:r>
    </w:p>
    <w:tbl>
      <w:tblPr>
        <w:tblW w:w="8363" w:type="dxa"/>
        <w:tblInd w:w="779" w:type="dxa"/>
        <w:tblCellMar>
          <w:left w:w="70" w:type="dxa"/>
          <w:right w:w="70" w:type="dxa"/>
        </w:tblCellMar>
        <w:tblLook w:val="04A0" w:firstRow="1" w:lastRow="0" w:firstColumn="1" w:lastColumn="0" w:noHBand="0" w:noVBand="1"/>
      </w:tblPr>
      <w:tblGrid>
        <w:gridCol w:w="1701"/>
        <w:gridCol w:w="1180"/>
        <w:gridCol w:w="1383"/>
        <w:gridCol w:w="1559"/>
        <w:gridCol w:w="1423"/>
        <w:gridCol w:w="1117"/>
      </w:tblGrid>
      <w:tr w:rsidR="00631CB5" w:rsidRPr="00631CB5" w:rsidTr="00631CB5">
        <w:tc>
          <w:tcPr>
            <w:tcW w:w="1701" w:type="dxa"/>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631CB5" w:rsidRPr="00631CB5" w:rsidRDefault="00631CB5" w:rsidP="00631CB5">
            <w:pPr>
              <w:jc w:val="center"/>
              <w:rPr>
                <w:b/>
                <w:bCs/>
                <w:color w:val="000000"/>
                <w:sz w:val="20"/>
                <w:lang w:val="es-PY" w:eastAsia="es-PY"/>
              </w:rPr>
            </w:pPr>
            <w:r w:rsidRPr="00631CB5">
              <w:rPr>
                <w:b/>
                <w:bCs/>
                <w:color w:val="000000"/>
                <w:sz w:val="20"/>
                <w:lang w:val="es-PY" w:eastAsia="es-PY"/>
              </w:rPr>
              <w:t>Área geográfica</w:t>
            </w:r>
          </w:p>
        </w:tc>
        <w:tc>
          <w:tcPr>
            <w:tcW w:w="118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631CB5" w:rsidRPr="00631CB5" w:rsidRDefault="00631CB5" w:rsidP="00631CB5">
            <w:pPr>
              <w:jc w:val="center"/>
              <w:rPr>
                <w:b/>
                <w:bCs/>
                <w:color w:val="000000"/>
                <w:sz w:val="20"/>
                <w:lang w:val="es-PY" w:eastAsia="es-PY"/>
              </w:rPr>
            </w:pPr>
            <w:r w:rsidRPr="00631CB5">
              <w:rPr>
                <w:b/>
                <w:bCs/>
                <w:color w:val="000000"/>
                <w:sz w:val="20"/>
                <w:lang w:val="es-PY" w:eastAsia="es-PY"/>
              </w:rPr>
              <w:t>Extensión (km)</w:t>
            </w:r>
          </w:p>
        </w:tc>
        <w:tc>
          <w:tcPr>
            <w:tcW w:w="1383"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631CB5" w:rsidRPr="00631CB5" w:rsidRDefault="00631CB5" w:rsidP="00631CB5">
            <w:pPr>
              <w:jc w:val="center"/>
              <w:rPr>
                <w:b/>
                <w:bCs/>
                <w:color w:val="000000"/>
                <w:sz w:val="20"/>
                <w:lang w:val="es-PY" w:eastAsia="es-PY"/>
              </w:rPr>
            </w:pPr>
            <w:r w:rsidRPr="00631CB5">
              <w:rPr>
                <w:b/>
                <w:bCs/>
                <w:color w:val="000000"/>
                <w:sz w:val="20"/>
                <w:lang w:val="es-PY" w:eastAsia="es-PY"/>
              </w:rPr>
              <w:t>Entidad Ejecutora</w:t>
            </w:r>
          </w:p>
        </w:tc>
        <w:tc>
          <w:tcPr>
            <w:tcW w:w="4099" w:type="dxa"/>
            <w:gridSpan w:val="3"/>
            <w:tcBorders>
              <w:top w:val="single" w:sz="4" w:space="0" w:color="auto"/>
              <w:left w:val="nil"/>
              <w:bottom w:val="single" w:sz="4" w:space="0" w:color="auto"/>
              <w:right w:val="single" w:sz="4" w:space="0" w:color="000000"/>
            </w:tcBorders>
            <w:shd w:val="clear" w:color="000000" w:fill="FDE9D9"/>
            <w:noWrap/>
            <w:vAlign w:val="center"/>
            <w:hideMark/>
          </w:tcPr>
          <w:p w:rsidR="00631CB5" w:rsidRPr="00631CB5" w:rsidRDefault="00631CB5" w:rsidP="00631CB5">
            <w:pPr>
              <w:jc w:val="center"/>
              <w:rPr>
                <w:b/>
                <w:bCs/>
                <w:color w:val="000000"/>
                <w:sz w:val="20"/>
                <w:lang w:val="es-PY" w:eastAsia="es-PY"/>
              </w:rPr>
            </w:pPr>
            <w:r w:rsidRPr="00631CB5">
              <w:rPr>
                <w:b/>
                <w:bCs/>
                <w:color w:val="000000"/>
                <w:sz w:val="20"/>
                <w:lang w:val="es-PY" w:eastAsia="es-PY"/>
              </w:rPr>
              <w:t xml:space="preserve"> Valores de US$/km/año </w:t>
            </w:r>
          </w:p>
        </w:tc>
      </w:tr>
      <w:tr w:rsidR="00631CB5" w:rsidRPr="00631CB5" w:rsidTr="00631CB5">
        <w:tc>
          <w:tcPr>
            <w:tcW w:w="1701" w:type="dxa"/>
            <w:vMerge/>
            <w:tcBorders>
              <w:top w:val="single" w:sz="4" w:space="0" w:color="auto"/>
              <w:left w:val="single" w:sz="4" w:space="0" w:color="auto"/>
              <w:bottom w:val="single" w:sz="4" w:space="0" w:color="auto"/>
              <w:right w:val="single" w:sz="4" w:space="0" w:color="auto"/>
            </w:tcBorders>
            <w:vAlign w:val="center"/>
            <w:hideMark/>
          </w:tcPr>
          <w:p w:rsidR="00631CB5" w:rsidRPr="00631CB5" w:rsidRDefault="00631CB5" w:rsidP="00631CB5">
            <w:pPr>
              <w:rPr>
                <w:b/>
                <w:bCs/>
                <w:color w:val="000000"/>
                <w:sz w:val="20"/>
                <w:lang w:val="es-PY" w:eastAsia="es-PY"/>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631CB5" w:rsidRPr="00631CB5" w:rsidRDefault="00631CB5" w:rsidP="00631CB5">
            <w:pPr>
              <w:rPr>
                <w:b/>
                <w:bCs/>
                <w:color w:val="000000"/>
                <w:sz w:val="20"/>
                <w:lang w:val="es-PY" w:eastAsia="es-PY"/>
              </w:rPr>
            </w:pPr>
          </w:p>
        </w:tc>
        <w:tc>
          <w:tcPr>
            <w:tcW w:w="1383" w:type="dxa"/>
            <w:vMerge/>
            <w:tcBorders>
              <w:top w:val="single" w:sz="4" w:space="0" w:color="auto"/>
              <w:left w:val="single" w:sz="4" w:space="0" w:color="auto"/>
              <w:bottom w:val="single" w:sz="4" w:space="0" w:color="000000"/>
              <w:right w:val="single" w:sz="4" w:space="0" w:color="auto"/>
            </w:tcBorders>
            <w:vAlign w:val="center"/>
            <w:hideMark/>
          </w:tcPr>
          <w:p w:rsidR="00631CB5" w:rsidRPr="00631CB5" w:rsidRDefault="00631CB5" w:rsidP="00631CB5">
            <w:pPr>
              <w:rPr>
                <w:b/>
                <w:bCs/>
                <w:color w:val="000000"/>
                <w:sz w:val="20"/>
                <w:lang w:val="es-PY" w:eastAsia="es-PY"/>
              </w:rPr>
            </w:pPr>
          </w:p>
        </w:tc>
        <w:tc>
          <w:tcPr>
            <w:tcW w:w="1559" w:type="dxa"/>
            <w:tcBorders>
              <w:top w:val="nil"/>
              <w:left w:val="nil"/>
              <w:bottom w:val="single" w:sz="4" w:space="0" w:color="auto"/>
              <w:right w:val="single" w:sz="4" w:space="0" w:color="auto"/>
            </w:tcBorders>
            <w:shd w:val="clear" w:color="000000" w:fill="FDE9D9"/>
            <w:vAlign w:val="center"/>
            <w:hideMark/>
          </w:tcPr>
          <w:p w:rsidR="00631CB5" w:rsidRPr="00631CB5" w:rsidRDefault="00631CB5" w:rsidP="00631CB5">
            <w:pPr>
              <w:jc w:val="center"/>
              <w:rPr>
                <w:b/>
                <w:bCs/>
                <w:color w:val="000000"/>
                <w:sz w:val="20"/>
                <w:lang w:val="es-PY" w:eastAsia="es-PY"/>
              </w:rPr>
            </w:pPr>
            <w:r w:rsidRPr="00631CB5">
              <w:rPr>
                <w:b/>
                <w:bCs/>
                <w:color w:val="000000"/>
                <w:sz w:val="20"/>
                <w:lang w:val="es-PY" w:eastAsia="es-PY"/>
              </w:rPr>
              <w:t xml:space="preserve"> Gastos desembolsados </w:t>
            </w:r>
          </w:p>
        </w:tc>
        <w:tc>
          <w:tcPr>
            <w:tcW w:w="1423" w:type="dxa"/>
            <w:tcBorders>
              <w:top w:val="nil"/>
              <w:left w:val="nil"/>
              <w:bottom w:val="single" w:sz="4" w:space="0" w:color="auto"/>
              <w:right w:val="nil"/>
            </w:tcBorders>
            <w:shd w:val="clear" w:color="000000" w:fill="FDE9D9"/>
            <w:vAlign w:val="center"/>
            <w:hideMark/>
          </w:tcPr>
          <w:p w:rsidR="00631CB5" w:rsidRPr="00631CB5" w:rsidRDefault="00631CB5" w:rsidP="00631CB5">
            <w:pPr>
              <w:jc w:val="center"/>
              <w:rPr>
                <w:b/>
                <w:bCs/>
                <w:color w:val="000000"/>
                <w:sz w:val="20"/>
                <w:lang w:val="es-PY" w:eastAsia="es-PY"/>
              </w:rPr>
            </w:pPr>
            <w:r w:rsidRPr="00631CB5">
              <w:rPr>
                <w:b/>
                <w:bCs/>
                <w:color w:val="000000"/>
                <w:sz w:val="20"/>
                <w:lang w:val="es-PY" w:eastAsia="es-PY"/>
              </w:rPr>
              <w:t xml:space="preserve"> Amortización de equipos </w:t>
            </w:r>
          </w:p>
        </w:tc>
        <w:tc>
          <w:tcPr>
            <w:tcW w:w="1117" w:type="dxa"/>
            <w:tcBorders>
              <w:top w:val="nil"/>
              <w:left w:val="single" w:sz="4" w:space="0" w:color="auto"/>
              <w:bottom w:val="single" w:sz="4" w:space="0" w:color="auto"/>
              <w:right w:val="single" w:sz="4" w:space="0" w:color="auto"/>
            </w:tcBorders>
            <w:shd w:val="clear" w:color="000000" w:fill="FDE9D9"/>
            <w:vAlign w:val="center"/>
            <w:hideMark/>
          </w:tcPr>
          <w:p w:rsidR="00631CB5" w:rsidRPr="00631CB5" w:rsidRDefault="00631CB5" w:rsidP="00631CB5">
            <w:pPr>
              <w:jc w:val="center"/>
              <w:rPr>
                <w:b/>
                <w:bCs/>
                <w:color w:val="000000"/>
                <w:sz w:val="20"/>
                <w:lang w:val="es-PY" w:eastAsia="es-PY"/>
              </w:rPr>
            </w:pPr>
            <w:r w:rsidRPr="00631CB5">
              <w:rPr>
                <w:b/>
                <w:bCs/>
                <w:color w:val="000000"/>
                <w:sz w:val="20"/>
                <w:lang w:val="es-PY" w:eastAsia="es-PY"/>
              </w:rPr>
              <w:t xml:space="preserve"> Suma </w:t>
            </w:r>
          </w:p>
        </w:tc>
      </w:tr>
      <w:tr w:rsidR="00631CB5" w:rsidRPr="00631CB5" w:rsidTr="00631CB5">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Itapúa</w:t>
            </w:r>
          </w:p>
        </w:tc>
        <w:tc>
          <w:tcPr>
            <w:tcW w:w="1180" w:type="dxa"/>
            <w:tcBorders>
              <w:top w:val="nil"/>
              <w:left w:val="nil"/>
              <w:bottom w:val="single" w:sz="4" w:space="0" w:color="auto"/>
              <w:right w:val="single" w:sz="4" w:space="0" w:color="auto"/>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 xml:space="preserve">       427,64 </w:t>
            </w:r>
          </w:p>
        </w:tc>
        <w:tc>
          <w:tcPr>
            <w:tcW w:w="1383" w:type="dxa"/>
            <w:tcBorders>
              <w:top w:val="nil"/>
              <w:left w:val="nil"/>
              <w:bottom w:val="single" w:sz="4" w:space="0" w:color="auto"/>
              <w:right w:val="single" w:sz="4" w:space="0" w:color="auto"/>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 xml:space="preserve"> Trinidad </w:t>
            </w:r>
          </w:p>
        </w:tc>
        <w:tc>
          <w:tcPr>
            <w:tcW w:w="1559" w:type="dxa"/>
            <w:tcBorders>
              <w:top w:val="nil"/>
              <w:left w:val="nil"/>
              <w:bottom w:val="single" w:sz="4" w:space="0" w:color="auto"/>
              <w:right w:val="nil"/>
            </w:tcBorders>
            <w:shd w:val="clear" w:color="auto" w:fill="auto"/>
            <w:noWrap/>
            <w:vAlign w:val="center"/>
            <w:hideMark/>
          </w:tcPr>
          <w:p w:rsidR="00631CB5" w:rsidRPr="00631CB5" w:rsidRDefault="00631CB5" w:rsidP="00631CB5">
            <w:pPr>
              <w:jc w:val="right"/>
              <w:rPr>
                <w:color w:val="000000"/>
                <w:sz w:val="20"/>
                <w:lang w:val="es-PY" w:eastAsia="es-PY"/>
              </w:rPr>
            </w:pPr>
            <w:r w:rsidRPr="00631CB5">
              <w:rPr>
                <w:color w:val="000000"/>
                <w:sz w:val="20"/>
                <w:lang w:val="es-PY" w:eastAsia="es-PY"/>
              </w:rPr>
              <w:t xml:space="preserve">   2.403 </w:t>
            </w:r>
          </w:p>
        </w:tc>
        <w:tc>
          <w:tcPr>
            <w:tcW w:w="1423" w:type="dxa"/>
            <w:tcBorders>
              <w:top w:val="nil"/>
              <w:left w:val="single" w:sz="4" w:space="0" w:color="auto"/>
              <w:bottom w:val="single" w:sz="4" w:space="0" w:color="auto"/>
              <w:right w:val="nil"/>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 xml:space="preserve">                  453 </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631CB5" w:rsidRPr="00631CB5" w:rsidRDefault="00631CB5" w:rsidP="00631CB5">
            <w:pPr>
              <w:jc w:val="right"/>
              <w:rPr>
                <w:color w:val="000000"/>
                <w:sz w:val="20"/>
                <w:lang w:val="es-PY" w:eastAsia="es-PY"/>
              </w:rPr>
            </w:pPr>
            <w:r w:rsidRPr="00631CB5">
              <w:rPr>
                <w:color w:val="000000"/>
                <w:sz w:val="20"/>
                <w:lang w:val="es-PY" w:eastAsia="es-PY"/>
              </w:rPr>
              <w:t xml:space="preserve">   2.856 </w:t>
            </w:r>
          </w:p>
        </w:tc>
      </w:tr>
      <w:tr w:rsidR="00631CB5" w:rsidRPr="00631CB5" w:rsidTr="00631CB5">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Alto Paraná Sur</w:t>
            </w:r>
          </w:p>
        </w:tc>
        <w:tc>
          <w:tcPr>
            <w:tcW w:w="1180" w:type="dxa"/>
            <w:tcBorders>
              <w:top w:val="nil"/>
              <w:left w:val="nil"/>
              <w:bottom w:val="single" w:sz="4" w:space="0" w:color="auto"/>
              <w:right w:val="single" w:sz="4" w:space="0" w:color="auto"/>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 xml:space="preserve">       504,15 </w:t>
            </w:r>
          </w:p>
        </w:tc>
        <w:tc>
          <w:tcPr>
            <w:tcW w:w="1383" w:type="dxa"/>
            <w:tcBorders>
              <w:top w:val="nil"/>
              <w:left w:val="nil"/>
              <w:bottom w:val="single" w:sz="4" w:space="0" w:color="auto"/>
              <w:right w:val="single" w:sz="4" w:space="0" w:color="auto"/>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 xml:space="preserve"> Naranjal </w:t>
            </w:r>
          </w:p>
        </w:tc>
        <w:tc>
          <w:tcPr>
            <w:tcW w:w="1559" w:type="dxa"/>
            <w:tcBorders>
              <w:top w:val="nil"/>
              <w:left w:val="nil"/>
              <w:bottom w:val="single" w:sz="4" w:space="0" w:color="auto"/>
              <w:right w:val="nil"/>
            </w:tcBorders>
            <w:shd w:val="clear" w:color="auto" w:fill="auto"/>
            <w:noWrap/>
            <w:vAlign w:val="center"/>
            <w:hideMark/>
          </w:tcPr>
          <w:p w:rsidR="00631CB5" w:rsidRPr="00631CB5" w:rsidRDefault="00631CB5" w:rsidP="00631CB5">
            <w:pPr>
              <w:jc w:val="right"/>
              <w:rPr>
                <w:color w:val="000000"/>
                <w:sz w:val="20"/>
                <w:lang w:val="es-PY" w:eastAsia="es-PY"/>
              </w:rPr>
            </w:pPr>
            <w:r w:rsidRPr="00631CB5">
              <w:rPr>
                <w:color w:val="000000"/>
                <w:sz w:val="20"/>
                <w:lang w:val="es-PY" w:eastAsia="es-PY"/>
              </w:rPr>
              <w:t xml:space="preserve">  2.490 </w:t>
            </w:r>
          </w:p>
        </w:tc>
        <w:tc>
          <w:tcPr>
            <w:tcW w:w="1423" w:type="dxa"/>
            <w:tcBorders>
              <w:top w:val="nil"/>
              <w:left w:val="single" w:sz="4" w:space="0" w:color="auto"/>
              <w:bottom w:val="single" w:sz="4" w:space="0" w:color="auto"/>
              <w:right w:val="nil"/>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 xml:space="preserve">                  453 </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631CB5" w:rsidRPr="00631CB5" w:rsidRDefault="00631CB5" w:rsidP="00631CB5">
            <w:pPr>
              <w:jc w:val="right"/>
              <w:rPr>
                <w:color w:val="000000"/>
                <w:sz w:val="20"/>
                <w:lang w:val="es-PY" w:eastAsia="es-PY"/>
              </w:rPr>
            </w:pPr>
            <w:r w:rsidRPr="00631CB5">
              <w:rPr>
                <w:color w:val="000000"/>
                <w:sz w:val="20"/>
                <w:lang w:val="es-PY" w:eastAsia="es-PY"/>
              </w:rPr>
              <w:t xml:space="preserve">   2.943 </w:t>
            </w:r>
          </w:p>
        </w:tc>
      </w:tr>
      <w:tr w:rsidR="00631CB5" w:rsidRPr="00631CB5" w:rsidTr="00631CB5">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Canindeyú Este</w:t>
            </w:r>
          </w:p>
        </w:tc>
        <w:tc>
          <w:tcPr>
            <w:tcW w:w="1180" w:type="dxa"/>
            <w:tcBorders>
              <w:top w:val="nil"/>
              <w:left w:val="nil"/>
              <w:bottom w:val="single" w:sz="4" w:space="0" w:color="auto"/>
              <w:right w:val="single" w:sz="4" w:space="0" w:color="auto"/>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 xml:space="preserve">       436,60 </w:t>
            </w:r>
          </w:p>
        </w:tc>
        <w:tc>
          <w:tcPr>
            <w:tcW w:w="1383" w:type="dxa"/>
            <w:tcBorders>
              <w:top w:val="nil"/>
              <w:left w:val="nil"/>
              <w:bottom w:val="single" w:sz="4" w:space="0" w:color="auto"/>
              <w:right w:val="single" w:sz="4" w:space="0" w:color="auto"/>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 xml:space="preserve"> Corpus Cristi </w:t>
            </w:r>
          </w:p>
        </w:tc>
        <w:tc>
          <w:tcPr>
            <w:tcW w:w="1559" w:type="dxa"/>
            <w:tcBorders>
              <w:top w:val="nil"/>
              <w:left w:val="nil"/>
              <w:bottom w:val="single" w:sz="4" w:space="0" w:color="auto"/>
              <w:right w:val="nil"/>
            </w:tcBorders>
            <w:shd w:val="clear" w:color="auto" w:fill="auto"/>
            <w:noWrap/>
            <w:vAlign w:val="center"/>
            <w:hideMark/>
          </w:tcPr>
          <w:p w:rsidR="00631CB5" w:rsidRPr="00631CB5" w:rsidRDefault="00631CB5" w:rsidP="00631CB5">
            <w:pPr>
              <w:jc w:val="right"/>
              <w:rPr>
                <w:color w:val="000000"/>
                <w:sz w:val="20"/>
                <w:lang w:val="es-PY" w:eastAsia="es-PY"/>
              </w:rPr>
            </w:pPr>
            <w:r w:rsidRPr="00631CB5">
              <w:rPr>
                <w:color w:val="000000"/>
                <w:sz w:val="20"/>
                <w:lang w:val="es-PY" w:eastAsia="es-PY"/>
              </w:rPr>
              <w:t xml:space="preserve">     3.007 </w:t>
            </w:r>
          </w:p>
        </w:tc>
        <w:tc>
          <w:tcPr>
            <w:tcW w:w="1423" w:type="dxa"/>
            <w:tcBorders>
              <w:top w:val="nil"/>
              <w:left w:val="single" w:sz="4" w:space="0" w:color="auto"/>
              <w:bottom w:val="single" w:sz="4" w:space="0" w:color="auto"/>
              <w:right w:val="nil"/>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 xml:space="preserve">                  453 </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631CB5" w:rsidRPr="00631CB5" w:rsidRDefault="00631CB5" w:rsidP="00631CB5">
            <w:pPr>
              <w:jc w:val="right"/>
              <w:rPr>
                <w:color w:val="000000"/>
                <w:sz w:val="20"/>
                <w:lang w:val="es-PY" w:eastAsia="es-PY"/>
              </w:rPr>
            </w:pPr>
            <w:r w:rsidRPr="00631CB5">
              <w:rPr>
                <w:color w:val="000000"/>
                <w:sz w:val="20"/>
                <w:lang w:val="es-PY" w:eastAsia="es-PY"/>
              </w:rPr>
              <w:t xml:space="preserve">      3.460 </w:t>
            </w:r>
          </w:p>
        </w:tc>
      </w:tr>
      <w:tr w:rsidR="00631CB5" w:rsidRPr="00631CB5" w:rsidTr="00631CB5">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Caazapá</w:t>
            </w:r>
          </w:p>
        </w:tc>
        <w:tc>
          <w:tcPr>
            <w:tcW w:w="1180" w:type="dxa"/>
            <w:tcBorders>
              <w:top w:val="nil"/>
              <w:left w:val="nil"/>
              <w:bottom w:val="single" w:sz="4" w:space="0" w:color="auto"/>
              <w:right w:val="single" w:sz="4" w:space="0" w:color="auto"/>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 xml:space="preserve">       451,33 </w:t>
            </w:r>
          </w:p>
        </w:tc>
        <w:tc>
          <w:tcPr>
            <w:tcW w:w="1383" w:type="dxa"/>
            <w:tcBorders>
              <w:top w:val="nil"/>
              <w:left w:val="nil"/>
              <w:bottom w:val="single" w:sz="4" w:space="0" w:color="auto"/>
              <w:right w:val="single" w:sz="4" w:space="0" w:color="auto"/>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 xml:space="preserve"> Caazapá </w:t>
            </w:r>
          </w:p>
        </w:tc>
        <w:tc>
          <w:tcPr>
            <w:tcW w:w="1559" w:type="dxa"/>
            <w:tcBorders>
              <w:top w:val="nil"/>
              <w:left w:val="nil"/>
              <w:bottom w:val="single" w:sz="4" w:space="0" w:color="auto"/>
              <w:right w:val="nil"/>
            </w:tcBorders>
            <w:shd w:val="clear" w:color="auto" w:fill="auto"/>
            <w:noWrap/>
            <w:vAlign w:val="center"/>
            <w:hideMark/>
          </w:tcPr>
          <w:p w:rsidR="00631CB5" w:rsidRPr="00631CB5" w:rsidRDefault="00631CB5" w:rsidP="00631CB5">
            <w:pPr>
              <w:jc w:val="right"/>
              <w:rPr>
                <w:color w:val="000000"/>
                <w:sz w:val="20"/>
                <w:lang w:val="es-PY" w:eastAsia="es-PY"/>
              </w:rPr>
            </w:pPr>
            <w:r w:rsidRPr="00631CB5">
              <w:rPr>
                <w:color w:val="000000"/>
                <w:sz w:val="20"/>
                <w:lang w:val="es-PY" w:eastAsia="es-PY"/>
              </w:rPr>
              <w:t xml:space="preserve">       3.841 </w:t>
            </w:r>
          </w:p>
        </w:tc>
        <w:tc>
          <w:tcPr>
            <w:tcW w:w="1423" w:type="dxa"/>
            <w:tcBorders>
              <w:top w:val="nil"/>
              <w:left w:val="single" w:sz="4" w:space="0" w:color="auto"/>
              <w:bottom w:val="single" w:sz="4" w:space="0" w:color="auto"/>
              <w:right w:val="nil"/>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 xml:space="preserve">                  453 </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631CB5" w:rsidRPr="00631CB5" w:rsidRDefault="00631CB5" w:rsidP="00631CB5">
            <w:pPr>
              <w:jc w:val="right"/>
              <w:rPr>
                <w:color w:val="000000"/>
                <w:sz w:val="20"/>
                <w:lang w:val="es-PY" w:eastAsia="es-PY"/>
              </w:rPr>
            </w:pPr>
            <w:r w:rsidRPr="00631CB5">
              <w:rPr>
                <w:color w:val="000000"/>
                <w:sz w:val="20"/>
                <w:lang w:val="es-PY" w:eastAsia="es-PY"/>
              </w:rPr>
              <w:t xml:space="preserve">    4.294 </w:t>
            </w:r>
          </w:p>
        </w:tc>
      </w:tr>
      <w:tr w:rsidR="00631CB5" w:rsidRPr="00631CB5" w:rsidTr="00631CB5">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Guairá</w:t>
            </w:r>
          </w:p>
        </w:tc>
        <w:tc>
          <w:tcPr>
            <w:tcW w:w="1180" w:type="dxa"/>
            <w:tcBorders>
              <w:top w:val="nil"/>
              <w:left w:val="nil"/>
              <w:bottom w:val="single" w:sz="4" w:space="0" w:color="auto"/>
              <w:right w:val="single" w:sz="4" w:space="0" w:color="auto"/>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 xml:space="preserve">       321,53 </w:t>
            </w:r>
          </w:p>
        </w:tc>
        <w:tc>
          <w:tcPr>
            <w:tcW w:w="1383" w:type="dxa"/>
            <w:tcBorders>
              <w:top w:val="nil"/>
              <w:left w:val="nil"/>
              <w:bottom w:val="single" w:sz="4" w:space="0" w:color="auto"/>
              <w:right w:val="single" w:sz="4" w:space="0" w:color="auto"/>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 xml:space="preserve"> Borja </w:t>
            </w:r>
          </w:p>
        </w:tc>
        <w:tc>
          <w:tcPr>
            <w:tcW w:w="1559" w:type="dxa"/>
            <w:tcBorders>
              <w:top w:val="nil"/>
              <w:left w:val="nil"/>
              <w:bottom w:val="single" w:sz="4" w:space="0" w:color="auto"/>
              <w:right w:val="nil"/>
            </w:tcBorders>
            <w:shd w:val="clear" w:color="auto" w:fill="auto"/>
            <w:noWrap/>
            <w:vAlign w:val="center"/>
            <w:hideMark/>
          </w:tcPr>
          <w:p w:rsidR="00631CB5" w:rsidRPr="00631CB5" w:rsidRDefault="00631CB5" w:rsidP="00631CB5">
            <w:pPr>
              <w:jc w:val="right"/>
              <w:rPr>
                <w:color w:val="000000"/>
                <w:sz w:val="20"/>
                <w:lang w:val="es-PY" w:eastAsia="es-PY"/>
              </w:rPr>
            </w:pPr>
            <w:r w:rsidRPr="00631CB5">
              <w:rPr>
                <w:color w:val="000000"/>
                <w:sz w:val="20"/>
                <w:lang w:val="es-PY" w:eastAsia="es-PY"/>
              </w:rPr>
              <w:t xml:space="preserve">  4.896 </w:t>
            </w:r>
          </w:p>
        </w:tc>
        <w:tc>
          <w:tcPr>
            <w:tcW w:w="1423" w:type="dxa"/>
            <w:tcBorders>
              <w:top w:val="nil"/>
              <w:left w:val="single" w:sz="4" w:space="0" w:color="auto"/>
              <w:bottom w:val="single" w:sz="4" w:space="0" w:color="auto"/>
              <w:right w:val="nil"/>
            </w:tcBorders>
            <w:shd w:val="clear" w:color="auto" w:fill="auto"/>
            <w:noWrap/>
            <w:vAlign w:val="center"/>
            <w:hideMark/>
          </w:tcPr>
          <w:p w:rsidR="00631CB5" w:rsidRPr="00631CB5" w:rsidRDefault="00631CB5" w:rsidP="00631CB5">
            <w:pPr>
              <w:rPr>
                <w:color w:val="000000"/>
                <w:sz w:val="20"/>
                <w:lang w:val="es-PY" w:eastAsia="es-PY"/>
              </w:rPr>
            </w:pPr>
            <w:r w:rsidRPr="00631CB5">
              <w:rPr>
                <w:color w:val="000000"/>
                <w:sz w:val="20"/>
                <w:lang w:val="es-PY" w:eastAsia="es-PY"/>
              </w:rPr>
              <w:t xml:space="preserve">                  453 </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631CB5" w:rsidRPr="00631CB5" w:rsidRDefault="00631CB5" w:rsidP="00631CB5">
            <w:pPr>
              <w:jc w:val="right"/>
              <w:rPr>
                <w:color w:val="000000"/>
                <w:sz w:val="20"/>
                <w:lang w:val="es-PY" w:eastAsia="es-PY"/>
              </w:rPr>
            </w:pPr>
            <w:r w:rsidRPr="00631CB5">
              <w:rPr>
                <w:color w:val="000000"/>
                <w:sz w:val="20"/>
                <w:lang w:val="es-PY" w:eastAsia="es-PY"/>
              </w:rPr>
              <w:t xml:space="preserve">   5.349 </w:t>
            </w:r>
          </w:p>
        </w:tc>
      </w:tr>
    </w:tbl>
    <w:p w:rsidR="00D219B7" w:rsidRDefault="00D219B7" w:rsidP="00BA22DC">
      <w:pPr>
        <w:numPr>
          <w:ilvl w:val="1"/>
          <w:numId w:val="1"/>
        </w:numPr>
        <w:tabs>
          <w:tab w:val="clear" w:pos="360"/>
          <w:tab w:val="num" w:pos="709"/>
        </w:tabs>
        <w:spacing w:before="240" w:after="120" w:line="240" w:lineRule="atLeast"/>
        <w:ind w:left="709" w:hanging="709"/>
        <w:jc w:val="both"/>
        <w:rPr>
          <w:bCs/>
        </w:rPr>
      </w:pPr>
      <w:r w:rsidRPr="00D219B7">
        <w:rPr>
          <w:b/>
          <w:bCs/>
        </w:rPr>
        <w:t>Análisis comparativo</w:t>
      </w:r>
      <w:r>
        <w:rPr>
          <w:bCs/>
        </w:rPr>
        <w:t>. Se aprecian las diferencias entre las modalidades de mantenimiento por Convenio y por Contratos.</w:t>
      </w:r>
    </w:p>
    <w:tbl>
      <w:tblPr>
        <w:tblW w:w="9082" w:type="dxa"/>
        <w:tblInd w:w="60" w:type="dxa"/>
        <w:tblCellMar>
          <w:left w:w="70" w:type="dxa"/>
          <w:right w:w="70" w:type="dxa"/>
        </w:tblCellMar>
        <w:tblLook w:val="04A0" w:firstRow="1" w:lastRow="0" w:firstColumn="1" w:lastColumn="0" w:noHBand="0" w:noVBand="1"/>
      </w:tblPr>
      <w:tblGrid>
        <w:gridCol w:w="1764"/>
        <w:gridCol w:w="1223"/>
        <w:gridCol w:w="1808"/>
        <w:gridCol w:w="1594"/>
        <w:gridCol w:w="1360"/>
        <w:gridCol w:w="1333"/>
      </w:tblGrid>
      <w:tr w:rsidR="00DE733C" w:rsidRPr="00DE733C" w:rsidTr="00DE733C">
        <w:trPr>
          <w:tblHeader/>
        </w:trPr>
        <w:tc>
          <w:tcPr>
            <w:tcW w:w="1764" w:type="dxa"/>
            <w:tcBorders>
              <w:top w:val="single" w:sz="8" w:space="0" w:color="auto"/>
              <w:left w:val="single" w:sz="8" w:space="0" w:color="auto"/>
              <w:bottom w:val="double" w:sz="6" w:space="0" w:color="auto"/>
              <w:right w:val="single" w:sz="4" w:space="0" w:color="auto"/>
            </w:tcBorders>
            <w:shd w:val="clear" w:color="000000" w:fill="DAEEF3"/>
            <w:vAlign w:val="center"/>
            <w:hideMark/>
          </w:tcPr>
          <w:p w:rsidR="00DE733C" w:rsidRPr="00DE733C" w:rsidRDefault="00DE733C" w:rsidP="00DE733C">
            <w:pPr>
              <w:keepNext/>
              <w:jc w:val="center"/>
              <w:rPr>
                <w:b/>
                <w:bCs/>
                <w:color w:val="000000"/>
                <w:sz w:val="20"/>
                <w:lang w:val="es-PY" w:eastAsia="es-PY"/>
              </w:rPr>
            </w:pPr>
            <w:r w:rsidRPr="00DE733C">
              <w:rPr>
                <w:b/>
                <w:bCs/>
                <w:color w:val="000000"/>
                <w:sz w:val="20"/>
                <w:lang w:val="es-PY" w:eastAsia="es-PY"/>
              </w:rPr>
              <w:t>Área geográfica</w:t>
            </w:r>
          </w:p>
        </w:tc>
        <w:tc>
          <w:tcPr>
            <w:tcW w:w="1223" w:type="dxa"/>
            <w:tcBorders>
              <w:top w:val="single" w:sz="8" w:space="0" w:color="auto"/>
              <w:left w:val="nil"/>
              <w:bottom w:val="double" w:sz="6" w:space="0" w:color="auto"/>
              <w:right w:val="single" w:sz="4" w:space="0" w:color="auto"/>
            </w:tcBorders>
            <w:shd w:val="clear" w:color="000000" w:fill="DAEEF3"/>
            <w:vAlign w:val="center"/>
            <w:hideMark/>
          </w:tcPr>
          <w:p w:rsidR="00DE733C" w:rsidRPr="00DE733C" w:rsidRDefault="00DE733C" w:rsidP="00DE733C">
            <w:pPr>
              <w:keepNext/>
              <w:jc w:val="center"/>
              <w:rPr>
                <w:b/>
                <w:bCs/>
                <w:color w:val="000000"/>
                <w:sz w:val="20"/>
                <w:lang w:val="es-PY" w:eastAsia="es-PY"/>
              </w:rPr>
            </w:pPr>
            <w:r w:rsidRPr="00DE733C">
              <w:rPr>
                <w:b/>
                <w:bCs/>
                <w:color w:val="000000"/>
                <w:sz w:val="20"/>
                <w:lang w:val="es-PY" w:eastAsia="es-PY"/>
              </w:rPr>
              <w:t>Extensión (km)</w:t>
            </w:r>
          </w:p>
        </w:tc>
        <w:tc>
          <w:tcPr>
            <w:tcW w:w="1808" w:type="dxa"/>
            <w:tcBorders>
              <w:top w:val="single" w:sz="8" w:space="0" w:color="auto"/>
              <w:left w:val="nil"/>
              <w:bottom w:val="double" w:sz="6" w:space="0" w:color="auto"/>
              <w:right w:val="single" w:sz="4" w:space="0" w:color="auto"/>
            </w:tcBorders>
            <w:shd w:val="clear" w:color="000000" w:fill="DAEEF3"/>
            <w:vAlign w:val="center"/>
            <w:hideMark/>
          </w:tcPr>
          <w:p w:rsidR="00DE733C" w:rsidRPr="00DE733C" w:rsidRDefault="00DE733C" w:rsidP="00DE733C">
            <w:pPr>
              <w:keepNext/>
              <w:jc w:val="center"/>
              <w:rPr>
                <w:b/>
                <w:bCs/>
                <w:color w:val="000000"/>
                <w:sz w:val="20"/>
                <w:lang w:val="es-PY" w:eastAsia="es-PY"/>
              </w:rPr>
            </w:pPr>
            <w:r w:rsidRPr="00DE733C">
              <w:rPr>
                <w:b/>
                <w:bCs/>
                <w:color w:val="000000"/>
                <w:sz w:val="20"/>
                <w:lang w:val="es-PY" w:eastAsia="es-PY"/>
              </w:rPr>
              <w:t>Ejecutores</w:t>
            </w:r>
          </w:p>
        </w:tc>
        <w:tc>
          <w:tcPr>
            <w:tcW w:w="4287" w:type="dxa"/>
            <w:gridSpan w:val="3"/>
            <w:tcBorders>
              <w:top w:val="single" w:sz="8" w:space="0" w:color="auto"/>
              <w:left w:val="nil"/>
              <w:bottom w:val="double" w:sz="6" w:space="0" w:color="auto"/>
              <w:right w:val="single" w:sz="8" w:space="0" w:color="000000"/>
            </w:tcBorders>
            <w:shd w:val="clear" w:color="000000" w:fill="DAEEF3"/>
            <w:vAlign w:val="center"/>
            <w:hideMark/>
          </w:tcPr>
          <w:p w:rsidR="00DE733C" w:rsidRPr="00DE733C" w:rsidRDefault="00DE733C" w:rsidP="00DE733C">
            <w:pPr>
              <w:keepNext/>
              <w:jc w:val="center"/>
              <w:rPr>
                <w:b/>
                <w:bCs/>
                <w:color w:val="000000"/>
                <w:sz w:val="20"/>
                <w:lang w:val="es-PY" w:eastAsia="es-PY"/>
              </w:rPr>
            </w:pPr>
            <w:r w:rsidRPr="00DE733C">
              <w:rPr>
                <w:b/>
                <w:bCs/>
                <w:color w:val="000000"/>
                <w:sz w:val="20"/>
                <w:lang w:val="es-PY" w:eastAsia="es-PY"/>
              </w:rPr>
              <w:t xml:space="preserve"> Valores de US$/km/año </w:t>
            </w:r>
          </w:p>
        </w:tc>
      </w:tr>
      <w:tr w:rsidR="00DE733C" w:rsidRPr="00DE733C" w:rsidTr="00DE733C">
        <w:tc>
          <w:tcPr>
            <w:tcW w:w="4795" w:type="dxa"/>
            <w:gridSpan w:val="3"/>
            <w:tcBorders>
              <w:top w:val="nil"/>
              <w:left w:val="single" w:sz="8" w:space="0" w:color="auto"/>
              <w:bottom w:val="single" w:sz="4" w:space="0" w:color="auto"/>
              <w:right w:val="single" w:sz="4" w:space="0" w:color="000000"/>
            </w:tcBorders>
            <w:shd w:val="clear" w:color="000000" w:fill="DAEEF3"/>
            <w:noWrap/>
            <w:vAlign w:val="center"/>
            <w:hideMark/>
          </w:tcPr>
          <w:p w:rsidR="00DE733C" w:rsidRPr="00DE733C" w:rsidRDefault="00DE733C" w:rsidP="00DE733C">
            <w:pPr>
              <w:keepNext/>
              <w:rPr>
                <w:b/>
                <w:bCs/>
                <w:color w:val="000000"/>
                <w:sz w:val="20"/>
                <w:lang w:val="es-PY" w:eastAsia="es-PY"/>
              </w:rPr>
            </w:pPr>
            <w:r w:rsidRPr="00DE733C">
              <w:rPr>
                <w:b/>
                <w:bCs/>
                <w:color w:val="000000"/>
                <w:sz w:val="20"/>
                <w:lang w:val="es-PY" w:eastAsia="es-PY"/>
              </w:rPr>
              <w:t>Modalidad por Convenio</w:t>
            </w:r>
          </w:p>
        </w:tc>
        <w:tc>
          <w:tcPr>
            <w:tcW w:w="1594" w:type="dxa"/>
            <w:tcBorders>
              <w:top w:val="nil"/>
              <w:left w:val="nil"/>
              <w:bottom w:val="single" w:sz="4" w:space="0" w:color="auto"/>
              <w:right w:val="single" w:sz="4" w:space="0" w:color="auto"/>
            </w:tcBorders>
            <w:shd w:val="clear" w:color="000000" w:fill="DAEEF3"/>
            <w:vAlign w:val="center"/>
            <w:hideMark/>
          </w:tcPr>
          <w:p w:rsidR="00DE733C" w:rsidRPr="00DE733C" w:rsidRDefault="00DE733C" w:rsidP="00DE733C">
            <w:pPr>
              <w:keepNext/>
              <w:jc w:val="center"/>
              <w:rPr>
                <w:b/>
                <w:bCs/>
                <w:color w:val="000000"/>
                <w:sz w:val="20"/>
                <w:lang w:val="es-PY" w:eastAsia="es-PY"/>
              </w:rPr>
            </w:pPr>
            <w:r w:rsidRPr="00DE733C">
              <w:rPr>
                <w:b/>
                <w:bCs/>
                <w:color w:val="000000"/>
                <w:sz w:val="20"/>
                <w:lang w:val="es-PY" w:eastAsia="es-PY"/>
              </w:rPr>
              <w:t xml:space="preserve"> Gastos desembolsados </w:t>
            </w:r>
          </w:p>
        </w:tc>
        <w:tc>
          <w:tcPr>
            <w:tcW w:w="1360" w:type="dxa"/>
            <w:tcBorders>
              <w:top w:val="nil"/>
              <w:left w:val="nil"/>
              <w:bottom w:val="single" w:sz="4" w:space="0" w:color="auto"/>
              <w:right w:val="nil"/>
            </w:tcBorders>
            <w:shd w:val="clear" w:color="000000" w:fill="DAEEF3"/>
            <w:vAlign w:val="center"/>
            <w:hideMark/>
          </w:tcPr>
          <w:p w:rsidR="00DE733C" w:rsidRPr="00DE733C" w:rsidRDefault="00DE733C" w:rsidP="00DE733C">
            <w:pPr>
              <w:keepNext/>
              <w:jc w:val="center"/>
              <w:rPr>
                <w:b/>
                <w:bCs/>
                <w:color w:val="000000"/>
                <w:sz w:val="20"/>
                <w:lang w:val="es-PY" w:eastAsia="es-PY"/>
              </w:rPr>
            </w:pPr>
            <w:r w:rsidRPr="00DE733C">
              <w:rPr>
                <w:b/>
                <w:bCs/>
                <w:color w:val="000000"/>
                <w:sz w:val="20"/>
                <w:lang w:val="es-PY" w:eastAsia="es-PY"/>
              </w:rPr>
              <w:t xml:space="preserve"> Amortización de equipos </w:t>
            </w:r>
          </w:p>
        </w:tc>
        <w:tc>
          <w:tcPr>
            <w:tcW w:w="1333" w:type="dxa"/>
            <w:tcBorders>
              <w:top w:val="nil"/>
              <w:left w:val="single" w:sz="4" w:space="0" w:color="auto"/>
              <w:bottom w:val="single" w:sz="4" w:space="0" w:color="auto"/>
              <w:right w:val="single" w:sz="8" w:space="0" w:color="auto"/>
            </w:tcBorders>
            <w:shd w:val="clear" w:color="000000" w:fill="DAEEF3"/>
            <w:vAlign w:val="center"/>
            <w:hideMark/>
          </w:tcPr>
          <w:p w:rsidR="00DE733C" w:rsidRPr="00DE733C" w:rsidRDefault="00DE733C" w:rsidP="00DE733C">
            <w:pPr>
              <w:keepNext/>
              <w:jc w:val="center"/>
              <w:rPr>
                <w:b/>
                <w:bCs/>
                <w:color w:val="000000"/>
                <w:sz w:val="20"/>
                <w:lang w:val="es-PY" w:eastAsia="es-PY"/>
              </w:rPr>
            </w:pPr>
            <w:r w:rsidRPr="00DE733C">
              <w:rPr>
                <w:b/>
                <w:bCs/>
                <w:color w:val="000000"/>
                <w:sz w:val="20"/>
                <w:lang w:val="es-PY" w:eastAsia="es-PY"/>
              </w:rPr>
              <w:t xml:space="preserve"> Sumas </w:t>
            </w:r>
          </w:p>
        </w:tc>
      </w:tr>
      <w:tr w:rsidR="00DE733C" w:rsidRPr="00DE733C" w:rsidTr="00DE733C">
        <w:tc>
          <w:tcPr>
            <w:tcW w:w="1764" w:type="dxa"/>
            <w:tcBorders>
              <w:top w:val="nil"/>
              <w:left w:val="single" w:sz="8" w:space="0" w:color="auto"/>
              <w:bottom w:val="single" w:sz="4" w:space="0" w:color="auto"/>
              <w:right w:val="single" w:sz="4" w:space="0" w:color="auto"/>
            </w:tcBorders>
            <w:shd w:val="clear" w:color="auto" w:fill="auto"/>
            <w:hideMark/>
          </w:tcPr>
          <w:p w:rsidR="00DE733C" w:rsidRPr="00DE733C" w:rsidRDefault="00DE733C" w:rsidP="00DE733C">
            <w:pPr>
              <w:rPr>
                <w:color w:val="000000"/>
                <w:sz w:val="20"/>
                <w:lang w:val="es-PY" w:eastAsia="es-PY"/>
              </w:rPr>
            </w:pPr>
            <w:r>
              <w:rPr>
                <w:color w:val="000000"/>
                <w:sz w:val="20"/>
                <w:lang w:val="es-PY" w:eastAsia="es-PY"/>
              </w:rPr>
              <w:t>Itapúa</w:t>
            </w:r>
          </w:p>
        </w:tc>
        <w:tc>
          <w:tcPr>
            <w:tcW w:w="1223" w:type="dxa"/>
            <w:tcBorders>
              <w:top w:val="nil"/>
              <w:left w:val="nil"/>
              <w:bottom w:val="single" w:sz="4" w:space="0" w:color="auto"/>
              <w:right w:val="single" w:sz="4" w:space="0" w:color="auto"/>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427,64 </w:t>
            </w:r>
          </w:p>
        </w:tc>
        <w:tc>
          <w:tcPr>
            <w:tcW w:w="1808" w:type="dxa"/>
            <w:tcBorders>
              <w:top w:val="nil"/>
              <w:left w:val="nil"/>
              <w:bottom w:val="single" w:sz="4" w:space="0" w:color="auto"/>
              <w:right w:val="single" w:sz="4" w:space="0" w:color="auto"/>
            </w:tcBorders>
            <w:shd w:val="clear" w:color="auto" w:fill="auto"/>
            <w:noWrap/>
            <w:hideMark/>
          </w:tcPr>
          <w:p w:rsidR="00DE733C" w:rsidRPr="00DE733C" w:rsidRDefault="00DE733C" w:rsidP="00DE733C">
            <w:pPr>
              <w:rPr>
                <w:color w:val="000000"/>
                <w:sz w:val="20"/>
                <w:lang w:val="es-PY" w:eastAsia="es-PY"/>
              </w:rPr>
            </w:pPr>
            <w:r w:rsidRPr="00DE733C">
              <w:rPr>
                <w:color w:val="000000"/>
                <w:sz w:val="20"/>
                <w:lang w:val="es-PY" w:eastAsia="es-PY"/>
              </w:rPr>
              <w:t xml:space="preserve"> Trinidad </w:t>
            </w:r>
          </w:p>
        </w:tc>
        <w:tc>
          <w:tcPr>
            <w:tcW w:w="1594" w:type="dxa"/>
            <w:tcBorders>
              <w:top w:val="nil"/>
              <w:left w:val="nil"/>
              <w:bottom w:val="single" w:sz="4" w:space="0" w:color="auto"/>
              <w:right w:val="nil"/>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2.403 </w:t>
            </w:r>
          </w:p>
        </w:tc>
        <w:tc>
          <w:tcPr>
            <w:tcW w:w="1360" w:type="dxa"/>
            <w:tcBorders>
              <w:top w:val="nil"/>
              <w:left w:val="single" w:sz="4" w:space="0" w:color="auto"/>
              <w:bottom w:val="single" w:sz="4" w:space="0" w:color="auto"/>
              <w:right w:val="nil"/>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453 </w:t>
            </w:r>
          </w:p>
        </w:tc>
        <w:tc>
          <w:tcPr>
            <w:tcW w:w="1333" w:type="dxa"/>
            <w:tcBorders>
              <w:top w:val="nil"/>
              <w:left w:val="single" w:sz="4" w:space="0" w:color="auto"/>
              <w:bottom w:val="single" w:sz="4" w:space="0" w:color="auto"/>
              <w:right w:val="single" w:sz="8" w:space="0" w:color="auto"/>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2.856 </w:t>
            </w:r>
          </w:p>
        </w:tc>
      </w:tr>
      <w:tr w:rsidR="00DE733C" w:rsidRPr="00DE733C" w:rsidTr="00DE733C">
        <w:tc>
          <w:tcPr>
            <w:tcW w:w="1764" w:type="dxa"/>
            <w:tcBorders>
              <w:top w:val="nil"/>
              <w:left w:val="single" w:sz="8" w:space="0" w:color="auto"/>
              <w:bottom w:val="single" w:sz="4" w:space="0" w:color="auto"/>
              <w:right w:val="single" w:sz="4" w:space="0" w:color="auto"/>
            </w:tcBorders>
            <w:shd w:val="clear" w:color="auto" w:fill="auto"/>
            <w:hideMark/>
          </w:tcPr>
          <w:p w:rsidR="00DE733C" w:rsidRPr="00DE733C" w:rsidRDefault="00DE733C" w:rsidP="00DE733C">
            <w:pPr>
              <w:rPr>
                <w:color w:val="000000"/>
                <w:sz w:val="20"/>
                <w:lang w:val="es-PY" w:eastAsia="es-PY"/>
              </w:rPr>
            </w:pPr>
            <w:r w:rsidRPr="00DE733C">
              <w:rPr>
                <w:color w:val="000000"/>
                <w:sz w:val="20"/>
                <w:lang w:val="es-PY" w:eastAsia="es-PY"/>
              </w:rPr>
              <w:t>Alto Paraná Sur</w:t>
            </w:r>
          </w:p>
        </w:tc>
        <w:tc>
          <w:tcPr>
            <w:tcW w:w="1223" w:type="dxa"/>
            <w:tcBorders>
              <w:top w:val="nil"/>
              <w:left w:val="nil"/>
              <w:bottom w:val="single" w:sz="4" w:space="0" w:color="auto"/>
              <w:right w:val="single" w:sz="4" w:space="0" w:color="auto"/>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504,15 </w:t>
            </w:r>
          </w:p>
        </w:tc>
        <w:tc>
          <w:tcPr>
            <w:tcW w:w="1808" w:type="dxa"/>
            <w:tcBorders>
              <w:top w:val="nil"/>
              <w:left w:val="nil"/>
              <w:bottom w:val="single" w:sz="4" w:space="0" w:color="auto"/>
              <w:right w:val="single" w:sz="4" w:space="0" w:color="auto"/>
            </w:tcBorders>
            <w:shd w:val="clear" w:color="auto" w:fill="auto"/>
            <w:noWrap/>
            <w:hideMark/>
          </w:tcPr>
          <w:p w:rsidR="00DE733C" w:rsidRPr="00DE733C" w:rsidRDefault="00DE733C" w:rsidP="00DE733C">
            <w:pPr>
              <w:rPr>
                <w:color w:val="000000"/>
                <w:sz w:val="20"/>
                <w:lang w:val="es-PY" w:eastAsia="es-PY"/>
              </w:rPr>
            </w:pPr>
            <w:r w:rsidRPr="00DE733C">
              <w:rPr>
                <w:color w:val="000000"/>
                <w:sz w:val="20"/>
                <w:lang w:val="es-PY" w:eastAsia="es-PY"/>
              </w:rPr>
              <w:t xml:space="preserve"> Naranjal </w:t>
            </w:r>
          </w:p>
        </w:tc>
        <w:tc>
          <w:tcPr>
            <w:tcW w:w="1594" w:type="dxa"/>
            <w:tcBorders>
              <w:top w:val="nil"/>
              <w:left w:val="nil"/>
              <w:bottom w:val="single" w:sz="4" w:space="0" w:color="auto"/>
              <w:right w:val="nil"/>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2.490 </w:t>
            </w:r>
          </w:p>
        </w:tc>
        <w:tc>
          <w:tcPr>
            <w:tcW w:w="1360" w:type="dxa"/>
            <w:tcBorders>
              <w:top w:val="nil"/>
              <w:left w:val="single" w:sz="4" w:space="0" w:color="auto"/>
              <w:bottom w:val="single" w:sz="4" w:space="0" w:color="auto"/>
              <w:right w:val="nil"/>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453 </w:t>
            </w:r>
          </w:p>
        </w:tc>
        <w:tc>
          <w:tcPr>
            <w:tcW w:w="1333" w:type="dxa"/>
            <w:tcBorders>
              <w:top w:val="nil"/>
              <w:left w:val="single" w:sz="4" w:space="0" w:color="auto"/>
              <w:bottom w:val="single" w:sz="4" w:space="0" w:color="auto"/>
              <w:right w:val="single" w:sz="8" w:space="0" w:color="auto"/>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2.943 </w:t>
            </w:r>
          </w:p>
        </w:tc>
      </w:tr>
      <w:tr w:rsidR="00DE733C" w:rsidRPr="00DE733C" w:rsidTr="00DE733C">
        <w:tc>
          <w:tcPr>
            <w:tcW w:w="1764" w:type="dxa"/>
            <w:tcBorders>
              <w:top w:val="nil"/>
              <w:left w:val="single" w:sz="8" w:space="0" w:color="auto"/>
              <w:bottom w:val="single" w:sz="4" w:space="0" w:color="auto"/>
              <w:right w:val="single" w:sz="4" w:space="0" w:color="auto"/>
            </w:tcBorders>
            <w:shd w:val="clear" w:color="auto" w:fill="auto"/>
            <w:hideMark/>
          </w:tcPr>
          <w:p w:rsidR="00DE733C" w:rsidRPr="00DE733C" w:rsidRDefault="00DE733C" w:rsidP="00DE733C">
            <w:pPr>
              <w:rPr>
                <w:color w:val="000000"/>
                <w:sz w:val="20"/>
                <w:lang w:val="es-PY" w:eastAsia="es-PY"/>
              </w:rPr>
            </w:pPr>
            <w:r w:rsidRPr="00DE733C">
              <w:rPr>
                <w:color w:val="000000"/>
                <w:sz w:val="20"/>
                <w:lang w:val="es-PY" w:eastAsia="es-PY"/>
              </w:rPr>
              <w:t>Canindeyú Este</w:t>
            </w:r>
          </w:p>
        </w:tc>
        <w:tc>
          <w:tcPr>
            <w:tcW w:w="1223" w:type="dxa"/>
            <w:tcBorders>
              <w:top w:val="nil"/>
              <w:left w:val="nil"/>
              <w:bottom w:val="single" w:sz="4" w:space="0" w:color="auto"/>
              <w:right w:val="single" w:sz="4" w:space="0" w:color="auto"/>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436,60 </w:t>
            </w:r>
          </w:p>
        </w:tc>
        <w:tc>
          <w:tcPr>
            <w:tcW w:w="1808" w:type="dxa"/>
            <w:tcBorders>
              <w:top w:val="nil"/>
              <w:left w:val="nil"/>
              <w:bottom w:val="single" w:sz="4" w:space="0" w:color="auto"/>
              <w:right w:val="single" w:sz="4" w:space="0" w:color="auto"/>
            </w:tcBorders>
            <w:shd w:val="clear" w:color="auto" w:fill="auto"/>
            <w:noWrap/>
            <w:hideMark/>
          </w:tcPr>
          <w:p w:rsidR="00DE733C" w:rsidRPr="00DE733C" w:rsidRDefault="00DE733C" w:rsidP="00DE733C">
            <w:pPr>
              <w:rPr>
                <w:color w:val="000000"/>
                <w:sz w:val="20"/>
                <w:lang w:val="es-PY" w:eastAsia="es-PY"/>
              </w:rPr>
            </w:pPr>
            <w:r w:rsidRPr="00DE733C">
              <w:rPr>
                <w:color w:val="000000"/>
                <w:sz w:val="20"/>
                <w:lang w:val="es-PY" w:eastAsia="es-PY"/>
              </w:rPr>
              <w:t xml:space="preserve"> Corpus Cristi </w:t>
            </w:r>
          </w:p>
        </w:tc>
        <w:tc>
          <w:tcPr>
            <w:tcW w:w="1594" w:type="dxa"/>
            <w:tcBorders>
              <w:top w:val="nil"/>
              <w:left w:val="nil"/>
              <w:bottom w:val="single" w:sz="4" w:space="0" w:color="auto"/>
              <w:right w:val="nil"/>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3.007 </w:t>
            </w:r>
          </w:p>
        </w:tc>
        <w:tc>
          <w:tcPr>
            <w:tcW w:w="1360" w:type="dxa"/>
            <w:tcBorders>
              <w:top w:val="nil"/>
              <w:left w:val="single" w:sz="4" w:space="0" w:color="auto"/>
              <w:bottom w:val="single" w:sz="4" w:space="0" w:color="auto"/>
              <w:right w:val="nil"/>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453 </w:t>
            </w:r>
          </w:p>
        </w:tc>
        <w:tc>
          <w:tcPr>
            <w:tcW w:w="1333" w:type="dxa"/>
            <w:tcBorders>
              <w:top w:val="nil"/>
              <w:left w:val="single" w:sz="4" w:space="0" w:color="auto"/>
              <w:bottom w:val="single" w:sz="4" w:space="0" w:color="auto"/>
              <w:right w:val="single" w:sz="8" w:space="0" w:color="auto"/>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3.460 </w:t>
            </w:r>
          </w:p>
        </w:tc>
      </w:tr>
      <w:tr w:rsidR="00DE733C" w:rsidRPr="00DE733C" w:rsidTr="00DE733C">
        <w:tc>
          <w:tcPr>
            <w:tcW w:w="1764" w:type="dxa"/>
            <w:tcBorders>
              <w:top w:val="nil"/>
              <w:left w:val="single" w:sz="8" w:space="0" w:color="auto"/>
              <w:bottom w:val="single" w:sz="4" w:space="0" w:color="auto"/>
              <w:right w:val="single" w:sz="4" w:space="0" w:color="auto"/>
            </w:tcBorders>
            <w:shd w:val="clear" w:color="auto" w:fill="auto"/>
            <w:hideMark/>
          </w:tcPr>
          <w:p w:rsidR="00DE733C" w:rsidRPr="00DE733C" w:rsidRDefault="00DE733C" w:rsidP="00DE733C">
            <w:pPr>
              <w:rPr>
                <w:color w:val="000000"/>
                <w:sz w:val="20"/>
                <w:lang w:val="es-PY" w:eastAsia="es-PY"/>
              </w:rPr>
            </w:pPr>
            <w:r w:rsidRPr="00DE733C">
              <w:rPr>
                <w:color w:val="000000"/>
                <w:sz w:val="20"/>
                <w:lang w:val="es-PY" w:eastAsia="es-PY"/>
              </w:rPr>
              <w:t>Caazapá</w:t>
            </w:r>
          </w:p>
        </w:tc>
        <w:tc>
          <w:tcPr>
            <w:tcW w:w="1223" w:type="dxa"/>
            <w:tcBorders>
              <w:top w:val="nil"/>
              <w:left w:val="nil"/>
              <w:bottom w:val="single" w:sz="4" w:space="0" w:color="auto"/>
              <w:right w:val="single" w:sz="4" w:space="0" w:color="auto"/>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451,33 </w:t>
            </w:r>
          </w:p>
        </w:tc>
        <w:tc>
          <w:tcPr>
            <w:tcW w:w="1808" w:type="dxa"/>
            <w:tcBorders>
              <w:top w:val="nil"/>
              <w:left w:val="nil"/>
              <w:bottom w:val="single" w:sz="4" w:space="0" w:color="auto"/>
              <w:right w:val="single" w:sz="4" w:space="0" w:color="auto"/>
            </w:tcBorders>
            <w:shd w:val="clear" w:color="auto" w:fill="auto"/>
            <w:noWrap/>
            <w:hideMark/>
          </w:tcPr>
          <w:p w:rsidR="00DE733C" w:rsidRPr="00DE733C" w:rsidRDefault="00DE733C" w:rsidP="00DE733C">
            <w:pPr>
              <w:rPr>
                <w:color w:val="000000"/>
                <w:sz w:val="20"/>
                <w:lang w:val="es-PY" w:eastAsia="es-PY"/>
              </w:rPr>
            </w:pPr>
            <w:r w:rsidRPr="00DE733C">
              <w:rPr>
                <w:color w:val="000000"/>
                <w:sz w:val="20"/>
                <w:lang w:val="es-PY" w:eastAsia="es-PY"/>
              </w:rPr>
              <w:t xml:space="preserve"> Caazapá </w:t>
            </w:r>
          </w:p>
        </w:tc>
        <w:tc>
          <w:tcPr>
            <w:tcW w:w="1594" w:type="dxa"/>
            <w:tcBorders>
              <w:top w:val="nil"/>
              <w:left w:val="nil"/>
              <w:bottom w:val="single" w:sz="4" w:space="0" w:color="auto"/>
              <w:right w:val="nil"/>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3.841 </w:t>
            </w:r>
          </w:p>
        </w:tc>
        <w:tc>
          <w:tcPr>
            <w:tcW w:w="1360" w:type="dxa"/>
            <w:tcBorders>
              <w:top w:val="nil"/>
              <w:left w:val="single" w:sz="4" w:space="0" w:color="auto"/>
              <w:bottom w:val="single" w:sz="4" w:space="0" w:color="auto"/>
              <w:right w:val="nil"/>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453 </w:t>
            </w:r>
          </w:p>
        </w:tc>
        <w:tc>
          <w:tcPr>
            <w:tcW w:w="1333" w:type="dxa"/>
            <w:tcBorders>
              <w:top w:val="nil"/>
              <w:left w:val="single" w:sz="4" w:space="0" w:color="auto"/>
              <w:bottom w:val="single" w:sz="4" w:space="0" w:color="auto"/>
              <w:right w:val="single" w:sz="8" w:space="0" w:color="auto"/>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4.294 </w:t>
            </w:r>
          </w:p>
        </w:tc>
      </w:tr>
      <w:tr w:rsidR="00DE733C" w:rsidRPr="00DE733C" w:rsidTr="00DE733C">
        <w:tc>
          <w:tcPr>
            <w:tcW w:w="1764" w:type="dxa"/>
            <w:tcBorders>
              <w:top w:val="nil"/>
              <w:left w:val="single" w:sz="8" w:space="0" w:color="auto"/>
              <w:bottom w:val="single" w:sz="4" w:space="0" w:color="auto"/>
              <w:right w:val="single" w:sz="4" w:space="0" w:color="auto"/>
            </w:tcBorders>
            <w:shd w:val="clear" w:color="auto" w:fill="auto"/>
            <w:hideMark/>
          </w:tcPr>
          <w:p w:rsidR="00DE733C" w:rsidRPr="00DE733C" w:rsidRDefault="00DE733C" w:rsidP="00DE733C">
            <w:pPr>
              <w:rPr>
                <w:color w:val="000000"/>
                <w:sz w:val="20"/>
                <w:lang w:val="es-PY" w:eastAsia="es-PY"/>
              </w:rPr>
            </w:pPr>
            <w:r w:rsidRPr="00DE733C">
              <w:rPr>
                <w:color w:val="000000"/>
                <w:sz w:val="20"/>
                <w:lang w:val="es-PY" w:eastAsia="es-PY"/>
              </w:rPr>
              <w:t>Guairá</w:t>
            </w:r>
          </w:p>
        </w:tc>
        <w:tc>
          <w:tcPr>
            <w:tcW w:w="1223" w:type="dxa"/>
            <w:tcBorders>
              <w:top w:val="nil"/>
              <w:left w:val="nil"/>
              <w:bottom w:val="single" w:sz="4" w:space="0" w:color="auto"/>
              <w:right w:val="single" w:sz="4" w:space="0" w:color="auto"/>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321,53 </w:t>
            </w:r>
          </w:p>
        </w:tc>
        <w:tc>
          <w:tcPr>
            <w:tcW w:w="1808" w:type="dxa"/>
            <w:tcBorders>
              <w:top w:val="nil"/>
              <w:left w:val="nil"/>
              <w:bottom w:val="single" w:sz="4" w:space="0" w:color="auto"/>
              <w:right w:val="single" w:sz="4" w:space="0" w:color="auto"/>
            </w:tcBorders>
            <w:shd w:val="clear" w:color="auto" w:fill="auto"/>
            <w:noWrap/>
            <w:hideMark/>
          </w:tcPr>
          <w:p w:rsidR="00DE733C" w:rsidRPr="00DE733C" w:rsidRDefault="00DE733C" w:rsidP="00DE733C">
            <w:pPr>
              <w:rPr>
                <w:color w:val="000000"/>
                <w:sz w:val="20"/>
                <w:lang w:val="es-PY" w:eastAsia="es-PY"/>
              </w:rPr>
            </w:pPr>
            <w:r w:rsidRPr="00DE733C">
              <w:rPr>
                <w:color w:val="000000"/>
                <w:sz w:val="20"/>
                <w:lang w:val="es-PY" w:eastAsia="es-PY"/>
              </w:rPr>
              <w:t xml:space="preserve"> Borja </w:t>
            </w:r>
          </w:p>
        </w:tc>
        <w:tc>
          <w:tcPr>
            <w:tcW w:w="1594" w:type="dxa"/>
            <w:tcBorders>
              <w:top w:val="nil"/>
              <w:left w:val="nil"/>
              <w:bottom w:val="single" w:sz="4" w:space="0" w:color="auto"/>
              <w:right w:val="nil"/>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4.896 </w:t>
            </w:r>
          </w:p>
        </w:tc>
        <w:tc>
          <w:tcPr>
            <w:tcW w:w="1360" w:type="dxa"/>
            <w:tcBorders>
              <w:top w:val="nil"/>
              <w:left w:val="single" w:sz="4" w:space="0" w:color="auto"/>
              <w:bottom w:val="single" w:sz="4" w:space="0" w:color="auto"/>
              <w:right w:val="nil"/>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453 </w:t>
            </w:r>
          </w:p>
        </w:tc>
        <w:tc>
          <w:tcPr>
            <w:tcW w:w="1333" w:type="dxa"/>
            <w:tcBorders>
              <w:top w:val="nil"/>
              <w:left w:val="single" w:sz="4" w:space="0" w:color="auto"/>
              <w:bottom w:val="single" w:sz="4" w:space="0" w:color="auto"/>
              <w:right w:val="single" w:sz="8" w:space="0" w:color="auto"/>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5.349 </w:t>
            </w:r>
          </w:p>
        </w:tc>
      </w:tr>
      <w:tr w:rsidR="00DE733C" w:rsidRPr="00DE733C" w:rsidTr="00DE733C">
        <w:tc>
          <w:tcPr>
            <w:tcW w:w="1764" w:type="dxa"/>
            <w:tcBorders>
              <w:top w:val="nil"/>
              <w:left w:val="single" w:sz="8" w:space="0" w:color="auto"/>
              <w:bottom w:val="single" w:sz="4" w:space="0" w:color="auto"/>
              <w:right w:val="nil"/>
            </w:tcBorders>
            <w:shd w:val="clear" w:color="auto" w:fill="auto"/>
            <w:noWrap/>
            <w:vAlign w:val="center"/>
            <w:hideMark/>
          </w:tcPr>
          <w:p w:rsidR="00DE733C" w:rsidRPr="00DE733C" w:rsidRDefault="00DE733C" w:rsidP="00DE733C">
            <w:pPr>
              <w:rPr>
                <w:b/>
                <w:bCs/>
                <w:color w:val="000000"/>
                <w:sz w:val="20"/>
                <w:lang w:val="es-PY" w:eastAsia="es-PY"/>
              </w:rPr>
            </w:pPr>
            <w:r w:rsidRPr="00DE733C">
              <w:rPr>
                <w:b/>
                <w:bCs/>
                <w:color w:val="000000"/>
                <w:sz w:val="20"/>
                <w:lang w:val="es-PY" w:eastAsia="es-PY"/>
              </w:rPr>
              <w:lastRenderedPageBreak/>
              <w:t>Máximo</w:t>
            </w:r>
          </w:p>
        </w:tc>
        <w:tc>
          <w:tcPr>
            <w:tcW w:w="1223" w:type="dxa"/>
            <w:tcBorders>
              <w:top w:val="nil"/>
              <w:left w:val="nil"/>
              <w:bottom w:val="single" w:sz="4" w:space="0" w:color="auto"/>
              <w:right w:val="nil"/>
            </w:tcBorders>
            <w:shd w:val="clear" w:color="auto" w:fill="auto"/>
            <w:noWrap/>
            <w:vAlign w:val="bottom"/>
            <w:hideMark/>
          </w:tcPr>
          <w:p w:rsidR="00DE733C" w:rsidRPr="00DE733C" w:rsidRDefault="00DE733C" w:rsidP="00DE733C">
            <w:pPr>
              <w:rPr>
                <w:rFonts w:ascii="Calibri" w:hAnsi="Calibri"/>
                <w:color w:val="000000"/>
                <w:sz w:val="20"/>
                <w:lang w:val="es-PY" w:eastAsia="es-PY"/>
              </w:rPr>
            </w:pPr>
            <w:r w:rsidRPr="00DE733C">
              <w:rPr>
                <w:rFonts w:ascii="Calibri" w:hAnsi="Calibri"/>
                <w:color w:val="000000"/>
                <w:sz w:val="20"/>
                <w:lang w:val="es-PY" w:eastAsia="es-PY"/>
              </w:rPr>
              <w:t> </w:t>
            </w:r>
          </w:p>
        </w:tc>
        <w:tc>
          <w:tcPr>
            <w:tcW w:w="1808" w:type="dxa"/>
            <w:tcBorders>
              <w:top w:val="nil"/>
              <w:left w:val="nil"/>
              <w:bottom w:val="single" w:sz="4" w:space="0" w:color="auto"/>
              <w:right w:val="nil"/>
            </w:tcBorders>
            <w:shd w:val="clear" w:color="auto" w:fill="auto"/>
            <w:noWrap/>
            <w:vAlign w:val="bottom"/>
            <w:hideMark/>
          </w:tcPr>
          <w:p w:rsidR="00DE733C" w:rsidRPr="00DE733C" w:rsidRDefault="00DE733C" w:rsidP="00DE733C">
            <w:pPr>
              <w:rPr>
                <w:rFonts w:ascii="Calibri" w:hAnsi="Calibri"/>
                <w:color w:val="000000"/>
                <w:sz w:val="20"/>
                <w:lang w:val="es-PY" w:eastAsia="es-PY"/>
              </w:rPr>
            </w:pPr>
            <w:r w:rsidRPr="00DE733C">
              <w:rPr>
                <w:rFonts w:ascii="Calibri" w:hAnsi="Calibri"/>
                <w:color w:val="000000"/>
                <w:sz w:val="20"/>
                <w:lang w:val="es-PY" w:eastAsia="es-PY"/>
              </w:rPr>
              <w:t> </w:t>
            </w:r>
          </w:p>
        </w:tc>
        <w:tc>
          <w:tcPr>
            <w:tcW w:w="1594" w:type="dxa"/>
            <w:tcBorders>
              <w:top w:val="nil"/>
              <w:left w:val="nil"/>
              <w:bottom w:val="single" w:sz="4" w:space="0" w:color="auto"/>
              <w:right w:val="nil"/>
            </w:tcBorders>
            <w:shd w:val="clear" w:color="auto" w:fill="auto"/>
            <w:noWrap/>
            <w:hideMark/>
          </w:tcPr>
          <w:p w:rsidR="00DE733C" w:rsidRPr="00DE733C" w:rsidRDefault="00DE733C" w:rsidP="00DE733C">
            <w:pPr>
              <w:jc w:val="right"/>
              <w:rPr>
                <w:rFonts w:ascii="Calibri" w:hAnsi="Calibri"/>
                <w:color w:val="000000"/>
                <w:sz w:val="20"/>
                <w:lang w:val="es-PY" w:eastAsia="es-PY"/>
              </w:rPr>
            </w:pPr>
            <w:r w:rsidRPr="00DE733C">
              <w:rPr>
                <w:rFonts w:ascii="Calibri" w:hAnsi="Calibri"/>
                <w:color w:val="000000"/>
                <w:sz w:val="20"/>
                <w:lang w:val="es-PY" w:eastAsia="es-PY"/>
              </w:rPr>
              <w:t> </w:t>
            </w:r>
          </w:p>
        </w:tc>
        <w:tc>
          <w:tcPr>
            <w:tcW w:w="1360" w:type="dxa"/>
            <w:tcBorders>
              <w:top w:val="nil"/>
              <w:left w:val="nil"/>
              <w:bottom w:val="single" w:sz="4" w:space="0" w:color="auto"/>
              <w:right w:val="nil"/>
            </w:tcBorders>
            <w:shd w:val="clear" w:color="auto" w:fill="auto"/>
            <w:noWrap/>
            <w:hideMark/>
          </w:tcPr>
          <w:p w:rsidR="00DE733C" w:rsidRPr="00DE733C" w:rsidRDefault="00DE733C" w:rsidP="00DE733C">
            <w:pPr>
              <w:jc w:val="right"/>
              <w:rPr>
                <w:rFonts w:ascii="Calibri" w:hAnsi="Calibri"/>
                <w:color w:val="000000"/>
                <w:sz w:val="20"/>
                <w:lang w:val="es-PY" w:eastAsia="es-PY"/>
              </w:rPr>
            </w:pPr>
            <w:r w:rsidRPr="00DE733C">
              <w:rPr>
                <w:rFonts w:ascii="Calibri" w:hAnsi="Calibri"/>
                <w:color w:val="000000"/>
                <w:sz w:val="20"/>
                <w:lang w:val="es-PY" w:eastAsia="es-PY"/>
              </w:rPr>
              <w:t> </w:t>
            </w:r>
          </w:p>
        </w:tc>
        <w:tc>
          <w:tcPr>
            <w:tcW w:w="1333" w:type="dxa"/>
            <w:tcBorders>
              <w:top w:val="nil"/>
              <w:left w:val="single" w:sz="4" w:space="0" w:color="auto"/>
              <w:bottom w:val="single" w:sz="4" w:space="0" w:color="auto"/>
              <w:right w:val="single" w:sz="8" w:space="0" w:color="auto"/>
            </w:tcBorders>
            <w:shd w:val="clear" w:color="auto" w:fill="auto"/>
            <w:noWrap/>
            <w:hideMark/>
          </w:tcPr>
          <w:p w:rsidR="00DE733C" w:rsidRPr="00DE733C" w:rsidRDefault="00DE733C" w:rsidP="00DE733C">
            <w:pPr>
              <w:jc w:val="right"/>
              <w:rPr>
                <w:b/>
                <w:bCs/>
                <w:color w:val="000000"/>
                <w:sz w:val="20"/>
                <w:lang w:val="es-PY" w:eastAsia="es-PY"/>
              </w:rPr>
            </w:pPr>
            <w:r w:rsidRPr="00DE733C">
              <w:rPr>
                <w:b/>
                <w:bCs/>
                <w:color w:val="000000"/>
                <w:sz w:val="20"/>
                <w:lang w:val="es-PY" w:eastAsia="es-PY"/>
              </w:rPr>
              <w:t xml:space="preserve">            5.349 </w:t>
            </w:r>
          </w:p>
        </w:tc>
      </w:tr>
      <w:tr w:rsidR="00DE733C" w:rsidRPr="00DE733C" w:rsidTr="00DE733C">
        <w:tc>
          <w:tcPr>
            <w:tcW w:w="1764" w:type="dxa"/>
            <w:tcBorders>
              <w:top w:val="nil"/>
              <w:left w:val="single" w:sz="8" w:space="0" w:color="auto"/>
              <w:bottom w:val="double" w:sz="6" w:space="0" w:color="auto"/>
              <w:right w:val="nil"/>
            </w:tcBorders>
            <w:shd w:val="clear" w:color="auto" w:fill="auto"/>
            <w:noWrap/>
            <w:vAlign w:val="center"/>
            <w:hideMark/>
          </w:tcPr>
          <w:p w:rsidR="00DE733C" w:rsidRPr="00DE733C" w:rsidRDefault="00DE733C" w:rsidP="00DE733C">
            <w:pPr>
              <w:rPr>
                <w:b/>
                <w:bCs/>
                <w:color w:val="000000"/>
                <w:sz w:val="20"/>
                <w:lang w:val="es-PY" w:eastAsia="es-PY"/>
              </w:rPr>
            </w:pPr>
            <w:r w:rsidRPr="00DE733C">
              <w:rPr>
                <w:b/>
                <w:bCs/>
                <w:color w:val="000000"/>
                <w:sz w:val="20"/>
                <w:lang w:val="es-PY" w:eastAsia="es-PY"/>
              </w:rPr>
              <w:t>Mínimo</w:t>
            </w:r>
          </w:p>
        </w:tc>
        <w:tc>
          <w:tcPr>
            <w:tcW w:w="1223" w:type="dxa"/>
            <w:tcBorders>
              <w:top w:val="nil"/>
              <w:left w:val="nil"/>
              <w:bottom w:val="double" w:sz="6" w:space="0" w:color="auto"/>
              <w:right w:val="nil"/>
            </w:tcBorders>
            <w:shd w:val="clear" w:color="auto" w:fill="auto"/>
            <w:noWrap/>
            <w:vAlign w:val="bottom"/>
            <w:hideMark/>
          </w:tcPr>
          <w:p w:rsidR="00DE733C" w:rsidRPr="00DE733C" w:rsidRDefault="00DE733C" w:rsidP="00DE733C">
            <w:pPr>
              <w:rPr>
                <w:rFonts w:ascii="Calibri" w:hAnsi="Calibri"/>
                <w:color w:val="000000"/>
                <w:sz w:val="20"/>
                <w:lang w:val="es-PY" w:eastAsia="es-PY"/>
              </w:rPr>
            </w:pPr>
            <w:r w:rsidRPr="00DE733C">
              <w:rPr>
                <w:rFonts w:ascii="Calibri" w:hAnsi="Calibri"/>
                <w:color w:val="000000"/>
                <w:sz w:val="20"/>
                <w:lang w:val="es-PY" w:eastAsia="es-PY"/>
              </w:rPr>
              <w:t> </w:t>
            </w:r>
          </w:p>
        </w:tc>
        <w:tc>
          <w:tcPr>
            <w:tcW w:w="1808" w:type="dxa"/>
            <w:tcBorders>
              <w:top w:val="nil"/>
              <w:left w:val="nil"/>
              <w:bottom w:val="double" w:sz="6" w:space="0" w:color="auto"/>
              <w:right w:val="nil"/>
            </w:tcBorders>
            <w:shd w:val="clear" w:color="auto" w:fill="auto"/>
            <w:noWrap/>
            <w:vAlign w:val="bottom"/>
            <w:hideMark/>
          </w:tcPr>
          <w:p w:rsidR="00DE733C" w:rsidRPr="00DE733C" w:rsidRDefault="00DE733C" w:rsidP="00DE733C">
            <w:pPr>
              <w:rPr>
                <w:rFonts w:ascii="Calibri" w:hAnsi="Calibri"/>
                <w:color w:val="000000"/>
                <w:sz w:val="20"/>
                <w:lang w:val="es-PY" w:eastAsia="es-PY"/>
              </w:rPr>
            </w:pPr>
            <w:r w:rsidRPr="00DE733C">
              <w:rPr>
                <w:rFonts w:ascii="Calibri" w:hAnsi="Calibri"/>
                <w:color w:val="000000"/>
                <w:sz w:val="20"/>
                <w:lang w:val="es-PY" w:eastAsia="es-PY"/>
              </w:rPr>
              <w:t> </w:t>
            </w:r>
          </w:p>
        </w:tc>
        <w:tc>
          <w:tcPr>
            <w:tcW w:w="1594" w:type="dxa"/>
            <w:tcBorders>
              <w:top w:val="nil"/>
              <w:left w:val="nil"/>
              <w:bottom w:val="double" w:sz="6" w:space="0" w:color="auto"/>
              <w:right w:val="nil"/>
            </w:tcBorders>
            <w:shd w:val="clear" w:color="auto" w:fill="auto"/>
            <w:noWrap/>
            <w:hideMark/>
          </w:tcPr>
          <w:p w:rsidR="00DE733C" w:rsidRPr="00DE733C" w:rsidRDefault="00DE733C" w:rsidP="00DE733C">
            <w:pPr>
              <w:jc w:val="right"/>
              <w:rPr>
                <w:rFonts w:ascii="Calibri" w:hAnsi="Calibri"/>
                <w:color w:val="000000"/>
                <w:sz w:val="20"/>
                <w:lang w:val="es-PY" w:eastAsia="es-PY"/>
              </w:rPr>
            </w:pPr>
            <w:r w:rsidRPr="00DE733C">
              <w:rPr>
                <w:rFonts w:ascii="Calibri" w:hAnsi="Calibri"/>
                <w:color w:val="000000"/>
                <w:sz w:val="20"/>
                <w:lang w:val="es-PY" w:eastAsia="es-PY"/>
              </w:rPr>
              <w:t> </w:t>
            </w:r>
          </w:p>
        </w:tc>
        <w:tc>
          <w:tcPr>
            <w:tcW w:w="1360" w:type="dxa"/>
            <w:tcBorders>
              <w:top w:val="nil"/>
              <w:left w:val="nil"/>
              <w:bottom w:val="double" w:sz="6" w:space="0" w:color="auto"/>
              <w:right w:val="nil"/>
            </w:tcBorders>
            <w:shd w:val="clear" w:color="auto" w:fill="auto"/>
            <w:noWrap/>
            <w:hideMark/>
          </w:tcPr>
          <w:p w:rsidR="00DE733C" w:rsidRPr="00DE733C" w:rsidRDefault="00DE733C" w:rsidP="00DE733C">
            <w:pPr>
              <w:jc w:val="right"/>
              <w:rPr>
                <w:rFonts w:ascii="Calibri" w:hAnsi="Calibri"/>
                <w:color w:val="000000"/>
                <w:sz w:val="20"/>
                <w:lang w:val="es-PY" w:eastAsia="es-PY"/>
              </w:rPr>
            </w:pPr>
            <w:r w:rsidRPr="00DE733C">
              <w:rPr>
                <w:rFonts w:ascii="Calibri" w:hAnsi="Calibri"/>
                <w:color w:val="000000"/>
                <w:sz w:val="20"/>
                <w:lang w:val="es-PY" w:eastAsia="es-PY"/>
              </w:rPr>
              <w:t> </w:t>
            </w:r>
          </w:p>
        </w:tc>
        <w:tc>
          <w:tcPr>
            <w:tcW w:w="1333" w:type="dxa"/>
            <w:tcBorders>
              <w:top w:val="nil"/>
              <w:left w:val="single" w:sz="4" w:space="0" w:color="auto"/>
              <w:bottom w:val="double" w:sz="6" w:space="0" w:color="auto"/>
              <w:right w:val="single" w:sz="8" w:space="0" w:color="auto"/>
            </w:tcBorders>
            <w:shd w:val="clear" w:color="auto" w:fill="auto"/>
            <w:noWrap/>
            <w:hideMark/>
          </w:tcPr>
          <w:p w:rsidR="00DE733C" w:rsidRPr="00DE733C" w:rsidRDefault="00DE733C" w:rsidP="00DE733C">
            <w:pPr>
              <w:jc w:val="right"/>
              <w:rPr>
                <w:b/>
                <w:bCs/>
                <w:color w:val="000000"/>
                <w:sz w:val="20"/>
                <w:lang w:val="es-PY" w:eastAsia="es-PY"/>
              </w:rPr>
            </w:pPr>
            <w:r w:rsidRPr="00DE733C">
              <w:rPr>
                <w:b/>
                <w:bCs/>
                <w:color w:val="000000"/>
                <w:sz w:val="20"/>
                <w:lang w:val="es-PY" w:eastAsia="es-PY"/>
              </w:rPr>
              <w:t xml:space="preserve">            2.856 </w:t>
            </w:r>
          </w:p>
        </w:tc>
      </w:tr>
      <w:tr w:rsidR="00DE733C" w:rsidRPr="00DE733C" w:rsidTr="00DE733C">
        <w:tc>
          <w:tcPr>
            <w:tcW w:w="4795" w:type="dxa"/>
            <w:gridSpan w:val="3"/>
            <w:tcBorders>
              <w:top w:val="double" w:sz="6" w:space="0" w:color="auto"/>
              <w:left w:val="single" w:sz="8" w:space="0" w:color="auto"/>
              <w:bottom w:val="single" w:sz="4" w:space="0" w:color="auto"/>
              <w:right w:val="single" w:sz="4" w:space="0" w:color="000000"/>
            </w:tcBorders>
            <w:shd w:val="clear" w:color="000000" w:fill="DAEEF3"/>
            <w:noWrap/>
            <w:vAlign w:val="bottom"/>
            <w:hideMark/>
          </w:tcPr>
          <w:p w:rsidR="00DE733C" w:rsidRPr="00DE733C" w:rsidRDefault="00DE733C" w:rsidP="00DE733C">
            <w:pPr>
              <w:rPr>
                <w:b/>
                <w:bCs/>
                <w:color w:val="000000"/>
                <w:sz w:val="20"/>
                <w:lang w:val="es-PY" w:eastAsia="es-PY"/>
              </w:rPr>
            </w:pPr>
            <w:r w:rsidRPr="00DE733C">
              <w:rPr>
                <w:b/>
                <w:bCs/>
                <w:color w:val="000000"/>
                <w:sz w:val="20"/>
                <w:lang w:val="es-PY" w:eastAsia="es-PY"/>
              </w:rPr>
              <w:t>Modalidad por Contrato</w:t>
            </w:r>
          </w:p>
        </w:tc>
        <w:tc>
          <w:tcPr>
            <w:tcW w:w="1594" w:type="dxa"/>
            <w:tcBorders>
              <w:top w:val="single" w:sz="4" w:space="0" w:color="auto"/>
              <w:left w:val="nil"/>
              <w:bottom w:val="single" w:sz="4" w:space="0" w:color="auto"/>
              <w:right w:val="nil"/>
            </w:tcBorders>
            <w:shd w:val="clear" w:color="000000" w:fill="DAEEF3"/>
            <w:vAlign w:val="center"/>
            <w:hideMark/>
          </w:tcPr>
          <w:p w:rsidR="00DE733C" w:rsidRPr="00DE733C" w:rsidRDefault="00DE733C" w:rsidP="00DE733C">
            <w:pPr>
              <w:jc w:val="center"/>
              <w:rPr>
                <w:b/>
                <w:bCs/>
                <w:color w:val="000000"/>
                <w:sz w:val="20"/>
                <w:lang w:val="es-PY" w:eastAsia="es-PY"/>
              </w:rPr>
            </w:pPr>
            <w:r w:rsidRPr="00DE733C">
              <w:rPr>
                <w:b/>
                <w:bCs/>
                <w:color w:val="000000"/>
                <w:sz w:val="20"/>
                <w:lang w:val="es-PY" w:eastAsia="es-PY"/>
              </w:rPr>
              <w:t xml:space="preserve"> Presupuesto </w:t>
            </w:r>
          </w:p>
        </w:tc>
        <w:tc>
          <w:tcPr>
            <w:tcW w:w="1360" w:type="dxa"/>
            <w:tcBorders>
              <w:top w:val="single" w:sz="4" w:space="0" w:color="auto"/>
              <w:left w:val="single" w:sz="4" w:space="0" w:color="auto"/>
              <w:bottom w:val="single" w:sz="4" w:space="0" w:color="auto"/>
              <w:right w:val="nil"/>
            </w:tcBorders>
            <w:shd w:val="clear" w:color="000000" w:fill="DAEEF3"/>
            <w:vAlign w:val="center"/>
            <w:hideMark/>
          </w:tcPr>
          <w:p w:rsidR="00DE733C" w:rsidRPr="00DE733C" w:rsidRDefault="00DE733C" w:rsidP="00DE733C">
            <w:pPr>
              <w:jc w:val="center"/>
              <w:rPr>
                <w:b/>
                <w:bCs/>
                <w:color w:val="000000"/>
                <w:sz w:val="20"/>
                <w:lang w:val="es-PY" w:eastAsia="es-PY"/>
              </w:rPr>
            </w:pPr>
            <w:r w:rsidRPr="00DE733C">
              <w:rPr>
                <w:b/>
                <w:bCs/>
                <w:color w:val="000000"/>
                <w:sz w:val="20"/>
                <w:lang w:val="es-PY" w:eastAsia="es-PY"/>
              </w:rPr>
              <w:t xml:space="preserve"> Contrato </w:t>
            </w:r>
          </w:p>
        </w:tc>
        <w:tc>
          <w:tcPr>
            <w:tcW w:w="1333" w:type="dxa"/>
            <w:tcBorders>
              <w:top w:val="single" w:sz="4" w:space="0" w:color="auto"/>
              <w:left w:val="single" w:sz="4" w:space="0" w:color="auto"/>
              <w:bottom w:val="single" w:sz="4" w:space="0" w:color="auto"/>
              <w:right w:val="single" w:sz="8" w:space="0" w:color="auto"/>
            </w:tcBorders>
            <w:shd w:val="clear" w:color="000000" w:fill="DAEEF3"/>
            <w:vAlign w:val="center"/>
            <w:hideMark/>
          </w:tcPr>
          <w:p w:rsidR="00DE733C" w:rsidRPr="00DE733C" w:rsidRDefault="00DE733C" w:rsidP="00DE733C">
            <w:pPr>
              <w:jc w:val="center"/>
              <w:rPr>
                <w:b/>
                <w:bCs/>
                <w:color w:val="000000"/>
                <w:sz w:val="20"/>
                <w:lang w:val="es-PY" w:eastAsia="es-PY"/>
              </w:rPr>
            </w:pPr>
            <w:r w:rsidRPr="00DE733C">
              <w:rPr>
                <w:b/>
                <w:bCs/>
                <w:color w:val="000000"/>
                <w:sz w:val="20"/>
                <w:lang w:val="es-PY" w:eastAsia="es-PY"/>
              </w:rPr>
              <w:t xml:space="preserve"> Máximos </w:t>
            </w:r>
          </w:p>
        </w:tc>
      </w:tr>
      <w:tr w:rsidR="00DE733C" w:rsidRPr="00DE733C" w:rsidTr="00DE733C">
        <w:tc>
          <w:tcPr>
            <w:tcW w:w="1764" w:type="dxa"/>
            <w:tcBorders>
              <w:top w:val="nil"/>
              <w:left w:val="single" w:sz="8" w:space="0" w:color="auto"/>
              <w:bottom w:val="single" w:sz="4" w:space="0" w:color="auto"/>
              <w:right w:val="single" w:sz="4" w:space="0" w:color="auto"/>
            </w:tcBorders>
            <w:shd w:val="clear" w:color="auto" w:fill="auto"/>
            <w:hideMark/>
          </w:tcPr>
          <w:p w:rsidR="00DE733C" w:rsidRPr="00DE733C" w:rsidRDefault="00DE733C" w:rsidP="00DE733C">
            <w:pPr>
              <w:rPr>
                <w:color w:val="000000"/>
                <w:sz w:val="20"/>
                <w:lang w:val="es-PY" w:eastAsia="es-PY"/>
              </w:rPr>
            </w:pPr>
            <w:r w:rsidRPr="00DE733C">
              <w:rPr>
                <w:color w:val="000000"/>
                <w:sz w:val="20"/>
                <w:lang w:val="es-PY" w:eastAsia="es-PY"/>
              </w:rPr>
              <w:t>Caaguazú</w:t>
            </w:r>
          </w:p>
        </w:tc>
        <w:tc>
          <w:tcPr>
            <w:tcW w:w="1223" w:type="dxa"/>
            <w:tcBorders>
              <w:top w:val="nil"/>
              <w:left w:val="nil"/>
              <w:bottom w:val="single" w:sz="4" w:space="0" w:color="auto"/>
              <w:right w:val="single" w:sz="4" w:space="0" w:color="auto"/>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356,16 </w:t>
            </w:r>
          </w:p>
        </w:tc>
        <w:tc>
          <w:tcPr>
            <w:tcW w:w="1808" w:type="dxa"/>
            <w:tcBorders>
              <w:top w:val="nil"/>
              <w:left w:val="nil"/>
              <w:bottom w:val="single" w:sz="4" w:space="0" w:color="auto"/>
              <w:right w:val="single" w:sz="4" w:space="0" w:color="auto"/>
            </w:tcBorders>
            <w:shd w:val="clear" w:color="auto" w:fill="auto"/>
            <w:hideMark/>
          </w:tcPr>
          <w:p w:rsidR="00DE733C" w:rsidRPr="00DE733C" w:rsidRDefault="00DE733C" w:rsidP="00DE733C">
            <w:pPr>
              <w:rPr>
                <w:color w:val="000000"/>
                <w:sz w:val="20"/>
                <w:lang w:val="es-PY" w:eastAsia="es-PY"/>
              </w:rPr>
            </w:pPr>
            <w:r w:rsidRPr="00DE733C">
              <w:rPr>
                <w:color w:val="000000"/>
                <w:sz w:val="20"/>
                <w:lang w:val="es-PY" w:eastAsia="es-PY"/>
              </w:rPr>
              <w:t>Proel Ingeniería</w:t>
            </w:r>
          </w:p>
        </w:tc>
        <w:tc>
          <w:tcPr>
            <w:tcW w:w="1594" w:type="dxa"/>
            <w:tcBorders>
              <w:top w:val="nil"/>
              <w:left w:val="nil"/>
              <w:bottom w:val="single" w:sz="4" w:space="0" w:color="auto"/>
              <w:right w:val="nil"/>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2.616 </w:t>
            </w:r>
          </w:p>
        </w:tc>
        <w:tc>
          <w:tcPr>
            <w:tcW w:w="1360" w:type="dxa"/>
            <w:tcBorders>
              <w:top w:val="nil"/>
              <w:left w:val="single" w:sz="4" w:space="0" w:color="auto"/>
              <w:bottom w:val="single" w:sz="4" w:space="0" w:color="auto"/>
              <w:right w:val="nil"/>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4.186 </w:t>
            </w:r>
          </w:p>
        </w:tc>
        <w:tc>
          <w:tcPr>
            <w:tcW w:w="1333" w:type="dxa"/>
            <w:tcBorders>
              <w:top w:val="nil"/>
              <w:left w:val="single" w:sz="4" w:space="0" w:color="auto"/>
              <w:bottom w:val="single" w:sz="4" w:space="0" w:color="auto"/>
              <w:right w:val="single" w:sz="8" w:space="0" w:color="auto"/>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4.186 </w:t>
            </w:r>
          </w:p>
        </w:tc>
      </w:tr>
      <w:tr w:rsidR="00DE733C" w:rsidRPr="00DE733C" w:rsidTr="00DE733C">
        <w:tc>
          <w:tcPr>
            <w:tcW w:w="1764" w:type="dxa"/>
            <w:tcBorders>
              <w:top w:val="nil"/>
              <w:left w:val="single" w:sz="8" w:space="0" w:color="auto"/>
              <w:bottom w:val="single" w:sz="4" w:space="0" w:color="auto"/>
              <w:right w:val="single" w:sz="4" w:space="0" w:color="auto"/>
            </w:tcBorders>
            <w:shd w:val="clear" w:color="auto" w:fill="auto"/>
            <w:hideMark/>
          </w:tcPr>
          <w:p w:rsidR="00DE733C" w:rsidRPr="00DE733C" w:rsidRDefault="00DE733C" w:rsidP="00DE733C">
            <w:pPr>
              <w:rPr>
                <w:color w:val="000000"/>
                <w:sz w:val="20"/>
                <w:lang w:val="es-PY" w:eastAsia="es-PY"/>
              </w:rPr>
            </w:pPr>
            <w:r w:rsidRPr="00DE733C">
              <w:rPr>
                <w:color w:val="000000"/>
                <w:sz w:val="20"/>
                <w:lang w:val="es-PY" w:eastAsia="es-PY"/>
              </w:rPr>
              <w:t>San Pedro</w:t>
            </w:r>
          </w:p>
        </w:tc>
        <w:tc>
          <w:tcPr>
            <w:tcW w:w="1223" w:type="dxa"/>
            <w:tcBorders>
              <w:top w:val="nil"/>
              <w:left w:val="nil"/>
              <w:bottom w:val="single" w:sz="4" w:space="0" w:color="auto"/>
              <w:right w:val="single" w:sz="4" w:space="0" w:color="auto"/>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418,59 </w:t>
            </w:r>
          </w:p>
        </w:tc>
        <w:tc>
          <w:tcPr>
            <w:tcW w:w="1808" w:type="dxa"/>
            <w:tcBorders>
              <w:top w:val="nil"/>
              <w:left w:val="nil"/>
              <w:bottom w:val="single" w:sz="4" w:space="0" w:color="auto"/>
              <w:right w:val="single" w:sz="4" w:space="0" w:color="auto"/>
            </w:tcBorders>
            <w:shd w:val="clear" w:color="auto" w:fill="auto"/>
            <w:hideMark/>
          </w:tcPr>
          <w:p w:rsidR="00DE733C" w:rsidRPr="00DE733C" w:rsidRDefault="00DE733C" w:rsidP="00DE733C">
            <w:pPr>
              <w:rPr>
                <w:color w:val="000000"/>
                <w:sz w:val="20"/>
                <w:lang w:val="es-PY" w:eastAsia="es-PY"/>
              </w:rPr>
            </w:pPr>
            <w:r w:rsidRPr="00DE733C">
              <w:rPr>
                <w:color w:val="000000"/>
                <w:sz w:val="20"/>
                <w:lang w:val="es-PY" w:eastAsia="es-PY"/>
              </w:rPr>
              <w:t>DC Ingeniería SA</w:t>
            </w:r>
          </w:p>
        </w:tc>
        <w:tc>
          <w:tcPr>
            <w:tcW w:w="1594" w:type="dxa"/>
            <w:tcBorders>
              <w:top w:val="nil"/>
              <w:left w:val="nil"/>
              <w:bottom w:val="single" w:sz="4" w:space="0" w:color="auto"/>
              <w:right w:val="nil"/>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1.885 </w:t>
            </w:r>
          </w:p>
        </w:tc>
        <w:tc>
          <w:tcPr>
            <w:tcW w:w="1360" w:type="dxa"/>
            <w:tcBorders>
              <w:top w:val="nil"/>
              <w:left w:val="single" w:sz="4" w:space="0" w:color="auto"/>
              <w:bottom w:val="single" w:sz="4" w:space="0" w:color="auto"/>
              <w:right w:val="nil"/>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2.023 </w:t>
            </w:r>
          </w:p>
        </w:tc>
        <w:tc>
          <w:tcPr>
            <w:tcW w:w="1333" w:type="dxa"/>
            <w:tcBorders>
              <w:top w:val="nil"/>
              <w:left w:val="single" w:sz="4" w:space="0" w:color="auto"/>
              <w:bottom w:val="single" w:sz="4" w:space="0" w:color="auto"/>
              <w:right w:val="single" w:sz="8" w:space="0" w:color="auto"/>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2.023 </w:t>
            </w:r>
          </w:p>
        </w:tc>
      </w:tr>
      <w:tr w:rsidR="00DE733C" w:rsidRPr="00DE733C" w:rsidTr="00DE733C">
        <w:tc>
          <w:tcPr>
            <w:tcW w:w="1764" w:type="dxa"/>
            <w:tcBorders>
              <w:top w:val="nil"/>
              <w:left w:val="single" w:sz="8" w:space="0" w:color="auto"/>
              <w:bottom w:val="single" w:sz="4" w:space="0" w:color="auto"/>
              <w:right w:val="single" w:sz="4" w:space="0" w:color="auto"/>
            </w:tcBorders>
            <w:shd w:val="clear" w:color="auto" w:fill="auto"/>
            <w:hideMark/>
          </w:tcPr>
          <w:p w:rsidR="00DE733C" w:rsidRPr="00DE733C" w:rsidRDefault="00DE733C" w:rsidP="00DE733C">
            <w:pPr>
              <w:rPr>
                <w:color w:val="000000"/>
                <w:sz w:val="20"/>
                <w:lang w:val="es-PY" w:eastAsia="es-PY"/>
              </w:rPr>
            </w:pPr>
            <w:r w:rsidRPr="00DE733C">
              <w:rPr>
                <w:color w:val="000000"/>
                <w:sz w:val="20"/>
                <w:lang w:val="es-PY" w:eastAsia="es-PY"/>
              </w:rPr>
              <w:t>Concepción - Amambay</w:t>
            </w:r>
          </w:p>
        </w:tc>
        <w:tc>
          <w:tcPr>
            <w:tcW w:w="1223" w:type="dxa"/>
            <w:tcBorders>
              <w:top w:val="nil"/>
              <w:left w:val="nil"/>
              <w:bottom w:val="single" w:sz="4" w:space="0" w:color="auto"/>
              <w:right w:val="single" w:sz="4" w:space="0" w:color="auto"/>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401,71 </w:t>
            </w:r>
          </w:p>
        </w:tc>
        <w:tc>
          <w:tcPr>
            <w:tcW w:w="1808" w:type="dxa"/>
            <w:tcBorders>
              <w:top w:val="nil"/>
              <w:left w:val="nil"/>
              <w:bottom w:val="single" w:sz="4" w:space="0" w:color="auto"/>
              <w:right w:val="single" w:sz="4" w:space="0" w:color="auto"/>
            </w:tcBorders>
            <w:shd w:val="clear" w:color="auto" w:fill="auto"/>
            <w:hideMark/>
          </w:tcPr>
          <w:p w:rsidR="00DE733C" w:rsidRPr="00DE733C" w:rsidRDefault="00DE733C" w:rsidP="00DE733C">
            <w:pPr>
              <w:rPr>
                <w:color w:val="000000"/>
                <w:sz w:val="20"/>
                <w:lang w:val="es-PY" w:eastAsia="es-PY"/>
              </w:rPr>
            </w:pPr>
            <w:r w:rsidRPr="00DE733C">
              <w:rPr>
                <w:color w:val="000000"/>
                <w:sz w:val="20"/>
                <w:lang w:val="es-PY" w:eastAsia="es-PY"/>
              </w:rPr>
              <w:t>Consorcio Mantenimiento Rural</w:t>
            </w:r>
          </w:p>
        </w:tc>
        <w:tc>
          <w:tcPr>
            <w:tcW w:w="1594" w:type="dxa"/>
            <w:tcBorders>
              <w:top w:val="nil"/>
              <w:left w:val="nil"/>
              <w:bottom w:val="single" w:sz="4" w:space="0" w:color="auto"/>
              <w:right w:val="nil"/>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2.006 </w:t>
            </w:r>
          </w:p>
        </w:tc>
        <w:tc>
          <w:tcPr>
            <w:tcW w:w="1360" w:type="dxa"/>
            <w:tcBorders>
              <w:top w:val="nil"/>
              <w:left w:val="single" w:sz="4" w:space="0" w:color="auto"/>
              <w:bottom w:val="single" w:sz="4" w:space="0" w:color="auto"/>
              <w:right w:val="nil"/>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2.572 </w:t>
            </w:r>
          </w:p>
        </w:tc>
        <w:tc>
          <w:tcPr>
            <w:tcW w:w="1333" w:type="dxa"/>
            <w:tcBorders>
              <w:top w:val="nil"/>
              <w:left w:val="single" w:sz="4" w:space="0" w:color="auto"/>
              <w:bottom w:val="single" w:sz="4" w:space="0" w:color="auto"/>
              <w:right w:val="single" w:sz="8" w:space="0" w:color="auto"/>
            </w:tcBorders>
            <w:shd w:val="clear" w:color="auto" w:fill="auto"/>
            <w:noWrap/>
            <w:hideMark/>
          </w:tcPr>
          <w:p w:rsidR="00DE733C" w:rsidRPr="00DE733C" w:rsidRDefault="00DE733C" w:rsidP="00DE733C">
            <w:pPr>
              <w:jc w:val="right"/>
              <w:rPr>
                <w:color w:val="000000"/>
                <w:sz w:val="20"/>
                <w:lang w:val="es-PY" w:eastAsia="es-PY"/>
              </w:rPr>
            </w:pPr>
            <w:r w:rsidRPr="00DE733C">
              <w:rPr>
                <w:color w:val="000000"/>
                <w:sz w:val="20"/>
                <w:lang w:val="es-PY" w:eastAsia="es-PY"/>
              </w:rPr>
              <w:t xml:space="preserve">             2.572 </w:t>
            </w:r>
          </w:p>
        </w:tc>
      </w:tr>
      <w:tr w:rsidR="00DE733C" w:rsidRPr="00DE733C" w:rsidTr="00DE733C">
        <w:tc>
          <w:tcPr>
            <w:tcW w:w="1764" w:type="dxa"/>
            <w:tcBorders>
              <w:top w:val="nil"/>
              <w:left w:val="single" w:sz="8" w:space="0" w:color="auto"/>
              <w:bottom w:val="single" w:sz="4" w:space="0" w:color="auto"/>
              <w:right w:val="nil"/>
            </w:tcBorders>
            <w:shd w:val="clear" w:color="auto" w:fill="auto"/>
            <w:noWrap/>
            <w:vAlign w:val="center"/>
            <w:hideMark/>
          </w:tcPr>
          <w:p w:rsidR="00DE733C" w:rsidRPr="00DE733C" w:rsidRDefault="00DE733C" w:rsidP="00DE733C">
            <w:pPr>
              <w:rPr>
                <w:b/>
                <w:bCs/>
                <w:color w:val="000000"/>
                <w:sz w:val="20"/>
                <w:lang w:val="es-PY" w:eastAsia="es-PY"/>
              </w:rPr>
            </w:pPr>
            <w:r w:rsidRPr="00DE733C">
              <w:rPr>
                <w:b/>
                <w:bCs/>
                <w:color w:val="000000"/>
                <w:sz w:val="20"/>
                <w:lang w:val="es-PY" w:eastAsia="es-PY"/>
              </w:rPr>
              <w:t>Máximo</w:t>
            </w:r>
          </w:p>
        </w:tc>
        <w:tc>
          <w:tcPr>
            <w:tcW w:w="1223" w:type="dxa"/>
            <w:tcBorders>
              <w:top w:val="nil"/>
              <w:left w:val="nil"/>
              <w:bottom w:val="single" w:sz="4" w:space="0" w:color="auto"/>
              <w:right w:val="nil"/>
            </w:tcBorders>
            <w:shd w:val="clear" w:color="auto" w:fill="auto"/>
            <w:noWrap/>
            <w:vAlign w:val="bottom"/>
            <w:hideMark/>
          </w:tcPr>
          <w:p w:rsidR="00DE733C" w:rsidRPr="00DE733C" w:rsidRDefault="00DE733C" w:rsidP="00DE733C">
            <w:pPr>
              <w:rPr>
                <w:rFonts w:ascii="Calibri" w:hAnsi="Calibri"/>
                <w:color w:val="000000"/>
                <w:sz w:val="20"/>
                <w:lang w:val="es-PY" w:eastAsia="es-PY"/>
              </w:rPr>
            </w:pPr>
            <w:r w:rsidRPr="00DE733C">
              <w:rPr>
                <w:rFonts w:ascii="Calibri" w:hAnsi="Calibri"/>
                <w:color w:val="000000"/>
                <w:sz w:val="20"/>
                <w:lang w:val="es-PY" w:eastAsia="es-PY"/>
              </w:rPr>
              <w:t> </w:t>
            </w:r>
          </w:p>
        </w:tc>
        <w:tc>
          <w:tcPr>
            <w:tcW w:w="1808" w:type="dxa"/>
            <w:tcBorders>
              <w:top w:val="nil"/>
              <w:left w:val="nil"/>
              <w:bottom w:val="single" w:sz="4" w:space="0" w:color="auto"/>
              <w:right w:val="nil"/>
            </w:tcBorders>
            <w:shd w:val="clear" w:color="auto" w:fill="auto"/>
            <w:noWrap/>
            <w:vAlign w:val="bottom"/>
            <w:hideMark/>
          </w:tcPr>
          <w:p w:rsidR="00DE733C" w:rsidRPr="00DE733C" w:rsidRDefault="00DE733C" w:rsidP="00DE733C">
            <w:pPr>
              <w:rPr>
                <w:rFonts w:ascii="Calibri" w:hAnsi="Calibri"/>
                <w:color w:val="000000"/>
                <w:sz w:val="20"/>
                <w:lang w:val="es-PY" w:eastAsia="es-PY"/>
              </w:rPr>
            </w:pPr>
            <w:r w:rsidRPr="00DE733C">
              <w:rPr>
                <w:rFonts w:ascii="Calibri" w:hAnsi="Calibri"/>
                <w:color w:val="000000"/>
                <w:sz w:val="20"/>
                <w:lang w:val="es-PY" w:eastAsia="es-PY"/>
              </w:rPr>
              <w:t> </w:t>
            </w:r>
          </w:p>
        </w:tc>
        <w:tc>
          <w:tcPr>
            <w:tcW w:w="1594" w:type="dxa"/>
            <w:tcBorders>
              <w:top w:val="nil"/>
              <w:left w:val="nil"/>
              <w:bottom w:val="single" w:sz="4" w:space="0" w:color="auto"/>
              <w:right w:val="nil"/>
            </w:tcBorders>
            <w:shd w:val="clear" w:color="auto" w:fill="auto"/>
            <w:noWrap/>
            <w:vAlign w:val="bottom"/>
            <w:hideMark/>
          </w:tcPr>
          <w:p w:rsidR="00DE733C" w:rsidRPr="00DE733C" w:rsidRDefault="00DE733C" w:rsidP="00DE733C">
            <w:pPr>
              <w:rPr>
                <w:rFonts w:ascii="Calibri" w:hAnsi="Calibri"/>
                <w:color w:val="000000"/>
                <w:sz w:val="20"/>
                <w:lang w:val="es-PY" w:eastAsia="es-PY"/>
              </w:rPr>
            </w:pPr>
            <w:r w:rsidRPr="00DE733C">
              <w:rPr>
                <w:rFonts w:ascii="Calibri" w:hAnsi="Calibri"/>
                <w:color w:val="000000"/>
                <w:sz w:val="20"/>
                <w:lang w:val="es-PY" w:eastAsia="es-PY"/>
              </w:rPr>
              <w:t> </w:t>
            </w:r>
          </w:p>
        </w:tc>
        <w:tc>
          <w:tcPr>
            <w:tcW w:w="1360" w:type="dxa"/>
            <w:tcBorders>
              <w:top w:val="nil"/>
              <w:left w:val="nil"/>
              <w:bottom w:val="single" w:sz="4" w:space="0" w:color="auto"/>
              <w:right w:val="nil"/>
            </w:tcBorders>
            <w:shd w:val="clear" w:color="auto" w:fill="auto"/>
            <w:noWrap/>
            <w:vAlign w:val="bottom"/>
            <w:hideMark/>
          </w:tcPr>
          <w:p w:rsidR="00DE733C" w:rsidRPr="00DE733C" w:rsidRDefault="00DE733C" w:rsidP="00DE733C">
            <w:pPr>
              <w:rPr>
                <w:rFonts w:ascii="Calibri" w:hAnsi="Calibri"/>
                <w:color w:val="000000"/>
                <w:sz w:val="20"/>
                <w:lang w:val="es-PY" w:eastAsia="es-PY"/>
              </w:rPr>
            </w:pPr>
            <w:r w:rsidRPr="00DE733C">
              <w:rPr>
                <w:rFonts w:ascii="Calibri" w:hAnsi="Calibri"/>
                <w:color w:val="000000"/>
                <w:sz w:val="20"/>
                <w:lang w:val="es-PY" w:eastAsia="es-PY"/>
              </w:rPr>
              <w:t> </w:t>
            </w:r>
          </w:p>
        </w:tc>
        <w:tc>
          <w:tcPr>
            <w:tcW w:w="1333" w:type="dxa"/>
            <w:tcBorders>
              <w:top w:val="nil"/>
              <w:left w:val="single" w:sz="4" w:space="0" w:color="auto"/>
              <w:bottom w:val="single" w:sz="4" w:space="0" w:color="auto"/>
              <w:right w:val="single" w:sz="8" w:space="0" w:color="auto"/>
            </w:tcBorders>
            <w:shd w:val="clear" w:color="auto" w:fill="auto"/>
            <w:noWrap/>
            <w:vAlign w:val="center"/>
            <w:hideMark/>
          </w:tcPr>
          <w:p w:rsidR="00DE733C" w:rsidRPr="00DE733C" w:rsidRDefault="00DE733C" w:rsidP="00DE733C">
            <w:pPr>
              <w:rPr>
                <w:b/>
                <w:bCs/>
                <w:color w:val="000000"/>
                <w:sz w:val="20"/>
                <w:lang w:val="es-PY" w:eastAsia="es-PY"/>
              </w:rPr>
            </w:pPr>
            <w:r w:rsidRPr="00DE733C">
              <w:rPr>
                <w:b/>
                <w:bCs/>
                <w:color w:val="000000"/>
                <w:sz w:val="20"/>
                <w:lang w:val="es-PY" w:eastAsia="es-PY"/>
              </w:rPr>
              <w:t xml:space="preserve">            4.186 </w:t>
            </w:r>
          </w:p>
        </w:tc>
      </w:tr>
      <w:tr w:rsidR="00DE733C" w:rsidRPr="00DE733C" w:rsidTr="00DE733C">
        <w:tc>
          <w:tcPr>
            <w:tcW w:w="1764" w:type="dxa"/>
            <w:tcBorders>
              <w:top w:val="nil"/>
              <w:left w:val="single" w:sz="8" w:space="0" w:color="auto"/>
              <w:bottom w:val="double" w:sz="6" w:space="0" w:color="auto"/>
              <w:right w:val="nil"/>
            </w:tcBorders>
            <w:shd w:val="clear" w:color="auto" w:fill="auto"/>
            <w:noWrap/>
            <w:vAlign w:val="center"/>
            <w:hideMark/>
          </w:tcPr>
          <w:p w:rsidR="00DE733C" w:rsidRPr="00DE733C" w:rsidRDefault="00DE733C" w:rsidP="00DE733C">
            <w:pPr>
              <w:rPr>
                <w:b/>
                <w:bCs/>
                <w:color w:val="000000"/>
                <w:sz w:val="20"/>
                <w:lang w:val="es-PY" w:eastAsia="es-PY"/>
              </w:rPr>
            </w:pPr>
            <w:r w:rsidRPr="00DE733C">
              <w:rPr>
                <w:b/>
                <w:bCs/>
                <w:color w:val="000000"/>
                <w:sz w:val="20"/>
                <w:lang w:val="es-PY" w:eastAsia="es-PY"/>
              </w:rPr>
              <w:t>Mínimo</w:t>
            </w:r>
          </w:p>
        </w:tc>
        <w:tc>
          <w:tcPr>
            <w:tcW w:w="1223" w:type="dxa"/>
            <w:tcBorders>
              <w:top w:val="nil"/>
              <w:left w:val="nil"/>
              <w:bottom w:val="double" w:sz="6" w:space="0" w:color="auto"/>
              <w:right w:val="nil"/>
            </w:tcBorders>
            <w:shd w:val="clear" w:color="auto" w:fill="auto"/>
            <w:noWrap/>
            <w:vAlign w:val="bottom"/>
            <w:hideMark/>
          </w:tcPr>
          <w:p w:rsidR="00DE733C" w:rsidRPr="00DE733C" w:rsidRDefault="00DE733C" w:rsidP="00DE733C">
            <w:pPr>
              <w:rPr>
                <w:rFonts w:ascii="Calibri" w:hAnsi="Calibri"/>
                <w:color w:val="000000"/>
                <w:sz w:val="20"/>
                <w:lang w:val="es-PY" w:eastAsia="es-PY"/>
              </w:rPr>
            </w:pPr>
            <w:r w:rsidRPr="00DE733C">
              <w:rPr>
                <w:rFonts w:ascii="Calibri" w:hAnsi="Calibri"/>
                <w:color w:val="000000"/>
                <w:sz w:val="20"/>
                <w:lang w:val="es-PY" w:eastAsia="es-PY"/>
              </w:rPr>
              <w:t> </w:t>
            </w:r>
          </w:p>
        </w:tc>
        <w:tc>
          <w:tcPr>
            <w:tcW w:w="1808" w:type="dxa"/>
            <w:tcBorders>
              <w:top w:val="nil"/>
              <w:left w:val="nil"/>
              <w:bottom w:val="double" w:sz="6" w:space="0" w:color="auto"/>
              <w:right w:val="nil"/>
            </w:tcBorders>
            <w:shd w:val="clear" w:color="auto" w:fill="auto"/>
            <w:noWrap/>
            <w:vAlign w:val="bottom"/>
            <w:hideMark/>
          </w:tcPr>
          <w:p w:rsidR="00DE733C" w:rsidRPr="00DE733C" w:rsidRDefault="00DE733C" w:rsidP="00DE733C">
            <w:pPr>
              <w:rPr>
                <w:rFonts w:ascii="Calibri" w:hAnsi="Calibri"/>
                <w:color w:val="000000"/>
                <w:sz w:val="20"/>
                <w:lang w:val="es-PY" w:eastAsia="es-PY"/>
              </w:rPr>
            </w:pPr>
            <w:r w:rsidRPr="00DE733C">
              <w:rPr>
                <w:rFonts w:ascii="Calibri" w:hAnsi="Calibri"/>
                <w:color w:val="000000"/>
                <w:sz w:val="20"/>
                <w:lang w:val="es-PY" w:eastAsia="es-PY"/>
              </w:rPr>
              <w:t> </w:t>
            </w:r>
          </w:p>
        </w:tc>
        <w:tc>
          <w:tcPr>
            <w:tcW w:w="1594" w:type="dxa"/>
            <w:tcBorders>
              <w:top w:val="nil"/>
              <w:left w:val="nil"/>
              <w:bottom w:val="double" w:sz="6" w:space="0" w:color="auto"/>
              <w:right w:val="nil"/>
            </w:tcBorders>
            <w:shd w:val="clear" w:color="auto" w:fill="auto"/>
            <w:noWrap/>
            <w:vAlign w:val="bottom"/>
            <w:hideMark/>
          </w:tcPr>
          <w:p w:rsidR="00DE733C" w:rsidRPr="00DE733C" w:rsidRDefault="00DE733C" w:rsidP="00DE733C">
            <w:pPr>
              <w:rPr>
                <w:rFonts w:ascii="Calibri" w:hAnsi="Calibri"/>
                <w:color w:val="000000"/>
                <w:sz w:val="20"/>
                <w:lang w:val="es-PY" w:eastAsia="es-PY"/>
              </w:rPr>
            </w:pPr>
            <w:r w:rsidRPr="00DE733C">
              <w:rPr>
                <w:rFonts w:ascii="Calibri" w:hAnsi="Calibri"/>
                <w:color w:val="000000"/>
                <w:sz w:val="20"/>
                <w:lang w:val="es-PY" w:eastAsia="es-PY"/>
              </w:rPr>
              <w:t> </w:t>
            </w:r>
          </w:p>
        </w:tc>
        <w:tc>
          <w:tcPr>
            <w:tcW w:w="1360" w:type="dxa"/>
            <w:tcBorders>
              <w:top w:val="nil"/>
              <w:left w:val="nil"/>
              <w:bottom w:val="double" w:sz="6" w:space="0" w:color="auto"/>
              <w:right w:val="nil"/>
            </w:tcBorders>
            <w:shd w:val="clear" w:color="auto" w:fill="auto"/>
            <w:noWrap/>
            <w:vAlign w:val="bottom"/>
            <w:hideMark/>
          </w:tcPr>
          <w:p w:rsidR="00DE733C" w:rsidRPr="00DE733C" w:rsidRDefault="00DE733C" w:rsidP="00DE733C">
            <w:pPr>
              <w:rPr>
                <w:rFonts w:ascii="Calibri" w:hAnsi="Calibri"/>
                <w:color w:val="000000"/>
                <w:sz w:val="20"/>
                <w:lang w:val="es-PY" w:eastAsia="es-PY"/>
              </w:rPr>
            </w:pPr>
            <w:r w:rsidRPr="00DE733C">
              <w:rPr>
                <w:rFonts w:ascii="Calibri" w:hAnsi="Calibri"/>
                <w:color w:val="000000"/>
                <w:sz w:val="20"/>
                <w:lang w:val="es-PY" w:eastAsia="es-PY"/>
              </w:rPr>
              <w:t> </w:t>
            </w:r>
          </w:p>
        </w:tc>
        <w:tc>
          <w:tcPr>
            <w:tcW w:w="1333" w:type="dxa"/>
            <w:tcBorders>
              <w:top w:val="nil"/>
              <w:left w:val="single" w:sz="4" w:space="0" w:color="auto"/>
              <w:bottom w:val="double" w:sz="6" w:space="0" w:color="auto"/>
              <w:right w:val="single" w:sz="8" w:space="0" w:color="auto"/>
            </w:tcBorders>
            <w:shd w:val="clear" w:color="auto" w:fill="auto"/>
            <w:noWrap/>
            <w:vAlign w:val="center"/>
            <w:hideMark/>
          </w:tcPr>
          <w:p w:rsidR="00DE733C" w:rsidRPr="00DE733C" w:rsidRDefault="00DE733C" w:rsidP="00DE733C">
            <w:pPr>
              <w:rPr>
                <w:b/>
                <w:bCs/>
                <w:color w:val="000000"/>
                <w:sz w:val="20"/>
                <w:lang w:val="es-PY" w:eastAsia="es-PY"/>
              </w:rPr>
            </w:pPr>
            <w:r w:rsidRPr="00DE733C">
              <w:rPr>
                <w:b/>
                <w:bCs/>
                <w:color w:val="000000"/>
                <w:sz w:val="20"/>
                <w:lang w:val="es-PY" w:eastAsia="es-PY"/>
              </w:rPr>
              <w:t xml:space="preserve">            2.023 </w:t>
            </w:r>
          </w:p>
        </w:tc>
      </w:tr>
    </w:tbl>
    <w:p w:rsidR="00BA22DC" w:rsidRDefault="00BA22DC" w:rsidP="00BA22DC">
      <w:pPr>
        <w:pStyle w:val="Heading2"/>
      </w:pPr>
      <w:r>
        <w:t>Matriz de resultados del PNCR-2 Fase II.</w:t>
      </w:r>
    </w:p>
    <w:p w:rsidR="00BA22DC" w:rsidRDefault="00DE733C" w:rsidP="00BA22DC">
      <w:pPr>
        <w:numPr>
          <w:ilvl w:val="1"/>
          <w:numId w:val="1"/>
        </w:numPr>
        <w:tabs>
          <w:tab w:val="clear" w:pos="360"/>
          <w:tab w:val="num" w:pos="709"/>
        </w:tabs>
        <w:spacing w:before="240" w:after="120" w:line="240" w:lineRule="atLeast"/>
        <w:ind w:left="709" w:hanging="709"/>
        <w:jc w:val="both"/>
        <w:rPr>
          <w:bCs/>
        </w:rPr>
      </w:pPr>
      <w:r>
        <w:rPr>
          <w:bCs/>
        </w:rPr>
        <w:t>Pendiente de revisar la matriz de resultados, o en su defecto el marco lógico.</w:t>
      </w:r>
    </w:p>
    <w:p w:rsidR="005F4A1F" w:rsidRDefault="005F4A1F" w:rsidP="005F4A1F">
      <w:pPr>
        <w:pStyle w:val="Heading2"/>
      </w:pPr>
      <w:r>
        <w:t>Evaluación de la eficacia de las modalidades.</w:t>
      </w:r>
    </w:p>
    <w:p w:rsidR="00BA22DC" w:rsidRPr="00BA22DC" w:rsidRDefault="008E6BAE" w:rsidP="00BA22DC">
      <w:pPr>
        <w:numPr>
          <w:ilvl w:val="1"/>
          <w:numId w:val="1"/>
        </w:numPr>
        <w:tabs>
          <w:tab w:val="clear" w:pos="360"/>
          <w:tab w:val="num" w:pos="709"/>
        </w:tabs>
        <w:spacing w:before="240" w:after="120" w:line="240" w:lineRule="atLeast"/>
        <w:ind w:left="709" w:hanging="709"/>
        <w:jc w:val="both"/>
        <w:rPr>
          <w:bCs/>
        </w:rPr>
      </w:pPr>
      <w:r>
        <w:rPr>
          <w:bCs/>
        </w:rPr>
        <w:t>De acuerdo a la matriz de resultados</w:t>
      </w:r>
      <w:r w:rsidR="00BA22DC" w:rsidRPr="00BA22DC">
        <w:rPr>
          <w:bCs/>
        </w:rPr>
        <w:t>.</w:t>
      </w:r>
      <w:r w:rsidR="00DE733C">
        <w:rPr>
          <w:bCs/>
        </w:rPr>
        <w:t xml:space="preserve"> </w:t>
      </w:r>
    </w:p>
    <w:p w:rsidR="00BA22DC" w:rsidRPr="00FC565F" w:rsidRDefault="00B32C0F" w:rsidP="00BA22DC">
      <w:pPr>
        <w:pStyle w:val="Heading1"/>
      </w:pPr>
      <w:r>
        <w:t>Conclusiones</w:t>
      </w:r>
      <w:r w:rsidR="00BA22DC">
        <w:t xml:space="preserve"> y Recomendaciones</w:t>
      </w:r>
    </w:p>
    <w:p w:rsidR="00BA22DC" w:rsidRDefault="00BA22DC" w:rsidP="00BA22DC">
      <w:pPr>
        <w:pStyle w:val="Heading2"/>
      </w:pPr>
      <w:r>
        <w:t>Consideraciones finales.</w:t>
      </w:r>
    </w:p>
    <w:p w:rsidR="00BA22DC" w:rsidRDefault="00DE733C" w:rsidP="00BA22DC">
      <w:pPr>
        <w:numPr>
          <w:ilvl w:val="1"/>
          <w:numId w:val="1"/>
        </w:numPr>
        <w:tabs>
          <w:tab w:val="clear" w:pos="360"/>
          <w:tab w:val="num" w:pos="709"/>
        </w:tabs>
        <w:spacing w:before="240" w:after="120" w:line="240" w:lineRule="atLeast"/>
        <w:ind w:left="709" w:hanging="709"/>
        <w:jc w:val="both"/>
        <w:rPr>
          <w:bCs/>
        </w:rPr>
      </w:pPr>
      <w:r w:rsidRPr="00B71FC5">
        <w:rPr>
          <w:b/>
          <w:bCs/>
        </w:rPr>
        <w:t>El análisis al nivel institucional más elevado</w:t>
      </w:r>
      <w:r>
        <w:rPr>
          <w:bCs/>
        </w:rPr>
        <w:t xml:space="preserve">. </w:t>
      </w:r>
      <w:r w:rsidR="00B71FC5">
        <w:rPr>
          <w:bCs/>
        </w:rPr>
        <w:t>Antes de considerar las conclusiones más relevantes sobre el Plan de Gestión de Mantenimiento de los caminos vecinales, y consecuentemente proponer acciones y recomendaciones, es pertinente debatir el contexto macro en que se desarrollan los proyectos</w:t>
      </w:r>
      <w:r>
        <w:rPr>
          <w:bCs/>
        </w:rPr>
        <w:t>.</w:t>
      </w:r>
      <w:r w:rsidR="00B71FC5">
        <w:rPr>
          <w:bCs/>
        </w:rPr>
        <w:t xml:space="preserve"> En primer término el Paraguay posee una red creciente de rutas pavimentadas y caminos cuyo mejoramiento reclama tanto el sector productivo como la población rural más humilde. Y a este mejoramiento sigue obligatoriamente el compromiso de conservar la integridad y funcionalidad de la red. Hasta ahora el MOPC ha recurrido mayormente a recursos de préstamos externos para financiar los trabajos de mantenimiento vial, pero necesariamente deberá adoptar alguna política de Estado que apunte a la generación sostenible de recursos financieros para este fin</w:t>
      </w:r>
      <w:r w:rsidR="00BA22DC">
        <w:rPr>
          <w:bCs/>
        </w:rPr>
        <w:t>.</w:t>
      </w:r>
      <w:r w:rsidR="00B71FC5">
        <w:rPr>
          <w:bCs/>
        </w:rPr>
        <w:t xml:space="preserve"> Y en el marco de dicha política deberá contemplar la conveniencia de descentralizar la gestión, ya sea como una manera de ampliar la capacidad operativa</w:t>
      </w:r>
      <w:r w:rsidR="00BA22DC">
        <w:rPr>
          <w:bCs/>
        </w:rPr>
        <w:t xml:space="preserve"> </w:t>
      </w:r>
      <w:r w:rsidR="00B71FC5">
        <w:rPr>
          <w:bCs/>
        </w:rPr>
        <w:t>o para transferir la responsabilidad política a los gobi</w:t>
      </w:r>
      <w:r w:rsidR="008E6BAE">
        <w:rPr>
          <w:bCs/>
        </w:rPr>
        <w:t>ernos locales, apostando a que éstos sepan intervenir con mayor precisión y oportunidad a sus localidades.</w:t>
      </w:r>
    </w:p>
    <w:p w:rsidR="00F35A08" w:rsidRPr="00F35A08" w:rsidRDefault="002241E5" w:rsidP="00F35A08">
      <w:pPr>
        <w:numPr>
          <w:ilvl w:val="1"/>
          <w:numId w:val="1"/>
        </w:numPr>
        <w:tabs>
          <w:tab w:val="clear" w:pos="360"/>
          <w:tab w:val="num" w:pos="709"/>
        </w:tabs>
        <w:spacing w:before="240" w:after="120" w:line="240" w:lineRule="atLeast"/>
        <w:ind w:left="709" w:hanging="709"/>
        <w:jc w:val="both"/>
        <w:rPr>
          <w:b/>
          <w:bCs/>
        </w:rPr>
      </w:pPr>
      <w:r>
        <w:rPr>
          <w:b/>
          <w:bCs/>
        </w:rPr>
        <w:t>La descentralización</w:t>
      </w:r>
      <w:r w:rsidR="008E6BAE">
        <w:rPr>
          <w:b/>
          <w:bCs/>
        </w:rPr>
        <w:t xml:space="preserve">. </w:t>
      </w:r>
      <w:r w:rsidR="00F35A08">
        <w:rPr>
          <w:bCs/>
        </w:rPr>
        <w:t xml:space="preserve">La Ley Orgánica Municipal N° 3966/10, en su Capítulo III, de las funciones municipales, Artículo 12. Funciones, establece que </w:t>
      </w:r>
      <w:r w:rsidR="00F35A08" w:rsidRPr="00F35A08">
        <w:rPr>
          <w:bCs/>
          <w:i/>
        </w:rPr>
        <w:t xml:space="preserve">las municipalidades no estarán obligadas a la prestación de los servicios que estén a cargo del Gobierno Central, mientras no sean transferidos los recursos de conformidad a los convenios de delegación de competencias, previstos en los Artículos 16, 17 y 18. Sin perjuicio de lo expresado en el párrafo anterior y de conformidad a las posibilidades presupuestarias, las municipalidades, en el ámbito de su territorio, tendrán las siguientes </w:t>
      </w:r>
      <w:r w:rsidR="00F35A08" w:rsidRPr="00F35A08">
        <w:rPr>
          <w:bCs/>
        </w:rPr>
        <w:t>funciones</w:t>
      </w:r>
      <w:r w:rsidR="00F35A08" w:rsidRPr="00F35A08">
        <w:rPr>
          <w:bCs/>
          <w:i/>
        </w:rPr>
        <w:t>:….</w:t>
      </w:r>
      <w:r w:rsidR="00F35A08" w:rsidRPr="00F35A08">
        <w:rPr>
          <w:bCs/>
          <w:i/>
          <w:lang w:val="es-MX"/>
        </w:rPr>
        <w:t xml:space="preserve"> En materia de infraestructura pública y servicios:</w:t>
      </w:r>
      <w:r w:rsidR="00F35A08">
        <w:rPr>
          <w:bCs/>
          <w:i/>
          <w:lang w:val="es-MX"/>
        </w:rPr>
        <w:t>…</w:t>
      </w:r>
      <w:r w:rsidR="00F35A08" w:rsidRPr="00F35A08">
        <w:rPr>
          <w:bCs/>
          <w:i/>
          <w:lang w:val="es-MX"/>
        </w:rPr>
        <w:t xml:space="preserve"> </w:t>
      </w:r>
      <w:r w:rsidR="00F35A08" w:rsidRPr="00F35A08">
        <w:rPr>
          <w:b/>
          <w:bCs/>
          <w:i/>
          <w:lang w:val="es-MX"/>
        </w:rPr>
        <w:t xml:space="preserve">d- </w:t>
      </w:r>
      <w:r w:rsidR="00F35A08" w:rsidRPr="00F35A08">
        <w:rPr>
          <w:bCs/>
          <w:i/>
          <w:lang w:val="es-MX"/>
        </w:rPr>
        <w:t>la construcción, equipamiento y mantenimiento de los caminos vecinales rurales y otras vías de comunicación que no estén a cargo de otros organismos públicos</w:t>
      </w:r>
      <w:r w:rsidR="00F35A08">
        <w:rPr>
          <w:bCs/>
          <w:i/>
          <w:lang w:val="es-MX"/>
        </w:rPr>
        <w:t>.</w:t>
      </w:r>
    </w:p>
    <w:p w:rsidR="00F35A08" w:rsidRPr="00F35A08" w:rsidRDefault="00F35A08" w:rsidP="00F35A08">
      <w:pPr>
        <w:numPr>
          <w:ilvl w:val="1"/>
          <w:numId w:val="1"/>
        </w:numPr>
        <w:tabs>
          <w:tab w:val="clear" w:pos="360"/>
          <w:tab w:val="num" w:pos="709"/>
        </w:tabs>
        <w:spacing w:before="240" w:after="120" w:line="240" w:lineRule="atLeast"/>
        <w:ind w:left="709" w:hanging="709"/>
        <w:jc w:val="both"/>
        <w:rPr>
          <w:bCs/>
          <w:lang w:val="es-MX"/>
        </w:rPr>
      </w:pPr>
      <w:r>
        <w:rPr>
          <w:bCs/>
        </w:rPr>
        <w:lastRenderedPageBreak/>
        <w:t>También</w:t>
      </w:r>
      <w:r w:rsidRPr="00F35A08">
        <w:rPr>
          <w:bCs/>
        </w:rPr>
        <w:t xml:space="preserve">, en </w:t>
      </w:r>
      <w:r>
        <w:rPr>
          <w:bCs/>
        </w:rPr>
        <w:t xml:space="preserve">el </w:t>
      </w:r>
      <w:r w:rsidRPr="00F35A08">
        <w:rPr>
          <w:bCs/>
          <w:lang w:val="es-MX"/>
        </w:rPr>
        <w:t xml:space="preserve">Artículo 16.- Convenio de delegación de competencias, establece que </w:t>
      </w:r>
      <w:r w:rsidRPr="00F35A08">
        <w:rPr>
          <w:bCs/>
          <w:i/>
          <w:lang w:val="es-MX"/>
        </w:rPr>
        <w:t>Además de las funciones propias establecidas en la ley, las municipalidades podrán ejercer competencias nacionales o departamentales delegadas de otros organismos y entidades públicas en materias que afecten a sus intereses propios. El ejercicio de competencias nacionales o departamentales delegadas requerirá de un convenio previo entre la administración delegante y la municipalidad. En el convenio deberá constar el alcance, contenido, condiciones y duración de éste, así como el control que se reserve la administración delegante, los casos de resolución del convenio, y los recursos que transfiera la administración delegante a la municipalidad. Para que la delegación sea efectiva, se requiere que el convenio esté aprobado por las respectivas Juntas Municipales. Las competencias delegadas se ejercen de acuerdo con la legislación vigente para la administración delegante</w:t>
      </w:r>
      <w:r w:rsidRPr="00F35A08">
        <w:rPr>
          <w:bCs/>
          <w:lang w:val="es-MX"/>
        </w:rPr>
        <w:t>.</w:t>
      </w:r>
    </w:p>
    <w:p w:rsidR="003C40C1" w:rsidRPr="003C40C1" w:rsidRDefault="00F35A08" w:rsidP="003C40C1">
      <w:pPr>
        <w:numPr>
          <w:ilvl w:val="1"/>
          <w:numId w:val="1"/>
        </w:numPr>
        <w:tabs>
          <w:tab w:val="clear" w:pos="360"/>
          <w:tab w:val="num" w:pos="709"/>
        </w:tabs>
        <w:spacing w:before="240" w:after="120" w:line="240" w:lineRule="atLeast"/>
        <w:ind w:left="709" w:hanging="709"/>
        <w:jc w:val="both"/>
        <w:rPr>
          <w:bCs/>
          <w:lang w:val="es-MX"/>
        </w:rPr>
      </w:pPr>
      <w:r w:rsidRPr="00F35A08">
        <w:rPr>
          <w:bCs/>
          <w:lang w:val="es-MX"/>
        </w:rPr>
        <w:t xml:space="preserve"> Por otro lado, </w:t>
      </w:r>
      <w:r>
        <w:rPr>
          <w:bCs/>
          <w:lang w:val="es-MX"/>
        </w:rPr>
        <w:t>la Le</w:t>
      </w:r>
      <w:r w:rsidRPr="00F35A08">
        <w:rPr>
          <w:bCs/>
          <w:lang w:val="es-MX"/>
        </w:rPr>
        <w:t xml:space="preserve">y </w:t>
      </w:r>
      <w:r>
        <w:rPr>
          <w:bCs/>
          <w:lang w:val="es-MX"/>
        </w:rPr>
        <w:t>N</w:t>
      </w:r>
      <w:r w:rsidRPr="00F35A08">
        <w:rPr>
          <w:bCs/>
          <w:lang w:val="es-MX"/>
        </w:rPr>
        <w:t xml:space="preserve">º 100/93 que aprueba con modificaciones el </w:t>
      </w:r>
      <w:r w:rsidR="003C40C1">
        <w:rPr>
          <w:bCs/>
          <w:lang w:val="es-MX"/>
        </w:rPr>
        <w:t>D</w:t>
      </w:r>
      <w:r w:rsidRPr="00F35A08">
        <w:rPr>
          <w:bCs/>
          <w:lang w:val="es-MX"/>
        </w:rPr>
        <w:t>ecreto-</w:t>
      </w:r>
      <w:r w:rsidR="003C40C1">
        <w:rPr>
          <w:bCs/>
          <w:lang w:val="es-MX"/>
        </w:rPr>
        <w:t>L</w:t>
      </w:r>
      <w:r w:rsidRPr="00F35A08">
        <w:rPr>
          <w:bCs/>
          <w:lang w:val="es-MX"/>
        </w:rPr>
        <w:t xml:space="preserve">ey </w:t>
      </w:r>
      <w:r w:rsidR="003C40C1">
        <w:rPr>
          <w:bCs/>
          <w:lang w:val="es-MX"/>
        </w:rPr>
        <w:t>N</w:t>
      </w:r>
      <w:r w:rsidRPr="00F35A08">
        <w:rPr>
          <w:bCs/>
          <w:lang w:val="es-MX"/>
        </w:rPr>
        <w:t xml:space="preserve">º 44 de fecha 31 de marzo de 1992, que crea la </w:t>
      </w:r>
      <w:r w:rsidR="003C40C1">
        <w:rPr>
          <w:bCs/>
          <w:lang w:val="es-MX"/>
        </w:rPr>
        <w:t>D</w:t>
      </w:r>
      <w:r w:rsidR="003C40C1" w:rsidRPr="00F35A08">
        <w:rPr>
          <w:bCs/>
          <w:lang w:val="es-MX"/>
        </w:rPr>
        <w:t>irección</w:t>
      </w:r>
      <w:r w:rsidRPr="00F35A08">
        <w:rPr>
          <w:bCs/>
          <w:lang w:val="es-MX"/>
        </w:rPr>
        <w:t xml:space="preserve"> de </w:t>
      </w:r>
      <w:r w:rsidR="003C40C1">
        <w:rPr>
          <w:bCs/>
          <w:lang w:val="es-MX"/>
        </w:rPr>
        <w:t>C</w:t>
      </w:r>
      <w:r w:rsidRPr="00F35A08">
        <w:rPr>
          <w:bCs/>
          <w:lang w:val="es-MX"/>
        </w:rPr>
        <w:t xml:space="preserve">aminos </w:t>
      </w:r>
      <w:r w:rsidR="003C40C1">
        <w:rPr>
          <w:bCs/>
          <w:lang w:val="es-MX"/>
        </w:rPr>
        <w:t>V</w:t>
      </w:r>
      <w:r w:rsidRPr="00F35A08">
        <w:rPr>
          <w:bCs/>
          <w:lang w:val="es-MX"/>
        </w:rPr>
        <w:t xml:space="preserve">ecinales, en </w:t>
      </w:r>
      <w:r w:rsidR="003C40C1" w:rsidRPr="00F35A08">
        <w:rPr>
          <w:bCs/>
          <w:lang w:val="es-MX"/>
        </w:rPr>
        <w:t>sustitución</w:t>
      </w:r>
      <w:r w:rsidRPr="00F35A08">
        <w:rPr>
          <w:bCs/>
          <w:lang w:val="es-MX"/>
        </w:rPr>
        <w:t xml:space="preserve"> de la </w:t>
      </w:r>
      <w:r w:rsidR="003C40C1">
        <w:rPr>
          <w:bCs/>
          <w:lang w:val="es-MX"/>
        </w:rPr>
        <w:t>D</w:t>
      </w:r>
      <w:r w:rsidR="003C40C1" w:rsidRPr="00F35A08">
        <w:rPr>
          <w:bCs/>
          <w:lang w:val="es-MX"/>
        </w:rPr>
        <w:t>irección</w:t>
      </w:r>
      <w:r w:rsidR="003C40C1">
        <w:rPr>
          <w:bCs/>
          <w:lang w:val="es-MX"/>
        </w:rPr>
        <w:t xml:space="preserve"> de J</w:t>
      </w:r>
      <w:r w:rsidRPr="00F35A08">
        <w:rPr>
          <w:bCs/>
          <w:lang w:val="es-MX"/>
        </w:rPr>
        <w:t xml:space="preserve">untas </w:t>
      </w:r>
      <w:r w:rsidR="003C40C1">
        <w:rPr>
          <w:bCs/>
          <w:lang w:val="es-MX"/>
        </w:rPr>
        <w:t>V</w:t>
      </w:r>
      <w:r w:rsidRPr="00F35A08">
        <w:rPr>
          <w:bCs/>
          <w:lang w:val="es-MX"/>
        </w:rPr>
        <w:t xml:space="preserve">iales, dependiente del </w:t>
      </w:r>
      <w:r w:rsidR="003C40C1">
        <w:rPr>
          <w:bCs/>
          <w:lang w:val="es-MX"/>
        </w:rPr>
        <w:t>M</w:t>
      </w:r>
      <w:r w:rsidRPr="00F35A08">
        <w:rPr>
          <w:bCs/>
          <w:lang w:val="es-MX"/>
        </w:rPr>
        <w:t xml:space="preserve">inisterio de </w:t>
      </w:r>
      <w:r w:rsidR="003C40C1">
        <w:rPr>
          <w:bCs/>
          <w:lang w:val="es-MX"/>
        </w:rPr>
        <w:t>O</w:t>
      </w:r>
      <w:r w:rsidRPr="00F35A08">
        <w:rPr>
          <w:bCs/>
          <w:lang w:val="es-MX"/>
        </w:rPr>
        <w:t xml:space="preserve">bras </w:t>
      </w:r>
      <w:r w:rsidR="003C40C1">
        <w:rPr>
          <w:bCs/>
          <w:lang w:val="es-MX"/>
        </w:rPr>
        <w:t>Pú</w:t>
      </w:r>
      <w:r w:rsidRPr="00F35A08">
        <w:rPr>
          <w:bCs/>
          <w:lang w:val="es-MX"/>
        </w:rPr>
        <w:t xml:space="preserve">blicas y </w:t>
      </w:r>
      <w:r w:rsidR="003C40C1">
        <w:rPr>
          <w:bCs/>
          <w:lang w:val="es-MX"/>
        </w:rPr>
        <w:t>C</w:t>
      </w:r>
      <w:r w:rsidRPr="00F35A08">
        <w:rPr>
          <w:bCs/>
          <w:lang w:val="es-MX"/>
        </w:rPr>
        <w:t>omunicaciones</w:t>
      </w:r>
      <w:r w:rsidR="003C40C1">
        <w:rPr>
          <w:bCs/>
          <w:lang w:val="es-MX"/>
        </w:rPr>
        <w:t>, en su Artículo 2º establece</w:t>
      </w:r>
      <w:r w:rsidR="003C40C1" w:rsidRPr="003C40C1">
        <w:rPr>
          <w:bCs/>
          <w:lang w:val="es-MX"/>
        </w:rPr>
        <w:t xml:space="preserve"> </w:t>
      </w:r>
      <w:r w:rsidR="003C40C1" w:rsidRPr="003C40C1">
        <w:rPr>
          <w:bCs/>
          <w:i/>
          <w:lang w:val="es-MX"/>
        </w:rPr>
        <w:t>La Dirección de Caminos Vecinales tiene como objetivo primordial la planificación, programación, elaboración de proyectos, construcción y mantenimiento de caminos vecinales en la República, por administración directa, por terceros y a través de las Juntas Viales Regionales</w:t>
      </w:r>
      <w:r w:rsidR="003C40C1" w:rsidRPr="003C40C1">
        <w:rPr>
          <w:bCs/>
          <w:lang w:val="es-MX"/>
        </w:rPr>
        <w:t xml:space="preserve">. </w:t>
      </w:r>
    </w:p>
    <w:p w:rsidR="00F35A08" w:rsidRPr="00F35A08" w:rsidRDefault="003C40C1" w:rsidP="006D326F">
      <w:pPr>
        <w:numPr>
          <w:ilvl w:val="1"/>
          <w:numId w:val="1"/>
        </w:numPr>
        <w:tabs>
          <w:tab w:val="clear" w:pos="360"/>
          <w:tab w:val="num" w:pos="709"/>
        </w:tabs>
        <w:spacing w:before="240" w:after="120"/>
        <w:ind w:left="709" w:hanging="709"/>
        <w:jc w:val="both"/>
        <w:rPr>
          <w:bCs/>
          <w:lang w:val="es-MX"/>
        </w:rPr>
      </w:pPr>
      <w:r>
        <w:rPr>
          <w:bCs/>
          <w:lang w:val="es-MX"/>
        </w:rPr>
        <w:t>En consecuencia, sin un instrumento de delegación de competencias, el MOPC, a través de la Dirección de Caminos Vecinales, tien</w:t>
      </w:r>
      <w:r w:rsidR="006D326F">
        <w:rPr>
          <w:bCs/>
          <w:lang w:val="es-MX"/>
        </w:rPr>
        <w:t>e la responsabilidad exclusiva de la construcción y el mantenimiento de los caminos vecinales del país.</w:t>
      </w:r>
    </w:p>
    <w:p w:rsidR="00CD379D" w:rsidRPr="00F04A34" w:rsidRDefault="00CD379D" w:rsidP="00F04A34">
      <w:pPr>
        <w:numPr>
          <w:ilvl w:val="1"/>
          <w:numId w:val="1"/>
        </w:numPr>
        <w:tabs>
          <w:tab w:val="clear" w:pos="360"/>
          <w:tab w:val="num" w:pos="709"/>
        </w:tabs>
        <w:spacing w:before="240" w:after="120"/>
        <w:ind w:left="709" w:hanging="709"/>
        <w:jc w:val="both"/>
        <w:rPr>
          <w:bCs/>
          <w:lang w:val="es-MX"/>
        </w:rPr>
      </w:pPr>
      <w:r w:rsidRPr="00F04A34">
        <w:rPr>
          <w:b/>
          <w:bCs/>
          <w:lang w:val="es-MX"/>
        </w:rPr>
        <w:t>El aspecto social</w:t>
      </w:r>
      <w:r w:rsidRPr="00F04A34">
        <w:rPr>
          <w:bCs/>
          <w:lang w:val="es-MX"/>
        </w:rPr>
        <w:t xml:space="preserve">. </w:t>
      </w:r>
      <w:r w:rsidR="00F04A34" w:rsidRPr="00F04A34">
        <w:rPr>
          <w:bCs/>
          <w:lang w:val="es-MX"/>
        </w:rPr>
        <w:t xml:space="preserve">En el </w:t>
      </w:r>
      <w:r w:rsidRPr="00F04A34">
        <w:rPr>
          <w:bCs/>
          <w:lang w:val="es-MX"/>
        </w:rPr>
        <w:t xml:space="preserve">Paraguay el 23,8% de la población total del país se encuentra debajo de la línea de pobreza, </w:t>
      </w:r>
      <w:r w:rsidR="00F04A34" w:rsidRPr="00F04A34">
        <w:rPr>
          <w:bCs/>
          <w:lang w:val="es-MX"/>
        </w:rPr>
        <w:t>y</w:t>
      </w:r>
      <w:r w:rsidRPr="00F04A34">
        <w:rPr>
          <w:bCs/>
          <w:lang w:val="es-MX"/>
        </w:rPr>
        <w:t xml:space="preserve"> de éstos el 57,4% vive en zona rural</w:t>
      </w:r>
      <w:r w:rsidR="00F04A34" w:rsidRPr="00F04A34">
        <w:rPr>
          <w:bCs/>
          <w:lang w:val="es-MX"/>
        </w:rPr>
        <w:t>.</w:t>
      </w:r>
      <w:r w:rsidR="00F04A34">
        <w:rPr>
          <w:bCs/>
          <w:lang w:val="es-MX"/>
        </w:rPr>
        <w:t xml:space="preserve"> El PNCR tiene poca incidencia para aportar en forma directa a la solución del problema, con excepción de la capacidad de generación de empleo que las tareas de mantenimiento rutinario permiten. De hecho, la inversión para atender una vasta red de caminos vecinales es poco intensa en el uso de maquinarias, pero en cambio tiene la posibilidad de ser intensiva en mano de obra, particularmente para emplear a los pobladores que por estar arraigados en las zonas de trabajo pueden hacerlo a un costo menor. No obstante, para encarar eficazmente esta línea de acción, el MOPC debe dimensionarse adecuadamente, valorando los impactos que se pueden lograr y disponiendo, en consecuencia, los recursos necesarios en cantidad y calidad para su éxito.</w:t>
      </w:r>
    </w:p>
    <w:p w:rsidR="005F4A1F" w:rsidRDefault="006D326F" w:rsidP="005F4A1F">
      <w:pPr>
        <w:pStyle w:val="Heading2"/>
      </w:pPr>
      <w:r>
        <w:t>Conclusiones</w:t>
      </w:r>
      <w:r w:rsidR="005F4A1F">
        <w:t>.</w:t>
      </w:r>
    </w:p>
    <w:p w:rsidR="005F4A1F" w:rsidRDefault="006D326F" w:rsidP="005F4A1F">
      <w:pPr>
        <w:numPr>
          <w:ilvl w:val="1"/>
          <w:numId w:val="1"/>
        </w:numPr>
        <w:tabs>
          <w:tab w:val="clear" w:pos="360"/>
          <w:tab w:val="num" w:pos="709"/>
        </w:tabs>
        <w:spacing w:before="240" w:after="120" w:line="240" w:lineRule="atLeast"/>
        <w:ind w:left="709" w:hanging="709"/>
        <w:jc w:val="both"/>
        <w:rPr>
          <w:bCs/>
        </w:rPr>
      </w:pPr>
      <w:r w:rsidRPr="006D326F">
        <w:rPr>
          <w:b/>
          <w:bCs/>
        </w:rPr>
        <w:t>Modalidad de mantenimiento por Convenios</w:t>
      </w:r>
      <w:r>
        <w:rPr>
          <w:bCs/>
        </w:rPr>
        <w:t>. Seguidamente se enumeran las más relevantes</w:t>
      </w:r>
      <w:r w:rsidR="005F4A1F">
        <w:rPr>
          <w:bCs/>
        </w:rPr>
        <w:t xml:space="preserve">. </w:t>
      </w:r>
    </w:p>
    <w:p w:rsidR="00B32C0F" w:rsidRPr="007729CE" w:rsidRDefault="00B32C0F" w:rsidP="00B32C0F">
      <w:pPr>
        <w:spacing w:before="240" w:after="120" w:line="240" w:lineRule="atLeast"/>
        <w:ind w:left="709"/>
        <w:jc w:val="both"/>
        <w:rPr>
          <w:bCs/>
        </w:rPr>
      </w:pPr>
      <w:r w:rsidRPr="007729CE">
        <w:rPr>
          <w:bCs/>
        </w:rPr>
        <w:t>-</w:t>
      </w:r>
      <w:r w:rsidRPr="007729CE">
        <w:rPr>
          <w:bCs/>
        </w:rPr>
        <w:tab/>
      </w:r>
      <w:r w:rsidRPr="000D77EA">
        <w:rPr>
          <w:b/>
          <w:bCs/>
        </w:rPr>
        <w:t>Gestión flexible</w:t>
      </w:r>
      <w:r w:rsidRPr="007729CE">
        <w:rPr>
          <w:bCs/>
        </w:rPr>
        <w:t xml:space="preserve">. </w:t>
      </w:r>
      <w:r>
        <w:rPr>
          <w:bCs/>
        </w:rPr>
        <w:t>El hecho de que el Convenio se ejecuta en el marco de una operación de préstamo permite operar con normas simplificadas y las adquisiciones son menos burocráticas</w:t>
      </w:r>
      <w:r w:rsidR="000D77EA">
        <w:rPr>
          <w:bCs/>
        </w:rPr>
        <w:t>, facilitando la gestión por administración</w:t>
      </w:r>
      <w:r>
        <w:rPr>
          <w:bCs/>
        </w:rPr>
        <w:t xml:space="preserve">. Sin embargo, el funcionamiento bajo las normas nacionales  de contrataciones públicas </w:t>
      </w:r>
      <w:r w:rsidR="000D77EA">
        <w:rPr>
          <w:bCs/>
        </w:rPr>
        <w:t>tornaría difícil</w:t>
      </w:r>
      <w:r>
        <w:rPr>
          <w:bCs/>
        </w:rPr>
        <w:t xml:space="preserve"> esta operatividad, debiendo optarse por la vía de tercerización de actividades en contratos de mayor porte</w:t>
      </w:r>
      <w:r w:rsidRPr="007729CE">
        <w:rPr>
          <w:bCs/>
        </w:rPr>
        <w:t>.</w:t>
      </w:r>
    </w:p>
    <w:p w:rsidR="007729CE" w:rsidRPr="007729CE" w:rsidRDefault="007729CE" w:rsidP="007729CE">
      <w:pPr>
        <w:spacing w:before="240" w:after="120" w:line="240" w:lineRule="atLeast"/>
        <w:ind w:left="709"/>
        <w:jc w:val="both"/>
        <w:rPr>
          <w:bCs/>
        </w:rPr>
      </w:pPr>
      <w:r w:rsidRPr="007729CE">
        <w:rPr>
          <w:bCs/>
        </w:rPr>
        <w:lastRenderedPageBreak/>
        <w:t>-</w:t>
      </w:r>
      <w:r w:rsidRPr="007729CE">
        <w:rPr>
          <w:bCs/>
        </w:rPr>
        <w:tab/>
      </w:r>
      <w:r w:rsidRPr="000D77EA">
        <w:rPr>
          <w:b/>
          <w:bCs/>
        </w:rPr>
        <w:t>Auditorías</w:t>
      </w:r>
      <w:r w:rsidRPr="007729CE">
        <w:rPr>
          <w:bCs/>
        </w:rPr>
        <w:t>. Si bien se halla estipulada en el Convenio, no se establece su realización como norma, con una periodicidad determinada.</w:t>
      </w:r>
    </w:p>
    <w:p w:rsidR="007729CE" w:rsidRPr="007729CE" w:rsidRDefault="007729CE" w:rsidP="007729CE">
      <w:pPr>
        <w:spacing w:before="240" w:after="120" w:line="240" w:lineRule="atLeast"/>
        <w:ind w:left="709"/>
        <w:jc w:val="both"/>
        <w:rPr>
          <w:bCs/>
        </w:rPr>
      </w:pPr>
      <w:r w:rsidRPr="007729CE">
        <w:rPr>
          <w:bCs/>
        </w:rPr>
        <w:t>-</w:t>
      </w:r>
      <w:r w:rsidRPr="007729CE">
        <w:rPr>
          <w:bCs/>
        </w:rPr>
        <w:tab/>
      </w:r>
      <w:r w:rsidRPr="000D77EA">
        <w:rPr>
          <w:b/>
          <w:bCs/>
        </w:rPr>
        <w:t>Sanciones por incumplimiento</w:t>
      </w:r>
      <w:r w:rsidRPr="007729CE">
        <w:rPr>
          <w:bCs/>
        </w:rPr>
        <w:t>. Cuando no se alcanza el Nivel de Servicio de un tramo, menor al 80%, en dos evaluaciones consecutivas, se excluye el tramo del Convenio. Lo cual constituye en sí una sanción política a la Entidad Ejecutora, pero que aparentemente no implica una consecuencia más seria.</w:t>
      </w:r>
    </w:p>
    <w:p w:rsidR="007729CE" w:rsidRPr="007729CE" w:rsidRDefault="007729CE" w:rsidP="007729CE">
      <w:pPr>
        <w:spacing w:before="240" w:after="120" w:line="240" w:lineRule="atLeast"/>
        <w:ind w:left="709"/>
        <w:jc w:val="both"/>
        <w:rPr>
          <w:bCs/>
        </w:rPr>
      </w:pPr>
      <w:r w:rsidRPr="007729CE">
        <w:rPr>
          <w:bCs/>
        </w:rPr>
        <w:t>-</w:t>
      </w:r>
      <w:r w:rsidRPr="007729CE">
        <w:rPr>
          <w:bCs/>
        </w:rPr>
        <w:tab/>
      </w:r>
      <w:r w:rsidRPr="000D77EA">
        <w:rPr>
          <w:b/>
          <w:bCs/>
        </w:rPr>
        <w:t>Asociaciones de Conservación Vial (ACV)</w:t>
      </w:r>
      <w:r w:rsidRPr="007729CE">
        <w:rPr>
          <w:bCs/>
        </w:rPr>
        <w:t>. En el Convenio no se hace referencia al tema ni se incluye modelos de sub-contratos.</w:t>
      </w:r>
    </w:p>
    <w:p w:rsidR="007729CE" w:rsidRPr="007729CE" w:rsidRDefault="007729CE" w:rsidP="007729CE">
      <w:pPr>
        <w:spacing w:before="240" w:after="120" w:line="240" w:lineRule="atLeast"/>
        <w:ind w:left="709"/>
        <w:jc w:val="both"/>
        <w:rPr>
          <w:bCs/>
        </w:rPr>
      </w:pPr>
      <w:r w:rsidRPr="007729CE">
        <w:rPr>
          <w:bCs/>
        </w:rPr>
        <w:t>-</w:t>
      </w:r>
      <w:r w:rsidRPr="007729CE">
        <w:rPr>
          <w:bCs/>
        </w:rPr>
        <w:tab/>
      </w:r>
      <w:r w:rsidRPr="000D77EA">
        <w:rPr>
          <w:b/>
          <w:bCs/>
        </w:rPr>
        <w:t>Mora de las transferencias</w:t>
      </w:r>
      <w:r w:rsidRPr="007729CE">
        <w:rPr>
          <w:bCs/>
        </w:rPr>
        <w:t>. Aunque se presentan moras de hasta 6 meses, el plazo promedio ponderado calculado de la mora de los desembolsos es de 82 días, con relación al peso de los montos transferidos. Este plazo no es necesariamente exagerado con relación a los 60 días normales que se asigna como a un proceso de pago, de manera que deberían establecerse mecanismos específicos para proteger a aquellos acreedores más sensibles con el retraso, como es el caso del personal o de las ACV.</w:t>
      </w:r>
    </w:p>
    <w:p w:rsidR="00CD379D" w:rsidRPr="007729CE" w:rsidRDefault="007729CE" w:rsidP="007729CE">
      <w:pPr>
        <w:spacing w:before="240" w:after="120" w:line="240" w:lineRule="atLeast"/>
        <w:ind w:left="709"/>
        <w:jc w:val="both"/>
        <w:rPr>
          <w:bCs/>
        </w:rPr>
      </w:pPr>
      <w:r w:rsidRPr="007729CE">
        <w:rPr>
          <w:bCs/>
        </w:rPr>
        <w:t>-</w:t>
      </w:r>
      <w:r w:rsidRPr="007729CE">
        <w:rPr>
          <w:bCs/>
        </w:rPr>
        <w:tab/>
      </w:r>
      <w:r w:rsidRPr="000D77EA">
        <w:rPr>
          <w:b/>
          <w:bCs/>
        </w:rPr>
        <w:t>Equipos obsoletos</w:t>
      </w:r>
      <w:r w:rsidRPr="007729CE">
        <w:rPr>
          <w:bCs/>
        </w:rPr>
        <w:t>. Las maquinarias en uso son muy antiguas y representan un gran costo en los Convenios. Por otro lado, una política de gestión más moderna propugna recurrir a la tercerización de las actividades e incluso, el financiamiento de adquisición de nuevas maquinarias, no es posible en el marco de nuevas operaciones de préstamo.</w:t>
      </w:r>
    </w:p>
    <w:p w:rsidR="00CD379D" w:rsidRDefault="00CD379D" w:rsidP="00CD379D">
      <w:pPr>
        <w:numPr>
          <w:ilvl w:val="1"/>
          <w:numId w:val="1"/>
        </w:numPr>
        <w:tabs>
          <w:tab w:val="clear" w:pos="360"/>
          <w:tab w:val="num" w:pos="709"/>
        </w:tabs>
        <w:spacing w:before="240" w:after="120" w:line="240" w:lineRule="atLeast"/>
        <w:ind w:left="709" w:hanging="709"/>
        <w:jc w:val="both"/>
        <w:rPr>
          <w:bCs/>
        </w:rPr>
      </w:pPr>
      <w:r>
        <w:rPr>
          <w:b/>
          <w:bCs/>
        </w:rPr>
        <w:t>Las Asociaciones de Conservación Vial (ACV)</w:t>
      </w:r>
      <w:r>
        <w:rPr>
          <w:bCs/>
        </w:rPr>
        <w:t xml:space="preserve">. También conocidas como microempresas. Existen sólo en la modalidad por Convenios, sumando 65 ACV que agrupan a 401 microempresarios. </w:t>
      </w:r>
    </w:p>
    <w:p w:rsidR="00CD379D" w:rsidRPr="00CD379D" w:rsidRDefault="00CD379D" w:rsidP="00CD379D">
      <w:pPr>
        <w:spacing w:before="240" w:after="120" w:line="240" w:lineRule="atLeast"/>
        <w:ind w:left="709"/>
        <w:jc w:val="both"/>
        <w:rPr>
          <w:bCs/>
        </w:rPr>
      </w:pPr>
      <w:r w:rsidRPr="00CD379D">
        <w:rPr>
          <w:bCs/>
        </w:rPr>
        <w:t>-</w:t>
      </w:r>
      <w:r w:rsidRPr="00CD379D">
        <w:rPr>
          <w:bCs/>
        </w:rPr>
        <w:tab/>
      </w:r>
      <w:r w:rsidRPr="000D77EA">
        <w:rPr>
          <w:b/>
          <w:bCs/>
        </w:rPr>
        <w:t>Débil regularidad en la ejecución del sub-contrato</w:t>
      </w:r>
      <w:r w:rsidRPr="00CD379D">
        <w:rPr>
          <w:bCs/>
        </w:rPr>
        <w:t>. A partir de las previsiones contenidas en el texto del sub-contrato se aprecia que el mismo está concebido para tolerar la falta de continuidad en el pago, por la falta oportuna de fondos del Convenio, lo que hace poco favor al desarrollo de la iniciativa de generación de empleo en la zona.</w:t>
      </w:r>
    </w:p>
    <w:p w:rsidR="00CD379D" w:rsidRDefault="00CD379D" w:rsidP="00CD379D">
      <w:pPr>
        <w:spacing w:before="240" w:after="120" w:line="240" w:lineRule="atLeast"/>
        <w:ind w:left="709"/>
        <w:jc w:val="both"/>
        <w:rPr>
          <w:bCs/>
        </w:rPr>
      </w:pPr>
      <w:r w:rsidRPr="00CD379D">
        <w:rPr>
          <w:bCs/>
        </w:rPr>
        <w:t>-</w:t>
      </w:r>
      <w:r w:rsidRPr="00CD379D">
        <w:rPr>
          <w:bCs/>
        </w:rPr>
        <w:tab/>
      </w:r>
      <w:r w:rsidRPr="000D77EA">
        <w:rPr>
          <w:b/>
          <w:bCs/>
        </w:rPr>
        <w:t>Desarrollo comprometido</w:t>
      </w:r>
      <w:r w:rsidRPr="00CD379D">
        <w:rPr>
          <w:bCs/>
        </w:rPr>
        <w:t>. Las posibilidades de que esta asociación de trabajadores pueda migrar a otras figuras comerciales más sostenibles se aprecian muy bajas. La estructura organizacional, las condiciones de trabajo y de continuidad del pago, además de un escaso soporte institucional del MOPC para su afianzamiento, hace que esta modalidad apenas cumpla con los objetivos de cualquier empleo remunerado</w:t>
      </w:r>
      <w:r w:rsidR="000D77EA">
        <w:rPr>
          <w:bCs/>
        </w:rPr>
        <w:t>.</w:t>
      </w:r>
    </w:p>
    <w:p w:rsidR="007729CE" w:rsidRDefault="007729CE" w:rsidP="007729CE">
      <w:pPr>
        <w:numPr>
          <w:ilvl w:val="1"/>
          <w:numId w:val="1"/>
        </w:numPr>
        <w:tabs>
          <w:tab w:val="clear" w:pos="360"/>
          <w:tab w:val="num" w:pos="709"/>
        </w:tabs>
        <w:spacing w:before="240" w:after="120" w:line="240" w:lineRule="atLeast"/>
        <w:ind w:left="709" w:hanging="709"/>
        <w:jc w:val="both"/>
        <w:rPr>
          <w:bCs/>
        </w:rPr>
      </w:pPr>
      <w:r>
        <w:rPr>
          <w:b/>
          <w:bCs/>
        </w:rPr>
        <w:t>La modalidad por Contrato</w:t>
      </w:r>
      <w:r>
        <w:rPr>
          <w:bCs/>
        </w:rPr>
        <w:t xml:space="preserve">. </w:t>
      </w:r>
      <w:r w:rsidR="002373EE">
        <w:rPr>
          <w:bCs/>
        </w:rPr>
        <w:t>Esta modalidad no tuvo un eco favorable por parte de las empresas viales</w:t>
      </w:r>
      <w:r>
        <w:rPr>
          <w:bCs/>
        </w:rPr>
        <w:t xml:space="preserve">. </w:t>
      </w:r>
    </w:p>
    <w:p w:rsidR="007729CE" w:rsidRPr="007729CE" w:rsidRDefault="007729CE" w:rsidP="007729CE">
      <w:pPr>
        <w:spacing w:before="240" w:after="120" w:line="240" w:lineRule="atLeast"/>
        <w:ind w:left="709"/>
        <w:jc w:val="both"/>
        <w:rPr>
          <w:bCs/>
        </w:rPr>
      </w:pPr>
      <w:r w:rsidRPr="007729CE">
        <w:rPr>
          <w:bCs/>
        </w:rPr>
        <w:t>-</w:t>
      </w:r>
      <w:r w:rsidRPr="007729CE">
        <w:rPr>
          <w:bCs/>
        </w:rPr>
        <w:tab/>
      </w:r>
      <w:r w:rsidR="000D77EA" w:rsidRPr="000D77EA">
        <w:rPr>
          <w:b/>
          <w:bCs/>
        </w:rPr>
        <w:t>Resultado de la L</w:t>
      </w:r>
      <w:r w:rsidRPr="000D77EA">
        <w:rPr>
          <w:b/>
          <w:bCs/>
        </w:rPr>
        <w:t>icitación LPI N° 19/</w:t>
      </w:r>
      <w:r w:rsidR="000D77EA" w:rsidRPr="000D77EA">
        <w:rPr>
          <w:b/>
          <w:bCs/>
        </w:rPr>
        <w:t>2012</w:t>
      </w:r>
      <w:r w:rsidR="000D77EA">
        <w:rPr>
          <w:bCs/>
        </w:rPr>
        <w:t>.</w:t>
      </w:r>
      <w:r>
        <w:rPr>
          <w:bCs/>
        </w:rPr>
        <w:t xml:space="preserve"> </w:t>
      </w:r>
      <w:r w:rsidR="000D77EA">
        <w:rPr>
          <w:bCs/>
        </w:rPr>
        <w:t>S</w:t>
      </w:r>
      <w:r w:rsidRPr="007729CE">
        <w:rPr>
          <w:bCs/>
        </w:rPr>
        <w:t xml:space="preserve">e aprecia </w:t>
      </w:r>
      <w:r w:rsidR="002373EE">
        <w:rPr>
          <w:bCs/>
        </w:rPr>
        <w:t xml:space="preserve">muy poca concurrencia de oferentes. También </w:t>
      </w:r>
      <w:r w:rsidRPr="007729CE">
        <w:rPr>
          <w:bCs/>
        </w:rPr>
        <w:t xml:space="preserve">una dispersión importante </w:t>
      </w:r>
      <w:r w:rsidR="002373EE">
        <w:rPr>
          <w:bCs/>
        </w:rPr>
        <w:t>en</w:t>
      </w:r>
      <w:r w:rsidRPr="007729CE">
        <w:rPr>
          <w:bCs/>
        </w:rPr>
        <w:t xml:space="preserve"> los precios presentados para el Paquete 2</w:t>
      </w:r>
      <w:r w:rsidR="000D77EA">
        <w:rPr>
          <w:bCs/>
        </w:rPr>
        <w:t>;</w:t>
      </w:r>
      <w:r w:rsidRPr="007729CE">
        <w:rPr>
          <w:bCs/>
        </w:rPr>
        <w:t xml:space="preserve"> </w:t>
      </w:r>
      <w:r w:rsidR="002373EE">
        <w:rPr>
          <w:bCs/>
        </w:rPr>
        <w:t xml:space="preserve">en efecto, </w:t>
      </w:r>
      <w:r w:rsidRPr="007729CE">
        <w:rPr>
          <w:bCs/>
        </w:rPr>
        <w:t>la segunda mejor oferta excede en 48% a la primera, y la tercera 32% a la segunda y un 96% a la primera. En el Paquete 1 no hubo oferentes.</w:t>
      </w:r>
    </w:p>
    <w:p w:rsidR="007729CE" w:rsidRPr="007729CE" w:rsidRDefault="007729CE" w:rsidP="007729CE">
      <w:pPr>
        <w:spacing w:before="240" w:after="120" w:line="240" w:lineRule="atLeast"/>
        <w:ind w:left="709"/>
        <w:jc w:val="both"/>
        <w:rPr>
          <w:bCs/>
        </w:rPr>
      </w:pPr>
      <w:r w:rsidRPr="007729CE">
        <w:rPr>
          <w:bCs/>
        </w:rPr>
        <w:lastRenderedPageBreak/>
        <w:t>-</w:t>
      </w:r>
      <w:r w:rsidRPr="007729CE">
        <w:rPr>
          <w:bCs/>
        </w:rPr>
        <w:tab/>
      </w:r>
      <w:r w:rsidR="000D77EA">
        <w:rPr>
          <w:b/>
          <w:bCs/>
        </w:rPr>
        <w:t>Alcance</w:t>
      </w:r>
      <w:r w:rsidRPr="000D77EA">
        <w:rPr>
          <w:b/>
          <w:bCs/>
        </w:rPr>
        <w:t xml:space="preserve"> del contrato</w:t>
      </w:r>
      <w:r w:rsidRPr="007729CE">
        <w:rPr>
          <w:bCs/>
        </w:rPr>
        <w:t>. Las condiciones que establecen el alcance de los trabajos a realizar, particularmente para el mantenimiento inicial, dejan a cargo del oferente toda la responsabilidad en la determinación de las cantidades de obra a ejecutar, pudiendo apreciarse fácilmente la gran incertidumbre sobre la precisión para realizarla con éxito. Con excepción del presupuesto global contenido en el Pliego de Licitación</w:t>
      </w:r>
      <w:r w:rsidR="002373EE">
        <w:rPr>
          <w:bCs/>
        </w:rPr>
        <w:t xml:space="preserve"> para cada paquete</w:t>
      </w:r>
      <w:r w:rsidRPr="007729CE">
        <w:rPr>
          <w:bCs/>
        </w:rPr>
        <w:t xml:space="preserve">, el oferente carece de una referencia que pueda orientarlo en una estimación justa de su oferta. Además, los caminos rurales, en su gran mayoría sin pavimento y con numerosos puentes de madera, son afectados significativamente por las lluvias, actualmente agravados por los efectos del cambio climático global y regional, dejando cada vez menos vigente la información histórica hidrológica, lo que dificulta la valoración del riesgo por esta causa. Circunstancias que no se aprecian que se trate en el contrato, de una forma que pueda proteger objetivamente al Contratista. </w:t>
      </w:r>
    </w:p>
    <w:p w:rsidR="007729CE" w:rsidRDefault="007729CE" w:rsidP="007729CE">
      <w:pPr>
        <w:spacing w:before="240" w:after="120" w:line="240" w:lineRule="atLeast"/>
        <w:ind w:left="709"/>
        <w:jc w:val="both"/>
        <w:rPr>
          <w:bCs/>
        </w:rPr>
      </w:pPr>
      <w:r w:rsidRPr="007729CE">
        <w:rPr>
          <w:bCs/>
        </w:rPr>
        <w:t>-</w:t>
      </w:r>
      <w:r w:rsidRPr="007729CE">
        <w:rPr>
          <w:bCs/>
        </w:rPr>
        <w:tab/>
        <w:t>Lo observado, más que los requisitos de calificación contenidos en el pliego de licitación, es razón válida para entender la poca presencia de oferentes e incluso la gran dispersión de precios en las pocas ofertas presentadas.</w:t>
      </w:r>
    </w:p>
    <w:p w:rsidR="002373EE" w:rsidRDefault="002373EE" w:rsidP="002373EE">
      <w:pPr>
        <w:numPr>
          <w:ilvl w:val="1"/>
          <w:numId w:val="1"/>
        </w:numPr>
        <w:tabs>
          <w:tab w:val="clear" w:pos="360"/>
          <w:tab w:val="num" w:pos="709"/>
        </w:tabs>
        <w:spacing w:before="240" w:after="120" w:line="240" w:lineRule="atLeast"/>
        <w:ind w:left="709" w:hanging="709"/>
        <w:jc w:val="both"/>
        <w:rPr>
          <w:bCs/>
        </w:rPr>
      </w:pPr>
      <w:r>
        <w:rPr>
          <w:b/>
          <w:bCs/>
        </w:rPr>
        <w:t>La eficiencia de las modalidades</w:t>
      </w:r>
      <w:r>
        <w:rPr>
          <w:bCs/>
        </w:rPr>
        <w:t xml:space="preserve">. Se presentan los indicadores de costo por km por año, según las diferentes modalidades. </w:t>
      </w:r>
    </w:p>
    <w:p w:rsidR="002373EE" w:rsidRPr="002373EE" w:rsidRDefault="002373EE" w:rsidP="002373EE">
      <w:pPr>
        <w:spacing w:before="240" w:after="120" w:line="240" w:lineRule="atLeast"/>
        <w:jc w:val="both"/>
        <w:rPr>
          <w:bCs/>
          <w:sz w:val="22"/>
          <w:szCs w:val="22"/>
        </w:rPr>
      </w:pPr>
      <w:r w:rsidRPr="002373EE">
        <w:rPr>
          <w:b/>
          <w:bCs/>
          <w:sz w:val="22"/>
          <w:szCs w:val="22"/>
        </w:rPr>
        <w:t>Modalidad por Convenio según su presupuesto, incluyendo ACV</w:t>
      </w:r>
    </w:p>
    <w:tbl>
      <w:tblPr>
        <w:tblW w:w="9083" w:type="dxa"/>
        <w:tblInd w:w="65" w:type="dxa"/>
        <w:tblCellMar>
          <w:left w:w="70" w:type="dxa"/>
          <w:right w:w="70" w:type="dxa"/>
        </w:tblCellMar>
        <w:tblLook w:val="04A0" w:firstRow="1" w:lastRow="0" w:firstColumn="1" w:lastColumn="0" w:noHBand="0" w:noVBand="1"/>
      </w:tblPr>
      <w:tblGrid>
        <w:gridCol w:w="1565"/>
        <w:gridCol w:w="1180"/>
        <w:gridCol w:w="1371"/>
        <w:gridCol w:w="1276"/>
        <w:gridCol w:w="1275"/>
        <w:gridCol w:w="1196"/>
        <w:gridCol w:w="1220"/>
      </w:tblGrid>
      <w:tr w:rsidR="002373EE" w:rsidRPr="00A71497" w:rsidTr="00B32C0F">
        <w:tc>
          <w:tcPr>
            <w:tcW w:w="1565" w:type="dxa"/>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2373EE" w:rsidRPr="00A71497" w:rsidRDefault="002373EE" w:rsidP="00B32C0F">
            <w:pPr>
              <w:jc w:val="center"/>
              <w:rPr>
                <w:b/>
                <w:bCs/>
                <w:color w:val="000000"/>
                <w:sz w:val="20"/>
                <w:lang w:val="es-PY" w:eastAsia="es-PY"/>
              </w:rPr>
            </w:pPr>
            <w:r w:rsidRPr="00A71497">
              <w:rPr>
                <w:b/>
                <w:bCs/>
                <w:color w:val="000000"/>
                <w:sz w:val="20"/>
                <w:lang w:val="es-PY" w:eastAsia="es-PY"/>
              </w:rPr>
              <w:t>Área geográfica</w:t>
            </w:r>
          </w:p>
        </w:tc>
        <w:tc>
          <w:tcPr>
            <w:tcW w:w="118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2373EE" w:rsidRPr="00A71497" w:rsidRDefault="002373EE" w:rsidP="00B32C0F">
            <w:pPr>
              <w:jc w:val="center"/>
              <w:rPr>
                <w:b/>
                <w:bCs/>
                <w:color w:val="000000"/>
                <w:sz w:val="20"/>
                <w:lang w:val="es-PY" w:eastAsia="es-PY"/>
              </w:rPr>
            </w:pPr>
            <w:r w:rsidRPr="00A71497">
              <w:rPr>
                <w:b/>
                <w:bCs/>
                <w:color w:val="000000"/>
                <w:sz w:val="20"/>
                <w:lang w:val="es-PY" w:eastAsia="es-PY"/>
              </w:rPr>
              <w:t>Extensión (km)</w:t>
            </w:r>
          </w:p>
        </w:tc>
        <w:tc>
          <w:tcPr>
            <w:tcW w:w="1371"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2373EE" w:rsidRPr="00A71497" w:rsidRDefault="002373EE" w:rsidP="00B32C0F">
            <w:pPr>
              <w:jc w:val="center"/>
              <w:rPr>
                <w:b/>
                <w:bCs/>
                <w:color w:val="000000"/>
                <w:sz w:val="20"/>
                <w:lang w:val="es-PY" w:eastAsia="es-PY"/>
              </w:rPr>
            </w:pPr>
            <w:r w:rsidRPr="00A71497">
              <w:rPr>
                <w:b/>
                <w:bCs/>
                <w:color w:val="000000"/>
                <w:sz w:val="20"/>
                <w:lang w:val="es-PY" w:eastAsia="es-PY"/>
              </w:rPr>
              <w:t>Entidad Ejecutora</w:t>
            </w:r>
          </w:p>
        </w:tc>
        <w:tc>
          <w:tcPr>
            <w:tcW w:w="2551" w:type="dxa"/>
            <w:gridSpan w:val="2"/>
            <w:tcBorders>
              <w:top w:val="single" w:sz="4" w:space="0" w:color="auto"/>
              <w:left w:val="nil"/>
              <w:bottom w:val="single" w:sz="4" w:space="0" w:color="auto"/>
              <w:right w:val="single" w:sz="4" w:space="0" w:color="000000"/>
            </w:tcBorders>
            <w:shd w:val="clear" w:color="000000" w:fill="FDE9D9"/>
            <w:noWrap/>
            <w:vAlign w:val="center"/>
            <w:hideMark/>
          </w:tcPr>
          <w:p w:rsidR="002373EE" w:rsidRPr="00A71497" w:rsidRDefault="002373EE" w:rsidP="00B32C0F">
            <w:pPr>
              <w:jc w:val="center"/>
              <w:rPr>
                <w:b/>
                <w:bCs/>
                <w:color w:val="000000"/>
                <w:sz w:val="20"/>
                <w:lang w:val="es-PY" w:eastAsia="es-PY"/>
              </w:rPr>
            </w:pPr>
            <w:r w:rsidRPr="00A71497">
              <w:rPr>
                <w:b/>
                <w:bCs/>
                <w:color w:val="000000"/>
                <w:sz w:val="20"/>
                <w:lang w:val="es-PY" w:eastAsia="es-PY"/>
              </w:rPr>
              <w:t xml:space="preserve"> Convenio </w:t>
            </w:r>
          </w:p>
        </w:tc>
        <w:tc>
          <w:tcPr>
            <w:tcW w:w="2416" w:type="dxa"/>
            <w:gridSpan w:val="2"/>
            <w:tcBorders>
              <w:top w:val="single" w:sz="4" w:space="0" w:color="auto"/>
              <w:left w:val="nil"/>
              <w:bottom w:val="single" w:sz="4" w:space="0" w:color="auto"/>
              <w:right w:val="single" w:sz="4" w:space="0" w:color="000000"/>
            </w:tcBorders>
            <w:shd w:val="clear" w:color="000000" w:fill="FDE9D9"/>
            <w:noWrap/>
            <w:vAlign w:val="center"/>
            <w:hideMark/>
          </w:tcPr>
          <w:p w:rsidR="002373EE" w:rsidRPr="00A71497" w:rsidRDefault="002373EE" w:rsidP="00B32C0F">
            <w:pPr>
              <w:jc w:val="center"/>
              <w:rPr>
                <w:b/>
                <w:bCs/>
                <w:color w:val="000000"/>
                <w:sz w:val="20"/>
                <w:lang w:val="es-PY" w:eastAsia="es-PY"/>
              </w:rPr>
            </w:pPr>
            <w:r w:rsidRPr="00A71497">
              <w:rPr>
                <w:b/>
                <w:bCs/>
                <w:color w:val="000000"/>
                <w:sz w:val="20"/>
                <w:lang w:val="es-PY" w:eastAsia="es-PY"/>
              </w:rPr>
              <w:t xml:space="preserve"> ACV </w:t>
            </w:r>
          </w:p>
        </w:tc>
      </w:tr>
      <w:tr w:rsidR="002373EE" w:rsidRPr="00A71497" w:rsidTr="00B32C0F">
        <w:tc>
          <w:tcPr>
            <w:tcW w:w="1565" w:type="dxa"/>
            <w:vMerge/>
            <w:tcBorders>
              <w:top w:val="single" w:sz="4" w:space="0" w:color="auto"/>
              <w:left w:val="single" w:sz="4" w:space="0" w:color="auto"/>
              <w:bottom w:val="single" w:sz="4" w:space="0" w:color="auto"/>
              <w:right w:val="single" w:sz="4" w:space="0" w:color="auto"/>
            </w:tcBorders>
            <w:vAlign w:val="center"/>
            <w:hideMark/>
          </w:tcPr>
          <w:p w:rsidR="002373EE" w:rsidRPr="00A71497" w:rsidRDefault="002373EE" w:rsidP="00B32C0F">
            <w:pPr>
              <w:rPr>
                <w:b/>
                <w:bCs/>
                <w:color w:val="000000"/>
                <w:sz w:val="20"/>
                <w:lang w:val="es-PY" w:eastAsia="es-PY"/>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2373EE" w:rsidRPr="00A71497" w:rsidRDefault="002373EE" w:rsidP="00B32C0F">
            <w:pPr>
              <w:rPr>
                <w:b/>
                <w:bCs/>
                <w:color w:val="000000"/>
                <w:sz w:val="20"/>
                <w:lang w:val="es-PY" w:eastAsia="es-PY"/>
              </w:rPr>
            </w:pPr>
          </w:p>
        </w:tc>
        <w:tc>
          <w:tcPr>
            <w:tcW w:w="1371" w:type="dxa"/>
            <w:vMerge/>
            <w:tcBorders>
              <w:top w:val="single" w:sz="4" w:space="0" w:color="auto"/>
              <w:left w:val="single" w:sz="4" w:space="0" w:color="auto"/>
              <w:bottom w:val="single" w:sz="4" w:space="0" w:color="000000"/>
              <w:right w:val="single" w:sz="4" w:space="0" w:color="auto"/>
            </w:tcBorders>
            <w:vAlign w:val="center"/>
            <w:hideMark/>
          </w:tcPr>
          <w:p w:rsidR="002373EE" w:rsidRPr="00A71497" w:rsidRDefault="002373EE" w:rsidP="00B32C0F">
            <w:pPr>
              <w:rPr>
                <w:b/>
                <w:bCs/>
                <w:color w:val="000000"/>
                <w:sz w:val="20"/>
                <w:lang w:val="es-PY" w:eastAsia="es-PY"/>
              </w:rPr>
            </w:pPr>
          </w:p>
        </w:tc>
        <w:tc>
          <w:tcPr>
            <w:tcW w:w="1276" w:type="dxa"/>
            <w:tcBorders>
              <w:top w:val="nil"/>
              <w:left w:val="nil"/>
              <w:bottom w:val="single" w:sz="4" w:space="0" w:color="auto"/>
              <w:right w:val="single" w:sz="4" w:space="0" w:color="auto"/>
            </w:tcBorders>
            <w:shd w:val="clear" w:color="000000" w:fill="FDE9D9"/>
            <w:vAlign w:val="center"/>
            <w:hideMark/>
          </w:tcPr>
          <w:p w:rsidR="002373EE" w:rsidRPr="00A71497" w:rsidRDefault="002373EE" w:rsidP="00B32C0F">
            <w:pPr>
              <w:rPr>
                <w:b/>
                <w:bCs/>
                <w:color w:val="000000"/>
                <w:sz w:val="20"/>
                <w:lang w:val="es-PY" w:eastAsia="es-PY"/>
              </w:rPr>
            </w:pPr>
            <w:r w:rsidRPr="00A71497">
              <w:rPr>
                <w:b/>
                <w:bCs/>
                <w:color w:val="000000"/>
                <w:sz w:val="20"/>
                <w:lang w:val="es-PY" w:eastAsia="es-PY"/>
              </w:rPr>
              <w:t xml:space="preserve"> Total (US$) </w:t>
            </w:r>
          </w:p>
        </w:tc>
        <w:tc>
          <w:tcPr>
            <w:tcW w:w="1275" w:type="dxa"/>
            <w:tcBorders>
              <w:top w:val="nil"/>
              <w:left w:val="nil"/>
              <w:bottom w:val="single" w:sz="4" w:space="0" w:color="auto"/>
              <w:right w:val="nil"/>
            </w:tcBorders>
            <w:shd w:val="clear" w:color="000000" w:fill="FDE9D9"/>
            <w:vAlign w:val="center"/>
            <w:hideMark/>
          </w:tcPr>
          <w:p w:rsidR="002373EE" w:rsidRPr="00A71497" w:rsidRDefault="002373EE" w:rsidP="00B32C0F">
            <w:pPr>
              <w:rPr>
                <w:b/>
                <w:bCs/>
                <w:color w:val="000000"/>
                <w:sz w:val="20"/>
                <w:lang w:val="es-PY" w:eastAsia="es-PY"/>
              </w:rPr>
            </w:pPr>
            <w:r w:rsidRPr="00A71497">
              <w:rPr>
                <w:b/>
                <w:bCs/>
                <w:color w:val="000000"/>
                <w:sz w:val="20"/>
                <w:lang w:val="es-PY" w:eastAsia="es-PY"/>
              </w:rPr>
              <w:t xml:space="preserve"> US$/km/año </w:t>
            </w:r>
          </w:p>
        </w:tc>
        <w:tc>
          <w:tcPr>
            <w:tcW w:w="1196" w:type="dxa"/>
            <w:tcBorders>
              <w:top w:val="nil"/>
              <w:left w:val="single" w:sz="4" w:space="0" w:color="auto"/>
              <w:bottom w:val="single" w:sz="4" w:space="0" w:color="auto"/>
              <w:right w:val="single" w:sz="4" w:space="0" w:color="auto"/>
            </w:tcBorders>
            <w:shd w:val="clear" w:color="000000" w:fill="FDE9D9"/>
            <w:vAlign w:val="center"/>
            <w:hideMark/>
          </w:tcPr>
          <w:p w:rsidR="002373EE" w:rsidRPr="00A71497" w:rsidRDefault="002373EE" w:rsidP="00B32C0F">
            <w:pPr>
              <w:rPr>
                <w:b/>
                <w:bCs/>
                <w:color w:val="000000"/>
                <w:sz w:val="20"/>
                <w:lang w:val="es-PY" w:eastAsia="es-PY"/>
              </w:rPr>
            </w:pPr>
            <w:r>
              <w:rPr>
                <w:b/>
                <w:bCs/>
                <w:color w:val="000000"/>
                <w:sz w:val="20"/>
                <w:lang w:val="es-PY" w:eastAsia="es-PY"/>
              </w:rPr>
              <w:t>U</w:t>
            </w:r>
            <w:r w:rsidRPr="00A71497">
              <w:rPr>
                <w:b/>
                <w:bCs/>
                <w:color w:val="000000"/>
                <w:sz w:val="20"/>
                <w:lang w:val="es-PY" w:eastAsia="es-PY"/>
              </w:rPr>
              <w:t xml:space="preserve">S$/km/año </w:t>
            </w:r>
          </w:p>
        </w:tc>
        <w:tc>
          <w:tcPr>
            <w:tcW w:w="1220" w:type="dxa"/>
            <w:tcBorders>
              <w:top w:val="nil"/>
              <w:left w:val="nil"/>
              <w:bottom w:val="single" w:sz="4" w:space="0" w:color="auto"/>
              <w:right w:val="single" w:sz="4" w:space="0" w:color="auto"/>
            </w:tcBorders>
            <w:shd w:val="clear" w:color="000000" w:fill="FDE9D9"/>
            <w:vAlign w:val="center"/>
            <w:hideMark/>
          </w:tcPr>
          <w:p w:rsidR="002373EE" w:rsidRPr="00A71497" w:rsidRDefault="002373EE" w:rsidP="00B32C0F">
            <w:pPr>
              <w:jc w:val="center"/>
              <w:rPr>
                <w:b/>
                <w:bCs/>
                <w:color w:val="000000"/>
                <w:sz w:val="20"/>
                <w:lang w:val="es-PY" w:eastAsia="es-PY"/>
              </w:rPr>
            </w:pPr>
            <w:r w:rsidRPr="00A71497">
              <w:rPr>
                <w:b/>
                <w:bCs/>
                <w:color w:val="000000"/>
                <w:sz w:val="20"/>
                <w:lang w:val="es-PY" w:eastAsia="es-PY"/>
              </w:rPr>
              <w:t xml:space="preserve"> Incidencia % </w:t>
            </w:r>
          </w:p>
        </w:tc>
      </w:tr>
      <w:tr w:rsidR="002373EE" w:rsidRPr="00A71497" w:rsidTr="00B32C0F">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2373EE" w:rsidRPr="00A71497" w:rsidRDefault="002373EE" w:rsidP="00B32C0F">
            <w:pPr>
              <w:rPr>
                <w:color w:val="000000"/>
                <w:sz w:val="20"/>
                <w:lang w:val="es-PY" w:eastAsia="es-PY"/>
              </w:rPr>
            </w:pPr>
            <w:r w:rsidRPr="006D5F91">
              <w:rPr>
                <w:color w:val="000000"/>
                <w:sz w:val="20"/>
                <w:lang w:val="es-PY" w:eastAsia="es-PY"/>
              </w:rPr>
              <w:t>Itapúa</w:t>
            </w:r>
          </w:p>
        </w:tc>
        <w:tc>
          <w:tcPr>
            <w:tcW w:w="1180"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rPr>
                <w:color w:val="000000"/>
                <w:sz w:val="20"/>
                <w:lang w:val="es-PY" w:eastAsia="es-PY"/>
              </w:rPr>
            </w:pPr>
            <w:r w:rsidRPr="00A71497">
              <w:rPr>
                <w:color w:val="000000"/>
                <w:sz w:val="20"/>
                <w:lang w:val="es-PY" w:eastAsia="es-PY"/>
              </w:rPr>
              <w:t xml:space="preserve">       427,64 </w:t>
            </w:r>
          </w:p>
        </w:tc>
        <w:tc>
          <w:tcPr>
            <w:tcW w:w="1371"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rPr>
                <w:color w:val="000000"/>
                <w:sz w:val="20"/>
                <w:lang w:val="es-PY" w:eastAsia="es-PY"/>
              </w:rPr>
            </w:pPr>
            <w:r w:rsidRPr="00A71497">
              <w:rPr>
                <w:color w:val="000000"/>
                <w:sz w:val="20"/>
                <w:lang w:val="es-PY" w:eastAsia="es-PY"/>
              </w:rPr>
              <w:t xml:space="preserve">Trinidad </w:t>
            </w:r>
          </w:p>
        </w:tc>
        <w:tc>
          <w:tcPr>
            <w:tcW w:w="1276"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jc w:val="right"/>
              <w:rPr>
                <w:color w:val="000000"/>
                <w:sz w:val="20"/>
                <w:lang w:val="es-PY" w:eastAsia="es-PY"/>
              </w:rPr>
            </w:pPr>
            <w:r w:rsidRPr="00A71497">
              <w:rPr>
                <w:color w:val="000000"/>
                <w:sz w:val="20"/>
                <w:lang w:val="es-PY" w:eastAsia="es-PY"/>
              </w:rPr>
              <w:t xml:space="preserve">      2.054.933 </w:t>
            </w:r>
          </w:p>
        </w:tc>
        <w:tc>
          <w:tcPr>
            <w:tcW w:w="1275" w:type="dxa"/>
            <w:tcBorders>
              <w:top w:val="nil"/>
              <w:left w:val="nil"/>
              <w:bottom w:val="single" w:sz="4" w:space="0" w:color="auto"/>
              <w:right w:val="nil"/>
            </w:tcBorders>
            <w:shd w:val="clear" w:color="auto" w:fill="auto"/>
            <w:noWrap/>
            <w:vAlign w:val="center"/>
            <w:hideMark/>
          </w:tcPr>
          <w:p w:rsidR="002373EE" w:rsidRPr="00A71497" w:rsidRDefault="002373EE" w:rsidP="00B32C0F">
            <w:pPr>
              <w:jc w:val="right"/>
              <w:rPr>
                <w:color w:val="000000"/>
                <w:sz w:val="20"/>
                <w:lang w:val="es-PY" w:eastAsia="es-PY"/>
              </w:rPr>
            </w:pPr>
            <w:r w:rsidRPr="00A71497">
              <w:rPr>
                <w:color w:val="000000"/>
                <w:sz w:val="20"/>
                <w:lang w:val="es-PY" w:eastAsia="es-PY"/>
              </w:rPr>
              <w:t xml:space="preserve">  2.403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rsidR="002373EE" w:rsidRPr="00A71497" w:rsidRDefault="002373EE" w:rsidP="00B32C0F">
            <w:pPr>
              <w:jc w:val="right"/>
              <w:rPr>
                <w:color w:val="000000"/>
                <w:sz w:val="20"/>
                <w:lang w:val="es-PY" w:eastAsia="es-PY"/>
              </w:rPr>
            </w:pPr>
            <w:r w:rsidRPr="00A71497">
              <w:rPr>
                <w:color w:val="000000"/>
                <w:sz w:val="20"/>
                <w:lang w:val="es-PY" w:eastAsia="es-PY"/>
              </w:rPr>
              <w:t xml:space="preserve">  1.147 </w:t>
            </w:r>
          </w:p>
        </w:tc>
        <w:tc>
          <w:tcPr>
            <w:tcW w:w="1220"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jc w:val="center"/>
              <w:rPr>
                <w:color w:val="000000"/>
                <w:sz w:val="20"/>
                <w:lang w:val="es-PY" w:eastAsia="es-PY"/>
              </w:rPr>
            </w:pPr>
            <w:r w:rsidRPr="00A71497">
              <w:rPr>
                <w:color w:val="000000"/>
                <w:sz w:val="20"/>
                <w:lang w:val="es-PY" w:eastAsia="es-PY"/>
              </w:rPr>
              <w:t>48%</w:t>
            </w:r>
          </w:p>
        </w:tc>
      </w:tr>
      <w:tr w:rsidR="002373EE" w:rsidRPr="00A71497" w:rsidTr="00B32C0F">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2373EE" w:rsidRPr="00A71497" w:rsidRDefault="002373EE" w:rsidP="00B32C0F">
            <w:pPr>
              <w:rPr>
                <w:color w:val="000000"/>
                <w:sz w:val="20"/>
                <w:lang w:val="es-PY" w:eastAsia="es-PY"/>
              </w:rPr>
            </w:pPr>
            <w:r w:rsidRPr="00A71497">
              <w:rPr>
                <w:color w:val="000000"/>
                <w:sz w:val="20"/>
                <w:lang w:val="es-PY" w:eastAsia="es-PY"/>
              </w:rPr>
              <w:t>Alto Paraná Sur</w:t>
            </w:r>
          </w:p>
        </w:tc>
        <w:tc>
          <w:tcPr>
            <w:tcW w:w="1180"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rPr>
                <w:color w:val="000000"/>
                <w:sz w:val="20"/>
                <w:lang w:val="es-PY" w:eastAsia="es-PY"/>
              </w:rPr>
            </w:pPr>
            <w:r w:rsidRPr="00A71497">
              <w:rPr>
                <w:color w:val="000000"/>
                <w:sz w:val="20"/>
                <w:lang w:val="es-PY" w:eastAsia="es-PY"/>
              </w:rPr>
              <w:t xml:space="preserve">       504,15 </w:t>
            </w:r>
          </w:p>
        </w:tc>
        <w:tc>
          <w:tcPr>
            <w:tcW w:w="1371"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rPr>
                <w:color w:val="000000"/>
                <w:sz w:val="20"/>
                <w:lang w:val="es-PY" w:eastAsia="es-PY"/>
              </w:rPr>
            </w:pPr>
            <w:r w:rsidRPr="00A71497">
              <w:rPr>
                <w:color w:val="000000"/>
                <w:sz w:val="20"/>
                <w:lang w:val="es-PY" w:eastAsia="es-PY"/>
              </w:rPr>
              <w:t xml:space="preserve">Naranjal </w:t>
            </w:r>
          </w:p>
        </w:tc>
        <w:tc>
          <w:tcPr>
            <w:tcW w:w="1276"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jc w:val="right"/>
              <w:rPr>
                <w:color w:val="000000"/>
                <w:sz w:val="20"/>
                <w:lang w:val="es-PY" w:eastAsia="es-PY"/>
              </w:rPr>
            </w:pPr>
            <w:r w:rsidRPr="00A71497">
              <w:rPr>
                <w:color w:val="000000"/>
                <w:sz w:val="20"/>
                <w:lang w:val="es-PY" w:eastAsia="es-PY"/>
              </w:rPr>
              <w:t xml:space="preserve">     2.510.677 </w:t>
            </w:r>
          </w:p>
        </w:tc>
        <w:tc>
          <w:tcPr>
            <w:tcW w:w="1275" w:type="dxa"/>
            <w:tcBorders>
              <w:top w:val="nil"/>
              <w:left w:val="nil"/>
              <w:bottom w:val="single" w:sz="4" w:space="0" w:color="auto"/>
              <w:right w:val="nil"/>
            </w:tcBorders>
            <w:shd w:val="clear" w:color="auto" w:fill="auto"/>
            <w:noWrap/>
            <w:vAlign w:val="center"/>
            <w:hideMark/>
          </w:tcPr>
          <w:p w:rsidR="002373EE" w:rsidRPr="00A71497" w:rsidRDefault="002373EE" w:rsidP="00B32C0F">
            <w:pPr>
              <w:jc w:val="right"/>
              <w:rPr>
                <w:color w:val="000000"/>
                <w:sz w:val="20"/>
                <w:lang w:val="es-PY" w:eastAsia="es-PY"/>
              </w:rPr>
            </w:pPr>
            <w:r w:rsidRPr="00A71497">
              <w:rPr>
                <w:color w:val="000000"/>
                <w:sz w:val="20"/>
                <w:lang w:val="es-PY" w:eastAsia="es-PY"/>
              </w:rPr>
              <w:t xml:space="preserve">   2.490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rsidR="002373EE" w:rsidRPr="00A71497" w:rsidRDefault="002373EE" w:rsidP="00B32C0F">
            <w:pPr>
              <w:jc w:val="right"/>
              <w:rPr>
                <w:color w:val="000000"/>
                <w:sz w:val="20"/>
                <w:lang w:val="es-PY" w:eastAsia="es-PY"/>
              </w:rPr>
            </w:pPr>
            <w:r w:rsidRPr="00A71497">
              <w:rPr>
                <w:color w:val="000000"/>
                <w:sz w:val="20"/>
                <w:lang w:val="es-PY" w:eastAsia="es-PY"/>
              </w:rPr>
              <w:t xml:space="preserve">   1.125 </w:t>
            </w:r>
          </w:p>
        </w:tc>
        <w:tc>
          <w:tcPr>
            <w:tcW w:w="1220"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jc w:val="center"/>
              <w:rPr>
                <w:color w:val="000000"/>
                <w:sz w:val="20"/>
                <w:lang w:val="es-PY" w:eastAsia="es-PY"/>
              </w:rPr>
            </w:pPr>
            <w:r w:rsidRPr="00A71497">
              <w:rPr>
                <w:color w:val="000000"/>
                <w:sz w:val="20"/>
                <w:lang w:val="es-PY" w:eastAsia="es-PY"/>
              </w:rPr>
              <w:t>45%</w:t>
            </w:r>
          </w:p>
        </w:tc>
      </w:tr>
      <w:tr w:rsidR="002373EE" w:rsidRPr="00A71497" w:rsidTr="00B32C0F">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2373EE" w:rsidRPr="00A71497" w:rsidRDefault="002373EE" w:rsidP="00B32C0F">
            <w:pPr>
              <w:rPr>
                <w:color w:val="000000"/>
                <w:sz w:val="20"/>
                <w:lang w:val="es-PY" w:eastAsia="es-PY"/>
              </w:rPr>
            </w:pPr>
            <w:r w:rsidRPr="00A71497">
              <w:rPr>
                <w:color w:val="000000"/>
                <w:sz w:val="20"/>
                <w:lang w:val="es-PY" w:eastAsia="es-PY"/>
              </w:rPr>
              <w:t>Canindeyú Este</w:t>
            </w:r>
          </w:p>
        </w:tc>
        <w:tc>
          <w:tcPr>
            <w:tcW w:w="1180"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rPr>
                <w:color w:val="000000"/>
                <w:sz w:val="20"/>
                <w:lang w:val="es-PY" w:eastAsia="es-PY"/>
              </w:rPr>
            </w:pPr>
            <w:r w:rsidRPr="00A71497">
              <w:rPr>
                <w:color w:val="000000"/>
                <w:sz w:val="20"/>
                <w:lang w:val="es-PY" w:eastAsia="es-PY"/>
              </w:rPr>
              <w:t xml:space="preserve">       436,60 </w:t>
            </w:r>
          </w:p>
        </w:tc>
        <w:tc>
          <w:tcPr>
            <w:tcW w:w="1371"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rPr>
                <w:color w:val="000000"/>
                <w:sz w:val="20"/>
                <w:lang w:val="es-PY" w:eastAsia="es-PY"/>
              </w:rPr>
            </w:pPr>
            <w:r w:rsidRPr="00A71497">
              <w:rPr>
                <w:color w:val="000000"/>
                <w:sz w:val="20"/>
                <w:lang w:val="es-PY" w:eastAsia="es-PY"/>
              </w:rPr>
              <w:t xml:space="preserve">Corpus Cristi </w:t>
            </w:r>
          </w:p>
        </w:tc>
        <w:tc>
          <w:tcPr>
            <w:tcW w:w="1276"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jc w:val="right"/>
              <w:rPr>
                <w:color w:val="000000"/>
                <w:sz w:val="20"/>
                <w:lang w:val="es-PY" w:eastAsia="es-PY"/>
              </w:rPr>
            </w:pPr>
            <w:r w:rsidRPr="00A71497">
              <w:rPr>
                <w:color w:val="000000"/>
                <w:sz w:val="20"/>
                <w:lang w:val="es-PY" w:eastAsia="es-PY"/>
              </w:rPr>
              <w:t xml:space="preserve">      2.625.751 </w:t>
            </w:r>
          </w:p>
        </w:tc>
        <w:tc>
          <w:tcPr>
            <w:tcW w:w="1275" w:type="dxa"/>
            <w:tcBorders>
              <w:top w:val="nil"/>
              <w:left w:val="nil"/>
              <w:bottom w:val="single" w:sz="4" w:space="0" w:color="auto"/>
              <w:right w:val="nil"/>
            </w:tcBorders>
            <w:shd w:val="clear" w:color="auto" w:fill="auto"/>
            <w:noWrap/>
            <w:vAlign w:val="center"/>
            <w:hideMark/>
          </w:tcPr>
          <w:p w:rsidR="002373EE" w:rsidRPr="00A71497" w:rsidRDefault="002373EE" w:rsidP="00B32C0F">
            <w:pPr>
              <w:jc w:val="right"/>
              <w:rPr>
                <w:color w:val="000000"/>
                <w:sz w:val="20"/>
                <w:lang w:val="es-PY" w:eastAsia="es-PY"/>
              </w:rPr>
            </w:pPr>
            <w:r w:rsidRPr="00A71497">
              <w:rPr>
                <w:color w:val="000000"/>
                <w:sz w:val="20"/>
                <w:lang w:val="es-PY" w:eastAsia="es-PY"/>
              </w:rPr>
              <w:t xml:space="preserve">    3.007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rsidR="002373EE" w:rsidRPr="00A71497" w:rsidRDefault="002373EE" w:rsidP="00B32C0F">
            <w:pPr>
              <w:jc w:val="right"/>
              <w:rPr>
                <w:color w:val="000000"/>
                <w:sz w:val="20"/>
                <w:lang w:val="es-PY" w:eastAsia="es-PY"/>
              </w:rPr>
            </w:pPr>
            <w:r w:rsidRPr="00A71497">
              <w:rPr>
                <w:color w:val="000000"/>
                <w:sz w:val="20"/>
                <w:lang w:val="es-PY" w:eastAsia="es-PY"/>
              </w:rPr>
              <w:t xml:space="preserve">   1.131 </w:t>
            </w:r>
          </w:p>
        </w:tc>
        <w:tc>
          <w:tcPr>
            <w:tcW w:w="1220"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jc w:val="center"/>
              <w:rPr>
                <w:color w:val="000000"/>
                <w:sz w:val="20"/>
                <w:lang w:val="es-PY" w:eastAsia="es-PY"/>
              </w:rPr>
            </w:pPr>
            <w:r w:rsidRPr="00A71497">
              <w:rPr>
                <w:color w:val="000000"/>
                <w:sz w:val="20"/>
                <w:lang w:val="es-PY" w:eastAsia="es-PY"/>
              </w:rPr>
              <w:t>38%</w:t>
            </w:r>
          </w:p>
        </w:tc>
      </w:tr>
      <w:tr w:rsidR="002373EE" w:rsidRPr="00A71497" w:rsidTr="00B32C0F">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2373EE" w:rsidRPr="00A71497" w:rsidRDefault="002373EE" w:rsidP="00B32C0F">
            <w:pPr>
              <w:rPr>
                <w:color w:val="000000"/>
                <w:sz w:val="20"/>
                <w:lang w:val="es-PY" w:eastAsia="es-PY"/>
              </w:rPr>
            </w:pPr>
            <w:r w:rsidRPr="00A71497">
              <w:rPr>
                <w:color w:val="000000"/>
                <w:sz w:val="20"/>
                <w:lang w:val="es-PY" w:eastAsia="es-PY"/>
              </w:rPr>
              <w:t>Caazapá</w:t>
            </w:r>
          </w:p>
        </w:tc>
        <w:tc>
          <w:tcPr>
            <w:tcW w:w="1180"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rPr>
                <w:color w:val="000000"/>
                <w:sz w:val="20"/>
                <w:lang w:val="es-PY" w:eastAsia="es-PY"/>
              </w:rPr>
            </w:pPr>
            <w:r w:rsidRPr="00A71497">
              <w:rPr>
                <w:color w:val="000000"/>
                <w:sz w:val="20"/>
                <w:lang w:val="es-PY" w:eastAsia="es-PY"/>
              </w:rPr>
              <w:t xml:space="preserve">       451,33 </w:t>
            </w:r>
          </w:p>
        </w:tc>
        <w:tc>
          <w:tcPr>
            <w:tcW w:w="1371"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rPr>
                <w:color w:val="000000"/>
                <w:sz w:val="20"/>
                <w:lang w:val="es-PY" w:eastAsia="es-PY"/>
              </w:rPr>
            </w:pPr>
            <w:r w:rsidRPr="00A71497">
              <w:rPr>
                <w:color w:val="000000"/>
                <w:sz w:val="20"/>
                <w:lang w:val="es-PY" w:eastAsia="es-PY"/>
              </w:rPr>
              <w:t xml:space="preserve">Caazapá </w:t>
            </w:r>
          </w:p>
        </w:tc>
        <w:tc>
          <w:tcPr>
            <w:tcW w:w="1276"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jc w:val="right"/>
              <w:rPr>
                <w:color w:val="000000"/>
                <w:sz w:val="20"/>
                <w:lang w:val="es-PY" w:eastAsia="es-PY"/>
              </w:rPr>
            </w:pPr>
            <w:r w:rsidRPr="00A71497">
              <w:rPr>
                <w:color w:val="000000"/>
                <w:sz w:val="20"/>
                <w:lang w:val="es-PY" w:eastAsia="es-PY"/>
              </w:rPr>
              <w:t xml:space="preserve">     3.466.877 </w:t>
            </w:r>
          </w:p>
        </w:tc>
        <w:tc>
          <w:tcPr>
            <w:tcW w:w="1275" w:type="dxa"/>
            <w:tcBorders>
              <w:top w:val="nil"/>
              <w:left w:val="nil"/>
              <w:bottom w:val="single" w:sz="4" w:space="0" w:color="auto"/>
              <w:right w:val="nil"/>
            </w:tcBorders>
            <w:shd w:val="clear" w:color="auto" w:fill="auto"/>
            <w:noWrap/>
            <w:vAlign w:val="center"/>
            <w:hideMark/>
          </w:tcPr>
          <w:p w:rsidR="002373EE" w:rsidRPr="00A71497" w:rsidRDefault="002373EE" w:rsidP="00B32C0F">
            <w:pPr>
              <w:jc w:val="right"/>
              <w:rPr>
                <w:color w:val="000000"/>
                <w:sz w:val="20"/>
                <w:lang w:val="es-PY" w:eastAsia="es-PY"/>
              </w:rPr>
            </w:pPr>
            <w:r w:rsidRPr="00A71497">
              <w:rPr>
                <w:color w:val="000000"/>
                <w:sz w:val="20"/>
                <w:lang w:val="es-PY" w:eastAsia="es-PY"/>
              </w:rPr>
              <w:t xml:space="preserve">    3.841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rsidR="002373EE" w:rsidRPr="00A71497" w:rsidRDefault="002373EE" w:rsidP="00B32C0F">
            <w:pPr>
              <w:jc w:val="right"/>
              <w:rPr>
                <w:color w:val="000000"/>
                <w:sz w:val="20"/>
                <w:lang w:val="es-PY" w:eastAsia="es-PY"/>
              </w:rPr>
            </w:pPr>
            <w:r w:rsidRPr="00A71497">
              <w:rPr>
                <w:color w:val="000000"/>
                <w:sz w:val="20"/>
                <w:lang w:val="es-PY" w:eastAsia="es-PY"/>
              </w:rPr>
              <w:t xml:space="preserve">    1.233 </w:t>
            </w:r>
          </w:p>
        </w:tc>
        <w:tc>
          <w:tcPr>
            <w:tcW w:w="1220"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jc w:val="center"/>
              <w:rPr>
                <w:color w:val="000000"/>
                <w:sz w:val="20"/>
                <w:lang w:val="es-PY" w:eastAsia="es-PY"/>
              </w:rPr>
            </w:pPr>
            <w:r w:rsidRPr="00A71497">
              <w:rPr>
                <w:color w:val="000000"/>
                <w:sz w:val="20"/>
                <w:lang w:val="es-PY" w:eastAsia="es-PY"/>
              </w:rPr>
              <w:t>32%</w:t>
            </w:r>
          </w:p>
        </w:tc>
      </w:tr>
      <w:tr w:rsidR="002373EE" w:rsidRPr="00A71497" w:rsidTr="00B32C0F">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2373EE" w:rsidRPr="00A71497" w:rsidRDefault="002373EE" w:rsidP="00B32C0F">
            <w:pPr>
              <w:rPr>
                <w:color w:val="000000"/>
                <w:sz w:val="20"/>
                <w:lang w:val="es-PY" w:eastAsia="es-PY"/>
              </w:rPr>
            </w:pPr>
            <w:r w:rsidRPr="00A71497">
              <w:rPr>
                <w:color w:val="000000"/>
                <w:sz w:val="20"/>
                <w:lang w:val="es-PY" w:eastAsia="es-PY"/>
              </w:rPr>
              <w:t>Guairá</w:t>
            </w:r>
          </w:p>
        </w:tc>
        <w:tc>
          <w:tcPr>
            <w:tcW w:w="1180"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rPr>
                <w:color w:val="000000"/>
                <w:sz w:val="20"/>
                <w:lang w:val="es-PY" w:eastAsia="es-PY"/>
              </w:rPr>
            </w:pPr>
            <w:r w:rsidRPr="00A71497">
              <w:rPr>
                <w:color w:val="000000"/>
                <w:sz w:val="20"/>
                <w:lang w:val="es-PY" w:eastAsia="es-PY"/>
              </w:rPr>
              <w:t xml:space="preserve">       321,53 </w:t>
            </w:r>
          </w:p>
        </w:tc>
        <w:tc>
          <w:tcPr>
            <w:tcW w:w="1371"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rPr>
                <w:color w:val="000000"/>
                <w:sz w:val="20"/>
                <w:lang w:val="es-PY" w:eastAsia="es-PY"/>
              </w:rPr>
            </w:pPr>
            <w:r w:rsidRPr="00A71497">
              <w:rPr>
                <w:color w:val="000000"/>
                <w:sz w:val="20"/>
                <w:lang w:val="es-PY" w:eastAsia="es-PY"/>
              </w:rPr>
              <w:t xml:space="preserve">Borja </w:t>
            </w:r>
          </w:p>
        </w:tc>
        <w:tc>
          <w:tcPr>
            <w:tcW w:w="1276"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jc w:val="right"/>
              <w:rPr>
                <w:color w:val="000000"/>
                <w:sz w:val="20"/>
                <w:lang w:val="es-PY" w:eastAsia="es-PY"/>
              </w:rPr>
            </w:pPr>
            <w:r w:rsidRPr="00A71497">
              <w:rPr>
                <w:color w:val="000000"/>
                <w:sz w:val="20"/>
                <w:lang w:val="es-PY" w:eastAsia="es-PY"/>
              </w:rPr>
              <w:t xml:space="preserve">     3.148.320 </w:t>
            </w:r>
          </w:p>
        </w:tc>
        <w:tc>
          <w:tcPr>
            <w:tcW w:w="1275" w:type="dxa"/>
            <w:tcBorders>
              <w:top w:val="nil"/>
              <w:left w:val="nil"/>
              <w:bottom w:val="single" w:sz="4" w:space="0" w:color="auto"/>
              <w:right w:val="nil"/>
            </w:tcBorders>
            <w:shd w:val="clear" w:color="auto" w:fill="auto"/>
            <w:noWrap/>
            <w:vAlign w:val="center"/>
            <w:hideMark/>
          </w:tcPr>
          <w:p w:rsidR="002373EE" w:rsidRPr="00A71497" w:rsidRDefault="002373EE" w:rsidP="00B32C0F">
            <w:pPr>
              <w:jc w:val="right"/>
              <w:rPr>
                <w:color w:val="000000"/>
                <w:sz w:val="20"/>
                <w:lang w:val="es-PY" w:eastAsia="es-PY"/>
              </w:rPr>
            </w:pPr>
            <w:r w:rsidRPr="00A71497">
              <w:rPr>
                <w:color w:val="000000"/>
                <w:sz w:val="20"/>
                <w:lang w:val="es-PY" w:eastAsia="es-PY"/>
              </w:rPr>
              <w:t xml:space="preserve">    4.896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rsidR="002373EE" w:rsidRPr="00A71497" w:rsidRDefault="002373EE" w:rsidP="00B32C0F">
            <w:pPr>
              <w:jc w:val="center"/>
              <w:rPr>
                <w:b/>
                <w:color w:val="000000"/>
                <w:sz w:val="20"/>
                <w:lang w:val="es-PY" w:eastAsia="es-PY"/>
              </w:rPr>
            </w:pPr>
            <w:r w:rsidRPr="006D5F91">
              <w:rPr>
                <w:b/>
                <w:color w:val="000000"/>
                <w:sz w:val="20"/>
                <w:lang w:val="es-PY" w:eastAsia="es-PY"/>
              </w:rPr>
              <w:t>---</w:t>
            </w:r>
          </w:p>
        </w:tc>
        <w:tc>
          <w:tcPr>
            <w:tcW w:w="1220"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jc w:val="center"/>
              <w:rPr>
                <w:b/>
                <w:color w:val="000000"/>
                <w:sz w:val="20"/>
                <w:lang w:val="es-PY" w:eastAsia="es-PY"/>
              </w:rPr>
            </w:pPr>
            <w:r w:rsidRPr="006D5F91">
              <w:rPr>
                <w:b/>
                <w:color w:val="000000"/>
                <w:sz w:val="20"/>
                <w:lang w:val="es-PY" w:eastAsia="es-PY"/>
              </w:rPr>
              <w:t>--</w:t>
            </w:r>
            <w:r w:rsidRPr="00A71497">
              <w:rPr>
                <w:b/>
                <w:color w:val="000000"/>
                <w:sz w:val="20"/>
                <w:lang w:val="es-PY" w:eastAsia="es-PY"/>
              </w:rPr>
              <w:t>-</w:t>
            </w:r>
          </w:p>
        </w:tc>
      </w:tr>
      <w:tr w:rsidR="002373EE" w:rsidRPr="00A71497" w:rsidTr="00B32C0F">
        <w:tc>
          <w:tcPr>
            <w:tcW w:w="1565" w:type="dxa"/>
            <w:tcBorders>
              <w:top w:val="nil"/>
              <w:left w:val="single" w:sz="4" w:space="0" w:color="auto"/>
              <w:bottom w:val="single" w:sz="4" w:space="0" w:color="auto"/>
              <w:right w:val="single" w:sz="4" w:space="0" w:color="auto"/>
            </w:tcBorders>
            <w:shd w:val="clear" w:color="auto" w:fill="auto"/>
            <w:noWrap/>
            <w:vAlign w:val="center"/>
            <w:hideMark/>
          </w:tcPr>
          <w:p w:rsidR="002373EE" w:rsidRPr="00A71497" w:rsidRDefault="002373EE" w:rsidP="00B32C0F">
            <w:pPr>
              <w:rPr>
                <w:b/>
                <w:bCs/>
                <w:color w:val="000000"/>
                <w:sz w:val="20"/>
                <w:lang w:val="es-PY" w:eastAsia="es-PY"/>
              </w:rPr>
            </w:pPr>
            <w:r w:rsidRPr="00A71497">
              <w:rPr>
                <w:b/>
                <w:bCs/>
                <w:color w:val="000000"/>
                <w:sz w:val="20"/>
                <w:lang w:val="es-PY" w:eastAsia="es-PY"/>
              </w:rPr>
              <w:t>Suma</w:t>
            </w:r>
          </w:p>
        </w:tc>
        <w:tc>
          <w:tcPr>
            <w:tcW w:w="1180" w:type="dxa"/>
            <w:tcBorders>
              <w:top w:val="nil"/>
              <w:left w:val="nil"/>
              <w:bottom w:val="double" w:sz="6" w:space="0" w:color="auto"/>
              <w:right w:val="single" w:sz="4" w:space="0" w:color="auto"/>
            </w:tcBorders>
            <w:shd w:val="clear" w:color="auto" w:fill="auto"/>
            <w:noWrap/>
            <w:vAlign w:val="center"/>
            <w:hideMark/>
          </w:tcPr>
          <w:p w:rsidR="002373EE" w:rsidRPr="00A71497" w:rsidRDefault="002373EE" w:rsidP="00B32C0F">
            <w:pPr>
              <w:rPr>
                <w:b/>
                <w:bCs/>
                <w:color w:val="000000"/>
                <w:sz w:val="20"/>
                <w:lang w:val="es-PY" w:eastAsia="es-PY"/>
              </w:rPr>
            </w:pPr>
            <w:r w:rsidRPr="00A71497">
              <w:rPr>
                <w:b/>
                <w:bCs/>
                <w:color w:val="000000"/>
                <w:sz w:val="20"/>
                <w:lang w:val="es-PY" w:eastAsia="es-PY"/>
              </w:rPr>
              <w:t xml:space="preserve">   2.141,25 </w:t>
            </w:r>
          </w:p>
        </w:tc>
        <w:tc>
          <w:tcPr>
            <w:tcW w:w="1371"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jc w:val="center"/>
              <w:rPr>
                <w:b/>
                <w:bCs/>
                <w:color w:val="000000"/>
                <w:sz w:val="20"/>
                <w:lang w:val="es-PY" w:eastAsia="es-PY"/>
              </w:rPr>
            </w:pPr>
            <w:r w:rsidRPr="00A71497">
              <w:rPr>
                <w:b/>
                <w:bCs/>
                <w:color w:val="000000"/>
                <w:sz w:val="20"/>
                <w:lang w:val="es-PY" w:eastAsia="es-PY"/>
              </w:rPr>
              <w:t xml:space="preserve"> --- </w:t>
            </w:r>
          </w:p>
        </w:tc>
        <w:tc>
          <w:tcPr>
            <w:tcW w:w="1276" w:type="dxa"/>
            <w:tcBorders>
              <w:top w:val="nil"/>
              <w:left w:val="nil"/>
              <w:bottom w:val="double" w:sz="6" w:space="0" w:color="auto"/>
              <w:right w:val="single" w:sz="4" w:space="0" w:color="auto"/>
            </w:tcBorders>
            <w:shd w:val="clear" w:color="auto" w:fill="auto"/>
            <w:noWrap/>
            <w:vAlign w:val="center"/>
            <w:hideMark/>
          </w:tcPr>
          <w:p w:rsidR="002373EE" w:rsidRPr="00A71497" w:rsidRDefault="002373EE" w:rsidP="00B32C0F">
            <w:pPr>
              <w:jc w:val="right"/>
              <w:rPr>
                <w:b/>
                <w:bCs/>
                <w:color w:val="000000"/>
                <w:sz w:val="20"/>
                <w:lang w:val="es-PY" w:eastAsia="es-PY"/>
              </w:rPr>
            </w:pPr>
            <w:r w:rsidRPr="00A71497">
              <w:rPr>
                <w:b/>
                <w:bCs/>
                <w:color w:val="000000"/>
                <w:sz w:val="20"/>
                <w:lang w:val="es-PY" w:eastAsia="es-PY"/>
              </w:rPr>
              <w:t xml:space="preserve">    13.806.558 </w:t>
            </w:r>
          </w:p>
        </w:tc>
        <w:tc>
          <w:tcPr>
            <w:tcW w:w="1275" w:type="dxa"/>
            <w:tcBorders>
              <w:top w:val="nil"/>
              <w:left w:val="nil"/>
              <w:bottom w:val="single" w:sz="4" w:space="0" w:color="auto"/>
              <w:right w:val="nil"/>
            </w:tcBorders>
            <w:shd w:val="clear" w:color="auto" w:fill="auto"/>
            <w:noWrap/>
            <w:vAlign w:val="center"/>
            <w:hideMark/>
          </w:tcPr>
          <w:p w:rsidR="002373EE" w:rsidRPr="00A71497" w:rsidRDefault="002373EE" w:rsidP="00B32C0F">
            <w:pPr>
              <w:jc w:val="right"/>
              <w:rPr>
                <w:b/>
                <w:bCs/>
                <w:color w:val="000000"/>
                <w:sz w:val="20"/>
                <w:lang w:val="es-PY" w:eastAsia="es-PY"/>
              </w:rPr>
            </w:pPr>
            <w:r w:rsidRPr="00A71497">
              <w:rPr>
                <w:b/>
                <w:bCs/>
                <w:color w:val="000000"/>
                <w:sz w:val="20"/>
                <w:lang w:val="es-PY" w:eastAsia="es-PY"/>
              </w:rPr>
              <w:t xml:space="preserve">   3.224 </w:t>
            </w:r>
          </w:p>
        </w:tc>
        <w:tc>
          <w:tcPr>
            <w:tcW w:w="1196" w:type="dxa"/>
            <w:tcBorders>
              <w:top w:val="nil"/>
              <w:left w:val="single" w:sz="4" w:space="0" w:color="auto"/>
              <w:bottom w:val="single" w:sz="4" w:space="0" w:color="auto"/>
              <w:right w:val="single" w:sz="4" w:space="0" w:color="auto"/>
            </w:tcBorders>
            <w:shd w:val="clear" w:color="auto" w:fill="auto"/>
            <w:noWrap/>
            <w:vAlign w:val="center"/>
            <w:hideMark/>
          </w:tcPr>
          <w:p w:rsidR="002373EE" w:rsidRPr="00A71497" w:rsidRDefault="002373EE" w:rsidP="00B32C0F">
            <w:pPr>
              <w:jc w:val="center"/>
              <w:rPr>
                <w:b/>
                <w:bCs/>
                <w:i/>
                <w:color w:val="000000"/>
                <w:sz w:val="20"/>
                <w:lang w:val="es-PY" w:eastAsia="es-PY"/>
              </w:rPr>
            </w:pPr>
            <w:r w:rsidRPr="006D5F91">
              <w:rPr>
                <w:b/>
                <w:bCs/>
                <w:i/>
                <w:color w:val="000000"/>
                <w:sz w:val="20"/>
                <w:lang w:val="es-PY" w:eastAsia="es-PY"/>
              </w:rPr>
              <w:t>---</w:t>
            </w:r>
          </w:p>
        </w:tc>
        <w:tc>
          <w:tcPr>
            <w:tcW w:w="1220" w:type="dxa"/>
            <w:tcBorders>
              <w:top w:val="nil"/>
              <w:left w:val="nil"/>
              <w:bottom w:val="single" w:sz="4" w:space="0" w:color="auto"/>
              <w:right w:val="single" w:sz="4" w:space="0" w:color="auto"/>
            </w:tcBorders>
            <w:shd w:val="clear" w:color="auto" w:fill="auto"/>
            <w:noWrap/>
            <w:vAlign w:val="center"/>
            <w:hideMark/>
          </w:tcPr>
          <w:p w:rsidR="002373EE" w:rsidRPr="00A71497" w:rsidRDefault="002373EE" w:rsidP="00B32C0F">
            <w:pPr>
              <w:jc w:val="center"/>
              <w:rPr>
                <w:b/>
                <w:bCs/>
                <w:i/>
                <w:color w:val="000000"/>
                <w:sz w:val="20"/>
                <w:lang w:val="es-PY" w:eastAsia="es-PY"/>
              </w:rPr>
            </w:pPr>
            <w:r w:rsidRPr="006D5F91">
              <w:rPr>
                <w:b/>
                <w:bCs/>
                <w:i/>
                <w:color w:val="000000"/>
                <w:sz w:val="20"/>
                <w:lang w:val="es-PY" w:eastAsia="es-PY"/>
              </w:rPr>
              <w:t>---</w:t>
            </w:r>
          </w:p>
        </w:tc>
      </w:tr>
    </w:tbl>
    <w:p w:rsidR="002373EE" w:rsidRPr="002373EE" w:rsidRDefault="002373EE" w:rsidP="002373EE">
      <w:pPr>
        <w:spacing w:before="240" w:after="120" w:line="240" w:lineRule="atLeast"/>
        <w:jc w:val="both"/>
        <w:rPr>
          <w:bCs/>
          <w:sz w:val="22"/>
          <w:szCs w:val="22"/>
        </w:rPr>
      </w:pPr>
      <w:r w:rsidRPr="002373EE">
        <w:rPr>
          <w:b/>
          <w:bCs/>
          <w:sz w:val="22"/>
          <w:szCs w:val="22"/>
        </w:rPr>
        <w:t xml:space="preserve">Modalidad por Convenio </w:t>
      </w:r>
      <w:r>
        <w:rPr>
          <w:b/>
          <w:bCs/>
          <w:sz w:val="22"/>
          <w:szCs w:val="22"/>
        </w:rPr>
        <w:t>según presupuesto, considerando amortización de equipos.</w:t>
      </w:r>
    </w:p>
    <w:tbl>
      <w:tblPr>
        <w:tblW w:w="8919" w:type="dxa"/>
        <w:tblInd w:w="70" w:type="dxa"/>
        <w:tblCellMar>
          <w:left w:w="70" w:type="dxa"/>
          <w:right w:w="70" w:type="dxa"/>
        </w:tblCellMar>
        <w:tblLook w:val="04A0" w:firstRow="1" w:lastRow="0" w:firstColumn="1" w:lastColumn="0" w:noHBand="0" w:noVBand="1"/>
      </w:tblPr>
      <w:tblGrid>
        <w:gridCol w:w="1985"/>
        <w:gridCol w:w="1180"/>
        <w:gridCol w:w="1655"/>
        <w:gridCol w:w="1559"/>
        <w:gridCol w:w="1423"/>
        <w:gridCol w:w="1117"/>
      </w:tblGrid>
      <w:tr w:rsidR="002373EE" w:rsidRPr="00631CB5" w:rsidTr="002373EE">
        <w:tc>
          <w:tcPr>
            <w:tcW w:w="1985" w:type="dxa"/>
            <w:vMerge w:val="restart"/>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2373EE" w:rsidRPr="00631CB5" w:rsidRDefault="002373EE" w:rsidP="00B32C0F">
            <w:pPr>
              <w:jc w:val="center"/>
              <w:rPr>
                <w:b/>
                <w:bCs/>
                <w:color w:val="000000"/>
                <w:sz w:val="20"/>
                <w:lang w:val="es-PY" w:eastAsia="es-PY"/>
              </w:rPr>
            </w:pPr>
            <w:r w:rsidRPr="00631CB5">
              <w:rPr>
                <w:b/>
                <w:bCs/>
                <w:color w:val="000000"/>
                <w:sz w:val="20"/>
                <w:lang w:val="es-PY" w:eastAsia="es-PY"/>
              </w:rPr>
              <w:t>Área geográfica</w:t>
            </w:r>
          </w:p>
        </w:tc>
        <w:tc>
          <w:tcPr>
            <w:tcW w:w="1180"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2373EE" w:rsidRPr="00631CB5" w:rsidRDefault="002373EE" w:rsidP="00B32C0F">
            <w:pPr>
              <w:jc w:val="center"/>
              <w:rPr>
                <w:b/>
                <w:bCs/>
                <w:color w:val="000000"/>
                <w:sz w:val="20"/>
                <w:lang w:val="es-PY" w:eastAsia="es-PY"/>
              </w:rPr>
            </w:pPr>
            <w:r w:rsidRPr="00631CB5">
              <w:rPr>
                <w:b/>
                <w:bCs/>
                <w:color w:val="000000"/>
                <w:sz w:val="20"/>
                <w:lang w:val="es-PY" w:eastAsia="es-PY"/>
              </w:rPr>
              <w:t>Extensión (km)</w:t>
            </w:r>
          </w:p>
        </w:tc>
        <w:tc>
          <w:tcPr>
            <w:tcW w:w="1655" w:type="dxa"/>
            <w:vMerge w:val="restart"/>
            <w:tcBorders>
              <w:top w:val="single" w:sz="4" w:space="0" w:color="auto"/>
              <w:left w:val="single" w:sz="4" w:space="0" w:color="auto"/>
              <w:bottom w:val="single" w:sz="4" w:space="0" w:color="000000"/>
              <w:right w:val="single" w:sz="4" w:space="0" w:color="auto"/>
            </w:tcBorders>
            <w:shd w:val="clear" w:color="000000" w:fill="FDE9D9"/>
            <w:vAlign w:val="center"/>
            <w:hideMark/>
          </w:tcPr>
          <w:p w:rsidR="002373EE" w:rsidRPr="00631CB5" w:rsidRDefault="002373EE" w:rsidP="00B32C0F">
            <w:pPr>
              <w:jc w:val="center"/>
              <w:rPr>
                <w:b/>
                <w:bCs/>
                <w:color w:val="000000"/>
                <w:sz w:val="20"/>
                <w:lang w:val="es-PY" w:eastAsia="es-PY"/>
              </w:rPr>
            </w:pPr>
            <w:r w:rsidRPr="00631CB5">
              <w:rPr>
                <w:b/>
                <w:bCs/>
                <w:color w:val="000000"/>
                <w:sz w:val="20"/>
                <w:lang w:val="es-PY" w:eastAsia="es-PY"/>
              </w:rPr>
              <w:t>Entidad Ejecutora</w:t>
            </w:r>
          </w:p>
        </w:tc>
        <w:tc>
          <w:tcPr>
            <w:tcW w:w="4099" w:type="dxa"/>
            <w:gridSpan w:val="3"/>
            <w:tcBorders>
              <w:top w:val="single" w:sz="4" w:space="0" w:color="auto"/>
              <w:left w:val="nil"/>
              <w:bottom w:val="single" w:sz="4" w:space="0" w:color="auto"/>
              <w:right w:val="single" w:sz="4" w:space="0" w:color="000000"/>
            </w:tcBorders>
            <w:shd w:val="clear" w:color="000000" w:fill="FDE9D9"/>
            <w:noWrap/>
            <w:vAlign w:val="center"/>
            <w:hideMark/>
          </w:tcPr>
          <w:p w:rsidR="002373EE" w:rsidRPr="00631CB5" w:rsidRDefault="002373EE" w:rsidP="00B32C0F">
            <w:pPr>
              <w:jc w:val="center"/>
              <w:rPr>
                <w:b/>
                <w:bCs/>
                <w:color w:val="000000"/>
                <w:sz w:val="20"/>
                <w:lang w:val="es-PY" w:eastAsia="es-PY"/>
              </w:rPr>
            </w:pPr>
            <w:r w:rsidRPr="00631CB5">
              <w:rPr>
                <w:b/>
                <w:bCs/>
                <w:color w:val="000000"/>
                <w:sz w:val="20"/>
                <w:lang w:val="es-PY" w:eastAsia="es-PY"/>
              </w:rPr>
              <w:t xml:space="preserve"> Valores de US$/km/año </w:t>
            </w:r>
          </w:p>
        </w:tc>
      </w:tr>
      <w:tr w:rsidR="002373EE" w:rsidRPr="00631CB5" w:rsidTr="002373EE">
        <w:tc>
          <w:tcPr>
            <w:tcW w:w="1985" w:type="dxa"/>
            <w:vMerge/>
            <w:tcBorders>
              <w:top w:val="single" w:sz="4" w:space="0" w:color="auto"/>
              <w:left w:val="single" w:sz="4" w:space="0" w:color="auto"/>
              <w:bottom w:val="single" w:sz="4" w:space="0" w:color="auto"/>
              <w:right w:val="single" w:sz="4" w:space="0" w:color="auto"/>
            </w:tcBorders>
            <w:vAlign w:val="center"/>
            <w:hideMark/>
          </w:tcPr>
          <w:p w:rsidR="002373EE" w:rsidRPr="00631CB5" w:rsidRDefault="002373EE" w:rsidP="00B32C0F">
            <w:pPr>
              <w:rPr>
                <w:b/>
                <w:bCs/>
                <w:color w:val="000000"/>
                <w:sz w:val="20"/>
                <w:lang w:val="es-PY" w:eastAsia="es-PY"/>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rsidR="002373EE" w:rsidRPr="00631CB5" w:rsidRDefault="002373EE" w:rsidP="00B32C0F">
            <w:pPr>
              <w:rPr>
                <w:b/>
                <w:bCs/>
                <w:color w:val="000000"/>
                <w:sz w:val="20"/>
                <w:lang w:val="es-PY" w:eastAsia="es-PY"/>
              </w:rPr>
            </w:pPr>
          </w:p>
        </w:tc>
        <w:tc>
          <w:tcPr>
            <w:tcW w:w="1655" w:type="dxa"/>
            <w:vMerge/>
            <w:tcBorders>
              <w:top w:val="single" w:sz="4" w:space="0" w:color="auto"/>
              <w:left w:val="single" w:sz="4" w:space="0" w:color="auto"/>
              <w:bottom w:val="single" w:sz="4" w:space="0" w:color="000000"/>
              <w:right w:val="single" w:sz="4" w:space="0" w:color="auto"/>
            </w:tcBorders>
            <w:vAlign w:val="center"/>
            <w:hideMark/>
          </w:tcPr>
          <w:p w:rsidR="002373EE" w:rsidRPr="00631CB5" w:rsidRDefault="002373EE" w:rsidP="00B32C0F">
            <w:pPr>
              <w:rPr>
                <w:b/>
                <w:bCs/>
                <w:color w:val="000000"/>
                <w:sz w:val="20"/>
                <w:lang w:val="es-PY" w:eastAsia="es-PY"/>
              </w:rPr>
            </w:pPr>
          </w:p>
        </w:tc>
        <w:tc>
          <w:tcPr>
            <w:tcW w:w="1559" w:type="dxa"/>
            <w:tcBorders>
              <w:top w:val="nil"/>
              <w:left w:val="nil"/>
              <w:bottom w:val="single" w:sz="4" w:space="0" w:color="auto"/>
              <w:right w:val="single" w:sz="4" w:space="0" w:color="auto"/>
            </w:tcBorders>
            <w:shd w:val="clear" w:color="000000" w:fill="FDE9D9"/>
            <w:vAlign w:val="center"/>
            <w:hideMark/>
          </w:tcPr>
          <w:p w:rsidR="002373EE" w:rsidRPr="00631CB5" w:rsidRDefault="002373EE" w:rsidP="00B32C0F">
            <w:pPr>
              <w:jc w:val="center"/>
              <w:rPr>
                <w:b/>
                <w:bCs/>
                <w:color w:val="000000"/>
                <w:sz w:val="20"/>
                <w:lang w:val="es-PY" w:eastAsia="es-PY"/>
              </w:rPr>
            </w:pPr>
            <w:r w:rsidRPr="00631CB5">
              <w:rPr>
                <w:b/>
                <w:bCs/>
                <w:color w:val="000000"/>
                <w:sz w:val="20"/>
                <w:lang w:val="es-PY" w:eastAsia="es-PY"/>
              </w:rPr>
              <w:t xml:space="preserve"> Gastos desembolsados </w:t>
            </w:r>
          </w:p>
        </w:tc>
        <w:tc>
          <w:tcPr>
            <w:tcW w:w="1423" w:type="dxa"/>
            <w:tcBorders>
              <w:top w:val="nil"/>
              <w:left w:val="nil"/>
              <w:bottom w:val="single" w:sz="4" w:space="0" w:color="auto"/>
              <w:right w:val="nil"/>
            </w:tcBorders>
            <w:shd w:val="clear" w:color="000000" w:fill="FDE9D9"/>
            <w:vAlign w:val="center"/>
            <w:hideMark/>
          </w:tcPr>
          <w:p w:rsidR="002373EE" w:rsidRPr="00631CB5" w:rsidRDefault="002373EE" w:rsidP="00B32C0F">
            <w:pPr>
              <w:jc w:val="center"/>
              <w:rPr>
                <w:b/>
                <w:bCs/>
                <w:color w:val="000000"/>
                <w:sz w:val="20"/>
                <w:lang w:val="es-PY" w:eastAsia="es-PY"/>
              </w:rPr>
            </w:pPr>
            <w:r w:rsidRPr="00631CB5">
              <w:rPr>
                <w:b/>
                <w:bCs/>
                <w:color w:val="000000"/>
                <w:sz w:val="20"/>
                <w:lang w:val="es-PY" w:eastAsia="es-PY"/>
              </w:rPr>
              <w:t xml:space="preserve"> Amortización de equipos </w:t>
            </w:r>
          </w:p>
        </w:tc>
        <w:tc>
          <w:tcPr>
            <w:tcW w:w="1117" w:type="dxa"/>
            <w:tcBorders>
              <w:top w:val="nil"/>
              <w:left w:val="single" w:sz="4" w:space="0" w:color="auto"/>
              <w:bottom w:val="single" w:sz="4" w:space="0" w:color="auto"/>
              <w:right w:val="single" w:sz="4" w:space="0" w:color="auto"/>
            </w:tcBorders>
            <w:shd w:val="clear" w:color="000000" w:fill="FDE9D9"/>
            <w:vAlign w:val="center"/>
            <w:hideMark/>
          </w:tcPr>
          <w:p w:rsidR="002373EE" w:rsidRPr="00631CB5" w:rsidRDefault="002373EE" w:rsidP="00B32C0F">
            <w:pPr>
              <w:jc w:val="center"/>
              <w:rPr>
                <w:b/>
                <w:bCs/>
                <w:color w:val="000000"/>
                <w:sz w:val="20"/>
                <w:lang w:val="es-PY" w:eastAsia="es-PY"/>
              </w:rPr>
            </w:pPr>
            <w:r w:rsidRPr="00631CB5">
              <w:rPr>
                <w:b/>
                <w:bCs/>
                <w:color w:val="000000"/>
                <w:sz w:val="20"/>
                <w:lang w:val="es-PY" w:eastAsia="es-PY"/>
              </w:rPr>
              <w:t xml:space="preserve"> Suma </w:t>
            </w:r>
          </w:p>
        </w:tc>
      </w:tr>
      <w:tr w:rsidR="002373EE" w:rsidRPr="00631CB5" w:rsidTr="002373EE">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Itapúa</w:t>
            </w:r>
          </w:p>
        </w:tc>
        <w:tc>
          <w:tcPr>
            <w:tcW w:w="1180" w:type="dxa"/>
            <w:tcBorders>
              <w:top w:val="nil"/>
              <w:left w:val="nil"/>
              <w:bottom w:val="single" w:sz="4" w:space="0" w:color="auto"/>
              <w:right w:val="single" w:sz="4" w:space="0" w:color="auto"/>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 xml:space="preserve">       427,64 </w:t>
            </w:r>
          </w:p>
        </w:tc>
        <w:tc>
          <w:tcPr>
            <w:tcW w:w="1655" w:type="dxa"/>
            <w:tcBorders>
              <w:top w:val="nil"/>
              <w:left w:val="nil"/>
              <w:bottom w:val="single" w:sz="4" w:space="0" w:color="auto"/>
              <w:right w:val="single" w:sz="4" w:space="0" w:color="auto"/>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 xml:space="preserve"> Trinidad </w:t>
            </w:r>
          </w:p>
        </w:tc>
        <w:tc>
          <w:tcPr>
            <w:tcW w:w="1559" w:type="dxa"/>
            <w:tcBorders>
              <w:top w:val="nil"/>
              <w:left w:val="nil"/>
              <w:bottom w:val="single" w:sz="4" w:space="0" w:color="auto"/>
              <w:right w:val="nil"/>
            </w:tcBorders>
            <w:shd w:val="clear" w:color="auto" w:fill="auto"/>
            <w:noWrap/>
            <w:vAlign w:val="center"/>
            <w:hideMark/>
          </w:tcPr>
          <w:p w:rsidR="002373EE" w:rsidRPr="00631CB5" w:rsidRDefault="002373EE" w:rsidP="00B32C0F">
            <w:pPr>
              <w:jc w:val="right"/>
              <w:rPr>
                <w:color w:val="000000"/>
                <w:sz w:val="20"/>
                <w:lang w:val="es-PY" w:eastAsia="es-PY"/>
              </w:rPr>
            </w:pPr>
            <w:r w:rsidRPr="00631CB5">
              <w:rPr>
                <w:color w:val="000000"/>
                <w:sz w:val="20"/>
                <w:lang w:val="es-PY" w:eastAsia="es-PY"/>
              </w:rPr>
              <w:t xml:space="preserve">   2.403 </w:t>
            </w:r>
          </w:p>
        </w:tc>
        <w:tc>
          <w:tcPr>
            <w:tcW w:w="1423" w:type="dxa"/>
            <w:tcBorders>
              <w:top w:val="nil"/>
              <w:left w:val="single" w:sz="4" w:space="0" w:color="auto"/>
              <w:bottom w:val="single" w:sz="4" w:space="0" w:color="auto"/>
              <w:right w:val="nil"/>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 xml:space="preserve">                  453 </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2373EE" w:rsidRPr="00631CB5" w:rsidRDefault="002373EE" w:rsidP="00B32C0F">
            <w:pPr>
              <w:jc w:val="right"/>
              <w:rPr>
                <w:color w:val="000000"/>
                <w:sz w:val="20"/>
                <w:lang w:val="es-PY" w:eastAsia="es-PY"/>
              </w:rPr>
            </w:pPr>
            <w:r w:rsidRPr="00631CB5">
              <w:rPr>
                <w:color w:val="000000"/>
                <w:sz w:val="20"/>
                <w:lang w:val="es-PY" w:eastAsia="es-PY"/>
              </w:rPr>
              <w:t xml:space="preserve">   2.856 </w:t>
            </w:r>
          </w:p>
        </w:tc>
      </w:tr>
      <w:tr w:rsidR="002373EE" w:rsidRPr="00631CB5" w:rsidTr="002373EE">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Alto Paraná Sur</w:t>
            </w:r>
          </w:p>
        </w:tc>
        <w:tc>
          <w:tcPr>
            <w:tcW w:w="1180" w:type="dxa"/>
            <w:tcBorders>
              <w:top w:val="nil"/>
              <w:left w:val="nil"/>
              <w:bottom w:val="single" w:sz="4" w:space="0" w:color="auto"/>
              <w:right w:val="single" w:sz="4" w:space="0" w:color="auto"/>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 xml:space="preserve">       504,15 </w:t>
            </w:r>
          </w:p>
        </w:tc>
        <w:tc>
          <w:tcPr>
            <w:tcW w:w="1655" w:type="dxa"/>
            <w:tcBorders>
              <w:top w:val="nil"/>
              <w:left w:val="nil"/>
              <w:bottom w:val="single" w:sz="4" w:space="0" w:color="auto"/>
              <w:right w:val="single" w:sz="4" w:space="0" w:color="auto"/>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 xml:space="preserve"> Naranjal </w:t>
            </w:r>
          </w:p>
        </w:tc>
        <w:tc>
          <w:tcPr>
            <w:tcW w:w="1559" w:type="dxa"/>
            <w:tcBorders>
              <w:top w:val="nil"/>
              <w:left w:val="nil"/>
              <w:bottom w:val="single" w:sz="4" w:space="0" w:color="auto"/>
              <w:right w:val="nil"/>
            </w:tcBorders>
            <w:shd w:val="clear" w:color="auto" w:fill="auto"/>
            <w:noWrap/>
            <w:vAlign w:val="center"/>
            <w:hideMark/>
          </w:tcPr>
          <w:p w:rsidR="002373EE" w:rsidRPr="00631CB5" w:rsidRDefault="002373EE" w:rsidP="00B32C0F">
            <w:pPr>
              <w:jc w:val="right"/>
              <w:rPr>
                <w:color w:val="000000"/>
                <w:sz w:val="20"/>
                <w:lang w:val="es-PY" w:eastAsia="es-PY"/>
              </w:rPr>
            </w:pPr>
            <w:r w:rsidRPr="00631CB5">
              <w:rPr>
                <w:color w:val="000000"/>
                <w:sz w:val="20"/>
                <w:lang w:val="es-PY" w:eastAsia="es-PY"/>
              </w:rPr>
              <w:t xml:space="preserve">  2.490 </w:t>
            </w:r>
          </w:p>
        </w:tc>
        <w:tc>
          <w:tcPr>
            <w:tcW w:w="1423" w:type="dxa"/>
            <w:tcBorders>
              <w:top w:val="nil"/>
              <w:left w:val="single" w:sz="4" w:space="0" w:color="auto"/>
              <w:bottom w:val="single" w:sz="4" w:space="0" w:color="auto"/>
              <w:right w:val="nil"/>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 xml:space="preserve">                  453 </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2373EE" w:rsidRPr="00631CB5" w:rsidRDefault="002373EE" w:rsidP="00B32C0F">
            <w:pPr>
              <w:jc w:val="right"/>
              <w:rPr>
                <w:color w:val="000000"/>
                <w:sz w:val="20"/>
                <w:lang w:val="es-PY" w:eastAsia="es-PY"/>
              </w:rPr>
            </w:pPr>
            <w:r w:rsidRPr="00631CB5">
              <w:rPr>
                <w:color w:val="000000"/>
                <w:sz w:val="20"/>
                <w:lang w:val="es-PY" w:eastAsia="es-PY"/>
              </w:rPr>
              <w:t xml:space="preserve">   2.943 </w:t>
            </w:r>
          </w:p>
        </w:tc>
      </w:tr>
      <w:tr w:rsidR="002373EE" w:rsidRPr="00631CB5" w:rsidTr="002373EE">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Canindeyú Este</w:t>
            </w:r>
          </w:p>
        </w:tc>
        <w:tc>
          <w:tcPr>
            <w:tcW w:w="1180" w:type="dxa"/>
            <w:tcBorders>
              <w:top w:val="nil"/>
              <w:left w:val="nil"/>
              <w:bottom w:val="single" w:sz="4" w:space="0" w:color="auto"/>
              <w:right w:val="single" w:sz="4" w:space="0" w:color="auto"/>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 xml:space="preserve">       436,60 </w:t>
            </w:r>
          </w:p>
        </w:tc>
        <w:tc>
          <w:tcPr>
            <w:tcW w:w="1655" w:type="dxa"/>
            <w:tcBorders>
              <w:top w:val="nil"/>
              <w:left w:val="nil"/>
              <w:bottom w:val="single" w:sz="4" w:space="0" w:color="auto"/>
              <w:right w:val="single" w:sz="4" w:space="0" w:color="auto"/>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 xml:space="preserve"> Corpus Cristi </w:t>
            </w:r>
          </w:p>
        </w:tc>
        <w:tc>
          <w:tcPr>
            <w:tcW w:w="1559" w:type="dxa"/>
            <w:tcBorders>
              <w:top w:val="nil"/>
              <w:left w:val="nil"/>
              <w:bottom w:val="single" w:sz="4" w:space="0" w:color="auto"/>
              <w:right w:val="nil"/>
            </w:tcBorders>
            <w:shd w:val="clear" w:color="auto" w:fill="auto"/>
            <w:noWrap/>
            <w:vAlign w:val="center"/>
            <w:hideMark/>
          </w:tcPr>
          <w:p w:rsidR="002373EE" w:rsidRPr="00631CB5" w:rsidRDefault="002373EE" w:rsidP="00B32C0F">
            <w:pPr>
              <w:jc w:val="right"/>
              <w:rPr>
                <w:color w:val="000000"/>
                <w:sz w:val="20"/>
                <w:lang w:val="es-PY" w:eastAsia="es-PY"/>
              </w:rPr>
            </w:pPr>
            <w:r w:rsidRPr="00631CB5">
              <w:rPr>
                <w:color w:val="000000"/>
                <w:sz w:val="20"/>
                <w:lang w:val="es-PY" w:eastAsia="es-PY"/>
              </w:rPr>
              <w:t xml:space="preserve">     3.007 </w:t>
            </w:r>
          </w:p>
        </w:tc>
        <w:tc>
          <w:tcPr>
            <w:tcW w:w="1423" w:type="dxa"/>
            <w:tcBorders>
              <w:top w:val="nil"/>
              <w:left w:val="single" w:sz="4" w:space="0" w:color="auto"/>
              <w:bottom w:val="single" w:sz="4" w:space="0" w:color="auto"/>
              <w:right w:val="nil"/>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 xml:space="preserve">                  453 </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2373EE" w:rsidRPr="00631CB5" w:rsidRDefault="002373EE" w:rsidP="00B32C0F">
            <w:pPr>
              <w:jc w:val="right"/>
              <w:rPr>
                <w:color w:val="000000"/>
                <w:sz w:val="20"/>
                <w:lang w:val="es-PY" w:eastAsia="es-PY"/>
              </w:rPr>
            </w:pPr>
            <w:r w:rsidRPr="00631CB5">
              <w:rPr>
                <w:color w:val="000000"/>
                <w:sz w:val="20"/>
                <w:lang w:val="es-PY" w:eastAsia="es-PY"/>
              </w:rPr>
              <w:t xml:space="preserve">      3.460 </w:t>
            </w:r>
          </w:p>
        </w:tc>
      </w:tr>
      <w:tr w:rsidR="002373EE" w:rsidRPr="00631CB5" w:rsidTr="002373EE">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Caazapá</w:t>
            </w:r>
          </w:p>
        </w:tc>
        <w:tc>
          <w:tcPr>
            <w:tcW w:w="1180" w:type="dxa"/>
            <w:tcBorders>
              <w:top w:val="nil"/>
              <w:left w:val="nil"/>
              <w:bottom w:val="single" w:sz="4" w:space="0" w:color="auto"/>
              <w:right w:val="single" w:sz="4" w:space="0" w:color="auto"/>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 xml:space="preserve">       451,33 </w:t>
            </w:r>
          </w:p>
        </w:tc>
        <w:tc>
          <w:tcPr>
            <w:tcW w:w="1655" w:type="dxa"/>
            <w:tcBorders>
              <w:top w:val="nil"/>
              <w:left w:val="nil"/>
              <w:bottom w:val="single" w:sz="4" w:space="0" w:color="auto"/>
              <w:right w:val="single" w:sz="4" w:space="0" w:color="auto"/>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 xml:space="preserve"> Caazapá </w:t>
            </w:r>
          </w:p>
        </w:tc>
        <w:tc>
          <w:tcPr>
            <w:tcW w:w="1559" w:type="dxa"/>
            <w:tcBorders>
              <w:top w:val="nil"/>
              <w:left w:val="nil"/>
              <w:bottom w:val="single" w:sz="4" w:space="0" w:color="auto"/>
              <w:right w:val="nil"/>
            </w:tcBorders>
            <w:shd w:val="clear" w:color="auto" w:fill="auto"/>
            <w:noWrap/>
            <w:vAlign w:val="center"/>
            <w:hideMark/>
          </w:tcPr>
          <w:p w:rsidR="002373EE" w:rsidRPr="00631CB5" w:rsidRDefault="002373EE" w:rsidP="00B32C0F">
            <w:pPr>
              <w:jc w:val="right"/>
              <w:rPr>
                <w:color w:val="000000"/>
                <w:sz w:val="20"/>
                <w:lang w:val="es-PY" w:eastAsia="es-PY"/>
              </w:rPr>
            </w:pPr>
            <w:r w:rsidRPr="00631CB5">
              <w:rPr>
                <w:color w:val="000000"/>
                <w:sz w:val="20"/>
                <w:lang w:val="es-PY" w:eastAsia="es-PY"/>
              </w:rPr>
              <w:t xml:space="preserve">       3.841 </w:t>
            </w:r>
          </w:p>
        </w:tc>
        <w:tc>
          <w:tcPr>
            <w:tcW w:w="1423" w:type="dxa"/>
            <w:tcBorders>
              <w:top w:val="nil"/>
              <w:left w:val="single" w:sz="4" w:space="0" w:color="auto"/>
              <w:bottom w:val="single" w:sz="4" w:space="0" w:color="auto"/>
              <w:right w:val="nil"/>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 xml:space="preserve">                  453 </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2373EE" w:rsidRPr="00631CB5" w:rsidRDefault="002373EE" w:rsidP="00B32C0F">
            <w:pPr>
              <w:jc w:val="right"/>
              <w:rPr>
                <w:color w:val="000000"/>
                <w:sz w:val="20"/>
                <w:lang w:val="es-PY" w:eastAsia="es-PY"/>
              </w:rPr>
            </w:pPr>
            <w:r w:rsidRPr="00631CB5">
              <w:rPr>
                <w:color w:val="000000"/>
                <w:sz w:val="20"/>
                <w:lang w:val="es-PY" w:eastAsia="es-PY"/>
              </w:rPr>
              <w:t xml:space="preserve">    4.294 </w:t>
            </w:r>
          </w:p>
        </w:tc>
      </w:tr>
      <w:tr w:rsidR="002373EE" w:rsidRPr="00631CB5" w:rsidTr="002373EE">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Guairá</w:t>
            </w:r>
          </w:p>
        </w:tc>
        <w:tc>
          <w:tcPr>
            <w:tcW w:w="1180" w:type="dxa"/>
            <w:tcBorders>
              <w:top w:val="nil"/>
              <w:left w:val="nil"/>
              <w:bottom w:val="single" w:sz="4" w:space="0" w:color="auto"/>
              <w:right w:val="single" w:sz="4" w:space="0" w:color="auto"/>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 xml:space="preserve">       321,53 </w:t>
            </w:r>
          </w:p>
        </w:tc>
        <w:tc>
          <w:tcPr>
            <w:tcW w:w="1655" w:type="dxa"/>
            <w:tcBorders>
              <w:top w:val="nil"/>
              <w:left w:val="nil"/>
              <w:bottom w:val="single" w:sz="4" w:space="0" w:color="auto"/>
              <w:right w:val="single" w:sz="4" w:space="0" w:color="auto"/>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 xml:space="preserve"> Borja </w:t>
            </w:r>
          </w:p>
        </w:tc>
        <w:tc>
          <w:tcPr>
            <w:tcW w:w="1559" w:type="dxa"/>
            <w:tcBorders>
              <w:top w:val="nil"/>
              <w:left w:val="nil"/>
              <w:bottom w:val="single" w:sz="4" w:space="0" w:color="auto"/>
              <w:right w:val="nil"/>
            </w:tcBorders>
            <w:shd w:val="clear" w:color="auto" w:fill="auto"/>
            <w:noWrap/>
            <w:vAlign w:val="center"/>
            <w:hideMark/>
          </w:tcPr>
          <w:p w:rsidR="002373EE" w:rsidRPr="00631CB5" w:rsidRDefault="002373EE" w:rsidP="00B32C0F">
            <w:pPr>
              <w:jc w:val="right"/>
              <w:rPr>
                <w:color w:val="000000"/>
                <w:sz w:val="20"/>
                <w:lang w:val="es-PY" w:eastAsia="es-PY"/>
              </w:rPr>
            </w:pPr>
            <w:r w:rsidRPr="00631CB5">
              <w:rPr>
                <w:color w:val="000000"/>
                <w:sz w:val="20"/>
                <w:lang w:val="es-PY" w:eastAsia="es-PY"/>
              </w:rPr>
              <w:t xml:space="preserve">  4.896 </w:t>
            </w:r>
          </w:p>
        </w:tc>
        <w:tc>
          <w:tcPr>
            <w:tcW w:w="1423" w:type="dxa"/>
            <w:tcBorders>
              <w:top w:val="nil"/>
              <w:left w:val="single" w:sz="4" w:space="0" w:color="auto"/>
              <w:bottom w:val="single" w:sz="4" w:space="0" w:color="auto"/>
              <w:right w:val="nil"/>
            </w:tcBorders>
            <w:shd w:val="clear" w:color="auto" w:fill="auto"/>
            <w:noWrap/>
            <w:vAlign w:val="center"/>
            <w:hideMark/>
          </w:tcPr>
          <w:p w:rsidR="002373EE" w:rsidRPr="00631CB5" w:rsidRDefault="002373EE" w:rsidP="00B32C0F">
            <w:pPr>
              <w:rPr>
                <w:color w:val="000000"/>
                <w:sz w:val="20"/>
                <w:lang w:val="es-PY" w:eastAsia="es-PY"/>
              </w:rPr>
            </w:pPr>
            <w:r w:rsidRPr="00631CB5">
              <w:rPr>
                <w:color w:val="000000"/>
                <w:sz w:val="20"/>
                <w:lang w:val="es-PY" w:eastAsia="es-PY"/>
              </w:rPr>
              <w:t xml:space="preserve">                  453 </w:t>
            </w:r>
          </w:p>
        </w:tc>
        <w:tc>
          <w:tcPr>
            <w:tcW w:w="1117" w:type="dxa"/>
            <w:tcBorders>
              <w:top w:val="nil"/>
              <w:left w:val="single" w:sz="4" w:space="0" w:color="auto"/>
              <w:bottom w:val="single" w:sz="4" w:space="0" w:color="auto"/>
              <w:right w:val="single" w:sz="4" w:space="0" w:color="auto"/>
            </w:tcBorders>
            <w:shd w:val="clear" w:color="auto" w:fill="auto"/>
            <w:noWrap/>
            <w:vAlign w:val="center"/>
            <w:hideMark/>
          </w:tcPr>
          <w:p w:rsidR="002373EE" w:rsidRPr="00631CB5" w:rsidRDefault="002373EE" w:rsidP="00B32C0F">
            <w:pPr>
              <w:jc w:val="right"/>
              <w:rPr>
                <w:color w:val="000000"/>
                <w:sz w:val="20"/>
                <w:lang w:val="es-PY" w:eastAsia="es-PY"/>
              </w:rPr>
            </w:pPr>
            <w:r w:rsidRPr="00631CB5">
              <w:rPr>
                <w:color w:val="000000"/>
                <w:sz w:val="20"/>
                <w:lang w:val="es-PY" w:eastAsia="es-PY"/>
              </w:rPr>
              <w:t xml:space="preserve">   5.349 </w:t>
            </w:r>
          </w:p>
        </w:tc>
      </w:tr>
    </w:tbl>
    <w:p w:rsidR="002373EE" w:rsidRPr="002373EE" w:rsidRDefault="002373EE" w:rsidP="002373EE">
      <w:pPr>
        <w:spacing w:before="240" w:after="120" w:line="240" w:lineRule="atLeast"/>
        <w:jc w:val="both"/>
        <w:rPr>
          <w:bCs/>
          <w:sz w:val="22"/>
          <w:szCs w:val="22"/>
        </w:rPr>
      </w:pPr>
      <w:r w:rsidRPr="002373EE">
        <w:rPr>
          <w:b/>
          <w:bCs/>
          <w:sz w:val="22"/>
          <w:szCs w:val="22"/>
        </w:rPr>
        <w:t xml:space="preserve">Modalidad por </w:t>
      </w:r>
      <w:r>
        <w:rPr>
          <w:b/>
          <w:bCs/>
          <w:sz w:val="22"/>
          <w:szCs w:val="22"/>
        </w:rPr>
        <w:t>Contrato, considerando contratos firmados.</w:t>
      </w:r>
    </w:p>
    <w:tbl>
      <w:tblPr>
        <w:tblW w:w="9237" w:type="dxa"/>
        <w:tblInd w:w="70" w:type="dxa"/>
        <w:tblCellMar>
          <w:left w:w="70" w:type="dxa"/>
          <w:right w:w="70" w:type="dxa"/>
        </w:tblCellMar>
        <w:tblLook w:val="04A0" w:firstRow="1" w:lastRow="0" w:firstColumn="1" w:lastColumn="0" w:noHBand="0" w:noVBand="1"/>
      </w:tblPr>
      <w:tblGrid>
        <w:gridCol w:w="1985"/>
        <w:gridCol w:w="993"/>
        <w:gridCol w:w="2409"/>
        <w:gridCol w:w="1390"/>
        <w:gridCol w:w="1230"/>
        <w:gridCol w:w="1230"/>
      </w:tblGrid>
      <w:tr w:rsidR="002373EE" w:rsidRPr="00A31BD1" w:rsidTr="002373EE">
        <w:trPr>
          <w:tblHeader/>
        </w:trPr>
        <w:tc>
          <w:tcPr>
            <w:tcW w:w="198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rsidR="002373EE" w:rsidRPr="00A31BD1" w:rsidRDefault="002373EE" w:rsidP="00B32C0F">
            <w:pPr>
              <w:jc w:val="center"/>
              <w:rPr>
                <w:b/>
                <w:bCs/>
                <w:color w:val="000000"/>
                <w:sz w:val="20"/>
                <w:lang w:val="es-PY" w:eastAsia="es-PY"/>
              </w:rPr>
            </w:pPr>
            <w:r w:rsidRPr="00A31BD1">
              <w:rPr>
                <w:b/>
                <w:bCs/>
                <w:color w:val="000000"/>
                <w:sz w:val="20"/>
                <w:lang w:val="es-PY" w:eastAsia="es-PY"/>
              </w:rPr>
              <w:t>Área geográfica</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2373EE" w:rsidRPr="00A31BD1" w:rsidRDefault="002373EE" w:rsidP="00B32C0F">
            <w:pPr>
              <w:jc w:val="center"/>
              <w:rPr>
                <w:b/>
                <w:bCs/>
                <w:color w:val="000000"/>
                <w:sz w:val="20"/>
                <w:lang w:val="es-PY" w:eastAsia="es-PY"/>
              </w:rPr>
            </w:pPr>
            <w:r w:rsidRPr="00A31BD1">
              <w:rPr>
                <w:b/>
                <w:bCs/>
                <w:color w:val="000000"/>
                <w:sz w:val="20"/>
                <w:lang w:val="es-PY" w:eastAsia="es-PY"/>
              </w:rPr>
              <w:t>Extensión (km)</w:t>
            </w:r>
          </w:p>
        </w:tc>
        <w:tc>
          <w:tcPr>
            <w:tcW w:w="6259" w:type="dxa"/>
            <w:gridSpan w:val="4"/>
            <w:tcBorders>
              <w:top w:val="single" w:sz="4" w:space="0" w:color="auto"/>
              <w:left w:val="nil"/>
              <w:bottom w:val="single" w:sz="4" w:space="0" w:color="auto"/>
              <w:right w:val="single" w:sz="4" w:space="0" w:color="000000"/>
            </w:tcBorders>
            <w:shd w:val="clear" w:color="auto" w:fill="DAEEF3" w:themeFill="accent5" w:themeFillTint="33"/>
            <w:noWrap/>
            <w:vAlign w:val="center"/>
            <w:hideMark/>
          </w:tcPr>
          <w:p w:rsidR="002373EE" w:rsidRPr="00A31BD1" w:rsidRDefault="002373EE" w:rsidP="00B32C0F">
            <w:pPr>
              <w:jc w:val="center"/>
              <w:rPr>
                <w:b/>
                <w:bCs/>
                <w:color w:val="000000"/>
                <w:sz w:val="20"/>
                <w:lang w:val="es-PY" w:eastAsia="es-PY"/>
              </w:rPr>
            </w:pPr>
            <w:r w:rsidRPr="00A31BD1">
              <w:rPr>
                <w:b/>
                <w:bCs/>
                <w:color w:val="000000"/>
                <w:sz w:val="20"/>
                <w:lang w:val="es-PY" w:eastAsia="es-PY"/>
              </w:rPr>
              <w:t>Contratos</w:t>
            </w:r>
          </w:p>
        </w:tc>
      </w:tr>
      <w:tr w:rsidR="002373EE" w:rsidRPr="00A31BD1" w:rsidTr="002373EE">
        <w:trPr>
          <w:tblHeader/>
        </w:trPr>
        <w:tc>
          <w:tcPr>
            <w:tcW w:w="198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2373EE" w:rsidRPr="00A31BD1" w:rsidRDefault="002373EE" w:rsidP="00B32C0F">
            <w:pPr>
              <w:rPr>
                <w:b/>
                <w:bCs/>
                <w:color w:val="000000"/>
                <w:sz w:val="20"/>
                <w:lang w:val="es-PY" w:eastAsia="es-PY"/>
              </w:rPr>
            </w:pPr>
          </w:p>
        </w:tc>
        <w:tc>
          <w:tcPr>
            <w:tcW w:w="993" w:type="dxa"/>
            <w:vMerge/>
            <w:tcBorders>
              <w:top w:val="single" w:sz="4" w:space="0" w:color="auto"/>
              <w:left w:val="single" w:sz="4" w:space="0" w:color="auto"/>
              <w:bottom w:val="single" w:sz="4" w:space="0" w:color="000000"/>
              <w:right w:val="single" w:sz="4" w:space="0" w:color="auto"/>
            </w:tcBorders>
            <w:shd w:val="clear" w:color="auto" w:fill="DAEEF3" w:themeFill="accent5" w:themeFillTint="33"/>
            <w:vAlign w:val="center"/>
            <w:hideMark/>
          </w:tcPr>
          <w:p w:rsidR="002373EE" w:rsidRPr="00A31BD1" w:rsidRDefault="002373EE" w:rsidP="00B32C0F">
            <w:pPr>
              <w:rPr>
                <w:b/>
                <w:bCs/>
                <w:color w:val="000000"/>
                <w:sz w:val="20"/>
                <w:lang w:val="es-PY" w:eastAsia="es-PY"/>
              </w:rPr>
            </w:pPr>
          </w:p>
        </w:tc>
        <w:tc>
          <w:tcPr>
            <w:tcW w:w="2409" w:type="dxa"/>
            <w:tcBorders>
              <w:top w:val="nil"/>
              <w:left w:val="nil"/>
              <w:bottom w:val="single" w:sz="4" w:space="0" w:color="auto"/>
              <w:right w:val="single" w:sz="4" w:space="0" w:color="auto"/>
            </w:tcBorders>
            <w:shd w:val="clear" w:color="auto" w:fill="DAEEF3" w:themeFill="accent5" w:themeFillTint="33"/>
            <w:noWrap/>
            <w:vAlign w:val="center"/>
            <w:hideMark/>
          </w:tcPr>
          <w:p w:rsidR="002373EE" w:rsidRPr="00A31BD1" w:rsidRDefault="002373EE" w:rsidP="00B32C0F">
            <w:pPr>
              <w:jc w:val="center"/>
              <w:rPr>
                <w:b/>
                <w:bCs/>
                <w:color w:val="000000"/>
                <w:sz w:val="20"/>
                <w:lang w:val="es-PY" w:eastAsia="es-PY"/>
              </w:rPr>
            </w:pPr>
            <w:r w:rsidRPr="00A31BD1">
              <w:rPr>
                <w:b/>
                <w:bCs/>
                <w:color w:val="000000"/>
                <w:sz w:val="20"/>
                <w:lang w:val="es-PY" w:eastAsia="es-PY"/>
              </w:rPr>
              <w:t>Contratista</w:t>
            </w:r>
          </w:p>
        </w:tc>
        <w:tc>
          <w:tcPr>
            <w:tcW w:w="1390" w:type="dxa"/>
            <w:tcBorders>
              <w:top w:val="nil"/>
              <w:left w:val="nil"/>
              <w:bottom w:val="single" w:sz="4" w:space="0" w:color="auto"/>
              <w:right w:val="single" w:sz="4" w:space="0" w:color="auto"/>
            </w:tcBorders>
            <w:shd w:val="clear" w:color="auto" w:fill="DAEEF3" w:themeFill="accent5" w:themeFillTint="33"/>
            <w:noWrap/>
            <w:vAlign w:val="center"/>
            <w:hideMark/>
          </w:tcPr>
          <w:p w:rsidR="002373EE" w:rsidRPr="00A31BD1" w:rsidRDefault="002373EE" w:rsidP="00B32C0F">
            <w:pPr>
              <w:jc w:val="center"/>
              <w:rPr>
                <w:b/>
                <w:bCs/>
                <w:color w:val="000000"/>
                <w:sz w:val="20"/>
                <w:lang w:val="es-PY" w:eastAsia="es-PY"/>
              </w:rPr>
            </w:pPr>
            <w:r w:rsidRPr="00A31BD1">
              <w:rPr>
                <w:b/>
                <w:bCs/>
                <w:color w:val="000000"/>
                <w:sz w:val="20"/>
                <w:lang w:val="es-PY" w:eastAsia="es-PY"/>
              </w:rPr>
              <w:t>Monto (Gs)</w:t>
            </w:r>
          </w:p>
        </w:tc>
        <w:tc>
          <w:tcPr>
            <w:tcW w:w="1230" w:type="dxa"/>
            <w:tcBorders>
              <w:top w:val="nil"/>
              <w:left w:val="nil"/>
              <w:bottom w:val="single" w:sz="4" w:space="0" w:color="auto"/>
              <w:right w:val="single" w:sz="4" w:space="0" w:color="auto"/>
            </w:tcBorders>
            <w:shd w:val="clear" w:color="auto" w:fill="DAEEF3" w:themeFill="accent5" w:themeFillTint="33"/>
            <w:noWrap/>
            <w:vAlign w:val="center"/>
            <w:hideMark/>
          </w:tcPr>
          <w:p w:rsidR="002373EE" w:rsidRPr="00A31BD1" w:rsidRDefault="002373EE" w:rsidP="00B32C0F">
            <w:pPr>
              <w:jc w:val="center"/>
              <w:rPr>
                <w:b/>
                <w:bCs/>
                <w:color w:val="000000"/>
                <w:sz w:val="20"/>
                <w:lang w:val="es-PY" w:eastAsia="es-PY"/>
              </w:rPr>
            </w:pPr>
            <w:r w:rsidRPr="00A31BD1">
              <w:rPr>
                <w:b/>
                <w:bCs/>
                <w:color w:val="000000"/>
                <w:sz w:val="20"/>
                <w:lang w:val="es-PY" w:eastAsia="es-PY"/>
              </w:rPr>
              <w:t>Monto (US$)</w:t>
            </w:r>
          </w:p>
        </w:tc>
        <w:tc>
          <w:tcPr>
            <w:tcW w:w="1230" w:type="dxa"/>
            <w:tcBorders>
              <w:top w:val="nil"/>
              <w:left w:val="nil"/>
              <w:bottom w:val="single" w:sz="4" w:space="0" w:color="auto"/>
              <w:right w:val="single" w:sz="4" w:space="0" w:color="auto"/>
            </w:tcBorders>
            <w:shd w:val="clear" w:color="auto" w:fill="DAEEF3" w:themeFill="accent5" w:themeFillTint="33"/>
            <w:noWrap/>
            <w:vAlign w:val="center"/>
            <w:hideMark/>
          </w:tcPr>
          <w:p w:rsidR="002373EE" w:rsidRPr="00A31BD1" w:rsidRDefault="002373EE" w:rsidP="00B32C0F">
            <w:pPr>
              <w:jc w:val="center"/>
              <w:rPr>
                <w:b/>
                <w:bCs/>
                <w:color w:val="000000"/>
                <w:sz w:val="20"/>
                <w:lang w:val="es-PY" w:eastAsia="es-PY"/>
              </w:rPr>
            </w:pPr>
            <w:r w:rsidRPr="00A31BD1">
              <w:rPr>
                <w:b/>
                <w:bCs/>
                <w:color w:val="000000"/>
                <w:sz w:val="20"/>
                <w:lang w:val="es-PY" w:eastAsia="es-PY"/>
              </w:rPr>
              <w:t>US$/km/año</w:t>
            </w:r>
          </w:p>
        </w:tc>
      </w:tr>
      <w:tr w:rsidR="002373EE" w:rsidRPr="00A31BD1" w:rsidTr="002373EE">
        <w:tc>
          <w:tcPr>
            <w:tcW w:w="1985" w:type="dxa"/>
            <w:tcBorders>
              <w:top w:val="nil"/>
              <w:left w:val="single" w:sz="4" w:space="0" w:color="auto"/>
              <w:bottom w:val="single" w:sz="4" w:space="0" w:color="auto"/>
              <w:right w:val="single" w:sz="4" w:space="0" w:color="auto"/>
            </w:tcBorders>
            <w:shd w:val="clear" w:color="auto" w:fill="auto"/>
            <w:noWrap/>
            <w:hideMark/>
          </w:tcPr>
          <w:p w:rsidR="002373EE" w:rsidRPr="00A31BD1" w:rsidRDefault="002373EE" w:rsidP="00B32C0F">
            <w:pPr>
              <w:rPr>
                <w:color w:val="000000"/>
                <w:sz w:val="20"/>
                <w:lang w:val="es-PY" w:eastAsia="es-PY"/>
              </w:rPr>
            </w:pPr>
            <w:r w:rsidRPr="00A31BD1">
              <w:rPr>
                <w:color w:val="000000"/>
                <w:sz w:val="20"/>
                <w:lang w:val="es-PY" w:eastAsia="es-PY"/>
              </w:rPr>
              <w:t>Caaguazú</w:t>
            </w:r>
          </w:p>
        </w:tc>
        <w:tc>
          <w:tcPr>
            <w:tcW w:w="993" w:type="dxa"/>
            <w:tcBorders>
              <w:top w:val="nil"/>
              <w:left w:val="nil"/>
              <w:bottom w:val="single" w:sz="4" w:space="0" w:color="auto"/>
              <w:right w:val="single" w:sz="4" w:space="0" w:color="auto"/>
            </w:tcBorders>
            <w:shd w:val="clear" w:color="auto" w:fill="auto"/>
            <w:noWrap/>
            <w:hideMark/>
          </w:tcPr>
          <w:p w:rsidR="002373EE" w:rsidRPr="00A31BD1" w:rsidRDefault="002373EE" w:rsidP="00B32C0F">
            <w:pPr>
              <w:rPr>
                <w:color w:val="000000"/>
                <w:sz w:val="20"/>
                <w:lang w:val="es-PY" w:eastAsia="es-PY"/>
              </w:rPr>
            </w:pPr>
            <w:r>
              <w:rPr>
                <w:color w:val="000000"/>
                <w:sz w:val="20"/>
                <w:lang w:val="es-PY" w:eastAsia="es-PY"/>
              </w:rPr>
              <w:t xml:space="preserve">      </w:t>
            </w:r>
            <w:r w:rsidRPr="00A31BD1">
              <w:rPr>
                <w:color w:val="000000"/>
                <w:sz w:val="20"/>
                <w:lang w:val="es-PY" w:eastAsia="es-PY"/>
              </w:rPr>
              <w:t xml:space="preserve">356,16 </w:t>
            </w:r>
          </w:p>
        </w:tc>
        <w:tc>
          <w:tcPr>
            <w:tcW w:w="2409" w:type="dxa"/>
            <w:tcBorders>
              <w:top w:val="nil"/>
              <w:left w:val="nil"/>
              <w:bottom w:val="single" w:sz="4" w:space="0" w:color="auto"/>
              <w:right w:val="single" w:sz="4" w:space="0" w:color="auto"/>
            </w:tcBorders>
            <w:shd w:val="clear" w:color="auto" w:fill="auto"/>
            <w:hideMark/>
          </w:tcPr>
          <w:p w:rsidR="002373EE" w:rsidRPr="00A31BD1" w:rsidRDefault="002373EE" w:rsidP="00B32C0F">
            <w:pPr>
              <w:rPr>
                <w:color w:val="000000"/>
                <w:sz w:val="20"/>
                <w:lang w:val="es-PY" w:eastAsia="es-PY"/>
              </w:rPr>
            </w:pPr>
            <w:r w:rsidRPr="00A31BD1">
              <w:rPr>
                <w:color w:val="000000"/>
                <w:sz w:val="20"/>
                <w:lang w:val="es-PY" w:eastAsia="es-PY"/>
              </w:rPr>
              <w:t>Proel Ingeniería</w:t>
            </w:r>
          </w:p>
        </w:tc>
        <w:tc>
          <w:tcPr>
            <w:tcW w:w="1390" w:type="dxa"/>
            <w:tcBorders>
              <w:top w:val="nil"/>
              <w:left w:val="nil"/>
              <w:bottom w:val="single" w:sz="4" w:space="0" w:color="auto"/>
              <w:right w:val="single" w:sz="4" w:space="0" w:color="auto"/>
            </w:tcBorders>
            <w:shd w:val="clear" w:color="auto" w:fill="auto"/>
            <w:noWrap/>
            <w:hideMark/>
          </w:tcPr>
          <w:p w:rsidR="002373EE" w:rsidRPr="00A31BD1" w:rsidRDefault="002373EE" w:rsidP="00B32C0F">
            <w:pPr>
              <w:jc w:val="right"/>
              <w:rPr>
                <w:color w:val="000000"/>
                <w:sz w:val="20"/>
                <w:lang w:val="es-PY" w:eastAsia="es-PY"/>
              </w:rPr>
            </w:pPr>
            <w:r w:rsidRPr="00A31BD1">
              <w:rPr>
                <w:color w:val="000000"/>
                <w:sz w:val="20"/>
                <w:lang w:val="es-PY" w:eastAsia="es-PY"/>
              </w:rPr>
              <w:t xml:space="preserve">24.092.328.590 </w:t>
            </w:r>
          </w:p>
        </w:tc>
        <w:tc>
          <w:tcPr>
            <w:tcW w:w="1230" w:type="dxa"/>
            <w:tcBorders>
              <w:top w:val="nil"/>
              <w:left w:val="nil"/>
              <w:bottom w:val="single" w:sz="4" w:space="0" w:color="auto"/>
              <w:right w:val="single" w:sz="4" w:space="0" w:color="auto"/>
            </w:tcBorders>
            <w:shd w:val="clear" w:color="auto" w:fill="auto"/>
            <w:noWrap/>
            <w:hideMark/>
          </w:tcPr>
          <w:p w:rsidR="002373EE" w:rsidRPr="00A31BD1" w:rsidRDefault="002373EE" w:rsidP="00B32C0F">
            <w:pPr>
              <w:jc w:val="right"/>
              <w:rPr>
                <w:color w:val="000000"/>
                <w:sz w:val="20"/>
                <w:lang w:val="es-PY" w:eastAsia="es-PY"/>
              </w:rPr>
            </w:pPr>
            <w:r>
              <w:rPr>
                <w:color w:val="000000"/>
                <w:sz w:val="20"/>
                <w:lang w:val="es-PY" w:eastAsia="es-PY"/>
              </w:rPr>
              <w:t xml:space="preserve">     </w:t>
            </w:r>
            <w:r w:rsidRPr="00A31BD1">
              <w:rPr>
                <w:color w:val="000000"/>
                <w:sz w:val="20"/>
                <w:lang w:val="es-PY" w:eastAsia="es-PY"/>
              </w:rPr>
              <w:t xml:space="preserve">5.466.832 </w:t>
            </w:r>
          </w:p>
        </w:tc>
        <w:tc>
          <w:tcPr>
            <w:tcW w:w="1230" w:type="dxa"/>
            <w:tcBorders>
              <w:top w:val="nil"/>
              <w:left w:val="nil"/>
              <w:bottom w:val="single" w:sz="4" w:space="0" w:color="auto"/>
              <w:right w:val="single" w:sz="4" w:space="0" w:color="auto"/>
            </w:tcBorders>
            <w:shd w:val="clear" w:color="auto" w:fill="auto"/>
            <w:noWrap/>
            <w:hideMark/>
          </w:tcPr>
          <w:p w:rsidR="002373EE" w:rsidRPr="00A31BD1" w:rsidRDefault="002373EE" w:rsidP="00B32C0F">
            <w:pPr>
              <w:jc w:val="right"/>
              <w:rPr>
                <w:color w:val="000000"/>
                <w:sz w:val="20"/>
                <w:lang w:val="es-PY" w:eastAsia="es-PY"/>
              </w:rPr>
            </w:pPr>
            <w:r>
              <w:rPr>
                <w:color w:val="000000"/>
                <w:sz w:val="20"/>
                <w:lang w:val="es-PY" w:eastAsia="es-PY"/>
              </w:rPr>
              <w:t xml:space="preserve">          </w:t>
            </w:r>
            <w:r w:rsidRPr="00A31BD1">
              <w:rPr>
                <w:color w:val="000000"/>
                <w:sz w:val="20"/>
                <w:lang w:val="es-PY" w:eastAsia="es-PY"/>
              </w:rPr>
              <w:t xml:space="preserve">  4.186 </w:t>
            </w:r>
          </w:p>
        </w:tc>
      </w:tr>
      <w:tr w:rsidR="002373EE" w:rsidRPr="00A31BD1" w:rsidTr="002373EE">
        <w:tc>
          <w:tcPr>
            <w:tcW w:w="1985" w:type="dxa"/>
            <w:tcBorders>
              <w:top w:val="nil"/>
              <w:left w:val="single" w:sz="4" w:space="0" w:color="auto"/>
              <w:bottom w:val="single" w:sz="4" w:space="0" w:color="auto"/>
              <w:right w:val="single" w:sz="4" w:space="0" w:color="auto"/>
            </w:tcBorders>
            <w:shd w:val="clear" w:color="auto" w:fill="auto"/>
            <w:noWrap/>
            <w:hideMark/>
          </w:tcPr>
          <w:p w:rsidR="002373EE" w:rsidRPr="00A31BD1" w:rsidRDefault="002373EE" w:rsidP="00B32C0F">
            <w:pPr>
              <w:rPr>
                <w:color w:val="000000"/>
                <w:sz w:val="20"/>
                <w:lang w:val="es-PY" w:eastAsia="es-PY"/>
              </w:rPr>
            </w:pPr>
            <w:r w:rsidRPr="00A31BD1">
              <w:rPr>
                <w:color w:val="000000"/>
                <w:sz w:val="20"/>
                <w:lang w:val="es-PY" w:eastAsia="es-PY"/>
              </w:rPr>
              <w:t>San Pedro</w:t>
            </w:r>
          </w:p>
        </w:tc>
        <w:tc>
          <w:tcPr>
            <w:tcW w:w="993" w:type="dxa"/>
            <w:tcBorders>
              <w:top w:val="nil"/>
              <w:left w:val="nil"/>
              <w:bottom w:val="single" w:sz="4" w:space="0" w:color="auto"/>
              <w:right w:val="single" w:sz="4" w:space="0" w:color="auto"/>
            </w:tcBorders>
            <w:shd w:val="clear" w:color="auto" w:fill="auto"/>
            <w:noWrap/>
            <w:hideMark/>
          </w:tcPr>
          <w:p w:rsidR="002373EE" w:rsidRPr="00A31BD1" w:rsidRDefault="002373EE" w:rsidP="00B32C0F">
            <w:pPr>
              <w:rPr>
                <w:color w:val="000000"/>
                <w:sz w:val="20"/>
                <w:lang w:val="es-PY" w:eastAsia="es-PY"/>
              </w:rPr>
            </w:pPr>
            <w:r>
              <w:rPr>
                <w:color w:val="000000"/>
                <w:sz w:val="20"/>
                <w:lang w:val="es-PY" w:eastAsia="es-PY"/>
              </w:rPr>
              <w:t xml:space="preserve">      </w:t>
            </w:r>
            <w:r w:rsidRPr="00A31BD1">
              <w:rPr>
                <w:color w:val="000000"/>
                <w:sz w:val="20"/>
                <w:lang w:val="es-PY" w:eastAsia="es-PY"/>
              </w:rPr>
              <w:t xml:space="preserve">418,59 </w:t>
            </w:r>
          </w:p>
        </w:tc>
        <w:tc>
          <w:tcPr>
            <w:tcW w:w="2409" w:type="dxa"/>
            <w:tcBorders>
              <w:top w:val="nil"/>
              <w:left w:val="nil"/>
              <w:bottom w:val="single" w:sz="4" w:space="0" w:color="auto"/>
              <w:right w:val="single" w:sz="4" w:space="0" w:color="auto"/>
            </w:tcBorders>
            <w:shd w:val="clear" w:color="auto" w:fill="auto"/>
            <w:hideMark/>
          </w:tcPr>
          <w:p w:rsidR="002373EE" w:rsidRPr="00A31BD1" w:rsidRDefault="002373EE" w:rsidP="00B32C0F">
            <w:pPr>
              <w:rPr>
                <w:color w:val="000000"/>
                <w:sz w:val="20"/>
                <w:lang w:val="es-PY" w:eastAsia="es-PY"/>
              </w:rPr>
            </w:pPr>
            <w:r w:rsidRPr="00A31BD1">
              <w:rPr>
                <w:color w:val="000000"/>
                <w:sz w:val="20"/>
                <w:lang w:val="es-PY" w:eastAsia="es-PY"/>
              </w:rPr>
              <w:t>DC Ingeniería SA</w:t>
            </w:r>
          </w:p>
        </w:tc>
        <w:tc>
          <w:tcPr>
            <w:tcW w:w="1390" w:type="dxa"/>
            <w:tcBorders>
              <w:top w:val="nil"/>
              <w:left w:val="nil"/>
              <w:bottom w:val="single" w:sz="4" w:space="0" w:color="auto"/>
              <w:right w:val="single" w:sz="4" w:space="0" w:color="auto"/>
            </w:tcBorders>
            <w:shd w:val="clear" w:color="auto" w:fill="auto"/>
            <w:noWrap/>
            <w:hideMark/>
          </w:tcPr>
          <w:p w:rsidR="002373EE" w:rsidRPr="00A31BD1" w:rsidRDefault="002373EE" w:rsidP="00B32C0F">
            <w:pPr>
              <w:jc w:val="right"/>
              <w:rPr>
                <w:color w:val="000000"/>
                <w:sz w:val="20"/>
                <w:lang w:val="es-PY" w:eastAsia="es-PY"/>
              </w:rPr>
            </w:pPr>
            <w:r w:rsidRPr="00A31BD1">
              <w:rPr>
                <w:color w:val="000000"/>
                <w:sz w:val="20"/>
                <w:lang w:val="es-PY" w:eastAsia="es-PY"/>
              </w:rPr>
              <w:t xml:space="preserve">13.685.480.182 </w:t>
            </w:r>
          </w:p>
        </w:tc>
        <w:tc>
          <w:tcPr>
            <w:tcW w:w="1230" w:type="dxa"/>
            <w:tcBorders>
              <w:top w:val="nil"/>
              <w:left w:val="nil"/>
              <w:bottom w:val="single" w:sz="4" w:space="0" w:color="auto"/>
              <w:right w:val="single" w:sz="4" w:space="0" w:color="auto"/>
            </w:tcBorders>
            <w:shd w:val="clear" w:color="auto" w:fill="auto"/>
            <w:noWrap/>
            <w:hideMark/>
          </w:tcPr>
          <w:p w:rsidR="002373EE" w:rsidRPr="00A31BD1" w:rsidRDefault="002373EE" w:rsidP="00B32C0F">
            <w:pPr>
              <w:jc w:val="right"/>
              <w:rPr>
                <w:color w:val="000000"/>
                <w:sz w:val="20"/>
                <w:lang w:val="es-PY" w:eastAsia="es-PY"/>
              </w:rPr>
            </w:pPr>
            <w:r>
              <w:rPr>
                <w:color w:val="000000"/>
                <w:sz w:val="20"/>
                <w:lang w:val="es-PY" w:eastAsia="es-PY"/>
              </w:rPr>
              <w:t xml:space="preserve">     </w:t>
            </w:r>
            <w:r w:rsidRPr="00A31BD1">
              <w:rPr>
                <w:color w:val="000000"/>
                <w:sz w:val="20"/>
                <w:lang w:val="es-PY" w:eastAsia="es-PY"/>
              </w:rPr>
              <w:t xml:space="preserve">3.105.396 </w:t>
            </w:r>
          </w:p>
        </w:tc>
        <w:tc>
          <w:tcPr>
            <w:tcW w:w="1230" w:type="dxa"/>
            <w:tcBorders>
              <w:top w:val="nil"/>
              <w:left w:val="nil"/>
              <w:bottom w:val="single" w:sz="4" w:space="0" w:color="auto"/>
              <w:right w:val="single" w:sz="4" w:space="0" w:color="auto"/>
            </w:tcBorders>
            <w:shd w:val="clear" w:color="auto" w:fill="auto"/>
            <w:noWrap/>
            <w:hideMark/>
          </w:tcPr>
          <w:p w:rsidR="002373EE" w:rsidRPr="00A31BD1" w:rsidRDefault="002373EE" w:rsidP="00B32C0F">
            <w:pPr>
              <w:jc w:val="right"/>
              <w:rPr>
                <w:color w:val="000000"/>
                <w:sz w:val="20"/>
                <w:lang w:val="es-PY" w:eastAsia="es-PY"/>
              </w:rPr>
            </w:pPr>
            <w:r>
              <w:rPr>
                <w:color w:val="000000"/>
                <w:sz w:val="20"/>
                <w:lang w:val="es-PY" w:eastAsia="es-PY"/>
              </w:rPr>
              <w:t xml:space="preserve">      </w:t>
            </w:r>
            <w:r w:rsidRPr="00A31BD1">
              <w:rPr>
                <w:color w:val="000000"/>
                <w:sz w:val="20"/>
                <w:lang w:val="es-PY" w:eastAsia="es-PY"/>
              </w:rPr>
              <w:t xml:space="preserve">      2.023 </w:t>
            </w:r>
          </w:p>
        </w:tc>
      </w:tr>
      <w:tr w:rsidR="002373EE" w:rsidRPr="00A31BD1" w:rsidTr="002373EE">
        <w:tc>
          <w:tcPr>
            <w:tcW w:w="1985" w:type="dxa"/>
            <w:tcBorders>
              <w:top w:val="nil"/>
              <w:left w:val="single" w:sz="4" w:space="0" w:color="auto"/>
              <w:bottom w:val="single" w:sz="4" w:space="0" w:color="auto"/>
              <w:right w:val="single" w:sz="4" w:space="0" w:color="auto"/>
            </w:tcBorders>
            <w:shd w:val="clear" w:color="auto" w:fill="auto"/>
            <w:noWrap/>
            <w:hideMark/>
          </w:tcPr>
          <w:p w:rsidR="002373EE" w:rsidRPr="00A31BD1" w:rsidRDefault="002373EE" w:rsidP="00B32C0F">
            <w:pPr>
              <w:rPr>
                <w:color w:val="000000"/>
                <w:sz w:val="20"/>
                <w:lang w:val="es-PY" w:eastAsia="es-PY"/>
              </w:rPr>
            </w:pPr>
            <w:r w:rsidRPr="00A31BD1">
              <w:rPr>
                <w:color w:val="000000"/>
                <w:sz w:val="20"/>
                <w:lang w:val="es-PY" w:eastAsia="es-PY"/>
              </w:rPr>
              <w:t>Concepción - Amambay</w:t>
            </w:r>
          </w:p>
        </w:tc>
        <w:tc>
          <w:tcPr>
            <w:tcW w:w="993" w:type="dxa"/>
            <w:tcBorders>
              <w:top w:val="nil"/>
              <w:left w:val="nil"/>
              <w:bottom w:val="single" w:sz="4" w:space="0" w:color="auto"/>
              <w:right w:val="single" w:sz="4" w:space="0" w:color="auto"/>
            </w:tcBorders>
            <w:shd w:val="clear" w:color="auto" w:fill="auto"/>
            <w:noWrap/>
            <w:hideMark/>
          </w:tcPr>
          <w:p w:rsidR="002373EE" w:rsidRPr="00A31BD1" w:rsidRDefault="002373EE" w:rsidP="00B32C0F">
            <w:pPr>
              <w:rPr>
                <w:color w:val="000000"/>
                <w:sz w:val="20"/>
                <w:lang w:val="es-PY" w:eastAsia="es-PY"/>
              </w:rPr>
            </w:pPr>
            <w:r>
              <w:rPr>
                <w:color w:val="000000"/>
                <w:sz w:val="20"/>
                <w:lang w:val="es-PY" w:eastAsia="es-PY"/>
              </w:rPr>
              <w:t xml:space="preserve">      </w:t>
            </w:r>
            <w:r w:rsidRPr="00A31BD1">
              <w:rPr>
                <w:color w:val="000000"/>
                <w:sz w:val="20"/>
                <w:lang w:val="es-PY" w:eastAsia="es-PY"/>
              </w:rPr>
              <w:t xml:space="preserve">401,71 </w:t>
            </w:r>
          </w:p>
        </w:tc>
        <w:tc>
          <w:tcPr>
            <w:tcW w:w="2409" w:type="dxa"/>
            <w:tcBorders>
              <w:top w:val="nil"/>
              <w:left w:val="nil"/>
              <w:bottom w:val="single" w:sz="4" w:space="0" w:color="auto"/>
              <w:right w:val="single" w:sz="4" w:space="0" w:color="auto"/>
            </w:tcBorders>
            <w:shd w:val="clear" w:color="auto" w:fill="auto"/>
            <w:hideMark/>
          </w:tcPr>
          <w:p w:rsidR="002373EE" w:rsidRPr="00A31BD1" w:rsidRDefault="002373EE" w:rsidP="00B32C0F">
            <w:pPr>
              <w:rPr>
                <w:color w:val="000000"/>
                <w:sz w:val="20"/>
                <w:lang w:val="es-PY" w:eastAsia="es-PY"/>
              </w:rPr>
            </w:pPr>
            <w:r w:rsidRPr="00A31BD1">
              <w:rPr>
                <w:color w:val="000000"/>
                <w:sz w:val="20"/>
                <w:lang w:val="es-PY" w:eastAsia="es-PY"/>
              </w:rPr>
              <w:t>Consorcio Mantenimiento Rural</w:t>
            </w:r>
          </w:p>
        </w:tc>
        <w:tc>
          <w:tcPr>
            <w:tcW w:w="1390" w:type="dxa"/>
            <w:tcBorders>
              <w:top w:val="nil"/>
              <w:left w:val="nil"/>
              <w:bottom w:val="single" w:sz="4" w:space="0" w:color="auto"/>
              <w:right w:val="single" w:sz="4" w:space="0" w:color="auto"/>
            </w:tcBorders>
            <w:shd w:val="clear" w:color="auto" w:fill="auto"/>
            <w:noWrap/>
            <w:hideMark/>
          </w:tcPr>
          <w:p w:rsidR="002373EE" w:rsidRPr="00A31BD1" w:rsidRDefault="002373EE" w:rsidP="00B32C0F">
            <w:pPr>
              <w:jc w:val="right"/>
              <w:rPr>
                <w:color w:val="000000"/>
                <w:sz w:val="20"/>
                <w:lang w:val="es-PY" w:eastAsia="es-PY"/>
              </w:rPr>
            </w:pPr>
            <w:r w:rsidRPr="00A31BD1">
              <w:rPr>
                <w:color w:val="000000"/>
                <w:sz w:val="20"/>
                <w:lang w:val="es-PY" w:eastAsia="es-PY"/>
              </w:rPr>
              <w:t xml:space="preserve">16.698.187.766 </w:t>
            </w:r>
          </w:p>
        </w:tc>
        <w:tc>
          <w:tcPr>
            <w:tcW w:w="1230" w:type="dxa"/>
            <w:tcBorders>
              <w:top w:val="nil"/>
              <w:left w:val="nil"/>
              <w:bottom w:val="single" w:sz="4" w:space="0" w:color="auto"/>
              <w:right w:val="single" w:sz="4" w:space="0" w:color="auto"/>
            </w:tcBorders>
            <w:shd w:val="clear" w:color="auto" w:fill="auto"/>
            <w:noWrap/>
            <w:hideMark/>
          </w:tcPr>
          <w:p w:rsidR="002373EE" w:rsidRPr="00A31BD1" w:rsidRDefault="002373EE" w:rsidP="00B32C0F">
            <w:pPr>
              <w:jc w:val="right"/>
              <w:rPr>
                <w:color w:val="000000"/>
                <w:sz w:val="20"/>
                <w:lang w:val="es-PY" w:eastAsia="es-PY"/>
              </w:rPr>
            </w:pPr>
            <w:r>
              <w:rPr>
                <w:color w:val="000000"/>
                <w:sz w:val="20"/>
                <w:lang w:val="es-PY" w:eastAsia="es-PY"/>
              </w:rPr>
              <w:t xml:space="preserve">     </w:t>
            </w:r>
            <w:r w:rsidRPr="00A31BD1">
              <w:rPr>
                <w:color w:val="000000"/>
                <w:sz w:val="20"/>
                <w:lang w:val="es-PY" w:eastAsia="es-PY"/>
              </w:rPr>
              <w:t xml:space="preserve">3.789.015 </w:t>
            </w:r>
          </w:p>
        </w:tc>
        <w:tc>
          <w:tcPr>
            <w:tcW w:w="1230" w:type="dxa"/>
            <w:tcBorders>
              <w:top w:val="nil"/>
              <w:left w:val="nil"/>
              <w:bottom w:val="single" w:sz="4" w:space="0" w:color="auto"/>
              <w:right w:val="single" w:sz="4" w:space="0" w:color="auto"/>
            </w:tcBorders>
            <w:shd w:val="clear" w:color="auto" w:fill="auto"/>
            <w:noWrap/>
            <w:hideMark/>
          </w:tcPr>
          <w:p w:rsidR="002373EE" w:rsidRPr="00A31BD1" w:rsidRDefault="002373EE" w:rsidP="00B32C0F">
            <w:pPr>
              <w:jc w:val="right"/>
              <w:rPr>
                <w:color w:val="000000"/>
                <w:sz w:val="20"/>
                <w:lang w:val="es-PY" w:eastAsia="es-PY"/>
              </w:rPr>
            </w:pPr>
            <w:r>
              <w:rPr>
                <w:color w:val="000000"/>
                <w:sz w:val="20"/>
                <w:lang w:val="es-PY" w:eastAsia="es-PY"/>
              </w:rPr>
              <w:t xml:space="preserve">         </w:t>
            </w:r>
            <w:r w:rsidRPr="00A31BD1">
              <w:rPr>
                <w:color w:val="000000"/>
                <w:sz w:val="20"/>
                <w:lang w:val="es-PY" w:eastAsia="es-PY"/>
              </w:rPr>
              <w:t xml:space="preserve">   2.572 </w:t>
            </w:r>
          </w:p>
        </w:tc>
      </w:tr>
      <w:tr w:rsidR="002373EE" w:rsidRPr="00A31BD1" w:rsidTr="002373EE">
        <w:tc>
          <w:tcPr>
            <w:tcW w:w="1985" w:type="dxa"/>
            <w:tcBorders>
              <w:top w:val="nil"/>
              <w:left w:val="single" w:sz="4" w:space="0" w:color="auto"/>
              <w:bottom w:val="single" w:sz="4" w:space="0" w:color="auto"/>
              <w:right w:val="single" w:sz="4" w:space="0" w:color="auto"/>
            </w:tcBorders>
            <w:shd w:val="clear" w:color="auto" w:fill="auto"/>
            <w:noWrap/>
            <w:hideMark/>
          </w:tcPr>
          <w:p w:rsidR="002373EE" w:rsidRPr="002373EE" w:rsidRDefault="002373EE" w:rsidP="00B32C0F">
            <w:pPr>
              <w:rPr>
                <w:b/>
                <w:color w:val="000000"/>
                <w:sz w:val="20"/>
                <w:lang w:val="es-PY" w:eastAsia="es-PY"/>
              </w:rPr>
            </w:pPr>
            <w:r w:rsidRPr="002373EE">
              <w:rPr>
                <w:b/>
                <w:color w:val="000000"/>
                <w:sz w:val="20"/>
                <w:lang w:val="es-PY" w:eastAsia="es-PY"/>
              </w:rPr>
              <w:t>Suma</w:t>
            </w:r>
          </w:p>
        </w:tc>
        <w:tc>
          <w:tcPr>
            <w:tcW w:w="993" w:type="dxa"/>
            <w:tcBorders>
              <w:top w:val="nil"/>
              <w:left w:val="nil"/>
              <w:bottom w:val="double" w:sz="6" w:space="0" w:color="auto"/>
              <w:right w:val="single" w:sz="4" w:space="0" w:color="auto"/>
            </w:tcBorders>
            <w:shd w:val="clear" w:color="auto" w:fill="auto"/>
            <w:noWrap/>
            <w:hideMark/>
          </w:tcPr>
          <w:p w:rsidR="002373EE" w:rsidRPr="002373EE" w:rsidRDefault="002373EE" w:rsidP="00B32C0F">
            <w:pPr>
              <w:rPr>
                <w:b/>
                <w:color w:val="000000"/>
                <w:sz w:val="20"/>
                <w:lang w:val="es-PY" w:eastAsia="es-PY"/>
              </w:rPr>
            </w:pPr>
            <w:r w:rsidRPr="002373EE">
              <w:rPr>
                <w:b/>
                <w:color w:val="000000"/>
                <w:sz w:val="20"/>
                <w:lang w:val="es-PY" w:eastAsia="es-PY"/>
              </w:rPr>
              <w:t xml:space="preserve">   1.176,46 </w:t>
            </w:r>
          </w:p>
        </w:tc>
        <w:tc>
          <w:tcPr>
            <w:tcW w:w="2409" w:type="dxa"/>
            <w:tcBorders>
              <w:top w:val="nil"/>
              <w:left w:val="nil"/>
              <w:bottom w:val="single" w:sz="4" w:space="0" w:color="auto"/>
              <w:right w:val="nil"/>
            </w:tcBorders>
            <w:shd w:val="clear" w:color="auto" w:fill="auto"/>
            <w:noWrap/>
            <w:hideMark/>
          </w:tcPr>
          <w:p w:rsidR="002373EE" w:rsidRPr="002373EE" w:rsidRDefault="002373EE" w:rsidP="00B32C0F">
            <w:pPr>
              <w:rPr>
                <w:b/>
                <w:color w:val="000000"/>
                <w:sz w:val="20"/>
                <w:lang w:val="es-PY" w:eastAsia="es-PY"/>
              </w:rPr>
            </w:pPr>
            <w:r w:rsidRPr="002373EE">
              <w:rPr>
                <w:b/>
                <w:color w:val="000000"/>
                <w:sz w:val="20"/>
                <w:lang w:val="es-PY" w:eastAsia="es-PY"/>
              </w:rPr>
              <w:t> </w:t>
            </w:r>
          </w:p>
        </w:tc>
        <w:tc>
          <w:tcPr>
            <w:tcW w:w="1390" w:type="dxa"/>
            <w:tcBorders>
              <w:top w:val="nil"/>
              <w:left w:val="nil"/>
              <w:bottom w:val="single" w:sz="4" w:space="0" w:color="auto"/>
              <w:right w:val="nil"/>
            </w:tcBorders>
            <w:shd w:val="clear" w:color="auto" w:fill="auto"/>
            <w:noWrap/>
            <w:hideMark/>
          </w:tcPr>
          <w:p w:rsidR="002373EE" w:rsidRPr="002373EE" w:rsidRDefault="002373EE" w:rsidP="00B32C0F">
            <w:pPr>
              <w:jc w:val="right"/>
              <w:rPr>
                <w:b/>
                <w:color w:val="000000"/>
                <w:sz w:val="20"/>
                <w:lang w:val="es-PY" w:eastAsia="es-PY"/>
              </w:rPr>
            </w:pPr>
            <w:r w:rsidRPr="002373EE">
              <w:rPr>
                <w:b/>
                <w:color w:val="000000"/>
                <w:sz w:val="20"/>
                <w:lang w:val="es-PY" w:eastAsia="es-PY"/>
              </w:rPr>
              <w:t> </w:t>
            </w:r>
          </w:p>
        </w:tc>
        <w:tc>
          <w:tcPr>
            <w:tcW w:w="1230" w:type="dxa"/>
            <w:tcBorders>
              <w:top w:val="nil"/>
              <w:left w:val="single" w:sz="4" w:space="0" w:color="auto"/>
              <w:bottom w:val="double" w:sz="6" w:space="0" w:color="auto"/>
              <w:right w:val="single" w:sz="4" w:space="0" w:color="auto"/>
            </w:tcBorders>
            <w:shd w:val="clear" w:color="auto" w:fill="auto"/>
            <w:noWrap/>
            <w:hideMark/>
          </w:tcPr>
          <w:p w:rsidR="002373EE" w:rsidRPr="002373EE" w:rsidRDefault="002373EE" w:rsidP="00B32C0F">
            <w:pPr>
              <w:jc w:val="right"/>
              <w:rPr>
                <w:b/>
                <w:color w:val="000000"/>
                <w:sz w:val="20"/>
                <w:lang w:val="es-PY" w:eastAsia="es-PY"/>
              </w:rPr>
            </w:pPr>
            <w:r w:rsidRPr="002373EE">
              <w:rPr>
                <w:b/>
                <w:color w:val="000000"/>
                <w:sz w:val="20"/>
                <w:lang w:val="es-PY" w:eastAsia="es-PY"/>
              </w:rPr>
              <w:t xml:space="preserve">   12.361.243 </w:t>
            </w:r>
          </w:p>
        </w:tc>
        <w:tc>
          <w:tcPr>
            <w:tcW w:w="1230" w:type="dxa"/>
            <w:tcBorders>
              <w:top w:val="nil"/>
              <w:left w:val="nil"/>
              <w:bottom w:val="single" w:sz="4" w:space="0" w:color="auto"/>
              <w:right w:val="single" w:sz="4" w:space="0" w:color="auto"/>
            </w:tcBorders>
            <w:shd w:val="clear" w:color="auto" w:fill="auto"/>
            <w:noWrap/>
            <w:hideMark/>
          </w:tcPr>
          <w:p w:rsidR="002373EE" w:rsidRPr="002373EE" w:rsidRDefault="002373EE" w:rsidP="00B32C0F">
            <w:pPr>
              <w:jc w:val="right"/>
              <w:rPr>
                <w:b/>
                <w:color w:val="000000"/>
                <w:sz w:val="20"/>
                <w:lang w:val="es-PY" w:eastAsia="es-PY"/>
              </w:rPr>
            </w:pPr>
            <w:r w:rsidRPr="002373EE">
              <w:rPr>
                <w:b/>
                <w:color w:val="000000"/>
                <w:sz w:val="20"/>
                <w:lang w:val="es-PY" w:eastAsia="es-PY"/>
              </w:rPr>
              <w:t xml:space="preserve">            2.866 </w:t>
            </w:r>
          </w:p>
        </w:tc>
      </w:tr>
    </w:tbl>
    <w:p w:rsidR="002373EE" w:rsidRDefault="002373EE" w:rsidP="007729CE">
      <w:pPr>
        <w:spacing w:before="240" w:after="120" w:line="240" w:lineRule="atLeast"/>
        <w:ind w:left="709"/>
        <w:jc w:val="both"/>
        <w:rPr>
          <w:bCs/>
        </w:rPr>
      </w:pPr>
    </w:p>
    <w:p w:rsidR="00703F06" w:rsidRPr="002373EE" w:rsidRDefault="00703F06" w:rsidP="00703F06">
      <w:pPr>
        <w:spacing w:before="240" w:after="120" w:line="240" w:lineRule="atLeast"/>
        <w:jc w:val="both"/>
        <w:rPr>
          <w:bCs/>
          <w:sz w:val="22"/>
          <w:szCs w:val="22"/>
        </w:rPr>
      </w:pPr>
      <w:r>
        <w:rPr>
          <w:b/>
          <w:bCs/>
          <w:sz w:val="22"/>
          <w:szCs w:val="22"/>
        </w:rPr>
        <w:lastRenderedPageBreak/>
        <w:t>Cuadro comparativo general de modalidades.</w:t>
      </w:r>
    </w:p>
    <w:tbl>
      <w:tblPr>
        <w:tblW w:w="9082" w:type="dxa"/>
        <w:tblInd w:w="60" w:type="dxa"/>
        <w:tblCellMar>
          <w:left w:w="70" w:type="dxa"/>
          <w:right w:w="70" w:type="dxa"/>
        </w:tblCellMar>
        <w:tblLook w:val="04A0" w:firstRow="1" w:lastRow="0" w:firstColumn="1" w:lastColumn="0" w:noHBand="0" w:noVBand="1"/>
      </w:tblPr>
      <w:tblGrid>
        <w:gridCol w:w="1764"/>
        <w:gridCol w:w="1223"/>
        <w:gridCol w:w="1808"/>
        <w:gridCol w:w="1594"/>
        <w:gridCol w:w="1360"/>
        <w:gridCol w:w="1333"/>
      </w:tblGrid>
      <w:tr w:rsidR="00703F06" w:rsidRPr="00DE733C" w:rsidTr="00B32C0F">
        <w:trPr>
          <w:tblHeader/>
        </w:trPr>
        <w:tc>
          <w:tcPr>
            <w:tcW w:w="1764" w:type="dxa"/>
            <w:tcBorders>
              <w:top w:val="single" w:sz="8" w:space="0" w:color="auto"/>
              <w:left w:val="single" w:sz="8" w:space="0" w:color="auto"/>
              <w:bottom w:val="double" w:sz="6" w:space="0" w:color="auto"/>
              <w:right w:val="single" w:sz="4" w:space="0" w:color="auto"/>
            </w:tcBorders>
            <w:shd w:val="clear" w:color="000000" w:fill="DAEEF3"/>
            <w:vAlign w:val="center"/>
            <w:hideMark/>
          </w:tcPr>
          <w:p w:rsidR="00703F06" w:rsidRPr="00DE733C" w:rsidRDefault="00703F06" w:rsidP="00B32C0F">
            <w:pPr>
              <w:keepNext/>
              <w:jc w:val="center"/>
              <w:rPr>
                <w:b/>
                <w:bCs/>
                <w:color w:val="000000"/>
                <w:sz w:val="20"/>
                <w:lang w:val="es-PY" w:eastAsia="es-PY"/>
              </w:rPr>
            </w:pPr>
            <w:r w:rsidRPr="00DE733C">
              <w:rPr>
                <w:b/>
                <w:bCs/>
                <w:color w:val="000000"/>
                <w:sz w:val="20"/>
                <w:lang w:val="es-PY" w:eastAsia="es-PY"/>
              </w:rPr>
              <w:t>Área geográfica</w:t>
            </w:r>
          </w:p>
        </w:tc>
        <w:tc>
          <w:tcPr>
            <w:tcW w:w="1223" w:type="dxa"/>
            <w:tcBorders>
              <w:top w:val="single" w:sz="8" w:space="0" w:color="auto"/>
              <w:left w:val="nil"/>
              <w:bottom w:val="double" w:sz="6" w:space="0" w:color="auto"/>
              <w:right w:val="single" w:sz="4" w:space="0" w:color="auto"/>
            </w:tcBorders>
            <w:shd w:val="clear" w:color="000000" w:fill="DAEEF3"/>
            <w:vAlign w:val="center"/>
            <w:hideMark/>
          </w:tcPr>
          <w:p w:rsidR="00703F06" w:rsidRPr="00DE733C" w:rsidRDefault="00703F06" w:rsidP="00B32C0F">
            <w:pPr>
              <w:keepNext/>
              <w:jc w:val="center"/>
              <w:rPr>
                <w:b/>
                <w:bCs/>
                <w:color w:val="000000"/>
                <w:sz w:val="20"/>
                <w:lang w:val="es-PY" w:eastAsia="es-PY"/>
              </w:rPr>
            </w:pPr>
            <w:r w:rsidRPr="00DE733C">
              <w:rPr>
                <w:b/>
                <w:bCs/>
                <w:color w:val="000000"/>
                <w:sz w:val="20"/>
                <w:lang w:val="es-PY" w:eastAsia="es-PY"/>
              </w:rPr>
              <w:t>Extensión (km)</w:t>
            </w:r>
          </w:p>
        </w:tc>
        <w:tc>
          <w:tcPr>
            <w:tcW w:w="1808" w:type="dxa"/>
            <w:tcBorders>
              <w:top w:val="single" w:sz="8" w:space="0" w:color="auto"/>
              <w:left w:val="nil"/>
              <w:bottom w:val="double" w:sz="6" w:space="0" w:color="auto"/>
              <w:right w:val="single" w:sz="4" w:space="0" w:color="auto"/>
            </w:tcBorders>
            <w:shd w:val="clear" w:color="000000" w:fill="DAEEF3"/>
            <w:vAlign w:val="center"/>
            <w:hideMark/>
          </w:tcPr>
          <w:p w:rsidR="00703F06" w:rsidRPr="00DE733C" w:rsidRDefault="00703F06" w:rsidP="00B32C0F">
            <w:pPr>
              <w:keepNext/>
              <w:jc w:val="center"/>
              <w:rPr>
                <w:b/>
                <w:bCs/>
                <w:color w:val="000000"/>
                <w:sz w:val="20"/>
                <w:lang w:val="es-PY" w:eastAsia="es-PY"/>
              </w:rPr>
            </w:pPr>
            <w:r w:rsidRPr="00DE733C">
              <w:rPr>
                <w:b/>
                <w:bCs/>
                <w:color w:val="000000"/>
                <w:sz w:val="20"/>
                <w:lang w:val="es-PY" w:eastAsia="es-PY"/>
              </w:rPr>
              <w:t>Ejecutores</w:t>
            </w:r>
          </w:p>
        </w:tc>
        <w:tc>
          <w:tcPr>
            <w:tcW w:w="4287" w:type="dxa"/>
            <w:gridSpan w:val="3"/>
            <w:tcBorders>
              <w:top w:val="single" w:sz="8" w:space="0" w:color="auto"/>
              <w:left w:val="nil"/>
              <w:bottom w:val="double" w:sz="6" w:space="0" w:color="auto"/>
              <w:right w:val="single" w:sz="8" w:space="0" w:color="000000"/>
            </w:tcBorders>
            <w:shd w:val="clear" w:color="000000" w:fill="DAEEF3"/>
            <w:vAlign w:val="center"/>
            <w:hideMark/>
          </w:tcPr>
          <w:p w:rsidR="00703F06" w:rsidRPr="00DE733C" w:rsidRDefault="00703F06" w:rsidP="00B32C0F">
            <w:pPr>
              <w:keepNext/>
              <w:jc w:val="center"/>
              <w:rPr>
                <w:b/>
                <w:bCs/>
                <w:color w:val="000000"/>
                <w:sz w:val="20"/>
                <w:lang w:val="es-PY" w:eastAsia="es-PY"/>
              </w:rPr>
            </w:pPr>
            <w:r w:rsidRPr="00DE733C">
              <w:rPr>
                <w:b/>
                <w:bCs/>
                <w:color w:val="000000"/>
                <w:sz w:val="20"/>
                <w:lang w:val="es-PY" w:eastAsia="es-PY"/>
              </w:rPr>
              <w:t xml:space="preserve"> Valores de US$/km/año </w:t>
            </w:r>
          </w:p>
        </w:tc>
      </w:tr>
      <w:tr w:rsidR="00703F06" w:rsidRPr="00DE733C" w:rsidTr="00B32C0F">
        <w:tc>
          <w:tcPr>
            <w:tcW w:w="4795" w:type="dxa"/>
            <w:gridSpan w:val="3"/>
            <w:tcBorders>
              <w:top w:val="nil"/>
              <w:left w:val="single" w:sz="8" w:space="0" w:color="auto"/>
              <w:bottom w:val="single" w:sz="4" w:space="0" w:color="auto"/>
              <w:right w:val="single" w:sz="4" w:space="0" w:color="000000"/>
            </w:tcBorders>
            <w:shd w:val="clear" w:color="000000" w:fill="DAEEF3"/>
            <w:noWrap/>
            <w:vAlign w:val="center"/>
            <w:hideMark/>
          </w:tcPr>
          <w:p w:rsidR="00703F06" w:rsidRPr="00DE733C" w:rsidRDefault="00703F06" w:rsidP="00B32C0F">
            <w:pPr>
              <w:keepNext/>
              <w:rPr>
                <w:b/>
                <w:bCs/>
                <w:color w:val="000000"/>
                <w:sz w:val="20"/>
                <w:lang w:val="es-PY" w:eastAsia="es-PY"/>
              </w:rPr>
            </w:pPr>
            <w:r w:rsidRPr="00DE733C">
              <w:rPr>
                <w:b/>
                <w:bCs/>
                <w:color w:val="000000"/>
                <w:sz w:val="20"/>
                <w:lang w:val="es-PY" w:eastAsia="es-PY"/>
              </w:rPr>
              <w:t>Modalidad por Convenio</w:t>
            </w:r>
          </w:p>
        </w:tc>
        <w:tc>
          <w:tcPr>
            <w:tcW w:w="1594" w:type="dxa"/>
            <w:tcBorders>
              <w:top w:val="nil"/>
              <w:left w:val="nil"/>
              <w:bottom w:val="single" w:sz="4" w:space="0" w:color="auto"/>
              <w:right w:val="single" w:sz="4" w:space="0" w:color="auto"/>
            </w:tcBorders>
            <w:shd w:val="clear" w:color="000000" w:fill="DAEEF3"/>
            <w:vAlign w:val="center"/>
            <w:hideMark/>
          </w:tcPr>
          <w:p w:rsidR="00703F06" w:rsidRPr="00DE733C" w:rsidRDefault="00703F06" w:rsidP="00B32C0F">
            <w:pPr>
              <w:keepNext/>
              <w:jc w:val="center"/>
              <w:rPr>
                <w:b/>
                <w:bCs/>
                <w:color w:val="000000"/>
                <w:sz w:val="20"/>
                <w:lang w:val="es-PY" w:eastAsia="es-PY"/>
              </w:rPr>
            </w:pPr>
            <w:r w:rsidRPr="00DE733C">
              <w:rPr>
                <w:b/>
                <w:bCs/>
                <w:color w:val="000000"/>
                <w:sz w:val="20"/>
                <w:lang w:val="es-PY" w:eastAsia="es-PY"/>
              </w:rPr>
              <w:t xml:space="preserve"> Gastos desembolsados </w:t>
            </w:r>
          </w:p>
        </w:tc>
        <w:tc>
          <w:tcPr>
            <w:tcW w:w="1360" w:type="dxa"/>
            <w:tcBorders>
              <w:top w:val="nil"/>
              <w:left w:val="nil"/>
              <w:bottom w:val="single" w:sz="4" w:space="0" w:color="auto"/>
              <w:right w:val="nil"/>
            </w:tcBorders>
            <w:shd w:val="clear" w:color="000000" w:fill="DAEEF3"/>
            <w:vAlign w:val="center"/>
            <w:hideMark/>
          </w:tcPr>
          <w:p w:rsidR="00703F06" w:rsidRPr="00DE733C" w:rsidRDefault="00703F06" w:rsidP="00B32C0F">
            <w:pPr>
              <w:keepNext/>
              <w:jc w:val="center"/>
              <w:rPr>
                <w:b/>
                <w:bCs/>
                <w:color w:val="000000"/>
                <w:sz w:val="20"/>
                <w:lang w:val="es-PY" w:eastAsia="es-PY"/>
              </w:rPr>
            </w:pPr>
            <w:r w:rsidRPr="00DE733C">
              <w:rPr>
                <w:b/>
                <w:bCs/>
                <w:color w:val="000000"/>
                <w:sz w:val="20"/>
                <w:lang w:val="es-PY" w:eastAsia="es-PY"/>
              </w:rPr>
              <w:t xml:space="preserve"> Amortización de equipos </w:t>
            </w:r>
          </w:p>
        </w:tc>
        <w:tc>
          <w:tcPr>
            <w:tcW w:w="1333" w:type="dxa"/>
            <w:tcBorders>
              <w:top w:val="nil"/>
              <w:left w:val="single" w:sz="4" w:space="0" w:color="auto"/>
              <w:bottom w:val="single" w:sz="4" w:space="0" w:color="auto"/>
              <w:right w:val="single" w:sz="8" w:space="0" w:color="auto"/>
            </w:tcBorders>
            <w:shd w:val="clear" w:color="000000" w:fill="DAEEF3"/>
            <w:vAlign w:val="center"/>
            <w:hideMark/>
          </w:tcPr>
          <w:p w:rsidR="00703F06" w:rsidRPr="00DE733C" w:rsidRDefault="00703F06" w:rsidP="00B32C0F">
            <w:pPr>
              <w:keepNext/>
              <w:jc w:val="center"/>
              <w:rPr>
                <w:b/>
                <w:bCs/>
                <w:color w:val="000000"/>
                <w:sz w:val="20"/>
                <w:lang w:val="es-PY" w:eastAsia="es-PY"/>
              </w:rPr>
            </w:pPr>
            <w:r w:rsidRPr="00DE733C">
              <w:rPr>
                <w:b/>
                <w:bCs/>
                <w:color w:val="000000"/>
                <w:sz w:val="20"/>
                <w:lang w:val="es-PY" w:eastAsia="es-PY"/>
              </w:rPr>
              <w:t xml:space="preserve"> Sumas </w:t>
            </w:r>
          </w:p>
        </w:tc>
      </w:tr>
      <w:tr w:rsidR="00703F06" w:rsidRPr="00DE733C" w:rsidTr="00B32C0F">
        <w:tc>
          <w:tcPr>
            <w:tcW w:w="1764" w:type="dxa"/>
            <w:tcBorders>
              <w:top w:val="nil"/>
              <w:left w:val="single" w:sz="8" w:space="0" w:color="auto"/>
              <w:bottom w:val="single" w:sz="4" w:space="0" w:color="auto"/>
              <w:right w:val="single" w:sz="4" w:space="0" w:color="auto"/>
            </w:tcBorders>
            <w:shd w:val="clear" w:color="auto" w:fill="auto"/>
            <w:hideMark/>
          </w:tcPr>
          <w:p w:rsidR="00703F06" w:rsidRPr="00DE733C" w:rsidRDefault="00703F06" w:rsidP="00B32C0F">
            <w:pPr>
              <w:rPr>
                <w:color w:val="000000"/>
                <w:sz w:val="20"/>
                <w:lang w:val="es-PY" w:eastAsia="es-PY"/>
              </w:rPr>
            </w:pPr>
            <w:r>
              <w:rPr>
                <w:color w:val="000000"/>
                <w:sz w:val="20"/>
                <w:lang w:val="es-PY" w:eastAsia="es-PY"/>
              </w:rPr>
              <w:t>Itapúa</w:t>
            </w:r>
          </w:p>
        </w:tc>
        <w:tc>
          <w:tcPr>
            <w:tcW w:w="1223" w:type="dxa"/>
            <w:tcBorders>
              <w:top w:val="nil"/>
              <w:left w:val="nil"/>
              <w:bottom w:val="single" w:sz="4" w:space="0" w:color="auto"/>
              <w:right w:val="single" w:sz="4" w:space="0" w:color="auto"/>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427,64 </w:t>
            </w:r>
          </w:p>
        </w:tc>
        <w:tc>
          <w:tcPr>
            <w:tcW w:w="1808" w:type="dxa"/>
            <w:tcBorders>
              <w:top w:val="nil"/>
              <w:left w:val="nil"/>
              <w:bottom w:val="single" w:sz="4" w:space="0" w:color="auto"/>
              <w:right w:val="single" w:sz="4" w:space="0" w:color="auto"/>
            </w:tcBorders>
            <w:shd w:val="clear" w:color="auto" w:fill="auto"/>
            <w:noWrap/>
            <w:hideMark/>
          </w:tcPr>
          <w:p w:rsidR="00703F06" w:rsidRPr="00DE733C" w:rsidRDefault="00703F06" w:rsidP="00B32C0F">
            <w:pPr>
              <w:rPr>
                <w:color w:val="000000"/>
                <w:sz w:val="20"/>
                <w:lang w:val="es-PY" w:eastAsia="es-PY"/>
              </w:rPr>
            </w:pPr>
            <w:r w:rsidRPr="00DE733C">
              <w:rPr>
                <w:color w:val="000000"/>
                <w:sz w:val="20"/>
                <w:lang w:val="es-PY" w:eastAsia="es-PY"/>
              </w:rPr>
              <w:t xml:space="preserve"> Trinidad </w:t>
            </w:r>
          </w:p>
        </w:tc>
        <w:tc>
          <w:tcPr>
            <w:tcW w:w="1594" w:type="dxa"/>
            <w:tcBorders>
              <w:top w:val="nil"/>
              <w:left w:val="nil"/>
              <w:bottom w:val="single" w:sz="4" w:space="0" w:color="auto"/>
              <w:right w:val="nil"/>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2.403 </w:t>
            </w:r>
          </w:p>
        </w:tc>
        <w:tc>
          <w:tcPr>
            <w:tcW w:w="1360" w:type="dxa"/>
            <w:tcBorders>
              <w:top w:val="nil"/>
              <w:left w:val="single" w:sz="4" w:space="0" w:color="auto"/>
              <w:bottom w:val="single" w:sz="4" w:space="0" w:color="auto"/>
              <w:right w:val="nil"/>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453 </w:t>
            </w:r>
          </w:p>
        </w:tc>
        <w:tc>
          <w:tcPr>
            <w:tcW w:w="1333" w:type="dxa"/>
            <w:tcBorders>
              <w:top w:val="nil"/>
              <w:left w:val="single" w:sz="4" w:space="0" w:color="auto"/>
              <w:bottom w:val="single" w:sz="4" w:space="0" w:color="auto"/>
              <w:right w:val="single" w:sz="8" w:space="0" w:color="auto"/>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2.856 </w:t>
            </w:r>
          </w:p>
        </w:tc>
      </w:tr>
      <w:tr w:rsidR="00703F06" w:rsidRPr="00DE733C" w:rsidTr="00B32C0F">
        <w:tc>
          <w:tcPr>
            <w:tcW w:w="1764" w:type="dxa"/>
            <w:tcBorders>
              <w:top w:val="nil"/>
              <w:left w:val="single" w:sz="8" w:space="0" w:color="auto"/>
              <w:bottom w:val="single" w:sz="4" w:space="0" w:color="auto"/>
              <w:right w:val="single" w:sz="4" w:space="0" w:color="auto"/>
            </w:tcBorders>
            <w:shd w:val="clear" w:color="auto" w:fill="auto"/>
            <w:hideMark/>
          </w:tcPr>
          <w:p w:rsidR="00703F06" w:rsidRPr="00DE733C" w:rsidRDefault="00703F06" w:rsidP="00B32C0F">
            <w:pPr>
              <w:rPr>
                <w:color w:val="000000"/>
                <w:sz w:val="20"/>
                <w:lang w:val="es-PY" w:eastAsia="es-PY"/>
              </w:rPr>
            </w:pPr>
            <w:r w:rsidRPr="00DE733C">
              <w:rPr>
                <w:color w:val="000000"/>
                <w:sz w:val="20"/>
                <w:lang w:val="es-PY" w:eastAsia="es-PY"/>
              </w:rPr>
              <w:t>Alto Paraná Sur</w:t>
            </w:r>
          </w:p>
        </w:tc>
        <w:tc>
          <w:tcPr>
            <w:tcW w:w="1223" w:type="dxa"/>
            <w:tcBorders>
              <w:top w:val="nil"/>
              <w:left w:val="nil"/>
              <w:bottom w:val="single" w:sz="4" w:space="0" w:color="auto"/>
              <w:right w:val="single" w:sz="4" w:space="0" w:color="auto"/>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504,15 </w:t>
            </w:r>
          </w:p>
        </w:tc>
        <w:tc>
          <w:tcPr>
            <w:tcW w:w="1808" w:type="dxa"/>
            <w:tcBorders>
              <w:top w:val="nil"/>
              <w:left w:val="nil"/>
              <w:bottom w:val="single" w:sz="4" w:space="0" w:color="auto"/>
              <w:right w:val="single" w:sz="4" w:space="0" w:color="auto"/>
            </w:tcBorders>
            <w:shd w:val="clear" w:color="auto" w:fill="auto"/>
            <w:noWrap/>
            <w:hideMark/>
          </w:tcPr>
          <w:p w:rsidR="00703F06" w:rsidRPr="00DE733C" w:rsidRDefault="00703F06" w:rsidP="00B32C0F">
            <w:pPr>
              <w:rPr>
                <w:color w:val="000000"/>
                <w:sz w:val="20"/>
                <w:lang w:val="es-PY" w:eastAsia="es-PY"/>
              </w:rPr>
            </w:pPr>
            <w:r w:rsidRPr="00DE733C">
              <w:rPr>
                <w:color w:val="000000"/>
                <w:sz w:val="20"/>
                <w:lang w:val="es-PY" w:eastAsia="es-PY"/>
              </w:rPr>
              <w:t xml:space="preserve"> Naranjal </w:t>
            </w:r>
          </w:p>
        </w:tc>
        <w:tc>
          <w:tcPr>
            <w:tcW w:w="1594" w:type="dxa"/>
            <w:tcBorders>
              <w:top w:val="nil"/>
              <w:left w:val="nil"/>
              <w:bottom w:val="single" w:sz="4" w:space="0" w:color="auto"/>
              <w:right w:val="nil"/>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2.490 </w:t>
            </w:r>
          </w:p>
        </w:tc>
        <w:tc>
          <w:tcPr>
            <w:tcW w:w="1360" w:type="dxa"/>
            <w:tcBorders>
              <w:top w:val="nil"/>
              <w:left w:val="single" w:sz="4" w:space="0" w:color="auto"/>
              <w:bottom w:val="single" w:sz="4" w:space="0" w:color="auto"/>
              <w:right w:val="nil"/>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453 </w:t>
            </w:r>
          </w:p>
        </w:tc>
        <w:tc>
          <w:tcPr>
            <w:tcW w:w="1333" w:type="dxa"/>
            <w:tcBorders>
              <w:top w:val="nil"/>
              <w:left w:val="single" w:sz="4" w:space="0" w:color="auto"/>
              <w:bottom w:val="single" w:sz="4" w:space="0" w:color="auto"/>
              <w:right w:val="single" w:sz="8" w:space="0" w:color="auto"/>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2.943 </w:t>
            </w:r>
          </w:p>
        </w:tc>
      </w:tr>
      <w:tr w:rsidR="00703F06" w:rsidRPr="00DE733C" w:rsidTr="00B32C0F">
        <w:tc>
          <w:tcPr>
            <w:tcW w:w="1764" w:type="dxa"/>
            <w:tcBorders>
              <w:top w:val="nil"/>
              <w:left w:val="single" w:sz="8" w:space="0" w:color="auto"/>
              <w:bottom w:val="single" w:sz="4" w:space="0" w:color="auto"/>
              <w:right w:val="single" w:sz="4" w:space="0" w:color="auto"/>
            </w:tcBorders>
            <w:shd w:val="clear" w:color="auto" w:fill="auto"/>
            <w:hideMark/>
          </w:tcPr>
          <w:p w:rsidR="00703F06" w:rsidRPr="00DE733C" w:rsidRDefault="00703F06" w:rsidP="00B32C0F">
            <w:pPr>
              <w:rPr>
                <w:color w:val="000000"/>
                <w:sz w:val="20"/>
                <w:lang w:val="es-PY" w:eastAsia="es-PY"/>
              </w:rPr>
            </w:pPr>
            <w:r w:rsidRPr="00DE733C">
              <w:rPr>
                <w:color w:val="000000"/>
                <w:sz w:val="20"/>
                <w:lang w:val="es-PY" w:eastAsia="es-PY"/>
              </w:rPr>
              <w:t>Canindeyú Este</w:t>
            </w:r>
          </w:p>
        </w:tc>
        <w:tc>
          <w:tcPr>
            <w:tcW w:w="1223" w:type="dxa"/>
            <w:tcBorders>
              <w:top w:val="nil"/>
              <w:left w:val="nil"/>
              <w:bottom w:val="single" w:sz="4" w:space="0" w:color="auto"/>
              <w:right w:val="single" w:sz="4" w:space="0" w:color="auto"/>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436,60 </w:t>
            </w:r>
          </w:p>
        </w:tc>
        <w:tc>
          <w:tcPr>
            <w:tcW w:w="1808" w:type="dxa"/>
            <w:tcBorders>
              <w:top w:val="nil"/>
              <w:left w:val="nil"/>
              <w:bottom w:val="single" w:sz="4" w:space="0" w:color="auto"/>
              <w:right w:val="single" w:sz="4" w:space="0" w:color="auto"/>
            </w:tcBorders>
            <w:shd w:val="clear" w:color="auto" w:fill="auto"/>
            <w:noWrap/>
            <w:hideMark/>
          </w:tcPr>
          <w:p w:rsidR="00703F06" w:rsidRPr="00DE733C" w:rsidRDefault="00703F06" w:rsidP="00B32C0F">
            <w:pPr>
              <w:rPr>
                <w:color w:val="000000"/>
                <w:sz w:val="20"/>
                <w:lang w:val="es-PY" w:eastAsia="es-PY"/>
              </w:rPr>
            </w:pPr>
            <w:r w:rsidRPr="00DE733C">
              <w:rPr>
                <w:color w:val="000000"/>
                <w:sz w:val="20"/>
                <w:lang w:val="es-PY" w:eastAsia="es-PY"/>
              </w:rPr>
              <w:t xml:space="preserve"> Corpus Cristi </w:t>
            </w:r>
          </w:p>
        </w:tc>
        <w:tc>
          <w:tcPr>
            <w:tcW w:w="1594" w:type="dxa"/>
            <w:tcBorders>
              <w:top w:val="nil"/>
              <w:left w:val="nil"/>
              <w:bottom w:val="single" w:sz="4" w:space="0" w:color="auto"/>
              <w:right w:val="nil"/>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3.007 </w:t>
            </w:r>
          </w:p>
        </w:tc>
        <w:tc>
          <w:tcPr>
            <w:tcW w:w="1360" w:type="dxa"/>
            <w:tcBorders>
              <w:top w:val="nil"/>
              <w:left w:val="single" w:sz="4" w:space="0" w:color="auto"/>
              <w:bottom w:val="single" w:sz="4" w:space="0" w:color="auto"/>
              <w:right w:val="nil"/>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453 </w:t>
            </w:r>
          </w:p>
        </w:tc>
        <w:tc>
          <w:tcPr>
            <w:tcW w:w="1333" w:type="dxa"/>
            <w:tcBorders>
              <w:top w:val="nil"/>
              <w:left w:val="single" w:sz="4" w:space="0" w:color="auto"/>
              <w:bottom w:val="single" w:sz="4" w:space="0" w:color="auto"/>
              <w:right w:val="single" w:sz="8" w:space="0" w:color="auto"/>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3.460 </w:t>
            </w:r>
          </w:p>
        </w:tc>
      </w:tr>
      <w:tr w:rsidR="00703F06" w:rsidRPr="00DE733C" w:rsidTr="00B32C0F">
        <w:tc>
          <w:tcPr>
            <w:tcW w:w="1764" w:type="dxa"/>
            <w:tcBorders>
              <w:top w:val="nil"/>
              <w:left w:val="single" w:sz="8" w:space="0" w:color="auto"/>
              <w:bottom w:val="single" w:sz="4" w:space="0" w:color="auto"/>
              <w:right w:val="single" w:sz="4" w:space="0" w:color="auto"/>
            </w:tcBorders>
            <w:shd w:val="clear" w:color="auto" w:fill="auto"/>
            <w:hideMark/>
          </w:tcPr>
          <w:p w:rsidR="00703F06" w:rsidRPr="00DE733C" w:rsidRDefault="00703F06" w:rsidP="00B32C0F">
            <w:pPr>
              <w:rPr>
                <w:color w:val="000000"/>
                <w:sz w:val="20"/>
                <w:lang w:val="es-PY" w:eastAsia="es-PY"/>
              </w:rPr>
            </w:pPr>
            <w:r w:rsidRPr="00DE733C">
              <w:rPr>
                <w:color w:val="000000"/>
                <w:sz w:val="20"/>
                <w:lang w:val="es-PY" w:eastAsia="es-PY"/>
              </w:rPr>
              <w:t>Caazapá</w:t>
            </w:r>
          </w:p>
        </w:tc>
        <w:tc>
          <w:tcPr>
            <w:tcW w:w="1223" w:type="dxa"/>
            <w:tcBorders>
              <w:top w:val="nil"/>
              <w:left w:val="nil"/>
              <w:bottom w:val="single" w:sz="4" w:space="0" w:color="auto"/>
              <w:right w:val="single" w:sz="4" w:space="0" w:color="auto"/>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451,33 </w:t>
            </w:r>
          </w:p>
        </w:tc>
        <w:tc>
          <w:tcPr>
            <w:tcW w:w="1808" w:type="dxa"/>
            <w:tcBorders>
              <w:top w:val="nil"/>
              <w:left w:val="nil"/>
              <w:bottom w:val="single" w:sz="4" w:space="0" w:color="auto"/>
              <w:right w:val="single" w:sz="4" w:space="0" w:color="auto"/>
            </w:tcBorders>
            <w:shd w:val="clear" w:color="auto" w:fill="auto"/>
            <w:noWrap/>
            <w:hideMark/>
          </w:tcPr>
          <w:p w:rsidR="00703F06" w:rsidRPr="00DE733C" w:rsidRDefault="00703F06" w:rsidP="00B32C0F">
            <w:pPr>
              <w:rPr>
                <w:color w:val="000000"/>
                <w:sz w:val="20"/>
                <w:lang w:val="es-PY" w:eastAsia="es-PY"/>
              </w:rPr>
            </w:pPr>
            <w:r w:rsidRPr="00DE733C">
              <w:rPr>
                <w:color w:val="000000"/>
                <w:sz w:val="20"/>
                <w:lang w:val="es-PY" w:eastAsia="es-PY"/>
              </w:rPr>
              <w:t xml:space="preserve"> Caazapá </w:t>
            </w:r>
          </w:p>
        </w:tc>
        <w:tc>
          <w:tcPr>
            <w:tcW w:w="1594" w:type="dxa"/>
            <w:tcBorders>
              <w:top w:val="nil"/>
              <w:left w:val="nil"/>
              <w:bottom w:val="single" w:sz="4" w:space="0" w:color="auto"/>
              <w:right w:val="nil"/>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3.841 </w:t>
            </w:r>
          </w:p>
        </w:tc>
        <w:tc>
          <w:tcPr>
            <w:tcW w:w="1360" w:type="dxa"/>
            <w:tcBorders>
              <w:top w:val="nil"/>
              <w:left w:val="single" w:sz="4" w:space="0" w:color="auto"/>
              <w:bottom w:val="single" w:sz="4" w:space="0" w:color="auto"/>
              <w:right w:val="nil"/>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453 </w:t>
            </w:r>
          </w:p>
        </w:tc>
        <w:tc>
          <w:tcPr>
            <w:tcW w:w="1333" w:type="dxa"/>
            <w:tcBorders>
              <w:top w:val="nil"/>
              <w:left w:val="single" w:sz="4" w:space="0" w:color="auto"/>
              <w:bottom w:val="single" w:sz="4" w:space="0" w:color="auto"/>
              <w:right w:val="single" w:sz="8" w:space="0" w:color="auto"/>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4.294 </w:t>
            </w:r>
          </w:p>
        </w:tc>
      </w:tr>
      <w:tr w:rsidR="00703F06" w:rsidRPr="00DE733C" w:rsidTr="00B32C0F">
        <w:tc>
          <w:tcPr>
            <w:tcW w:w="1764" w:type="dxa"/>
            <w:tcBorders>
              <w:top w:val="nil"/>
              <w:left w:val="single" w:sz="8" w:space="0" w:color="auto"/>
              <w:bottom w:val="single" w:sz="4" w:space="0" w:color="auto"/>
              <w:right w:val="single" w:sz="4" w:space="0" w:color="auto"/>
            </w:tcBorders>
            <w:shd w:val="clear" w:color="auto" w:fill="auto"/>
            <w:hideMark/>
          </w:tcPr>
          <w:p w:rsidR="00703F06" w:rsidRPr="00DE733C" w:rsidRDefault="00703F06" w:rsidP="00B32C0F">
            <w:pPr>
              <w:rPr>
                <w:color w:val="000000"/>
                <w:sz w:val="20"/>
                <w:lang w:val="es-PY" w:eastAsia="es-PY"/>
              </w:rPr>
            </w:pPr>
            <w:r w:rsidRPr="00DE733C">
              <w:rPr>
                <w:color w:val="000000"/>
                <w:sz w:val="20"/>
                <w:lang w:val="es-PY" w:eastAsia="es-PY"/>
              </w:rPr>
              <w:t>Guairá</w:t>
            </w:r>
          </w:p>
        </w:tc>
        <w:tc>
          <w:tcPr>
            <w:tcW w:w="1223" w:type="dxa"/>
            <w:tcBorders>
              <w:top w:val="nil"/>
              <w:left w:val="nil"/>
              <w:bottom w:val="single" w:sz="4" w:space="0" w:color="auto"/>
              <w:right w:val="single" w:sz="4" w:space="0" w:color="auto"/>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321,53 </w:t>
            </w:r>
          </w:p>
        </w:tc>
        <w:tc>
          <w:tcPr>
            <w:tcW w:w="1808" w:type="dxa"/>
            <w:tcBorders>
              <w:top w:val="nil"/>
              <w:left w:val="nil"/>
              <w:bottom w:val="single" w:sz="4" w:space="0" w:color="auto"/>
              <w:right w:val="single" w:sz="4" w:space="0" w:color="auto"/>
            </w:tcBorders>
            <w:shd w:val="clear" w:color="auto" w:fill="auto"/>
            <w:noWrap/>
            <w:hideMark/>
          </w:tcPr>
          <w:p w:rsidR="00703F06" w:rsidRPr="00DE733C" w:rsidRDefault="00703F06" w:rsidP="00B32C0F">
            <w:pPr>
              <w:rPr>
                <w:color w:val="000000"/>
                <w:sz w:val="20"/>
                <w:lang w:val="es-PY" w:eastAsia="es-PY"/>
              </w:rPr>
            </w:pPr>
            <w:r w:rsidRPr="00DE733C">
              <w:rPr>
                <w:color w:val="000000"/>
                <w:sz w:val="20"/>
                <w:lang w:val="es-PY" w:eastAsia="es-PY"/>
              </w:rPr>
              <w:t xml:space="preserve"> Borja </w:t>
            </w:r>
          </w:p>
        </w:tc>
        <w:tc>
          <w:tcPr>
            <w:tcW w:w="1594" w:type="dxa"/>
            <w:tcBorders>
              <w:top w:val="nil"/>
              <w:left w:val="nil"/>
              <w:bottom w:val="single" w:sz="4" w:space="0" w:color="auto"/>
              <w:right w:val="nil"/>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4.896 </w:t>
            </w:r>
          </w:p>
        </w:tc>
        <w:tc>
          <w:tcPr>
            <w:tcW w:w="1360" w:type="dxa"/>
            <w:tcBorders>
              <w:top w:val="nil"/>
              <w:left w:val="single" w:sz="4" w:space="0" w:color="auto"/>
              <w:bottom w:val="single" w:sz="4" w:space="0" w:color="auto"/>
              <w:right w:val="nil"/>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453 </w:t>
            </w:r>
          </w:p>
        </w:tc>
        <w:tc>
          <w:tcPr>
            <w:tcW w:w="1333" w:type="dxa"/>
            <w:tcBorders>
              <w:top w:val="nil"/>
              <w:left w:val="single" w:sz="4" w:space="0" w:color="auto"/>
              <w:bottom w:val="single" w:sz="4" w:space="0" w:color="auto"/>
              <w:right w:val="single" w:sz="8" w:space="0" w:color="auto"/>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5.349 </w:t>
            </w:r>
          </w:p>
        </w:tc>
      </w:tr>
      <w:tr w:rsidR="00703F06" w:rsidRPr="00DE733C" w:rsidTr="00B32C0F">
        <w:tc>
          <w:tcPr>
            <w:tcW w:w="1764" w:type="dxa"/>
            <w:tcBorders>
              <w:top w:val="nil"/>
              <w:left w:val="single" w:sz="8" w:space="0" w:color="auto"/>
              <w:bottom w:val="single" w:sz="4" w:space="0" w:color="auto"/>
              <w:right w:val="nil"/>
            </w:tcBorders>
            <w:shd w:val="clear" w:color="auto" w:fill="auto"/>
            <w:noWrap/>
            <w:vAlign w:val="center"/>
            <w:hideMark/>
          </w:tcPr>
          <w:p w:rsidR="00703F06" w:rsidRPr="00DE733C" w:rsidRDefault="00703F06" w:rsidP="00B32C0F">
            <w:pPr>
              <w:rPr>
                <w:b/>
                <w:bCs/>
                <w:color w:val="000000"/>
                <w:sz w:val="20"/>
                <w:lang w:val="es-PY" w:eastAsia="es-PY"/>
              </w:rPr>
            </w:pPr>
            <w:r w:rsidRPr="00DE733C">
              <w:rPr>
                <w:b/>
                <w:bCs/>
                <w:color w:val="000000"/>
                <w:sz w:val="20"/>
                <w:lang w:val="es-PY" w:eastAsia="es-PY"/>
              </w:rPr>
              <w:t>Máximo</w:t>
            </w:r>
          </w:p>
        </w:tc>
        <w:tc>
          <w:tcPr>
            <w:tcW w:w="1223" w:type="dxa"/>
            <w:tcBorders>
              <w:top w:val="nil"/>
              <w:left w:val="nil"/>
              <w:bottom w:val="single" w:sz="4" w:space="0" w:color="auto"/>
              <w:right w:val="nil"/>
            </w:tcBorders>
            <w:shd w:val="clear" w:color="auto" w:fill="auto"/>
            <w:noWrap/>
            <w:vAlign w:val="bottom"/>
            <w:hideMark/>
          </w:tcPr>
          <w:p w:rsidR="00703F06" w:rsidRPr="00DE733C" w:rsidRDefault="00703F06" w:rsidP="00B32C0F">
            <w:pPr>
              <w:rPr>
                <w:rFonts w:ascii="Calibri" w:hAnsi="Calibri"/>
                <w:color w:val="000000"/>
                <w:sz w:val="20"/>
                <w:lang w:val="es-PY" w:eastAsia="es-PY"/>
              </w:rPr>
            </w:pPr>
            <w:r w:rsidRPr="00DE733C">
              <w:rPr>
                <w:rFonts w:ascii="Calibri" w:hAnsi="Calibri"/>
                <w:color w:val="000000"/>
                <w:sz w:val="20"/>
                <w:lang w:val="es-PY" w:eastAsia="es-PY"/>
              </w:rPr>
              <w:t> </w:t>
            </w:r>
          </w:p>
        </w:tc>
        <w:tc>
          <w:tcPr>
            <w:tcW w:w="1808" w:type="dxa"/>
            <w:tcBorders>
              <w:top w:val="nil"/>
              <w:left w:val="nil"/>
              <w:bottom w:val="single" w:sz="4" w:space="0" w:color="auto"/>
              <w:right w:val="nil"/>
            </w:tcBorders>
            <w:shd w:val="clear" w:color="auto" w:fill="auto"/>
            <w:noWrap/>
            <w:vAlign w:val="bottom"/>
            <w:hideMark/>
          </w:tcPr>
          <w:p w:rsidR="00703F06" w:rsidRPr="00DE733C" w:rsidRDefault="00703F06" w:rsidP="00B32C0F">
            <w:pPr>
              <w:rPr>
                <w:rFonts w:ascii="Calibri" w:hAnsi="Calibri"/>
                <w:color w:val="000000"/>
                <w:sz w:val="20"/>
                <w:lang w:val="es-PY" w:eastAsia="es-PY"/>
              </w:rPr>
            </w:pPr>
            <w:r w:rsidRPr="00DE733C">
              <w:rPr>
                <w:rFonts w:ascii="Calibri" w:hAnsi="Calibri"/>
                <w:color w:val="000000"/>
                <w:sz w:val="20"/>
                <w:lang w:val="es-PY" w:eastAsia="es-PY"/>
              </w:rPr>
              <w:t> </w:t>
            </w:r>
          </w:p>
        </w:tc>
        <w:tc>
          <w:tcPr>
            <w:tcW w:w="1594" w:type="dxa"/>
            <w:tcBorders>
              <w:top w:val="nil"/>
              <w:left w:val="nil"/>
              <w:bottom w:val="single" w:sz="4" w:space="0" w:color="auto"/>
              <w:right w:val="nil"/>
            </w:tcBorders>
            <w:shd w:val="clear" w:color="auto" w:fill="auto"/>
            <w:noWrap/>
            <w:hideMark/>
          </w:tcPr>
          <w:p w:rsidR="00703F06" w:rsidRPr="00DE733C" w:rsidRDefault="00703F06" w:rsidP="00B32C0F">
            <w:pPr>
              <w:jc w:val="right"/>
              <w:rPr>
                <w:rFonts w:ascii="Calibri" w:hAnsi="Calibri"/>
                <w:color w:val="000000"/>
                <w:sz w:val="20"/>
                <w:lang w:val="es-PY" w:eastAsia="es-PY"/>
              </w:rPr>
            </w:pPr>
            <w:r w:rsidRPr="00DE733C">
              <w:rPr>
                <w:rFonts w:ascii="Calibri" w:hAnsi="Calibri"/>
                <w:color w:val="000000"/>
                <w:sz w:val="20"/>
                <w:lang w:val="es-PY" w:eastAsia="es-PY"/>
              </w:rPr>
              <w:t> </w:t>
            </w:r>
          </w:p>
        </w:tc>
        <w:tc>
          <w:tcPr>
            <w:tcW w:w="1360" w:type="dxa"/>
            <w:tcBorders>
              <w:top w:val="nil"/>
              <w:left w:val="nil"/>
              <w:bottom w:val="single" w:sz="4" w:space="0" w:color="auto"/>
              <w:right w:val="nil"/>
            </w:tcBorders>
            <w:shd w:val="clear" w:color="auto" w:fill="auto"/>
            <w:noWrap/>
            <w:hideMark/>
          </w:tcPr>
          <w:p w:rsidR="00703F06" w:rsidRPr="00DE733C" w:rsidRDefault="00703F06" w:rsidP="00B32C0F">
            <w:pPr>
              <w:jc w:val="right"/>
              <w:rPr>
                <w:rFonts w:ascii="Calibri" w:hAnsi="Calibri"/>
                <w:color w:val="000000"/>
                <w:sz w:val="20"/>
                <w:lang w:val="es-PY" w:eastAsia="es-PY"/>
              </w:rPr>
            </w:pPr>
            <w:r w:rsidRPr="00DE733C">
              <w:rPr>
                <w:rFonts w:ascii="Calibri" w:hAnsi="Calibri"/>
                <w:color w:val="000000"/>
                <w:sz w:val="20"/>
                <w:lang w:val="es-PY" w:eastAsia="es-PY"/>
              </w:rPr>
              <w:t> </w:t>
            </w:r>
          </w:p>
        </w:tc>
        <w:tc>
          <w:tcPr>
            <w:tcW w:w="1333" w:type="dxa"/>
            <w:tcBorders>
              <w:top w:val="nil"/>
              <w:left w:val="single" w:sz="4" w:space="0" w:color="auto"/>
              <w:bottom w:val="single" w:sz="4" w:space="0" w:color="auto"/>
              <w:right w:val="single" w:sz="8" w:space="0" w:color="auto"/>
            </w:tcBorders>
            <w:shd w:val="clear" w:color="auto" w:fill="auto"/>
            <w:noWrap/>
            <w:hideMark/>
          </w:tcPr>
          <w:p w:rsidR="00703F06" w:rsidRPr="00DE733C" w:rsidRDefault="00703F06" w:rsidP="00B32C0F">
            <w:pPr>
              <w:jc w:val="right"/>
              <w:rPr>
                <w:b/>
                <w:bCs/>
                <w:color w:val="000000"/>
                <w:sz w:val="20"/>
                <w:lang w:val="es-PY" w:eastAsia="es-PY"/>
              </w:rPr>
            </w:pPr>
            <w:r w:rsidRPr="00DE733C">
              <w:rPr>
                <w:b/>
                <w:bCs/>
                <w:color w:val="000000"/>
                <w:sz w:val="20"/>
                <w:lang w:val="es-PY" w:eastAsia="es-PY"/>
              </w:rPr>
              <w:t xml:space="preserve">            5.349 </w:t>
            </w:r>
          </w:p>
        </w:tc>
      </w:tr>
      <w:tr w:rsidR="00703F06" w:rsidRPr="00DE733C" w:rsidTr="00B32C0F">
        <w:tc>
          <w:tcPr>
            <w:tcW w:w="1764" w:type="dxa"/>
            <w:tcBorders>
              <w:top w:val="nil"/>
              <w:left w:val="single" w:sz="8" w:space="0" w:color="auto"/>
              <w:bottom w:val="double" w:sz="6" w:space="0" w:color="auto"/>
              <w:right w:val="nil"/>
            </w:tcBorders>
            <w:shd w:val="clear" w:color="auto" w:fill="auto"/>
            <w:noWrap/>
            <w:vAlign w:val="center"/>
            <w:hideMark/>
          </w:tcPr>
          <w:p w:rsidR="00703F06" w:rsidRPr="00DE733C" w:rsidRDefault="00703F06" w:rsidP="00B32C0F">
            <w:pPr>
              <w:rPr>
                <w:b/>
                <w:bCs/>
                <w:color w:val="000000"/>
                <w:sz w:val="20"/>
                <w:lang w:val="es-PY" w:eastAsia="es-PY"/>
              </w:rPr>
            </w:pPr>
            <w:r w:rsidRPr="00DE733C">
              <w:rPr>
                <w:b/>
                <w:bCs/>
                <w:color w:val="000000"/>
                <w:sz w:val="20"/>
                <w:lang w:val="es-PY" w:eastAsia="es-PY"/>
              </w:rPr>
              <w:t>Mínimo</w:t>
            </w:r>
          </w:p>
        </w:tc>
        <w:tc>
          <w:tcPr>
            <w:tcW w:w="1223" w:type="dxa"/>
            <w:tcBorders>
              <w:top w:val="nil"/>
              <w:left w:val="nil"/>
              <w:bottom w:val="double" w:sz="6" w:space="0" w:color="auto"/>
              <w:right w:val="nil"/>
            </w:tcBorders>
            <w:shd w:val="clear" w:color="auto" w:fill="auto"/>
            <w:noWrap/>
            <w:vAlign w:val="bottom"/>
            <w:hideMark/>
          </w:tcPr>
          <w:p w:rsidR="00703F06" w:rsidRPr="00DE733C" w:rsidRDefault="00703F06" w:rsidP="00B32C0F">
            <w:pPr>
              <w:rPr>
                <w:rFonts w:ascii="Calibri" w:hAnsi="Calibri"/>
                <w:color w:val="000000"/>
                <w:sz w:val="20"/>
                <w:lang w:val="es-PY" w:eastAsia="es-PY"/>
              </w:rPr>
            </w:pPr>
            <w:r w:rsidRPr="00DE733C">
              <w:rPr>
                <w:rFonts w:ascii="Calibri" w:hAnsi="Calibri"/>
                <w:color w:val="000000"/>
                <w:sz w:val="20"/>
                <w:lang w:val="es-PY" w:eastAsia="es-PY"/>
              </w:rPr>
              <w:t> </w:t>
            </w:r>
          </w:p>
        </w:tc>
        <w:tc>
          <w:tcPr>
            <w:tcW w:w="1808" w:type="dxa"/>
            <w:tcBorders>
              <w:top w:val="nil"/>
              <w:left w:val="nil"/>
              <w:bottom w:val="double" w:sz="6" w:space="0" w:color="auto"/>
              <w:right w:val="nil"/>
            </w:tcBorders>
            <w:shd w:val="clear" w:color="auto" w:fill="auto"/>
            <w:noWrap/>
            <w:vAlign w:val="bottom"/>
            <w:hideMark/>
          </w:tcPr>
          <w:p w:rsidR="00703F06" w:rsidRPr="00DE733C" w:rsidRDefault="00703F06" w:rsidP="00B32C0F">
            <w:pPr>
              <w:rPr>
                <w:rFonts w:ascii="Calibri" w:hAnsi="Calibri"/>
                <w:color w:val="000000"/>
                <w:sz w:val="20"/>
                <w:lang w:val="es-PY" w:eastAsia="es-PY"/>
              </w:rPr>
            </w:pPr>
            <w:r w:rsidRPr="00DE733C">
              <w:rPr>
                <w:rFonts w:ascii="Calibri" w:hAnsi="Calibri"/>
                <w:color w:val="000000"/>
                <w:sz w:val="20"/>
                <w:lang w:val="es-PY" w:eastAsia="es-PY"/>
              </w:rPr>
              <w:t> </w:t>
            </w:r>
          </w:p>
        </w:tc>
        <w:tc>
          <w:tcPr>
            <w:tcW w:w="1594" w:type="dxa"/>
            <w:tcBorders>
              <w:top w:val="nil"/>
              <w:left w:val="nil"/>
              <w:bottom w:val="double" w:sz="6" w:space="0" w:color="auto"/>
              <w:right w:val="nil"/>
            </w:tcBorders>
            <w:shd w:val="clear" w:color="auto" w:fill="auto"/>
            <w:noWrap/>
            <w:hideMark/>
          </w:tcPr>
          <w:p w:rsidR="00703F06" w:rsidRPr="00DE733C" w:rsidRDefault="00703F06" w:rsidP="00B32C0F">
            <w:pPr>
              <w:jc w:val="right"/>
              <w:rPr>
                <w:rFonts w:ascii="Calibri" w:hAnsi="Calibri"/>
                <w:color w:val="000000"/>
                <w:sz w:val="20"/>
                <w:lang w:val="es-PY" w:eastAsia="es-PY"/>
              </w:rPr>
            </w:pPr>
            <w:r w:rsidRPr="00DE733C">
              <w:rPr>
                <w:rFonts w:ascii="Calibri" w:hAnsi="Calibri"/>
                <w:color w:val="000000"/>
                <w:sz w:val="20"/>
                <w:lang w:val="es-PY" w:eastAsia="es-PY"/>
              </w:rPr>
              <w:t> </w:t>
            </w:r>
          </w:p>
        </w:tc>
        <w:tc>
          <w:tcPr>
            <w:tcW w:w="1360" w:type="dxa"/>
            <w:tcBorders>
              <w:top w:val="nil"/>
              <w:left w:val="nil"/>
              <w:bottom w:val="double" w:sz="6" w:space="0" w:color="auto"/>
              <w:right w:val="nil"/>
            </w:tcBorders>
            <w:shd w:val="clear" w:color="auto" w:fill="auto"/>
            <w:noWrap/>
            <w:hideMark/>
          </w:tcPr>
          <w:p w:rsidR="00703F06" w:rsidRPr="00DE733C" w:rsidRDefault="00703F06" w:rsidP="00B32C0F">
            <w:pPr>
              <w:jc w:val="right"/>
              <w:rPr>
                <w:rFonts w:ascii="Calibri" w:hAnsi="Calibri"/>
                <w:color w:val="000000"/>
                <w:sz w:val="20"/>
                <w:lang w:val="es-PY" w:eastAsia="es-PY"/>
              </w:rPr>
            </w:pPr>
            <w:r w:rsidRPr="00DE733C">
              <w:rPr>
                <w:rFonts w:ascii="Calibri" w:hAnsi="Calibri"/>
                <w:color w:val="000000"/>
                <w:sz w:val="20"/>
                <w:lang w:val="es-PY" w:eastAsia="es-PY"/>
              </w:rPr>
              <w:t> </w:t>
            </w:r>
          </w:p>
        </w:tc>
        <w:tc>
          <w:tcPr>
            <w:tcW w:w="1333" w:type="dxa"/>
            <w:tcBorders>
              <w:top w:val="nil"/>
              <w:left w:val="single" w:sz="4" w:space="0" w:color="auto"/>
              <w:bottom w:val="double" w:sz="6" w:space="0" w:color="auto"/>
              <w:right w:val="single" w:sz="8" w:space="0" w:color="auto"/>
            </w:tcBorders>
            <w:shd w:val="clear" w:color="auto" w:fill="auto"/>
            <w:noWrap/>
            <w:hideMark/>
          </w:tcPr>
          <w:p w:rsidR="00703F06" w:rsidRPr="00DE733C" w:rsidRDefault="00703F06" w:rsidP="00B32C0F">
            <w:pPr>
              <w:jc w:val="right"/>
              <w:rPr>
                <w:b/>
                <w:bCs/>
                <w:color w:val="000000"/>
                <w:sz w:val="20"/>
                <w:lang w:val="es-PY" w:eastAsia="es-PY"/>
              </w:rPr>
            </w:pPr>
            <w:r w:rsidRPr="00DE733C">
              <w:rPr>
                <w:b/>
                <w:bCs/>
                <w:color w:val="000000"/>
                <w:sz w:val="20"/>
                <w:lang w:val="es-PY" w:eastAsia="es-PY"/>
              </w:rPr>
              <w:t xml:space="preserve">            2.856 </w:t>
            </w:r>
          </w:p>
        </w:tc>
      </w:tr>
      <w:tr w:rsidR="00703F06" w:rsidRPr="00DE733C" w:rsidTr="00B32C0F">
        <w:tc>
          <w:tcPr>
            <w:tcW w:w="4795" w:type="dxa"/>
            <w:gridSpan w:val="3"/>
            <w:tcBorders>
              <w:top w:val="double" w:sz="6" w:space="0" w:color="auto"/>
              <w:left w:val="single" w:sz="8" w:space="0" w:color="auto"/>
              <w:bottom w:val="single" w:sz="4" w:space="0" w:color="auto"/>
              <w:right w:val="single" w:sz="4" w:space="0" w:color="000000"/>
            </w:tcBorders>
            <w:shd w:val="clear" w:color="000000" w:fill="DAEEF3"/>
            <w:noWrap/>
            <w:vAlign w:val="bottom"/>
            <w:hideMark/>
          </w:tcPr>
          <w:p w:rsidR="00703F06" w:rsidRPr="00DE733C" w:rsidRDefault="00703F06" w:rsidP="00B32C0F">
            <w:pPr>
              <w:rPr>
                <w:b/>
                <w:bCs/>
                <w:color w:val="000000"/>
                <w:sz w:val="20"/>
                <w:lang w:val="es-PY" w:eastAsia="es-PY"/>
              </w:rPr>
            </w:pPr>
            <w:r w:rsidRPr="00DE733C">
              <w:rPr>
                <w:b/>
                <w:bCs/>
                <w:color w:val="000000"/>
                <w:sz w:val="20"/>
                <w:lang w:val="es-PY" w:eastAsia="es-PY"/>
              </w:rPr>
              <w:t>Modalidad por Contrato</w:t>
            </w:r>
          </w:p>
        </w:tc>
        <w:tc>
          <w:tcPr>
            <w:tcW w:w="1594" w:type="dxa"/>
            <w:tcBorders>
              <w:top w:val="single" w:sz="4" w:space="0" w:color="auto"/>
              <w:left w:val="nil"/>
              <w:bottom w:val="single" w:sz="4" w:space="0" w:color="auto"/>
              <w:right w:val="nil"/>
            </w:tcBorders>
            <w:shd w:val="clear" w:color="000000" w:fill="DAEEF3"/>
            <w:vAlign w:val="center"/>
            <w:hideMark/>
          </w:tcPr>
          <w:p w:rsidR="00703F06" w:rsidRPr="00DE733C" w:rsidRDefault="00703F06" w:rsidP="00B32C0F">
            <w:pPr>
              <w:jc w:val="center"/>
              <w:rPr>
                <w:b/>
                <w:bCs/>
                <w:color w:val="000000"/>
                <w:sz w:val="20"/>
                <w:lang w:val="es-PY" w:eastAsia="es-PY"/>
              </w:rPr>
            </w:pPr>
            <w:r w:rsidRPr="00DE733C">
              <w:rPr>
                <w:b/>
                <w:bCs/>
                <w:color w:val="000000"/>
                <w:sz w:val="20"/>
                <w:lang w:val="es-PY" w:eastAsia="es-PY"/>
              </w:rPr>
              <w:t xml:space="preserve"> Presupuesto </w:t>
            </w:r>
          </w:p>
        </w:tc>
        <w:tc>
          <w:tcPr>
            <w:tcW w:w="1360" w:type="dxa"/>
            <w:tcBorders>
              <w:top w:val="single" w:sz="4" w:space="0" w:color="auto"/>
              <w:left w:val="single" w:sz="4" w:space="0" w:color="auto"/>
              <w:bottom w:val="single" w:sz="4" w:space="0" w:color="auto"/>
              <w:right w:val="nil"/>
            </w:tcBorders>
            <w:shd w:val="clear" w:color="000000" w:fill="DAEEF3"/>
            <w:vAlign w:val="center"/>
            <w:hideMark/>
          </w:tcPr>
          <w:p w:rsidR="00703F06" w:rsidRPr="00DE733C" w:rsidRDefault="00703F06" w:rsidP="00B32C0F">
            <w:pPr>
              <w:jc w:val="center"/>
              <w:rPr>
                <w:b/>
                <w:bCs/>
                <w:color w:val="000000"/>
                <w:sz w:val="20"/>
                <w:lang w:val="es-PY" w:eastAsia="es-PY"/>
              </w:rPr>
            </w:pPr>
            <w:r w:rsidRPr="00DE733C">
              <w:rPr>
                <w:b/>
                <w:bCs/>
                <w:color w:val="000000"/>
                <w:sz w:val="20"/>
                <w:lang w:val="es-PY" w:eastAsia="es-PY"/>
              </w:rPr>
              <w:t xml:space="preserve"> Contrato </w:t>
            </w:r>
          </w:p>
        </w:tc>
        <w:tc>
          <w:tcPr>
            <w:tcW w:w="1333" w:type="dxa"/>
            <w:tcBorders>
              <w:top w:val="single" w:sz="4" w:space="0" w:color="auto"/>
              <w:left w:val="single" w:sz="4" w:space="0" w:color="auto"/>
              <w:bottom w:val="single" w:sz="4" w:space="0" w:color="auto"/>
              <w:right w:val="single" w:sz="8" w:space="0" w:color="auto"/>
            </w:tcBorders>
            <w:shd w:val="clear" w:color="000000" w:fill="DAEEF3"/>
            <w:vAlign w:val="center"/>
            <w:hideMark/>
          </w:tcPr>
          <w:p w:rsidR="00703F06" w:rsidRPr="00DE733C" w:rsidRDefault="00703F06" w:rsidP="00B32C0F">
            <w:pPr>
              <w:jc w:val="center"/>
              <w:rPr>
                <w:b/>
                <w:bCs/>
                <w:color w:val="000000"/>
                <w:sz w:val="20"/>
                <w:lang w:val="es-PY" w:eastAsia="es-PY"/>
              </w:rPr>
            </w:pPr>
            <w:r w:rsidRPr="00DE733C">
              <w:rPr>
                <w:b/>
                <w:bCs/>
                <w:color w:val="000000"/>
                <w:sz w:val="20"/>
                <w:lang w:val="es-PY" w:eastAsia="es-PY"/>
              </w:rPr>
              <w:t xml:space="preserve"> Máximos </w:t>
            </w:r>
          </w:p>
        </w:tc>
      </w:tr>
      <w:tr w:rsidR="00703F06" w:rsidRPr="00DE733C" w:rsidTr="00B32C0F">
        <w:tc>
          <w:tcPr>
            <w:tcW w:w="1764" w:type="dxa"/>
            <w:tcBorders>
              <w:top w:val="nil"/>
              <w:left w:val="single" w:sz="8" w:space="0" w:color="auto"/>
              <w:bottom w:val="single" w:sz="4" w:space="0" w:color="auto"/>
              <w:right w:val="single" w:sz="4" w:space="0" w:color="auto"/>
            </w:tcBorders>
            <w:shd w:val="clear" w:color="auto" w:fill="auto"/>
            <w:hideMark/>
          </w:tcPr>
          <w:p w:rsidR="00703F06" w:rsidRPr="00DE733C" w:rsidRDefault="00703F06" w:rsidP="00B32C0F">
            <w:pPr>
              <w:rPr>
                <w:color w:val="000000"/>
                <w:sz w:val="20"/>
                <w:lang w:val="es-PY" w:eastAsia="es-PY"/>
              </w:rPr>
            </w:pPr>
            <w:r w:rsidRPr="00DE733C">
              <w:rPr>
                <w:color w:val="000000"/>
                <w:sz w:val="20"/>
                <w:lang w:val="es-PY" w:eastAsia="es-PY"/>
              </w:rPr>
              <w:t>Caaguazú</w:t>
            </w:r>
          </w:p>
        </w:tc>
        <w:tc>
          <w:tcPr>
            <w:tcW w:w="1223" w:type="dxa"/>
            <w:tcBorders>
              <w:top w:val="nil"/>
              <w:left w:val="nil"/>
              <w:bottom w:val="single" w:sz="4" w:space="0" w:color="auto"/>
              <w:right w:val="single" w:sz="4" w:space="0" w:color="auto"/>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356,16 </w:t>
            </w:r>
          </w:p>
        </w:tc>
        <w:tc>
          <w:tcPr>
            <w:tcW w:w="1808" w:type="dxa"/>
            <w:tcBorders>
              <w:top w:val="nil"/>
              <w:left w:val="nil"/>
              <w:bottom w:val="single" w:sz="4" w:space="0" w:color="auto"/>
              <w:right w:val="single" w:sz="4" w:space="0" w:color="auto"/>
            </w:tcBorders>
            <w:shd w:val="clear" w:color="auto" w:fill="auto"/>
            <w:hideMark/>
          </w:tcPr>
          <w:p w:rsidR="00703F06" w:rsidRPr="00DE733C" w:rsidRDefault="00703F06" w:rsidP="00B32C0F">
            <w:pPr>
              <w:rPr>
                <w:color w:val="000000"/>
                <w:sz w:val="20"/>
                <w:lang w:val="es-PY" w:eastAsia="es-PY"/>
              </w:rPr>
            </w:pPr>
            <w:r w:rsidRPr="00DE733C">
              <w:rPr>
                <w:color w:val="000000"/>
                <w:sz w:val="20"/>
                <w:lang w:val="es-PY" w:eastAsia="es-PY"/>
              </w:rPr>
              <w:t>Proel Ingeniería</w:t>
            </w:r>
          </w:p>
        </w:tc>
        <w:tc>
          <w:tcPr>
            <w:tcW w:w="1594" w:type="dxa"/>
            <w:tcBorders>
              <w:top w:val="nil"/>
              <w:left w:val="nil"/>
              <w:bottom w:val="single" w:sz="4" w:space="0" w:color="auto"/>
              <w:right w:val="nil"/>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2.616 </w:t>
            </w:r>
          </w:p>
        </w:tc>
        <w:tc>
          <w:tcPr>
            <w:tcW w:w="1360" w:type="dxa"/>
            <w:tcBorders>
              <w:top w:val="nil"/>
              <w:left w:val="single" w:sz="4" w:space="0" w:color="auto"/>
              <w:bottom w:val="single" w:sz="4" w:space="0" w:color="auto"/>
              <w:right w:val="nil"/>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4.186 </w:t>
            </w:r>
          </w:p>
        </w:tc>
        <w:tc>
          <w:tcPr>
            <w:tcW w:w="1333" w:type="dxa"/>
            <w:tcBorders>
              <w:top w:val="nil"/>
              <w:left w:val="single" w:sz="4" w:space="0" w:color="auto"/>
              <w:bottom w:val="single" w:sz="4" w:space="0" w:color="auto"/>
              <w:right w:val="single" w:sz="8" w:space="0" w:color="auto"/>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4.186 </w:t>
            </w:r>
          </w:p>
        </w:tc>
      </w:tr>
      <w:tr w:rsidR="00703F06" w:rsidRPr="00DE733C" w:rsidTr="00B32C0F">
        <w:tc>
          <w:tcPr>
            <w:tcW w:w="1764" w:type="dxa"/>
            <w:tcBorders>
              <w:top w:val="nil"/>
              <w:left w:val="single" w:sz="8" w:space="0" w:color="auto"/>
              <w:bottom w:val="single" w:sz="4" w:space="0" w:color="auto"/>
              <w:right w:val="single" w:sz="4" w:space="0" w:color="auto"/>
            </w:tcBorders>
            <w:shd w:val="clear" w:color="auto" w:fill="auto"/>
            <w:hideMark/>
          </w:tcPr>
          <w:p w:rsidR="00703F06" w:rsidRPr="00DE733C" w:rsidRDefault="00703F06" w:rsidP="00B32C0F">
            <w:pPr>
              <w:rPr>
                <w:color w:val="000000"/>
                <w:sz w:val="20"/>
                <w:lang w:val="es-PY" w:eastAsia="es-PY"/>
              </w:rPr>
            </w:pPr>
            <w:r w:rsidRPr="00DE733C">
              <w:rPr>
                <w:color w:val="000000"/>
                <w:sz w:val="20"/>
                <w:lang w:val="es-PY" w:eastAsia="es-PY"/>
              </w:rPr>
              <w:t>San Pedro</w:t>
            </w:r>
          </w:p>
        </w:tc>
        <w:tc>
          <w:tcPr>
            <w:tcW w:w="1223" w:type="dxa"/>
            <w:tcBorders>
              <w:top w:val="nil"/>
              <w:left w:val="nil"/>
              <w:bottom w:val="single" w:sz="4" w:space="0" w:color="auto"/>
              <w:right w:val="single" w:sz="4" w:space="0" w:color="auto"/>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418,59 </w:t>
            </w:r>
          </w:p>
        </w:tc>
        <w:tc>
          <w:tcPr>
            <w:tcW w:w="1808" w:type="dxa"/>
            <w:tcBorders>
              <w:top w:val="nil"/>
              <w:left w:val="nil"/>
              <w:bottom w:val="single" w:sz="4" w:space="0" w:color="auto"/>
              <w:right w:val="single" w:sz="4" w:space="0" w:color="auto"/>
            </w:tcBorders>
            <w:shd w:val="clear" w:color="auto" w:fill="auto"/>
            <w:hideMark/>
          </w:tcPr>
          <w:p w:rsidR="00703F06" w:rsidRPr="00DE733C" w:rsidRDefault="00703F06" w:rsidP="00B32C0F">
            <w:pPr>
              <w:rPr>
                <w:color w:val="000000"/>
                <w:sz w:val="20"/>
                <w:lang w:val="es-PY" w:eastAsia="es-PY"/>
              </w:rPr>
            </w:pPr>
            <w:r w:rsidRPr="00DE733C">
              <w:rPr>
                <w:color w:val="000000"/>
                <w:sz w:val="20"/>
                <w:lang w:val="es-PY" w:eastAsia="es-PY"/>
              </w:rPr>
              <w:t>DC Ingeniería SA</w:t>
            </w:r>
          </w:p>
        </w:tc>
        <w:tc>
          <w:tcPr>
            <w:tcW w:w="1594" w:type="dxa"/>
            <w:tcBorders>
              <w:top w:val="nil"/>
              <w:left w:val="nil"/>
              <w:bottom w:val="single" w:sz="4" w:space="0" w:color="auto"/>
              <w:right w:val="nil"/>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1.885 </w:t>
            </w:r>
          </w:p>
        </w:tc>
        <w:tc>
          <w:tcPr>
            <w:tcW w:w="1360" w:type="dxa"/>
            <w:tcBorders>
              <w:top w:val="nil"/>
              <w:left w:val="single" w:sz="4" w:space="0" w:color="auto"/>
              <w:bottom w:val="single" w:sz="4" w:space="0" w:color="auto"/>
              <w:right w:val="nil"/>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2.023 </w:t>
            </w:r>
          </w:p>
        </w:tc>
        <w:tc>
          <w:tcPr>
            <w:tcW w:w="1333" w:type="dxa"/>
            <w:tcBorders>
              <w:top w:val="nil"/>
              <w:left w:val="single" w:sz="4" w:space="0" w:color="auto"/>
              <w:bottom w:val="single" w:sz="4" w:space="0" w:color="auto"/>
              <w:right w:val="single" w:sz="8" w:space="0" w:color="auto"/>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2.023 </w:t>
            </w:r>
          </w:p>
        </w:tc>
      </w:tr>
      <w:tr w:rsidR="00703F06" w:rsidRPr="00DE733C" w:rsidTr="00B32C0F">
        <w:tc>
          <w:tcPr>
            <w:tcW w:w="1764" w:type="dxa"/>
            <w:tcBorders>
              <w:top w:val="nil"/>
              <w:left w:val="single" w:sz="8" w:space="0" w:color="auto"/>
              <w:bottom w:val="single" w:sz="4" w:space="0" w:color="auto"/>
              <w:right w:val="single" w:sz="4" w:space="0" w:color="auto"/>
            </w:tcBorders>
            <w:shd w:val="clear" w:color="auto" w:fill="auto"/>
            <w:hideMark/>
          </w:tcPr>
          <w:p w:rsidR="00703F06" w:rsidRPr="00DE733C" w:rsidRDefault="00703F06" w:rsidP="00B32C0F">
            <w:pPr>
              <w:rPr>
                <w:color w:val="000000"/>
                <w:sz w:val="20"/>
                <w:lang w:val="es-PY" w:eastAsia="es-PY"/>
              </w:rPr>
            </w:pPr>
            <w:r w:rsidRPr="00DE733C">
              <w:rPr>
                <w:color w:val="000000"/>
                <w:sz w:val="20"/>
                <w:lang w:val="es-PY" w:eastAsia="es-PY"/>
              </w:rPr>
              <w:t>Concepción - Amambay</w:t>
            </w:r>
          </w:p>
        </w:tc>
        <w:tc>
          <w:tcPr>
            <w:tcW w:w="1223" w:type="dxa"/>
            <w:tcBorders>
              <w:top w:val="nil"/>
              <w:left w:val="nil"/>
              <w:bottom w:val="single" w:sz="4" w:space="0" w:color="auto"/>
              <w:right w:val="single" w:sz="4" w:space="0" w:color="auto"/>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401,71 </w:t>
            </w:r>
          </w:p>
        </w:tc>
        <w:tc>
          <w:tcPr>
            <w:tcW w:w="1808" w:type="dxa"/>
            <w:tcBorders>
              <w:top w:val="nil"/>
              <w:left w:val="nil"/>
              <w:bottom w:val="single" w:sz="4" w:space="0" w:color="auto"/>
              <w:right w:val="single" w:sz="4" w:space="0" w:color="auto"/>
            </w:tcBorders>
            <w:shd w:val="clear" w:color="auto" w:fill="auto"/>
            <w:hideMark/>
          </w:tcPr>
          <w:p w:rsidR="00703F06" w:rsidRPr="00DE733C" w:rsidRDefault="00703F06" w:rsidP="00B32C0F">
            <w:pPr>
              <w:rPr>
                <w:color w:val="000000"/>
                <w:sz w:val="20"/>
                <w:lang w:val="es-PY" w:eastAsia="es-PY"/>
              </w:rPr>
            </w:pPr>
            <w:r w:rsidRPr="00DE733C">
              <w:rPr>
                <w:color w:val="000000"/>
                <w:sz w:val="20"/>
                <w:lang w:val="es-PY" w:eastAsia="es-PY"/>
              </w:rPr>
              <w:t>Consorcio Mantenimiento Rural</w:t>
            </w:r>
          </w:p>
        </w:tc>
        <w:tc>
          <w:tcPr>
            <w:tcW w:w="1594" w:type="dxa"/>
            <w:tcBorders>
              <w:top w:val="nil"/>
              <w:left w:val="nil"/>
              <w:bottom w:val="single" w:sz="4" w:space="0" w:color="auto"/>
              <w:right w:val="nil"/>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2.006 </w:t>
            </w:r>
          </w:p>
        </w:tc>
        <w:tc>
          <w:tcPr>
            <w:tcW w:w="1360" w:type="dxa"/>
            <w:tcBorders>
              <w:top w:val="nil"/>
              <w:left w:val="single" w:sz="4" w:space="0" w:color="auto"/>
              <w:bottom w:val="single" w:sz="4" w:space="0" w:color="auto"/>
              <w:right w:val="nil"/>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2.572 </w:t>
            </w:r>
          </w:p>
        </w:tc>
        <w:tc>
          <w:tcPr>
            <w:tcW w:w="1333" w:type="dxa"/>
            <w:tcBorders>
              <w:top w:val="nil"/>
              <w:left w:val="single" w:sz="4" w:space="0" w:color="auto"/>
              <w:bottom w:val="single" w:sz="4" w:space="0" w:color="auto"/>
              <w:right w:val="single" w:sz="8" w:space="0" w:color="auto"/>
            </w:tcBorders>
            <w:shd w:val="clear" w:color="auto" w:fill="auto"/>
            <w:noWrap/>
            <w:hideMark/>
          </w:tcPr>
          <w:p w:rsidR="00703F06" w:rsidRPr="00DE733C" w:rsidRDefault="00703F06" w:rsidP="00B32C0F">
            <w:pPr>
              <w:jc w:val="right"/>
              <w:rPr>
                <w:color w:val="000000"/>
                <w:sz w:val="20"/>
                <w:lang w:val="es-PY" w:eastAsia="es-PY"/>
              </w:rPr>
            </w:pPr>
            <w:r w:rsidRPr="00DE733C">
              <w:rPr>
                <w:color w:val="000000"/>
                <w:sz w:val="20"/>
                <w:lang w:val="es-PY" w:eastAsia="es-PY"/>
              </w:rPr>
              <w:t xml:space="preserve">             2.572 </w:t>
            </w:r>
          </w:p>
        </w:tc>
      </w:tr>
      <w:tr w:rsidR="00703F06" w:rsidRPr="00DE733C" w:rsidTr="00B32C0F">
        <w:tc>
          <w:tcPr>
            <w:tcW w:w="1764" w:type="dxa"/>
            <w:tcBorders>
              <w:top w:val="nil"/>
              <w:left w:val="single" w:sz="8" w:space="0" w:color="auto"/>
              <w:bottom w:val="single" w:sz="4" w:space="0" w:color="auto"/>
              <w:right w:val="nil"/>
            </w:tcBorders>
            <w:shd w:val="clear" w:color="auto" w:fill="auto"/>
            <w:noWrap/>
            <w:vAlign w:val="center"/>
            <w:hideMark/>
          </w:tcPr>
          <w:p w:rsidR="00703F06" w:rsidRPr="00DE733C" w:rsidRDefault="00703F06" w:rsidP="00B32C0F">
            <w:pPr>
              <w:rPr>
                <w:b/>
                <w:bCs/>
                <w:color w:val="000000"/>
                <w:sz w:val="20"/>
                <w:lang w:val="es-PY" w:eastAsia="es-PY"/>
              </w:rPr>
            </w:pPr>
            <w:r w:rsidRPr="00DE733C">
              <w:rPr>
                <w:b/>
                <w:bCs/>
                <w:color w:val="000000"/>
                <w:sz w:val="20"/>
                <w:lang w:val="es-PY" w:eastAsia="es-PY"/>
              </w:rPr>
              <w:t>Máximo</w:t>
            </w:r>
          </w:p>
        </w:tc>
        <w:tc>
          <w:tcPr>
            <w:tcW w:w="1223" w:type="dxa"/>
            <w:tcBorders>
              <w:top w:val="nil"/>
              <w:left w:val="nil"/>
              <w:bottom w:val="single" w:sz="4" w:space="0" w:color="auto"/>
              <w:right w:val="nil"/>
            </w:tcBorders>
            <w:shd w:val="clear" w:color="auto" w:fill="auto"/>
            <w:noWrap/>
            <w:vAlign w:val="bottom"/>
            <w:hideMark/>
          </w:tcPr>
          <w:p w:rsidR="00703F06" w:rsidRPr="00DE733C" w:rsidRDefault="00703F06" w:rsidP="00B32C0F">
            <w:pPr>
              <w:rPr>
                <w:rFonts w:ascii="Calibri" w:hAnsi="Calibri"/>
                <w:color w:val="000000"/>
                <w:sz w:val="20"/>
                <w:lang w:val="es-PY" w:eastAsia="es-PY"/>
              </w:rPr>
            </w:pPr>
            <w:r w:rsidRPr="00DE733C">
              <w:rPr>
                <w:rFonts w:ascii="Calibri" w:hAnsi="Calibri"/>
                <w:color w:val="000000"/>
                <w:sz w:val="20"/>
                <w:lang w:val="es-PY" w:eastAsia="es-PY"/>
              </w:rPr>
              <w:t> </w:t>
            </w:r>
          </w:p>
        </w:tc>
        <w:tc>
          <w:tcPr>
            <w:tcW w:w="1808" w:type="dxa"/>
            <w:tcBorders>
              <w:top w:val="nil"/>
              <w:left w:val="nil"/>
              <w:bottom w:val="single" w:sz="4" w:space="0" w:color="auto"/>
              <w:right w:val="nil"/>
            </w:tcBorders>
            <w:shd w:val="clear" w:color="auto" w:fill="auto"/>
            <w:noWrap/>
            <w:vAlign w:val="bottom"/>
            <w:hideMark/>
          </w:tcPr>
          <w:p w:rsidR="00703F06" w:rsidRPr="00DE733C" w:rsidRDefault="00703F06" w:rsidP="00B32C0F">
            <w:pPr>
              <w:rPr>
                <w:rFonts w:ascii="Calibri" w:hAnsi="Calibri"/>
                <w:color w:val="000000"/>
                <w:sz w:val="20"/>
                <w:lang w:val="es-PY" w:eastAsia="es-PY"/>
              </w:rPr>
            </w:pPr>
            <w:r w:rsidRPr="00DE733C">
              <w:rPr>
                <w:rFonts w:ascii="Calibri" w:hAnsi="Calibri"/>
                <w:color w:val="000000"/>
                <w:sz w:val="20"/>
                <w:lang w:val="es-PY" w:eastAsia="es-PY"/>
              </w:rPr>
              <w:t> </w:t>
            </w:r>
          </w:p>
        </w:tc>
        <w:tc>
          <w:tcPr>
            <w:tcW w:w="1594" w:type="dxa"/>
            <w:tcBorders>
              <w:top w:val="nil"/>
              <w:left w:val="nil"/>
              <w:bottom w:val="single" w:sz="4" w:space="0" w:color="auto"/>
              <w:right w:val="nil"/>
            </w:tcBorders>
            <w:shd w:val="clear" w:color="auto" w:fill="auto"/>
            <w:noWrap/>
            <w:vAlign w:val="bottom"/>
            <w:hideMark/>
          </w:tcPr>
          <w:p w:rsidR="00703F06" w:rsidRPr="00DE733C" w:rsidRDefault="00703F06" w:rsidP="00B32C0F">
            <w:pPr>
              <w:rPr>
                <w:rFonts w:ascii="Calibri" w:hAnsi="Calibri"/>
                <w:color w:val="000000"/>
                <w:sz w:val="20"/>
                <w:lang w:val="es-PY" w:eastAsia="es-PY"/>
              </w:rPr>
            </w:pPr>
            <w:r w:rsidRPr="00DE733C">
              <w:rPr>
                <w:rFonts w:ascii="Calibri" w:hAnsi="Calibri"/>
                <w:color w:val="000000"/>
                <w:sz w:val="20"/>
                <w:lang w:val="es-PY" w:eastAsia="es-PY"/>
              </w:rPr>
              <w:t> </w:t>
            </w:r>
          </w:p>
        </w:tc>
        <w:tc>
          <w:tcPr>
            <w:tcW w:w="1360" w:type="dxa"/>
            <w:tcBorders>
              <w:top w:val="nil"/>
              <w:left w:val="nil"/>
              <w:bottom w:val="single" w:sz="4" w:space="0" w:color="auto"/>
              <w:right w:val="nil"/>
            </w:tcBorders>
            <w:shd w:val="clear" w:color="auto" w:fill="auto"/>
            <w:noWrap/>
            <w:vAlign w:val="bottom"/>
            <w:hideMark/>
          </w:tcPr>
          <w:p w:rsidR="00703F06" w:rsidRPr="00DE733C" w:rsidRDefault="00703F06" w:rsidP="00B32C0F">
            <w:pPr>
              <w:rPr>
                <w:rFonts w:ascii="Calibri" w:hAnsi="Calibri"/>
                <w:color w:val="000000"/>
                <w:sz w:val="20"/>
                <w:lang w:val="es-PY" w:eastAsia="es-PY"/>
              </w:rPr>
            </w:pPr>
            <w:r w:rsidRPr="00DE733C">
              <w:rPr>
                <w:rFonts w:ascii="Calibri" w:hAnsi="Calibri"/>
                <w:color w:val="000000"/>
                <w:sz w:val="20"/>
                <w:lang w:val="es-PY" w:eastAsia="es-PY"/>
              </w:rPr>
              <w:t> </w:t>
            </w:r>
          </w:p>
        </w:tc>
        <w:tc>
          <w:tcPr>
            <w:tcW w:w="1333" w:type="dxa"/>
            <w:tcBorders>
              <w:top w:val="nil"/>
              <w:left w:val="single" w:sz="4" w:space="0" w:color="auto"/>
              <w:bottom w:val="single" w:sz="4" w:space="0" w:color="auto"/>
              <w:right w:val="single" w:sz="8" w:space="0" w:color="auto"/>
            </w:tcBorders>
            <w:shd w:val="clear" w:color="auto" w:fill="auto"/>
            <w:noWrap/>
            <w:vAlign w:val="center"/>
            <w:hideMark/>
          </w:tcPr>
          <w:p w:rsidR="00703F06" w:rsidRPr="00DE733C" w:rsidRDefault="00703F06" w:rsidP="00B32C0F">
            <w:pPr>
              <w:rPr>
                <w:b/>
                <w:bCs/>
                <w:color w:val="000000"/>
                <w:sz w:val="20"/>
                <w:lang w:val="es-PY" w:eastAsia="es-PY"/>
              </w:rPr>
            </w:pPr>
            <w:r w:rsidRPr="00DE733C">
              <w:rPr>
                <w:b/>
                <w:bCs/>
                <w:color w:val="000000"/>
                <w:sz w:val="20"/>
                <w:lang w:val="es-PY" w:eastAsia="es-PY"/>
              </w:rPr>
              <w:t xml:space="preserve">            4.186 </w:t>
            </w:r>
          </w:p>
        </w:tc>
      </w:tr>
      <w:tr w:rsidR="00703F06" w:rsidRPr="00DE733C" w:rsidTr="00B32C0F">
        <w:tc>
          <w:tcPr>
            <w:tcW w:w="1764" w:type="dxa"/>
            <w:tcBorders>
              <w:top w:val="nil"/>
              <w:left w:val="single" w:sz="8" w:space="0" w:color="auto"/>
              <w:bottom w:val="double" w:sz="6" w:space="0" w:color="auto"/>
              <w:right w:val="nil"/>
            </w:tcBorders>
            <w:shd w:val="clear" w:color="auto" w:fill="auto"/>
            <w:noWrap/>
            <w:vAlign w:val="center"/>
            <w:hideMark/>
          </w:tcPr>
          <w:p w:rsidR="00703F06" w:rsidRPr="00DE733C" w:rsidRDefault="00703F06" w:rsidP="00B32C0F">
            <w:pPr>
              <w:rPr>
                <w:b/>
                <w:bCs/>
                <w:color w:val="000000"/>
                <w:sz w:val="20"/>
                <w:lang w:val="es-PY" w:eastAsia="es-PY"/>
              </w:rPr>
            </w:pPr>
            <w:r w:rsidRPr="00DE733C">
              <w:rPr>
                <w:b/>
                <w:bCs/>
                <w:color w:val="000000"/>
                <w:sz w:val="20"/>
                <w:lang w:val="es-PY" w:eastAsia="es-PY"/>
              </w:rPr>
              <w:t>Mínimo</w:t>
            </w:r>
          </w:p>
        </w:tc>
        <w:tc>
          <w:tcPr>
            <w:tcW w:w="1223" w:type="dxa"/>
            <w:tcBorders>
              <w:top w:val="nil"/>
              <w:left w:val="nil"/>
              <w:bottom w:val="double" w:sz="6" w:space="0" w:color="auto"/>
              <w:right w:val="nil"/>
            </w:tcBorders>
            <w:shd w:val="clear" w:color="auto" w:fill="auto"/>
            <w:noWrap/>
            <w:vAlign w:val="bottom"/>
            <w:hideMark/>
          </w:tcPr>
          <w:p w:rsidR="00703F06" w:rsidRPr="00DE733C" w:rsidRDefault="00703F06" w:rsidP="00B32C0F">
            <w:pPr>
              <w:rPr>
                <w:rFonts w:ascii="Calibri" w:hAnsi="Calibri"/>
                <w:color w:val="000000"/>
                <w:sz w:val="20"/>
                <w:lang w:val="es-PY" w:eastAsia="es-PY"/>
              </w:rPr>
            </w:pPr>
            <w:r w:rsidRPr="00DE733C">
              <w:rPr>
                <w:rFonts w:ascii="Calibri" w:hAnsi="Calibri"/>
                <w:color w:val="000000"/>
                <w:sz w:val="20"/>
                <w:lang w:val="es-PY" w:eastAsia="es-PY"/>
              </w:rPr>
              <w:t> </w:t>
            </w:r>
          </w:p>
        </w:tc>
        <w:tc>
          <w:tcPr>
            <w:tcW w:w="1808" w:type="dxa"/>
            <w:tcBorders>
              <w:top w:val="nil"/>
              <w:left w:val="nil"/>
              <w:bottom w:val="double" w:sz="6" w:space="0" w:color="auto"/>
              <w:right w:val="nil"/>
            </w:tcBorders>
            <w:shd w:val="clear" w:color="auto" w:fill="auto"/>
            <w:noWrap/>
            <w:vAlign w:val="bottom"/>
            <w:hideMark/>
          </w:tcPr>
          <w:p w:rsidR="00703F06" w:rsidRPr="00DE733C" w:rsidRDefault="00703F06" w:rsidP="00B32C0F">
            <w:pPr>
              <w:rPr>
                <w:rFonts w:ascii="Calibri" w:hAnsi="Calibri"/>
                <w:color w:val="000000"/>
                <w:sz w:val="20"/>
                <w:lang w:val="es-PY" w:eastAsia="es-PY"/>
              </w:rPr>
            </w:pPr>
            <w:r w:rsidRPr="00DE733C">
              <w:rPr>
                <w:rFonts w:ascii="Calibri" w:hAnsi="Calibri"/>
                <w:color w:val="000000"/>
                <w:sz w:val="20"/>
                <w:lang w:val="es-PY" w:eastAsia="es-PY"/>
              </w:rPr>
              <w:t> </w:t>
            </w:r>
          </w:p>
        </w:tc>
        <w:tc>
          <w:tcPr>
            <w:tcW w:w="1594" w:type="dxa"/>
            <w:tcBorders>
              <w:top w:val="nil"/>
              <w:left w:val="nil"/>
              <w:bottom w:val="double" w:sz="6" w:space="0" w:color="auto"/>
              <w:right w:val="nil"/>
            </w:tcBorders>
            <w:shd w:val="clear" w:color="auto" w:fill="auto"/>
            <w:noWrap/>
            <w:vAlign w:val="bottom"/>
            <w:hideMark/>
          </w:tcPr>
          <w:p w:rsidR="00703F06" w:rsidRPr="00DE733C" w:rsidRDefault="00703F06" w:rsidP="00B32C0F">
            <w:pPr>
              <w:rPr>
                <w:rFonts w:ascii="Calibri" w:hAnsi="Calibri"/>
                <w:color w:val="000000"/>
                <w:sz w:val="20"/>
                <w:lang w:val="es-PY" w:eastAsia="es-PY"/>
              </w:rPr>
            </w:pPr>
            <w:r w:rsidRPr="00DE733C">
              <w:rPr>
                <w:rFonts w:ascii="Calibri" w:hAnsi="Calibri"/>
                <w:color w:val="000000"/>
                <w:sz w:val="20"/>
                <w:lang w:val="es-PY" w:eastAsia="es-PY"/>
              </w:rPr>
              <w:t> </w:t>
            </w:r>
          </w:p>
        </w:tc>
        <w:tc>
          <w:tcPr>
            <w:tcW w:w="1360" w:type="dxa"/>
            <w:tcBorders>
              <w:top w:val="nil"/>
              <w:left w:val="nil"/>
              <w:bottom w:val="double" w:sz="6" w:space="0" w:color="auto"/>
              <w:right w:val="nil"/>
            </w:tcBorders>
            <w:shd w:val="clear" w:color="auto" w:fill="auto"/>
            <w:noWrap/>
            <w:vAlign w:val="bottom"/>
            <w:hideMark/>
          </w:tcPr>
          <w:p w:rsidR="00703F06" w:rsidRPr="00DE733C" w:rsidRDefault="00703F06" w:rsidP="00B32C0F">
            <w:pPr>
              <w:rPr>
                <w:rFonts w:ascii="Calibri" w:hAnsi="Calibri"/>
                <w:color w:val="000000"/>
                <w:sz w:val="20"/>
                <w:lang w:val="es-PY" w:eastAsia="es-PY"/>
              </w:rPr>
            </w:pPr>
            <w:r w:rsidRPr="00DE733C">
              <w:rPr>
                <w:rFonts w:ascii="Calibri" w:hAnsi="Calibri"/>
                <w:color w:val="000000"/>
                <w:sz w:val="20"/>
                <w:lang w:val="es-PY" w:eastAsia="es-PY"/>
              </w:rPr>
              <w:t> </w:t>
            </w:r>
          </w:p>
        </w:tc>
        <w:tc>
          <w:tcPr>
            <w:tcW w:w="1333" w:type="dxa"/>
            <w:tcBorders>
              <w:top w:val="nil"/>
              <w:left w:val="single" w:sz="4" w:space="0" w:color="auto"/>
              <w:bottom w:val="double" w:sz="6" w:space="0" w:color="auto"/>
              <w:right w:val="single" w:sz="8" w:space="0" w:color="auto"/>
            </w:tcBorders>
            <w:shd w:val="clear" w:color="auto" w:fill="auto"/>
            <w:noWrap/>
            <w:vAlign w:val="center"/>
            <w:hideMark/>
          </w:tcPr>
          <w:p w:rsidR="00703F06" w:rsidRPr="00DE733C" w:rsidRDefault="00703F06" w:rsidP="00B32C0F">
            <w:pPr>
              <w:rPr>
                <w:b/>
                <w:bCs/>
                <w:color w:val="000000"/>
                <w:sz w:val="20"/>
                <w:lang w:val="es-PY" w:eastAsia="es-PY"/>
              </w:rPr>
            </w:pPr>
            <w:r w:rsidRPr="00DE733C">
              <w:rPr>
                <w:b/>
                <w:bCs/>
                <w:color w:val="000000"/>
                <w:sz w:val="20"/>
                <w:lang w:val="es-PY" w:eastAsia="es-PY"/>
              </w:rPr>
              <w:t xml:space="preserve">            2.023 </w:t>
            </w:r>
          </w:p>
        </w:tc>
      </w:tr>
    </w:tbl>
    <w:p w:rsidR="00703F06" w:rsidRDefault="00703F06" w:rsidP="007729CE">
      <w:pPr>
        <w:spacing w:before="240" w:after="120" w:line="240" w:lineRule="atLeast"/>
        <w:ind w:left="709"/>
        <w:jc w:val="both"/>
        <w:rPr>
          <w:bCs/>
        </w:rPr>
      </w:pPr>
      <w:r w:rsidRPr="007729CE">
        <w:rPr>
          <w:bCs/>
        </w:rPr>
        <w:t>-</w:t>
      </w:r>
      <w:r w:rsidRPr="007729CE">
        <w:rPr>
          <w:bCs/>
        </w:rPr>
        <w:tab/>
      </w:r>
      <w:r>
        <w:rPr>
          <w:bCs/>
        </w:rPr>
        <w:t xml:space="preserve">Como conclusión general </w:t>
      </w:r>
      <w:r w:rsidR="00935436">
        <w:rPr>
          <w:bCs/>
        </w:rPr>
        <w:t>se aprecia</w:t>
      </w:r>
      <w:r>
        <w:rPr>
          <w:bCs/>
        </w:rPr>
        <w:t xml:space="preserve"> que los costos son del mismo orden. Pero la modalidad por Contrato puede volverse más eficiente.</w:t>
      </w:r>
    </w:p>
    <w:p w:rsidR="005F4A1F" w:rsidRDefault="005F4A1F" w:rsidP="005F4A1F">
      <w:pPr>
        <w:pStyle w:val="Heading2"/>
      </w:pPr>
      <w:r>
        <w:t>Recomendaciones.</w:t>
      </w:r>
    </w:p>
    <w:p w:rsidR="005F4A1F" w:rsidRDefault="00B32C0F" w:rsidP="005F4A1F">
      <w:pPr>
        <w:numPr>
          <w:ilvl w:val="1"/>
          <w:numId w:val="1"/>
        </w:numPr>
        <w:tabs>
          <w:tab w:val="clear" w:pos="360"/>
          <w:tab w:val="num" w:pos="709"/>
        </w:tabs>
        <w:spacing w:before="240" w:after="120" w:line="240" w:lineRule="atLeast"/>
        <w:ind w:left="709" w:hanging="709"/>
        <w:jc w:val="both"/>
        <w:rPr>
          <w:bCs/>
        </w:rPr>
      </w:pPr>
      <w:r>
        <w:rPr>
          <w:bCs/>
        </w:rPr>
        <w:t>Las recomendaciones más relevantes son las siguientes</w:t>
      </w:r>
      <w:r w:rsidR="005F4A1F">
        <w:rPr>
          <w:bCs/>
        </w:rPr>
        <w:t xml:space="preserve">. </w:t>
      </w:r>
    </w:p>
    <w:p w:rsidR="00B32C0F" w:rsidRDefault="00B32C0F" w:rsidP="00826CB7">
      <w:pPr>
        <w:pStyle w:val="ListParagraph"/>
        <w:numPr>
          <w:ilvl w:val="0"/>
          <w:numId w:val="19"/>
        </w:numPr>
        <w:spacing w:before="120" w:after="120" w:line="240" w:lineRule="auto"/>
        <w:ind w:left="1066" w:hanging="357"/>
        <w:contextualSpacing w:val="0"/>
        <w:jc w:val="both"/>
        <w:rPr>
          <w:rFonts w:ascii="Times New Roman" w:hAnsi="Times New Roman" w:cs="Times New Roman"/>
          <w:bCs/>
          <w:sz w:val="24"/>
          <w:szCs w:val="24"/>
        </w:rPr>
      </w:pPr>
      <w:r>
        <w:rPr>
          <w:rFonts w:ascii="Times New Roman" w:hAnsi="Times New Roman" w:cs="Times New Roman"/>
          <w:bCs/>
          <w:sz w:val="24"/>
          <w:szCs w:val="24"/>
        </w:rPr>
        <w:t>A mediano</w:t>
      </w:r>
      <w:r w:rsidR="000D77EA">
        <w:rPr>
          <w:rFonts w:ascii="Times New Roman" w:hAnsi="Times New Roman" w:cs="Times New Roman"/>
          <w:bCs/>
          <w:sz w:val="24"/>
          <w:szCs w:val="24"/>
        </w:rPr>
        <w:t xml:space="preserve"> y largo</w:t>
      </w:r>
      <w:r>
        <w:rPr>
          <w:rFonts w:ascii="Times New Roman" w:hAnsi="Times New Roman" w:cs="Times New Roman"/>
          <w:bCs/>
          <w:sz w:val="24"/>
          <w:szCs w:val="24"/>
        </w:rPr>
        <w:t xml:space="preserve"> plazo, definir una política de sostenibilidad de los recursos para el mantenimiento vial</w:t>
      </w:r>
      <w:r w:rsidRPr="00B32C0F">
        <w:rPr>
          <w:rFonts w:ascii="Times New Roman" w:hAnsi="Times New Roman" w:cs="Times New Roman"/>
          <w:bCs/>
          <w:sz w:val="24"/>
          <w:szCs w:val="24"/>
        </w:rPr>
        <w:t>.</w:t>
      </w:r>
      <w:r w:rsidR="000D77EA">
        <w:rPr>
          <w:rFonts w:ascii="Times New Roman" w:hAnsi="Times New Roman" w:cs="Times New Roman"/>
          <w:bCs/>
          <w:sz w:val="24"/>
          <w:szCs w:val="24"/>
        </w:rPr>
        <w:t xml:space="preserve"> Lo cual deberá considerar la política de descentralización.</w:t>
      </w:r>
    </w:p>
    <w:p w:rsidR="000D77EA" w:rsidRDefault="000D77EA" w:rsidP="00826CB7">
      <w:pPr>
        <w:pStyle w:val="ListParagraph"/>
        <w:numPr>
          <w:ilvl w:val="0"/>
          <w:numId w:val="19"/>
        </w:numPr>
        <w:spacing w:before="120" w:after="120" w:line="240" w:lineRule="auto"/>
        <w:ind w:left="1066" w:hanging="357"/>
        <w:contextualSpacing w:val="0"/>
        <w:jc w:val="both"/>
        <w:rPr>
          <w:rFonts w:ascii="Times New Roman" w:hAnsi="Times New Roman" w:cs="Times New Roman"/>
          <w:bCs/>
          <w:sz w:val="24"/>
          <w:szCs w:val="24"/>
        </w:rPr>
      </w:pPr>
      <w:r>
        <w:rPr>
          <w:rFonts w:ascii="Times New Roman" w:hAnsi="Times New Roman" w:cs="Times New Roman"/>
          <w:bCs/>
          <w:sz w:val="24"/>
          <w:szCs w:val="24"/>
        </w:rPr>
        <w:t>A corto plazo, revisar el documento de licitación en la modalidad por Contrato. Introducir elementos que reduzcan la incertidumbre de los oferentes en cuanto al alcance de las obras de mantenimiento inicial y en cuanto a la incidencia del clima, entre otros.</w:t>
      </w:r>
    </w:p>
    <w:p w:rsidR="000D77EA" w:rsidRDefault="000D77EA" w:rsidP="00826CB7">
      <w:pPr>
        <w:pStyle w:val="ListParagraph"/>
        <w:numPr>
          <w:ilvl w:val="0"/>
          <w:numId w:val="19"/>
        </w:numPr>
        <w:spacing w:before="120" w:after="120" w:line="240" w:lineRule="auto"/>
        <w:ind w:left="1066" w:hanging="357"/>
        <w:contextualSpacing w:val="0"/>
        <w:jc w:val="both"/>
        <w:rPr>
          <w:rFonts w:ascii="Times New Roman" w:hAnsi="Times New Roman" w:cs="Times New Roman"/>
          <w:bCs/>
          <w:sz w:val="24"/>
          <w:szCs w:val="24"/>
        </w:rPr>
      </w:pPr>
      <w:r>
        <w:rPr>
          <w:rFonts w:ascii="Times New Roman" w:hAnsi="Times New Roman" w:cs="Times New Roman"/>
          <w:bCs/>
          <w:sz w:val="24"/>
          <w:szCs w:val="24"/>
        </w:rPr>
        <w:t>A corto y mediano plazo, adecuar los instrumentos de la modalidad por Convenio para ir ajustándolo a una normativa más rígida como la ley de contrataciones públicas y la intervención de la Contraloría General de la República. Lo cual afectará el modelo de gestión por administración.</w:t>
      </w:r>
    </w:p>
    <w:p w:rsidR="000D77EA" w:rsidRDefault="000D77EA" w:rsidP="00826CB7">
      <w:pPr>
        <w:pStyle w:val="ListParagraph"/>
        <w:numPr>
          <w:ilvl w:val="0"/>
          <w:numId w:val="19"/>
        </w:numPr>
        <w:spacing w:before="120" w:after="120" w:line="240" w:lineRule="auto"/>
        <w:ind w:left="1066" w:hanging="357"/>
        <w:contextualSpacing w:val="0"/>
        <w:jc w:val="both"/>
        <w:rPr>
          <w:rFonts w:ascii="Times New Roman" w:hAnsi="Times New Roman" w:cs="Times New Roman"/>
          <w:bCs/>
          <w:sz w:val="24"/>
          <w:szCs w:val="24"/>
        </w:rPr>
      </w:pPr>
      <w:r>
        <w:rPr>
          <w:rFonts w:ascii="Times New Roman" w:hAnsi="Times New Roman" w:cs="Times New Roman"/>
          <w:bCs/>
          <w:sz w:val="24"/>
          <w:szCs w:val="24"/>
        </w:rPr>
        <w:t>A corto y mediano plazo, en la modalidad por Convenio, prescindir del uso de maquinarias del MOPC. Recurrir a equipos que puedan proveer los GL o migrar hacia la tercerización de las actividades.</w:t>
      </w:r>
    </w:p>
    <w:p w:rsidR="00FE1C06" w:rsidRDefault="000D77EA" w:rsidP="00826CB7">
      <w:pPr>
        <w:pStyle w:val="ListParagraph"/>
        <w:numPr>
          <w:ilvl w:val="0"/>
          <w:numId w:val="19"/>
        </w:numPr>
        <w:spacing w:before="120" w:after="120" w:line="240" w:lineRule="auto"/>
        <w:ind w:left="1066" w:hanging="357"/>
        <w:contextualSpacing w:val="0"/>
        <w:jc w:val="both"/>
        <w:rPr>
          <w:rFonts w:ascii="Times New Roman" w:hAnsi="Times New Roman" w:cs="Times New Roman"/>
          <w:bCs/>
          <w:sz w:val="24"/>
          <w:szCs w:val="24"/>
        </w:rPr>
      </w:pPr>
      <w:r>
        <w:rPr>
          <w:rFonts w:ascii="Times New Roman" w:hAnsi="Times New Roman" w:cs="Times New Roman"/>
          <w:bCs/>
          <w:sz w:val="24"/>
          <w:szCs w:val="24"/>
        </w:rPr>
        <w:t xml:space="preserve">A corto y mediano plazo, </w:t>
      </w:r>
      <w:r w:rsidR="00FE1C06">
        <w:rPr>
          <w:rFonts w:ascii="Times New Roman" w:hAnsi="Times New Roman" w:cs="Times New Roman"/>
          <w:bCs/>
          <w:sz w:val="24"/>
          <w:szCs w:val="24"/>
        </w:rPr>
        <w:t>promover adecuadamente la sub-modalidad de ACV pero bajo el enfoque de microempresa, focalizado a lograr impactos para reducir la pobreza rural, considerando el aspecto social con la sensibilidad que merece. Si bien un esfuerzo de este tipo puede ser innovador en el MOPC, ya no lo es en el plano internacional, con otros ministerios de transporte de la región.</w:t>
      </w:r>
    </w:p>
    <w:p w:rsidR="00B261EE" w:rsidRDefault="00B261EE" w:rsidP="00BA22DC">
      <w:pPr>
        <w:spacing w:before="240"/>
        <w:ind w:left="709"/>
        <w:jc w:val="center"/>
        <w:rPr>
          <w:b/>
        </w:rPr>
      </w:pPr>
    </w:p>
    <w:p w:rsidR="00BA22DC" w:rsidRPr="00FE62D5" w:rsidRDefault="00BA22DC" w:rsidP="00BA22DC">
      <w:pPr>
        <w:spacing w:before="240"/>
        <w:ind w:left="709"/>
        <w:jc w:val="center"/>
        <w:rPr>
          <w:b/>
        </w:rPr>
      </w:pPr>
      <w:r w:rsidRPr="00FE62D5">
        <w:rPr>
          <w:b/>
        </w:rPr>
        <w:t>……………………………………</w:t>
      </w:r>
    </w:p>
    <w:p w:rsidR="00BA22DC" w:rsidRDefault="00BA22DC" w:rsidP="00AB1224">
      <w:pPr>
        <w:spacing w:before="120" w:after="120" w:line="240" w:lineRule="atLeast"/>
        <w:ind w:left="709"/>
        <w:contextualSpacing/>
        <w:jc w:val="both"/>
        <w:rPr>
          <w:b/>
          <w:bCs/>
          <w:szCs w:val="24"/>
        </w:rPr>
      </w:pPr>
    </w:p>
    <w:p w:rsidR="00BA22DC" w:rsidRDefault="00BA22DC" w:rsidP="00AB1224">
      <w:pPr>
        <w:spacing w:before="120" w:after="120" w:line="240" w:lineRule="atLeast"/>
        <w:ind w:left="709"/>
        <w:contextualSpacing/>
        <w:jc w:val="both"/>
        <w:rPr>
          <w:b/>
          <w:bCs/>
          <w:szCs w:val="24"/>
        </w:rPr>
      </w:pPr>
    </w:p>
    <w:sectPr w:rsidR="00BA22DC">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A0E" w:rsidRDefault="00690A0E" w:rsidP="004D0B85">
      <w:r>
        <w:separator/>
      </w:r>
    </w:p>
  </w:endnote>
  <w:endnote w:type="continuationSeparator" w:id="0">
    <w:p w:rsidR="00690A0E" w:rsidRDefault="00690A0E" w:rsidP="004D0B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4925973"/>
      <w:docPartObj>
        <w:docPartGallery w:val="Page Numbers (Bottom of Page)"/>
        <w:docPartUnique/>
      </w:docPartObj>
    </w:sdtPr>
    <w:sdtEndPr/>
    <w:sdtContent>
      <w:p w:rsidR="00B32C0F" w:rsidRDefault="00B32C0F">
        <w:pPr>
          <w:pStyle w:val="Footer"/>
          <w:jc w:val="right"/>
        </w:pPr>
        <w:r>
          <w:fldChar w:fldCharType="begin"/>
        </w:r>
        <w:r>
          <w:instrText>PAGE   \* MERGEFORMAT</w:instrText>
        </w:r>
        <w:r>
          <w:fldChar w:fldCharType="separate"/>
        </w:r>
        <w:r w:rsidR="006E1BAB" w:rsidRPr="006E1BAB">
          <w:rPr>
            <w:noProof/>
            <w:lang w:val="es-ES"/>
          </w:rPr>
          <w:t>1</w:t>
        </w:r>
        <w:r>
          <w:fldChar w:fldCharType="end"/>
        </w:r>
      </w:p>
    </w:sdtContent>
  </w:sdt>
  <w:p w:rsidR="00B32C0F" w:rsidRDefault="00B32C0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9342421"/>
      <w:docPartObj>
        <w:docPartGallery w:val="Page Numbers (Bottom of Page)"/>
        <w:docPartUnique/>
      </w:docPartObj>
    </w:sdtPr>
    <w:sdtEndPr/>
    <w:sdtContent>
      <w:p w:rsidR="00B32C0F" w:rsidRDefault="00B32C0F">
        <w:pPr>
          <w:pStyle w:val="Footer"/>
          <w:jc w:val="right"/>
        </w:pPr>
        <w:r>
          <w:fldChar w:fldCharType="begin"/>
        </w:r>
        <w:r>
          <w:instrText>PAGE   \* MERGEFORMAT</w:instrText>
        </w:r>
        <w:r>
          <w:fldChar w:fldCharType="separate"/>
        </w:r>
        <w:r w:rsidRPr="005E2984">
          <w:rPr>
            <w:noProof/>
            <w:lang w:val="es-ES"/>
          </w:rPr>
          <w:t>1</w:t>
        </w:r>
        <w:r>
          <w:fldChar w:fldCharType="end"/>
        </w:r>
      </w:p>
    </w:sdtContent>
  </w:sdt>
  <w:p w:rsidR="00B32C0F" w:rsidRDefault="00B32C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C0F" w:rsidRDefault="00B32C0F">
    <w:pPr>
      <w:pStyle w:val="Footer"/>
      <w:jc w:val="center"/>
    </w:pPr>
  </w:p>
  <w:p w:rsidR="00B32C0F" w:rsidRDefault="00B32C0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9986449"/>
      <w:docPartObj>
        <w:docPartGallery w:val="Page Numbers (Bottom of Page)"/>
        <w:docPartUnique/>
      </w:docPartObj>
    </w:sdtPr>
    <w:sdtEndPr/>
    <w:sdtContent>
      <w:p w:rsidR="00B32C0F" w:rsidRDefault="00B32C0F">
        <w:pPr>
          <w:pStyle w:val="Footer"/>
          <w:jc w:val="center"/>
        </w:pPr>
        <w:r>
          <w:fldChar w:fldCharType="begin"/>
        </w:r>
        <w:r>
          <w:instrText>PAGE   \* MERGEFORMAT</w:instrText>
        </w:r>
        <w:r>
          <w:fldChar w:fldCharType="separate"/>
        </w:r>
        <w:r w:rsidR="006E1BAB" w:rsidRPr="006E1BAB">
          <w:rPr>
            <w:noProof/>
            <w:lang w:val="es-ES"/>
          </w:rPr>
          <w:t>1</w:t>
        </w:r>
        <w:r>
          <w:fldChar w:fldCharType="end"/>
        </w:r>
      </w:p>
    </w:sdtContent>
  </w:sdt>
  <w:p w:rsidR="00B32C0F" w:rsidRDefault="00B32C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A0E" w:rsidRDefault="00690A0E" w:rsidP="004D0B85">
      <w:r>
        <w:separator/>
      </w:r>
    </w:p>
  </w:footnote>
  <w:footnote w:type="continuationSeparator" w:id="0">
    <w:p w:rsidR="00690A0E" w:rsidRDefault="00690A0E" w:rsidP="004D0B85">
      <w:r>
        <w:continuationSeparator/>
      </w:r>
    </w:p>
  </w:footnote>
  <w:footnote w:id="1">
    <w:p w:rsidR="00B32C0F" w:rsidRPr="00C20421" w:rsidRDefault="00B32C0F">
      <w:pPr>
        <w:pStyle w:val="FootnoteText"/>
        <w:rPr>
          <w:lang w:val="es-PY"/>
        </w:rPr>
      </w:pPr>
      <w:r w:rsidRPr="00C20421">
        <w:rPr>
          <w:rStyle w:val="FootnoteReference"/>
        </w:rPr>
        <w:footnoteRef/>
      </w:r>
      <w:r w:rsidRPr="00C20421">
        <w:rPr>
          <w:lang w:val="es-PY"/>
        </w:rPr>
        <w:t xml:space="preserve"> Este documento fue elaborado por el Ing. Alcides Moreno, consultor contratado por el BID.</w:t>
      </w:r>
    </w:p>
  </w:footnote>
  <w:footnote w:id="2">
    <w:p w:rsidR="00B32C0F" w:rsidRPr="00D853C9" w:rsidRDefault="00B32C0F">
      <w:pPr>
        <w:pStyle w:val="FootnoteText"/>
        <w:rPr>
          <w:lang w:val="pt-BR"/>
        </w:rPr>
      </w:pPr>
      <w:r>
        <w:rPr>
          <w:rStyle w:val="FootnoteReference"/>
        </w:rPr>
        <w:footnoteRef/>
      </w:r>
      <w:r w:rsidRPr="00D853C9">
        <w:rPr>
          <w:lang w:val="pt-BR"/>
        </w:rPr>
        <w:t xml:space="preserve"> </w:t>
      </w:r>
      <w:r>
        <w:rPr>
          <w:lang w:val="pt-BR"/>
        </w:rPr>
        <w:t xml:space="preserve">BID: </w:t>
      </w:r>
      <w:r w:rsidRPr="00D853C9">
        <w:rPr>
          <w:lang w:val="pt-BR"/>
        </w:rPr>
        <w:t>PCR_Programa_Nacional_de_Caminos_Rurales_2da_Etapa_-_1era_Fase_(PR0104)_(1230-OC-PR)</w:t>
      </w:r>
      <w:r>
        <w:rPr>
          <w:lang w:val="pt-BR"/>
        </w:rPr>
        <w:t>.</w:t>
      </w:r>
      <w:r w:rsidRPr="00D853C9">
        <w:rPr>
          <w:lang w:val="pt-BR"/>
        </w:rPr>
        <w:t xml:space="preserve"> </w:t>
      </w:r>
    </w:p>
  </w:footnote>
  <w:footnote w:id="3">
    <w:p w:rsidR="00B32C0F" w:rsidRPr="00EA22C1" w:rsidRDefault="00B32C0F" w:rsidP="00AB4F5A">
      <w:pPr>
        <w:pStyle w:val="FootnoteText"/>
        <w:rPr>
          <w:lang w:val="es-PY"/>
        </w:rPr>
      </w:pPr>
      <w:r>
        <w:rPr>
          <w:rStyle w:val="FootnoteReference"/>
        </w:rPr>
        <w:footnoteRef/>
      </w:r>
      <w:r w:rsidRPr="00EA22C1">
        <w:rPr>
          <w:lang w:val="es-PY"/>
        </w:rPr>
        <w:t xml:space="preserve"> </w:t>
      </w:r>
      <w:r>
        <w:rPr>
          <w:lang w:val="es-PY"/>
        </w:rPr>
        <w:t xml:space="preserve">BID: </w:t>
      </w:r>
      <w:r w:rsidRPr="00AB4F5A">
        <w:rPr>
          <w:lang w:val="es-PY"/>
        </w:rPr>
        <w:t>PARAGUAY_A</w:t>
      </w:r>
      <w:r w:rsidRPr="00EA22C1">
        <w:rPr>
          <w:lang w:val="es-PY"/>
        </w:rPr>
        <w:t>poyo_al_Programa_Nacional_de_Caminos_Rurales_2da__Etapa_-_Fase_II</w:t>
      </w:r>
      <w:proofErr w:type="gramStart"/>
      <w:r w:rsidRPr="00EA22C1">
        <w:rPr>
          <w:lang w:val="es-PY"/>
        </w:rPr>
        <w:t>_(</w:t>
      </w:r>
      <w:proofErr w:type="gramEnd"/>
      <w:r w:rsidRPr="00EA22C1">
        <w:rPr>
          <w:lang w:val="es-PY"/>
        </w:rPr>
        <w:t>PR-L1019)_~_PR-T1088.</w:t>
      </w:r>
    </w:p>
  </w:footnote>
  <w:footnote w:id="4">
    <w:p w:rsidR="00B32C0F" w:rsidRPr="00AA175B" w:rsidRDefault="00B32C0F">
      <w:pPr>
        <w:pStyle w:val="FootnoteText"/>
        <w:rPr>
          <w:lang w:val="es-PY"/>
        </w:rPr>
      </w:pPr>
      <w:r>
        <w:rPr>
          <w:rStyle w:val="FootnoteReference"/>
        </w:rPr>
        <w:footnoteRef/>
      </w:r>
      <w:r>
        <w:t xml:space="preserve"> </w:t>
      </w:r>
      <w:r>
        <w:rPr>
          <w:lang w:val="es-PY"/>
        </w:rPr>
        <w:t>La información ilustrada es una propuesta a la fecha y no constituye compromiso asumido por el MOPC.</w:t>
      </w:r>
    </w:p>
  </w:footnote>
  <w:footnote w:id="5">
    <w:p w:rsidR="00B32C0F" w:rsidRPr="00A277F0" w:rsidRDefault="00B32C0F">
      <w:pPr>
        <w:pStyle w:val="FootnoteText"/>
        <w:rPr>
          <w:lang w:val="es-PY"/>
        </w:rPr>
      </w:pPr>
      <w:r>
        <w:rPr>
          <w:rStyle w:val="FootnoteReference"/>
        </w:rPr>
        <w:footnoteRef/>
      </w:r>
      <w:r>
        <w:t xml:space="preserve"> </w:t>
      </w:r>
      <w:r>
        <w:rPr>
          <w:lang w:val="es-PY"/>
        </w:rPr>
        <w:t>La UGM informó que este convenio se halla suspendido momentáneamente.</w:t>
      </w:r>
    </w:p>
  </w:footnote>
  <w:footnote w:id="6">
    <w:p w:rsidR="00B32C0F" w:rsidRPr="0042520C" w:rsidRDefault="00B32C0F">
      <w:pPr>
        <w:pStyle w:val="FootnoteText"/>
        <w:rPr>
          <w:lang w:val="es-PY"/>
        </w:rPr>
      </w:pPr>
      <w:r>
        <w:rPr>
          <w:rStyle w:val="FootnoteReference"/>
        </w:rPr>
        <w:footnoteRef/>
      </w:r>
      <w:r>
        <w:t xml:space="preserve"> </w:t>
      </w:r>
      <w:r>
        <w:rPr>
          <w:lang w:val="es-PY"/>
        </w:rPr>
        <w:t>Nota DCV N° 798/2014, con fecha 9 de julio de 2014, que informa al BID sobre el estado de las transferencias a los Municipios en el marco de la ejecución de los Convenios de Mantenimiento Vial.</w:t>
      </w:r>
    </w:p>
  </w:footnote>
  <w:footnote w:id="7">
    <w:p w:rsidR="00B32C0F" w:rsidRPr="001956ED" w:rsidRDefault="00B32C0F">
      <w:pPr>
        <w:pStyle w:val="FootnoteText"/>
        <w:rPr>
          <w:lang w:val="es-PY"/>
        </w:rPr>
      </w:pPr>
      <w:r>
        <w:rPr>
          <w:rStyle w:val="FootnoteReference"/>
        </w:rPr>
        <w:footnoteRef/>
      </w:r>
      <w:r>
        <w:t xml:space="preserve"> </w:t>
      </w:r>
      <w:r>
        <w:rPr>
          <w:lang w:val="es-PY"/>
        </w:rPr>
        <w:t>Fuente: Entrevista realizada el 13 de agosto de 2014 al Ing. Alfredo Bordón, responsable del área en el gabinete del VMOPC.</w:t>
      </w:r>
    </w:p>
  </w:footnote>
  <w:footnote w:id="8">
    <w:p w:rsidR="00B32C0F" w:rsidRPr="0008505F" w:rsidRDefault="00B32C0F">
      <w:pPr>
        <w:pStyle w:val="FootnoteText"/>
      </w:pPr>
      <w:r>
        <w:rPr>
          <w:rStyle w:val="FootnoteReference"/>
        </w:rPr>
        <w:footnoteRef/>
      </w:r>
      <w:r>
        <w:t xml:space="preserve"> Según información suministrada por el DO-DCV.</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C0F" w:rsidRPr="00276C91" w:rsidRDefault="00B32C0F" w:rsidP="000701AD">
    <w:pPr>
      <w:pStyle w:val="Header"/>
      <w:jc w:val="center"/>
      <w:rPr>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C0F" w:rsidRPr="00276C91" w:rsidRDefault="00B32C0F" w:rsidP="000701AD">
    <w:pPr>
      <w:pStyle w:val="Header"/>
      <w:jc w:val="center"/>
      <w:rPr>
        <w:szCs w:val="24"/>
      </w:rPr>
    </w:pPr>
    <w:r w:rsidRPr="00276C91">
      <w:rPr>
        <w:szCs w:val="24"/>
      </w:rPr>
      <w:fldChar w:fldCharType="begin"/>
    </w:r>
    <w:r w:rsidRPr="00276C91">
      <w:rPr>
        <w:szCs w:val="24"/>
      </w:rPr>
      <w:instrText xml:space="preserve"> PAGE </w:instrText>
    </w:r>
    <w:r w:rsidRPr="00276C91">
      <w:rPr>
        <w:szCs w:val="24"/>
      </w:rPr>
      <w:fldChar w:fldCharType="separate"/>
    </w:r>
    <w:r w:rsidR="006E1BAB">
      <w:rPr>
        <w:noProof/>
        <w:szCs w:val="24"/>
      </w:rPr>
      <w:t>47</w:t>
    </w:r>
    <w:r w:rsidRPr="00276C91">
      <w:rPr>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2C0F" w:rsidRDefault="00B32C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AB7FC9"/>
    <w:multiLevelType w:val="multilevel"/>
    <w:tmpl w:val="E1B2F9AA"/>
    <w:lvl w:ilvl="0">
      <w:start w:val="1"/>
      <w:numFmt w:val="upperRoman"/>
      <w:lvlText w:val="%1."/>
      <w:lvlJc w:val="center"/>
      <w:pPr>
        <w:tabs>
          <w:tab w:val="num" w:pos="648"/>
        </w:tabs>
        <w:ind w:left="0" w:firstLine="288"/>
      </w:pPr>
      <w:rPr>
        <w:b/>
        <w:i w:val="0"/>
      </w:rPr>
    </w:lvl>
    <w:lvl w:ilvl="1">
      <w:start w:val="1"/>
      <w:numFmt w:val="decimal"/>
      <w:isLgl/>
      <w:lvlText w:val="%1.%2"/>
      <w:lvlJc w:val="left"/>
      <w:pPr>
        <w:tabs>
          <w:tab w:val="num" w:pos="720"/>
        </w:tabs>
        <w:ind w:left="720" w:hanging="720"/>
      </w:pPr>
    </w:lvl>
    <w:lvl w:ilvl="2">
      <w:start w:val="1"/>
      <w:numFmt w:val="lowerLetter"/>
      <w:lvlText w:val="%3."/>
      <w:lvlJc w:val="left"/>
      <w:pPr>
        <w:tabs>
          <w:tab w:val="num" w:pos="1152"/>
        </w:tabs>
        <w:ind w:left="1152" w:hanging="432"/>
      </w:pPr>
    </w:lvl>
    <w:lvl w:ilvl="3">
      <w:start w:val="1"/>
      <w:numFmt w:val="lowerRoman"/>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1">
    <w:nsid w:val="11202DAB"/>
    <w:multiLevelType w:val="hybridMultilevel"/>
    <w:tmpl w:val="D4FE9D1E"/>
    <w:lvl w:ilvl="0" w:tplc="71FC487A">
      <w:start w:val="1"/>
      <w:numFmt w:val="lowerLetter"/>
      <w:lvlText w:val="%1)"/>
      <w:lvlJc w:val="left"/>
      <w:pPr>
        <w:ind w:left="1080" w:hanging="360"/>
      </w:pPr>
      <w:rPr>
        <w:rFonts w:hint="default"/>
      </w:rPr>
    </w:lvl>
    <w:lvl w:ilvl="1" w:tplc="3C0A0019" w:tentative="1">
      <w:start w:val="1"/>
      <w:numFmt w:val="lowerLetter"/>
      <w:lvlText w:val="%2."/>
      <w:lvlJc w:val="left"/>
      <w:pPr>
        <w:ind w:left="1800" w:hanging="360"/>
      </w:pPr>
    </w:lvl>
    <w:lvl w:ilvl="2" w:tplc="3C0A001B" w:tentative="1">
      <w:start w:val="1"/>
      <w:numFmt w:val="lowerRoman"/>
      <w:lvlText w:val="%3."/>
      <w:lvlJc w:val="right"/>
      <w:pPr>
        <w:ind w:left="2520" w:hanging="180"/>
      </w:pPr>
    </w:lvl>
    <w:lvl w:ilvl="3" w:tplc="3C0A000F" w:tentative="1">
      <w:start w:val="1"/>
      <w:numFmt w:val="decimal"/>
      <w:lvlText w:val="%4."/>
      <w:lvlJc w:val="left"/>
      <w:pPr>
        <w:ind w:left="3240" w:hanging="360"/>
      </w:pPr>
    </w:lvl>
    <w:lvl w:ilvl="4" w:tplc="3C0A0019" w:tentative="1">
      <w:start w:val="1"/>
      <w:numFmt w:val="lowerLetter"/>
      <w:lvlText w:val="%5."/>
      <w:lvlJc w:val="left"/>
      <w:pPr>
        <w:ind w:left="3960" w:hanging="360"/>
      </w:pPr>
    </w:lvl>
    <w:lvl w:ilvl="5" w:tplc="3C0A001B" w:tentative="1">
      <w:start w:val="1"/>
      <w:numFmt w:val="lowerRoman"/>
      <w:lvlText w:val="%6."/>
      <w:lvlJc w:val="right"/>
      <w:pPr>
        <w:ind w:left="4680" w:hanging="180"/>
      </w:pPr>
    </w:lvl>
    <w:lvl w:ilvl="6" w:tplc="3C0A000F" w:tentative="1">
      <w:start w:val="1"/>
      <w:numFmt w:val="decimal"/>
      <w:lvlText w:val="%7."/>
      <w:lvlJc w:val="left"/>
      <w:pPr>
        <w:ind w:left="5400" w:hanging="360"/>
      </w:pPr>
    </w:lvl>
    <w:lvl w:ilvl="7" w:tplc="3C0A0019" w:tentative="1">
      <w:start w:val="1"/>
      <w:numFmt w:val="lowerLetter"/>
      <w:lvlText w:val="%8."/>
      <w:lvlJc w:val="left"/>
      <w:pPr>
        <w:ind w:left="6120" w:hanging="360"/>
      </w:pPr>
    </w:lvl>
    <w:lvl w:ilvl="8" w:tplc="3C0A001B" w:tentative="1">
      <w:start w:val="1"/>
      <w:numFmt w:val="lowerRoman"/>
      <w:lvlText w:val="%9."/>
      <w:lvlJc w:val="right"/>
      <w:pPr>
        <w:ind w:left="6840" w:hanging="180"/>
      </w:pPr>
    </w:lvl>
  </w:abstractNum>
  <w:abstractNum w:abstractNumId="2">
    <w:nsid w:val="12C07B9F"/>
    <w:multiLevelType w:val="multilevel"/>
    <w:tmpl w:val="1E841030"/>
    <w:lvl w:ilvl="0">
      <w:start w:val="1"/>
      <w:numFmt w:val="decimal"/>
      <w:pStyle w:val="Heading2"/>
      <w:lvlText w:val="%1."/>
      <w:lvlJc w:val="left"/>
      <w:pPr>
        <w:tabs>
          <w:tab w:val="num" w:pos="705"/>
        </w:tabs>
        <w:ind w:left="705" w:hanging="705"/>
      </w:pPr>
      <w:rPr>
        <w:rFonts w:hint="default"/>
        <w:sz w:val="24"/>
        <w:szCs w:val="24"/>
      </w:rPr>
    </w:lvl>
    <w:lvl w:ilvl="1">
      <w:start w:val="1"/>
      <w:numFmt w:val="decimal"/>
      <w:isLgl/>
      <w:lvlText w:val="%1.%2"/>
      <w:lvlJc w:val="left"/>
      <w:pPr>
        <w:tabs>
          <w:tab w:val="num" w:pos="360"/>
        </w:tabs>
        <w:ind w:left="360" w:hanging="360"/>
      </w:pPr>
      <w:rPr>
        <w:rFonts w:ascii="Times New Roman" w:hAnsi="Times New Roman" w:cs="Times New Roman" w:hint="default"/>
        <w:b w:val="0"/>
        <w:i w:val="0"/>
        <w:color w:val="auto"/>
        <w:sz w:val="24"/>
        <w:szCs w:val="24"/>
        <w:lang w:val="es-ES_tradnl"/>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nsid w:val="15D71F46"/>
    <w:multiLevelType w:val="hybridMultilevel"/>
    <w:tmpl w:val="E5220794"/>
    <w:lvl w:ilvl="0" w:tplc="F740DF3E">
      <w:start w:val="1"/>
      <w:numFmt w:val="decimal"/>
      <w:lvlText w:val="%1."/>
      <w:lvlJc w:val="left"/>
      <w:pPr>
        <w:ind w:left="1429" w:hanging="360"/>
      </w:pPr>
      <w:rPr>
        <w:rFonts w:hint="default"/>
      </w:rPr>
    </w:lvl>
    <w:lvl w:ilvl="1" w:tplc="3C0A0019" w:tentative="1">
      <w:start w:val="1"/>
      <w:numFmt w:val="lowerLetter"/>
      <w:lvlText w:val="%2."/>
      <w:lvlJc w:val="left"/>
      <w:pPr>
        <w:ind w:left="2149" w:hanging="360"/>
      </w:pPr>
    </w:lvl>
    <w:lvl w:ilvl="2" w:tplc="3C0A001B" w:tentative="1">
      <w:start w:val="1"/>
      <w:numFmt w:val="lowerRoman"/>
      <w:lvlText w:val="%3."/>
      <w:lvlJc w:val="right"/>
      <w:pPr>
        <w:ind w:left="2869" w:hanging="180"/>
      </w:pPr>
    </w:lvl>
    <w:lvl w:ilvl="3" w:tplc="3C0A000F" w:tentative="1">
      <w:start w:val="1"/>
      <w:numFmt w:val="decimal"/>
      <w:lvlText w:val="%4."/>
      <w:lvlJc w:val="left"/>
      <w:pPr>
        <w:ind w:left="3589" w:hanging="360"/>
      </w:pPr>
    </w:lvl>
    <w:lvl w:ilvl="4" w:tplc="3C0A0019" w:tentative="1">
      <w:start w:val="1"/>
      <w:numFmt w:val="lowerLetter"/>
      <w:lvlText w:val="%5."/>
      <w:lvlJc w:val="left"/>
      <w:pPr>
        <w:ind w:left="4309" w:hanging="360"/>
      </w:pPr>
    </w:lvl>
    <w:lvl w:ilvl="5" w:tplc="3C0A001B" w:tentative="1">
      <w:start w:val="1"/>
      <w:numFmt w:val="lowerRoman"/>
      <w:lvlText w:val="%6."/>
      <w:lvlJc w:val="right"/>
      <w:pPr>
        <w:ind w:left="5029" w:hanging="180"/>
      </w:pPr>
    </w:lvl>
    <w:lvl w:ilvl="6" w:tplc="3C0A000F" w:tentative="1">
      <w:start w:val="1"/>
      <w:numFmt w:val="decimal"/>
      <w:lvlText w:val="%7."/>
      <w:lvlJc w:val="left"/>
      <w:pPr>
        <w:ind w:left="5749" w:hanging="360"/>
      </w:pPr>
    </w:lvl>
    <w:lvl w:ilvl="7" w:tplc="3C0A0019" w:tentative="1">
      <w:start w:val="1"/>
      <w:numFmt w:val="lowerLetter"/>
      <w:lvlText w:val="%8."/>
      <w:lvlJc w:val="left"/>
      <w:pPr>
        <w:ind w:left="6469" w:hanging="360"/>
      </w:pPr>
    </w:lvl>
    <w:lvl w:ilvl="8" w:tplc="3C0A001B" w:tentative="1">
      <w:start w:val="1"/>
      <w:numFmt w:val="lowerRoman"/>
      <w:lvlText w:val="%9."/>
      <w:lvlJc w:val="right"/>
      <w:pPr>
        <w:ind w:left="7189" w:hanging="180"/>
      </w:pPr>
    </w:lvl>
  </w:abstractNum>
  <w:abstractNum w:abstractNumId="4">
    <w:nsid w:val="16B265A2"/>
    <w:multiLevelType w:val="hybridMultilevel"/>
    <w:tmpl w:val="47060C64"/>
    <w:lvl w:ilvl="0" w:tplc="E8F0E192">
      <w:start w:val="2"/>
      <w:numFmt w:val="bullet"/>
      <w:lvlText w:val="-"/>
      <w:lvlJc w:val="left"/>
      <w:pPr>
        <w:ind w:left="720" w:hanging="360"/>
      </w:pPr>
      <w:rPr>
        <w:rFonts w:ascii="Calibri" w:eastAsia="Times New Roman" w:hAnsi="Calibri" w:cs="Aria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5">
    <w:nsid w:val="16D81288"/>
    <w:multiLevelType w:val="hybridMultilevel"/>
    <w:tmpl w:val="ADE601CC"/>
    <w:lvl w:ilvl="0" w:tplc="545236E6">
      <w:start w:val="1"/>
      <w:numFmt w:val="upperLetter"/>
      <w:pStyle w:val="Heading1"/>
      <w:lvlText w:val="%1."/>
      <w:lvlJc w:val="left"/>
      <w:pPr>
        <w:ind w:left="720" w:hanging="360"/>
      </w:pPr>
      <w:rPr>
        <w:rFonts w:hint="default"/>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6">
    <w:nsid w:val="18A35AB3"/>
    <w:multiLevelType w:val="hybridMultilevel"/>
    <w:tmpl w:val="EEC4947E"/>
    <w:lvl w:ilvl="0" w:tplc="0BB20316">
      <w:start w:val="1"/>
      <w:numFmt w:val="upperLetter"/>
      <w:lvlText w:val="%1."/>
      <w:lvlJc w:val="left"/>
      <w:pPr>
        <w:ind w:left="720" w:hanging="360"/>
      </w:pPr>
      <w:rPr>
        <w:rFonts w:ascii="Times New Roman" w:eastAsia="Times New Roman" w:hAnsi="Times New Roman" w:cs="Times New Roman"/>
      </w:rPr>
    </w:lvl>
    <w:lvl w:ilvl="1" w:tplc="3C0A0019" w:tentative="1">
      <w:start w:val="1"/>
      <w:numFmt w:val="lowerLetter"/>
      <w:lvlText w:val="%2."/>
      <w:lvlJc w:val="left"/>
      <w:pPr>
        <w:ind w:left="1440" w:hanging="360"/>
      </w:pPr>
    </w:lvl>
    <w:lvl w:ilvl="2" w:tplc="3C0A001B" w:tentative="1">
      <w:start w:val="1"/>
      <w:numFmt w:val="lowerRoman"/>
      <w:lvlText w:val="%3."/>
      <w:lvlJc w:val="right"/>
      <w:pPr>
        <w:ind w:left="2160" w:hanging="180"/>
      </w:pPr>
    </w:lvl>
    <w:lvl w:ilvl="3" w:tplc="3C0A000F" w:tentative="1">
      <w:start w:val="1"/>
      <w:numFmt w:val="decimal"/>
      <w:lvlText w:val="%4."/>
      <w:lvlJc w:val="left"/>
      <w:pPr>
        <w:ind w:left="2880" w:hanging="360"/>
      </w:pPr>
    </w:lvl>
    <w:lvl w:ilvl="4" w:tplc="3C0A0019" w:tentative="1">
      <w:start w:val="1"/>
      <w:numFmt w:val="lowerLetter"/>
      <w:lvlText w:val="%5."/>
      <w:lvlJc w:val="left"/>
      <w:pPr>
        <w:ind w:left="3600" w:hanging="360"/>
      </w:pPr>
    </w:lvl>
    <w:lvl w:ilvl="5" w:tplc="3C0A001B" w:tentative="1">
      <w:start w:val="1"/>
      <w:numFmt w:val="lowerRoman"/>
      <w:lvlText w:val="%6."/>
      <w:lvlJc w:val="right"/>
      <w:pPr>
        <w:ind w:left="4320" w:hanging="180"/>
      </w:pPr>
    </w:lvl>
    <w:lvl w:ilvl="6" w:tplc="3C0A000F" w:tentative="1">
      <w:start w:val="1"/>
      <w:numFmt w:val="decimal"/>
      <w:lvlText w:val="%7."/>
      <w:lvlJc w:val="left"/>
      <w:pPr>
        <w:ind w:left="5040" w:hanging="360"/>
      </w:pPr>
    </w:lvl>
    <w:lvl w:ilvl="7" w:tplc="3C0A0019" w:tentative="1">
      <w:start w:val="1"/>
      <w:numFmt w:val="lowerLetter"/>
      <w:lvlText w:val="%8."/>
      <w:lvlJc w:val="left"/>
      <w:pPr>
        <w:ind w:left="5760" w:hanging="360"/>
      </w:pPr>
    </w:lvl>
    <w:lvl w:ilvl="8" w:tplc="3C0A001B" w:tentative="1">
      <w:start w:val="1"/>
      <w:numFmt w:val="lowerRoman"/>
      <w:lvlText w:val="%9."/>
      <w:lvlJc w:val="right"/>
      <w:pPr>
        <w:ind w:left="6480" w:hanging="180"/>
      </w:pPr>
    </w:lvl>
  </w:abstractNum>
  <w:abstractNum w:abstractNumId="7">
    <w:nsid w:val="203702D6"/>
    <w:multiLevelType w:val="hybridMultilevel"/>
    <w:tmpl w:val="A022CE18"/>
    <w:lvl w:ilvl="0" w:tplc="FA8203DE">
      <w:start w:val="34"/>
      <w:numFmt w:val="bullet"/>
      <w:lvlText w:val="-"/>
      <w:lvlJc w:val="left"/>
      <w:pPr>
        <w:ind w:left="720" w:hanging="360"/>
      </w:pPr>
      <w:rPr>
        <w:rFonts w:ascii="Times New Roman" w:eastAsiaTheme="minorHAnsi" w:hAnsi="Times New Roman" w:cs="Times New Roman"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8">
    <w:nsid w:val="382A53A1"/>
    <w:multiLevelType w:val="hybridMultilevel"/>
    <w:tmpl w:val="B4909BA4"/>
    <w:lvl w:ilvl="0" w:tplc="7F58F690">
      <w:start w:val="1"/>
      <w:numFmt w:val="lowerLetter"/>
      <w:lvlText w:val="%1)"/>
      <w:lvlJc w:val="left"/>
      <w:pPr>
        <w:ind w:left="1080" w:hanging="360"/>
      </w:pPr>
      <w:rPr>
        <w:rFonts w:ascii="Times New Roman" w:eastAsia="Times New Roman" w:hAnsi="Times New Roman" w:cs="Times New Roman" w:hint="default"/>
        <w:sz w:val="24"/>
      </w:rPr>
    </w:lvl>
    <w:lvl w:ilvl="1" w:tplc="3C0A0019" w:tentative="1">
      <w:start w:val="1"/>
      <w:numFmt w:val="lowerLetter"/>
      <w:lvlText w:val="%2."/>
      <w:lvlJc w:val="left"/>
      <w:pPr>
        <w:ind w:left="1800" w:hanging="360"/>
      </w:pPr>
    </w:lvl>
    <w:lvl w:ilvl="2" w:tplc="3C0A001B" w:tentative="1">
      <w:start w:val="1"/>
      <w:numFmt w:val="lowerRoman"/>
      <w:lvlText w:val="%3."/>
      <w:lvlJc w:val="right"/>
      <w:pPr>
        <w:ind w:left="2520" w:hanging="180"/>
      </w:pPr>
    </w:lvl>
    <w:lvl w:ilvl="3" w:tplc="3C0A000F" w:tentative="1">
      <w:start w:val="1"/>
      <w:numFmt w:val="decimal"/>
      <w:lvlText w:val="%4."/>
      <w:lvlJc w:val="left"/>
      <w:pPr>
        <w:ind w:left="3240" w:hanging="360"/>
      </w:pPr>
    </w:lvl>
    <w:lvl w:ilvl="4" w:tplc="3C0A0019" w:tentative="1">
      <w:start w:val="1"/>
      <w:numFmt w:val="lowerLetter"/>
      <w:lvlText w:val="%5."/>
      <w:lvlJc w:val="left"/>
      <w:pPr>
        <w:ind w:left="3960" w:hanging="360"/>
      </w:pPr>
    </w:lvl>
    <w:lvl w:ilvl="5" w:tplc="3C0A001B" w:tentative="1">
      <w:start w:val="1"/>
      <w:numFmt w:val="lowerRoman"/>
      <w:lvlText w:val="%6."/>
      <w:lvlJc w:val="right"/>
      <w:pPr>
        <w:ind w:left="4680" w:hanging="180"/>
      </w:pPr>
    </w:lvl>
    <w:lvl w:ilvl="6" w:tplc="3C0A000F" w:tentative="1">
      <w:start w:val="1"/>
      <w:numFmt w:val="decimal"/>
      <w:lvlText w:val="%7."/>
      <w:lvlJc w:val="left"/>
      <w:pPr>
        <w:ind w:left="5400" w:hanging="360"/>
      </w:pPr>
    </w:lvl>
    <w:lvl w:ilvl="7" w:tplc="3C0A0019" w:tentative="1">
      <w:start w:val="1"/>
      <w:numFmt w:val="lowerLetter"/>
      <w:lvlText w:val="%8."/>
      <w:lvlJc w:val="left"/>
      <w:pPr>
        <w:ind w:left="6120" w:hanging="360"/>
      </w:pPr>
    </w:lvl>
    <w:lvl w:ilvl="8" w:tplc="3C0A001B" w:tentative="1">
      <w:start w:val="1"/>
      <w:numFmt w:val="lowerRoman"/>
      <w:lvlText w:val="%9."/>
      <w:lvlJc w:val="right"/>
      <w:pPr>
        <w:ind w:left="6840" w:hanging="180"/>
      </w:pPr>
    </w:lvl>
  </w:abstractNum>
  <w:abstractNum w:abstractNumId="9">
    <w:nsid w:val="49A6364C"/>
    <w:multiLevelType w:val="hybridMultilevel"/>
    <w:tmpl w:val="6BF61A88"/>
    <w:lvl w:ilvl="0" w:tplc="7F58F690">
      <w:start w:val="1"/>
      <w:numFmt w:val="lowerLetter"/>
      <w:lvlText w:val="%1)"/>
      <w:lvlJc w:val="left"/>
      <w:pPr>
        <w:ind w:left="1080" w:hanging="360"/>
      </w:pPr>
      <w:rPr>
        <w:rFonts w:ascii="Times New Roman" w:eastAsia="Times New Roman" w:hAnsi="Times New Roman" w:cs="Times New Roman" w:hint="default"/>
        <w:sz w:val="24"/>
      </w:rPr>
    </w:lvl>
    <w:lvl w:ilvl="1" w:tplc="3C0A0019" w:tentative="1">
      <w:start w:val="1"/>
      <w:numFmt w:val="lowerLetter"/>
      <w:lvlText w:val="%2."/>
      <w:lvlJc w:val="left"/>
      <w:pPr>
        <w:ind w:left="1800" w:hanging="360"/>
      </w:pPr>
    </w:lvl>
    <w:lvl w:ilvl="2" w:tplc="3C0A001B" w:tentative="1">
      <w:start w:val="1"/>
      <w:numFmt w:val="lowerRoman"/>
      <w:lvlText w:val="%3."/>
      <w:lvlJc w:val="right"/>
      <w:pPr>
        <w:ind w:left="2520" w:hanging="180"/>
      </w:pPr>
    </w:lvl>
    <w:lvl w:ilvl="3" w:tplc="3C0A000F" w:tentative="1">
      <w:start w:val="1"/>
      <w:numFmt w:val="decimal"/>
      <w:lvlText w:val="%4."/>
      <w:lvlJc w:val="left"/>
      <w:pPr>
        <w:ind w:left="3240" w:hanging="360"/>
      </w:pPr>
    </w:lvl>
    <w:lvl w:ilvl="4" w:tplc="3C0A0019" w:tentative="1">
      <w:start w:val="1"/>
      <w:numFmt w:val="lowerLetter"/>
      <w:lvlText w:val="%5."/>
      <w:lvlJc w:val="left"/>
      <w:pPr>
        <w:ind w:left="3960" w:hanging="360"/>
      </w:pPr>
    </w:lvl>
    <w:lvl w:ilvl="5" w:tplc="3C0A001B" w:tentative="1">
      <w:start w:val="1"/>
      <w:numFmt w:val="lowerRoman"/>
      <w:lvlText w:val="%6."/>
      <w:lvlJc w:val="right"/>
      <w:pPr>
        <w:ind w:left="4680" w:hanging="180"/>
      </w:pPr>
    </w:lvl>
    <w:lvl w:ilvl="6" w:tplc="3C0A000F" w:tentative="1">
      <w:start w:val="1"/>
      <w:numFmt w:val="decimal"/>
      <w:lvlText w:val="%7."/>
      <w:lvlJc w:val="left"/>
      <w:pPr>
        <w:ind w:left="5400" w:hanging="360"/>
      </w:pPr>
    </w:lvl>
    <w:lvl w:ilvl="7" w:tplc="3C0A0019" w:tentative="1">
      <w:start w:val="1"/>
      <w:numFmt w:val="lowerLetter"/>
      <w:lvlText w:val="%8."/>
      <w:lvlJc w:val="left"/>
      <w:pPr>
        <w:ind w:left="6120" w:hanging="360"/>
      </w:pPr>
    </w:lvl>
    <w:lvl w:ilvl="8" w:tplc="3C0A001B" w:tentative="1">
      <w:start w:val="1"/>
      <w:numFmt w:val="lowerRoman"/>
      <w:lvlText w:val="%9."/>
      <w:lvlJc w:val="right"/>
      <w:pPr>
        <w:ind w:left="6840" w:hanging="180"/>
      </w:pPr>
    </w:lvl>
  </w:abstractNum>
  <w:abstractNum w:abstractNumId="10">
    <w:nsid w:val="526D6CBA"/>
    <w:multiLevelType w:val="hybridMultilevel"/>
    <w:tmpl w:val="C27CBFC4"/>
    <w:lvl w:ilvl="0" w:tplc="AC04A724">
      <w:start w:val="1"/>
      <w:numFmt w:val="decimal"/>
      <w:lvlText w:val="%1."/>
      <w:lvlJc w:val="left"/>
      <w:pPr>
        <w:ind w:left="1080" w:hanging="360"/>
      </w:pPr>
      <w:rPr>
        <w:rFonts w:hint="default"/>
      </w:rPr>
    </w:lvl>
    <w:lvl w:ilvl="1" w:tplc="3C0A0019" w:tentative="1">
      <w:start w:val="1"/>
      <w:numFmt w:val="lowerLetter"/>
      <w:lvlText w:val="%2."/>
      <w:lvlJc w:val="left"/>
      <w:pPr>
        <w:ind w:left="1800" w:hanging="360"/>
      </w:pPr>
    </w:lvl>
    <w:lvl w:ilvl="2" w:tplc="3C0A001B" w:tentative="1">
      <w:start w:val="1"/>
      <w:numFmt w:val="lowerRoman"/>
      <w:lvlText w:val="%3."/>
      <w:lvlJc w:val="right"/>
      <w:pPr>
        <w:ind w:left="2520" w:hanging="180"/>
      </w:pPr>
    </w:lvl>
    <w:lvl w:ilvl="3" w:tplc="3C0A000F" w:tentative="1">
      <w:start w:val="1"/>
      <w:numFmt w:val="decimal"/>
      <w:lvlText w:val="%4."/>
      <w:lvlJc w:val="left"/>
      <w:pPr>
        <w:ind w:left="3240" w:hanging="360"/>
      </w:pPr>
    </w:lvl>
    <w:lvl w:ilvl="4" w:tplc="3C0A0019" w:tentative="1">
      <w:start w:val="1"/>
      <w:numFmt w:val="lowerLetter"/>
      <w:lvlText w:val="%5."/>
      <w:lvlJc w:val="left"/>
      <w:pPr>
        <w:ind w:left="3960" w:hanging="360"/>
      </w:pPr>
    </w:lvl>
    <w:lvl w:ilvl="5" w:tplc="3C0A001B" w:tentative="1">
      <w:start w:val="1"/>
      <w:numFmt w:val="lowerRoman"/>
      <w:lvlText w:val="%6."/>
      <w:lvlJc w:val="right"/>
      <w:pPr>
        <w:ind w:left="4680" w:hanging="180"/>
      </w:pPr>
    </w:lvl>
    <w:lvl w:ilvl="6" w:tplc="3C0A000F" w:tentative="1">
      <w:start w:val="1"/>
      <w:numFmt w:val="decimal"/>
      <w:lvlText w:val="%7."/>
      <w:lvlJc w:val="left"/>
      <w:pPr>
        <w:ind w:left="5400" w:hanging="360"/>
      </w:pPr>
    </w:lvl>
    <w:lvl w:ilvl="7" w:tplc="3C0A0019" w:tentative="1">
      <w:start w:val="1"/>
      <w:numFmt w:val="lowerLetter"/>
      <w:lvlText w:val="%8."/>
      <w:lvlJc w:val="left"/>
      <w:pPr>
        <w:ind w:left="6120" w:hanging="360"/>
      </w:pPr>
    </w:lvl>
    <w:lvl w:ilvl="8" w:tplc="3C0A001B" w:tentative="1">
      <w:start w:val="1"/>
      <w:numFmt w:val="lowerRoman"/>
      <w:lvlText w:val="%9."/>
      <w:lvlJc w:val="right"/>
      <w:pPr>
        <w:ind w:left="6840" w:hanging="180"/>
      </w:pPr>
    </w:lvl>
  </w:abstractNum>
  <w:abstractNum w:abstractNumId="11">
    <w:nsid w:val="52EA221E"/>
    <w:multiLevelType w:val="hybridMultilevel"/>
    <w:tmpl w:val="41024334"/>
    <w:lvl w:ilvl="0" w:tplc="268882F4">
      <w:start w:val="1"/>
      <w:numFmt w:val="lowerLetter"/>
      <w:lvlText w:val="%1)"/>
      <w:lvlJc w:val="left"/>
      <w:pPr>
        <w:ind w:left="1069" w:hanging="360"/>
      </w:pPr>
      <w:rPr>
        <w:rFonts w:hint="default"/>
      </w:rPr>
    </w:lvl>
    <w:lvl w:ilvl="1" w:tplc="3C0A0019" w:tentative="1">
      <w:start w:val="1"/>
      <w:numFmt w:val="lowerLetter"/>
      <w:lvlText w:val="%2."/>
      <w:lvlJc w:val="left"/>
      <w:pPr>
        <w:ind w:left="1789" w:hanging="360"/>
      </w:pPr>
    </w:lvl>
    <w:lvl w:ilvl="2" w:tplc="3C0A001B" w:tentative="1">
      <w:start w:val="1"/>
      <w:numFmt w:val="lowerRoman"/>
      <w:lvlText w:val="%3."/>
      <w:lvlJc w:val="right"/>
      <w:pPr>
        <w:ind w:left="2509" w:hanging="180"/>
      </w:pPr>
    </w:lvl>
    <w:lvl w:ilvl="3" w:tplc="3C0A000F" w:tentative="1">
      <w:start w:val="1"/>
      <w:numFmt w:val="decimal"/>
      <w:lvlText w:val="%4."/>
      <w:lvlJc w:val="left"/>
      <w:pPr>
        <w:ind w:left="3229" w:hanging="360"/>
      </w:pPr>
    </w:lvl>
    <w:lvl w:ilvl="4" w:tplc="3C0A0019" w:tentative="1">
      <w:start w:val="1"/>
      <w:numFmt w:val="lowerLetter"/>
      <w:lvlText w:val="%5."/>
      <w:lvlJc w:val="left"/>
      <w:pPr>
        <w:ind w:left="3949" w:hanging="360"/>
      </w:pPr>
    </w:lvl>
    <w:lvl w:ilvl="5" w:tplc="3C0A001B" w:tentative="1">
      <w:start w:val="1"/>
      <w:numFmt w:val="lowerRoman"/>
      <w:lvlText w:val="%6."/>
      <w:lvlJc w:val="right"/>
      <w:pPr>
        <w:ind w:left="4669" w:hanging="180"/>
      </w:pPr>
    </w:lvl>
    <w:lvl w:ilvl="6" w:tplc="3C0A000F" w:tentative="1">
      <w:start w:val="1"/>
      <w:numFmt w:val="decimal"/>
      <w:lvlText w:val="%7."/>
      <w:lvlJc w:val="left"/>
      <w:pPr>
        <w:ind w:left="5389" w:hanging="360"/>
      </w:pPr>
    </w:lvl>
    <w:lvl w:ilvl="7" w:tplc="3C0A0019" w:tentative="1">
      <w:start w:val="1"/>
      <w:numFmt w:val="lowerLetter"/>
      <w:lvlText w:val="%8."/>
      <w:lvlJc w:val="left"/>
      <w:pPr>
        <w:ind w:left="6109" w:hanging="360"/>
      </w:pPr>
    </w:lvl>
    <w:lvl w:ilvl="8" w:tplc="3C0A001B" w:tentative="1">
      <w:start w:val="1"/>
      <w:numFmt w:val="lowerRoman"/>
      <w:lvlText w:val="%9."/>
      <w:lvlJc w:val="right"/>
      <w:pPr>
        <w:ind w:left="6829" w:hanging="180"/>
      </w:pPr>
    </w:lvl>
  </w:abstractNum>
  <w:abstractNum w:abstractNumId="12">
    <w:nsid w:val="57BC0002"/>
    <w:multiLevelType w:val="hybridMultilevel"/>
    <w:tmpl w:val="304C4D7A"/>
    <w:lvl w:ilvl="0" w:tplc="B1C20A44">
      <w:start w:val="1"/>
      <w:numFmt w:val="lowerLetter"/>
      <w:lvlText w:val="%1)"/>
      <w:lvlJc w:val="left"/>
      <w:pPr>
        <w:ind w:left="1069" w:hanging="360"/>
      </w:pPr>
      <w:rPr>
        <w:rFonts w:hint="default"/>
      </w:rPr>
    </w:lvl>
    <w:lvl w:ilvl="1" w:tplc="3C0A0019" w:tentative="1">
      <w:start w:val="1"/>
      <w:numFmt w:val="lowerLetter"/>
      <w:lvlText w:val="%2."/>
      <w:lvlJc w:val="left"/>
      <w:pPr>
        <w:ind w:left="1789" w:hanging="360"/>
      </w:pPr>
    </w:lvl>
    <w:lvl w:ilvl="2" w:tplc="3C0A001B" w:tentative="1">
      <w:start w:val="1"/>
      <w:numFmt w:val="lowerRoman"/>
      <w:lvlText w:val="%3."/>
      <w:lvlJc w:val="right"/>
      <w:pPr>
        <w:ind w:left="2509" w:hanging="180"/>
      </w:pPr>
    </w:lvl>
    <w:lvl w:ilvl="3" w:tplc="3C0A000F" w:tentative="1">
      <w:start w:val="1"/>
      <w:numFmt w:val="decimal"/>
      <w:lvlText w:val="%4."/>
      <w:lvlJc w:val="left"/>
      <w:pPr>
        <w:ind w:left="3229" w:hanging="360"/>
      </w:pPr>
    </w:lvl>
    <w:lvl w:ilvl="4" w:tplc="3C0A0019" w:tentative="1">
      <w:start w:val="1"/>
      <w:numFmt w:val="lowerLetter"/>
      <w:lvlText w:val="%5."/>
      <w:lvlJc w:val="left"/>
      <w:pPr>
        <w:ind w:left="3949" w:hanging="360"/>
      </w:pPr>
    </w:lvl>
    <w:lvl w:ilvl="5" w:tplc="3C0A001B" w:tentative="1">
      <w:start w:val="1"/>
      <w:numFmt w:val="lowerRoman"/>
      <w:lvlText w:val="%6."/>
      <w:lvlJc w:val="right"/>
      <w:pPr>
        <w:ind w:left="4669" w:hanging="180"/>
      </w:pPr>
    </w:lvl>
    <w:lvl w:ilvl="6" w:tplc="3C0A000F" w:tentative="1">
      <w:start w:val="1"/>
      <w:numFmt w:val="decimal"/>
      <w:lvlText w:val="%7."/>
      <w:lvlJc w:val="left"/>
      <w:pPr>
        <w:ind w:left="5389" w:hanging="360"/>
      </w:pPr>
    </w:lvl>
    <w:lvl w:ilvl="7" w:tplc="3C0A0019" w:tentative="1">
      <w:start w:val="1"/>
      <w:numFmt w:val="lowerLetter"/>
      <w:lvlText w:val="%8."/>
      <w:lvlJc w:val="left"/>
      <w:pPr>
        <w:ind w:left="6109" w:hanging="360"/>
      </w:pPr>
    </w:lvl>
    <w:lvl w:ilvl="8" w:tplc="3C0A001B" w:tentative="1">
      <w:start w:val="1"/>
      <w:numFmt w:val="lowerRoman"/>
      <w:lvlText w:val="%9."/>
      <w:lvlJc w:val="right"/>
      <w:pPr>
        <w:ind w:left="6829" w:hanging="180"/>
      </w:pPr>
    </w:lvl>
  </w:abstractNum>
  <w:abstractNum w:abstractNumId="13">
    <w:nsid w:val="5DE55BF0"/>
    <w:multiLevelType w:val="hybridMultilevel"/>
    <w:tmpl w:val="4182710E"/>
    <w:lvl w:ilvl="0" w:tplc="F02448F4">
      <w:start w:val="1"/>
      <w:numFmt w:val="decimal"/>
      <w:lvlText w:val="%1."/>
      <w:lvlJc w:val="left"/>
      <w:pPr>
        <w:ind w:left="1069" w:hanging="360"/>
      </w:pPr>
      <w:rPr>
        <w:rFonts w:hint="default"/>
      </w:rPr>
    </w:lvl>
    <w:lvl w:ilvl="1" w:tplc="3C0A0019">
      <w:start w:val="1"/>
      <w:numFmt w:val="lowerLetter"/>
      <w:lvlText w:val="%2."/>
      <w:lvlJc w:val="left"/>
      <w:pPr>
        <w:ind w:left="1789" w:hanging="360"/>
      </w:pPr>
    </w:lvl>
    <w:lvl w:ilvl="2" w:tplc="3C0A001B" w:tentative="1">
      <w:start w:val="1"/>
      <w:numFmt w:val="lowerRoman"/>
      <w:lvlText w:val="%3."/>
      <w:lvlJc w:val="right"/>
      <w:pPr>
        <w:ind w:left="2509" w:hanging="180"/>
      </w:pPr>
    </w:lvl>
    <w:lvl w:ilvl="3" w:tplc="3C0A000F" w:tentative="1">
      <w:start w:val="1"/>
      <w:numFmt w:val="decimal"/>
      <w:lvlText w:val="%4."/>
      <w:lvlJc w:val="left"/>
      <w:pPr>
        <w:ind w:left="3229" w:hanging="360"/>
      </w:pPr>
    </w:lvl>
    <w:lvl w:ilvl="4" w:tplc="3C0A0019" w:tentative="1">
      <w:start w:val="1"/>
      <w:numFmt w:val="lowerLetter"/>
      <w:lvlText w:val="%5."/>
      <w:lvlJc w:val="left"/>
      <w:pPr>
        <w:ind w:left="3949" w:hanging="360"/>
      </w:pPr>
    </w:lvl>
    <w:lvl w:ilvl="5" w:tplc="3C0A001B" w:tentative="1">
      <w:start w:val="1"/>
      <w:numFmt w:val="lowerRoman"/>
      <w:lvlText w:val="%6."/>
      <w:lvlJc w:val="right"/>
      <w:pPr>
        <w:ind w:left="4669" w:hanging="180"/>
      </w:pPr>
    </w:lvl>
    <w:lvl w:ilvl="6" w:tplc="3C0A000F" w:tentative="1">
      <w:start w:val="1"/>
      <w:numFmt w:val="decimal"/>
      <w:lvlText w:val="%7."/>
      <w:lvlJc w:val="left"/>
      <w:pPr>
        <w:ind w:left="5389" w:hanging="360"/>
      </w:pPr>
    </w:lvl>
    <w:lvl w:ilvl="7" w:tplc="3C0A0019" w:tentative="1">
      <w:start w:val="1"/>
      <w:numFmt w:val="lowerLetter"/>
      <w:lvlText w:val="%8."/>
      <w:lvlJc w:val="left"/>
      <w:pPr>
        <w:ind w:left="6109" w:hanging="360"/>
      </w:pPr>
    </w:lvl>
    <w:lvl w:ilvl="8" w:tplc="3C0A001B" w:tentative="1">
      <w:start w:val="1"/>
      <w:numFmt w:val="lowerRoman"/>
      <w:lvlText w:val="%9."/>
      <w:lvlJc w:val="right"/>
      <w:pPr>
        <w:ind w:left="6829" w:hanging="180"/>
      </w:pPr>
    </w:lvl>
  </w:abstractNum>
  <w:abstractNum w:abstractNumId="14">
    <w:nsid w:val="600E4D54"/>
    <w:multiLevelType w:val="hybridMultilevel"/>
    <w:tmpl w:val="B41624B6"/>
    <w:lvl w:ilvl="0" w:tplc="7F58F690">
      <w:start w:val="1"/>
      <w:numFmt w:val="lowerLetter"/>
      <w:lvlText w:val="%1)"/>
      <w:lvlJc w:val="left"/>
      <w:pPr>
        <w:ind w:left="1080" w:hanging="360"/>
      </w:pPr>
      <w:rPr>
        <w:rFonts w:ascii="Times New Roman" w:eastAsia="Times New Roman" w:hAnsi="Times New Roman" w:cs="Times New Roman" w:hint="default"/>
        <w:sz w:val="24"/>
      </w:rPr>
    </w:lvl>
    <w:lvl w:ilvl="1" w:tplc="3C0A0019" w:tentative="1">
      <w:start w:val="1"/>
      <w:numFmt w:val="lowerLetter"/>
      <w:lvlText w:val="%2."/>
      <w:lvlJc w:val="left"/>
      <w:pPr>
        <w:ind w:left="1800" w:hanging="360"/>
      </w:pPr>
    </w:lvl>
    <w:lvl w:ilvl="2" w:tplc="3C0A001B" w:tentative="1">
      <w:start w:val="1"/>
      <w:numFmt w:val="lowerRoman"/>
      <w:lvlText w:val="%3."/>
      <w:lvlJc w:val="right"/>
      <w:pPr>
        <w:ind w:left="2520" w:hanging="180"/>
      </w:pPr>
    </w:lvl>
    <w:lvl w:ilvl="3" w:tplc="3C0A000F" w:tentative="1">
      <w:start w:val="1"/>
      <w:numFmt w:val="decimal"/>
      <w:lvlText w:val="%4."/>
      <w:lvlJc w:val="left"/>
      <w:pPr>
        <w:ind w:left="3240" w:hanging="360"/>
      </w:pPr>
    </w:lvl>
    <w:lvl w:ilvl="4" w:tplc="3C0A0019" w:tentative="1">
      <w:start w:val="1"/>
      <w:numFmt w:val="lowerLetter"/>
      <w:lvlText w:val="%5."/>
      <w:lvlJc w:val="left"/>
      <w:pPr>
        <w:ind w:left="3960" w:hanging="360"/>
      </w:pPr>
    </w:lvl>
    <w:lvl w:ilvl="5" w:tplc="3C0A001B" w:tentative="1">
      <w:start w:val="1"/>
      <w:numFmt w:val="lowerRoman"/>
      <w:lvlText w:val="%6."/>
      <w:lvlJc w:val="right"/>
      <w:pPr>
        <w:ind w:left="4680" w:hanging="180"/>
      </w:pPr>
    </w:lvl>
    <w:lvl w:ilvl="6" w:tplc="3C0A000F" w:tentative="1">
      <w:start w:val="1"/>
      <w:numFmt w:val="decimal"/>
      <w:lvlText w:val="%7."/>
      <w:lvlJc w:val="left"/>
      <w:pPr>
        <w:ind w:left="5400" w:hanging="360"/>
      </w:pPr>
    </w:lvl>
    <w:lvl w:ilvl="7" w:tplc="3C0A0019" w:tentative="1">
      <w:start w:val="1"/>
      <w:numFmt w:val="lowerLetter"/>
      <w:lvlText w:val="%8."/>
      <w:lvlJc w:val="left"/>
      <w:pPr>
        <w:ind w:left="6120" w:hanging="360"/>
      </w:pPr>
    </w:lvl>
    <w:lvl w:ilvl="8" w:tplc="3C0A001B" w:tentative="1">
      <w:start w:val="1"/>
      <w:numFmt w:val="lowerRoman"/>
      <w:lvlText w:val="%9."/>
      <w:lvlJc w:val="right"/>
      <w:pPr>
        <w:ind w:left="6840" w:hanging="180"/>
      </w:pPr>
    </w:lvl>
  </w:abstractNum>
  <w:abstractNum w:abstractNumId="15">
    <w:nsid w:val="68997D8B"/>
    <w:multiLevelType w:val="hybridMultilevel"/>
    <w:tmpl w:val="048E2F94"/>
    <w:lvl w:ilvl="0" w:tplc="53208D24">
      <w:start w:val="1"/>
      <w:numFmt w:val="lowerLetter"/>
      <w:lvlText w:val="%1)"/>
      <w:lvlJc w:val="left"/>
      <w:pPr>
        <w:ind w:left="1429" w:hanging="360"/>
      </w:pPr>
      <w:rPr>
        <w:rFonts w:hint="default"/>
      </w:rPr>
    </w:lvl>
    <w:lvl w:ilvl="1" w:tplc="3C0A0019">
      <w:start w:val="1"/>
      <w:numFmt w:val="lowerLetter"/>
      <w:lvlText w:val="%2."/>
      <w:lvlJc w:val="left"/>
      <w:pPr>
        <w:ind w:left="2149" w:hanging="360"/>
      </w:pPr>
    </w:lvl>
    <w:lvl w:ilvl="2" w:tplc="3C0A001B" w:tentative="1">
      <w:start w:val="1"/>
      <w:numFmt w:val="lowerRoman"/>
      <w:lvlText w:val="%3."/>
      <w:lvlJc w:val="right"/>
      <w:pPr>
        <w:ind w:left="2869" w:hanging="180"/>
      </w:pPr>
    </w:lvl>
    <w:lvl w:ilvl="3" w:tplc="3C0A000F" w:tentative="1">
      <w:start w:val="1"/>
      <w:numFmt w:val="decimal"/>
      <w:lvlText w:val="%4."/>
      <w:lvlJc w:val="left"/>
      <w:pPr>
        <w:ind w:left="3589" w:hanging="360"/>
      </w:pPr>
    </w:lvl>
    <w:lvl w:ilvl="4" w:tplc="3C0A0019" w:tentative="1">
      <w:start w:val="1"/>
      <w:numFmt w:val="lowerLetter"/>
      <w:lvlText w:val="%5."/>
      <w:lvlJc w:val="left"/>
      <w:pPr>
        <w:ind w:left="4309" w:hanging="360"/>
      </w:pPr>
    </w:lvl>
    <w:lvl w:ilvl="5" w:tplc="3C0A001B" w:tentative="1">
      <w:start w:val="1"/>
      <w:numFmt w:val="lowerRoman"/>
      <w:lvlText w:val="%6."/>
      <w:lvlJc w:val="right"/>
      <w:pPr>
        <w:ind w:left="5029" w:hanging="180"/>
      </w:pPr>
    </w:lvl>
    <w:lvl w:ilvl="6" w:tplc="3C0A000F" w:tentative="1">
      <w:start w:val="1"/>
      <w:numFmt w:val="decimal"/>
      <w:lvlText w:val="%7."/>
      <w:lvlJc w:val="left"/>
      <w:pPr>
        <w:ind w:left="5749" w:hanging="360"/>
      </w:pPr>
    </w:lvl>
    <w:lvl w:ilvl="7" w:tplc="3C0A0019" w:tentative="1">
      <w:start w:val="1"/>
      <w:numFmt w:val="lowerLetter"/>
      <w:lvlText w:val="%8."/>
      <w:lvlJc w:val="left"/>
      <w:pPr>
        <w:ind w:left="6469" w:hanging="360"/>
      </w:pPr>
    </w:lvl>
    <w:lvl w:ilvl="8" w:tplc="3C0A001B" w:tentative="1">
      <w:start w:val="1"/>
      <w:numFmt w:val="lowerRoman"/>
      <w:lvlText w:val="%9."/>
      <w:lvlJc w:val="right"/>
      <w:pPr>
        <w:ind w:left="7189" w:hanging="180"/>
      </w:pPr>
    </w:lvl>
  </w:abstractNum>
  <w:abstractNum w:abstractNumId="16">
    <w:nsid w:val="6D1C2006"/>
    <w:multiLevelType w:val="hybridMultilevel"/>
    <w:tmpl w:val="B2528F0C"/>
    <w:lvl w:ilvl="0" w:tplc="C10A3BB4">
      <w:start w:val="1"/>
      <w:numFmt w:val="upperLetter"/>
      <w:lvlText w:val="%1."/>
      <w:lvlJc w:val="left"/>
      <w:pPr>
        <w:ind w:left="1069" w:hanging="360"/>
      </w:pPr>
      <w:rPr>
        <w:rFonts w:hint="default"/>
      </w:rPr>
    </w:lvl>
    <w:lvl w:ilvl="1" w:tplc="3C0A0019" w:tentative="1">
      <w:start w:val="1"/>
      <w:numFmt w:val="lowerLetter"/>
      <w:lvlText w:val="%2."/>
      <w:lvlJc w:val="left"/>
      <w:pPr>
        <w:ind w:left="1789" w:hanging="360"/>
      </w:pPr>
    </w:lvl>
    <w:lvl w:ilvl="2" w:tplc="3C0A001B" w:tentative="1">
      <w:start w:val="1"/>
      <w:numFmt w:val="lowerRoman"/>
      <w:lvlText w:val="%3."/>
      <w:lvlJc w:val="right"/>
      <w:pPr>
        <w:ind w:left="2509" w:hanging="180"/>
      </w:pPr>
    </w:lvl>
    <w:lvl w:ilvl="3" w:tplc="3C0A000F" w:tentative="1">
      <w:start w:val="1"/>
      <w:numFmt w:val="decimal"/>
      <w:lvlText w:val="%4."/>
      <w:lvlJc w:val="left"/>
      <w:pPr>
        <w:ind w:left="3229" w:hanging="360"/>
      </w:pPr>
    </w:lvl>
    <w:lvl w:ilvl="4" w:tplc="3C0A0019" w:tentative="1">
      <w:start w:val="1"/>
      <w:numFmt w:val="lowerLetter"/>
      <w:lvlText w:val="%5."/>
      <w:lvlJc w:val="left"/>
      <w:pPr>
        <w:ind w:left="3949" w:hanging="360"/>
      </w:pPr>
    </w:lvl>
    <w:lvl w:ilvl="5" w:tplc="3C0A001B" w:tentative="1">
      <w:start w:val="1"/>
      <w:numFmt w:val="lowerRoman"/>
      <w:lvlText w:val="%6."/>
      <w:lvlJc w:val="right"/>
      <w:pPr>
        <w:ind w:left="4669" w:hanging="180"/>
      </w:pPr>
    </w:lvl>
    <w:lvl w:ilvl="6" w:tplc="3C0A000F" w:tentative="1">
      <w:start w:val="1"/>
      <w:numFmt w:val="decimal"/>
      <w:lvlText w:val="%7."/>
      <w:lvlJc w:val="left"/>
      <w:pPr>
        <w:ind w:left="5389" w:hanging="360"/>
      </w:pPr>
    </w:lvl>
    <w:lvl w:ilvl="7" w:tplc="3C0A0019" w:tentative="1">
      <w:start w:val="1"/>
      <w:numFmt w:val="lowerLetter"/>
      <w:lvlText w:val="%8."/>
      <w:lvlJc w:val="left"/>
      <w:pPr>
        <w:ind w:left="6109" w:hanging="360"/>
      </w:pPr>
    </w:lvl>
    <w:lvl w:ilvl="8" w:tplc="3C0A001B" w:tentative="1">
      <w:start w:val="1"/>
      <w:numFmt w:val="lowerRoman"/>
      <w:lvlText w:val="%9."/>
      <w:lvlJc w:val="right"/>
      <w:pPr>
        <w:ind w:left="6829" w:hanging="180"/>
      </w:pPr>
    </w:lvl>
  </w:abstractNum>
  <w:abstractNum w:abstractNumId="17">
    <w:nsid w:val="72B8457B"/>
    <w:multiLevelType w:val="hybridMultilevel"/>
    <w:tmpl w:val="9F0CFECC"/>
    <w:lvl w:ilvl="0" w:tplc="3C0A0001">
      <w:start w:val="1"/>
      <w:numFmt w:val="bullet"/>
      <w:lvlText w:val=""/>
      <w:lvlJc w:val="left"/>
      <w:pPr>
        <w:ind w:left="1789" w:hanging="360"/>
      </w:pPr>
      <w:rPr>
        <w:rFonts w:ascii="Symbol" w:hAnsi="Symbol" w:hint="default"/>
      </w:rPr>
    </w:lvl>
    <w:lvl w:ilvl="1" w:tplc="3C0A0003" w:tentative="1">
      <w:start w:val="1"/>
      <w:numFmt w:val="bullet"/>
      <w:lvlText w:val="o"/>
      <w:lvlJc w:val="left"/>
      <w:pPr>
        <w:ind w:left="2509" w:hanging="360"/>
      </w:pPr>
      <w:rPr>
        <w:rFonts w:ascii="Courier New" w:hAnsi="Courier New" w:cs="Courier New" w:hint="default"/>
      </w:rPr>
    </w:lvl>
    <w:lvl w:ilvl="2" w:tplc="3C0A0005" w:tentative="1">
      <w:start w:val="1"/>
      <w:numFmt w:val="bullet"/>
      <w:lvlText w:val=""/>
      <w:lvlJc w:val="left"/>
      <w:pPr>
        <w:ind w:left="3229" w:hanging="360"/>
      </w:pPr>
      <w:rPr>
        <w:rFonts w:ascii="Wingdings" w:hAnsi="Wingdings" w:hint="default"/>
      </w:rPr>
    </w:lvl>
    <w:lvl w:ilvl="3" w:tplc="3C0A0001" w:tentative="1">
      <w:start w:val="1"/>
      <w:numFmt w:val="bullet"/>
      <w:lvlText w:val=""/>
      <w:lvlJc w:val="left"/>
      <w:pPr>
        <w:ind w:left="3949" w:hanging="360"/>
      </w:pPr>
      <w:rPr>
        <w:rFonts w:ascii="Symbol" w:hAnsi="Symbol" w:hint="default"/>
      </w:rPr>
    </w:lvl>
    <w:lvl w:ilvl="4" w:tplc="3C0A0003" w:tentative="1">
      <w:start w:val="1"/>
      <w:numFmt w:val="bullet"/>
      <w:lvlText w:val="o"/>
      <w:lvlJc w:val="left"/>
      <w:pPr>
        <w:ind w:left="4669" w:hanging="360"/>
      </w:pPr>
      <w:rPr>
        <w:rFonts w:ascii="Courier New" w:hAnsi="Courier New" w:cs="Courier New" w:hint="default"/>
      </w:rPr>
    </w:lvl>
    <w:lvl w:ilvl="5" w:tplc="3C0A0005" w:tentative="1">
      <w:start w:val="1"/>
      <w:numFmt w:val="bullet"/>
      <w:lvlText w:val=""/>
      <w:lvlJc w:val="left"/>
      <w:pPr>
        <w:ind w:left="5389" w:hanging="360"/>
      </w:pPr>
      <w:rPr>
        <w:rFonts w:ascii="Wingdings" w:hAnsi="Wingdings" w:hint="default"/>
      </w:rPr>
    </w:lvl>
    <w:lvl w:ilvl="6" w:tplc="3C0A0001" w:tentative="1">
      <w:start w:val="1"/>
      <w:numFmt w:val="bullet"/>
      <w:lvlText w:val=""/>
      <w:lvlJc w:val="left"/>
      <w:pPr>
        <w:ind w:left="6109" w:hanging="360"/>
      </w:pPr>
      <w:rPr>
        <w:rFonts w:ascii="Symbol" w:hAnsi="Symbol" w:hint="default"/>
      </w:rPr>
    </w:lvl>
    <w:lvl w:ilvl="7" w:tplc="3C0A0003" w:tentative="1">
      <w:start w:val="1"/>
      <w:numFmt w:val="bullet"/>
      <w:lvlText w:val="o"/>
      <w:lvlJc w:val="left"/>
      <w:pPr>
        <w:ind w:left="6829" w:hanging="360"/>
      </w:pPr>
      <w:rPr>
        <w:rFonts w:ascii="Courier New" w:hAnsi="Courier New" w:cs="Courier New" w:hint="default"/>
      </w:rPr>
    </w:lvl>
    <w:lvl w:ilvl="8" w:tplc="3C0A0005" w:tentative="1">
      <w:start w:val="1"/>
      <w:numFmt w:val="bullet"/>
      <w:lvlText w:val=""/>
      <w:lvlJc w:val="left"/>
      <w:pPr>
        <w:ind w:left="7549" w:hanging="360"/>
      </w:pPr>
      <w:rPr>
        <w:rFonts w:ascii="Wingdings" w:hAnsi="Wingdings" w:hint="default"/>
      </w:rPr>
    </w:lvl>
  </w:abstractNum>
  <w:abstractNum w:abstractNumId="18">
    <w:nsid w:val="7C9F2179"/>
    <w:multiLevelType w:val="hybridMultilevel"/>
    <w:tmpl w:val="9A74E61A"/>
    <w:lvl w:ilvl="0" w:tplc="29224E54">
      <w:start w:val="1"/>
      <w:numFmt w:val="lowerLetter"/>
      <w:lvlText w:val="%1)"/>
      <w:lvlJc w:val="left"/>
      <w:pPr>
        <w:ind w:left="535" w:hanging="360"/>
      </w:pPr>
      <w:rPr>
        <w:rFonts w:ascii="Times New Roman" w:hAnsi="Times New Roman" w:cs="Courier New" w:hint="default"/>
        <w:snapToGrid/>
        <w:color w:val="000000"/>
        <w:sz w:val="22"/>
        <w:szCs w:val="22"/>
      </w:rPr>
    </w:lvl>
    <w:lvl w:ilvl="1" w:tplc="3C0A0019" w:tentative="1">
      <w:start w:val="1"/>
      <w:numFmt w:val="lowerLetter"/>
      <w:lvlText w:val="%2."/>
      <w:lvlJc w:val="left"/>
      <w:pPr>
        <w:ind w:left="1255" w:hanging="360"/>
      </w:pPr>
    </w:lvl>
    <w:lvl w:ilvl="2" w:tplc="3C0A001B" w:tentative="1">
      <w:start w:val="1"/>
      <w:numFmt w:val="lowerRoman"/>
      <w:lvlText w:val="%3."/>
      <w:lvlJc w:val="right"/>
      <w:pPr>
        <w:ind w:left="1975" w:hanging="180"/>
      </w:pPr>
    </w:lvl>
    <w:lvl w:ilvl="3" w:tplc="3C0A000F" w:tentative="1">
      <w:start w:val="1"/>
      <w:numFmt w:val="decimal"/>
      <w:lvlText w:val="%4."/>
      <w:lvlJc w:val="left"/>
      <w:pPr>
        <w:ind w:left="2695" w:hanging="360"/>
      </w:pPr>
    </w:lvl>
    <w:lvl w:ilvl="4" w:tplc="3C0A0019" w:tentative="1">
      <w:start w:val="1"/>
      <w:numFmt w:val="lowerLetter"/>
      <w:lvlText w:val="%5."/>
      <w:lvlJc w:val="left"/>
      <w:pPr>
        <w:ind w:left="3415" w:hanging="360"/>
      </w:pPr>
    </w:lvl>
    <w:lvl w:ilvl="5" w:tplc="3C0A001B" w:tentative="1">
      <w:start w:val="1"/>
      <w:numFmt w:val="lowerRoman"/>
      <w:lvlText w:val="%6."/>
      <w:lvlJc w:val="right"/>
      <w:pPr>
        <w:ind w:left="4135" w:hanging="180"/>
      </w:pPr>
    </w:lvl>
    <w:lvl w:ilvl="6" w:tplc="3C0A000F" w:tentative="1">
      <w:start w:val="1"/>
      <w:numFmt w:val="decimal"/>
      <w:lvlText w:val="%7."/>
      <w:lvlJc w:val="left"/>
      <w:pPr>
        <w:ind w:left="4855" w:hanging="360"/>
      </w:pPr>
    </w:lvl>
    <w:lvl w:ilvl="7" w:tplc="3C0A0019" w:tentative="1">
      <w:start w:val="1"/>
      <w:numFmt w:val="lowerLetter"/>
      <w:lvlText w:val="%8."/>
      <w:lvlJc w:val="left"/>
      <w:pPr>
        <w:ind w:left="5575" w:hanging="360"/>
      </w:pPr>
    </w:lvl>
    <w:lvl w:ilvl="8" w:tplc="3C0A001B" w:tentative="1">
      <w:start w:val="1"/>
      <w:numFmt w:val="lowerRoman"/>
      <w:lvlText w:val="%9."/>
      <w:lvlJc w:val="right"/>
      <w:pPr>
        <w:ind w:left="6295" w:hanging="180"/>
      </w:pPr>
    </w:lvl>
  </w:abstractNum>
  <w:num w:numId="1">
    <w:abstractNumId w:val="2"/>
  </w:num>
  <w:num w:numId="2">
    <w:abstractNumId w:val="6"/>
  </w:num>
  <w:num w:numId="3">
    <w:abstractNumId w:val="0"/>
  </w:num>
  <w:num w:numId="4">
    <w:abstractNumId w:val="5"/>
  </w:num>
  <w:num w:numId="5">
    <w:abstractNumId w:val="13"/>
  </w:num>
  <w:num w:numId="6">
    <w:abstractNumId w:val="7"/>
  </w:num>
  <w:num w:numId="7">
    <w:abstractNumId w:val="15"/>
  </w:num>
  <w:num w:numId="8">
    <w:abstractNumId w:val="14"/>
  </w:num>
  <w:num w:numId="9">
    <w:abstractNumId w:val="8"/>
  </w:num>
  <w:num w:numId="10">
    <w:abstractNumId w:val="1"/>
  </w:num>
  <w:num w:numId="11">
    <w:abstractNumId w:val="18"/>
  </w:num>
  <w:num w:numId="12">
    <w:abstractNumId w:val="9"/>
  </w:num>
  <w:num w:numId="13">
    <w:abstractNumId w:val="10"/>
  </w:num>
  <w:num w:numId="14">
    <w:abstractNumId w:val="4"/>
  </w:num>
  <w:num w:numId="15">
    <w:abstractNumId w:val="11"/>
  </w:num>
  <w:num w:numId="16">
    <w:abstractNumId w:val="16"/>
  </w:num>
  <w:num w:numId="17">
    <w:abstractNumId w:val="3"/>
  </w:num>
  <w:num w:numId="18">
    <w:abstractNumId w:val="17"/>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240"/>
    <w:rsid w:val="000044D5"/>
    <w:rsid w:val="00005570"/>
    <w:rsid w:val="0001275D"/>
    <w:rsid w:val="00017529"/>
    <w:rsid w:val="000247C9"/>
    <w:rsid w:val="000259D3"/>
    <w:rsid w:val="00045324"/>
    <w:rsid w:val="000500BE"/>
    <w:rsid w:val="00050137"/>
    <w:rsid w:val="00054973"/>
    <w:rsid w:val="0006043F"/>
    <w:rsid w:val="000701AD"/>
    <w:rsid w:val="00076426"/>
    <w:rsid w:val="000818D4"/>
    <w:rsid w:val="0008505F"/>
    <w:rsid w:val="00094695"/>
    <w:rsid w:val="00096D31"/>
    <w:rsid w:val="000A72B2"/>
    <w:rsid w:val="000A791A"/>
    <w:rsid w:val="000C1D43"/>
    <w:rsid w:val="000C2116"/>
    <w:rsid w:val="000C40E0"/>
    <w:rsid w:val="000D6332"/>
    <w:rsid w:val="000D77EA"/>
    <w:rsid w:val="000E7A70"/>
    <w:rsid w:val="00101062"/>
    <w:rsid w:val="00107602"/>
    <w:rsid w:val="00142724"/>
    <w:rsid w:val="00144921"/>
    <w:rsid w:val="00156748"/>
    <w:rsid w:val="00157CF8"/>
    <w:rsid w:val="00172649"/>
    <w:rsid w:val="00172BF0"/>
    <w:rsid w:val="00173F81"/>
    <w:rsid w:val="001757A7"/>
    <w:rsid w:val="00181B50"/>
    <w:rsid w:val="00183BB1"/>
    <w:rsid w:val="00193FA4"/>
    <w:rsid w:val="001956ED"/>
    <w:rsid w:val="001A1A17"/>
    <w:rsid w:val="001A2D4D"/>
    <w:rsid w:val="001B0603"/>
    <w:rsid w:val="001B3083"/>
    <w:rsid w:val="001B35DB"/>
    <w:rsid w:val="001B4EAC"/>
    <w:rsid w:val="001C0024"/>
    <w:rsid w:val="001F49B7"/>
    <w:rsid w:val="001F714F"/>
    <w:rsid w:val="00202108"/>
    <w:rsid w:val="00202FE0"/>
    <w:rsid w:val="00206317"/>
    <w:rsid w:val="002068D0"/>
    <w:rsid w:val="00221408"/>
    <w:rsid w:val="002219E2"/>
    <w:rsid w:val="002241E5"/>
    <w:rsid w:val="00234814"/>
    <w:rsid w:val="002373EE"/>
    <w:rsid w:val="00264B48"/>
    <w:rsid w:val="0026592D"/>
    <w:rsid w:val="00265FB2"/>
    <w:rsid w:val="00282835"/>
    <w:rsid w:val="002930DC"/>
    <w:rsid w:val="00294AFF"/>
    <w:rsid w:val="002A1FCA"/>
    <w:rsid w:val="002B1EDC"/>
    <w:rsid w:val="002B7289"/>
    <w:rsid w:val="002E5A0F"/>
    <w:rsid w:val="002F6882"/>
    <w:rsid w:val="00311496"/>
    <w:rsid w:val="003140AD"/>
    <w:rsid w:val="00325547"/>
    <w:rsid w:val="003329D1"/>
    <w:rsid w:val="00332FBC"/>
    <w:rsid w:val="00353FCC"/>
    <w:rsid w:val="00365FCF"/>
    <w:rsid w:val="003700D5"/>
    <w:rsid w:val="00374625"/>
    <w:rsid w:val="00386532"/>
    <w:rsid w:val="00391252"/>
    <w:rsid w:val="00395957"/>
    <w:rsid w:val="003C1999"/>
    <w:rsid w:val="003C28FC"/>
    <w:rsid w:val="003C40C1"/>
    <w:rsid w:val="003C630D"/>
    <w:rsid w:val="003C7601"/>
    <w:rsid w:val="003E13A0"/>
    <w:rsid w:val="003F09C9"/>
    <w:rsid w:val="003F0C2F"/>
    <w:rsid w:val="004068FA"/>
    <w:rsid w:val="00414FB9"/>
    <w:rsid w:val="0041747E"/>
    <w:rsid w:val="00423CEE"/>
    <w:rsid w:val="0042520C"/>
    <w:rsid w:val="00426DCF"/>
    <w:rsid w:val="00430E52"/>
    <w:rsid w:val="00440A8D"/>
    <w:rsid w:val="00440E0D"/>
    <w:rsid w:val="0045088A"/>
    <w:rsid w:val="00456F70"/>
    <w:rsid w:val="00474600"/>
    <w:rsid w:val="0048167C"/>
    <w:rsid w:val="004915CC"/>
    <w:rsid w:val="004A4C51"/>
    <w:rsid w:val="004B16D5"/>
    <w:rsid w:val="004B2521"/>
    <w:rsid w:val="004B6C6F"/>
    <w:rsid w:val="004C5A4B"/>
    <w:rsid w:val="004D0B85"/>
    <w:rsid w:val="004D20E6"/>
    <w:rsid w:val="004E0643"/>
    <w:rsid w:val="004F732C"/>
    <w:rsid w:val="00502210"/>
    <w:rsid w:val="00506BE5"/>
    <w:rsid w:val="00516DE1"/>
    <w:rsid w:val="00522C1C"/>
    <w:rsid w:val="00535857"/>
    <w:rsid w:val="00537BE6"/>
    <w:rsid w:val="00541AD4"/>
    <w:rsid w:val="00544ED1"/>
    <w:rsid w:val="0054538C"/>
    <w:rsid w:val="0054696D"/>
    <w:rsid w:val="00553B7D"/>
    <w:rsid w:val="0056626B"/>
    <w:rsid w:val="00566DE1"/>
    <w:rsid w:val="00571DC4"/>
    <w:rsid w:val="00572D84"/>
    <w:rsid w:val="00581D7B"/>
    <w:rsid w:val="00584CC1"/>
    <w:rsid w:val="00587662"/>
    <w:rsid w:val="005A763A"/>
    <w:rsid w:val="005B3D70"/>
    <w:rsid w:val="005B70B2"/>
    <w:rsid w:val="005C57A8"/>
    <w:rsid w:val="005D0309"/>
    <w:rsid w:val="005D199A"/>
    <w:rsid w:val="005D6FE7"/>
    <w:rsid w:val="005F4A1F"/>
    <w:rsid w:val="005F6CF8"/>
    <w:rsid w:val="00604BB6"/>
    <w:rsid w:val="00610984"/>
    <w:rsid w:val="00631CB5"/>
    <w:rsid w:val="00635755"/>
    <w:rsid w:val="00667077"/>
    <w:rsid w:val="0067186A"/>
    <w:rsid w:val="00680504"/>
    <w:rsid w:val="00682273"/>
    <w:rsid w:val="00690A0E"/>
    <w:rsid w:val="006A451A"/>
    <w:rsid w:val="006B1A29"/>
    <w:rsid w:val="006B3026"/>
    <w:rsid w:val="006D326F"/>
    <w:rsid w:val="006D573C"/>
    <w:rsid w:val="006D5F91"/>
    <w:rsid w:val="006E1BAB"/>
    <w:rsid w:val="006E5550"/>
    <w:rsid w:val="006E5A89"/>
    <w:rsid w:val="006E78AA"/>
    <w:rsid w:val="006F47D2"/>
    <w:rsid w:val="006F7850"/>
    <w:rsid w:val="00703F06"/>
    <w:rsid w:val="007208D1"/>
    <w:rsid w:val="00721A18"/>
    <w:rsid w:val="00745363"/>
    <w:rsid w:val="007530BB"/>
    <w:rsid w:val="007654A9"/>
    <w:rsid w:val="007672D8"/>
    <w:rsid w:val="007729CE"/>
    <w:rsid w:val="00773130"/>
    <w:rsid w:val="0079600F"/>
    <w:rsid w:val="007A2AD4"/>
    <w:rsid w:val="007B53D2"/>
    <w:rsid w:val="007C0321"/>
    <w:rsid w:val="007C0EA1"/>
    <w:rsid w:val="007C5654"/>
    <w:rsid w:val="007D30D5"/>
    <w:rsid w:val="007D7D0D"/>
    <w:rsid w:val="00826CB7"/>
    <w:rsid w:val="00831F00"/>
    <w:rsid w:val="00842DFB"/>
    <w:rsid w:val="00842ED2"/>
    <w:rsid w:val="00856E19"/>
    <w:rsid w:val="00861899"/>
    <w:rsid w:val="00882300"/>
    <w:rsid w:val="00884334"/>
    <w:rsid w:val="00895E43"/>
    <w:rsid w:val="008B018B"/>
    <w:rsid w:val="008B08AE"/>
    <w:rsid w:val="008B4586"/>
    <w:rsid w:val="008C630B"/>
    <w:rsid w:val="008D24C9"/>
    <w:rsid w:val="008D74B5"/>
    <w:rsid w:val="008E6BAE"/>
    <w:rsid w:val="009161BB"/>
    <w:rsid w:val="009334CD"/>
    <w:rsid w:val="00935436"/>
    <w:rsid w:val="00937781"/>
    <w:rsid w:val="0094020D"/>
    <w:rsid w:val="00945BD2"/>
    <w:rsid w:val="00950BE5"/>
    <w:rsid w:val="00956520"/>
    <w:rsid w:val="00957CA8"/>
    <w:rsid w:val="009860FD"/>
    <w:rsid w:val="00986849"/>
    <w:rsid w:val="00995DCB"/>
    <w:rsid w:val="009A1F0B"/>
    <w:rsid w:val="009C59C3"/>
    <w:rsid w:val="009D46EE"/>
    <w:rsid w:val="009E1C95"/>
    <w:rsid w:val="009E27E1"/>
    <w:rsid w:val="009F23C4"/>
    <w:rsid w:val="009F350A"/>
    <w:rsid w:val="00A241F2"/>
    <w:rsid w:val="00A262A4"/>
    <w:rsid w:val="00A277F0"/>
    <w:rsid w:val="00A31BD1"/>
    <w:rsid w:val="00A376BA"/>
    <w:rsid w:val="00A46B68"/>
    <w:rsid w:val="00A64D13"/>
    <w:rsid w:val="00A66862"/>
    <w:rsid w:val="00A71497"/>
    <w:rsid w:val="00A76371"/>
    <w:rsid w:val="00A76FC4"/>
    <w:rsid w:val="00AA175B"/>
    <w:rsid w:val="00AA2FA7"/>
    <w:rsid w:val="00AA47DA"/>
    <w:rsid w:val="00AA6D06"/>
    <w:rsid w:val="00AB1224"/>
    <w:rsid w:val="00AB4F5A"/>
    <w:rsid w:val="00AB523D"/>
    <w:rsid w:val="00AC6725"/>
    <w:rsid w:val="00AD485D"/>
    <w:rsid w:val="00AE57D9"/>
    <w:rsid w:val="00B17B75"/>
    <w:rsid w:val="00B246AA"/>
    <w:rsid w:val="00B261EE"/>
    <w:rsid w:val="00B27F41"/>
    <w:rsid w:val="00B32C0F"/>
    <w:rsid w:val="00B3554C"/>
    <w:rsid w:val="00B46384"/>
    <w:rsid w:val="00B50790"/>
    <w:rsid w:val="00B51E2D"/>
    <w:rsid w:val="00B63B99"/>
    <w:rsid w:val="00B71FC5"/>
    <w:rsid w:val="00B73E6D"/>
    <w:rsid w:val="00B7675E"/>
    <w:rsid w:val="00B8033A"/>
    <w:rsid w:val="00B83040"/>
    <w:rsid w:val="00B94E8F"/>
    <w:rsid w:val="00BA22DC"/>
    <w:rsid w:val="00BA27F6"/>
    <w:rsid w:val="00BC0F78"/>
    <w:rsid w:val="00BC432C"/>
    <w:rsid w:val="00BC704E"/>
    <w:rsid w:val="00BE4859"/>
    <w:rsid w:val="00BF0B88"/>
    <w:rsid w:val="00C04BB9"/>
    <w:rsid w:val="00C056AB"/>
    <w:rsid w:val="00C20421"/>
    <w:rsid w:val="00C262A3"/>
    <w:rsid w:val="00C27B82"/>
    <w:rsid w:val="00C350BA"/>
    <w:rsid w:val="00C432A6"/>
    <w:rsid w:val="00C44B2E"/>
    <w:rsid w:val="00C514B9"/>
    <w:rsid w:val="00C55F1B"/>
    <w:rsid w:val="00CA454E"/>
    <w:rsid w:val="00CA4833"/>
    <w:rsid w:val="00CA78BC"/>
    <w:rsid w:val="00CB3665"/>
    <w:rsid w:val="00CC0264"/>
    <w:rsid w:val="00CC253C"/>
    <w:rsid w:val="00CC4E5C"/>
    <w:rsid w:val="00CC538A"/>
    <w:rsid w:val="00CD2B6D"/>
    <w:rsid w:val="00CD379D"/>
    <w:rsid w:val="00CD66EC"/>
    <w:rsid w:val="00CE3181"/>
    <w:rsid w:val="00CE7640"/>
    <w:rsid w:val="00D02240"/>
    <w:rsid w:val="00D07E25"/>
    <w:rsid w:val="00D14C9D"/>
    <w:rsid w:val="00D2191F"/>
    <w:rsid w:val="00D219B7"/>
    <w:rsid w:val="00D25C0C"/>
    <w:rsid w:val="00D443D5"/>
    <w:rsid w:val="00D64321"/>
    <w:rsid w:val="00D657F2"/>
    <w:rsid w:val="00D8023C"/>
    <w:rsid w:val="00D853C9"/>
    <w:rsid w:val="00D92993"/>
    <w:rsid w:val="00D94F2F"/>
    <w:rsid w:val="00DB3FCF"/>
    <w:rsid w:val="00DC6926"/>
    <w:rsid w:val="00DE5046"/>
    <w:rsid w:val="00DE5B52"/>
    <w:rsid w:val="00DE733C"/>
    <w:rsid w:val="00DE7A54"/>
    <w:rsid w:val="00DF18AC"/>
    <w:rsid w:val="00E01870"/>
    <w:rsid w:val="00E06265"/>
    <w:rsid w:val="00E165A0"/>
    <w:rsid w:val="00E22C34"/>
    <w:rsid w:val="00E23711"/>
    <w:rsid w:val="00E26258"/>
    <w:rsid w:val="00E33969"/>
    <w:rsid w:val="00E50638"/>
    <w:rsid w:val="00E509D3"/>
    <w:rsid w:val="00E50E12"/>
    <w:rsid w:val="00E521D1"/>
    <w:rsid w:val="00E522FD"/>
    <w:rsid w:val="00E54B3A"/>
    <w:rsid w:val="00E54B78"/>
    <w:rsid w:val="00E6169D"/>
    <w:rsid w:val="00E65CE7"/>
    <w:rsid w:val="00E84266"/>
    <w:rsid w:val="00E97935"/>
    <w:rsid w:val="00EA22C1"/>
    <w:rsid w:val="00EA5072"/>
    <w:rsid w:val="00EA59A6"/>
    <w:rsid w:val="00EB1DC0"/>
    <w:rsid w:val="00EB5F95"/>
    <w:rsid w:val="00EB74E8"/>
    <w:rsid w:val="00EC09DE"/>
    <w:rsid w:val="00EC5FA1"/>
    <w:rsid w:val="00EC6A0A"/>
    <w:rsid w:val="00ED7210"/>
    <w:rsid w:val="00EE7810"/>
    <w:rsid w:val="00EF2F27"/>
    <w:rsid w:val="00EF34FF"/>
    <w:rsid w:val="00EF5492"/>
    <w:rsid w:val="00EF6EFD"/>
    <w:rsid w:val="00F03932"/>
    <w:rsid w:val="00F04714"/>
    <w:rsid w:val="00F04A34"/>
    <w:rsid w:val="00F04D83"/>
    <w:rsid w:val="00F13526"/>
    <w:rsid w:val="00F16454"/>
    <w:rsid w:val="00F21075"/>
    <w:rsid w:val="00F34BA0"/>
    <w:rsid w:val="00F35A08"/>
    <w:rsid w:val="00F35E96"/>
    <w:rsid w:val="00F52441"/>
    <w:rsid w:val="00F776C7"/>
    <w:rsid w:val="00F859D1"/>
    <w:rsid w:val="00FA0EF5"/>
    <w:rsid w:val="00FA1D59"/>
    <w:rsid w:val="00FA2C9A"/>
    <w:rsid w:val="00FA46B3"/>
    <w:rsid w:val="00FA4B41"/>
    <w:rsid w:val="00FC4C69"/>
    <w:rsid w:val="00FC4EBC"/>
    <w:rsid w:val="00FC565F"/>
    <w:rsid w:val="00FD3D43"/>
    <w:rsid w:val="00FE1C06"/>
    <w:rsid w:val="00FE5A86"/>
    <w:rsid w:val="00FE62D5"/>
    <w:rsid w:val="00FF0503"/>
    <w:rsid w:val="00FF0DA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C9A"/>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FC565F"/>
    <w:pPr>
      <w:keepNext/>
      <w:keepLines/>
      <w:numPr>
        <w:numId w:val="4"/>
      </w:numPr>
      <w:spacing w:before="480"/>
      <w:ind w:hanging="72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AB1224"/>
    <w:pPr>
      <w:keepNext/>
      <w:numPr>
        <w:numId w:val="1"/>
      </w:numPr>
      <w:spacing w:before="240"/>
      <w:ind w:left="703" w:hanging="703"/>
      <w:jc w:val="both"/>
      <w:outlineLvl w:val="1"/>
    </w:pPr>
    <w:rPr>
      <w:b/>
    </w:rPr>
  </w:style>
  <w:style w:type="paragraph" w:styleId="Heading7">
    <w:name w:val="heading 7"/>
    <w:aliases w:val="Note"/>
    <w:basedOn w:val="Normal"/>
    <w:next w:val="Normal"/>
    <w:link w:val="Heading7Char"/>
    <w:qFormat/>
    <w:rsid w:val="00B8033A"/>
    <w:pPr>
      <w:tabs>
        <w:tab w:val="num" w:pos="4680"/>
      </w:tabs>
      <w:spacing w:before="240" w:after="60"/>
      <w:ind w:left="4320"/>
      <w:outlineLvl w:val="6"/>
    </w:pPr>
    <w:rPr>
      <w:rFonts w:ascii="Arial" w:hAnsi="Arial"/>
      <w:lang w:val="en-US"/>
    </w:rPr>
  </w:style>
  <w:style w:type="paragraph" w:styleId="Heading8">
    <w:name w:val="heading 8"/>
    <w:aliases w:val="Discussion,Refcard1,Refcard11,Refcard12,Refcard13,Refcard14,Refcard15,Refcard16,Refcard17"/>
    <w:basedOn w:val="Normal"/>
    <w:next w:val="Normal"/>
    <w:link w:val="Heading8Char"/>
    <w:qFormat/>
    <w:rsid w:val="00B8033A"/>
    <w:pPr>
      <w:tabs>
        <w:tab w:val="num" w:pos="5400"/>
      </w:tabs>
      <w:spacing w:before="240" w:after="60"/>
      <w:ind w:left="5040"/>
      <w:outlineLvl w:val="7"/>
    </w:pPr>
    <w:rPr>
      <w:rFonts w:ascii="Arial" w:hAnsi="Arial"/>
      <w:i/>
      <w:lang w:val="en-US"/>
    </w:rPr>
  </w:style>
  <w:style w:type="paragraph" w:styleId="Heading9">
    <w:name w:val="heading 9"/>
    <w:basedOn w:val="Normal"/>
    <w:next w:val="Normal"/>
    <w:link w:val="Heading9Char"/>
    <w:qFormat/>
    <w:rsid w:val="00B8033A"/>
    <w:pPr>
      <w:tabs>
        <w:tab w:val="num" w:pos="6120"/>
      </w:tabs>
      <w:spacing w:before="240" w:after="60"/>
      <w:ind w:left="5760"/>
      <w:outlineLvl w:val="8"/>
    </w:pPr>
    <w:rPr>
      <w:rFonts w:ascii="Arial"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A2C9A"/>
    <w:pPr>
      <w:tabs>
        <w:tab w:val="left" w:pos="3060"/>
      </w:tabs>
      <w:jc w:val="center"/>
    </w:pPr>
  </w:style>
  <w:style w:type="character" w:customStyle="1" w:styleId="BodyTextChar">
    <w:name w:val="Body Text Char"/>
    <w:basedOn w:val="DefaultParagraphFont"/>
    <w:link w:val="BodyText"/>
    <w:rsid w:val="00FA2C9A"/>
    <w:rPr>
      <w:rFonts w:ascii="Times New Roman" w:eastAsia="Times New Roman" w:hAnsi="Times New Roman" w:cs="Times New Roman"/>
      <w:sz w:val="24"/>
      <w:szCs w:val="20"/>
    </w:rPr>
  </w:style>
  <w:style w:type="paragraph" w:customStyle="1" w:styleId="Chapter">
    <w:name w:val="Chapter"/>
    <w:basedOn w:val="Normal"/>
    <w:next w:val="Normal"/>
    <w:rsid w:val="00FA2C9A"/>
    <w:pPr>
      <w:tabs>
        <w:tab w:val="left" w:pos="1440"/>
      </w:tabs>
      <w:spacing w:before="240" w:after="240"/>
      <w:jc w:val="center"/>
    </w:pPr>
    <w:rPr>
      <w:b/>
      <w:smallCaps/>
      <w:lang w:val="es-ES"/>
    </w:rPr>
  </w:style>
  <w:style w:type="paragraph" w:styleId="Footer">
    <w:name w:val="footer"/>
    <w:basedOn w:val="Normal"/>
    <w:link w:val="FooterChar"/>
    <w:uiPriority w:val="99"/>
    <w:rsid w:val="00FA2C9A"/>
    <w:pPr>
      <w:tabs>
        <w:tab w:val="center" w:pos="4320"/>
        <w:tab w:val="right" w:pos="8640"/>
      </w:tabs>
    </w:pPr>
  </w:style>
  <w:style w:type="character" w:customStyle="1" w:styleId="FooterChar">
    <w:name w:val="Footer Char"/>
    <w:basedOn w:val="DefaultParagraphFont"/>
    <w:link w:val="Footer"/>
    <w:uiPriority w:val="99"/>
    <w:rsid w:val="00FA2C9A"/>
    <w:rPr>
      <w:rFonts w:ascii="Times New Roman" w:eastAsia="Times New Roman" w:hAnsi="Times New Roman" w:cs="Times New Roman"/>
      <w:sz w:val="24"/>
      <w:szCs w:val="20"/>
    </w:rPr>
  </w:style>
  <w:style w:type="paragraph" w:styleId="Header">
    <w:name w:val="header"/>
    <w:basedOn w:val="Normal"/>
    <w:link w:val="HeaderChar"/>
    <w:uiPriority w:val="99"/>
    <w:rsid w:val="00FA2C9A"/>
    <w:pPr>
      <w:tabs>
        <w:tab w:val="center" w:pos="4320"/>
        <w:tab w:val="right" w:pos="8640"/>
      </w:tabs>
    </w:pPr>
  </w:style>
  <w:style w:type="character" w:customStyle="1" w:styleId="HeaderChar">
    <w:name w:val="Header Char"/>
    <w:basedOn w:val="DefaultParagraphFont"/>
    <w:link w:val="Header"/>
    <w:uiPriority w:val="99"/>
    <w:rsid w:val="00FA2C9A"/>
    <w:rPr>
      <w:rFonts w:ascii="Times New Roman" w:eastAsia="Times New Roman" w:hAnsi="Times New Roman" w:cs="Times New Roman"/>
      <w:sz w:val="24"/>
      <w:szCs w:val="20"/>
    </w:rPr>
  </w:style>
  <w:style w:type="paragraph" w:customStyle="1" w:styleId="Newpage">
    <w:name w:val="Newpage"/>
    <w:basedOn w:val="Chapter"/>
    <w:rsid w:val="00FA2C9A"/>
    <w:pPr>
      <w:tabs>
        <w:tab w:val="clear" w:pos="1440"/>
        <w:tab w:val="left" w:pos="3060"/>
      </w:tabs>
      <w:spacing w:after="0"/>
    </w:pPr>
  </w:style>
  <w:style w:type="table" w:styleId="TableGrid">
    <w:name w:val="Table Grid"/>
    <w:basedOn w:val="TableNormal"/>
    <w:uiPriority w:val="59"/>
    <w:rsid w:val="00FA2C9A"/>
    <w:pPr>
      <w:spacing w:after="0" w:line="240" w:lineRule="auto"/>
    </w:pPr>
    <w:rPr>
      <w:rFonts w:ascii="Arial" w:eastAsia="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2C9A"/>
    <w:pPr>
      <w:spacing w:after="200" w:line="276" w:lineRule="auto"/>
      <w:ind w:left="720"/>
      <w:contextualSpacing/>
    </w:pPr>
    <w:rPr>
      <w:rFonts w:asciiTheme="minorHAnsi" w:eastAsiaTheme="minorEastAsia" w:hAnsiTheme="minorHAnsi" w:cstheme="minorBidi"/>
      <w:sz w:val="22"/>
      <w:szCs w:val="22"/>
      <w:lang w:val="es-PY" w:eastAsia="es-PY"/>
    </w:rPr>
  </w:style>
  <w:style w:type="paragraph" w:styleId="NoSpacing">
    <w:name w:val="No Spacing"/>
    <w:qFormat/>
    <w:rsid w:val="00FA2C9A"/>
    <w:pPr>
      <w:spacing w:after="0" w:line="240" w:lineRule="auto"/>
    </w:pPr>
    <w:rPr>
      <w:rFonts w:ascii="Calibri" w:eastAsia="Calibri" w:hAnsi="Calibri" w:cs="Calibri"/>
      <w:lang w:val="es-NI"/>
    </w:rPr>
  </w:style>
  <w:style w:type="character" w:customStyle="1" w:styleId="ListParagraphChar">
    <w:name w:val="List Paragraph Char"/>
    <w:link w:val="ListParagraph"/>
    <w:uiPriority w:val="34"/>
    <w:rsid w:val="00FA2C9A"/>
    <w:rPr>
      <w:rFonts w:eastAsiaTheme="minorEastAsia"/>
      <w:lang w:val="es-PY" w:eastAsia="es-PY"/>
    </w:rPr>
  </w:style>
  <w:style w:type="paragraph" w:styleId="FootnoteText">
    <w:name w:val="footnote text"/>
    <w:aliases w:val="fn,Texto de rodapé,nota_rodapé,nota de rodapé Car Car,nota de rodapé Car Car Car Car Car Car Car Car Car Car Car,footnote,nota de rodapé,FOOTNOTES,single space,footnote text,Footnote Text Char Char,Footnote text Char Char,Footnote text"/>
    <w:basedOn w:val="Normal"/>
    <w:link w:val="FootnoteTextChar"/>
    <w:uiPriority w:val="99"/>
    <w:unhideWhenUsed/>
    <w:rsid w:val="004D0B85"/>
    <w:rPr>
      <w:sz w:val="20"/>
    </w:rPr>
  </w:style>
  <w:style w:type="character" w:customStyle="1" w:styleId="FootnoteTextChar">
    <w:name w:val="Footnote Text Char"/>
    <w:aliases w:val="fn Char,Texto de rodapé Char,nota_rodapé Char,nota de rodapé Car Car Char,nota de rodapé Car Car Car Car Car Car Car Car Car Car Car Char,footnote Char,nota de rodapé Char,FOOTNOTES Char,single space Char,footnote text Char"/>
    <w:basedOn w:val="DefaultParagraphFont"/>
    <w:link w:val="FootnoteText"/>
    <w:uiPriority w:val="99"/>
    <w:rsid w:val="004D0B85"/>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4D0B85"/>
    <w:rPr>
      <w:vertAlign w:val="superscript"/>
    </w:rPr>
  </w:style>
  <w:style w:type="character" w:styleId="CommentReference">
    <w:name w:val="annotation reference"/>
    <w:basedOn w:val="DefaultParagraphFont"/>
    <w:uiPriority w:val="99"/>
    <w:semiHidden/>
    <w:unhideWhenUsed/>
    <w:rsid w:val="00107602"/>
    <w:rPr>
      <w:sz w:val="16"/>
      <w:szCs w:val="16"/>
    </w:rPr>
  </w:style>
  <w:style w:type="paragraph" w:styleId="CommentText">
    <w:name w:val="annotation text"/>
    <w:basedOn w:val="Normal"/>
    <w:link w:val="CommentTextChar"/>
    <w:uiPriority w:val="99"/>
    <w:semiHidden/>
    <w:unhideWhenUsed/>
    <w:rsid w:val="00107602"/>
    <w:rPr>
      <w:sz w:val="20"/>
    </w:rPr>
  </w:style>
  <w:style w:type="character" w:customStyle="1" w:styleId="CommentTextChar">
    <w:name w:val="Comment Text Char"/>
    <w:basedOn w:val="DefaultParagraphFont"/>
    <w:link w:val="CommentText"/>
    <w:uiPriority w:val="99"/>
    <w:semiHidden/>
    <w:rsid w:val="0010760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07602"/>
    <w:rPr>
      <w:b/>
      <w:bCs/>
    </w:rPr>
  </w:style>
  <w:style w:type="character" w:customStyle="1" w:styleId="CommentSubjectChar">
    <w:name w:val="Comment Subject Char"/>
    <w:basedOn w:val="CommentTextChar"/>
    <w:link w:val="CommentSubject"/>
    <w:uiPriority w:val="99"/>
    <w:semiHidden/>
    <w:rsid w:val="0010760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07602"/>
    <w:rPr>
      <w:rFonts w:ascii="Tahoma" w:hAnsi="Tahoma" w:cs="Tahoma"/>
      <w:sz w:val="16"/>
      <w:szCs w:val="16"/>
    </w:rPr>
  </w:style>
  <w:style w:type="character" w:customStyle="1" w:styleId="BalloonTextChar">
    <w:name w:val="Balloon Text Char"/>
    <w:basedOn w:val="DefaultParagraphFont"/>
    <w:link w:val="BalloonText"/>
    <w:uiPriority w:val="99"/>
    <w:semiHidden/>
    <w:rsid w:val="00107602"/>
    <w:rPr>
      <w:rFonts w:ascii="Tahoma" w:eastAsia="Times New Roman" w:hAnsi="Tahoma" w:cs="Tahoma"/>
      <w:sz w:val="16"/>
      <w:szCs w:val="16"/>
    </w:rPr>
  </w:style>
  <w:style w:type="paragraph" w:customStyle="1" w:styleId="Paragraph">
    <w:name w:val="Paragraph"/>
    <w:aliases w:val="paragraph,p,PARAGRAPH,PG,pa,at"/>
    <w:basedOn w:val="BodyTextIndent"/>
    <w:link w:val="ParagraphChar"/>
    <w:rsid w:val="000E7A70"/>
    <w:pPr>
      <w:tabs>
        <w:tab w:val="num" w:pos="720"/>
      </w:tabs>
      <w:spacing w:before="120"/>
      <w:ind w:left="720" w:hanging="720"/>
      <w:jc w:val="both"/>
      <w:outlineLvl w:val="1"/>
    </w:pPr>
    <w:rPr>
      <w:lang w:val="es-ES"/>
    </w:rPr>
  </w:style>
  <w:style w:type="character" w:customStyle="1" w:styleId="ParagraphChar">
    <w:name w:val="Paragraph Char"/>
    <w:link w:val="Paragraph"/>
    <w:uiPriority w:val="99"/>
    <w:rsid w:val="000E7A70"/>
    <w:rPr>
      <w:rFonts w:ascii="Times New Roman" w:eastAsia="Times New Roman" w:hAnsi="Times New Roman" w:cs="Times New Roman"/>
      <w:sz w:val="24"/>
      <w:szCs w:val="20"/>
      <w:lang w:val="es-ES"/>
    </w:rPr>
  </w:style>
  <w:style w:type="paragraph" w:styleId="BodyTextIndent">
    <w:name w:val="Body Text Indent"/>
    <w:basedOn w:val="Normal"/>
    <w:link w:val="BodyTextIndentChar"/>
    <w:uiPriority w:val="99"/>
    <w:semiHidden/>
    <w:unhideWhenUsed/>
    <w:rsid w:val="000E7A70"/>
    <w:pPr>
      <w:spacing w:after="120"/>
      <w:ind w:left="283"/>
    </w:pPr>
  </w:style>
  <w:style w:type="character" w:customStyle="1" w:styleId="BodyTextIndentChar">
    <w:name w:val="Body Text Indent Char"/>
    <w:basedOn w:val="DefaultParagraphFont"/>
    <w:link w:val="BodyTextIndent"/>
    <w:uiPriority w:val="99"/>
    <w:semiHidden/>
    <w:rsid w:val="000E7A70"/>
    <w:rPr>
      <w:rFonts w:ascii="Times New Roman" w:eastAsia="Times New Roman" w:hAnsi="Times New Roman" w:cs="Times New Roman"/>
      <w:sz w:val="24"/>
      <w:szCs w:val="20"/>
    </w:rPr>
  </w:style>
  <w:style w:type="paragraph" w:styleId="Caption">
    <w:name w:val="caption"/>
    <w:basedOn w:val="Normal"/>
    <w:next w:val="Normal"/>
    <w:autoRedefine/>
    <w:qFormat/>
    <w:rsid w:val="00EF2F27"/>
    <w:pPr>
      <w:jc w:val="center"/>
    </w:pPr>
    <w:rPr>
      <w:rFonts w:ascii="Calibri" w:hAnsi="Calibri"/>
      <w:b/>
      <w:bCs/>
      <w:lang w:val="es-ES" w:eastAsia="es-CL"/>
    </w:rPr>
  </w:style>
  <w:style w:type="paragraph" w:customStyle="1" w:styleId="EstiloJustificado1">
    <w:name w:val="Estilo Justificado1"/>
    <w:basedOn w:val="Normal"/>
    <w:autoRedefine/>
    <w:rsid w:val="00EF2F27"/>
    <w:pPr>
      <w:jc w:val="both"/>
    </w:pPr>
    <w:rPr>
      <w:rFonts w:ascii="Calibri" w:hAnsi="Calibri"/>
      <w:szCs w:val="24"/>
      <w:lang w:val="es-ES" w:eastAsia="es-ES"/>
    </w:rPr>
  </w:style>
  <w:style w:type="paragraph" w:styleId="BodyText2">
    <w:name w:val="Body Text 2"/>
    <w:basedOn w:val="Normal"/>
    <w:link w:val="BodyText2Char"/>
    <w:uiPriority w:val="99"/>
    <w:semiHidden/>
    <w:unhideWhenUsed/>
    <w:rsid w:val="00EF2F27"/>
    <w:pPr>
      <w:spacing w:after="120" w:line="480" w:lineRule="auto"/>
    </w:pPr>
  </w:style>
  <w:style w:type="character" w:customStyle="1" w:styleId="BodyText2Char">
    <w:name w:val="Body Text 2 Char"/>
    <w:basedOn w:val="DefaultParagraphFont"/>
    <w:link w:val="BodyText2"/>
    <w:uiPriority w:val="99"/>
    <w:semiHidden/>
    <w:rsid w:val="00EF2F27"/>
    <w:rPr>
      <w:rFonts w:ascii="Times New Roman" w:eastAsia="Times New Roman" w:hAnsi="Times New Roman" w:cs="Times New Roman"/>
      <w:sz w:val="24"/>
      <w:szCs w:val="20"/>
    </w:rPr>
  </w:style>
  <w:style w:type="character" w:customStyle="1" w:styleId="Heading7Char">
    <w:name w:val="Heading 7 Char"/>
    <w:aliases w:val="Note Char"/>
    <w:basedOn w:val="DefaultParagraphFont"/>
    <w:link w:val="Heading7"/>
    <w:rsid w:val="00B8033A"/>
    <w:rPr>
      <w:rFonts w:ascii="Arial" w:eastAsia="Times New Roman" w:hAnsi="Arial" w:cs="Times New Roman"/>
      <w:sz w:val="24"/>
      <w:szCs w:val="20"/>
      <w:lang w:val="en-US"/>
    </w:rPr>
  </w:style>
  <w:style w:type="character" w:customStyle="1" w:styleId="Heading8Char">
    <w:name w:val="Heading 8 Char"/>
    <w:aliases w:val="Discussion Char,Refcard1 Char,Refcard11 Char,Refcard12 Char,Refcard13 Char,Refcard14 Char,Refcard15 Char,Refcard16 Char,Refcard17 Char"/>
    <w:basedOn w:val="DefaultParagraphFont"/>
    <w:link w:val="Heading8"/>
    <w:rsid w:val="00B8033A"/>
    <w:rPr>
      <w:rFonts w:ascii="Arial" w:eastAsia="Times New Roman" w:hAnsi="Arial" w:cs="Times New Roman"/>
      <w:i/>
      <w:sz w:val="24"/>
      <w:szCs w:val="20"/>
      <w:lang w:val="en-US"/>
    </w:rPr>
  </w:style>
  <w:style w:type="character" w:customStyle="1" w:styleId="Heading9Char">
    <w:name w:val="Heading 9 Char"/>
    <w:basedOn w:val="DefaultParagraphFont"/>
    <w:link w:val="Heading9"/>
    <w:rsid w:val="00B8033A"/>
    <w:rPr>
      <w:rFonts w:ascii="Arial" w:eastAsia="Times New Roman" w:hAnsi="Arial" w:cs="Times New Roman"/>
      <w:b/>
      <w:i/>
      <w:sz w:val="18"/>
      <w:szCs w:val="20"/>
      <w:lang w:val="en-US"/>
    </w:rPr>
  </w:style>
  <w:style w:type="paragraph" w:customStyle="1" w:styleId="subpar">
    <w:name w:val="subpar"/>
    <w:basedOn w:val="BodyTextIndent3"/>
    <w:rsid w:val="00B8033A"/>
    <w:pPr>
      <w:tabs>
        <w:tab w:val="num" w:pos="720"/>
      </w:tabs>
      <w:spacing w:before="120"/>
      <w:ind w:left="720" w:hanging="720"/>
      <w:jc w:val="both"/>
      <w:outlineLvl w:val="2"/>
    </w:pPr>
    <w:rPr>
      <w:sz w:val="24"/>
      <w:szCs w:val="20"/>
    </w:rPr>
  </w:style>
  <w:style w:type="paragraph" w:customStyle="1" w:styleId="SubSubPar">
    <w:name w:val="SubSubPar"/>
    <w:basedOn w:val="subpar"/>
    <w:rsid w:val="00B8033A"/>
    <w:pPr>
      <w:tabs>
        <w:tab w:val="left" w:pos="0"/>
        <w:tab w:val="num" w:pos="360"/>
      </w:tabs>
    </w:pPr>
  </w:style>
  <w:style w:type="paragraph" w:styleId="BodyTextIndent3">
    <w:name w:val="Body Text Indent 3"/>
    <w:basedOn w:val="Normal"/>
    <w:link w:val="BodyTextIndent3Char"/>
    <w:uiPriority w:val="99"/>
    <w:semiHidden/>
    <w:unhideWhenUsed/>
    <w:rsid w:val="00B8033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8033A"/>
    <w:rPr>
      <w:rFonts w:ascii="Times New Roman" w:eastAsia="Times New Roman" w:hAnsi="Times New Roman" w:cs="Times New Roman"/>
      <w:sz w:val="16"/>
      <w:szCs w:val="16"/>
    </w:rPr>
  </w:style>
  <w:style w:type="character" w:customStyle="1" w:styleId="Heading1Char">
    <w:name w:val="Heading 1 Char"/>
    <w:basedOn w:val="DefaultParagraphFont"/>
    <w:link w:val="Heading1"/>
    <w:uiPriority w:val="9"/>
    <w:rsid w:val="00FC565F"/>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rsid w:val="00AB1224"/>
    <w:rPr>
      <w:rFonts w:ascii="Times New Roman" w:eastAsia="Times New Roman" w:hAnsi="Times New Roman" w:cs="Times New Roman"/>
      <w:b/>
      <w:sz w:val="24"/>
      <w:szCs w:val="20"/>
    </w:rPr>
  </w:style>
  <w:style w:type="paragraph" w:customStyle="1" w:styleId="Default">
    <w:name w:val="Default"/>
    <w:rsid w:val="005D6FE7"/>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textonormal">
    <w:name w:val="texto_normal"/>
    <w:basedOn w:val="DefaultParagraphFont"/>
    <w:rsid w:val="00D2191F"/>
  </w:style>
  <w:style w:type="character" w:customStyle="1" w:styleId="textoblanco">
    <w:name w:val="texto_blanco"/>
    <w:basedOn w:val="DefaultParagraphFont"/>
    <w:rsid w:val="00D2191F"/>
  </w:style>
  <w:style w:type="paragraph" w:styleId="Subtitle">
    <w:name w:val="Subtitle"/>
    <w:basedOn w:val="Normal"/>
    <w:next w:val="Normal"/>
    <w:link w:val="SubtitleChar"/>
    <w:uiPriority w:val="11"/>
    <w:qFormat/>
    <w:rsid w:val="00EA5072"/>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EA5072"/>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6D573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C9A"/>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FC565F"/>
    <w:pPr>
      <w:keepNext/>
      <w:keepLines/>
      <w:numPr>
        <w:numId w:val="4"/>
      </w:numPr>
      <w:spacing w:before="480"/>
      <w:ind w:hanging="720"/>
      <w:outlineLvl w:val="0"/>
    </w:pPr>
    <w:rPr>
      <w:rFonts w:eastAsiaTheme="majorEastAsia"/>
      <w:b/>
      <w:bCs/>
      <w:sz w:val="28"/>
      <w:szCs w:val="28"/>
    </w:rPr>
  </w:style>
  <w:style w:type="paragraph" w:styleId="Heading2">
    <w:name w:val="heading 2"/>
    <w:basedOn w:val="Normal"/>
    <w:next w:val="Normal"/>
    <w:link w:val="Heading2Char"/>
    <w:uiPriority w:val="9"/>
    <w:unhideWhenUsed/>
    <w:qFormat/>
    <w:rsid w:val="00AB1224"/>
    <w:pPr>
      <w:keepNext/>
      <w:numPr>
        <w:numId w:val="1"/>
      </w:numPr>
      <w:spacing w:before="240"/>
      <w:ind w:left="703" w:hanging="703"/>
      <w:jc w:val="both"/>
      <w:outlineLvl w:val="1"/>
    </w:pPr>
    <w:rPr>
      <w:b/>
    </w:rPr>
  </w:style>
  <w:style w:type="paragraph" w:styleId="Heading7">
    <w:name w:val="heading 7"/>
    <w:aliases w:val="Note"/>
    <w:basedOn w:val="Normal"/>
    <w:next w:val="Normal"/>
    <w:link w:val="Heading7Char"/>
    <w:qFormat/>
    <w:rsid w:val="00B8033A"/>
    <w:pPr>
      <w:tabs>
        <w:tab w:val="num" w:pos="4680"/>
      </w:tabs>
      <w:spacing w:before="240" w:after="60"/>
      <w:ind w:left="4320"/>
      <w:outlineLvl w:val="6"/>
    </w:pPr>
    <w:rPr>
      <w:rFonts w:ascii="Arial" w:hAnsi="Arial"/>
      <w:lang w:val="en-US"/>
    </w:rPr>
  </w:style>
  <w:style w:type="paragraph" w:styleId="Heading8">
    <w:name w:val="heading 8"/>
    <w:aliases w:val="Discussion,Refcard1,Refcard11,Refcard12,Refcard13,Refcard14,Refcard15,Refcard16,Refcard17"/>
    <w:basedOn w:val="Normal"/>
    <w:next w:val="Normal"/>
    <w:link w:val="Heading8Char"/>
    <w:qFormat/>
    <w:rsid w:val="00B8033A"/>
    <w:pPr>
      <w:tabs>
        <w:tab w:val="num" w:pos="5400"/>
      </w:tabs>
      <w:spacing w:before="240" w:after="60"/>
      <w:ind w:left="5040"/>
      <w:outlineLvl w:val="7"/>
    </w:pPr>
    <w:rPr>
      <w:rFonts w:ascii="Arial" w:hAnsi="Arial"/>
      <w:i/>
      <w:lang w:val="en-US"/>
    </w:rPr>
  </w:style>
  <w:style w:type="paragraph" w:styleId="Heading9">
    <w:name w:val="heading 9"/>
    <w:basedOn w:val="Normal"/>
    <w:next w:val="Normal"/>
    <w:link w:val="Heading9Char"/>
    <w:qFormat/>
    <w:rsid w:val="00B8033A"/>
    <w:pPr>
      <w:tabs>
        <w:tab w:val="num" w:pos="6120"/>
      </w:tabs>
      <w:spacing w:before="240" w:after="60"/>
      <w:ind w:left="5760"/>
      <w:outlineLvl w:val="8"/>
    </w:pPr>
    <w:rPr>
      <w:rFonts w:ascii="Arial"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A2C9A"/>
    <w:pPr>
      <w:tabs>
        <w:tab w:val="left" w:pos="3060"/>
      </w:tabs>
      <w:jc w:val="center"/>
    </w:pPr>
  </w:style>
  <w:style w:type="character" w:customStyle="1" w:styleId="BodyTextChar">
    <w:name w:val="Body Text Char"/>
    <w:basedOn w:val="DefaultParagraphFont"/>
    <w:link w:val="BodyText"/>
    <w:rsid w:val="00FA2C9A"/>
    <w:rPr>
      <w:rFonts w:ascii="Times New Roman" w:eastAsia="Times New Roman" w:hAnsi="Times New Roman" w:cs="Times New Roman"/>
      <w:sz w:val="24"/>
      <w:szCs w:val="20"/>
    </w:rPr>
  </w:style>
  <w:style w:type="paragraph" w:customStyle="1" w:styleId="Chapter">
    <w:name w:val="Chapter"/>
    <w:basedOn w:val="Normal"/>
    <w:next w:val="Normal"/>
    <w:rsid w:val="00FA2C9A"/>
    <w:pPr>
      <w:tabs>
        <w:tab w:val="left" w:pos="1440"/>
      </w:tabs>
      <w:spacing w:before="240" w:after="240"/>
      <w:jc w:val="center"/>
    </w:pPr>
    <w:rPr>
      <w:b/>
      <w:smallCaps/>
      <w:lang w:val="es-ES"/>
    </w:rPr>
  </w:style>
  <w:style w:type="paragraph" w:styleId="Footer">
    <w:name w:val="footer"/>
    <w:basedOn w:val="Normal"/>
    <w:link w:val="FooterChar"/>
    <w:uiPriority w:val="99"/>
    <w:rsid w:val="00FA2C9A"/>
    <w:pPr>
      <w:tabs>
        <w:tab w:val="center" w:pos="4320"/>
        <w:tab w:val="right" w:pos="8640"/>
      </w:tabs>
    </w:pPr>
  </w:style>
  <w:style w:type="character" w:customStyle="1" w:styleId="FooterChar">
    <w:name w:val="Footer Char"/>
    <w:basedOn w:val="DefaultParagraphFont"/>
    <w:link w:val="Footer"/>
    <w:uiPriority w:val="99"/>
    <w:rsid w:val="00FA2C9A"/>
    <w:rPr>
      <w:rFonts w:ascii="Times New Roman" w:eastAsia="Times New Roman" w:hAnsi="Times New Roman" w:cs="Times New Roman"/>
      <w:sz w:val="24"/>
      <w:szCs w:val="20"/>
    </w:rPr>
  </w:style>
  <w:style w:type="paragraph" w:styleId="Header">
    <w:name w:val="header"/>
    <w:basedOn w:val="Normal"/>
    <w:link w:val="HeaderChar"/>
    <w:uiPriority w:val="99"/>
    <w:rsid w:val="00FA2C9A"/>
    <w:pPr>
      <w:tabs>
        <w:tab w:val="center" w:pos="4320"/>
        <w:tab w:val="right" w:pos="8640"/>
      </w:tabs>
    </w:pPr>
  </w:style>
  <w:style w:type="character" w:customStyle="1" w:styleId="HeaderChar">
    <w:name w:val="Header Char"/>
    <w:basedOn w:val="DefaultParagraphFont"/>
    <w:link w:val="Header"/>
    <w:uiPriority w:val="99"/>
    <w:rsid w:val="00FA2C9A"/>
    <w:rPr>
      <w:rFonts w:ascii="Times New Roman" w:eastAsia="Times New Roman" w:hAnsi="Times New Roman" w:cs="Times New Roman"/>
      <w:sz w:val="24"/>
      <w:szCs w:val="20"/>
    </w:rPr>
  </w:style>
  <w:style w:type="paragraph" w:customStyle="1" w:styleId="Newpage">
    <w:name w:val="Newpage"/>
    <w:basedOn w:val="Chapter"/>
    <w:rsid w:val="00FA2C9A"/>
    <w:pPr>
      <w:tabs>
        <w:tab w:val="clear" w:pos="1440"/>
        <w:tab w:val="left" w:pos="3060"/>
      </w:tabs>
      <w:spacing w:after="0"/>
    </w:pPr>
  </w:style>
  <w:style w:type="table" w:styleId="TableGrid">
    <w:name w:val="Table Grid"/>
    <w:basedOn w:val="TableNormal"/>
    <w:uiPriority w:val="59"/>
    <w:rsid w:val="00FA2C9A"/>
    <w:pPr>
      <w:spacing w:after="0" w:line="240" w:lineRule="auto"/>
    </w:pPr>
    <w:rPr>
      <w:rFonts w:ascii="Arial" w:eastAsia="Arial"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2C9A"/>
    <w:pPr>
      <w:spacing w:after="200" w:line="276" w:lineRule="auto"/>
      <w:ind w:left="720"/>
      <w:contextualSpacing/>
    </w:pPr>
    <w:rPr>
      <w:rFonts w:asciiTheme="minorHAnsi" w:eastAsiaTheme="minorEastAsia" w:hAnsiTheme="minorHAnsi" w:cstheme="minorBidi"/>
      <w:sz w:val="22"/>
      <w:szCs w:val="22"/>
      <w:lang w:val="es-PY" w:eastAsia="es-PY"/>
    </w:rPr>
  </w:style>
  <w:style w:type="paragraph" w:styleId="NoSpacing">
    <w:name w:val="No Spacing"/>
    <w:qFormat/>
    <w:rsid w:val="00FA2C9A"/>
    <w:pPr>
      <w:spacing w:after="0" w:line="240" w:lineRule="auto"/>
    </w:pPr>
    <w:rPr>
      <w:rFonts w:ascii="Calibri" w:eastAsia="Calibri" w:hAnsi="Calibri" w:cs="Calibri"/>
      <w:lang w:val="es-NI"/>
    </w:rPr>
  </w:style>
  <w:style w:type="character" w:customStyle="1" w:styleId="ListParagraphChar">
    <w:name w:val="List Paragraph Char"/>
    <w:link w:val="ListParagraph"/>
    <w:uiPriority w:val="34"/>
    <w:rsid w:val="00FA2C9A"/>
    <w:rPr>
      <w:rFonts w:eastAsiaTheme="minorEastAsia"/>
      <w:lang w:val="es-PY" w:eastAsia="es-PY"/>
    </w:rPr>
  </w:style>
  <w:style w:type="paragraph" w:styleId="FootnoteText">
    <w:name w:val="footnote text"/>
    <w:aliases w:val="fn,Texto de rodapé,nota_rodapé,nota de rodapé Car Car,nota de rodapé Car Car Car Car Car Car Car Car Car Car Car,footnote,nota de rodapé,FOOTNOTES,single space,footnote text,Footnote Text Char Char,Footnote text Char Char,Footnote text"/>
    <w:basedOn w:val="Normal"/>
    <w:link w:val="FootnoteTextChar"/>
    <w:uiPriority w:val="99"/>
    <w:unhideWhenUsed/>
    <w:rsid w:val="004D0B85"/>
    <w:rPr>
      <w:sz w:val="20"/>
    </w:rPr>
  </w:style>
  <w:style w:type="character" w:customStyle="1" w:styleId="FootnoteTextChar">
    <w:name w:val="Footnote Text Char"/>
    <w:aliases w:val="fn Char,Texto de rodapé Char,nota_rodapé Char,nota de rodapé Car Car Char,nota de rodapé Car Car Car Car Car Car Car Car Car Car Car Char,footnote Char,nota de rodapé Char,FOOTNOTES Char,single space Char,footnote text Char"/>
    <w:basedOn w:val="DefaultParagraphFont"/>
    <w:link w:val="FootnoteText"/>
    <w:uiPriority w:val="99"/>
    <w:rsid w:val="004D0B85"/>
    <w:rPr>
      <w:rFonts w:ascii="Times New Roman" w:eastAsia="Times New Roman" w:hAnsi="Times New Roman" w:cs="Times New Roman"/>
      <w:sz w:val="20"/>
      <w:szCs w:val="20"/>
    </w:rPr>
  </w:style>
  <w:style w:type="character" w:styleId="FootnoteReference">
    <w:name w:val="footnote reference"/>
    <w:basedOn w:val="DefaultParagraphFont"/>
    <w:uiPriority w:val="99"/>
    <w:unhideWhenUsed/>
    <w:rsid w:val="004D0B85"/>
    <w:rPr>
      <w:vertAlign w:val="superscript"/>
    </w:rPr>
  </w:style>
  <w:style w:type="character" w:styleId="CommentReference">
    <w:name w:val="annotation reference"/>
    <w:basedOn w:val="DefaultParagraphFont"/>
    <w:uiPriority w:val="99"/>
    <w:semiHidden/>
    <w:unhideWhenUsed/>
    <w:rsid w:val="00107602"/>
    <w:rPr>
      <w:sz w:val="16"/>
      <w:szCs w:val="16"/>
    </w:rPr>
  </w:style>
  <w:style w:type="paragraph" w:styleId="CommentText">
    <w:name w:val="annotation text"/>
    <w:basedOn w:val="Normal"/>
    <w:link w:val="CommentTextChar"/>
    <w:uiPriority w:val="99"/>
    <w:semiHidden/>
    <w:unhideWhenUsed/>
    <w:rsid w:val="00107602"/>
    <w:rPr>
      <w:sz w:val="20"/>
    </w:rPr>
  </w:style>
  <w:style w:type="character" w:customStyle="1" w:styleId="CommentTextChar">
    <w:name w:val="Comment Text Char"/>
    <w:basedOn w:val="DefaultParagraphFont"/>
    <w:link w:val="CommentText"/>
    <w:uiPriority w:val="99"/>
    <w:semiHidden/>
    <w:rsid w:val="0010760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07602"/>
    <w:rPr>
      <w:b/>
      <w:bCs/>
    </w:rPr>
  </w:style>
  <w:style w:type="character" w:customStyle="1" w:styleId="CommentSubjectChar">
    <w:name w:val="Comment Subject Char"/>
    <w:basedOn w:val="CommentTextChar"/>
    <w:link w:val="CommentSubject"/>
    <w:uiPriority w:val="99"/>
    <w:semiHidden/>
    <w:rsid w:val="00107602"/>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107602"/>
    <w:rPr>
      <w:rFonts w:ascii="Tahoma" w:hAnsi="Tahoma" w:cs="Tahoma"/>
      <w:sz w:val="16"/>
      <w:szCs w:val="16"/>
    </w:rPr>
  </w:style>
  <w:style w:type="character" w:customStyle="1" w:styleId="BalloonTextChar">
    <w:name w:val="Balloon Text Char"/>
    <w:basedOn w:val="DefaultParagraphFont"/>
    <w:link w:val="BalloonText"/>
    <w:uiPriority w:val="99"/>
    <w:semiHidden/>
    <w:rsid w:val="00107602"/>
    <w:rPr>
      <w:rFonts w:ascii="Tahoma" w:eastAsia="Times New Roman" w:hAnsi="Tahoma" w:cs="Tahoma"/>
      <w:sz w:val="16"/>
      <w:szCs w:val="16"/>
    </w:rPr>
  </w:style>
  <w:style w:type="paragraph" w:customStyle="1" w:styleId="Paragraph">
    <w:name w:val="Paragraph"/>
    <w:aliases w:val="paragraph,p,PARAGRAPH,PG,pa,at"/>
    <w:basedOn w:val="BodyTextIndent"/>
    <w:link w:val="ParagraphChar"/>
    <w:rsid w:val="000E7A70"/>
    <w:pPr>
      <w:tabs>
        <w:tab w:val="num" w:pos="720"/>
      </w:tabs>
      <w:spacing w:before="120"/>
      <w:ind w:left="720" w:hanging="720"/>
      <w:jc w:val="both"/>
      <w:outlineLvl w:val="1"/>
    </w:pPr>
    <w:rPr>
      <w:lang w:val="es-ES"/>
    </w:rPr>
  </w:style>
  <w:style w:type="character" w:customStyle="1" w:styleId="ParagraphChar">
    <w:name w:val="Paragraph Char"/>
    <w:link w:val="Paragraph"/>
    <w:uiPriority w:val="99"/>
    <w:rsid w:val="000E7A70"/>
    <w:rPr>
      <w:rFonts w:ascii="Times New Roman" w:eastAsia="Times New Roman" w:hAnsi="Times New Roman" w:cs="Times New Roman"/>
      <w:sz w:val="24"/>
      <w:szCs w:val="20"/>
      <w:lang w:val="es-ES"/>
    </w:rPr>
  </w:style>
  <w:style w:type="paragraph" w:styleId="BodyTextIndent">
    <w:name w:val="Body Text Indent"/>
    <w:basedOn w:val="Normal"/>
    <w:link w:val="BodyTextIndentChar"/>
    <w:uiPriority w:val="99"/>
    <w:semiHidden/>
    <w:unhideWhenUsed/>
    <w:rsid w:val="000E7A70"/>
    <w:pPr>
      <w:spacing w:after="120"/>
      <w:ind w:left="283"/>
    </w:pPr>
  </w:style>
  <w:style w:type="character" w:customStyle="1" w:styleId="BodyTextIndentChar">
    <w:name w:val="Body Text Indent Char"/>
    <w:basedOn w:val="DefaultParagraphFont"/>
    <w:link w:val="BodyTextIndent"/>
    <w:uiPriority w:val="99"/>
    <w:semiHidden/>
    <w:rsid w:val="000E7A70"/>
    <w:rPr>
      <w:rFonts w:ascii="Times New Roman" w:eastAsia="Times New Roman" w:hAnsi="Times New Roman" w:cs="Times New Roman"/>
      <w:sz w:val="24"/>
      <w:szCs w:val="20"/>
    </w:rPr>
  </w:style>
  <w:style w:type="paragraph" w:styleId="Caption">
    <w:name w:val="caption"/>
    <w:basedOn w:val="Normal"/>
    <w:next w:val="Normal"/>
    <w:autoRedefine/>
    <w:qFormat/>
    <w:rsid w:val="00EF2F27"/>
    <w:pPr>
      <w:jc w:val="center"/>
    </w:pPr>
    <w:rPr>
      <w:rFonts w:ascii="Calibri" w:hAnsi="Calibri"/>
      <w:b/>
      <w:bCs/>
      <w:lang w:val="es-ES" w:eastAsia="es-CL"/>
    </w:rPr>
  </w:style>
  <w:style w:type="paragraph" w:customStyle="1" w:styleId="EstiloJustificado1">
    <w:name w:val="Estilo Justificado1"/>
    <w:basedOn w:val="Normal"/>
    <w:autoRedefine/>
    <w:rsid w:val="00EF2F27"/>
    <w:pPr>
      <w:jc w:val="both"/>
    </w:pPr>
    <w:rPr>
      <w:rFonts w:ascii="Calibri" w:hAnsi="Calibri"/>
      <w:szCs w:val="24"/>
      <w:lang w:val="es-ES" w:eastAsia="es-ES"/>
    </w:rPr>
  </w:style>
  <w:style w:type="paragraph" w:styleId="BodyText2">
    <w:name w:val="Body Text 2"/>
    <w:basedOn w:val="Normal"/>
    <w:link w:val="BodyText2Char"/>
    <w:uiPriority w:val="99"/>
    <w:semiHidden/>
    <w:unhideWhenUsed/>
    <w:rsid w:val="00EF2F27"/>
    <w:pPr>
      <w:spacing w:after="120" w:line="480" w:lineRule="auto"/>
    </w:pPr>
  </w:style>
  <w:style w:type="character" w:customStyle="1" w:styleId="BodyText2Char">
    <w:name w:val="Body Text 2 Char"/>
    <w:basedOn w:val="DefaultParagraphFont"/>
    <w:link w:val="BodyText2"/>
    <w:uiPriority w:val="99"/>
    <w:semiHidden/>
    <w:rsid w:val="00EF2F27"/>
    <w:rPr>
      <w:rFonts w:ascii="Times New Roman" w:eastAsia="Times New Roman" w:hAnsi="Times New Roman" w:cs="Times New Roman"/>
      <w:sz w:val="24"/>
      <w:szCs w:val="20"/>
    </w:rPr>
  </w:style>
  <w:style w:type="character" w:customStyle="1" w:styleId="Heading7Char">
    <w:name w:val="Heading 7 Char"/>
    <w:aliases w:val="Note Char"/>
    <w:basedOn w:val="DefaultParagraphFont"/>
    <w:link w:val="Heading7"/>
    <w:rsid w:val="00B8033A"/>
    <w:rPr>
      <w:rFonts w:ascii="Arial" w:eastAsia="Times New Roman" w:hAnsi="Arial" w:cs="Times New Roman"/>
      <w:sz w:val="24"/>
      <w:szCs w:val="20"/>
      <w:lang w:val="en-US"/>
    </w:rPr>
  </w:style>
  <w:style w:type="character" w:customStyle="1" w:styleId="Heading8Char">
    <w:name w:val="Heading 8 Char"/>
    <w:aliases w:val="Discussion Char,Refcard1 Char,Refcard11 Char,Refcard12 Char,Refcard13 Char,Refcard14 Char,Refcard15 Char,Refcard16 Char,Refcard17 Char"/>
    <w:basedOn w:val="DefaultParagraphFont"/>
    <w:link w:val="Heading8"/>
    <w:rsid w:val="00B8033A"/>
    <w:rPr>
      <w:rFonts w:ascii="Arial" w:eastAsia="Times New Roman" w:hAnsi="Arial" w:cs="Times New Roman"/>
      <w:i/>
      <w:sz w:val="24"/>
      <w:szCs w:val="20"/>
      <w:lang w:val="en-US"/>
    </w:rPr>
  </w:style>
  <w:style w:type="character" w:customStyle="1" w:styleId="Heading9Char">
    <w:name w:val="Heading 9 Char"/>
    <w:basedOn w:val="DefaultParagraphFont"/>
    <w:link w:val="Heading9"/>
    <w:rsid w:val="00B8033A"/>
    <w:rPr>
      <w:rFonts w:ascii="Arial" w:eastAsia="Times New Roman" w:hAnsi="Arial" w:cs="Times New Roman"/>
      <w:b/>
      <w:i/>
      <w:sz w:val="18"/>
      <w:szCs w:val="20"/>
      <w:lang w:val="en-US"/>
    </w:rPr>
  </w:style>
  <w:style w:type="paragraph" w:customStyle="1" w:styleId="subpar">
    <w:name w:val="subpar"/>
    <w:basedOn w:val="BodyTextIndent3"/>
    <w:rsid w:val="00B8033A"/>
    <w:pPr>
      <w:tabs>
        <w:tab w:val="num" w:pos="720"/>
      </w:tabs>
      <w:spacing w:before="120"/>
      <w:ind w:left="720" w:hanging="720"/>
      <w:jc w:val="both"/>
      <w:outlineLvl w:val="2"/>
    </w:pPr>
    <w:rPr>
      <w:sz w:val="24"/>
      <w:szCs w:val="20"/>
    </w:rPr>
  </w:style>
  <w:style w:type="paragraph" w:customStyle="1" w:styleId="SubSubPar">
    <w:name w:val="SubSubPar"/>
    <w:basedOn w:val="subpar"/>
    <w:rsid w:val="00B8033A"/>
    <w:pPr>
      <w:tabs>
        <w:tab w:val="left" w:pos="0"/>
        <w:tab w:val="num" w:pos="360"/>
      </w:tabs>
    </w:pPr>
  </w:style>
  <w:style w:type="paragraph" w:styleId="BodyTextIndent3">
    <w:name w:val="Body Text Indent 3"/>
    <w:basedOn w:val="Normal"/>
    <w:link w:val="BodyTextIndent3Char"/>
    <w:uiPriority w:val="99"/>
    <w:semiHidden/>
    <w:unhideWhenUsed/>
    <w:rsid w:val="00B8033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8033A"/>
    <w:rPr>
      <w:rFonts w:ascii="Times New Roman" w:eastAsia="Times New Roman" w:hAnsi="Times New Roman" w:cs="Times New Roman"/>
      <w:sz w:val="16"/>
      <w:szCs w:val="16"/>
    </w:rPr>
  </w:style>
  <w:style w:type="character" w:customStyle="1" w:styleId="Heading1Char">
    <w:name w:val="Heading 1 Char"/>
    <w:basedOn w:val="DefaultParagraphFont"/>
    <w:link w:val="Heading1"/>
    <w:uiPriority w:val="9"/>
    <w:rsid w:val="00FC565F"/>
    <w:rPr>
      <w:rFonts w:ascii="Times New Roman" w:eastAsiaTheme="majorEastAsia" w:hAnsi="Times New Roman" w:cs="Times New Roman"/>
      <w:b/>
      <w:bCs/>
      <w:sz w:val="28"/>
      <w:szCs w:val="28"/>
    </w:rPr>
  </w:style>
  <w:style w:type="character" w:customStyle="1" w:styleId="Heading2Char">
    <w:name w:val="Heading 2 Char"/>
    <w:basedOn w:val="DefaultParagraphFont"/>
    <w:link w:val="Heading2"/>
    <w:uiPriority w:val="9"/>
    <w:rsid w:val="00AB1224"/>
    <w:rPr>
      <w:rFonts w:ascii="Times New Roman" w:eastAsia="Times New Roman" w:hAnsi="Times New Roman" w:cs="Times New Roman"/>
      <w:b/>
      <w:sz w:val="24"/>
      <w:szCs w:val="20"/>
    </w:rPr>
  </w:style>
  <w:style w:type="paragraph" w:customStyle="1" w:styleId="Default">
    <w:name w:val="Default"/>
    <w:rsid w:val="005D6FE7"/>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textonormal">
    <w:name w:val="texto_normal"/>
    <w:basedOn w:val="DefaultParagraphFont"/>
    <w:rsid w:val="00D2191F"/>
  </w:style>
  <w:style w:type="character" w:customStyle="1" w:styleId="textoblanco">
    <w:name w:val="texto_blanco"/>
    <w:basedOn w:val="DefaultParagraphFont"/>
    <w:rsid w:val="00D2191F"/>
  </w:style>
  <w:style w:type="paragraph" w:styleId="Subtitle">
    <w:name w:val="Subtitle"/>
    <w:basedOn w:val="Normal"/>
    <w:next w:val="Normal"/>
    <w:link w:val="SubtitleChar"/>
    <w:uiPriority w:val="11"/>
    <w:qFormat/>
    <w:rsid w:val="00EA5072"/>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EA5072"/>
    <w:rPr>
      <w:rFonts w:asciiTheme="majorHAnsi" w:eastAsiaTheme="majorEastAsia" w:hAnsiTheme="majorHAnsi" w:cstheme="majorBidi"/>
      <w:i/>
      <w:iCs/>
      <w:color w:val="4F81BD" w:themeColor="accent1"/>
      <w:spacing w:val="15"/>
      <w:sz w:val="24"/>
      <w:szCs w:val="24"/>
    </w:rPr>
  </w:style>
  <w:style w:type="character" w:styleId="Hyperlink">
    <w:name w:val="Hyperlink"/>
    <w:basedOn w:val="DefaultParagraphFont"/>
    <w:uiPriority w:val="99"/>
    <w:unhideWhenUsed/>
    <w:rsid w:val="006D57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702037">
      <w:bodyDiv w:val="1"/>
      <w:marLeft w:val="0"/>
      <w:marRight w:val="0"/>
      <w:marTop w:val="0"/>
      <w:marBottom w:val="0"/>
      <w:divBdr>
        <w:top w:val="none" w:sz="0" w:space="0" w:color="auto"/>
        <w:left w:val="none" w:sz="0" w:space="0" w:color="auto"/>
        <w:bottom w:val="none" w:sz="0" w:space="0" w:color="auto"/>
        <w:right w:val="none" w:sz="0" w:space="0" w:color="auto"/>
      </w:divBdr>
    </w:div>
    <w:div w:id="61953267">
      <w:bodyDiv w:val="1"/>
      <w:marLeft w:val="0"/>
      <w:marRight w:val="0"/>
      <w:marTop w:val="0"/>
      <w:marBottom w:val="0"/>
      <w:divBdr>
        <w:top w:val="none" w:sz="0" w:space="0" w:color="auto"/>
        <w:left w:val="none" w:sz="0" w:space="0" w:color="auto"/>
        <w:bottom w:val="none" w:sz="0" w:space="0" w:color="auto"/>
        <w:right w:val="none" w:sz="0" w:space="0" w:color="auto"/>
      </w:divBdr>
    </w:div>
    <w:div w:id="97607178">
      <w:bodyDiv w:val="1"/>
      <w:marLeft w:val="0"/>
      <w:marRight w:val="0"/>
      <w:marTop w:val="0"/>
      <w:marBottom w:val="0"/>
      <w:divBdr>
        <w:top w:val="none" w:sz="0" w:space="0" w:color="auto"/>
        <w:left w:val="none" w:sz="0" w:space="0" w:color="auto"/>
        <w:bottom w:val="none" w:sz="0" w:space="0" w:color="auto"/>
        <w:right w:val="none" w:sz="0" w:space="0" w:color="auto"/>
      </w:divBdr>
    </w:div>
    <w:div w:id="150995781">
      <w:bodyDiv w:val="1"/>
      <w:marLeft w:val="0"/>
      <w:marRight w:val="0"/>
      <w:marTop w:val="0"/>
      <w:marBottom w:val="0"/>
      <w:divBdr>
        <w:top w:val="none" w:sz="0" w:space="0" w:color="auto"/>
        <w:left w:val="none" w:sz="0" w:space="0" w:color="auto"/>
        <w:bottom w:val="none" w:sz="0" w:space="0" w:color="auto"/>
        <w:right w:val="none" w:sz="0" w:space="0" w:color="auto"/>
      </w:divBdr>
    </w:div>
    <w:div w:id="235239770">
      <w:bodyDiv w:val="1"/>
      <w:marLeft w:val="0"/>
      <w:marRight w:val="0"/>
      <w:marTop w:val="0"/>
      <w:marBottom w:val="0"/>
      <w:divBdr>
        <w:top w:val="none" w:sz="0" w:space="0" w:color="auto"/>
        <w:left w:val="none" w:sz="0" w:space="0" w:color="auto"/>
        <w:bottom w:val="none" w:sz="0" w:space="0" w:color="auto"/>
        <w:right w:val="none" w:sz="0" w:space="0" w:color="auto"/>
      </w:divBdr>
    </w:div>
    <w:div w:id="278535797">
      <w:bodyDiv w:val="1"/>
      <w:marLeft w:val="0"/>
      <w:marRight w:val="0"/>
      <w:marTop w:val="0"/>
      <w:marBottom w:val="0"/>
      <w:divBdr>
        <w:top w:val="none" w:sz="0" w:space="0" w:color="auto"/>
        <w:left w:val="none" w:sz="0" w:space="0" w:color="auto"/>
        <w:bottom w:val="none" w:sz="0" w:space="0" w:color="auto"/>
        <w:right w:val="none" w:sz="0" w:space="0" w:color="auto"/>
      </w:divBdr>
    </w:div>
    <w:div w:id="306664435">
      <w:bodyDiv w:val="1"/>
      <w:marLeft w:val="0"/>
      <w:marRight w:val="0"/>
      <w:marTop w:val="0"/>
      <w:marBottom w:val="0"/>
      <w:divBdr>
        <w:top w:val="none" w:sz="0" w:space="0" w:color="auto"/>
        <w:left w:val="none" w:sz="0" w:space="0" w:color="auto"/>
        <w:bottom w:val="none" w:sz="0" w:space="0" w:color="auto"/>
        <w:right w:val="none" w:sz="0" w:space="0" w:color="auto"/>
      </w:divBdr>
    </w:div>
    <w:div w:id="374895970">
      <w:bodyDiv w:val="1"/>
      <w:marLeft w:val="0"/>
      <w:marRight w:val="0"/>
      <w:marTop w:val="0"/>
      <w:marBottom w:val="0"/>
      <w:divBdr>
        <w:top w:val="none" w:sz="0" w:space="0" w:color="auto"/>
        <w:left w:val="none" w:sz="0" w:space="0" w:color="auto"/>
        <w:bottom w:val="none" w:sz="0" w:space="0" w:color="auto"/>
        <w:right w:val="none" w:sz="0" w:space="0" w:color="auto"/>
      </w:divBdr>
    </w:div>
    <w:div w:id="390466421">
      <w:bodyDiv w:val="1"/>
      <w:marLeft w:val="0"/>
      <w:marRight w:val="0"/>
      <w:marTop w:val="0"/>
      <w:marBottom w:val="0"/>
      <w:divBdr>
        <w:top w:val="none" w:sz="0" w:space="0" w:color="auto"/>
        <w:left w:val="none" w:sz="0" w:space="0" w:color="auto"/>
        <w:bottom w:val="none" w:sz="0" w:space="0" w:color="auto"/>
        <w:right w:val="none" w:sz="0" w:space="0" w:color="auto"/>
      </w:divBdr>
    </w:div>
    <w:div w:id="418722176">
      <w:bodyDiv w:val="1"/>
      <w:marLeft w:val="0"/>
      <w:marRight w:val="0"/>
      <w:marTop w:val="0"/>
      <w:marBottom w:val="0"/>
      <w:divBdr>
        <w:top w:val="none" w:sz="0" w:space="0" w:color="auto"/>
        <w:left w:val="none" w:sz="0" w:space="0" w:color="auto"/>
        <w:bottom w:val="none" w:sz="0" w:space="0" w:color="auto"/>
        <w:right w:val="none" w:sz="0" w:space="0" w:color="auto"/>
      </w:divBdr>
    </w:div>
    <w:div w:id="425198333">
      <w:bodyDiv w:val="1"/>
      <w:marLeft w:val="0"/>
      <w:marRight w:val="0"/>
      <w:marTop w:val="0"/>
      <w:marBottom w:val="0"/>
      <w:divBdr>
        <w:top w:val="none" w:sz="0" w:space="0" w:color="auto"/>
        <w:left w:val="none" w:sz="0" w:space="0" w:color="auto"/>
        <w:bottom w:val="none" w:sz="0" w:space="0" w:color="auto"/>
        <w:right w:val="none" w:sz="0" w:space="0" w:color="auto"/>
      </w:divBdr>
    </w:div>
    <w:div w:id="454719044">
      <w:bodyDiv w:val="1"/>
      <w:marLeft w:val="0"/>
      <w:marRight w:val="0"/>
      <w:marTop w:val="0"/>
      <w:marBottom w:val="0"/>
      <w:divBdr>
        <w:top w:val="none" w:sz="0" w:space="0" w:color="auto"/>
        <w:left w:val="none" w:sz="0" w:space="0" w:color="auto"/>
        <w:bottom w:val="none" w:sz="0" w:space="0" w:color="auto"/>
        <w:right w:val="none" w:sz="0" w:space="0" w:color="auto"/>
      </w:divBdr>
    </w:div>
    <w:div w:id="509488116">
      <w:bodyDiv w:val="1"/>
      <w:marLeft w:val="0"/>
      <w:marRight w:val="0"/>
      <w:marTop w:val="0"/>
      <w:marBottom w:val="0"/>
      <w:divBdr>
        <w:top w:val="none" w:sz="0" w:space="0" w:color="auto"/>
        <w:left w:val="none" w:sz="0" w:space="0" w:color="auto"/>
        <w:bottom w:val="none" w:sz="0" w:space="0" w:color="auto"/>
        <w:right w:val="none" w:sz="0" w:space="0" w:color="auto"/>
      </w:divBdr>
    </w:div>
    <w:div w:id="543099042">
      <w:bodyDiv w:val="1"/>
      <w:marLeft w:val="0"/>
      <w:marRight w:val="0"/>
      <w:marTop w:val="0"/>
      <w:marBottom w:val="0"/>
      <w:divBdr>
        <w:top w:val="none" w:sz="0" w:space="0" w:color="auto"/>
        <w:left w:val="none" w:sz="0" w:space="0" w:color="auto"/>
        <w:bottom w:val="none" w:sz="0" w:space="0" w:color="auto"/>
        <w:right w:val="none" w:sz="0" w:space="0" w:color="auto"/>
      </w:divBdr>
    </w:div>
    <w:div w:id="546532897">
      <w:bodyDiv w:val="1"/>
      <w:marLeft w:val="0"/>
      <w:marRight w:val="0"/>
      <w:marTop w:val="0"/>
      <w:marBottom w:val="0"/>
      <w:divBdr>
        <w:top w:val="none" w:sz="0" w:space="0" w:color="auto"/>
        <w:left w:val="none" w:sz="0" w:space="0" w:color="auto"/>
        <w:bottom w:val="none" w:sz="0" w:space="0" w:color="auto"/>
        <w:right w:val="none" w:sz="0" w:space="0" w:color="auto"/>
      </w:divBdr>
    </w:div>
    <w:div w:id="575089527">
      <w:bodyDiv w:val="1"/>
      <w:marLeft w:val="0"/>
      <w:marRight w:val="0"/>
      <w:marTop w:val="0"/>
      <w:marBottom w:val="0"/>
      <w:divBdr>
        <w:top w:val="none" w:sz="0" w:space="0" w:color="auto"/>
        <w:left w:val="none" w:sz="0" w:space="0" w:color="auto"/>
        <w:bottom w:val="none" w:sz="0" w:space="0" w:color="auto"/>
        <w:right w:val="none" w:sz="0" w:space="0" w:color="auto"/>
      </w:divBdr>
    </w:div>
    <w:div w:id="600534405">
      <w:bodyDiv w:val="1"/>
      <w:marLeft w:val="0"/>
      <w:marRight w:val="0"/>
      <w:marTop w:val="0"/>
      <w:marBottom w:val="0"/>
      <w:divBdr>
        <w:top w:val="none" w:sz="0" w:space="0" w:color="auto"/>
        <w:left w:val="none" w:sz="0" w:space="0" w:color="auto"/>
        <w:bottom w:val="none" w:sz="0" w:space="0" w:color="auto"/>
        <w:right w:val="none" w:sz="0" w:space="0" w:color="auto"/>
      </w:divBdr>
    </w:div>
    <w:div w:id="608243619">
      <w:bodyDiv w:val="1"/>
      <w:marLeft w:val="0"/>
      <w:marRight w:val="0"/>
      <w:marTop w:val="0"/>
      <w:marBottom w:val="0"/>
      <w:divBdr>
        <w:top w:val="none" w:sz="0" w:space="0" w:color="auto"/>
        <w:left w:val="none" w:sz="0" w:space="0" w:color="auto"/>
        <w:bottom w:val="none" w:sz="0" w:space="0" w:color="auto"/>
        <w:right w:val="none" w:sz="0" w:space="0" w:color="auto"/>
      </w:divBdr>
    </w:div>
    <w:div w:id="624972808">
      <w:bodyDiv w:val="1"/>
      <w:marLeft w:val="0"/>
      <w:marRight w:val="0"/>
      <w:marTop w:val="0"/>
      <w:marBottom w:val="0"/>
      <w:divBdr>
        <w:top w:val="none" w:sz="0" w:space="0" w:color="auto"/>
        <w:left w:val="none" w:sz="0" w:space="0" w:color="auto"/>
        <w:bottom w:val="none" w:sz="0" w:space="0" w:color="auto"/>
        <w:right w:val="none" w:sz="0" w:space="0" w:color="auto"/>
      </w:divBdr>
    </w:div>
    <w:div w:id="644698140">
      <w:bodyDiv w:val="1"/>
      <w:marLeft w:val="0"/>
      <w:marRight w:val="0"/>
      <w:marTop w:val="0"/>
      <w:marBottom w:val="0"/>
      <w:divBdr>
        <w:top w:val="none" w:sz="0" w:space="0" w:color="auto"/>
        <w:left w:val="none" w:sz="0" w:space="0" w:color="auto"/>
        <w:bottom w:val="none" w:sz="0" w:space="0" w:color="auto"/>
        <w:right w:val="none" w:sz="0" w:space="0" w:color="auto"/>
      </w:divBdr>
    </w:div>
    <w:div w:id="657074106">
      <w:bodyDiv w:val="1"/>
      <w:marLeft w:val="0"/>
      <w:marRight w:val="0"/>
      <w:marTop w:val="0"/>
      <w:marBottom w:val="0"/>
      <w:divBdr>
        <w:top w:val="none" w:sz="0" w:space="0" w:color="auto"/>
        <w:left w:val="none" w:sz="0" w:space="0" w:color="auto"/>
        <w:bottom w:val="none" w:sz="0" w:space="0" w:color="auto"/>
        <w:right w:val="none" w:sz="0" w:space="0" w:color="auto"/>
      </w:divBdr>
    </w:div>
    <w:div w:id="731200598">
      <w:bodyDiv w:val="1"/>
      <w:marLeft w:val="0"/>
      <w:marRight w:val="0"/>
      <w:marTop w:val="0"/>
      <w:marBottom w:val="0"/>
      <w:divBdr>
        <w:top w:val="none" w:sz="0" w:space="0" w:color="auto"/>
        <w:left w:val="none" w:sz="0" w:space="0" w:color="auto"/>
        <w:bottom w:val="none" w:sz="0" w:space="0" w:color="auto"/>
        <w:right w:val="none" w:sz="0" w:space="0" w:color="auto"/>
      </w:divBdr>
    </w:div>
    <w:div w:id="762645975">
      <w:bodyDiv w:val="1"/>
      <w:marLeft w:val="0"/>
      <w:marRight w:val="0"/>
      <w:marTop w:val="0"/>
      <w:marBottom w:val="0"/>
      <w:divBdr>
        <w:top w:val="none" w:sz="0" w:space="0" w:color="auto"/>
        <w:left w:val="none" w:sz="0" w:space="0" w:color="auto"/>
        <w:bottom w:val="none" w:sz="0" w:space="0" w:color="auto"/>
        <w:right w:val="none" w:sz="0" w:space="0" w:color="auto"/>
      </w:divBdr>
    </w:div>
    <w:div w:id="762795762">
      <w:bodyDiv w:val="1"/>
      <w:marLeft w:val="0"/>
      <w:marRight w:val="0"/>
      <w:marTop w:val="0"/>
      <w:marBottom w:val="0"/>
      <w:divBdr>
        <w:top w:val="none" w:sz="0" w:space="0" w:color="auto"/>
        <w:left w:val="none" w:sz="0" w:space="0" w:color="auto"/>
        <w:bottom w:val="none" w:sz="0" w:space="0" w:color="auto"/>
        <w:right w:val="none" w:sz="0" w:space="0" w:color="auto"/>
      </w:divBdr>
    </w:div>
    <w:div w:id="832523979">
      <w:bodyDiv w:val="1"/>
      <w:marLeft w:val="0"/>
      <w:marRight w:val="0"/>
      <w:marTop w:val="0"/>
      <w:marBottom w:val="0"/>
      <w:divBdr>
        <w:top w:val="none" w:sz="0" w:space="0" w:color="auto"/>
        <w:left w:val="none" w:sz="0" w:space="0" w:color="auto"/>
        <w:bottom w:val="none" w:sz="0" w:space="0" w:color="auto"/>
        <w:right w:val="none" w:sz="0" w:space="0" w:color="auto"/>
      </w:divBdr>
    </w:div>
    <w:div w:id="974606519">
      <w:bodyDiv w:val="1"/>
      <w:marLeft w:val="0"/>
      <w:marRight w:val="0"/>
      <w:marTop w:val="0"/>
      <w:marBottom w:val="0"/>
      <w:divBdr>
        <w:top w:val="none" w:sz="0" w:space="0" w:color="auto"/>
        <w:left w:val="none" w:sz="0" w:space="0" w:color="auto"/>
        <w:bottom w:val="none" w:sz="0" w:space="0" w:color="auto"/>
        <w:right w:val="none" w:sz="0" w:space="0" w:color="auto"/>
      </w:divBdr>
    </w:div>
    <w:div w:id="1067263338">
      <w:bodyDiv w:val="1"/>
      <w:marLeft w:val="0"/>
      <w:marRight w:val="0"/>
      <w:marTop w:val="0"/>
      <w:marBottom w:val="0"/>
      <w:divBdr>
        <w:top w:val="none" w:sz="0" w:space="0" w:color="auto"/>
        <w:left w:val="none" w:sz="0" w:space="0" w:color="auto"/>
        <w:bottom w:val="none" w:sz="0" w:space="0" w:color="auto"/>
        <w:right w:val="none" w:sz="0" w:space="0" w:color="auto"/>
      </w:divBdr>
    </w:div>
    <w:div w:id="1202398296">
      <w:bodyDiv w:val="1"/>
      <w:marLeft w:val="0"/>
      <w:marRight w:val="0"/>
      <w:marTop w:val="0"/>
      <w:marBottom w:val="0"/>
      <w:divBdr>
        <w:top w:val="none" w:sz="0" w:space="0" w:color="auto"/>
        <w:left w:val="none" w:sz="0" w:space="0" w:color="auto"/>
        <w:bottom w:val="none" w:sz="0" w:space="0" w:color="auto"/>
        <w:right w:val="none" w:sz="0" w:space="0" w:color="auto"/>
      </w:divBdr>
    </w:div>
    <w:div w:id="1225143709">
      <w:bodyDiv w:val="1"/>
      <w:marLeft w:val="0"/>
      <w:marRight w:val="0"/>
      <w:marTop w:val="0"/>
      <w:marBottom w:val="0"/>
      <w:divBdr>
        <w:top w:val="none" w:sz="0" w:space="0" w:color="auto"/>
        <w:left w:val="none" w:sz="0" w:space="0" w:color="auto"/>
        <w:bottom w:val="none" w:sz="0" w:space="0" w:color="auto"/>
        <w:right w:val="none" w:sz="0" w:space="0" w:color="auto"/>
      </w:divBdr>
    </w:div>
    <w:div w:id="1259563902">
      <w:bodyDiv w:val="1"/>
      <w:marLeft w:val="0"/>
      <w:marRight w:val="0"/>
      <w:marTop w:val="0"/>
      <w:marBottom w:val="0"/>
      <w:divBdr>
        <w:top w:val="none" w:sz="0" w:space="0" w:color="auto"/>
        <w:left w:val="none" w:sz="0" w:space="0" w:color="auto"/>
        <w:bottom w:val="none" w:sz="0" w:space="0" w:color="auto"/>
        <w:right w:val="none" w:sz="0" w:space="0" w:color="auto"/>
      </w:divBdr>
    </w:div>
    <w:div w:id="1318993862">
      <w:bodyDiv w:val="1"/>
      <w:marLeft w:val="0"/>
      <w:marRight w:val="0"/>
      <w:marTop w:val="0"/>
      <w:marBottom w:val="0"/>
      <w:divBdr>
        <w:top w:val="none" w:sz="0" w:space="0" w:color="auto"/>
        <w:left w:val="none" w:sz="0" w:space="0" w:color="auto"/>
        <w:bottom w:val="none" w:sz="0" w:space="0" w:color="auto"/>
        <w:right w:val="none" w:sz="0" w:space="0" w:color="auto"/>
      </w:divBdr>
    </w:div>
    <w:div w:id="1425108190">
      <w:bodyDiv w:val="1"/>
      <w:marLeft w:val="0"/>
      <w:marRight w:val="0"/>
      <w:marTop w:val="0"/>
      <w:marBottom w:val="0"/>
      <w:divBdr>
        <w:top w:val="none" w:sz="0" w:space="0" w:color="auto"/>
        <w:left w:val="none" w:sz="0" w:space="0" w:color="auto"/>
        <w:bottom w:val="none" w:sz="0" w:space="0" w:color="auto"/>
        <w:right w:val="none" w:sz="0" w:space="0" w:color="auto"/>
      </w:divBdr>
    </w:div>
    <w:div w:id="1471753134">
      <w:bodyDiv w:val="1"/>
      <w:marLeft w:val="0"/>
      <w:marRight w:val="0"/>
      <w:marTop w:val="0"/>
      <w:marBottom w:val="0"/>
      <w:divBdr>
        <w:top w:val="none" w:sz="0" w:space="0" w:color="auto"/>
        <w:left w:val="none" w:sz="0" w:space="0" w:color="auto"/>
        <w:bottom w:val="none" w:sz="0" w:space="0" w:color="auto"/>
        <w:right w:val="none" w:sz="0" w:space="0" w:color="auto"/>
      </w:divBdr>
    </w:div>
    <w:div w:id="1490754947">
      <w:bodyDiv w:val="1"/>
      <w:marLeft w:val="0"/>
      <w:marRight w:val="0"/>
      <w:marTop w:val="0"/>
      <w:marBottom w:val="0"/>
      <w:divBdr>
        <w:top w:val="none" w:sz="0" w:space="0" w:color="auto"/>
        <w:left w:val="none" w:sz="0" w:space="0" w:color="auto"/>
        <w:bottom w:val="none" w:sz="0" w:space="0" w:color="auto"/>
        <w:right w:val="none" w:sz="0" w:space="0" w:color="auto"/>
      </w:divBdr>
    </w:div>
    <w:div w:id="1506626616">
      <w:bodyDiv w:val="1"/>
      <w:marLeft w:val="0"/>
      <w:marRight w:val="0"/>
      <w:marTop w:val="0"/>
      <w:marBottom w:val="0"/>
      <w:divBdr>
        <w:top w:val="none" w:sz="0" w:space="0" w:color="auto"/>
        <w:left w:val="none" w:sz="0" w:space="0" w:color="auto"/>
        <w:bottom w:val="none" w:sz="0" w:space="0" w:color="auto"/>
        <w:right w:val="none" w:sz="0" w:space="0" w:color="auto"/>
      </w:divBdr>
    </w:div>
    <w:div w:id="1514420424">
      <w:bodyDiv w:val="1"/>
      <w:marLeft w:val="0"/>
      <w:marRight w:val="0"/>
      <w:marTop w:val="0"/>
      <w:marBottom w:val="0"/>
      <w:divBdr>
        <w:top w:val="none" w:sz="0" w:space="0" w:color="auto"/>
        <w:left w:val="none" w:sz="0" w:space="0" w:color="auto"/>
        <w:bottom w:val="none" w:sz="0" w:space="0" w:color="auto"/>
        <w:right w:val="none" w:sz="0" w:space="0" w:color="auto"/>
      </w:divBdr>
    </w:div>
    <w:div w:id="1567915062">
      <w:bodyDiv w:val="1"/>
      <w:marLeft w:val="0"/>
      <w:marRight w:val="0"/>
      <w:marTop w:val="0"/>
      <w:marBottom w:val="0"/>
      <w:divBdr>
        <w:top w:val="none" w:sz="0" w:space="0" w:color="auto"/>
        <w:left w:val="none" w:sz="0" w:space="0" w:color="auto"/>
        <w:bottom w:val="none" w:sz="0" w:space="0" w:color="auto"/>
        <w:right w:val="none" w:sz="0" w:space="0" w:color="auto"/>
      </w:divBdr>
    </w:div>
    <w:div w:id="1580864028">
      <w:bodyDiv w:val="1"/>
      <w:marLeft w:val="0"/>
      <w:marRight w:val="0"/>
      <w:marTop w:val="0"/>
      <w:marBottom w:val="0"/>
      <w:divBdr>
        <w:top w:val="none" w:sz="0" w:space="0" w:color="auto"/>
        <w:left w:val="none" w:sz="0" w:space="0" w:color="auto"/>
        <w:bottom w:val="none" w:sz="0" w:space="0" w:color="auto"/>
        <w:right w:val="none" w:sz="0" w:space="0" w:color="auto"/>
      </w:divBdr>
    </w:div>
    <w:div w:id="1691683836">
      <w:bodyDiv w:val="1"/>
      <w:marLeft w:val="0"/>
      <w:marRight w:val="0"/>
      <w:marTop w:val="0"/>
      <w:marBottom w:val="0"/>
      <w:divBdr>
        <w:top w:val="none" w:sz="0" w:space="0" w:color="auto"/>
        <w:left w:val="none" w:sz="0" w:space="0" w:color="auto"/>
        <w:bottom w:val="none" w:sz="0" w:space="0" w:color="auto"/>
        <w:right w:val="none" w:sz="0" w:space="0" w:color="auto"/>
      </w:divBdr>
    </w:div>
    <w:div w:id="1729111689">
      <w:bodyDiv w:val="1"/>
      <w:marLeft w:val="0"/>
      <w:marRight w:val="0"/>
      <w:marTop w:val="0"/>
      <w:marBottom w:val="0"/>
      <w:divBdr>
        <w:top w:val="none" w:sz="0" w:space="0" w:color="auto"/>
        <w:left w:val="none" w:sz="0" w:space="0" w:color="auto"/>
        <w:bottom w:val="none" w:sz="0" w:space="0" w:color="auto"/>
        <w:right w:val="none" w:sz="0" w:space="0" w:color="auto"/>
      </w:divBdr>
    </w:div>
    <w:div w:id="1732190120">
      <w:bodyDiv w:val="1"/>
      <w:marLeft w:val="0"/>
      <w:marRight w:val="0"/>
      <w:marTop w:val="0"/>
      <w:marBottom w:val="0"/>
      <w:divBdr>
        <w:top w:val="none" w:sz="0" w:space="0" w:color="auto"/>
        <w:left w:val="none" w:sz="0" w:space="0" w:color="auto"/>
        <w:bottom w:val="none" w:sz="0" w:space="0" w:color="auto"/>
        <w:right w:val="none" w:sz="0" w:space="0" w:color="auto"/>
      </w:divBdr>
    </w:div>
    <w:div w:id="1777942021">
      <w:bodyDiv w:val="1"/>
      <w:marLeft w:val="0"/>
      <w:marRight w:val="0"/>
      <w:marTop w:val="0"/>
      <w:marBottom w:val="0"/>
      <w:divBdr>
        <w:top w:val="none" w:sz="0" w:space="0" w:color="auto"/>
        <w:left w:val="none" w:sz="0" w:space="0" w:color="auto"/>
        <w:bottom w:val="none" w:sz="0" w:space="0" w:color="auto"/>
        <w:right w:val="none" w:sz="0" w:space="0" w:color="auto"/>
      </w:divBdr>
    </w:div>
    <w:div w:id="1783257470">
      <w:bodyDiv w:val="1"/>
      <w:marLeft w:val="0"/>
      <w:marRight w:val="0"/>
      <w:marTop w:val="0"/>
      <w:marBottom w:val="0"/>
      <w:divBdr>
        <w:top w:val="none" w:sz="0" w:space="0" w:color="auto"/>
        <w:left w:val="none" w:sz="0" w:space="0" w:color="auto"/>
        <w:bottom w:val="none" w:sz="0" w:space="0" w:color="auto"/>
        <w:right w:val="none" w:sz="0" w:space="0" w:color="auto"/>
      </w:divBdr>
    </w:div>
    <w:div w:id="1783722981">
      <w:bodyDiv w:val="1"/>
      <w:marLeft w:val="0"/>
      <w:marRight w:val="0"/>
      <w:marTop w:val="0"/>
      <w:marBottom w:val="0"/>
      <w:divBdr>
        <w:top w:val="none" w:sz="0" w:space="0" w:color="auto"/>
        <w:left w:val="none" w:sz="0" w:space="0" w:color="auto"/>
        <w:bottom w:val="none" w:sz="0" w:space="0" w:color="auto"/>
        <w:right w:val="none" w:sz="0" w:space="0" w:color="auto"/>
      </w:divBdr>
    </w:div>
    <w:div w:id="1846439175">
      <w:bodyDiv w:val="1"/>
      <w:marLeft w:val="0"/>
      <w:marRight w:val="0"/>
      <w:marTop w:val="0"/>
      <w:marBottom w:val="0"/>
      <w:divBdr>
        <w:top w:val="none" w:sz="0" w:space="0" w:color="auto"/>
        <w:left w:val="none" w:sz="0" w:space="0" w:color="auto"/>
        <w:bottom w:val="none" w:sz="0" w:space="0" w:color="auto"/>
        <w:right w:val="none" w:sz="0" w:space="0" w:color="auto"/>
      </w:divBdr>
    </w:div>
    <w:div w:id="1882012686">
      <w:bodyDiv w:val="1"/>
      <w:marLeft w:val="0"/>
      <w:marRight w:val="0"/>
      <w:marTop w:val="0"/>
      <w:marBottom w:val="0"/>
      <w:divBdr>
        <w:top w:val="none" w:sz="0" w:space="0" w:color="auto"/>
        <w:left w:val="none" w:sz="0" w:space="0" w:color="auto"/>
        <w:bottom w:val="none" w:sz="0" w:space="0" w:color="auto"/>
        <w:right w:val="none" w:sz="0" w:space="0" w:color="auto"/>
      </w:divBdr>
    </w:div>
    <w:div w:id="1990593167">
      <w:bodyDiv w:val="1"/>
      <w:marLeft w:val="0"/>
      <w:marRight w:val="0"/>
      <w:marTop w:val="0"/>
      <w:marBottom w:val="0"/>
      <w:divBdr>
        <w:top w:val="none" w:sz="0" w:space="0" w:color="auto"/>
        <w:left w:val="none" w:sz="0" w:space="0" w:color="auto"/>
        <w:bottom w:val="none" w:sz="0" w:space="0" w:color="auto"/>
        <w:right w:val="none" w:sz="0" w:space="0" w:color="auto"/>
      </w:divBdr>
    </w:div>
    <w:div w:id="2000844000">
      <w:bodyDiv w:val="1"/>
      <w:marLeft w:val="0"/>
      <w:marRight w:val="0"/>
      <w:marTop w:val="0"/>
      <w:marBottom w:val="0"/>
      <w:divBdr>
        <w:top w:val="none" w:sz="0" w:space="0" w:color="auto"/>
        <w:left w:val="none" w:sz="0" w:space="0" w:color="auto"/>
        <w:bottom w:val="none" w:sz="0" w:space="0" w:color="auto"/>
        <w:right w:val="none" w:sz="0" w:space="0" w:color="auto"/>
      </w:divBdr>
    </w:div>
    <w:div w:id="2026050350">
      <w:bodyDiv w:val="1"/>
      <w:marLeft w:val="0"/>
      <w:marRight w:val="0"/>
      <w:marTop w:val="0"/>
      <w:marBottom w:val="0"/>
      <w:divBdr>
        <w:top w:val="none" w:sz="0" w:space="0" w:color="auto"/>
        <w:left w:val="none" w:sz="0" w:space="0" w:color="auto"/>
        <w:bottom w:val="none" w:sz="0" w:space="0" w:color="auto"/>
        <w:right w:val="none" w:sz="0" w:space="0" w:color="auto"/>
      </w:divBdr>
    </w:div>
    <w:div w:id="20904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customXml" Target="../customXml/item5.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ustomXml" Target="../customXml/item3.xml"/><Relationship Id="rId1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customXml" Target="../customXml/item6.xml"/><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hyperlink" Target="http://www.bcp.gov.py" TargetMode="External"/><Relationship Id="rId10" Type="http://schemas.openxmlformats.org/officeDocument/2006/relationships/footer" Target="footer2.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customXml" Target="../customXml/item2.xml"/><Relationship Id="rId65" Type="http://schemas.openxmlformats.org/officeDocument/2006/relationships/customXml" Target="../customXml/item7.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3.png"/><Relationship Id="rId39"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pe:Receivers xmlns:spe="http://schemas.microsoft.com/sharepoint/event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BCF8896E1841C842949D0F901AA0D771" ma:contentTypeVersion="6" ma:contentTypeDescription="A content type to manage public (operations) IDB documents" ma:contentTypeScope="" ma:versionID="0102ec3d50b4e7ef566a89942b7337f4">
  <xsd:schema xmlns:xsd="http://www.w3.org/2001/XMLSchema" xmlns:xs="http://www.w3.org/2001/XMLSchema" xmlns:p="http://schemas.microsoft.com/office/2006/metadata/properties" xmlns:ns2="cdc7663a-08f0-4737-9e8c-148ce897a09c" targetNamespace="http://schemas.microsoft.com/office/2006/metadata/properties" ma:root="true" ma:fieldsID="4a2b00a3559290db0aee23e76ac17fb8"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304e1e40-5c2d-4772-8def-99c6b9ea1318}" ma:internalName="TaxCatchAll" ma:showField="CatchAllData" ma:web="233f10b4-5a4f-4cf6-afe0-2b7183415a0c">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304e1e40-5c2d-4772-8def-99c6b9ea1318}" ma:internalName="TaxCatchAllLabel" ma:readOnly="true" ma:showField="CatchAllDataLabel" ma:web="233f10b4-5a4f-4cf6-afe0-2b7183415a0c">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element name="TaxKeywordTaxHTField" ma:index="55" nillable="true" ma:taxonomy="true" ma:internalName="TaxKeywordTaxHTField" ma:taxonomyFieldName="TaxKeyword" ma:displayName="Tags" ma:fieldId="{23f27201-bee3-471e-b2e7-b64fd8b7ca38}" ma:taxonomyMulti="true" ma:sspId="ae61f9b1-e23d-4f49-b3d7-56b991556c4b"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ae61f9b1-e23d-4f49-b3d7-56b991556c4b" ContentTypeId="0x0101001A458A224826124E8B45B1D613300CFC"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Abstract xmlns="cdc7663a-08f0-4737-9e8c-148ce897a09c" xsi:nil="true"/>
    <Record_x0020_Number xmlns="cdc7663a-08f0-4737-9e8c-148ce897a09c" xsi:nil="true"/>
    <Disclosure_x0020_Activity xmlns="cdc7663a-08f0-4737-9e8c-148ce897a09c">Loan Proposal</Disclosure_x0020_Activity>
    <Region xmlns="cdc7663a-08f0-4737-9e8c-148ce897a09c" xsi:nil="true"/>
    <Division_x0020_or_x0020_Unit xmlns="cdc7663a-08f0-4737-9e8c-148ce897a09c">INE/TSP</Division_x0020_or_x0020_Unit>
    <Other_x0020_Author xmlns="cdc7663a-08f0-4737-9e8c-148ce897a09c" xsi:nil="true"/>
    <Key_x0020_Document xmlns="cdc7663a-08f0-4737-9e8c-148ce897a09c">false</Key_x0020_Document>
    <IDBDocs_x0020_Number xmlns="cdc7663a-08f0-4737-9e8c-148ce897a09c">39005698</IDBDocs_x0020_Number>
    <Publication_x0020_Type xmlns="cdc7663a-08f0-4737-9e8c-148ce897a09c" xsi:nil="true"/>
    <Document_x0020_Author xmlns="cdc7663a-08f0-4737-9e8c-148ce897a09c">Lenci Pousada, Vera Lucia</Document_x0020_Author>
    <Operation_x0020_Type xmlns="cdc7663a-08f0-4737-9e8c-148ce897a09c" xsi:nil="true"/>
    <TaxCatchAll xmlns="cdc7663a-08f0-4737-9e8c-148ce897a09c">
      <Value>38</Value>
      <Value>81</Value>
    </TaxCatchAll>
    <Issue_x0020_Date xmlns="cdc7663a-08f0-4737-9e8c-148ce897a09c" xsi:nil="true"/>
    <Fiscal_x0020_Year_x0020_IDB xmlns="cdc7663a-08f0-4737-9e8c-148ce897a09c">2014</Fiscal_x0020_Year_x0020_IDB>
    <TaxKeywordTaxHTField xmlns="cdc7663a-08f0-4737-9e8c-148ce897a09c">
      <Terms xmlns="http://schemas.microsoft.com/office/infopath/2007/PartnerControls"/>
    </TaxKeywordTaxHTField>
    <Project_x0020_Number xmlns="cdc7663a-08f0-4737-9e8c-148ce897a09c">N/A</Project_x0020_Number>
    <Package_x0020_Code xmlns="cdc7663a-08f0-4737-9e8c-148ce897a09c" xsi:nil="true"/>
    <Migration_x0020_Info xmlns="cdc7663a-08f0-4737-9e8c-148ce897a09c">&lt;Data&gt;&lt;APPLICATION&gt;MS WORD&lt;/APPLICATION&gt;&lt;STAGE_CODE&gt;LP&lt;/STAGE_CODE&gt;&lt;USER_STAGE&gt;Loan Proposal&lt;/USER_STAGE&gt;&lt;PD_OBJ_TYPE&gt;0&lt;/PD_OBJ_TYPE&gt;&lt;MAKERECORD&gt;N&lt;/MAKERECORD&gt;&lt;/Data&gt;</Migration_x0020_Info>
    <Approval_x0020_Number xmlns="cdc7663a-08f0-4737-9e8c-148ce897a09c" xsi:nil="true"/>
    <Business_x0020_Area xmlns="cdc7663a-08f0-4737-9e8c-148ce897a09c" xsi:nil="true"/>
    <SISCOR_x0020_Number xmlns="cdc7663a-08f0-4737-9e8c-148ce897a09c" xsi:nil="true"/>
    <Webtopic xmlns="cdc7663a-08f0-4737-9e8c-148ce897a09c">Transportation</Webtopic>
    <Publishing_x0020_House xmlns="cdc7663a-08f0-4737-9e8c-148ce897a09c" xsi:nil="true"/>
    <Identifier xmlns="cdc7663a-08f0-4737-9e8c-148ce897a09c">Virginia Navas #2457 TECFILE</Identifier>
    <Disclosed xmlns="cdc7663a-08f0-4737-9e8c-148ce897a09c">false</Disclosed>
    <KP_x0020_Topics xmlns="cdc7663a-08f0-4737-9e8c-148ce897a09c" xsi:nil="true"/>
    <Document_x0020_Language_x0020_IDB xmlns="cdc7663a-08f0-4737-9e8c-148ce897a09c">Spanish</Document_x0020_Language_x0020_IDB>
    <Phase xmlns="cdc7663a-08f0-4737-9e8c-148ce897a09c" xsi:nil="true"/>
    <Editor1 xmlns="cdc7663a-08f0-4737-9e8c-148ce897a09c" xsi:nil="true"/>
    <Access_x0020_to_x0020_Information_x00a0_Policy xmlns="cdc7663a-08f0-4737-9e8c-148ce897a09c">Confidential</Access_x0020_to_x0020_Information_x00a0_Policy>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Paraguay</TermName>
          <TermId xmlns="http://schemas.microsoft.com/office/infopath/2007/PartnerControls">50282442-27e7-4526-9d04-55bf5da33a10</TermId>
        </TermInfo>
      </Terms>
    </ic46d7e087fd4a108fb86518ca413cc6>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Related_x0020_SisCor_x0020_Number xmlns="cdc7663a-08f0-4737-9e8c-148ce897a09c" xsi:nil="true"/>
    <nddeef1749674d76abdbe4b239a70bc6 xmlns="cdc7663a-08f0-4737-9e8c-148ce897a09c">
      <Terms xmlns="http://schemas.microsoft.com/office/infopath/2007/PartnerControls"/>
    </nddeef1749674d76abdbe4b239a70bc6>
    <_dlc_DocId xmlns="cdc7663a-08f0-4737-9e8c-148ce897a09c" xsi:nil="true"/>
  </documentManagement>
</p:properties>
</file>

<file path=customXml/item7.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Props1.xml><?xml version="1.0" encoding="utf-8"?>
<ds:datastoreItem xmlns:ds="http://schemas.openxmlformats.org/officeDocument/2006/customXml" ds:itemID="{7F6E004E-1036-489A-9E39-0B0B557BA358}"/>
</file>

<file path=customXml/itemProps2.xml><?xml version="1.0" encoding="utf-8"?>
<ds:datastoreItem xmlns:ds="http://schemas.openxmlformats.org/officeDocument/2006/customXml" ds:itemID="{A81C1EDE-2CA3-421A-B592-3FCDFEDD9B8B}"/>
</file>

<file path=customXml/itemProps3.xml><?xml version="1.0" encoding="utf-8"?>
<ds:datastoreItem xmlns:ds="http://schemas.openxmlformats.org/officeDocument/2006/customXml" ds:itemID="{6AB8183D-638F-43D0-8CFA-240E14D92E38}"/>
</file>

<file path=customXml/itemProps4.xml><?xml version="1.0" encoding="utf-8"?>
<ds:datastoreItem xmlns:ds="http://schemas.openxmlformats.org/officeDocument/2006/customXml" ds:itemID="{1B1A4403-F672-410E-A9A9-964535C65F69}"/>
</file>

<file path=customXml/itemProps5.xml><?xml version="1.0" encoding="utf-8"?>
<ds:datastoreItem xmlns:ds="http://schemas.openxmlformats.org/officeDocument/2006/customXml" ds:itemID="{B567E0B0-FCFC-4F22-A632-08A4AF984F32}"/>
</file>

<file path=customXml/itemProps6.xml><?xml version="1.0" encoding="utf-8"?>
<ds:datastoreItem xmlns:ds="http://schemas.openxmlformats.org/officeDocument/2006/customXml" ds:itemID="{4AFC78BE-47D3-4192-BA5A-CE39F68BDE24}"/>
</file>

<file path=customXml/itemProps7.xml><?xml version="1.0" encoding="utf-8"?>
<ds:datastoreItem xmlns:ds="http://schemas.openxmlformats.org/officeDocument/2006/customXml" ds:itemID="{D4049453-D90C-4EA5-BC9C-71C1292609C7}"/>
</file>

<file path=docProps/app.xml><?xml version="1.0" encoding="utf-8"?>
<Properties xmlns="http://schemas.openxmlformats.org/officeDocument/2006/extended-properties" xmlns:vt="http://schemas.openxmlformats.org/officeDocument/2006/docPropsVTypes">
  <Template>Normal</Template>
  <TotalTime>0</TotalTime>
  <Pages>57</Pages>
  <Words>17301</Words>
  <Characters>95158</Characters>
  <Application>Microsoft Office Word</Application>
  <DocSecurity>0</DocSecurity>
  <Lines>792</Lines>
  <Paragraphs>224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112235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EEO_9_ Informe Gestión de Mantenimiento</dc:title>
  <dc:creator>Inter-American Development Bank</dc:creator>
  <cp:keywords/>
  <cp:lastModifiedBy>Nicolás Dei Castelli</cp:lastModifiedBy>
  <cp:revision>2</cp:revision>
  <dcterms:created xsi:type="dcterms:W3CDTF">2014-08-29T16:22:00Z</dcterms:created>
  <dcterms:modified xsi:type="dcterms:W3CDTF">2014-08-29T16:22:00Z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0x0101001A458A224826124E8B45B1D613300CFC00BCF8896E1841C842949D0F901AA0D771</vt:lpwstr>
  </property>
  <property fmtid="{D5CDD505-2E9C-101B-9397-08002B2CF9AE}" pid="5" name="Series Operations IDB">
    <vt:lpwstr/>
  </property>
  <property fmtid="{D5CDD505-2E9C-101B-9397-08002B2CF9AE}" pid="6" name="Sub-Sector">
    <vt:lpwstr/>
  </property>
  <property fmtid="{D5CDD505-2E9C-101B-9397-08002B2CF9AE}" pid="7" name="Country">
    <vt:lpwstr>38;#Paraguay|50282442-27e7-4526-9d04-55bf5da33a10</vt:lpwstr>
  </property>
  <property fmtid="{D5CDD505-2E9C-101B-9397-08002B2CF9AE}" pid="8" name="Fund IDB">
    <vt:lpwstr/>
  </property>
  <property fmtid="{D5CDD505-2E9C-101B-9397-08002B2CF9AE}" pid="9" name="Series_x0020_Operations_x0020_IDB">
    <vt:lpwstr/>
  </property>
  <property fmtid="{D5CDD505-2E9C-101B-9397-08002B2CF9AE}" pid="10" name="To:">
    <vt:lpwstr/>
  </property>
  <property fmtid="{D5CDD505-2E9C-101B-9397-08002B2CF9AE}" pid="11" name="From:">
    <vt:lpwstr/>
  </property>
  <property fmtid="{D5CDD505-2E9C-101B-9397-08002B2CF9AE}" pid="12" name="Sector IDB">
    <vt:lpwstr/>
  </property>
  <property fmtid="{D5CDD505-2E9C-101B-9397-08002B2CF9AE}" pid="13" name="Function Operations IDB">
    <vt:lpwstr>81;#IDBDocs|cca77002-e150-4b2d-ab1f-1d7a7cdcae16</vt:lpwstr>
  </property>
</Properties>
</file>