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8A" w:rsidRPr="00836EB3" w:rsidRDefault="0019618A" w:rsidP="00A87C94">
      <w:pPr>
        <w:pStyle w:val="Title"/>
        <w:tabs>
          <w:tab w:val="clear" w:pos="1440"/>
          <w:tab w:val="clear" w:pos="3060"/>
        </w:tabs>
        <w:outlineLvl w:val="9"/>
        <w:rPr>
          <w:smallCaps/>
          <w:sz w:val="28"/>
          <w:szCs w:val="28"/>
          <w:lang w:val="es-ES"/>
        </w:rPr>
      </w:pPr>
      <w:r w:rsidRPr="00836EB3">
        <w:rPr>
          <w:smallCaps/>
          <w:sz w:val="28"/>
          <w:szCs w:val="28"/>
          <w:lang w:val="es-ES"/>
        </w:rPr>
        <w:t>Banco Interamericano de Desarrollo</w:t>
      </w:r>
    </w:p>
    <w:p w:rsidR="0019618A" w:rsidRPr="00836EB3" w:rsidRDefault="0019618A" w:rsidP="00A87C94">
      <w:pPr>
        <w:pStyle w:val="ListParagraph"/>
        <w:ind w:left="0"/>
        <w:jc w:val="center"/>
        <w:rPr>
          <w:b/>
          <w:sz w:val="28"/>
          <w:szCs w:val="28"/>
          <w:lang w:val="es-ES"/>
        </w:rPr>
      </w:pPr>
    </w:p>
    <w:p w:rsidR="003940A1" w:rsidRDefault="003940A1" w:rsidP="00A87C94">
      <w:pPr>
        <w:tabs>
          <w:tab w:val="left" w:pos="1440"/>
          <w:tab w:val="left" w:pos="3060"/>
        </w:tabs>
        <w:jc w:val="center"/>
        <w:rPr>
          <w:b/>
          <w:smallCaps/>
          <w:sz w:val="32"/>
          <w:szCs w:val="32"/>
        </w:rPr>
      </w:pPr>
    </w:p>
    <w:p w:rsidR="003940A1" w:rsidRDefault="003940A1" w:rsidP="00A87C94">
      <w:pPr>
        <w:tabs>
          <w:tab w:val="left" w:pos="1440"/>
          <w:tab w:val="left" w:pos="3060"/>
        </w:tabs>
        <w:jc w:val="center"/>
        <w:rPr>
          <w:b/>
          <w:smallCaps/>
          <w:sz w:val="32"/>
          <w:szCs w:val="32"/>
        </w:rPr>
      </w:pPr>
    </w:p>
    <w:p w:rsidR="003940A1" w:rsidRDefault="003940A1" w:rsidP="00A87C94">
      <w:pPr>
        <w:tabs>
          <w:tab w:val="left" w:pos="1440"/>
          <w:tab w:val="left" w:pos="3060"/>
        </w:tabs>
        <w:jc w:val="center"/>
        <w:rPr>
          <w:b/>
          <w:smallCaps/>
          <w:sz w:val="32"/>
          <w:szCs w:val="32"/>
        </w:rPr>
      </w:pPr>
    </w:p>
    <w:p w:rsidR="003940A1" w:rsidRDefault="003940A1" w:rsidP="00A87C94">
      <w:pPr>
        <w:tabs>
          <w:tab w:val="left" w:pos="1440"/>
          <w:tab w:val="left" w:pos="3060"/>
        </w:tabs>
        <w:jc w:val="center"/>
        <w:rPr>
          <w:b/>
          <w:smallCaps/>
          <w:sz w:val="32"/>
          <w:szCs w:val="32"/>
        </w:rPr>
      </w:pPr>
    </w:p>
    <w:p w:rsidR="003940A1" w:rsidRDefault="003940A1" w:rsidP="00A87C94">
      <w:pPr>
        <w:tabs>
          <w:tab w:val="left" w:pos="1440"/>
          <w:tab w:val="left" w:pos="3060"/>
        </w:tabs>
        <w:jc w:val="center"/>
        <w:rPr>
          <w:b/>
          <w:smallCaps/>
          <w:sz w:val="32"/>
          <w:szCs w:val="32"/>
        </w:rPr>
      </w:pPr>
    </w:p>
    <w:p w:rsidR="003940A1" w:rsidRDefault="003940A1" w:rsidP="00A87C94">
      <w:pPr>
        <w:tabs>
          <w:tab w:val="left" w:pos="1440"/>
          <w:tab w:val="left" w:pos="3060"/>
        </w:tabs>
        <w:jc w:val="center"/>
        <w:rPr>
          <w:b/>
          <w:smallCaps/>
          <w:sz w:val="32"/>
          <w:szCs w:val="32"/>
        </w:rPr>
      </w:pPr>
    </w:p>
    <w:p w:rsidR="0019618A" w:rsidRPr="00836EB3" w:rsidRDefault="00324200" w:rsidP="00A87C94">
      <w:pPr>
        <w:tabs>
          <w:tab w:val="left" w:pos="1440"/>
          <w:tab w:val="left" w:pos="3060"/>
        </w:tabs>
        <w:jc w:val="center"/>
        <w:rPr>
          <w:b/>
          <w:smallCaps/>
          <w:sz w:val="32"/>
          <w:szCs w:val="32"/>
        </w:rPr>
      </w:pPr>
      <w:r w:rsidRPr="00836EB3">
        <w:rPr>
          <w:b/>
          <w:smallCaps/>
          <w:sz w:val="32"/>
          <w:szCs w:val="32"/>
        </w:rPr>
        <w:t>Costa Rica</w:t>
      </w:r>
    </w:p>
    <w:p w:rsidR="0019618A" w:rsidRPr="00836EB3" w:rsidRDefault="0019618A" w:rsidP="00A87C94">
      <w:pPr>
        <w:tabs>
          <w:tab w:val="left" w:pos="1440"/>
          <w:tab w:val="left" w:pos="3060"/>
        </w:tabs>
        <w:jc w:val="center"/>
        <w:rPr>
          <w:b/>
          <w:smallCaps/>
          <w:sz w:val="28"/>
          <w:szCs w:val="28"/>
          <w:lang w:val="es-ES"/>
        </w:rPr>
      </w:pPr>
    </w:p>
    <w:p w:rsidR="0019618A" w:rsidRPr="00836EB3" w:rsidRDefault="0019618A" w:rsidP="00A87C94">
      <w:pPr>
        <w:tabs>
          <w:tab w:val="left" w:pos="1440"/>
          <w:tab w:val="left" w:pos="3060"/>
        </w:tabs>
        <w:jc w:val="center"/>
        <w:rPr>
          <w:b/>
          <w:smallCaps/>
          <w:szCs w:val="24"/>
          <w:lang w:val="es-ES"/>
        </w:rPr>
      </w:pPr>
    </w:p>
    <w:p w:rsidR="0019618A" w:rsidRPr="00836EB3" w:rsidRDefault="0019618A" w:rsidP="00A87C94">
      <w:pPr>
        <w:tabs>
          <w:tab w:val="left" w:pos="1440"/>
          <w:tab w:val="left" w:pos="3060"/>
        </w:tabs>
        <w:jc w:val="center"/>
        <w:rPr>
          <w:b/>
          <w:smallCaps/>
          <w:szCs w:val="24"/>
        </w:rPr>
      </w:pPr>
    </w:p>
    <w:p w:rsidR="0019618A" w:rsidRPr="00836EB3" w:rsidRDefault="0019618A" w:rsidP="00A87C94">
      <w:pPr>
        <w:tabs>
          <w:tab w:val="left" w:pos="1440"/>
          <w:tab w:val="left" w:pos="3060"/>
        </w:tabs>
        <w:jc w:val="center"/>
        <w:rPr>
          <w:b/>
          <w:smallCaps/>
          <w:szCs w:val="24"/>
        </w:rPr>
      </w:pPr>
    </w:p>
    <w:p w:rsidR="0019618A" w:rsidRPr="00836EB3" w:rsidRDefault="0019618A" w:rsidP="00A87C94">
      <w:pPr>
        <w:tabs>
          <w:tab w:val="left" w:pos="1440"/>
          <w:tab w:val="left" w:pos="3060"/>
        </w:tabs>
        <w:jc w:val="center"/>
        <w:rPr>
          <w:b/>
          <w:smallCaps/>
          <w:szCs w:val="24"/>
        </w:rPr>
      </w:pPr>
    </w:p>
    <w:p w:rsidR="00FA38E4" w:rsidRPr="00836EB3" w:rsidRDefault="00FA38E4" w:rsidP="00A87C94">
      <w:pPr>
        <w:tabs>
          <w:tab w:val="left" w:pos="1440"/>
          <w:tab w:val="left" w:pos="3060"/>
        </w:tabs>
        <w:jc w:val="center"/>
        <w:rPr>
          <w:b/>
          <w:smallCaps/>
          <w:szCs w:val="24"/>
        </w:rPr>
      </w:pPr>
    </w:p>
    <w:p w:rsidR="00C867BA" w:rsidRPr="00836EB3" w:rsidRDefault="00C867BA" w:rsidP="00A87C94">
      <w:pPr>
        <w:tabs>
          <w:tab w:val="left" w:pos="1440"/>
          <w:tab w:val="left" w:pos="3060"/>
        </w:tabs>
        <w:jc w:val="center"/>
        <w:rPr>
          <w:b/>
          <w:smallCaps/>
          <w:szCs w:val="24"/>
        </w:rPr>
      </w:pPr>
    </w:p>
    <w:p w:rsidR="00C867BA" w:rsidRPr="00836EB3" w:rsidRDefault="00C867BA" w:rsidP="00A87C94">
      <w:pPr>
        <w:tabs>
          <w:tab w:val="left" w:pos="1440"/>
          <w:tab w:val="left" w:pos="3060"/>
        </w:tabs>
        <w:jc w:val="center"/>
        <w:rPr>
          <w:b/>
          <w:smallCaps/>
          <w:szCs w:val="24"/>
        </w:rPr>
      </w:pPr>
    </w:p>
    <w:p w:rsidR="003940A1" w:rsidRPr="003940A1" w:rsidRDefault="003940A1" w:rsidP="00A87C94">
      <w:pPr>
        <w:tabs>
          <w:tab w:val="left" w:pos="1440"/>
          <w:tab w:val="left" w:pos="3060"/>
        </w:tabs>
        <w:jc w:val="center"/>
        <w:rPr>
          <w:rFonts w:ascii="Times New Roman Bold" w:hAnsi="Times New Roman Bold"/>
          <w:b/>
          <w:smallCaps/>
          <w:sz w:val="32"/>
          <w:szCs w:val="32"/>
        </w:rPr>
      </w:pPr>
      <w:r w:rsidRPr="003940A1">
        <w:rPr>
          <w:rFonts w:ascii="Times New Roman Bold" w:hAnsi="Times New Roman Bold"/>
          <w:b/>
          <w:smallCaps/>
          <w:sz w:val="32"/>
          <w:szCs w:val="32"/>
        </w:rPr>
        <w:t>Programa de Integración Fronteriza de Costa Rica</w:t>
      </w:r>
      <w:r w:rsidRPr="003940A1">
        <w:rPr>
          <w:rFonts w:ascii="Times New Roman Bold" w:hAnsi="Times New Roman Bold"/>
          <w:b/>
          <w:smallCaps/>
          <w:sz w:val="32"/>
          <w:szCs w:val="32"/>
        </w:rPr>
        <w:t xml:space="preserve"> </w:t>
      </w:r>
    </w:p>
    <w:p w:rsidR="0019618A" w:rsidRPr="00836EB3" w:rsidRDefault="00033278" w:rsidP="00A87C94">
      <w:pPr>
        <w:tabs>
          <w:tab w:val="left" w:pos="1440"/>
          <w:tab w:val="left" w:pos="3060"/>
        </w:tabs>
        <w:jc w:val="center"/>
        <w:rPr>
          <w:b/>
          <w:smallCaps/>
          <w:sz w:val="32"/>
          <w:szCs w:val="32"/>
        </w:rPr>
      </w:pPr>
      <w:r w:rsidRPr="00836EB3">
        <w:rPr>
          <w:b/>
          <w:smallCaps/>
          <w:sz w:val="32"/>
          <w:szCs w:val="32"/>
        </w:rPr>
        <w:t>(</w:t>
      </w:r>
      <w:r w:rsidR="00324200" w:rsidRPr="00836EB3">
        <w:rPr>
          <w:b/>
          <w:smallCaps/>
          <w:sz w:val="32"/>
          <w:szCs w:val="32"/>
        </w:rPr>
        <w:t>CR</w:t>
      </w:r>
      <w:r w:rsidR="0019618A" w:rsidRPr="00836EB3">
        <w:rPr>
          <w:b/>
          <w:smallCaps/>
          <w:sz w:val="32"/>
          <w:szCs w:val="32"/>
        </w:rPr>
        <w:t>-L10</w:t>
      </w:r>
      <w:r w:rsidR="00E775FA" w:rsidRPr="00836EB3">
        <w:rPr>
          <w:b/>
          <w:smallCaps/>
          <w:sz w:val="32"/>
          <w:szCs w:val="32"/>
        </w:rPr>
        <w:t>66</w:t>
      </w:r>
      <w:r w:rsidR="0019618A" w:rsidRPr="00836EB3">
        <w:rPr>
          <w:b/>
          <w:smallCaps/>
          <w:sz w:val="32"/>
          <w:szCs w:val="32"/>
        </w:rPr>
        <w:t>)</w:t>
      </w:r>
    </w:p>
    <w:p w:rsidR="00324200" w:rsidRPr="00B16DF3" w:rsidRDefault="00324200" w:rsidP="00324200">
      <w:pPr>
        <w:pStyle w:val="BodyTextIndent2"/>
        <w:spacing w:before="240" w:line="240" w:lineRule="auto"/>
        <w:ind w:left="0"/>
        <w:jc w:val="center"/>
        <w:rPr>
          <w:rFonts w:asciiTheme="minorHAnsi" w:hAnsiTheme="minorHAnsi"/>
          <w:b/>
          <w:smallCaps/>
          <w:lang w:val="es-US"/>
        </w:rPr>
      </w:pPr>
    </w:p>
    <w:p w:rsidR="00C73A82" w:rsidRPr="00836EB3" w:rsidRDefault="00C73A82" w:rsidP="00A87C94">
      <w:pPr>
        <w:tabs>
          <w:tab w:val="left" w:pos="1440"/>
          <w:tab w:val="left" w:pos="3060"/>
        </w:tabs>
        <w:jc w:val="center"/>
        <w:rPr>
          <w:b/>
          <w:smallCaps/>
          <w:szCs w:val="24"/>
        </w:rPr>
      </w:pPr>
    </w:p>
    <w:p w:rsidR="0019618A" w:rsidRPr="00836EB3" w:rsidRDefault="0019618A" w:rsidP="00A87C94">
      <w:pPr>
        <w:tabs>
          <w:tab w:val="left" w:pos="1440"/>
          <w:tab w:val="left" w:pos="3060"/>
        </w:tabs>
        <w:jc w:val="center"/>
        <w:rPr>
          <w:b/>
          <w:smallCaps/>
          <w:szCs w:val="24"/>
        </w:rPr>
      </w:pPr>
    </w:p>
    <w:p w:rsidR="00C867BA" w:rsidRPr="00836EB3" w:rsidRDefault="00C867BA" w:rsidP="00A87C94">
      <w:pPr>
        <w:tabs>
          <w:tab w:val="left" w:pos="1440"/>
          <w:tab w:val="left" w:pos="3060"/>
        </w:tabs>
        <w:jc w:val="center"/>
        <w:rPr>
          <w:b/>
          <w:smallCaps/>
          <w:szCs w:val="24"/>
        </w:rPr>
      </w:pPr>
    </w:p>
    <w:p w:rsidR="00C73A82" w:rsidRPr="00836EB3" w:rsidRDefault="00E775FA" w:rsidP="00A87C94">
      <w:pPr>
        <w:tabs>
          <w:tab w:val="left" w:pos="1440"/>
          <w:tab w:val="left" w:pos="3060"/>
        </w:tabs>
        <w:jc w:val="center"/>
        <w:rPr>
          <w:b/>
          <w:smallCaps/>
          <w:sz w:val="28"/>
          <w:szCs w:val="28"/>
        </w:rPr>
      </w:pPr>
      <w:r w:rsidRPr="00836EB3">
        <w:rPr>
          <w:b/>
          <w:smallCaps/>
          <w:sz w:val="28"/>
          <w:szCs w:val="28"/>
        </w:rPr>
        <w:t>Pasos en Peñas Blancas, Las Tablillas</w:t>
      </w:r>
      <w:r w:rsidR="008A1C07" w:rsidRPr="00836EB3">
        <w:rPr>
          <w:b/>
          <w:smallCaps/>
          <w:sz w:val="28"/>
          <w:szCs w:val="28"/>
        </w:rPr>
        <w:t>,</w:t>
      </w:r>
      <w:r w:rsidRPr="00836EB3">
        <w:rPr>
          <w:b/>
          <w:smallCaps/>
          <w:sz w:val="28"/>
          <w:szCs w:val="28"/>
        </w:rPr>
        <w:t xml:space="preserve"> Paso Canoas</w:t>
      </w:r>
      <w:r w:rsidR="008A1C07" w:rsidRPr="00836EB3">
        <w:rPr>
          <w:b/>
          <w:smallCaps/>
          <w:sz w:val="28"/>
          <w:szCs w:val="28"/>
        </w:rPr>
        <w:t xml:space="preserve"> y Sixaola</w:t>
      </w:r>
    </w:p>
    <w:p w:rsidR="00C867BA" w:rsidRPr="00836EB3" w:rsidRDefault="00C867BA" w:rsidP="00A87C94">
      <w:pPr>
        <w:tabs>
          <w:tab w:val="left" w:pos="1440"/>
          <w:tab w:val="left" w:pos="3060"/>
        </w:tabs>
        <w:jc w:val="center"/>
        <w:outlineLvl w:val="0"/>
        <w:rPr>
          <w:b/>
          <w:bCs/>
          <w:smallCaps/>
          <w:sz w:val="28"/>
          <w:szCs w:val="28"/>
        </w:rPr>
      </w:pPr>
    </w:p>
    <w:p w:rsidR="0019618A" w:rsidRPr="00836EB3" w:rsidRDefault="0019618A" w:rsidP="00A87C94">
      <w:pPr>
        <w:tabs>
          <w:tab w:val="left" w:pos="1440"/>
          <w:tab w:val="left" w:pos="3060"/>
        </w:tabs>
        <w:jc w:val="center"/>
        <w:outlineLvl w:val="0"/>
        <w:rPr>
          <w:b/>
          <w:smallCaps/>
          <w:sz w:val="28"/>
          <w:szCs w:val="28"/>
          <w:lang w:val="es-ES"/>
        </w:rPr>
      </w:pPr>
      <w:r w:rsidRPr="00836EB3">
        <w:rPr>
          <w:b/>
          <w:bCs/>
          <w:smallCaps/>
          <w:sz w:val="28"/>
          <w:szCs w:val="28"/>
          <w:lang w:val="es-ES"/>
        </w:rPr>
        <w:t xml:space="preserve">Análisis </w:t>
      </w:r>
      <w:r w:rsidR="00621112" w:rsidRPr="00836EB3">
        <w:rPr>
          <w:b/>
          <w:bCs/>
          <w:smallCaps/>
          <w:sz w:val="28"/>
          <w:szCs w:val="28"/>
          <w:lang w:val="es-ES"/>
        </w:rPr>
        <w:t>Financiero para el Estado</w:t>
      </w:r>
    </w:p>
    <w:p w:rsidR="0019618A" w:rsidRPr="00836EB3" w:rsidRDefault="0019618A" w:rsidP="00A87C94">
      <w:pPr>
        <w:tabs>
          <w:tab w:val="left" w:pos="1440"/>
          <w:tab w:val="left" w:pos="3060"/>
        </w:tabs>
        <w:outlineLvl w:val="0"/>
        <w:rPr>
          <w:b/>
          <w:smallCaps/>
          <w:szCs w:val="24"/>
          <w:lang w:val="es-ES"/>
        </w:rPr>
      </w:pPr>
    </w:p>
    <w:p w:rsidR="00C867BA" w:rsidRPr="00836EB3" w:rsidRDefault="00C867BA" w:rsidP="0071214C">
      <w:pPr>
        <w:pStyle w:val="ListParagraph"/>
        <w:ind w:left="0"/>
        <w:jc w:val="center"/>
        <w:rPr>
          <w:b/>
          <w:szCs w:val="24"/>
          <w:lang w:val="es-ES"/>
        </w:rPr>
      </w:pPr>
    </w:p>
    <w:p w:rsidR="00C867BA" w:rsidRPr="00836EB3" w:rsidRDefault="00C867BA" w:rsidP="0071214C">
      <w:pPr>
        <w:pStyle w:val="ListParagraph"/>
        <w:ind w:left="0"/>
        <w:jc w:val="center"/>
        <w:rPr>
          <w:b/>
          <w:szCs w:val="24"/>
          <w:lang w:val="es-ES"/>
        </w:rPr>
      </w:pPr>
    </w:p>
    <w:p w:rsidR="00C867BA" w:rsidRPr="00836EB3" w:rsidRDefault="00C867BA" w:rsidP="0071214C">
      <w:pPr>
        <w:pStyle w:val="ListParagraph"/>
        <w:ind w:left="0"/>
        <w:jc w:val="center"/>
        <w:rPr>
          <w:b/>
          <w:szCs w:val="24"/>
          <w:lang w:val="es-ES"/>
        </w:rPr>
      </w:pPr>
    </w:p>
    <w:p w:rsidR="00C73A82" w:rsidRPr="00836EB3" w:rsidRDefault="00C73A82" w:rsidP="0071214C">
      <w:pPr>
        <w:pStyle w:val="ListParagraph"/>
        <w:ind w:left="0"/>
        <w:jc w:val="center"/>
        <w:rPr>
          <w:b/>
          <w:szCs w:val="24"/>
          <w:lang w:val="es-ES"/>
        </w:rPr>
      </w:pPr>
    </w:p>
    <w:p w:rsidR="0019618A" w:rsidRPr="00836EB3" w:rsidRDefault="0019618A" w:rsidP="0071214C">
      <w:pPr>
        <w:pStyle w:val="ListParagraph"/>
        <w:ind w:left="0"/>
        <w:jc w:val="center"/>
        <w:rPr>
          <w:b/>
          <w:szCs w:val="24"/>
          <w:lang w:val="es-ES"/>
        </w:rPr>
      </w:pPr>
    </w:p>
    <w:p w:rsidR="0019618A" w:rsidRPr="00836EB3" w:rsidRDefault="0019618A" w:rsidP="0071214C">
      <w:pPr>
        <w:pStyle w:val="ListParagraph"/>
        <w:ind w:left="0"/>
        <w:jc w:val="center"/>
        <w:rPr>
          <w:b/>
          <w:szCs w:val="24"/>
          <w:lang w:val="es-ES"/>
        </w:rPr>
      </w:pPr>
    </w:p>
    <w:p w:rsidR="00BF606A" w:rsidRPr="00836EB3" w:rsidRDefault="00BF606A" w:rsidP="0071214C">
      <w:pPr>
        <w:pStyle w:val="ListParagraph"/>
        <w:ind w:left="0"/>
        <w:jc w:val="center"/>
        <w:rPr>
          <w:b/>
          <w:szCs w:val="24"/>
          <w:lang w:val="es-ES"/>
        </w:rPr>
      </w:pPr>
    </w:p>
    <w:p w:rsidR="00BF606A" w:rsidRPr="00836EB3" w:rsidRDefault="00BF606A" w:rsidP="0071214C">
      <w:pPr>
        <w:pStyle w:val="ListParagraph"/>
        <w:ind w:left="0"/>
        <w:jc w:val="center"/>
        <w:rPr>
          <w:b/>
          <w:szCs w:val="24"/>
          <w:lang w:val="es-ES"/>
        </w:rPr>
      </w:pPr>
    </w:p>
    <w:p w:rsidR="00DD3BFD" w:rsidRPr="00836EB3" w:rsidRDefault="0095367B" w:rsidP="0071214C">
      <w:pPr>
        <w:pStyle w:val="ListParagraph"/>
        <w:ind w:left="0"/>
        <w:jc w:val="center"/>
        <w:rPr>
          <w:b/>
          <w:szCs w:val="24"/>
          <w:lang w:val="es-ES"/>
        </w:rPr>
      </w:pPr>
      <w:r w:rsidRPr="00836EB3">
        <w:rPr>
          <w:b/>
          <w:szCs w:val="24"/>
          <w:lang w:val="es-ES"/>
        </w:rPr>
        <w:t>Marzo</w:t>
      </w:r>
      <w:r w:rsidR="00BF606A" w:rsidRPr="00836EB3">
        <w:rPr>
          <w:b/>
          <w:szCs w:val="24"/>
          <w:lang w:val="es-ES"/>
        </w:rPr>
        <w:t xml:space="preserve"> de 2015</w:t>
      </w:r>
    </w:p>
    <w:p w:rsidR="00DD3BFD" w:rsidRPr="00836EB3" w:rsidRDefault="00DD3BFD" w:rsidP="0071214C">
      <w:pPr>
        <w:pStyle w:val="ListParagraph"/>
        <w:ind w:left="0"/>
        <w:jc w:val="center"/>
        <w:rPr>
          <w:b/>
          <w:szCs w:val="24"/>
          <w:lang w:val="es-ES"/>
        </w:rPr>
      </w:pPr>
    </w:p>
    <w:p w:rsidR="00BF606A" w:rsidRPr="00836EB3" w:rsidRDefault="00BF606A" w:rsidP="0071214C">
      <w:pPr>
        <w:pStyle w:val="ListParagraph"/>
        <w:ind w:left="0"/>
        <w:jc w:val="center"/>
        <w:rPr>
          <w:b/>
          <w:szCs w:val="24"/>
          <w:lang w:val="es-ES"/>
        </w:rPr>
      </w:pPr>
    </w:p>
    <w:tbl>
      <w:tblPr>
        <w:tblStyle w:val="TableGrid"/>
        <w:tblW w:w="0" w:type="auto"/>
        <w:tblLook w:val="04A0" w:firstRow="1" w:lastRow="0" w:firstColumn="1" w:lastColumn="0" w:noHBand="0" w:noVBand="1"/>
      </w:tblPr>
      <w:tblGrid>
        <w:gridCol w:w="9287"/>
      </w:tblGrid>
      <w:tr w:rsidR="006407B5" w:rsidRPr="00836EB3" w:rsidTr="006407B5">
        <w:tc>
          <w:tcPr>
            <w:tcW w:w="9287" w:type="dxa"/>
          </w:tcPr>
          <w:p w:rsidR="006407B5" w:rsidRPr="00836EB3" w:rsidRDefault="006407B5" w:rsidP="006407B5">
            <w:pPr>
              <w:pStyle w:val="ListParagraph"/>
              <w:ind w:left="0"/>
              <w:rPr>
                <w:rFonts w:ascii="Times New Roman" w:hAnsi="Times New Roman" w:cs="Times New Roman"/>
                <w:szCs w:val="24"/>
                <w:lang w:val="es-ES"/>
              </w:rPr>
            </w:pPr>
          </w:p>
          <w:p w:rsidR="006407B5" w:rsidRPr="00836EB3" w:rsidRDefault="006407B5" w:rsidP="006407B5">
            <w:pPr>
              <w:pStyle w:val="ListParagraph"/>
              <w:ind w:left="0"/>
              <w:jc w:val="both"/>
              <w:rPr>
                <w:rFonts w:ascii="Times New Roman" w:hAnsi="Times New Roman" w:cs="Times New Roman"/>
                <w:szCs w:val="24"/>
                <w:lang w:val="es-ES"/>
              </w:rPr>
            </w:pPr>
            <w:r w:rsidRPr="00836EB3">
              <w:rPr>
                <w:rFonts w:ascii="Times New Roman" w:hAnsi="Times New Roman" w:cs="Times New Roman"/>
                <w:szCs w:val="24"/>
                <w:lang w:val="es-ES"/>
              </w:rPr>
              <w:t xml:space="preserve">Este documento fue elaborado por Roberto Suárez </w:t>
            </w:r>
            <w:proofErr w:type="spellStart"/>
            <w:r w:rsidRPr="00836EB3">
              <w:rPr>
                <w:rFonts w:ascii="Times New Roman" w:hAnsi="Times New Roman" w:cs="Times New Roman"/>
                <w:szCs w:val="24"/>
                <w:lang w:val="es-ES"/>
              </w:rPr>
              <w:t>Nicolini</w:t>
            </w:r>
            <w:proofErr w:type="spellEnd"/>
            <w:r w:rsidR="00C650F8" w:rsidRPr="00836EB3">
              <w:rPr>
                <w:rFonts w:ascii="Times New Roman" w:hAnsi="Times New Roman" w:cs="Times New Roman"/>
                <w:szCs w:val="24"/>
                <w:lang w:val="es-ES"/>
              </w:rPr>
              <w:t xml:space="preserve"> (Consultor)</w:t>
            </w:r>
            <w:r w:rsidR="00E775FA" w:rsidRPr="00836EB3">
              <w:rPr>
                <w:rFonts w:ascii="Times New Roman" w:hAnsi="Times New Roman" w:cs="Times New Roman"/>
                <w:szCs w:val="24"/>
                <w:lang w:val="es-ES"/>
              </w:rPr>
              <w:t>.</w:t>
            </w:r>
          </w:p>
          <w:p w:rsidR="006407B5" w:rsidRPr="00836EB3" w:rsidRDefault="006407B5" w:rsidP="0071214C">
            <w:pPr>
              <w:pStyle w:val="ListParagraph"/>
              <w:ind w:left="0"/>
              <w:jc w:val="center"/>
              <w:rPr>
                <w:b/>
                <w:szCs w:val="24"/>
                <w:lang w:val="es-ES"/>
              </w:rPr>
            </w:pPr>
          </w:p>
        </w:tc>
      </w:tr>
    </w:tbl>
    <w:p w:rsidR="0019618A" w:rsidRPr="00836EB3" w:rsidRDefault="0019618A" w:rsidP="00A87C94">
      <w:pPr>
        <w:autoSpaceDE w:val="0"/>
        <w:autoSpaceDN w:val="0"/>
        <w:adjustRightInd w:val="0"/>
        <w:jc w:val="both"/>
        <w:rPr>
          <w:b/>
          <w:bCs/>
          <w:iCs/>
          <w:szCs w:val="24"/>
          <w:lang w:val="es-ES"/>
        </w:rPr>
      </w:pPr>
    </w:p>
    <w:p w:rsidR="0019618A" w:rsidRPr="00836EB3" w:rsidRDefault="0019618A" w:rsidP="00A87C94">
      <w:pPr>
        <w:pStyle w:val="BodyText"/>
        <w:rPr>
          <w:b/>
        </w:rPr>
        <w:sectPr w:rsidR="0019618A" w:rsidRPr="00836EB3" w:rsidSect="0071214C">
          <w:headerReference w:type="even" r:id="rId9"/>
          <w:headerReference w:type="default" r:id="rId10"/>
          <w:footerReference w:type="even" r:id="rId11"/>
          <w:footerReference w:type="default" r:id="rId12"/>
          <w:headerReference w:type="first" r:id="rId13"/>
          <w:pgSz w:w="12242" w:h="15842" w:code="1"/>
          <w:pgMar w:top="1440" w:right="1298" w:bottom="1134" w:left="1797" w:header="731" w:footer="731" w:gutter="0"/>
          <w:cols w:space="720"/>
        </w:sectPr>
      </w:pPr>
    </w:p>
    <w:p w:rsidR="00A57142" w:rsidRPr="00836EB3" w:rsidRDefault="00A57142" w:rsidP="00A57142">
      <w:pPr>
        <w:pStyle w:val="Newpage"/>
        <w:widowControl w:val="0"/>
        <w:rPr>
          <w:lang w:val="es-ES_tradnl"/>
        </w:rPr>
      </w:pPr>
      <w:r w:rsidRPr="00836EB3">
        <w:rPr>
          <w:lang w:val="es-ES_tradnl"/>
        </w:rPr>
        <w:lastRenderedPageBreak/>
        <w:t>Índice</w:t>
      </w:r>
    </w:p>
    <w:p w:rsidR="00A57142" w:rsidRPr="00836EB3" w:rsidRDefault="00A57142" w:rsidP="00A57142">
      <w:pPr>
        <w:pStyle w:val="Newpage"/>
        <w:widowControl w:val="0"/>
        <w:rPr>
          <w:lang w:val="es-ES_tradnl"/>
        </w:rPr>
      </w:pPr>
    </w:p>
    <w:p w:rsidR="00A57142" w:rsidRPr="00836EB3" w:rsidRDefault="00A57142" w:rsidP="00A57142">
      <w:pPr>
        <w:pStyle w:val="Newpage"/>
        <w:widowControl w:val="0"/>
        <w:rPr>
          <w:lang w:val="es-ES_tradnl"/>
        </w:rPr>
      </w:pPr>
    </w:p>
    <w:p w:rsidR="00A57142" w:rsidRPr="00836EB3" w:rsidRDefault="00A57142" w:rsidP="00A57142">
      <w:pPr>
        <w:pStyle w:val="Newpage"/>
        <w:widowControl w:val="0"/>
        <w:rPr>
          <w:sz w:val="22"/>
          <w:szCs w:val="22"/>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420"/>
        <w:gridCol w:w="436"/>
      </w:tblGrid>
      <w:tr w:rsidR="00882FEF" w:rsidRPr="00836EB3" w:rsidTr="00290FD6">
        <w:tc>
          <w:tcPr>
            <w:tcW w:w="0" w:type="auto"/>
          </w:tcPr>
          <w:p w:rsidR="00A57142" w:rsidRPr="00836EB3" w:rsidRDefault="001C6F79" w:rsidP="00290FD6">
            <w:pPr>
              <w:pStyle w:val="Newpage"/>
              <w:widowControl w:val="0"/>
              <w:jc w:val="left"/>
              <w:rPr>
                <w:rFonts w:ascii="Times New Roman" w:hAnsi="Times New Roman" w:cs="Times New Roman"/>
                <w:sz w:val="22"/>
                <w:szCs w:val="22"/>
                <w:lang w:val="es-ES_tradnl"/>
              </w:rPr>
            </w:pPr>
            <w:r w:rsidRPr="00836EB3">
              <w:rPr>
                <w:rFonts w:ascii="Times New Roman" w:hAnsi="Times New Roman" w:cs="Times New Roman"/>
                <w:sz w:val="22"/>
                <w:szCs w:val="22"/>
                <w:lang w:val="es-ES_tradnl"/>
              </w:rPr>
              <w:t>1</w:t>
            </w:r>
            <w:r w:rsidR="00A57142" w:rsidRPr="00836EB3">
              <w:rPr>
                <w:rFonts w:ascii="Times New Roman" w:hAnsi="Times New Roman" w:cs="Times New Roman"/>
                <w:sz w:val="22"/>
                <w:szCs w:val="22"/>
                <w:lang w:val="es-ES_tradnl"/>
              </w:rPr>
              <w:t>.</w:t>
            </w:r>
          </w:p>
        </w:tc>
        <w:tc>
          <w:tcPr>
            <w:tcW w:w="0" w:type="auto"/>
          </w:tcPr>
          <w:p w:rsidR="00A57142" w:rsidRPr="00836EB3" w:rsidRDefault="0095367B" w:rsidP="0095367B">
            <w:pPr>
              <w:pStyle w:val="Chapter"/>
              <w:widowControl w:val="0"/>
              <w:numPr>
                <w:ilvl w:val="0"/>
                <w:numId w:val="0"/>
              </w:numPr>
              <w:tabs>
                <w:tab w:val="clear" w:pos="1440"/>
              </w:tabs>
              <w:spacing w:after="0"/>
              <w:jc w:val="lef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El Proyecto y Objetivo del Análisis Financiero</w:t>
            </w:r>
            <w:r w:rsidR="00A57142" w:rsidRPr="00836EB3">
              <w:rPr>
                <w:rFonts w:ascii="Times New Roman" w:hAnsi="Times New Roman" w:cs="Times New Roman"/>
                <w:b w:val="0"/>
                <w:smallCaps w:val="0"/>
                <w:sz w:val="22"/>
                <w:szCs w:val="22"/>
                <w:lang w:val="es-ES_tradnl"/>
              </w:rPr>
              <w:t>……………………</w:t>
            </w:r>
            <w:r w:rsidR="00D20236" w:rsidRPr="00836EB3">
              <w:rPr>
                <w:rFonts w:ascii="Times New Roman" w:hAnsi="Times New Roman" w:cs="Times New Roman"/>
                <w:b w:val="0"/>
                <w:smallCaps w:val="0"/>
                <w:sz w:val="22"/>
                <w:szCs w:val="22"/>
                <w:lang w:val="es-ES_tradnl"/>
              </w:rPr>
              <w:t>…</w:t>
            </w:r>
            <w:r w:rsidR="00944DC7" w:rsidRPr="00836EB3">
              <w:rPr>
                <w:rFonts w:ascii="Times New Roman" w:hAnsi="Times New Roman" w:cs="Times New Roman"/>
                <w:b w:val="0"/>
                <w:smallCaps w:val="0"/>
                <w:sz w:val="22"/>
                <w:szCs w:val="22"/>
                <w:lang w:val="es-ES_tradnl"/>
              </w:rPr>
              <w:t>….</w:t>
            </w:r>
            <w:r w:rsidR="00232C7C" w:rsidRPr="00836EB3">
              <w:rPr>
                <w:rFonts w:ascii="Times New Roman" w:hAnsi="Times New Roman" w:cs="Times New Roman"/>
                <w:b w:val="0"/>
                <w:smallCaps w:val="0"/>
                <w:sz w:val="22"/>
                <w:szCs w:val="22"/>
                <w:lang w:val="es-ES_tradnl"/>
              </w:rPr>
              <w:t>.</w:t>
            </w:r>
            <w:r w:rsidRPr="00836EB3">
              <w:rPr>
                <w:rFonts w:ascii="Times New Roman" w:hAnsi="Times New Roman" w:cs="Times New Roman"/>
                <w:b w:val="0"/>
                <w:smallCaps w:val="0"/>
                <w:sz w:val="22"/>
                <w:szCs w:val="22"/>
                <w:lang w:val="es-ES_tradnl"/>
              </w:rPr>
              <w:t>............................</w:t>
            </w:r>
          </w:p>
        </w:tc>
        <w:tc>
          <w:tcPr>
            <w:tcW w:w="0" w:type="auto"/>
          </w:tcPr>
          <w:p w:rsidR="00A57142" w:rsidRPr="00836EB3" w:rsidRDefault="00A57142" w:rsidP="00290FD6">
            <w:pPr>
              <w:pStyle w:val="Newpage"/>
              <w:widowControl w:val="0"/>
              <w:jc w:val="right"/>
              <w:rPr>
                <w:rFonts w:ascii="Times New Roman" w:hAnsi="Times New Roman" w:cs="Times New Roman"/>
                <w:sz w:val="22"/>
                <w:szCs w:val="22"/>
                <w:lang w:val="es-ES_tradnl"/>
              </w:rPr>
            </w:pPr>
            <w:r w:rsidRPr="00836EB3">
              <w:rPr>
                <w:rFonts w:ascii="Times New Roman" w:hAnsi="Times New Roman" w:cs="Times New Roman"/>
                <w:sz w:val="22"/>
                <w:szCs w:val="22"/>
                <w:lang w:val="es-ES_tradnl"/>
              </w:rPr>
              <w:t>1</w:t>
            </w:r>
          </w:p>
        </w:tc>
      </w:tr>
      <w:tr w:rsidR="00882FEF" w:rsidRPr="00836EB3" w:rsidTr="00290FD6">
        <w:tc>
          <w:tcPr>
            <w:tcW w:w="0" w:type="auto"/>
          </w:tcPr>
          <w:p w:rsidR="00A57142" w:rsidRPr="00836EB3" w:rsidRDefault="00A57142" w:rsidP="00290FD6">
            <w:pPr>
              <w:pStyle w:val="Newpage"/>
              <w:widowControl w:val="0"/>
              <w:jc w:val="left"/>
              <w:rPr>
                <w:rFonts w:ascii="Times New Roman" w:hAnsi="Times New Roman" w:cs="Times New Roman"/>
                <w:b w:val="0"/>
                <w:sz w:val="8"/>
                <w:szCs w:val="8"/>
                <w:lang w:val="es-ES_tradnl"/>
              </w:rPr>
            </w:pPr>
          </w:p>
        </w:tc>
        <w:tc>
          <w:tcPr>
            <w:tcW w:w="0" w:type="auto"/>
          </w:tcPr>
          <w:p w:rsidR="00A57142" w:rsidRPr="00836EB3" w:rsidRDefault="00A57142" w:rsidP="00290FD6">
            <w:pPr>
              <w:pStyle w:val="Newpage"/>
              <w:widowControl w:val="0"/>
              <w:jc w:val="left"/>
              <w:rPr>
                <w:rFonts w:ascii="Times New Roman" w:hAnsi="Times New Roman" w:cs="Times New Roman"/>
                <w:b w:val="0"/>
                <w:sz w:val="8"/>
                <w:szCs w:val="8"/>
                <w:lang w:val="es-ES_tradnl"/>
              </w:rPr>
            </w:pPr>
          </w:p>
        </w:tc>
        <w:tc>
          <w:tcPr>
            <w:tcW w:w="0" w:type="auto"/>
          </w:tcPr>
          <w:p w:rsidR="00A57142" w:rsidRPr="00836EB3" w:rsidRDefault="00A57142" w:rsidP="00290FD6">
            <w:pPr>
              <w:pStyle w:val="Newpage"/>
              <w:widowControl w:val="0"/>
              <w:jc w:val="right"/>
              <w:rPr>
                <w:rFonts w:ascii="Times New Roman" w:hAnsi="Times New Roman" w:cs="Times New Roman"/>
                <w:b w:val="0"/>
                <w:sz w:val="8"/>
                <w:szCs w:val="8"/>
                <w:lang w:val="es-ES_tradnl"/>
              </w:rPr>
            </w:pPr>
          </w:p>
        </w:tc>
      </w:tr>
      <w:tr w:rsidR="0095367B" w:rsidRPr="00836EB3" w:rsidTr="00BE7445">
        <w:trPr>
          <w:trHeight w:val="215"/>
        </w:trPr>
        <w:tc>
          <w:tcPr>
            <w:tcW w:w="0" w:type="auto"/>
          </w:tcPr>
          <w:p w:rsidR="0095367B" w:rsidRPr="00836EB3" w:rsidRDefault="0095367B" w:rsidP="001C74E3">
            <w:pPr>
              <w:pStyle w:val="Newpage"/>
              <w:widowControl w:val="0"/>
              <w:jc w:val="left"/>
              <w:rPr>
                <w:rFonts w:ascii="Times New Roman" w:hAnsi="Times New Roman" w:cs="Times New Roman"/>
                <w:b w:val="0"/>
                <w:sz w:val="22"/>
                <w:szCs w:val="22"/>
                <w:lang w:val="es-ES_tradnl"/>
              </w:rPr>
            </w:pPr>
            <w:r w:rsidRPr="00836EB3">
              <w:rPr>
                <w:rFonts w:ascii="Times New Roman" w:hAnsi="Times New Roman" w:cs="Times New Roman"/>
                <w:b w:val="0"/>
                <w:sz w:val="22"/>
                <w:szCs w:val="22"/>
                <w:lang w:val="es-ES_tradnl"/>
              </w:rPr>
              <w:t>A.</w:t>
            </w:r>
          </w:p>
        </w:tc>
        <w:tc>
          <w:tcPr>
            <w:tcW w:w="0" w:type="auto"/>
          </w:tcPr>
          <w:p w:rsidR="0095367B" w:rsidRPr="00836EB3" w:rsidRDefault="0095367B" w:rsidP="0095367B">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Introducción................................................................................................................................</w:t>
            </w:r>
          </w:p>
        </w:tc>
        <w:tc>
          <w:tcPr>
            <w:tcW w:w="0" w:type="auto"/>
          </w:tcPr>
          <w:p w:rsidR="0095367B" w:rsidRPr="00836EB3" w:rsidRDefault="0095367B" w:rsidP="00290FD6">
            <w:pPr>
              <w:pStyle w:val="Newpage"/>
              <w:widowControl w:val="0"/>
              <w:jc w:val="right"/>
              <w:rPr>
                <w:rFonts w:ascii="Times New Roman" w:hAnsi="Times New Roman" w:cs="Times New Roman"/>
                <w:b w:val="0"/>
                <w:sz w:val="22"/>
                <w:szCs w:val="22"/>
                <w:lang w:val="es-ES_tradnl"/>
              </w:rPr>
            </w:pPr>
            <w:r w:rsidRPr="00836EB3">
              <w:rPr>
                <w:rFonts w:ascii="Times New Roman" w:hAnsi="Times New Roman" w:cs="Times New Roman"/>
                <w:b w:val="0"/>
                <w:sz w:val="22"/>
                <w:szCs w:val="22"/>
                <w:lang w:val="es-ES_tradnl"/>
              </w:rPr>
              <w:t>1</w:t>
            </w:r>
          </w:p>
        </w:tc>
      </w:tr>
      <w:tr w:rsidR="0095367B" w:rsidRPr="00836EB3" w:rsidTr="00290FD6">
        <w:tc>
          <w:tcPr>
            <w:tcW w:w="0" w:type="auto"/>
          </w:tcPr>
          <w:p w:rsidR="0095367B" w:rsidRPr="00836EB3" w:rsidRDefault="0095367B" w:rsidP="001C74E3">
            <w:pPr>
              <w:pStyle w:val="Newpage"/>
              <w:widowControl w:val="0"/>
              <w:jc w:val="left"/>
              <w:rPr>
                <w:rFonts w:ascii="Times New Roman" w:hAnsi="Times New Roman" w:cs="Times New Roman"/>
                <w:b w:val="0"/>
                <w:sz w:val="22"/>
                <w:szCs w:val="22"/>
                <w:lang w:val="es-ES_tradnl"/>
              </w:rPr>
            </w:pPr>
            <w:r w:rsidRPr="00836EB3">
              <w:rPr>
                <w:rFonts w:ascii="Times New Roman" w:hAnsi="Times New Roman" w:cs="Times New Roman"/>
                <w:b w:val="0"/>
                <w:sz w:val="22"/>
                <w:szCs w:val="22"/>
                <w:lang w:val="es-ES_tradnl"/>
              </w:rPr>
              <w:t>B.</w:t>
            </w:r>
          </w:p>
        </w:tc>
        <w:tc>
          <w:tcPr>
            <w:tcW w:w="0" w:type="auto"/>
          </w:tcPr>
          <w:p w:rsidR="0095367B" w:rsidRPr="00836EB3" w:rsidRDefault="0095367B" w:rsidP="001C74E3">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El Proyecto..................................................................................................................................</w:t>
            </w:r>
          </w:p>
        </w:tc>
        <w:tc>
          <w:tcPr>
            <w:tcW w:w="0" w:type="auto"/>
          </w:tcPr>
          <w:p w:rsidR="0095367B" w:rsidRPr="00836EB3" w:rsidRDefault="0095367B" w:rsidP="00290FD6">
            <w:pPr>
              <w:pStyle w:val="Newpage"/>
              <w:widowControl w:val="0"/>
              <w:jc w:val="right"/>
              <w:rPr>
                <w:rFonts w:ascii="Times New Roman" w:hAnsi="Times New Roman" w:cs="Times New Roman"/>
                <w:b w:val="0"/>
                <w:sz w:val="22"/>
                <w:szCs w:val="22"/>
                <w:lang w:val="es-ES_tradnl"/>
              </w:rPr>
            </w:pPr>
            <w:r w:rsidRPr="00836EB3">
              <w:rPr>
                <w:rFonts w:ascii="Times New Roman" w:hAnsi="Times New Roman" w:cs="Times New Roman"/>
                <w:b w:val="0"/>
                <w:sz w:val="22"/>
                <w:szCs w:val="22"/>
                <w:lang w:val="es-ES_tradnl"/>
              </w:rPr>
              <w:t>1</w:t>
            </w:r>
          </w:p>
        </w:tc>
      </w:tr>
      <w:tr w:rsidR="0095367B" w:rsidRPr="00836EB3" w:rsidTr="00290FD6">
        <w:tc>
          <w:tcPr>
            <w:tcW w:w="0" w:type="auto"/>
          </w:tcPr>
          <w:p w:rsidR="0095367B" w:rsidRPr="00836EB3" w:rsidRDefault="0095367B" w:rsidP="001C74E3">
            <w:pPr>
              <w:pStyle w:val="Newpage"/>
              <w:widowControl w:val="0"/>
              <w:jc w:val="left"/>
              <w:rPr>
                <w:rFonts w:ascii="Times New Roman" w:hAnsi="Times New Roman" w:cs="Times New Roman"/>
                <w:b w:val="0"/>
                <w:sz w:val="22"/>
                <w:szCs w:val="22"/>
                <w:lang w:val="es-ES_tradnl"/>
              </w:rPr>
            </w:pPr>
            <w:r w:rsidRPr="00836EB3">
              <w:rPr>
                <w:rFonts w:ascii="Times New Roman" w:hAnsi="Times New Roman" w:cs="Times New Roman"/>
                <w:b w:val="0"/>
                <w:sz w:val="22"/>
                <w:szCs w:val="22"/>
                <w:lang w:val="es-ES_tradnl"/>
              </w:rPr>
              <w:t>C.</w:t>
            </w:r>
          </w:p>
        </w:tc>
        <w:tc>
          <w:tcPr>
            <w:tcW w:w="0" w:type="auto"/>
          </w:tcPr>
          <w:p w:rsidR="0095367B" w:rsidRPr="00836EB3" w:rsidRDefault="0095367B" w:rsidP="001C74E3">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Objetivo del Análisis Financiero................................................................................................</w:t>
            </w:r>
          </w:p>
        </w:tc>
        <w:tc>
          <w:tcPr>
            <w:tcW w:w="0" w:type="auto"/>
          </w:tcPr>
          <w:p w:rsidR="0095367B" w:rsidRPr="00836EB3" w:rsidRDefault="0095367B" w:rsidP="00290FD6">
            <w:pPr>
              <w:pStyle w:val="Newpage"/>
              <w:widowControl w:val="0"/>
              <w:jc w:val="right"/>
              <w:rPr>
                <w:rFonts w:ascii="Times New Roman" w:hAnsi="Times New Roman" w:cs="Times New Roman"/>
                <w:b w:val="0"/>
                <w:sz w:val="22"/>
                <w:szCs w:val="22"/>
                <w:lang w:val="es-ES_tradnl"/>
              </w:rPr>
            </w:pPr>
            <w:r w:rsidRPr="00836EB3">
              <w:rPr>
                <w:rFonts w:ascii="Times New Roman" w:hAnsi="Times New Roman" w:cs="Times New Roman"/>
                <w:b w:val="0"/>
                <w:sz w:val="22"/>
                <w:szCs w:val="22"/>
                <w:lang w:val="es-ES_tradnl"/>
              </w:rPr>
              <w:t>2</w:t>
            </w:r>
          </w:p>
        </w:tc>
      </w:tr>
      <w:tr w:rsidR="0095367B" w:rsidRPr="00836EB3" w:rsidTr="00290FD6">
        <w:tc>
          <w:tcPr>
            <w:tcW w:w="0" w:type="auto"/>
          </w:tcPr>
          <w:p w:rsidR="0095367B" w:rsidRPr="00836EB3" w:rsidRDefault="0095367B" w:rsidP="001C74E3">
            <w:pPr>
              <w:pStyle w:val="Newpage"/>
              <w:widowControl w:val="0"/>
              <w:jc w:val="left"/>
              <w:rPr>
                <w:b w:val="0"/>
                <w:sz w:val="22"/>
                <w:szCs w:val="22"/>
                <w:lang w:val="es-ES_tradnl"/>
              </w:rPr>
            </w:pPr>
          </w:p>
        </w:tc>
        <w:tc>
          <w:tcPr>
            <w:tcW w:w="0" w:type="auto"/>
          </w:tcPr>
          <w:p w:rsidR="0095367B" w:rsidRPr="00836EB3" w:rsidRDefault="0095367B" w:rsidP="001C74E3">
            <w:pPr>
              <w:pStyle w:val="Newpage"/>
              <w:widowControl w:val="0"/>
              <w:jc w:val="left"/>
              <w:rPr>
                <w:b w:val="0"/>
                <w:smallCaps w:val="0"/>
                <w:sz w:val="22"/>
                <w:szCs w:val="22"/>
                <w:lang w:val="es-ES_tradnl"/>
              </w:rPr>
            </w:pPr>
          </w:p>
        </w:tc>
        <w:tc>
          <w:tcPr>
            <w:tcW w:w="0" w:type="auto"/>
          </w:tcPr>
          <w:p w:rsidR="0095367B" w:rsidRPr="00836EB3" w:rsidRDefault="0095367B" w:rsidP="00290FD6">
            <w:pPr>
              <w:pStyle w:val="Newpage"/>
              <w:widowControl w:val="0"/>
              <w:jc w:val="right"/>
              <w:rPr>
                <w:sz w:val="22"/>
                <w:szCs w:val="22"/>
                <w:lang w:val="es-ES_tradnl"/>
              </w:rPr>
            </w:pP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sz w:val="22"/>
                <w:szCs w:val="22"/>
                <w:lang w:val="es-ES_tradnl"/>
              </w:rPr>
            </w:pPr>
            <w:r w:rsidRPr="00836EB3">
              <w:rPr>
                <w:rFonts w:ascii="Times New Roman" w:hAnsi="Times New Roman" w:cs="Times New Roman"/>
                <w:sz w:val="22"/>
                <w:szCs w:val="22"/>
                <w:lang w:val="es-ES_tradnl"/>
              </w:rPr>
              <w:t>2.</w:t>
            </w:r>
          </w:p>
        </w:tc>
        <w:tc>
          <w:tcPr>
            <w:tcW w:w="0" w:type="auto"/>
          </w:tcPr>
          <w:p w:rsidR="0095367B" w:rsidRPr="00836EB3" w:rsidRDefault="0095367B" w:rsidP="00232C7C">
            <w:pPr>
              <w:pStyle w:val="Chapter"/>
              <w:widowControl w:val="0"/>
              <w:numPr>
                <w:ilvl w:val="0"/>
                <w:numId w:val="0"/>
              </w:numPr>
              <w:tabs>
                <w:tab w:val="clear" w:pos="1440"/>
              </w:tabs>
              <w:spacing w:after="0"/>
              <w:jc w:val="lef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Situación y Demanda de los Pasos de Frontera Terrestres</w:t>
            </w:r>
            <w:r w:rsidRPr="00836EB3">
              <w:rPr>
                <w:b w:val="0"/>
              </w:rPr>
              <w:t>….………….…………........</w:t>
            </w:r>
          </w:p>
        </w:tc>
        <w:tc>
          <w:tcPr>
            <w:tcW w:w="0" w:type="auto"/>
          </w:tcPr>
          <w:p w:rsidR="0095367B" w:rsidRPr="00836EB3" w:rsidRDefault="00361D92" w:rsidP="00290FD6">
            <w:pPr>
              <w:pStyle w:val="Newpage"/>
              <w:widowControl w:val="0"/>
              <w:jc w:val="right"/>
              <w:rPr>
                <w:rFonts w:ascii="Times New Roman" w:hAnsi="Times New Roman" w:cs="Times New Roman"/>
                <w:sz w:val="22"/>
                <w:szCs w:val="22"/>
                <w:lang w:val="es-ES_tradnl"/>
              </w:rPr>
            </w:pPr>
            <w:r w:rsidRPr="00836EB3">
              <w:rPr>
                <w:rFonts w:ascii="Times New Roman" w:hAnsi="Times New Roman" w:cs="Times New Roman"/>
                <w:sz w:val="22"/>
                <w:szCs w:val="22"/>
                <w:lang w:val="es-ES_tradnl"/>
              </w:rPr>
              <w:t>3</w:t>
            </w: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z w:val="8"/>
                <w:szCs w:val="8"/>
                <w:lang w:val="es-ES_tradnl"/>
              </w:rPr>
            </w:pPr>
          </w:p>
        </w:tc>
        <w:tc>
          <w:tcPr>
            <w:tcW w:w="0" w:type="auto"/>
          </w:tcPr>
          <w:p w:rsidR="0095367B" w:rsidRPr="00836EB3" w:rsidRDefault="0095367B" w:rsidP="00290FD6">
            <w:pPr>
              <w:pStyle w:val="Newpage"/>
              <w:widowControl w:val="0"/>
              <w:jc w:val="left"/>
              <w:rPr>
                <w:rFonts w:ascii="Times New Roman" w:hAnsi="Times New Roman" w:cs="Times New Roman"/>
                <w:b w:val="0"/>
                <w:smallCaps w:val="0"/>
                <w:sz w:val="8"/>
                <w:szCs w:val="8"/>
                <w:lang w:val="es-ES_tradnl"/>
              </w:rPr>
            </w:pPr>
          </w:p>
        </w:tc>
        <w:tc>
          <w:tcPr>
            <w:tcW w:w="0" w:type="auto"/>
          </w:tcPr>
          <w:p w:rsidR="0095367B" w:rsidRPr="00836EB3" w:rsidRDefault="0095367B" w:rsidP="00290FD6">
            <w:pPr>
              <w:pStyle w:val="Newpage"/>
              <w:widowControl w:val="0"/>
              <w:jc w:val="right"/>
              <w:rPr>
                <w:rFonts w:ascii="Times New Roman" w:hAnsi="Times New Roman" w:cs="Times New Roman"/>
                <w:b w:val="0"/>
                <w:smallCaps w:val="0"/>
                <w:sz w:val="8"/>
                <w:szCs w:val="8"/>
                <w:lang w:val="es-ES_tradnl"/>
              </w:rPr>
            </w:pP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z w:val="22"/>
                <w:szCs w:val="22"/>
                <w:lang w:val="es-ES_tradnl"/>
              </w:rPr>
            </w:pPr>
            <w:r w:rsidRPr="00836EB3">
              <w:rPr>
                <w:rFonts w:ascii="Times New Roman" w:hAnsi="Times New Roman" w:cs="Times New Roman"/>
                <w:b w:val="0"/>
                <w:sz w:val="22"/>
                <w:szCs w:val="22"/>
                <w:lang w:val="es-ES_tradnl"/>
              </w:rPr>
              <w:t>A.</w:t>
            </w:r>
          </w:p>
        </w:tc>
        <w:tc>
          <w:tcPr>
            <w:tcW w:w="0" w:type="auto"/>
          </w:tcPr>
          <w:p w:rsidR="0095367B" w:rsidRPr="00836EB3" w:rsidRDefault="0095367B" w:rsidP="00AC2607">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Breve Reseña de la Situación Actual de los Pasos de Frontera.….……………………………</w:t>
            </w:r>
          </w:p>
        </w:tc>
        <w:tc>
          <w:tcPr>
            <w:tcW w:w="0" w:type="auto"/>
          </w:tcPr>
          <w:p w:rsidR="0095367B" w:rsidRPr="00836EB3" w:rsidRDefault="00361D92" w:rsidP="00290FD6">
            <w:pPr>
              <w:pStyle w:val="Newpage"/>
              <w:widowControl w:val="0"/>
              <w:jc w:val="righ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3</w:t>
            </w: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z w:val="22"/>
                <w:szCs w:val="22"/>
                <w:lang w:val="es-ES_tradnl"/>
              </w:rPr>
            </w:pPr>
            <w:r w:rsidRPr="00836EB3">
              <w:rPr>
                <w:rFonts w:ascii="Times New Roman" w:hAnsi="Times New Roman" w:cs="Times New Roman"/>
                <w:b w:val="0"/>
                <w:sz w:val="22"/>
                <w:szCs w:val="22"/>
                <w:lang w:val="es-ES_tradnl"/>
              </w:rPr>
              <w:t>B.</w:t>
            </w:r>
          </w:p>
        </w:tc>
        <w:tc>
          <w:tcPr>
            <w:tcW w:w="0" w:type="auto"/>
          </w:tcPr>
          <w:p w:rsidR="0095367B" w:rsidRPr="00836EB3" w:rsidRDefault="0095367B" w:rsidP="00232C7C">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Tránsito Actual y Proyecciones. ……………………………..…………....…………………..</w:t>
            </w:r>
          </w:p>
        </w:tc>
        <w:tc>
          <w:tcPr>
            <w:tcW w:w="0" w:type="auto"/>
          </w:tcPr>
          <w:p w:rsidR="0095367B" w:rsidRPr="00836EB3" w:rsidRDefault="00361D92" w:rsidP="00290FD6">
            <w:pPr>
              <w:pStyle w:val="Newpage"/>
              <w:widowControl w:val="0"/>
              <w:jc w:val="righ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5</w:t>
            </w: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z w:val="22"/>
                <w:szCs w:val="22"/>
                <w:lang w:val="es-ES_tradnl"/>
              </w:rPr>
            </w:pPr>
          </w:p>
        </w:tc>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lang w:val="es-ES_tradnl"/>
              </w:rPr>
            </w:pPr>
          </w:p>
        </w:tc>
        <w:tc>
          <w:tcPr>
            <w:tcW w:w="0" w:type="auto"/>
          </w:tcPr>
          <w:p w:rsidR="0095367B" w:rsidRPr="00836EB3" w:rsidRDefault="0095367B" w:rsidP="00290FD6">
            <w:pPr>
              <w:pStyle w:val="Newpage"/>
              <w:widowControl w:val="0"/>
              <w:jc w:val="right"/>
              <w:rPr>
                <w:rFonts w:ascii="Times New Roman" w:hAnsi="Times New Roman" w:cs="Times New Roman"/>
                <w:b w:val="0"/>
                <w:smallCaps w:val="0"/>
                <w:sz w:val="22"/>
                <w:szCs w:val="22"/>
                <w:lang w:val="es-ES_tradnl"/>
              </w:rPr>
            </w:pP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sz w:val="22"/>
                <w:szCs w:val="22"/>
                <w:lang w:val="es-ES_tradnl"/>
              </w:rPr>
            </w:pPr>
            <w:r w:rsidRPr="00836EB3">
              <w:rPr>
                <w:rFonts w:ascii="Times New Roman" w:hAnsi="Times New Roman" w:cs="Times New Roman"/>
                <w:sz w:val="22"/>
                <w:szCs w:val="22"/>
                <w:lang w:val="es-ES_tradnl"/>
              </w:rPr>
              <w:t>3.</w:t>
            </w:r>
          </w:p>
        </w:tc>
        <w:tc>
          <w:tcPr>
            <w:tcW w:w="0" w:type="auto"/>
          </w:tcPr>
          <w:p w:rsidR="0095367B" w:rsidRPr="00836EB3" w:rsidRDefault="0095367B" w:rsidP="003F73BA">
            <w:pPr>
              <w:pStyle w:val="Chapter"/>
              <w:widowControl w:val="0"/>
              <w:numPr>
                <w:ilvl w:val="0"/>
                <w:numId w:val="0"/>
              </w:numPr>
              <w:tabs>
                <w:tab w:val="clear" w:pos="1440"/>
              </w:tabs>
              <w:spacing w:after="0"/>
              <w:jc w:val="lef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 xml:space="preserve">Metodología e Insumos para </w:t>
            </w:r>
            <w:r w:rsidR="003F73BA" w:rsidRPr="00836EB3">
              <w:rPr>
                <w:rFonts w:ascii="Times New Roman" w:hAnsi="Times New Roman" w:cs="Times New Roman"/>
                <w:smallCaps w:val="0"/>
                <w:sz w:val="22"/>
                <w:szCs w:val="22"/>
                <w:lang w:val="es-ES_tradnl"/>
              </w:rPr>
              <w:t>el Análisis Financiero</w:t>
            </w:r>
            <w:r w:rsidR="003F73BA" w:rsidRPr="00836EB3">
              <w:rPr>
                <w:rFonts w:ascii="Times New Roman" w:hAnsi="Times New Roman" w:cs="Times New Roman"/>
                <w:b w:val="0"/>
                <w:smallCaps w:val="0"/>
                <w:sz w:val="22"/>
                <w:szCs w:val="22"/>
                <w:lang w:val="es-ES_tradnl"/>
              </w:rPr>
              <w:t>..............................................................</w:t>
            </w:r>
          </w:p>
        </w:tc>
        <w:tc>
          <w:tcPr>
            <w:tcW w:w="0" w:type="auto"/>
          </w:tcPr>
          <w:p w:rsidR="0095367B" w:rsidRPr="00836EB3" w:rsidRDefault="0095367B" w:rsidP="003F73BA">
            <w:pPr>
              <w:pStyle w:val="Newpage"/>
              <w:widowControl w:val="0"/>
              <w:jc w:val="righ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2</w:t>
            </w:r>
            <w:r w:rsidR="003F73BA" w:rsidRPr="00836EB3">
              <w:rPr>
                <w:rFonts w:ascii="Times New Roman" w:hAnsi="Times New Roman" w:cs="Times New Roman"/>
                <w:smallCaps w:val="0"/>
                <w:sz w:val="22"/>
                <w:szCs w:val="22"/>
                <w:lang w:val="es-ES_tradnl"/>
              </w:rPr>
              <w:t>6</w:t>
            </w: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mallCaps w:val="0"/>
                <w:sz w:val="8"/>
                <w:szCs w:val="8"/>
                <w:lang w:val="es-ES_tradnl"/>
              </w:rPr>
            </w:pPr>
          </w:p>
        </w:tc>
        <w:tc>
          <w:tcPr>
            <w:tcW w:w="0" w:type="auto"/>
          </w:tcPr>
          <w:p w:rsidR="0095367B" w:rsidRPr="00836EB3" w:rsidRDefault="0095367B" w:rsidP="00290FD6">
            <w:pPr>
              <w:pStyle w:val="Newpage"/>
              <w:widowControl w:val="0"/>
              <w:jc w:val="left"/>
              <w:rPr>
                <w:rFonts w:ascii="Times New Roman" w:hAnsi="Times New Roman" w:cs="Times New Roman"/>
                <w:b w:val="0"/>
                <w:smallCaps w:val="0"/>
                <w:sz w:val="8"/>
                <w:szCs w:val="8"/>
                <w:lang w:val="es-ES_tradnl"/>
              </w:rPr>
            </w:pPr>
          </w:p>
        </w:tc>
        <w:tc>
          <w:tcPr>
            <w:tcW w:w="0" w:type="auto"/>
          </w:tcPr>
          <w:p w:rsidR="0095367B" w:rsidRPr="00836EB3" w:rsidRDefault="0095367B" w:rsidP="00290FD6">
            <w:pPr>
              <w:pStyle w:val="Newpage"/>
              <w:widowControl w:val="0"/>
              <w:jc w:val="right"/>
              <w:rPr>
                <w:rFonts w:ascii="Times New Roman" w:hAnsi="Times New Roman" w:cs="Times New Roman"/>
                <w:b w:val="0"/>
                <w:smallCaps w:val="0"/>
                <w:sz w:val="8"/>
                <w:szCs w:val="8"/>
                <w:lang w:val="es-ES_tradnl"/>
              </w:rPr>
            </w:pP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A.</w:t>
            </w:r>
          </w:p>
        </w:tc>
        <w:tc>
          <w:tcPr>
            <w:tcW w:w="0" w:type="auto"/>
          </w:tcPr>
          <w:p w:rsidR="0095367B" w:rsidRPr="00836EB3" w:rsidRDefault="0095367B" w:rsidP="003F73BA">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Metodología General</w:t>
            </w:r>
            <w:r w:rsidR="003F73BA" w:rsidRPr="00836EB3">
              <w:rPr>
                <w:rFonts w:ascii="Times New Roman" w:hAnsi="Times New Roman" w:cs="Times New Roman"/>
                <w:b w:val="0"/>
                <w:smallCaps w:val="0"/>
                <w:sz w:val="22"/>
                <w:szCs w:val="22"/>
                <w:lang w:val="es-ES_tradnl"/>
              </w:rPr>
              <w:t>...................................................................................................................</w:t>
            </w:r>
          </w:p>
        </w:tc>
        <w:tc>
          <w:tcPr>
            <w:tcW w:w="0" w:type="auto"/>
          </w:tcPr>
          <w:p w:rsidR="0095367B" w:rsidRPr="00836EB3" w:rsidRDefault="003F73BA" w:rsidP="00290FD6">
            <w:pPr>
              <w:pStyle w:val="Newpage"/>
              <w:widowControl w:val="0"/>
              <w:jc w:val="righ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26</w:t>
            </w: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B.</w:t>
            </w:r>
          </w:p>
        </w:tc>
        <w:tc>
          <w:tcPr>
            <w:tcW w:w="0" w:type="auto"/>
          </w:tcPr>
          <w:p w:rsidR="0095367B" w:rsidRPr="00836EB3" w:rsidRDefault="0095367B" w:rsidP="003F73BA">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E</w:t>
            </w:r>
            <w:r w:rsidR="003F73BA" w:rsidRPr="00836EB3">
              <w:rPr>
                <w:rFonts w:ascii="Times New Roman" w:hAnsi="Times New Roman" w:cs="Times New Roman"/>
                <w:b w:val="0"/>
                <w:smallCaps w:val="0"/>
                <w:sz w:val="22"/>
                <w:szCs w:val="22"/>
                <w:lang w:val="es-ES_tradnl"/>
              </w:rPr>
              <w:t>gresos........................................................................................................................................</w:t>
            </w:r>
          </w:p>
        </w:tc>
        <w:tc>
          <w:tcPr>
            <w:tcW w:w="0" w:type="auto"/>
          </w:tcPr>
          <w:p w:rsidR="0095367B" w:rsidRPr="00836EB3" w:rsidRDefault="0095367B" w:rsidP="00290FD6">
            <w:pPr>
              <w:pStyle w:val="Newpage"/>
              <w:widowControl w:val="0"/>
              <w:jc w:val="righ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26</w:t>
            </w: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C.</w:t>
            </w:r>
          </w:p>
        </w:tc>
        <w:tc>
          <w:tcPr>
            <w:tcW w:w="0" w:type="auto"/>
          </w:tcPr>
          <w:p w:rsidR="0095367B" w:rsidRPr="00836EB3" w:rsidRDefault="003F73BA" w:rsidP="003F73BA">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Ingresos.......................................................................................................................................</w:t>
            </w:r>
          </w:p>
        </w:tc>
        <w:tc>
          <w:tcPr>
            <w:tcW w:w="0" w:type="auto"/>
          </w:tcPr>
          <w:p w:rsidR="0095367B" w:rsidRPr="00836EB3" w:rsidRDefault="0095367B" w:rsidP="003F73BA">
            <w:pPr>
              <w:pStyle w:val="Newpage"/>
              <w:widowControl w:val="0"/>
              <w:jc w:val="right"/>
              <w:rPr>
                <w:b w:val="0"/>
                <w:smallCaps w:val="0"/>
                <w:sz w:val="22"/>
                <w:szCs w:val="22"/>
                <w:lang w:val="es-ES_tradnl"/>
              </w:rPr>
            </w:pPr>
            <w:r w:rsidRPr="00836EB3">
              <w:rPr>
                <w:rFonts w:ascii="Times New Roman" w:hAnsi="Times New Roman" w:cs="Times New Roman"/>
                <w:b w:val="0"/>
                <w:smallCaps w:val="0"/>
                <w:sz w:val="22"/>
                <w:szCs w:val="22"/>
                <w:lang w:val="es-ES_tradnl"/>
              </w:rPr>
              <w:t>2</w:t>
            </w:r>
            <w:r w:rsidR="003F73BA" w:rsidRPr="00836EB3">
              <w:rPr>
                <w:rFonts w:ascii="Times New Roman" w:hAnsi="Times New Roman" w:cs="Times New Roman"/>
                <w:b w:val="0"/>
                <w:smallCaps w:val="0"/>
                <w:sz w:val="22"/>
                <w:szCs w:val="22"/>
                <w:lang w:val="es-ES_tradnl"/>
              </w:rPr>
              <w:t>7</w:t>
            </w: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lang w:val="es-ES_tradnl"/>
              </w:rPr>
            </w:pPr>
          </w:p>
        </w:tc>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rPr>
            </w:pPr>
          </w:p>
        </w:tc>
        <w:tc>
          <w:tcPr>
            <w:tcW w:w="0" w:type="auto"/>
          </w:tcPr>
          <w:p w:rsidR="0095367B" w:rsidRPr="00836EB3" w:rsidRDefault="0095367B" w:rsidP="00290FD6">
            <w:pPr>
              <w:pStyle w:val="Newpage"/>
              <w:widowControl w:val="0"/>
              <w:jc w:val="right"/>
              <w:rPr>
                <w:rFonts w:ascii="Times New Roman" w:hAnsi="Times New Roman" w:cs="Times New Roman"/>
                <w:b w:val="0"/>
                <w:smallCaps w:val="0"/>
                <w:sz w:val="22"/>
                <w:szCs w:val="22"/>
                <w:lang w:val="es-ES_tradnl"/>
              </w:rPr>
            </w:pP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4.</w:t>
            </w:r>
          </w:p>
        </w:tc>
        <w:tc>
          <w:tcPr>
            <w:tcW w:w="0" w:type="auto"/>
          </w:tcPr>
          <w:p w:rsidR="0095367B" w:rsidRPr="00836EB3" w:rsidRDefault="003F73BA" w:rsidP="003F73BA">
            <w:pPr>
              <w:pStyle w:val="Chapter"/>
              <w:widowControl w:val="0"/>
              <w:numPr>
                <w:ilvl w:val="0"/>
                <w:numId w:val="0"/>
              </w:numPr>
              <w:tabs>
                <w:tab w:val="clear" w:pos="1440"/>
              </w:tabs>
              <w:spacing w:after="0"/>
              <w:jc w:val="left"/>
              <w:rPr>
                <w:rFonts w:ascii="Times New Roman" w:hAnsi="Times New Roman" w:cs="Times New Roman"/>
                <w:smallCaps w:val="0"/>
                <w:sz w:val="22"/>
                <w:szCs w:val="22"/>
              </w:rPr>
            </w:pPr>
            <w:r w:rsidRPr="00836EB3">
              <w:rPr>
                <w:rFonts w:ascii="Times New Roman" w:hAnsi="Times New Roman" w:cs="Times New Roman"/>
                <w:smallCaps w:val="0"/>
                <w:sz w:val="22"/>
                <w:szCs w:val="22"/>
                <w:lang w:val="es-ES_tradnl"/>
              </w:rPr>
              <w:t>Flujo de Egresos</w:t>
            </w:r>
            <w:r w:rsidRPr="00836EB3">
              <w:rPr>
                <w:rFonts w:ascii="Times New Roman" w:hAnsi="Times New Roman" w:cs="Times New Roman"/>
                <w:b w:val="0"/>
                <w:smallCaps w:val="0"/>
                <w:sz w:val="22"/>
                <w:szCs w:val="22"/>
                <w:lang w:val="es-ES_tradnl"/>
              </w:rPr>
              <w:t>........................................................................................................................</w:t>
            </w:r>
          </w:p>
        </w:tc>
        <w:tc>
          <w:tcPr>
            <w:tcW w:w="0" w:type="auto"/>
          </w:tcPr>
          <w:p w:rsidR="0095367B" w:rsidRPr="00836EB3" w:rsidRDefault="0095367B" w:rsidP="003F73BA">
            <w:pPr>
              <w:pStyle w:val="Newpage"/>
              <w:widowControl w:val="0"/>
              <w:jc w:val="right"/>
              <w:rPr>
                <w:rFonts w:ascii="Times New Roman" w:hAnsi="Times New Roman" w:cs="Times New Roman"/>
                <w:smallCaps w:val="0"/>
                <w:sz w:val="22"/>
                <w:szCs w:val="22"/>
              </w:rPr>
            </w:pPr>
            <w:r w:rsidRPr="00836EB3">
              <w:rPr>
                <w:rFonts w:ascii="Times New Roman" w:hAnsi="Times New Roman" w:cs="Times New Roman"/>
                <w:smallCaps w:val="0"/>
                <w:sz w:val="22"/>
                <w:szCs w:val="22"/>
              </w:rPr>
              <w:t>2</w:t>
            </w:r>
            <w:r w:rsidR="003F73BA" w:rsidRPr="00836EB3">
              <w:rPr>
                <w:rFonts w:ascii="Times New Roman" w:hAnsi="Times New Roman" w:cs="Times New Roman"/>
                <w:smallCaps w:val="0"/>
                <w:sz w:val="22"/>
                <w:szCs w:val="22"/>
              </w:rPr>
              <w:t>8</w:t>
            </w: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mallCaps w:val="0"/>
                <w:sz w:val="8"/>
                <w:szCs w:val="8"/>
                <w:lang w:val="es-ES_tradnl"/>
              </w:rPr>
            </w:pPr>
          </w:p>
        </w:tc>
        <w:tc>
          <w:tcPr>
            <w:tcW w:w="0" w:type="auto"/>
          </w:tcPr>
          <w:p w:rsidR="0095367B" w:rsidRPr="00836EB3" w:rsidRDefault="0095367B" w:rsidP="00290FD6">
            <w:pPr>
              <w:pStyle w:val="Newpage"/>
              <w:widowControl w:val="0"/>
              <w:jc w:val="left"/>
              <w:rPr>
                <w:rFonts w:ascii="Times New Roman" w:hAnsi="Times New Roman" w:cs="Times New Roman"/>
                <w:b w:val="0"/>
                <w:smallCaps w:val="0"/>
                <w:sz w:val="8"/>
                <w:szCs w:val="8"/>
                <w:lang w:val="es-ES_tradnl"/>
              </w:rPr>
            </w:pPr>
          </w:p>
        </w:tc>
        <w:tc>
          <w:tcPr>
            <w:tcW w:w="0" w:type="auto"/>
          </w:tcPr>
          <w:p w:rsidR="0095367B" w:rsidRPr="00836EB3" w:rsidRDefault="0095367B" w:rsidP="00290FD6">
            <w:pPr>
              <w:pStyle w:val="Newpage"/>
              <w:widowControl w:val="0"/>
              <w:jc w:val="right"/>
              <w:rPr>
                <w:rFonts w:ascii="Times New Roman" w:hAnsi="Times New Roman" w:cs="Times New Roman"/>
                <w:b w:val="0"/>
                <w:smallCaps w:val="0"/>
                <w:sz w:val="8"/>
                <w:szCs w:val="8"/>
                <w:lang w:val="es-ES_tradnl"/>
              </w:rPr>
            </w:pP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A.</w:t>
            </w:r>
          </w:p>
        </w:tc>
        <w:tc>
          <w:tcPr>
            <w:tcW w:w="0" w:type="auto"/>
          </w:tcPr>
          <w:p w:rsidR="0095367B" w:rsidRPr="00836EB3" w:rsidRDefault="003F73BA" w:rsidP="003B0DBD">
            <w:pPr>
              <w:pStyle w:val="Newpage"/>
              <w:widowControl w:val="0"/>
              <w:jc w:val="left"/>
              <w:rPr>
                <w:rFonts w:ascii="Times New Roman" w:hAnsi="Times New Roman" w:cs="Times New Roman"/>
                <w:b w:val="0"/>
                <w:smallCaps w:val="0"/>
                <w:sz w:val="22"/>
                <w:szCs w:val="22"/>
              </w:rPr>
            </w:pPr>
            <w:r w:rsidRPr="00836EB3">
              <w:rPr>
                <w:rFonts w:ascii="Times New Roman" w:hAnsi="Times New Roman" w:cs="Times New Roman"/>
                <w:b w:val="0"/>
                <w:smallCaps w:val="0"/>
                <w:sz w:val="22"/>
                <w:szCs w:val="22"/>
                <w:lang w:val="es-ES_tradnl"/>
              </w:rPr>
              <w:t>Flujo de Pagos por Amortización e Intereses del Préstamo........................................................</w:t>
            </w:r>
          </w:p>
        </w:tc>
        <w:tc>
          <w:tcPr>
            <w:tcW w:w="0" w:type="auto"/>
          </w:tcPr>
          <w:p w:rsidR="0095367B" w:rsidRPr="00836EB3" w:rsidRDefault="0095367B" w:rsidP="003F73BA">
            <w:pPr>
              <w:pStyle w:val="Newpage"/>
              <w:widowControl w:val="0"/>
              <w:jc w:val="righ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2</w:t>
            </w:r>
            <w:r w:rsidR="003F73BA" w:rsidRPr="00836EB3">
              <w:rPr>
                <w:rFonts w:ascii="Times New Roman" w:hAnsi="Times New Roman" w:cs="Times New Roman"/>
                <w:b w:val="0"/>
                <w:smallCaps w:val="0"/>
                <w:sz w:val="22"/>
                <w:szCs w:val="22"/>
                <w:lang w:val="es-ES_tradnl"/>
              </w:rPr>
              <w:t>8</w:t>
            </w: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B.</w:t>
            </w:r>
          </w:p>
        </w:tc>
        <w:tc>
          <w:tcPr>
            <w:tcW w:w="0" w:type="auto"/>
          </w:tcPr>
          <w:p w:rsidR="0095367B" w:rsidRPr="00836EB3" w:rsidRDefault="003F73BA" w:rsidP="00232C7C">
            <w:pPr>
              <w:pStyle w:val="Newpage"/>
              <w:widowControl w:val="0"/>
              <w:jc w:val="left"/>
              <w:rPr>
                <w:rFonts w:ascii="Times New Roman" w:hAnsi="Times New Roman" w:cs="Times New Roman"/>
                <w:b w:val="0"/>
                <w:smallCaps w:val="0"/>
                <w:sz w:val="22"/>
                <w:szCs w:val="22"/>
              </w:rPr>
            </w:pPr>
            <w:r w:rsidRPr="00836EB3">
              <w:rPr>
                <w:rFonts w:ascii="Times New Roman" w:hAnsi="Times New Roman" w:cs="Times New Roman"/>
                <w:b w:val="0"/>
                <w:smallCaps w:val="0"/>
                <w:sz w:val="22"/>
                <w:szCs w:val="22"/>
                <w:lang w:val="es-ES_tradnl"/>
              </w:rPr>
              <w:t>Flujo de Costos Incrementales de Funcionamiento y Mantenimiento........................................</w:t>
            </w:r>
          </w:p>
        </w:tc>
        <w:tc>
          <w:tcPr>
            <w:tcW w:w="0" w:type="auto"/>
          </w:tcPr>
          <w:p w:rsidR="0095367B" w:rsidRPr="00836EB3" w:rsidRDefault="003F73BA" w:rsidP="00290FD6">
            <w:pPr>
              <w:pStyle w:val="Newpage"/>
              <w:widowControl w:val="0"/>
              <w:jc w:val="righ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30</w:t>
            </w: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lang w:val="es-ES_tradnl"/>
              </w:rPr>
            </w:pPr>
          </w:p>
        </w:tc>
        <w:tc>
          <w:tcPr>
            <w:tcW w:w="0" w:type="auto"/>
          </w:tcPr>
          <w:p w:rsidR="0095367B" w:rsidRPr="00836EB3" w:rsidRDefault="0095367B" w:rsidP="00290FD6">
            <w:pPr>
              <w:pStyle w:val="Newpage"/>
              <w:widowControl w:val="0"/>
              <w:jc w:val="left"/>
              <w:rPr>
                <w:b w:val="0"/>
                <w:smallCaps w:val="0"/>
                <w:sz w:val="22"/>
                <w:szCs w:val="22"/>
                <w:lang w:val="es-ES_tradnl"/>
              </w:rPr>
            </w:pPr>
          </w:p>
        </w:tc>
        <w:tc>
          <w:tcPr>
            <w:tcW w:w="0" w:type="auto"/>
          </w:tcPr>
          <w:p w:rsidR="0095367B" w:rsidRPr="00836EB3" w:rsidRDefault="0095367B" w:rsidP="00290FD6">
            <w:pPr>
              <w:pStyle w:val="Newpage"/>
              <w:widowControl w:val="0"/>
              <w:jc w:val="right"/>
              <w:rPr>
                <w:rFonts w:ascii="Times New Roman" w:hAnsi="Times New Roman" w:cs="Times New Roman"/>
                <w:b w:val="0"/>
                <w:smallCaps w:val="0"/>
                <w:sz w:val="22"/>
                <w:szCs w:val="22"/>
                <w:lang w:val="es-ES_tradnl"/>
              </w:rPr>
            </w:pPr>
          </w:p>
        </w:tc>
      </w:tr>
      <w:tr w:rsidR="0095367B" w:rsidRPr="00836EB3" w:rsidTr="00290FD6">
        <w:tc>
          <w:tcPr>
            <w:tcW w:w="0" w:type="auto"/>
          </w:tcPr>
          <w:p w:rsidR="0095367B" w:rsidRPr="00836EB3" w:rsidRDefault="0095367B" w:rsidP="009B2C66">
            <w:pPr>
              <w:pStyle w:val="Newpage"/>
              <w:widowControl w:val="0"/>
              <w:jc w:val="lef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5.</w:t>
            </w:r>
          </w:p>
        </w:tc>
        <w:tc>
          <w:tcPr>
            <w:tcW w:w="0" w:type="auto"/>
          </w:tcPr>
          <w:p w:rsidR="0095367B" w:rsidRPr="00836EB3" w:rsidRDefault="00BE7445" w:rsidP="00882FEF">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smallCaps w:val="0"/>
                <w:sz w:val="22"/>
                <w:szCs w:val="22"/>
                <w:lang w:val="es-ES_tradnl"/>
              </w:rPr>
              <w:t>Flujo de Ingresos</w:t>
            </w:r>
            <w:r w:rsidRPr="00836EB3">
              <w:rPr>
                <w:rFonts w:ascii="Times New Roman" w:hAnsi="Times New Roman" w:cs="Times New Roman"/>
                <w:b w:val="0"/>
                <w:smallCaps w:val="0"/>
                <w:sz w:val="22"/>
                <w:szCs w:val="22"/>
                <w:lang w:val="es-ES_tradnl"/>
              </w:rPr>
              <w:t>.......................................................................................................................</w:t>
            </w:r>
          </w:p>
        </w:tc>
        <w:tc>
          <w:tcPr>
            <w:tcW w:w="0" w:type="auto"/>
          </w:tcPr>
          <w:p w:rsidR="0095367B" w:rsidRPr="00836EB3" w:rsidRDefault="0095367B" w:rsidP="00BE7445">
            <w:pPr>
              <w:pStyle w:val="Newpage"/>
              <w:widowControl w:val="0"/>
              <w:jc w:val="righ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3</w:t>
            </w:r>
            <w:r w:rsidR="00BE7445" w:rsidRPr="00836EB3">
              <w:rPr>
                <w:rFonts w:ascii="Times New Roman" w:hAnsi="Times New Roman" w:cs="Times New Roman"/>
                <w:smallCaps w:val="0"/>
                <w:sz w:val="22"/>
                <w:szCs w:val="22"/>
                <w:lang w:val="es-ES_tradnl"/>
              </w:rPr>
              <w:t>2</w:t>
            </w:r>
          </w:p>
        </w:tc>
      </w:tr>
      <w:tr w:rsidR="0095367B" w:rsidRPr="00836EB3" w:rsidTr="000D7391">
        <w:trPr>
          <w:trHeight w:hRule="exact" w:val="57"/>
        </w:trPr>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lang w:val="es-ES_tradnl"/>
              </w:rPr>
            </w:pPr>
          </w:p>
        </w:tc>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lang w:val="es-ES_tradnl"/>
              </w:rPr>
            </w:pPr>
          </w:p>
        </w:tc>
        <w:tc>
          <w:tcPr>
            <w:tcW w:w="0" w:type="auto"/>
          </w:tcPr>
          <w:p w:rsidR="0095367B" w:rsidRPr="00836EB3" w:rsidRDefault="0095367B" w:rsidP="009528DB">
            <w:pPr>
              <w:pStyle w:val="Newpage"/>
              <w:widowControl w:val="0"/>
              <w:jc w:val="left"/>
              <w:rPr>
                <w:rFonts w:ascii="Times New Roman" w:hAnsi="Times New Roman" w:cs="Times New Roman"/>
                <w:b w:val="0"/>
                <w:smallCaps w:val="0"/>
                <w:sz w:val="22"/>
                <w:szCs w:val="22"/>
                <w:lang w:val="es-ES_tradnl"/>
              </w:rPr>
            </w:pP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A.</w:t>
            </w:r>
          </w:p>
        </w:tc>
        <w:tc>
          <w:tcPr>
            <w:tcW w:w="0" w:type="auto"/>
          </w:tcPr>
          <w:p w:rsidR="0095367B" w:rsidRPr="00836EB3" w:rsidRDefault="00BE7445" w:rsidP="00AC2607">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Flujo por Recaudación de Tasas a Usuarios...............................................................................</w:t>
            </w:r>
          </w:p>
        </w:tc>
        <w:tc>
          <w:tcPr>
            <w:tcW w:w="0" w:type="auto"/>
          </w:tcPr>
          <w:p w:rsidR="0095367B" w:rsidRPr="00836EB3" w:rsidRDefault="0095367B" w:rsidP="00BE7445">
            <w:pPr>
              <w:pStyle w:val="Newpage"/>
              <w:widowControl w:val="0"/>
              <w:jc w:val="right"/>
              <w:rPr>
                <w:rFonts w:ascii="Times New Roman" w:hAnsi="Times New Roman" w:cs="Times New Roman"/>
                <w:b w:val="0"/>
                <w:smallCaps w:val="0"/>
                <w:sz w:val="22"/>
                <w:szCs w:val="22"/>
                <w:lang w:val="es-ES_tradnl"/>
              </w:rPr>
            </w:pPr>
            <w:r w:rsidRPr="00836EB3">
              <w:rPr>
                <w:rFonts w:ascii="Times New Roman" w:hAnsi="Times New Roman" w:cs="Times New Roman"/>
                <w:b w:val="0"/>
                <w:smallCaps w:val="0"/>
                <w:sz w:val="22"/>
                <w:szCs w:val="22"/>
                <w:lang w:val="es-ES_tradnl"/>
              </w:rPr>
              <w:t>3</w:t>
            </w:r>
            <w:r w:rsidR="00BE7445" w:rsidRPr="00836EB3">
              <w:rPr>
                <w:rFonts w:ascii="Times New Roman" w:hAnsi="Times New Roman" w:cs="Times New Roman"/>
                <w:b w:val="0"/>
                <w:smallCaps w:val="0"/>
                <w:sz w:val="22"/>
                <w:szCs w:val="22"/>
                <w:lang w:val="es-ES_tradnl"/>
              </w:rPr>
              <w:t>2</w:t>
            </w:r>
          </w:p>
        </w:tc>
      </w:tr>
      <w:tr w:rsidR="0095367B" w:rsidRPr="00836EB3" w:rsidTr="00290FD6">
        <w:tc>
          <w:tcPr>
            <w:tcW w:w="0" w:type="auto"/>
          </w:tcPr>
          <w:p w:rsidR="0095367B" w:rsidRPr="00836EB3" w:rsidRDefault="0095367B" w:rsidP="00290FD6">
            <w:pPr>
              <w:pStyle w:val="Newpage"/>
              <w:widowControl w:val="0"/>
              <w:jc w:val="left"/>
              <w:rPr>
                <w:b w:val="0"/>
                <w:smallCaps w:val="0"/>
                <w:sz w:val="22"/>
                <w:szCs w:val="22"/>
                <w:lang w:val="es-ES_tradnl"/>
              </w:rPr>
            </w:pPr>
          </w:p>
        </w:tc>
        <w:tc>
          <w:tcPr>
            <w:tcW w:w="0" w:type="auto"/>
          </w:tcPr>
          <w:p w:rsidR="0095367B" w:rsidRPr="00836EB3" w:rsidRDefault="0095367B" w:rsidP="00290FD6">
            <w:pPr>
              <w:pStyle w:val="Newpage"/>
              <w:widowControl w:val="0"/>
              <w:jc w:val="left"/>
              <w:rPr>
                <w:b w:val="0"/>
                <w:smallCaps w:val="0"/>
                <w:sz w:val="22"/>
                <w:szCs w:val="22"/>
                <w:lang w:val="es-ES_tradnl"/>
              </w:rPr>
            </w:pPr>
          </w:p>
        </w:tc>
        <w:tc>
          <w:tcPr>
            <w:tcW w:w="0" w:type="auto"/>
          </w:tcPr>
          <w:p w:rsidR="0095367B" w:rsidRPr="00836EB3" w:rsidRDefault="0095367B" w:rsidP="00290FD6">
            <w:pPr>
              <w:pStyle w:val="Newpage"/>
              <w:widowControl w:val="0"/>
              <w:jc w:val="right"/>
              <w:rPr>
                <w:b w:val="0"/>
                <w:smallCaps w:val="0"/>
                <w:sz w:val="22"/>
                <w:szCs w:val="22"/>
                <w:lang w:val="es-ES_tradnl"/>
              </w:rPr>
            </w:pPr>
          </w:p>
        </w:tc>
      </w:tr>
      <w:tr w:rsidR="0095367B" w:rsidRPr="00836EB3" w:rsidTr="00290FD6">
        <w:tc>
          <w:tcPr>
            <w:tcW w:w="0" w:type="auto"/>
          </w:tcPr>
          <w:p w:rsidR="0095367B" w:rsidRPr="00836EB3" w:rsidRDefault="0095367B" w:rsidP="00290FD6">
            <w:pPr>
              <w:pStyle w:val="Newpage"/>
              <w:widowControl w:val="0"/>
              <w:jc w:val="left"/>
              <w:rPr>
                <w:smallCaps w:val="0"/>
                <w:sz w:val="22"/>
                <w:szCs w:val="22"/>
                <w:lang w:val="es-ES_tradnl"/>
              </w:rPr>
            </w:pPr>
            <w:r w:rsidRPr="00836EB3">
              <w:rPr>
                <w:rFonts w:ascii="Times New Roman" w:hAnsi="Times New Roman" w:cs="Times New Roman"/>
                <w:smallCaps w:val="0"/>
                <w:sz w:val="22"/>
                <w:szCs w:val="22"/>
                <w:lang w:val="es-ES_tradnl"/>
              </w:rPr>
              <w:t>6.</w:t>
            </w:r>
          </w:p>
        </w:tc>
        <w:tc>
          <w:tcPr>
            <w:tcW w:w="0" w:type="auto"/>
          </w:tcPr>
          <w:p w:rsidR="0095367B" w:rsidRPr="00836EB3" w:rsidRDefault="00BE7445" w:rsidP="00BE7445">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smallCaps w:val="0"/>
                <w:sz w:val="22"/>
                <w:szCs w:val="22"/>
                <w:lang w:val="es-ES_tradnl"/>
              </w:rPr>
              <w:t>Análisis Financiero</w:t>
            </w:r>
            <w:r w:rsidRPr="00836EB3">
              <w:rPr>
                <w:rFonts w:ascii="Times New Roman" w:hAnsi="Times New Roman" w:cs="Times New Roman"/>
                <w:b w:val="0"/>
                <w:smallCaps w:val="0"/>
                <w:sz w:val="22"/>
                <w:szCs w:val="22"/>
                <w:lang w:val="es-ES_tradnl"/>
              </w:rPr>
              <w:t>....................................................................................................................</w:t>
            </w:r>
          </w:p>
        </w:tc>
        <w:tc>
          <w:tcPr>
            <w:tcW w:w="0" w:type="auto"/>
          </w:tcPr>
          <w:p w:rsidR="0095367B" w:rsidRPr="00836EB3" w:rsidRDefault="00BE7445" w:rsidP="00155383">
            <w:pPr>
              <w:pStyle w:val="Newpage"/>
              <w:widowControl w:val="0"/>
              <w:jc w:val="righ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33</w:t>
            </w:r>
          </w:p>
        </w:tc>
      </w:tr>
      <w:tr w:rsidR="0095367B" w:rsidRPr="00836EB3" w:rsidTr="00290FD6">
        <w:tc>
          <w:tcPr>
            <w:tcW w:w="0" w:type="auto"/>
          </w:tcPr>
          <w:p w:rsidR="0095367B" w:rsidRPr="00836EB3" w:rsidRDefault="0095367B" w:rsidP="00290FD6">
            <w:pPr>
              <w:pStyle w:val="Newpage"/>
              <w:widowControl w:val="0"/>
              <w:jc w:val="left"/>
              <w:rPr>
                <w:smallCaps w:val="0"/>
                <w:sz w:val="22"/>
                <w:szCs w:val="22"/>
                <w:lang w:val="es-ES_tradnl"/>
              </w:rPr>
            </w:pPr>
          </w:p>
        </w:tc>
        <w:tc>
          <w:tcPr>
            <w:tcW w:w="0" w:type="auto"/>
          </w:tcPr>
          <w:p w:rsidR="0095367B" w:rsidRPr="00836EB3" w:rsidRDefault="0095367B" w:rsidP="00F006DC">
            <w:pPr>
              <w:pStyle w:val="Newpage"/>
              <w:widowControl w:val="0"/>
              <w:jc w:val="left"/>
              <w:rPr>
                <w:smallCaps w:val="0"/>
                <w:sz w:val="22"/>
                <w:szCs w:val="22"/>
                <w:lang w:val="es-ES_tradnl"/>
              </w:rPr>
            </w:pPr>
          </w:p>
        </w:tc>
        <w:tc>
          <w:tcPr>
            <w:tcW w:w="0" w:type="auto"/>
          </w:tcPr>
          <w:p w:rsidR="0095367B" w:rsidRPr="00836EB3" w:rsidRDefault="0095367B" w:rsidP="00F006DC">
            <w:pPr>
              <w:pStyle w:val="Newpage"/>
              <w:widowControl w:val="0"/>
              <w:jc w:val="right"/>
              <w:rPr>
                <w:smallCaps w:val="0"/>
                <w:sz w:val="22"/>
                <w:szCs w:val="22"/>
                <w:lang w:val="es-ES_tradnl"/>
              </w:rPr>
            </w:pPr>
          </w:p>
        </w:tc>
      </w:tr>
      <w:tr w:rsidR="0095367B" w:rsidRPr="00836EB3" w:rsidTr="00290FD6">
        <w:tc>
          <w:tcPr>
            <w:tcW w:w="0" w:type="auto"/>
          </w:tcPr>
          <w:p w:rsidR="0095367B" w:rsidRPr="00836EB3" w:rsidRDefault="0095367B" w:rsidP="00290FD6">
            <w:pPr>
              <w:pStyle w:val="Newpage"/>
              <w:widowControl w:val="0"/>
              <w:jc w:val="lef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7.</w:t>
            </w:r>
          </w:p>
        </w:tc>
        <w:tc>
          <w:tcPr>
            <w:tcW w:w="0" w:type="auto"/>
          </w:tcPr>
          <w:p w:rsidR="0095367B" w:rsidRPr="00836EB3" w:rsidRDefault="0095367B" w:rsidP="00290FD6">
            <w:pPr>
              <w:pStyle w:val="Newpage"/>
              <w:widowControl w:val="0"/>
              <w:jc w:val="lef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Análisis de Sensibilidad</w:t>
            </w:r>
            <w:r w:rsidRPr="00836EB3">
              <w:rPr>
                <w:rFonts w:ascii="Times New Roman" w:hAnsi="Times New Roman" w:cs="Times New Roman"/>
                <w:b w:val="0"/>
                <w:smallCaps w:val="0"/>
                <w:sz w:val="22"/>
                <w:szCs w:val="22"/>
                <w:lang w:val="es-ES_tradnl"/>
              </w:rPr>
              <w:t>….......................................................................................................</w:t>
            </w:r>
            <w:r w:rsidR="00BE7445" w:rsidRPr="00836EB3">
              <w:rPr>
                <w:rFonts w:ascii="Times New Roman" w:hAnsi="Times New Roman" w:cs="Times New Roman"/>
                <w:b w:val="0"/>
                <w:smallCaps w:val="0"/>
                <w:sz w:val="22"/>
                <w:szCs w:val="22"/>
                <w:lang w:val="es-ES_tradnl"/>
              </w:rPr>
              <w:t>.</w:t>
            </w:r>
          </w:p>
        </w:tc>
        <w:tc>
          <w:tcPr>
            <w:tcW w:w="0" w:type="auto"/>
          </w:tcPr>
          <w:p w:rsidR="0095367B" w:rsidRPr="00836EB3" w:rsidRDefault="00BE7445" w:rsidP="00155383">
            <w:pPr>
              <w:pStyle w:val="Newpage"/>
              <w:widowControl w:val="0"/>
              <w:jc w:val="righ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39</w:t>
            </w:r>
          </w:p>
        </w:tc>
      </w:tr>
      <w:tr w:rsidR="0095367B" w:rsidRPr="00836EB3" w:rsidTr="00290FD6">
        <w:tc>
          <w:tcPr>
            <w:tcW w:w="0" w:type="auto"/>
          </w:tcPr>
          <w:p w:rsidR="0095367B" w:rsidRPr="00836EB3" w:rsidRDefault="0095367B" w:rsidP="00290FD6">
            <w:pPr>
              <w:pStyle w:val="Newpage"/>
              <w:widowControl w:val="0"/>
              <w:jc w:val="left"/>
              <w:rPr>
                <w:smallCaps w:val="0"/>
                <w:sz w:val="22"/>
                <w:szCs w:val="22"/>
                <w:lang w:val="es-ES_tradnl"/>
              </w:rPr>
            </w:pPr>
          </w:p>
        </w:tc>
        <w:tc>
          <w:tcPr>
            <w:tcW w:w="0" w:type="auto"/>
          </w:tcPr>
          <w:p w:rsidR="0095367B" w:rsidRPr="00836EB3" w:rsidRDefault="0095367B" w:rsidP="00290FD6">
            <w:pPr>
              <w:pStyle w:val="Newpage"/>
              <w:widowControl w:val="0"/>
              <w:jc w:val="left"/>
              <w:rPr>
                <w:smallCaps w:val="0"/>
                <w:sz w:val="22"/>
                <w:szCs w:val="22"/>
                <w:lang w:val="es-ES_tradnl"/>
              </w:rPr>
            </w:pPr>
          </w:p>
        </w:tc>
        <w:tc>
          <w:tcPr>
            <w:tcW w:w="0" w:type="auto"/>
          </w:tcPr>
          <w:p w:rsidR="0095367B" w:rsidRPr="00836EB3" w:rsidRDefault="0095367B" w:rsidP="00F006DC">
            <w:pPr>
              <w:pStyle w:val="Newpage"/>
              <w:widowControl w:val="0"/>
              <w:jc w:val="right"/>
              <w:rPr>
                <w:smallCaps w:val="0"/>
                <w:sz w:val="22"/>
                <w:szCs w:val="22"/>
                <w:lang w:val="es-ES_tradnl"/>
              </w:rPr>
            </w:pPr>
          </w:p>
        </w:tc>
      </w:tr>
      <w:tr w:rsidR="0095367B" w:rsidRPr="00836EB3" w:rsidTr="00290FD6">
        <w:tc>
          <w:tcPr>
            <w:tcW w:w="0" w:type="auto"/>
          </w:tcPr>
          <w:p w:rsidR="0095367B" w:rsidRPr="00836EB3" w:rsidRDefault="0095367B" w:rsidP="00CB5737">
            <w:pPr>
              <w:pStyle w:val="Newpage"/>
              <w:widowControl w:val="0"/>
              <w:jc w:val="lef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8.</w:t>
            </w:r>
          </w:p>
        </w:tc>
        <w:tc>
          <w:tcPr>
            <w:tcW w:w="0" w:type="auto"/>
          </w:tcPr>
          <w:p w:rsidR="0095367B" w:rsidRPr="00836EB3" w:rsidRDefault="0095367B" w:rsidP="00BE7445">
            <w:pPr>
              <w:pStyle w:val="Newpage"/>
              <w:widowControl w:val="0"/>
              <w:jc w:val="left"/>
              <w:rPr>
                <w:rFonts w:ascii="Times New Roman" w:hAnsi="Times New Roman" w:cs="Times New Roman"/>
                <w:b w:val="0"/>
                <w:smallCaps w:val="0"/>
                <w:sz w:val="22"/>
                <w:szCs w:val="22"/>
                <w:lang w:val="es-ES_tradnl"/>
              </w:rPr>
            </w:pPr>
            <w:r w:rsidRPr="00836EB3">
              <w:rPr>
                <w:rFonts w:ascii="Times New Roman" w:hAnsi="Times New Roman" w:cs="Times New Roman"/>
                <w:smallCaps w:val="0"/>
                <w:sz w:val="22"/>
                <w:szCs w:val="22"/>
                <w:lang w:val="es-ES_tradnl"/>
              </w:rPr>
              <w:t>Resumen de</w:t>
            </w:r>
            <w:r w:rsidR="00BE7445" w:rsidRPr="00836EB3">
              <w:rPr>
                <w:rFonts w:ascii="Times New Roman" w:hAnsi="Times New Roman" w:cs="Times New Roman"/>
                <w:smallCaps w:val="0"/>
                <w:sz w:val="22"/>
                <w:szCs w:val="22"/>
                <w:lang w:val="es-ES_tradnl"/>
              </w:rPr>
              <w:t>l</w:t>
            </w:r>
            <w:r w:rsidRPr="00836EB3">
              <w:rPr>
                <w:rFonts w:ascii="Times New Roman" w:hAnsi="Times New Roman" w:cs="Times New Roman"/>
                <w:smallCaps w:val="0"/>
                <w:sz w:val="22"/>
                <w:szCs w:val="22"/>
                <w:lang w:val="es-ES_tradnl"/>
              </w:rPr>
              <w:t xml:space="preserve"> Análisis </w:t>
            </w:r>
            <w:r w:rsidR="00BE7445" w:rsidRPr="00836EB3">
              <w:rPr>
                <w:rFonts w:ascii="Times New Roman" w:hAnsi="Times New Roman" w:cs="Times New Roman"/>
                <w:smallCaps w:val="0"/>
                <w:sz w:val="22"/>
                <w:szCs w:val="22"/>
                <w:lang w:val="es-ES_tradnl"/>
              </w:rPr>
              <w:t>Financiero y Conclusiones</w:t>
            </w:r>
            <w:r w:rsidR="00BE7445" w:rsidRPr="00836EB3">
              <w:rPr>
                <w:rFonts w:ascii="Times New Roman" w:hAnsi="Times New Roman" w:cs="Times New Roman"/>
                <w:b w:val="0"/>
                <w:smallCaps w:val="0"/>
                <w:sz w:val="22"/>
                <w:szCs w:val="22"/>
                <w:lang w:val="es-ES_tradnl"/>
              </w:rPr>
              <w:t>..................................................................</w:t>
            </w:r>
          </w:p>
        </w:tc>
        <w:tc>
          <w:tcPr>
            <w:tcW w:w="0" w:type="auto"/>
          </w:tcPr>
          <w:p w:rsidR="0095367B" w:rsidRPr="00836EB3" w:rsidRDefault="00BE7445" w:rsidP="00155383">
            <w:pPr>
              <w:pStyle w:val="Newpage"/>
              <w:widowControl w:val="0"/>
              <w:jc w:val="right"/>
              <w:rPr>
                <w:rFonts w:ascii="Times New Roman" w:hAnsi="Times New Roman" w:cs="Times New Roman"/>
                <w:smallCaps w:val="0"/>
                <w:sz w:val="22"/>
                <w:szCs w:val="22"/>
                <w:lang w:val="es-ES_tradnl"/>
              </w:rPr>
            </w:pPr>
            <w:r w:rsidRPr="00836EB3">
              <w:rPr>
                <w:rFonts w:ascii="Times New Roman" w:hAnsi="Times New Roman" w:cs="Times New Roman"/>
                <w:smallCaps w:val="0"/>
                <w:sz w:val="22"/>
                <w:szCs w:val="22"/>
                <w:lang w:val="es-ES_tradnl"/>
              </w:rPr>
              <w:t>41</w:t>
            </w:r>
          </w:p>
        </w:tc>
      </w:tr>
      <w:tr w:rsidR="0095367B" w:rsidRPr="00836EB3" w:rsidTr="00290FD6">
        <w:tc>
          <w:tcPr>
            <w:tcW w:w="0" w:type="auto"/>
          </w:tcPr>
          <w:p w:rsidR="0095367B" w:rsidRPr="00836EB3" w:rsidRDefault="0095367B" w:rsidP="00CB5737">
            <w:pPr>
              <w:pStyle w:val="Newpage"/>
              <w:widowControl w:val="0"/>
              <w:jc w:val="left"/>
              <w:rPr>
                <w:smallCaps w:val="0"/>
                <w:sz w:val="22"/>
                <w:szCs w:val="22"/>
                <w:lang w:val="es-ES_tradnl"/>
              </w:rPr>
            </w:pPr>
          </w:p>
        </w:tc>
        <w:tc>
          <w:tcPr>
            <w:tcW w:w="0" w:type="auto"/>
          </w:tcPr>
          <w:p w:rsidR="0095367B" w:rsidRPr="00836EB3" w:rsidRDefault="0095367B" w:rsidP="001C6F79">
            <w:pPr>
              <w:pStyle w:val="Newpage"/>
              <w:widowControl w:val="0"/>
              <w:jc w:val="left"/>
              <w:rPr>
                <w:smallCaps w:val="0"/>
                <w:sz w:val="22"/>
                <w:szCs w:val="22"/>
                <w:lang w:val="es-ES_tradnl"/>
              </w:rPr>
            </w:pPr>
          </w:p>
        </w:tc>
        <w:tc>
          <w:tcPr>
            <w:tcW w:w="0" w:type="auto"/>
          </w:tcPr>
          <w:p w:rsidR="0095367B" w:rsidRPr="00836EB3" w:rsidRDefault="0095367B" w:rsidP="00F006DC">
            <w:pPr>
              <w:pStyle w:val="Newpage"/>
              <w:widowControl w:val="0"/>
              <w:jc w:val="right"/>
              <w:rPr>
                <w:smallCaps w:val="0"/>
                <w:sz w:val="22"/>
                <w:szCs w:val="22"/>
                <w:lang w:val="es-ES_tradnl"/>
              </w:rPr>
            </w:pPr>
          </w:p>
        </w:tc>
      </w:tr>
      <w:tr w:rsidR="0095367B" w:rsidRPr="00836EB3" w:rsidTr="00957D61">
        <w:trPr>
          <w:trHeight w:hRule="exact" w:val="68"/>
        </w:trPr>
        <w:tc>
          <w:tcPr>
            <w:tcW w:w="0" w:type="auto"/>
          </w:tcPr>
          <w:p w:rsidR="0095367B" w:rsidRPr="00836EB3" w:rsidRDefault="0095367B" w:rsidP="00290FD6">
            <w:pPr>
              <w:pStyle w:val="Newpage"/>
              <w:widowControl w:val="0"/>
              <w:jc w:val="left"/>
              <w:rPr>
                <w:smallCaps w:val="0"/>
                <w:sz w:val="22"/>
                <w:szCs w:val="22"/>
                <w:lang w:val="es-ES_tradnl"/>
              </w:rPr>
            </w:pPr>
          </w:p>
        </w:tc>
        <w:tc>
          <w:tcPr>
            <w:tcW w:w="0" w:type="auto"/>
          </w:tcPr>
          <w:p w:rsidR="0095367B" w:rsidRPr="00836EB3" w:rsidRDefault="0095367B" w:rsidP="004E219A">
            <w:pPr>
              <w:pStyle w:val="Newpage"/>
              <w:widowControl w:val="0"/>
              <w:jc w:val="left"/>
              <w:rPr>
                <w:b w:val="0"/>
                <w:smallCaps w:val="0"/>
                <w:sz w:val="22"/>
                <w:szCs w:val="22"/>
                <w:lang w:val="es-ES_tradnl"/>
              </w:rPr>
            </w:pPr>
          </w:p>
        </w:tc>
        <w:tc>
          <w:tcPr>
            <w:tcW w:w="0" w:type="auto"/>
          </w:tcPr>
          <w:p w:rsidR="0095367B" w:rsidRPr="00836EB3" w:rsidRDefault="0095367B" w:rsidP="004E219A">
            <w:pPr>
              <w:pStyle w:val="Newpage"/>
              <w:widowControl w:val="0"/>
              <w:jc w:val="right"/>
              <w:rPr>
                <w:b w:val="0"/>
                <w:smallCaps w:val="0"/>
                <w:sz w:val="22"/>
                <w:szCs w:val="22"/>
                <w:lang w:val="es-ES_tradnl"/>
              </w:rPr>
            </w:pPr>
          </w:p>
        </w:tc>
      </w:tr>
      <w:tr w:rsidR="0095367B" w:rsidRPr="00836EB3" w:rsidTr="00CB5737">
        <w:tc>
          <w:tcPr>
            <w:tcW w:w="0" w:type="auto"/>
            <w:gridSpan w:val="2"/>
          </w:tcPr>
          <w:p w:rsidR="0095367B" w:rsidRPr="00836EB3" w:rsidRDefault="0095367B" w:rsidP="00CB5737">
            <w:pPr>
              <w:pStyle w:val="Newpage"/>
              <w:widowControl w:val="0"/>
              <w:jc w:val="left"/>
              <w:rPr>
                <w:rFonts w:ascii="Times New Roman" w:hAnsi="Times New Roman" w:cs="Times New Roman"/>
                <w:b w:val="0"/>
                <w:smallCaps w:val="0"/>
                <w:sz w:val="22"/>
                <w:szCs w:val="22"/>
                <w:lang w:val="es-ES_tradnl"/>
              </w:rPr>
            </w:pPr>
          </w:p>
        </w:tc>
        <w:tc>
          <w:tcPr>
            <w:tcW w:w="0" w:type="auto"/>
          </w:tcPr>
          <w:p w:rsidR="0095367B" w:rsidRPr="00836EB3" w:rsidRDefault="0095367B" w:rsidP="001C6F79">
            <w:pPr>
              <w:pStyle w:val="Newpage"/>
              <w:widowControl w:val="0"/>
              <w:jc w:val="right"/>
              <w:rPr>
                <w:rFonts w:ascii="Times New Roman" w:hAnsi="Times New Roman" w:cs="Times New Roman"/>
                <w:b w:val="0"/>
                <w:smallCaps w:val="0"/>
                <w:sz w:val="22"/>
                <w:szCs w:val="22"/>
                <w:lang w:val="es-ES_tradnl"/>
              </w:rPr>
            </w:pPr>
          </w:p>
        </w:tc>
      </w:tr>
    </w:tbl>
    <w:p w:rsidR="00A57142" w:rsidRPr="00836EB3" w:rsidRDefault="00A57142" w:rsidP="00A57142">
      <w:pPr>
        <w:widowControl w:val="0"/>
        <w:contextualSpacing/>
        <w:jc w:val="both"/>
        <w:rPr>
          <w:b/>
          <w:sz w:val="22"/>
          <w:szCs w:val="22"/>
          <w:lang w:val="es-ES"/>
        </w:rPr>
      </w:pPr>
    </w:p>
    <w:p w:rsidR="00A57142" w:rsidRPr="00836EB3" w:rsidRDefault="00A57142" w:rsidP="00A87C94">
      <w:pPr>
        <w:pStyle w:val="BodyText"/>
        <w:rPr>
          <w:smallCaps/>
          <w:szCs w:val="24"/>
        </w:rPr>
      </w:pPr>
    </w:p>
    <w:p w:rsidR="00A57142" w:rsidRPr="00836EB3" w:rsidRDefault="00A57142" w:rsidP="00A57142">
      <w:pPr>
        <w:pStyle w:val="BodyText"/>
        <w:jc w:val="left"/>
        <w:rPr>
          <w:smallCaps/>
          <w:szCs w:val="24"/>
        </w:rPr>
      </w:pPr>
    </w:p>
    <w:p w:rsidR="00A57142" w:rsidRPr="00836EB3" w:rsidRDefault="00A57142" w:rsidP="00A87C94">
      <w:pPr>
        <w:pStyle w:val="BodyText"/>
        <w:rPr>
          <w:b/>
          <w:smallCaps/>
          <w:sz w:val="30"/>
          <w:szCs w:val="30"/>
        </w:rPr>
        <w:sectPr w:rsidR="00A57142" w:rsidRPr="00836EB3" w:rsidSect="00E12286">
          <w:footerReference w:type="default" r:id="rId14"/>
          <w:pgSz w:w="12242" w:h="15842" w:code="1"/>
          <w:pgMar w:top="1440" w:right="1298" w:bottom="1440" w:left="1797" w:header="731" w:footer="1134" w:gutter="0"/>
          <w:pgNumType w:start="1"/>
          <w:cols w:space="720"/>
        </w:sectPr>
      </w:pPr>
    </w:p>
    <w:p w:rsidR="00133CDE" w:rsidRPr="003940A1" w:rsidRDefault="00E775FA" w:rsidP="003940A1">
      <w:pPr>
        <w:pStyle w:val="BodyText"/>
        <w:rPr>
          <w:b/>
          <w:sz w:val="25"/>
          <w:szCs w:val="25"/>
        </w:rPr>
      </w:pPr>
      <w:r w:rsidRPr="00836EB3">
        <w:rPr>
          <w:b/>
          <w:smallCaps/>
          <w:sz w:val="25"/>
          <w:szCs w:val="25"/>
        </w:rPr>
        <w:lastRenderedPageBreak/>
        <w:t>Pasos de Frontera en Peñas Blancas, Las Tablillas</w:t>
      </w:r>
      <w:r w:rsidR="008A1C07" w:rsidRPr="00836EB3">
        <w:rPr>
          <w:b/>
          <w:smallCaps/>
          <w:sz w:val="25"/>
          <w:szCs w:val="25"/>
        </w:rPr>
        <w:t>,</w:t>
      </w:r>
      <w:r w:rsidRPr="00836EB3">
        <w:rPr>
          <w:b/>
          <w:smallCaps/>
          <w:sz w:val="25"/>
          <w:szCs w:val="25"/>
        </w:rPr>
        <w:t xml:space="preserve"> Paso canoas</w:t>
      </w:r>
      <w:r w:rsidR="008A1C07" w:rsidRPr="00836EB3">
        <w:rPr>
          <w:b/>
          <w:smallCaps/>
          <w:sz w:val="25"/>
          <w:szCs w:val="25"/>
        </w:rPr>
        <w:t xml:space="preserve"> y Sixaola</w:t>
      </w:r>
    </w:p>
    <w:p w:rsidR="0019618A" w:rsidRPr="00836EB3" w:rsidRDefault="0019618A" w:rsidP="00A87C94">
      <w:pPr>
        <w:pStyle w:val="BodyText"/>
        <w:jc w:val="left"/>
      </w:pPr>
    </w:p>
    <w:p w:rsidR="00133CDE" w:rsidRPr="00836EB3" w:rsidRDefault="00481103" w:rsidP="00A87C94">
      <w:pPr>
        <w:widowControl w:val="0"/>
        <w:numPr>
          <w:ilvl w:val="0"/>
          <w:numId w:val="2"/>
        </w:numPr>
        <w:adjustRightInd w:val="0"/>
        <w:jc w:val="both"/>
        <w:textAlignment w:val="baseline"/>
        <w:rPr>
          <w:b/>
        </w:rPr>
      </w:pPr>
      <w:r w:rsidRPr="00836EB3">
        <w:rPr>
          <w:b/>
        </w:rPr>
        <w:t>El Proyecto y Objetivo del Análisis Financiero</w:t>
      </w:r>
      <w:r w:rsidR="00625B53" w:rsidRPr="00836EB3">
        <w:rPr>
          <w:b/>
        </w:rPr>
        <w:t>.</w:t>
      </w:r>
    </w:p>
    <w:p w:rsidR="00133CDE" w:rsidRPr="00836EB3" w:rsidRDefault="00133CDE" w:rsidP="00A87C94"/>
    <w:p w:rsidR="00481103" w:rsidRPr="00836EB3" w:rsidRDefault="00481103" w:rsidP="00481103">
      <w:pPr>
        <w:pStyle w:val="ListParagraph"/>
        <w:numPr>
          <w:ilvl w:val="0"/>
          <w:numId w:val="25"/>
        </w:numPr>
        <w:ind w:hanging="720"/>
        <w:rPr>
          <w:smallCaps/>
        </w:rPr>
      </w:pPr>
      <w:r w:rsidRPr="00836EB3">
        <w:rPr>
          <w:smallCaps/>
        </w:rPr>
        <w:t>Introducción.</w:t>
      </w:r>
    </w:p>
    <w:p w:rsidR="00481103" w:rsidRPr="00836EB3" w:rsidRDefault="00481103" w:rsidP="00A87C94"/>
    <w:p w:rsidR="00E775FA" w:rsidRPr="00836EB3" w:rsidRDefault="0045506A" w:rsidP="00621112">
      <w:pPr>
        <w:widowControl w:val="0"/>
        <w:numPr>
          <w:ilvl w:val="1"/>
          <w:numId w:val="2"/>
        </w:numPr>
        <w:tabs>
          <w:tab w:val="clear" w:pos="360"/>
          <w:tab w:val="num" w:pos="709"/>
        </w:tabs>
        <w:adjustRightInd w:val="0"/>
        <w:ind w:left="709" w:hanging="709"/>
        <w:jc w:val="both"/>
        <w:textAlignment w:val="baseline"/>
      </w:pPr>
      <w:r w:rsidRPr="00836EB3">
        <w:rPr>
          <w:szCs w:val="24"/>
          <w:lang w:val="es-ES_tradnl"/>
        </w:rPr>
        <w:t xml:space="preserve">El Gobierno de </w:t>
      </w:r>
      <w:r w:rsidR="00BC0812" w:rsidRPr="00836EB3">
        <w:rPr>
          <w:szCs w:val="24"/>
          <w:lang w:val="es-ES_tradnl"/>
        </w:rPr>
        <w:t>Costa Rica</w:t>
      </w:r>
      <w:r w:rsidR="00E70AE7" w:rsidRPr="00836EB3">
        <w:rPr>
          <w:szCs w:val="24"/>
          <w:lang w:val="es-ES_tradnl"/>
        </w:rPr>
        <w:t xml:space="preserve"> (</w:t>
      </w:r>
      <w:proofErr w:type="spellStart"/>
      <w:r w:rsidR="00E70AE7" w:rsidRPr="00836EB3">
        <w:rPr>
          <w:szCs w:val="24"/>
          <w:lang w:val="es-ES_tradnl"/>
        </w:rPr>
        <w:t>Go</w:t>
      </w:r>
      <w:r w:rsidR="00BC0812" w:rsidRPr="00836EB3">
        <w:rPr>
          <w:szCs w:val="24"/>
          <w:lang w:val="es-ES_tradnl"/>
        </w:rPr>
        <w:t>CR</w:t>
      </w:r>
      <w:proofErr w:type="spellEnd"/>
      <w:r w:rsidRPr="00836EB3">
        <w:rPr>
          <w:szCs w:val="24"/>
          <w:lang w:val="es-ES_tradnl"/>
        </w:rPr>
        <w:t>), con financiamiento del Banco y otras fuentes</w:t>
      </w:r>
      <w:r w:rsidR="003F5FD1" w:rsidRPr="00836EB3">
        <w:rPr>
          <w:szCs w:val="24"/>
          <w:lang w:val="es-ES_tradnl"/>
        </w:rPr>
        <w:t>,</w:t>
      </w:r>
      <w:r w:rsidRPr="00836EB3">
        <w:rPr>
          <w:szCs w:val="24"/>
          <w:lang w:val="es-ES_tradnl"/>
        </w:rPr>
        <w:t xml:space="preserve"> está ejecutando obras de mejora en varios tramos de la </w:t>
      </w:r>
      <w:r w:rsidR="00BC0812" w:rsidRPr="00836EB3">
        <w:rPr>
          <w:szCs w:val="24"/>
          <w:lang w:val="es-ES_tradnl"/>
        </w:rPr>
        <w:t>red vial</w:t>
      </w:r>
      <w:r w:rsidR="00ED7A4C" w:rsidRPr="00836EB3">
        <w:rPr>
          <w:szCs w:val="24"/>
          <w:lang w:val="es-ES_tradnl"/>
        </w:rPr>
        <w:t xml:space="preserve">. En particular, el </w:t>
      </w:r>
      <w:proofErr w:type="spellStart"/>
      <w:r w:rsidR="00E70AE7" w:rsidRPr="00836EB3">
        <w:rPr>
          <w:szCs w:val="24"/>
          <w:lang w:val="es-ES_tradnl"/>
        </w:rPr>
        <w:t>Go</w:t>
      </w:r>
      <w:r w:rsidR="001B34A5" w:rsidRPr="00836EB3">
        <w:rPr>
          <w:szCs w:val="24"/>
          <w:lang w:val="es-ES_tradnl"/>
        </w:rPr>
        <w:t>CR</w:t>
      </w:r>
      <w:proofErr w:type="spellEnd"/>
      <w:r w:rsidR="001B34A5" w:rsidRPr="00836EB3">
        <w:rPr>
          <w:szCs w:val="24"/>
          <w:lang w:val="es-ES_tradnl"/>
        </w:rPr>
        <w:t xml:space="preserve"> y el </w:t>
      </w:r>
      <w:r w:rsidR="00ED7A4C" w:rsidRPr="00836EB3">
        <w:rPr>
          <w:szCs w:val="24"/>
          <w:lang w:val="es-ES_tradnl"/>
        </w:rPr>
        <w:t>Banco ha</w:t>
      </w:r>
      <w:r w:rsidR="001B34A5" w:rsidRPr="00836EB3">
        <w:rPr>
          <w:szCs w:val="24"/>
          <w:lang w:val="es-ES_tradnl"/>
        </w:rPr>
        <w:t>n</w:t>
      </w:r>
      <w:r w:rsidR="00ED7A4C" w:rsidRPr="00836EB3">
        <w:rPr>
          <w:szCs w:val="24"/>
          <w:lang w:val="es-ES_tradnl"/>
        </w:rPr>
        <w:t xml:space="preserve"> asignado especial importancia a la mejora </w:t>
      </w:r>
      <w:r w:rsidR="00ED7A4C" w:rsidRPr="00836EB3">
        <w:t>del Corredor Mesoamericano de Integración (CMI)</w:t>
      </w:r>
      <w:r w:rsidR="00CC2CF4" w:rsidRPr="00836EB3">
        <w:rPr>
          <w:rStyle w:val="FootnoteReference"/>
        </w:rPr>
        <w:footnoteReference w:id="1"/>
      </w:r>
      <w:r w:rsidR="00E70AE7" w:rsidRPr="00836EB3">
        <w:t>,</w:t>
      </w:r>
      <w:r w:rsidR="00ED7A4C" w:rsidRPr="00836EB3">
        <w:t xml:space="preserve"> según fue definido en el marco de la RICAM.</w:t>
      </w:r>
      <w:r w:rsidR="00ED7A4C" w:rsidRPr="00836EB3">
        <w:rPr>
          <w:rStyle w:val="FootnoteReference"/>
        </w:rPr>
        <w:footnoteReference w:id="2"/>
      </w:r>
      <w:r w:rsidR="00D438A4" w:rsidRPr="00836EB3">
        <w:rPr>
          <w:szCs w:val="24"/>
          <w:lang w:val="es-ES_tradnl"/>
        </w:rPr>
        <w:t>.</w:t>
      </w:r>
      <w:r w:rsidR="00621112" w:rsidRPr="00836EB3">
        <w:rPr>
          <w:lang w:val="es-ES_tradnl"/>
        </w:rPr>
        <w:t xml:space="preserve"> </w:t>
      </w:r>
      <w:r w:rsidR="00E775FA" w:rsidRPr="00836EB3">
        <w:t xml:space="preserve">Todos los estudios </w:t>
      </w:r>
      <w:r w:rsidR="00D438A4" w:rsidRPr="00836EB3">
        <w:t xml:space="preserve">realizados en relación </w:t>
      </w:r>
      <w:r w:rsidR="00E775FA" w:rsidRPr="00836EB3">
        <w:t>a los procesos de integración regional, incluso los específicos vinculados al CMI</w:t>
      </w:r>
      <w:r w:rsidR="00E775FA" w:rsidRPr="00836EB3">
        <w:rPr>
          <w:rStyle w:val="FootnoteReference"/>
          <w:lang w:val="es-ES_tradnl"/>
        </w:rPr>
        <w:footnoteReference w:id="3"/>
      </w:r>
      <w:r w:rsidR="00D438A4" w:rsidRPr="00836EB3">
        <w:t>,</w:t>
      </w:r>
      <w:r w:rsidR="00E775FA" w:rsidRPr="00836EB3">
        <w:t xml:space="preserve"> han hecho hincapié en que la sola </w:t>
      </w:r>
      <w:r w:rsidR="00E419C2" w:rsidRPr="00836EB3">
        <w:t xml:space="preserve">mejora </w:t>
      </w:r>
      <w:r w:rsidR="00621112" w:rsidRPr="00836EB3">
        <w:t>vial</w:t>
      </w:r>
      <w:r w:rsidR="00E419C2" w:rsidRPr="00836EB3">
        <w:t xml:space="preserve"> no es </w:t>
      </w:r>
      <w:r w:rsidR="00D438A4" w:rsidRPr="00836EB3">
        <w:t>suficiente para estimular el comercio intrarregional</w:t>
      </w:r>
      <w:r w:rsidR="00621112" w:rsidRPr="00836EB3">
        <w:t>,</w:t>
      </w:r>
      <w:r w:rsidR="00D438A4" w:rsidRPr="00836EB3">
        <w:t xml:space="preserve"> pues los Pasos de Frontera terrestres constituyen nodo</w:t>
      </w:r>
      <w:r w:rsidR="00621112" w:rsidRPr="00836EB3">
        <w:t>s</w:t>
      </w:r>
      <w:r w:rsidR="00D438A4" w:rsidRPr="00836EB3">
        <w:t xml:space="preserve"> que transmite</w:t>
      </w:r>
      <w:r w:rsidR="00621112" w:rsidRPr="00836EB3">
        <w:t>n</w:t>
      </w:r>
      <w:r w:rsidR="00D438A4" w:rsidRPr="00836EB3">
        <w:t xml:space="preserve"> ineficiencias a los flujos de comercio, imponiendo </w:t>
      </w:r>
      <w:r w:rsidR="00621112" w:rsidRPr="00836EB3">
        <w:t>altos</w:t>
      </w:r>
      <w:r w:rsidR="00AE4DF5" w:rsidRPr="00836EB3">
        <w:t xml:space="preserve"> </w:t>
      </w:r>
      <w:r w:rsidR="00D438A4" w:rsidRPr="00836EB3">
        <w:t xml:space="preserve">costos de tiempo </w:t>
      </w:r>
      <w:r w:rsidR="00AE4DF5" w:rsidRPr="00836EB3">
        <w:t>para</w:t>
      </w:r>
      <w:r w:rsidR="00D438A4" w:rsidRPr="00836EB3">
        <w:t xml:space="preserve"> la </w:t>
      </w:r>
      <w:r w:rsidR="00AE4DF5" w:rsidRPr="00836EB3">
        <w:t>ejecución de los controles de migración, aduaneros, sanitarios, etc.</w:t>
      </w:r>
    </w:p>
    <w:p w:rsidR="00AE4DF5" w:rsidRPr="00836EB3" w:rsidRDefault="00AE4DF5" w:rsidP="00BC0812">
      <w:pPr>
        <w:widowControl w:val="0"/>
        <w:adjustRightInd w:val="0"/>
        <w:ind w:left="709"/>
        <w:jc w:val="both"/>
        <w:textAlignment w:val="baseline"/>
      </w:pPr>
    </w:p>
    <w:p w:rsidR="001230C9" w:rsidRPr="00836EB3" w:rsidRDefault="001230C9" w:rsidP="002330DC">
      <w:pPr>
        <w:widowControl w:val="0"/>
        <w:numPr>
          <w:ilvl w:val="1"/>
          <w:numId w:val="2"/>
        </w:numPr>
        <w:tabs>
          <w:tab w:val="clear" w:pos="360"/>
          <w:tab w:val="num" w:pos="709"/>
        </w:tabs>
        <w:adjustRightInd w:val="0"/>
        <w:ind w:left="709" w:hanging="709"/>
        <w:jc w:val="both"/>
        <w:textAlignment w:val="baseline"/>
      </w:pPr>
      <w:r w:rsidRPr="00836EB3">
        <w:t xml:space="preserve">Costa Rica </w:t>
      </w:r>
      <w:r w:rsidR="0077121D" w:rsidRPr="00836EB3">
        <w:t>dispone de</w:t>
      </w:r>
      <w:r w:rsidRPr="00836EB3">
        <w:t xml:space="preserve"> tres pasos de frontera terrestres</w:t>
      </w:r>
      <w:r w:rsidR="0077121D" w:rsidRPr="00836EB3">
        <w:t xml:space="preserve"> formalmente habilitados </w:t>
      </w:r>
      <w:r w:rsidR="00AE0503" w:rsidRPr="00836EB3">
        <w:t xml:space="preserve">que se encuentran </w:t>
      </w:r>
      <w:r w:rsidR="0077121D" w:rsidRPr="00836EB3">
        <w:t>en las localidades de Peñas Blancas (Costa Ric</w:t>
      </w:r>
      <w:r w:rsidR="00B559DE" w:rsidRPr="00836EB3">
        <w:t>a-Nicaragua), Paso Canoas y Six</w:t>
      </w:r>
      <w:r w:rsidR="00AE0503" w:rsidRPr="00836EB3">
        <w:t>aola</w:t>
      </w:r>
      <w:r w:rsidR="0077121D" w:rsidRPr="00836EB3">
        <w:t xml:space="preserve"> (Costa Rica-Panamá)</w:t>
      </w:r>
      <w:r w:rsidR="00C86E6F" w:rsidRPr="00836EB3">
        <w:t xml:space="preserve">, más otro </w:t>
      </w:r>
      <w:r w:rsidR="00AE0503" w:rsidRPr="00836EB3">
        <w:t>u</w:t>
      </w:r>
      <w:r w:rsidR="0077121D" w:rsidRPr="00836EB3">
        <w:t xml:space="preserve">bicado en </w:t>
      </w:r>
      <w:r w:rsidR="00AE0503" w:rsidRPr="00836EB3">
        <w:t xml:space="preserve">la localidad de </w:t>
      </w:r>
      <w:r w:rsidR="0077121D" w:rsidRPr="00836EB3">
        <w:t xml:space="preserve">Las Tablillas (Costa Rica-Nicaragua) </w:t>
      </w:r>
      <w:r w:rsidR="00C86E6F" w:rsidRPr="00836EB3">
        <w:t xml:space="preserve">que </w:t>
      </w:r>
      <w:r w:rsidR="002330DC" w:rsidRPr="00836EB3">
        <w:t xml:space="preserve">se </w:t>
      </w:r>
      <w:r w:rsidR="00E36D7E" w:rsidRPr="00836EB3">
        <w:t xml:space="preserve">abre </w:t>
      </w:r>
      <w:r w:rsidR="00C86E6F" w:rsidRPr="00836EB3">
        <w:t xml:space="preserve">en </w:t>
      </w:r>
      <w:r w:rsidR="0077121D" w:rsidRPr="00836EB3">
        <w:t xml:space="preserve">forma </w:t>
      </w:r>
      <w:r w:rsidR="00E36D7E" w:rsidRPr="00836EB3">
        <w:t>especial</w:t>
      </w:r>
      <w:r w:rsidR="0077121D" w:rsidRPr="00836EB3">
        <w:t xml:space="preserve"> para el </w:t>
      </w:r>
      <w:r w:rsidR="00E36D7E" w:rsidRPr="00836EB3">
        <w:t xml:space="preserve">paso de partidas de mercaderías </w:t>
      </w:r>
      <w:r w:rsidR="00B559DE" w:rsidRPr="00836EB3">
        <w:t>a solicitud de las empresas exportadoras o importadoras</w:t>
      </w:r>
      <w:r w:rsidR="003940A1">
        <w:t>.</w:t>
      </w:r>
    </w:p>
    <w:p w:rsidR="00C86E6F" w:rsidRPr="00836EB3" w:rsidRDefault="00C86E6F" w:rsidP="00C86E6F">
      <w:pPr>
        <w:pStyle w:val="ListParagraph"/>
      </w:pPr>
    </w:p>
    <w:p w:rsidR="00481103" w:rsidRPr="00836EB3" w:rsidRDefault="0095367B" w:rsidP="00481103">
      <w:pPr>
        <w:pStyle w:val="ListParagraph"/>
        <w:numPr>
          <w:ilvl w:val="0"/>
          <w:numId w:val="25"/>
        </w:numPr>
        <w:ind w:hanging="720"/>
        <w:rPr>
          <w:smallCaps/>
        </w:rPr>
      </w:pPr>
      <w:r w:rsidRPr="00836EB3">
        <w:rPr>
          <w:smallCaps/>
        </w:rPr>
        <w:t>El Proyecto</w:t>
      </w:r>
      <w:r w:rsidR="00481103" w:rsidRPr="00836EB3">
        <w:rPr>
          <w:smallCaps/>
        </w:rPr>
        <w:t>.</w:t>
      </w:r>
    </w:p>
    <w:p w:rsidR="00481103" w:rsidRPr="00836EB3" w:rsidRDefault="00481103" w:rsidP="00C86E6F">
      <w:pPr>
        <w:pStyle w:val="ListParagraph"/>
      </w:pPr>
    </w:p>
    <w:p w:rsidR="00C86E6F" w:rsidRPr="00836EB3" w:rsidRDefault="00C86E6F" w:rsidP="002330DC">
      <w:pPr>
        <w:widowControl w:val="0"/>
        <w:numPr>
          <w:ilvl w:val="1"/>
          <w:numId w:val="2"/>
        </w:numPr>
        <w:tabs>
          <w:tab w:val="clear" w:pos="360"/>
          <w:tab w:val="num" w:pos="709"/>
        </w:tabs>
        <w:adjustRightInd w:val="0"/>
        <w:ind w:left="709" w:hanging="709"/>
        <w:jc w:val="both"/>
        <w:textAlignment w:val="baseline"/>
      </w:pPr>
      <w:r w:rsidRPr="00836EB3">
        <w:t xml:space="preserve">El </w:t>
      </w:r>
      <w:proofErr w:type="spellStart"/>
      <w:r w:rsidR="00481103" w:rsidRPr="00836EB3">
        <w:t>GoCR</w:t>
      </w:r>
      <w:proofErr w:type="spellEnd"/>
      <w:r w:rsidR="00481103" w:rsidRPr="00836EB3">
        <w:t xml:space="preserve">, con apoyo del </w:t>
      </w:r>
      <w:r w:rsidRPr="00836EB3">
        <w:t>Banco</w:t>
      </w:r>
      <w:r w:rsidR="00481103" w:rsidRPr="00836EB3">
        <w:t>,</w:t>
      </w:r>
      <w:r w:rsidRPr="00836EB3">
        <w:t xml:space="preserve"> </w:t>
      </w:r>
      <w:r w:rsidR="00A77BB1" w:rsidRPr="00836EB3">
        <w:t xml:space="preserve">prevé </w:t>
      </w:r>
      <w:r w:rsidR="00481103" w:rsidRPr="00836EB3">
        <w:t xml:space="preserve">realizar el proyecto la </w:t>
      </w:r>
      <w:r w:rsidR="003940A1" w:rsidRPr="003940A1">
        <w:t>Programa de Integración Fronteriza de Costa Rica</w:t>
      </w:r>
      <w:r w:rsidR="003940A1" w:rsidRPr="003940A1">
        <w:rPr>
          <w:szCs w:val="24"/>
          <w:lang w:eastAsia="es-ES"/>
        </w:rPr>
        <w:t xml:space="preserve"> </w:t>
      </w:r>
      <w:r w:rsidR="00A77BB1" w:rsidRPr="003940A1">
        <w:rPr>
          <w:szCs w:val="24"/>
          <w:lang w:eastAsia="es-ES"/>
        </w:rPr>
        <w:t>(</w:t>
      </w:r>
      <w:r w:rsidR="00A77BB1" w:rsidRPr="00836EB3">
        <w:rPr>
          <w:szCs w:val="24"/>
          <w:lang w:eastAsia="es-ES"/>
        </w:rPr>
        <w:t>CR-L1066)”. Para ello, el Banco</w:t>
      </w:r>
      <w:r w:rsidR="00A77BB1" w:rsidRPr="00836EB3">
        <w:t xml:space="preserve"> </w:t>
      </w:r>
      <w:r w:rsidRPr="00836EB3">
        <w:t xml:space="preserve">contrató un equipo consultor para </w:t>
      </w:r>
      <w:r w:rsidR="00C744DA" w:rsidRPr="00836EB3">
        <w:t>revisar</w:t>
      </w:r>
      <w:r w:rsidRPr="00836EB3">
        <w:t xml:space="preserve"> procesos, facilidades edilicias e instrumentales, etc. </w:t>
      </w:r>
      <w:r w:rsidR="00C744DA" w:rsidRPr="00836EB3">
        <w:t>y proponer mejoras para</w:t>
      </w:r>
      <w:r w:rsidRPr="00836EB3">
        <w:t xml:space="preserve"> los cuatro pasos de frontera referidos</w:t>
      </w:r>
      <w:r w:rsidR="00C744DA" w:rsidRPr="00836EB3">
        <w:rPr>
          <w:rStyle w:val="FootnoteReference"/>
        </w:rPr>
        <w:footnoteReference w:id="4"/>
      </w:r>
      <w:r w:rsidR="00C744DA" w:rsidRPr="00836EB3">
        <w:t xml:space="preserve"> (en adelante, Equipo Técnico Consultor)</w:t>
      </w:r>
      <w:r w:rsidR="00A77BB1" w:rsidRPr="00836EB3">
        <w:t>; e</w:t>
      </w:r>
      <w:r w:rsidR="00C744DA" w:rsidRPr="00836EB3">
        <w:t xml:space="preserve">l </w:t>
      </w:r>
      <w:r w:rsidR="0077121D" w:rsidRPr="00836EB3">
        <w:t>citado</w:t>
      </w:r>
      <w:r w:rsidR="00C744DA" w:rsidRPr="00836EB3">
        <w:t xml:space="preserve"> Equipo Técnico Consultor</w:t>
      </w:r>
      <w:r w:rsidR="000B47B2" w:rsidRPr="00836EB3">
        <w:t>,</w:t>
      </w:r>
      <w:r w:rsidR="00C744DA" w:rsidRPr="00836EB3">
        <w:t xml:space="preserve"> proveyó los datos de base </w:t>
      </w:r>
      <w:r w:rsidR="00A77BB1" w:rsidRPr="00836EB3">
        <w:t xml:space="preserve">y la </w:t>
      </w:r>
      <w:r w:rsidR="00C744DA" w:rsidRPr="00836EB3">
        <w:t xml:space="preserve">información generada </w:t>
      </w:r>
      <w:r w:rsidR="000B47B2" w:rsidRPr="00836EB3">
        <w:t xml:space="preserve">en </w:t>
      </w:r>
      <w:r w:rsidR="00E036D1" w:rsidRPr="00836EB3">
        <w:t xml:space="preserve">el marco de </w:t>
      </w:r>
      <w:r w:rsidR="000B47B2" w:rsidRPr="00836EB3">
        <w:t>su trabajo</w:t>
      </w:r>
      <w:r w:rsidR="00A77BB1" w:rsidRPr="00836EB3">
        <w:t>, incluyendo los anteproyectos de la modernización de la</w:t>
      </w:r>
      <w:r w:rsidR="00C744DA" w:rsidRPr="00836EB3">
        <w:t xml:space="preserve"> infraestructura y </w:t>
      </w:r>
      <w:r w:rsidR="00A77BB1" w:rsidRPr="00836EB3">
        <w:t xml:space="preserve">el </w:t>
      </w:r>
      <w:r w:rsidR="00C744DA" w:rsidRPr="00836EB3">
        <w:t>equipamiento</w:t>
      </w:r>
      <w:r w:rsidR="003940A1">
        <w:t>.</w:t>
      </w:r>
    </w:p>
    <w:p w:rsidR="00E401BC" w:rsidRPr="00836EB3" w:rsidRDefault="00E401BC" w:rsidP="00E401BC">
      <w:pPr>
        <w:widowControl w:val="0"/>
        <w:adjustRightInd w:val="0"/>
        <w:ind w:left="709"/>
        <w:jc w:val="both"/>
        <w:textAlignment w:val="baseline"/>
      </w:pPr>
    </w:p>
    <w:p w:rsidR="00E401BC" w:rsidRPr="00836EB3" w:rsidRDefault="00E401BC" w:rsidP="00E401BC">
      <w:pPr>
        <w:widowControl w:val="0"/>
        <w:numPr>
          <w:ilvl w:val="1"/>
          <w:numId w:val="2"/>
        </w:numPr>
        <w:tabs>
          <w:tab w:val="clear" w:pos="360"/>
          <w:tab w:val="num" w:pos="709"/>
        </w:tabs>
        <w:adjustRightInd w:val="0"/>
        <w:ind w:left="709" w:hanging="709"/>
        <w:jc w:val="both"/>
        <w:textAlignment w:val="baseline"/>
        <w:rPr>
          <w:szCs w:val="24"/>
        </w:rPr>
      </w:pPr>
      <w:r w:rsidRPr="00836EB3">
        <w:rPr>
          <w:szCs w:val="24"/>
        </w:rPr>
        <w:t xml:space="preserve">El Proyecto, en función de los diseños elaborados por el Equipo Técnico Consultor, se espera que posibilite: (i) nuevos procesos para la ejecución de los controles a cargo de las autoridades competentes que actúan en los pasos de frontera; (ii) nuevo esquema operacional para el sistema de control de personas, vehículos y mercancías; (iii) adecuado modelo para la circulación interna de personas, vehículos y cargas en el área de control fronterizo; (iv) nueva infraestructura </w:t>
      </w:r>
      <w:r w:rsidR="007510A9">
        <w:rPr>
          <w:szCs w:val="24"/>
        </w:rPr>
        <w:t xml:space="preserve">que es </w:t>
      </w:r>
      <w:r w:rsidRPr="00836EB3">
        <w:rPr>
          <w:szCs w:val="24"/>
        </w:rPr>
        <w:t>necesaria para cumplir eficaz y eficientemente los nuevos procesos y operaciones previstas.</w:t>
      </w:r>
    </w:p>
    <w:p w:rsidR="00E401BC" w:rsidRPr="00836EB3" w:rsidRDefault="00E401BC" w:rsidP="00E401BC">
      <w:pPr>
        <w:widowControl w:val="0"/>
        <w:adjustRightInd w:val="0"/>
        <w:ind w:left="709"/>
        <w:jc w:val="both"/>
        <w:textAlignment w:val="baseline"/>
        <w:rPr>
          <w:szCs w:val="24"/>
        </w:rPr>
      </w:pPr>
    </w:p>
    <w:p w:rsidR="00E401BC" w:rsidRPr="00836EB3" w:rsidRDefault="00E401BC" w:rsidP="00E401BC">
      <w:pPr>
        <w:widowControl w:val="0"/>
        <w:numPr>
          <w:ilvl w:val="1"/>
          <w:numId w:val="2"/>
        </w:numPr>
        <w:tabs>
          <w:tab w:val="clear" w:pos="360"/>
          <w:tab w:val="num" w:pos="709"/>
        </w:tabs>
        <w:adjustRightInd w:val="0"/>
        <w:ind w:left="709" w:hanging="709"/>
        <w:jc w:val="both"/>
        <w:textAlignment w:val="baseline"/>
        <w:rPr>
          <w:szCs w:val="24"/>
        </w:rPr>
      </w:pPr>
      <w:r w:rsidRPr="00836EB3">
        <w:rPr>
          <w:szCs w:val="24"/>
        </w:rPr>
        <w:t>La aplicación de tales medidas de modernización de los pasos de frontera se prevé que permitan una importante disminución de los tiempos que insumirán los controles para los usuarios, así como proporcionar adecuadas condiciones de comodidad y seguridad a los mismos en los recintos respectivos.</w:t>
      </w:r>
    </w:p>
    <w:p w:rsidR="00E401BC" w:rsidRPr="00836EB3" w:rsidRDefault="00E401BC" w:rsidP="00E401BC">
      <w:pPr>
        <w:pStyle w:val="ListParagraph"/>
        <w:rPr>
          <w:szCs w:val="24"/>
        </w:rPr>
      </w:pPr>
    </w:p>
    <w:p w:rsidR="00625630" w:rsidRPr="00836EB3" w:rsidRDefault="00A77BB1" w:rsidP="00625630">
      <w:pPr>
        <w:widowControl w:val="0"/>
        <w:numPr>
          <w:ilvl w:val="1"/>
          <w:numId w:val="2"/>
        </w:numPr>
        <w:tabs>
          <w:tab w:val="clear" w:pos="360"/>
          <w:tab w:val="num" w:pos="709"/>
        </w:tabs>
        <w:adjustRightInd w:val="0"/>
        <w:ind w:left="709" w:hanging="709"/>
        <w:jc w:val="both"/>
        <w:textAlignment w:val="baseline"/>
      </w:pPr>
      <w:r w:rsidRPr="00836EB3">
        <w:rPr>
          <w:lang w:val="es-ES_tradnl"/>
        </w:rPr>
        <w:t xml:space="preserve">Sin perjuicio de los análisis de Viabilidad Económica </w:t>
      </w:r>
      <w:r w:rsidR="0057081D" w:rsidRPr="00836EB3">
        <w:rPr>
          <w:lang w:val="es-ES_tradnl"/>
        </w:rPr>
        <w:t>que determinaron un</w:t>
      </w:r>
      <w:r w:rsidRPr="00836EB3">
        <w:rPr>
          <w:lang w:val="es-ES_tradnl"/>
        </w:rPr>
        <w:t xml:space="preserve">a muy buena rentabilidad económica </w:t>
      </w:r>
      <w:r w:rsidR="0057081D" w:rsidRPr="00836EB3">
        <w:rPr>
          <w:lang w:val="es-ES_tradnl"/>
        </w:rPr>
        <w:t>del proyecto</w:t>
      </w:r>
      <w:r w:rsidR="008E6A72" w:rsidRPr="00836EB3">
        <w:rPr>
          <w:lang w:val="es-ES_tradnl"/>
        </w:rPr>
        <w:t>,</w:t>
      </w:r>
      <w:bookmarkStart w:id="0" w:name="_Ref412631456"/>
      <w:r w:rsidR="007A64B8" w:rsidRPr="00836EB3">
        <w:rPr>
          <w:rStyle w:val="FootnoteReference"/>
          <w:lang w:val="es-ES_tradnl"/>
        </w:rPr>
        <w:footnoteReference w:id="5"/>
      </w:r>
      <w:bookmarkEnd w:id="0"/>
      <w:r w:rsidR="0057081D" w:rsidRPr="00836EB3">
        <w:rPr>
          <w:lang w:val="es-ES_tradnl"/>
        </w:rPr>
        <w:t xml:space="preserve"> el </w:t>
      </w:r>
      <w:proofErr w:type="spellStart"/>
      <w:r w:rsidR="0057081D" w:rsidRPr="00836EB3">
        <w:rPr>
          <w:lang w:val="es-ES_tradnl"/>
        </w:rPr>
        <w:t>GoCR</w:t>
      </w:r>
      <w:proofErr w:type="spellEnd"/>
      <w:r w:rsidR="0057081D" w:rsidRPr="00836EB3">
        <w:rPr>
          <w:lang w:val="es-ES_tradnl"/>
        </w:rPr>
        <w:t xml:space="preserve"> resolvió </w:t>
      </w:r>
      <w:r w:rsidR="008E6A72" w:rsidRPr="00836EB3">
        <w:rPr>
          <w:lang w:val="es-ES_tradnl"/>
        </w:rPr>
        <w:t xml:space="preserve">que las inversiones necesarias para la nueva infraestructura y equipamiento, así como los incrementos en los costos de funcionamiento (v.g. ampliación de la plantilla de personal) y mantenimiento, contaran </w:t>
      </w:r>
      <w:r w:rsidR="007510A9">
        <w:rPr>
          <w:lang w:val="es-ES_tradnl"/>
        </w:rPr>
        <w:t xml:space="preserve">con </w:t>
      </w:r>
      <w:r w:rsidR="00FB400C" w:rsidRPr="00836EB3">
        <w:rPr>
          <w:lang w:val="es-ES_tradnl"/>
        </w:rPr>
        <w:t xml:space="preserve">sustentabilidad financiera mediante aporte de </w:t>
      </w:r>
      <w:r w:rsidR="008E6A72" w:rsidRPr="00836EB3">
        <w:rPr>
          <w:lang w:val="es-ES_tradnl"/>
        </w:rPr>
        <w:t>los usuarios.</w:t>
      </w:r>
      <w:r w:rsidR="00820D15" w:rsidRPr="00836EB3">
        <w:rPr>
          <w:lang w:val="es-ES_tradnl"/>
        </w:rPr>
        <w:t xml:space="preserve"> Para e</w:t>
      </w:r>
      <w:r w:rsidR="00625630" w:rsidRPr="00836EB3">
        <w:rPr>
          <w:lang w:val="es-ES_tradnl"/>
        </w:rPr>
        <w:t>ste fin,</w:t>
      </w:r>
      <w:r w:rsidR="00820D15" w:rsidRPr="00836EB3">
        <w:rPr>
          <w:lang w:val="es-ES_tradnl"/>
        </w:rPr>
        <w:t xml:space="preserve"> mediante</w:t>
      </w:r>
      <w:r w:rsidR="00864BB9" w:rsidRPr="00836EB3">
        <w:rPr>
          <w:lang w:val="es-ES_tradnl"/>
        </w:rPr>
        <w:t xml:space="preserve"> la Ley N° 9154</w:t>
      </w:r>
      <w:r w:rsidR="00820D15" w:rsidRPr="00836EB3">
        <w:rPr>
          <w:lang w:val="es-ES_tradnl"/>
        </w:rPr>
        <w:t xml:space="preserve"> </w:t>
      </w:r>
      <w:r w:rsidR="00864BB9" w:rsidRPr="00836EB3">
        <w:rPr>
          <w:lang w:val="es-ES_tradnl"/>
        </w:rPr>
        <w:t xml:space="preserve">de </w:t>
      </w:r>
      <w:r w:rsidR="00294D73" w:rsidRPr="00836EB3">
        <w:rPr>
          <w:lang w:val="es-ES_tradnl"/>
        </w:rPr>
        <w:t>3 de Julio de 2013, se instauraron tributos con cargo a los usuarios de los Pasos de Frontera terrestres:</w:t>
      </w:r>
      <w:r w:rsidR="00FB400C" w:rsidRPr="00836EB3">
        <w:rPr>
          <w:lang w:val="es-ES_tradnl"/>
        </w:rPr>
        <w:t xml:space="preserve"> (i) US$ 5,00 por cada pasajero que egresa del país; (ii) US$ 25,00 por cada declaración aduanera de mercaderías de exportación. </w:t>
      </w:r>
    </w:p>
    <w:p w:rsidR="00625630" w:rsidRPr="00836EB3" w:rsidRDefault="00625630" w:rsidP="00625630">
      <w:pPr>
        <w:pStyle w:val="ListParagraph"/>
        <w:rPr>
          <w:lang w:val="es-ES_tradnl"/>
        </w:rPr>
      </w:pPr>
    </w:p>
    <w:p w:rsidR="003C721A" w:rsidRPr="00836EB3" w:rsidRDefault="00294D73" w:rsidP="003C721A">
      <w:pPr>
        <w:widowControl w:val="0"/>
        <w:numPr>
          <w:ilvl w:val="1"/>
          <w:numId w:val="2"/>
        </w:numPr>
        <w:tabs>
          <w:tab w:val="clear" w:pos="360"/>
          <w:tab w:val="num" w:pos="709"/>
        </w:tabs>
        <w:adjustRightInd w:val="0"/>
        <w:ind w:left="709" w:hanging="709"/>
        <w:jc w:val="both"/>
        <w:textAlignment w:val="baseline"/>
      </w:pPr>
      <w:bookmarkStart w:id="1" w:name="_Ref412803424"/>
      <w:r w:rsidRPr="00836EB3">
        <w:rPr>
          <w:lang w:val="es-ES_tradnl"/>
        </w:rPr>
        <w:t xml:space="preserve">El problema actual es que la mencionada Ley previó que sólo el 50% de la recaudación por tales tributos se destinaría a sufragar el costo de la modernización de los puestos de frontera, en tanto que el restante 50% se </w:t>
      </w:r>
      <w:r w:rsidR="00625630" w:rsidRPr="00836EB3">
        <w:rPr>
          <w:lang w:val="es-ES_tradnl"/>
        </w:rPr>
        <w:t xml:space="preserve">sería </w:t>
      </w:r>
      <w:r w:rsidRPr="00836EB3">
        <w:rPr>
          <w:lang w:val="es-ES_tradnl"/>
        </w:rPr>
        <w:t>destina</w:t>
      </w:r>
      <w:r w:rsidR="00625630" w:rsidRPr="00836EB3">
        <w:rPr>
          <w:lang w:val="es-ES_tradnl"/>
        </w:rPr>
        <w:t>do</w:t>
      </w:r>
      <w:r w:rsidRPr="00836EB3">
        <w:rPr>
          <w:lang w:val="es-ES_tradnl"/>
        </w:rPr>
        <w:t xml:space="preserve"> a l</w:t>
      </w:r>
      <w:r w:rsidR="007510A9">
        <w:rPr>
          <w:lang w:val="es-ES_tradnl"/>
        </w:rPr>
        <w:t>o</w:t>
      </w:r>
      <w:r w:rsidRPr="00836EB3">
        <w:rPr>
          <w:lang w:val="es-ES_tradnl"/>
        </w:rPr>
        <w:t xml:space="preserve">s </w:t>
      </w:r>
      <w:r w:rsidR="007510A9">
        <w:rPr>
          <w:lang w:val="es-ES_tradnl"/>
        </w:rPr>
        <w:t xml:space="preserve">Gobiernos Locales (en particular,  las </w:t>
      </w:r>
      <w:r w:rsidRPr="00836EB3">
        <w:rPr>
          <w:lang w:val="es-ES_tradnl"/>
        </w:rPr>
        <w:t xml:space="preserve">municipalidades de los cantones en cuya jurisdicción se encuentran los </w:t>
      </w:r>
      <w:r w:rsidR="00625630" w:rsidRPr="00836EB3">
        <w:rPr>
          <w:lang w:val="es-ES_tradnl"/>
        </w:rPr>
        <w:t>correspondientes</w:t>
      </w:r>
      <w:r w:rsidRPr="00836EB3">
        <w:rPr>
          <w:lang w:val="es-ES_tradnl"/>
        </w:rPr>
        <w:t xml:space="preserve"> puestos fronterizos</w:t>
      </w:r>
      <w:r w:rsidR="007510A9">
        <w:rPr>
          <w:lang w:val="es-ES_tradnl"/>
        </w:rPr>
        <w:t>)</w:t>
      </w:r>
      <w:r w:rsidR="00625630" w:rsidRPr="00836EB3">
        <w:rPr>
          <w:lang w:val="es-ES_tradnl"/>
        </w:rPr>
        <w:t>.</w:t>
      </w:r>
      <w:bookmarkEnd w:id="1"/>
      <w:r w:rsidR="003C721A">
        <w:rPr>
          <w:lang w:val="es-ES_tradnl"/>
        </w:rPr>
        <w:t xml:space="preserve"> No obstante, se pretende incluir mediante la ley de </w:t>
      </w:r>
      <w:proofErr w:type="spellStart"/>
      <w:r w:rsidR="003C721A">
        <w:rPr>
          <w:lang w:val="es-ES_tradnl"/>
        </w:rPr>
        <w:t>ratificaci</w:t>
      </w:r>
      <w:r w:rsidR="003C721A">
        <w:t>ón</w:t>
      </w:r>
      <w:proofErr w:type="spellEnd"/>
      <w:r w:rsidR="003C721A">
        <w:t xml:space="preserve"> del contrato de préstamo una modificación a dicha Ley 9154, de forma que el Estado reciba el 85% de los tributos y el restante 15% sea destinado a las municipalidades.</w:t>
      </w:r>
    </w:p>
    <w:p w:rsidR="00A94796" w:rsidRPr="00836EB3" w:rsidRDefault="00A94796" w:rsidP="00FB400C">
      <w:pPr>
        <w:widowControl w:val="0"/>
        <w:adjustRightInd w:val="0"/>
        <w:ind w:left="709"/>
        <w:jc w:val="both"/>
        <w:textAlignment w:val="baseline"/>
        <w:rPr>
          <w:lang w:val="es-ES_tradnl"/>
        </w:rPr>
      </w:pPr>
    </w:p>
    <w:p w:rsidR="00481103" w:rsidRPr="00836EB3" w:rsidRDefault="00481103" w:rsidP="00481103">
      <w:pPr>
        <w:pStyle w:val="ListParagraph"/>
        <w:numPr>
          <w:ilvl w:val="0"/>
          <w:numId w:val="25"/>
        </w:numPr>
        <w:ind w:hanging="720"/>
        <w:rPr>
          <w:smallCaps/>
        </w:rPr>
      </w:pPr>
      <w:r w:rsidRPr="00836EB3">
        <w:rPr>
          <w:smallCaps/>
        </w:rPr>
        <w:t>Objetivo del Análisis Financiero.</w:t>
      </w:r>
    </w:p>
    <w:p w:rsidR="00481103" w:rsidRPr="00836EB3" w:rsidRDefault="00481103" w:rsidP="00481103">
      <w:pPr>
        <w:pStyle w:val="ListParagraph"/>
      </w:pPr>
    </w:p>
    <w:p w:rsidR="00481103" w:rsidRPr="00836EB3" w:rsidRDefault="00481103" w:rsidP="00481103">
      <w:pPr>
        <w:widowControl w:val="0"/>
        <w:numPr>
          <w:ilvl w:val="1"/>
          <w:numId w:val="2"/>
        </w:numPr>
        <w:tabs>
          <w:tab w:val="clear" w:pos="360"/>
          <w:tab w:val="num" w:pos="709"/>
        </w:tabs>
        <w:adjustRightInd w:val="0"/>
        <w:ind w:left="709" w:hanging="709"/>
        <w:jc w:val="both"/>
        <w:textAlignment w:val="baseline"/>
      </w:pPr>
      <w:r w:rsidRPr="00836EB3">
        <w:t xml:space="preserve">El objetivo del análisis </w:t>
      </w:r>
      <w:r w:rsidR="007510A9">
        <w:t xml:space="preserve">financiero </w:t>
      </w:r>
      <w:r w:rsidRPr="00836EB3">
        <w:t xml:space="preserve">es determinar la capacidad del Estado </w:t>
      </w:r>
      <w:r w:rsidR="007510A9">
        <w:t>para</w:t>
      </w:r>
      <w:r w:rsidRPr="00836EB3">
        <w:t xml:space="preserve"> generar ingresos </w:t>
      </w:r>
      <w:r w:rsidR="007510A9">
        <w:t>suficientes</w:t>
      </w:r>
      <w:r w:rsidRPr="00836EB3">
        <w:t xml:space="preserve"> mediante las tasas a cobrar a los usuarios, para solventar los costos de la modernización y, en particular, determinar la cuota parte de estos ingresos que debería ser retenida por el mismo y la que podría ser cedida a los Gobiernos Locales, sin que se comprometa el cumpli</w:t>
      </w:r>
      <w:r w:rsidR="00C44082" w:rsidRPr="00836EB3">
        <w:t>r con</w:t>
      </w:r>
      <w:r w:rsidRPr="00836EB3">
        <w:t xml:space="preserve"> las obligaciones asociadas al financiamiento del proyecto de modernización.</w:t>
      </w:r>
    </w:p>
    <w:p w:rsidR="00481103" w:rsidRPr="00836EB3" w:rsidRDefault="00481103">
      <w:r w:rsidRPr="00836EB3">
        <w:br w:type="page"/>
      </w:r>
    </w:p>
    <w:p w:rsidR="00481103" w:rsidRPr="00836EB3" w:rsidRDefault="00481103" w:rsidP="00FB400C">
      <w:pPr>
        <w:widowControl w:val="0"/>
        <w:adjustRightInd w:val="0"/>
        <w:ind w:left="709"/>
        <w:jc w:val="both"/>
        <w:textAlignment w:val="baseline"/>
      </w:pPr>
    </w:p>
    <w:p w:rsidR="00133CDE" w:rsidRPr="00836EB3" w:rsidRDefault="00287770" w:rsidP="00A87C94">
      <w:pPr>
        <w:widowControl w:val="0"/>
        <w:numPr>
          <w:ilvl w:val="0"/>
          <w:numId w:val="2"/>
        </w:numPr>
        <w:adjustRightInd w:val="0"/>
        <w:jc w:val="both"/>
        <w:textAlignment w:val="baseline"/>
        <w:rPr>
          <w:b/>
          <w:sz w:val="22"/>
        </w:rPr>
      </w:pPr>
      <w:r w:rsidRPr="00836EB3">
        <w:rPr>
          <w:b/>
        </w:rPr>
        <w:t>Situación y Demanda de los Pasos de Frontera Terrestres</w:t>
      </w:r>
      <w:r w:rsidR="00CD2399" w:rsidRPr="00836EB3">
        <w:rPr>
          <w:b/>
        </w:rPr>
        <w:t>.</w:t>
      </w:r>
    </w:p>
    <w:p w:rsidR="00133CDE" w:rsidRPr="00836EB3" w:rsidRDefault="00133CDE" w:rsidP="00A87C94">
      <w:pPr>
        <w:rPr>
          <w:smallCaps/>
        </w:rPr>
      </w:pPr>
    </w:p>
    <w:p w:rsidR="00832474" w:rsidRPr="00836EB3" w:rsidRDefault="003A13B9" w:rsidP="00A87C94">
      <w:pPr>
        <w:pStyle w:val="ListParagraph"/>
        <w:numPr>
          <w:ilvl w:val="0"/>
          <w:numId w:val="11"/>
        </w:numPr>
        <w:ind w:hanging="720"/>
        <w:rPr>
          <w:smallCaps/>
        </w:rPr>
      </w:pPr>
      <w:r w:rsidRPr="00836EB3">
        <w:rPr>
          <w:smallCaps/>
        </w:rPr>
        <w:t xml:space="preserve">Breve Reseña de la </w:t>
      </w:r>
      <w:r w:rsidR="00832474" w:rsidRPr="00836EB3">
        <w:rPr>
          <w:smallCaps/>
        </w:rPr>
        <w:t xml:space="preserve">Situación </w:t>
      </w:r>
      <w:r w:rsidR="00D20512" w:rsidRPr="00836EB3">
        <w:rPr>
          <w:smallCaps/>
        </w:rPr>
        <w:t xml:space="preserve">Actual </w:t>
      </w:r>
      <w:r w:rsidR="009C4659" w:rsidRPr="00836EB3">
        <w:rPr>
          <w:smallCaps/>
        </w:rPr>
        <w:t xml:space="preserve">de </w:t>
      </w:r>
      <w:r w:rsidR="0094074B" w:rsidRPr="00836EB3">
        <w:rPr>
          <w:smallCaps/>
        </w:rPr>
        <w:t>los Pasos de Frontera</w:t>
      </w:r>
    </w:p>
    <w:p w:rsidR="006048BB" w:rsidRPr="00836EB3" w:rsidRDefault="006048BB" w:rsidP="006048BB">
      <w:pPr>
        <w:ind w:firstLine="708"/>
      </w:pPr>
    </w:p>
    <w:p w:rsidR="0077121D" w:rsidRPr="00836EB3" w:rsidRDefault="0077121D" w:rsidP="0077121D">
      <w:pPr>
        <w:widowControl w:val="0"/>
        <w:numPr>
          <w:ilvl w:val="1"/>
          <w:numId w:val="2"/>
        </w:numPr>
        <w:tabs>
          <w:tab w:val="clear" w:pos="360"/>
          <w:tab w:val="num" w:pos="709"/>
        </w:tabs>
        <w:adjustRightInd w:val="0"/>
        <w:ind w:left="709" w:hanging="709"/>
        <w:jc w:val="both"/>
        <w:textAlignment w:val="baseline"/>
        <w:rPr>
          <w:szCs w:val="24"/>
        </w:rPr>
      </w:pPr>
      <w:r w:rsidRPr="00836EB3">
        <w:rPr>
          <w:b/>
          <w:szCs w:val="24"/>
        </w:rPr>
        <w:t>Pasos de Frontera.</w:t>
      </w:r>
      <w:r w:rsidRPr="00836EB3">
        <w:rPr>
          <w:szCs w:val="24"/>
        </w:rPr>
        <w:t xml:space="preserve"> Costa Rica cuenta con los siguientes pasos de frontera terrestre para vincularse con sus vecinos</w:t>
      </w:r>
      <w:r w:rsidRPr="00836EB3">
        <w:t xml:space="preserve">: (i) en la frontera Norte con Nicaragua, </w:t>
      </w:r>
      <w:r w:rsidR="00045EBF" w:rsidRPr="00836EB3">
        <w:t>sector Pacífico, se encuentra un</w:t>
      </w:r>
      <w:r w:rsidRPr="00836EB3">
        <w:t xml:space="preserve"> paso habilitado entre las localidades homónimas de Pe</w:t>
      </w:r>
      <w:r w:rsidR="00045EBF" w:rsidRPr="00836EB3">
        <w:t xml:space="preserve">ñas Blancas -en Costa Rica y </w:t>
      </w:r>
      <w:r w:rsidRPr="00836EB3">
        <w:t xml:space="preserve">Nicaragua- (en adelante, “Paso Peñas Blancas”); (ii) en la frontera Norte con Nicaragua, sector Atlántico, se encuentra un paso ocasional entre </w:t>
      </w:r>
      <w:r w:rsidR="00045EBF" w:rsidRPr="00836EB3">
        <w:t xml:space="preserve">las localidades de  </w:t>
      </w:r>
      <w:r w:rsidRPr="00836EB3">
        <w:t>Las Tablillas -Costa Rica- y San Pancho -Nicaragua-</w:t>
      </w:r>
      <w:r w:rsidR="00045EBF" w:rsidRPr="00836EB3">
        <w:t xml:space="preserve">, el que se abre bajo pedido para </w:t>
      </w:r>
      <w:r w:rsidRPr="00836EB3">
        <w:t xml:space="preserve">el paso de vehículos de carga </w:t>
      </w:r>
      <w:r w:rsidR="00045EBF" w:rsidRPr="00836EB3">
        <w:t>local, especialmente para la importación d</w:t>
      </w:r>
      <w:r w:rsidRPr="00836EB3">
        <w:t xml:space="preserve">e </w:t>
      </w:r>
      <w:r w:rsidR="00045EBF" w:rsidRPr="00836EB3">
        <w:t xml:space="preserve">naranjas desde </w:t>
      </w:r>
      <w:r w:rsidRPr="00836EB3">
        <w:t xml:space="preserve">Nicaragua </w:t>
      </w:r>
      <w:r w:rsidR="00045EBF" w:rsidRPr="00836EB3">
        <w:t>para la industria local</w:t>
      </w:r>
      <w:r w:rsidRPr="00836EB3">
        <w:t xml:space="preserve"> (en adelante, “Paso Las Tablillas”); (iii) en la frontera Sur, sector Pacífico, se dispone del paso habilitado en la ciudad de Paso Canoas -ciudad binacional asentada en territorio de Costa Rica y territorio de Panamá- (en adelante, “Paso Canoas”); (iv) en la frontera Sur, sector Caribe, se encuentra el paso habilitado entre Sixaola -Costa Rica- y </w:t>
      </w:r>
      <w:proofErr w:type="spellStart"/>
      <w:r w:rsidRPr="00836EB3">
        <w:t>Guabito</w:t>
      </w:r>
      <w:proofErr w:type="spellEnd"/>
      <w:r w:rsidRPr="00836EB3">
        <w:t xml:space="preserve"> -Panamá- (en adelante, paso “Paso Sixaola”).</w:t>
      </w:r>
    </w:p>
    <w:p w:rsidR="00045EBF" w:rsidRPr="00836EB3" w:rsidRDefault="00045EBF" w:rsidP="00833AE3">
      <w:pPr>
        <w:widowControl w:val="0"/>
        <w:adjustRightInd w:val="0"/>
        <w:ind w:left="709"/>
        <w:jc w:val="both"/>
        <w:textAlignment w:val="baseline"/>
        <w:rPr>
          <w:szCs w:val="24"/>
        </w:rPr>
      </w:pPr>
    </w:p>
    <w:p w:rsidR="00B86DA4" w:rsidRPr="00836EB3" w:rsidRDefault="00833AE3" w:rsidP="00B86DA4">
      <w:pPr>
        <w:widowControl w:val="0"/>
        <w:numPr>
          <w:ilvl w:val="1"/>
          <w:numId w:val="2"/>
        </w:numPr>
        <w:tabs>
          <w:tab w:val="clear" w:pos="360"/>
          <w:tab w:val="num" w:pos="709"/>
        </w:tabs>
        <w:adjustRightInd w:val="0"/>
        <w:ind w:left="709" w:hanging="709"/>
        <w:jc w:val="both"/>
        <w:textAlignment w:val="baseline"/>
        <w:rPr>
          <w:szCs w:val="24"/>
        </w:rPr>
      </w:pPr>
      <w:r w:rsidRPr="00836EB3">
        <w:rPr>
          <w:b/>
          <w:szCs w:val="24"/>
        </w:rPr>
        <w:t>Pasos habilitados en Peñas Blancas y Paso Canoas.</w:t>
      </w:r>
      <w:r w:rsidRPr="00836EB3">
        <w:rPr>
          <w:szCs w:val="24"/>
        </w:rPr>
        <w:t xml:space="preserve"> L</w:t>
      </w:r>
      <w:r w:rsidR="003A13B9" w:rsidRPr="00836EB3">
        <w:rPr>
          <w:szCs w:val="24"/>
        </w:rPr>
        <w:t xml:space="preserve">os pasos de frontera terrestres de Costa Rica y </w:t>
      </w:r>
      <w:r w:rsidRPr="00836EB3">
        <w:rPr>
          <w:szCs w:val="24"/>
        </w:rPr>
        <w:t xml:space="preserve">también de </w:t>
      </w:r>
      <w:r w:rsidR="003A13B9" w:rsidRPr="00836EB3">
        <w:rPr>
          <w:szCs w:val="24"/>
        </w:rPr>
        <w:t>otros países de la región</w:t>
      </w:r>
      <w:r w:rsidR="0094074B" w:rsidRPr="00836EB3">
        <w:rPr>
          <w:szCs w:val="24"/>
        </w:rPr>
        <w:t xml:space="preserve">, </w:t>
      </w:r>
      <w:r w:rsidR="005303D2" w:rsidRPr="00836EB3">
        <w:rPr>
          <w:szCs w:val="24"/>
        </w:rPr>
        <w:t xml:space="preserve">se </w:t>
      </w:r>
      <w:r w:rsidR="0094074B" w:rsidRPr="00836EB3">
        <w:rPr>
          <w:szCs w:val="24"/>
        </w:rPr>
        <w:t xml:space="preserve">han </w:t>
      </w:r>
      <w:r w:rsidR="007258E4" w:rsidRPr="00836EB3">
        <w:rPr>
          <w:szCs w:val="24"/>
        </w:rPr>
        <w:t>adaptado a la demanda mediante la acumulación de recursos</w:t>
      </w:r>
      <w:r w:rsidR="003A13B9" w:rsidRPr="00836EB3">
        <w:rPr>
          <w:szCs w:val="24"/>
        </w:rPr>
        <w:t xml:space="preserve"> en forma </w:t>
      </w:r>
      <w:proofErr w:type="spellStart"/>
      <w:r w:rsidR="003A13B9" w:rsidRPr="00836EB3">
        <w:rPr>
          <w:szCs w:val="24"/>
        </w:rPr>
        <w:t>aluvional</w:t>
      </w:r>
      <w:proofErr w:type="spellEnd"/>
      <w:r w:rsidR="0051389F" w:rsidRPr="00836EB3">
        <w:rPr>
          <w:szCs w:val="24"/>
        </w:rPr>
        <w:t>, pero sin disponer de un plan maestro de desarrollo diseñado a esos fines.</w:t>
      </w:r>
    </w:p>
    <w:p w:rsidR="0051389F" w:rsidRPr="00836EB3" w:rsidRDefault="0051389F" w:rsidP="0051389F">
      <w:pPr>
        <w:widowControl w:val="0"/>
        <w:adjustRightInd w:val="0"/>
        <w:ind w:left="709"/>
        <w:jc w:val="both"/>
        <w:textAlignment w:val="baseline"/>
        <w:rPr>
          <w:szCs w:val="24"/>
        </w:rPr>
      </w:pPr>
    </w:p>
    <w:p w:rsidR="0051389F" w:rsidRPr="00836EB3" w:rsidRDefault="0051389F" w:rsidP="00B86DA4">
      <w:pPr>
        <w:widowControl w:val="0"/>
        <w:numPr>
          <w:ilvl w:val="1"/>
          <w:numId w:val="2"/>
        </w:numPr>
        <w:tabs>
          <w:tab w:val="clear" w:pos="360"/>
          <w:tab w:val="num" w:pos="709"/>
        </w:tabs>
        <w:adjustRightInd w:val="0"/>
        <w:ind w:left="709" w:hanging="709"/>
        <w:jc w:val="both"/>
        <w:textAlignment w:val="baseline"/>
        <w:rPr>
          <w:szCs w:val="24"/>
        </w:rPr>
      </w:pPr>
      <w:r w:rsidRPr="00836EB3">
        <w:rPr>
          <w:szCs w:val="24"/>
        </w:rPr>
        <w:t xml:space="preserve">Es así que el Equipo Técnico Consultor encuentra que las instalaciones físicas de </w:t>
      </w:r>
      <w:r w:rsidR="00833AE3" w:rsidRPr="00836EB3">
        <w:rPr>
          <w:szCs w:val="24"/>
        </w:rPr>
        <w:t>estos</w:t>
      </w:r>
      <w:r w:rsidRPr="00836EB3">
        <w:rPr>
          <w:szCs w:val="24"/>
        </w:rPr>
        <w:t xml:space="preserve"> pasos de frontera habilitados presentan carencias para la adecuada atención de los usuarios y los procesos de control conllevan ineficiencias. Esta situación implica que el necesario ejercicio de las funciones de </w:t>
      </w:r>
      <w:r w:rsidR="003A13B9" w:rsidRPr="00836EB3">
        <w:rPr>
          <w:szCs w:val="24"/>
        </w:rPr>
        <w:t xml:space="preserve">control por parte de </w:t>
      </w:r>
      <w:r w:rsidRPr="00836EB3">
        <w:rPr>
          <w:szCs w:val="24"/>
        </w:rPr>
        <w:t xml:space="preserve">las autoridades competentes  </w:t>
      </w:r>
      <w:r w:rsidR="003A13B9" w:rsidRPr="00836EB3">
        <w:rPr>
          <w:szCs w:val="24"/>
        </w:rPr>
        <w:t xml:space="preserve">(controles </w:t>
      </w:r>
      <w:r w:rsidRPr="00836EB3">
        <w:rPr>
          <w:szCs w:val="24"/>
        </w:rPr>
        <w:t xml:space="preserve">migratorios, aduaneros, sanitarios, etc.) insuman tiempos excesivos respecto de la experiencia internacional y </w:t>
      </w:r>
      <w:r w:rsidR="003A13B9" w:rsidRPr="00836EB3">
        <w:rPr>
          <w:szCs w:val="24"/>
        </w:rPr>
        <w:t xml:space="preserve">las </w:t>
      </w:r>
      <w:r w:rsidRPr="00836EB3">
        <w:rPr>
          <w:szCs w:val="24"/>
        </w:rPr>
        <w:t xml:space="preserve">condiciones de comodidad </w:t>
      </w:r>
      <w:r w:rsidR="003A13B9" w:rsidRPr="00836EB3">
        <w:rPr>
          <w:szCs w:val="24"/>
        </w:rPr>
        <w:t>durante la estancia en las instalaciones de los pasos de frontera no sean las</w:t>
      </w:r>
      <w:r w:rsidRPr="00836EB3">
        <w:rPr>
          <w:szCs w:val="24"/>
        </w:rPr>
        <w:t xml:space="preserve"> apropiadas para los usuarios.</w:t>
      </w:r>
      <w:r w:rsidR="00833AE3" w:rsidRPr="00836EB3">
        <w:rPr>
          <w:rStyle w:val="FootnoteReference"/>
          <w:szCs w:val="24"/>
        </w:rPr>
        <w:footnoteReference w:id="6"/>
      </w:r>
    </w:p>
    <w:p w:rsidR="00902D95" w:rsidRPr="00836EB3" w:rsidRDefault="00902D95" w:rsidP="00902D95">
      <w:pPr>
        <w:pStyle w:val="ListParagraph"/>
        <w:rPr>
          <w:szCs w:val="24"/>
        </w:rPr>
      </w:pPr>
    </w:p>
    <w:p w:rsidR="00902D95" w:rsidRPr="00836EB3" w:rsidRDefault="00902D95" w:rsidP="00B86DA4">
      <w:pPr>
        <w:widowControl w:val="0"/>
        <w:numPr>
          <w:ilvl w:val="1"/>
          <w:numId w:val="2"/>
        </w:numPr>
        <w:tabs>
          <w:tab w:val="clear" w:pos="360"/>
          <w:tab w:val="num" w:pos="709"/>
        </w:tabs>
        <w:adjustRightInd w:val="0"/>
        <w:ind w:left="709" w:hanging="709"/>
        <w:jc w:val="both"/>
        <w:textAlignment w:val="baseline"/>
        <w:rPr>
          <w:szCs w:val="24"/>
        </w:rPr>
      </w:pPr>
      <w:r w:rsidRPr="00836EB3">
        <w:rPr>
          <w:szCs w:val="24"/>
        </w:rPr>
        <w:t>En</w:t>
      </w:r>
      <w:r w:rsidR="00411377" w:rsidRPr="00836EB3">
        <w:rPr>
          <w:szCs w:val="24"/>
        </w:rPr>
        <w:t xml:space="preserve"> particular, el Equipo Técnico Consultor menciona carencias de diferente orden</w:t>
      </w:r>
      <w:r w:rsidR="0037772D" w:rsidRPr="00836EB3">
        <w:rPr>
          <w:szCs w:val="24"/>
        </w:rPr>
        <w:t>: (i)</w:t>
      </w:r>
      <w:r w:rsidR="00411377" w:rsidRPr="00836EB3">
        <w:rPr>
          <w:szCs w:val="24"/>
        </w:rPr>
        <w:t xml:space="preserve"> en lo institucional, </w:t>
      </w:r>
      <w:r w:rsidR="0037772D" w:rsidRPr="00836EB3">
        <w:rPr>
          <w:szCs w:val="24"/>
        </w:rPr>
        <w:t>se verifica falta de coordinación entre las agencias gubernamentales de control, así como dotaciones y recursos técnicos dispares entre ellas; (ii) en cuanto a la  infraestructura</w:t>
      </w:r>
      <w:r w:rsidR="0059102C" w:rsidRPr="00836EB3">
        <w:rPr>
          <w:szCs w:val="24"/>
        </w:rPr>
        <w:t xml:space="preserve"> y configuración</w:t>
      </w:r>
      <w:r w:rsidR="0037772D" w:rsidRPr="00836EB3">
        <w:rPr>
          <w:szCs w:val="24"/>
        </w:rPr>
        <w:t xml:space="preserve">, se observan carencias graves </w:t>
      </w:r>
      <w:r w:rsidR="0059102C" w:rsidRPr="00836EB3">
        <w:rPr>
          <w:szCs w:val="24"/>
        </w:rPr>
        <w:t xml:space="preserve">de conservación, falta de delimitación que permite la invasión de vendedores, cambistas y </w:t>
      </w:r>
      <w:r w:rsidR="001E0E17" w:rsidRPr="00836EB3">
        <w:rPr>
          <w:szCs w:val="24"/>
        </w:rPr>
        <w:t>“facilitadores” de  trámites informales</w:t>
      </w:r>
      <w:r w:rsidR="0059102C" w:rsidRPr="00836EB3">
        <w:rPr>
          <w:szCs w:val="24"/>
        </w:rPr>
        <w:t xml:space="preserve">, </w:t>
      </w:r>
      <w:r w:rsidR="0037772D" w:rsidRPr="00836EB3">
        <w:rPr>
          <w:szCs w:val="24"/>
        </w:rPr>
        <w:t xml:space="preserve">falta de espacios apropiados para el control de </w:t>
      </w:r>
      <w:r w:rsidR="001E0E17" w:rsidRPr="00836EB3">
        <w:rPr>
          <w:szCs w:val="24"/>
        </w:rPr>
        <w:t xml:space="preserve">los </w:t>
      </w:r>
      <w:r w:rsidR="0059102C" w:rsidRPr="00836EB3">
        <w:rPr>
          <w:szCs w:val="24"/>
        </w:rPr>
        <w:t>vehículos</w:t>
      </w:r>
      <w:r w:rsidR="001E0E17" w:rsidRPr="00836EB3">
        <w:rPr>
          <w:szCs w:val="24"/>
        </w:rPr>
        <w:t xml:space="preserve"> y las </w:t>
      </w:r>
      <w:r w:rsidR="0059102C" w:rsidRPr="00836EB3">
        <w:rPr>
          <w:szCs w:val="24"/>
        </w:rPr>
        <w:t>mercancías, áreas de estacionamiento inexistentes o desordenadas, etc. (</w:t>
      </w:r>
      <w:r w:rsidR="0037772D" w:rsidRPr="00836EB3">
        <w:rPr>
          <w:szCs w:val="24"/>
        </w:rPr>
        <w:t xml:space="preserve">en el caso de Paso Canoas, existen vías alternativas </w:t>
      </w:r>
      <w:r w:rsidR="001E0E17" w:rsidRPr="00836EB3">
        <w:rPr>
          <w:szCs w:val="24"/>
        </w:rPr>
        <w:t>dentro de</w:t>
      </w:r>
      <w:r w:rsidR="0037772D" w:rsidRPr="00836EB3">
        <w:rPr>
          <w:szCs w:val="24"/>
        </w:rPr>
        <w:t xml:space="preserve"> la propia ciudad que permiten evadir fácilmente </w:t>
      </w:r>
      <w:r w:rsidR="0059102C" w:rsidRPr="00836EB3">
        <w:rPr>
          <w:szCs w:val="24"/>
        </w:rPr>
        <w:t>el control en ambos países); (ii</w:t>
      </w:r>
      <w:r w:rsidR="00D15AAE" w:rsidRPr="00836EB3">
        <w:rPr>
          <w:szCs w:val="24"/>
        </w:rPr>
        <w:t>i</w:t>
      </w:r>
      <w:r w:rsidR="0059102C" w:rsidRPr="00836EB3">
        <w:rPr>
          <w:szCs w:val="24"/>
        </w:rPr>
        <w:t xml:space="preserve">) en cuanto al equipamiento, </w:t>
      </w:r>
      <w:r w:rsidR="00D15AAE" w:rsidRPr="00836EB3">
        <w:rPr>
          <w:szCs w:val="24"/>
        </w:rPr>
        <w:t>no se dispone de elementos actualmente imprescindibles, tales como balanzas para camiones, equipos de control no intrusivo para equipajes, así como se observa obsolescencia en los equipos y mobiliarios de las agencias de control; etc</w:t>
      </w:r>
      <w:r w:rsidR="001E0E17" w:rsidRPr="00836EB3">
        <w:rPr>
          <w:szCs w:val="24"/>
        </w:rPr>
        <w:t>.</w:t>
      </w:r>
      <w:r w:rsidR="00D15AAE" w:rsidRPr="00836EB3">
        <w:rPr>
          <w:szCs w:val="24"/>
        </w:rPr>
        <w:t xml:space="preserve">; (iv) en cuanto a los procesos, </w:t>
      </w:r>
      <w:r w:rsidR="001E0E17" w:rsidRPr="00836EB3">
        <w:rPr>
          <w:szCs w:val="24"/>
        </w:rPr>
        <w:t xml:space="preserve">no </w:t>
      </w:r>
      <w:r w:rsidR="00D15AAE" w:rsidRPr="00836EB3">
        <w:rPr>
          <w:szCs w:val="24"/>
        </w:rPr>
        <w:t xml:space="preserve">existe </w:t>
      </w:r>
      <w:r w:rsidR="001E0E17" w:rsidRPr="00836EB3">
        <w:rPr>
          <w:szCs w:val="24"/>
        </w:rPr>
        <w:t xml:space="preserve">debido </w:t>
      </w:r>
      <w:r w:rsidR="00D15AAE" w:rsidRPr="00836EB3">
        <w:rPr>
          <w:szCs w:val="24"/>
        </w:rPr>
        <w:t xml:space="preserve">alineamiento </w:t>
      </w:r>
      <w:r w:rsidR="001E0E17" w:rsidRPr="00836EB3">
        <w:rPr>
          <w:szCs w:val="24"/>
        </w:rPr>
        <w:t>entre</w:t>
      </w:r>
      <w:r w:rsidR="00D15AAE" w:rsidRPr="00836EB3">
        <w:rPr>
          <w:szCs w:val="24"/>
        </w:rPr>
        <w:t xml:space="preserve"> horarios de trabajo entre las agencias de control y falta integración entre ellas, </w:t>
      </w:r>
      <w:r w:rsidR="001E0E17" w:rsidRPr="00836EB3">
        <w:rPr>
          <w:szCs w:val="24"/>
        </w:rPr>
        <w:t xml:space="preserve">los </w:t>
      </w:r>
      <w:r w:rsidR="00D15AAE" w:rsidRPr="00836EB3">
        <w:rPr>
          <w:szCs w:val="24"/>
        </w:rPr>
        <w:t xml:space="preserve">registros </w:t>
      </w:r>
      <w:r w:rsidR="001E0E17" w:rsidRPr="00836EB3">
        <w:rPr>
          <w:szCs w:val="24"/>
        </w:rPr>
        <w:t xml:space="preserve">informatizados son </w:t>
      </w:r>
      <w:r w:rsidR="00D15AAE" w:rsidRPr="00836EB3">
        <w:rPr>
          <w:szCs w:val="24"/>
        </w:rPr>
        <w:t>incompletos</w:t>
      </w:r>
      <w:r w:rsidR="001E0E17" w:rsidRPr="00836EB3">
        <w:rPr>
          <w:szCs w:val="24"/>
        </w:rPr>
        <w:t>, algunos controles (v.g. fitosanitarios) no se realizan sistemáticamente, etc.</w:t>
      </w:r>
    </w:p>
    <w:p w:rsidR="003A13B9" w:rsidRPr="00836EB3" w:rsidRDefault="003A13B9" w:rsidP="003A13B9">
      <w:pPr>
        <w:pStyle w:val="ListParagraph"/>
        <w:rPr>
          <w:szCs w:val="24"/>
        </w:rPr>
      </w:pPr>
    </w:p>
    <w:p w:rsidR="003A13B9" w:rsidRPr="00836EB3" w:rsidRDefault="00833AE3" w:rsidP="00B86DA4">
      <w:pPr>
        <w:widowControl w:val="0"/>
        <w:numPr>
          <w:ilvl w:val="1"/>
          <w:numId w:val="2"/>
        </w:numPr>
        <w:tabs>
          <w:tab w:val="clear" w:pos="360"/>
          <w:tab w:val="num" w:pos="709"/>
        </w:tabs>
        <w:adjustRightInd w:val="0"/>
        <w:ind w:left="709" w:hanging="709"/>
        <w:jc w:val="both"/>
        <w:textAlignment w:val="baseline"/>
        <w:rPr>
          <w:szCs w:val="24"/>
        </w:rPr>
      </w:pPr>
      <w:r w:rsidRPr="00836EB3">
        <w:rPr>
          <w:szCs w:val="24"/>
        </w:rPr>
        <w:t>Las ineficiencias en los pasos de frontera conllevan</w:t>
      </w:r>
      <w:r w:rsidR="003A13B9" w:rsidRPr="00836EB3">
        <w:rPr>
          <w:szCs w:val="24"/>
        </w:rPr>
        <w:t xml:space="preserve"> efectos </w:t>
      </w:r>
      <w:r w:rsidRPr="00836EB3">
        <w:rPr>
          <w:szCs w:val="24"/>
        </w:rPr>
        <w:t xml:space="preserve">negativos </w:t>
      </w:r>
      <w:r w:rsidR="003A13B9" w:rsidRPr="00836EB3">
        <w:rPr>
          <w:szCs w:val="24"/>
        </w:rPr>
        <w:t xml:space="preserve">sobre los usuarios </w:t>
      </w:r>
      <w:r w:rsidRPr="00836EB3">
        <w:rPr>
          <w:szCs w:val="24"/>
        </w:rPr>
        <w:t xml:space="preserve">que </w:t>
      </w:r>
      <w:r w:rsidR="003A13B9" w:rsidRPr="00836EB3">
        <w:rPr>
          <w:szCs w:val="24"/>
        </w:rPr>
        <w:t xml:space="preserve">determinan </w:t>
      </w:r>
      <w:r w:rsidRPr="00836EB3">
        <w:rPr>
          <w:szCs w:val="24"/>
        </w:rPr>
        <w:t>mayores costos de tiempo e incomodidades no cuantificables para los mismos que bien pueden neutralizar medidas de mejora en las vías carreteras tendientes precisamente a la reducción de tales costos. Este problema es especialmente relevante en la medida que Costa Rica tiene por objetivo impulsar el desarrollo del turismo para atraer la demanda de países vecinos</w:t>
      </w:r>
      <w:r w:rsidR="009531DA" w:rsidRPr="00836EB3">
        <w:rPr>
          <w:szCs w:val="24"/>
        </w:rPr>
        <w:t>, así como fomentar la mejora de la competitividad de sus exportaciones.</w:t>
      </w:r>
    </w:p>
    <w:p w:rsidR="00833AE3" w:rsidRPr="00836EB3" w:rsidRDefault="00833AE3" w:rsidP="00833AE3">
      <w:pPr>
        <w:pStyle w:val="ListParagraph"/>
        <w:rPr>
          <w:szCs w:val="24"/>
        </w:rPr>
      </w:pPr>
    </w:p>
    <w:p w:rsidR="00833AE3" w:rsidRPr="00836EB3" w:rsidRDefault="00833AE3" w:rsidP="00B86DA4">
      <w:pPr>
        <w:widowControl w:val="0"/>
        <w:numPr>
          <w:ilvl w:val="1"/>
          <w:numId w:val="2"/>
        </w:numPr>
        <w:tabs>
          <w:tab w:val="clear" w:pos="360"/>
          <w:tab w:val="num" w:pos="709"/>
        </w:tabs>
        <w:adjustRightInd w:val="0"/>
        <w:ind w:left="709" w:hanging="709"/>
        <w:jc w:val="both"/>
        <w:textAlignment w:val="baseline"/>
        <w:rPr>
          <w:szCs w:val="24"/>
        </w:rPr>
      </w:pPr>
      <w:bookmarkStart w:id="2" w:name="_Ref351896854"/>
      <w:r w:rsidRPr="00836EB3">
        <w:rPr>
          <w:b/>
          <w:szCs w:val="24"/>
        </w:rPr>
        <w:t>Paso Las Tablillas.</w:t>
      </w:r>
      <w:r w:rsidRPr="00836EB3">
        <w:rPr>
          <w:szCs w:val="24"/>
        </w:rPr>
        <w:t xml:space="preserve"> </w:t>
      </w:r>
      <w:r w:rsidR="009531DA" w:rsidRPr="00836EB3">
        <w:rPr>
          <w:szCs w:val="24"/>
        </w:rPr>
        <w:t>Tal como fue mencionado, el paso de frontera de Las Tablillas no se encuentra habilitado para el tránsito internacional normal</w:t>
      </w:r>
      <w:r w:rsidR="00E04700" w:rsidRPr="00836EB3">
        <w:rPr>
          <w:szCs w:val="24"/>
        </w:rPr>
        <w:t>; es decir, “no existe” como tal</w:t>
      </w:r>
      <w:r w:rsidR="009531DA" w:rsidRPr="00836EB3">
        <w:rPr>
          <w:szCs w:val="24"/>
        </w:rPr>
        <w:t>. Solamente se autoriza</w:t>
      </w:r>
      <w:r w:rsidR="00FA2AC4" w:rsidRPr="00836EB3">
        <w:rPr>
          <w:szCs w:val="24"/>
        </w:rPr>
        <w:t>, en forma especial,</w:t>
      </w:r>
      <w:r w:rsidR="009531DA" w:rsidRPr="00836EB3">
        <w:rPr>
          <w:szCs w:val="24"/>
        </w:rPr>
        <w:t xml:space="preserve"> el paso </w:t>
      </w:r>
      <w:r w:rsidR="00E04700" w:rsidRPr="00836EB3">
        <w:rPr>
          <w:szCs w:val="24"/>
        </w:rPr>
        <w:t xml:space="preserve">en ese lugar </w:t>
      </w:r>
      <w:r w:rsidR="009531DA" w:rsidRPr="00836EB3">
        <w:rPr>
          <w:szCs w:val="24"/>
        </w:rPr>
        <w:t xml:space="preserve">de vehículos </w:t>
      </w:r>
      <w:r w:rsidR="00FA2AC4" w:rsidRPr="00836EB3">
        <w:rPr>
          <w:szCs w:val="24"/>
        </w:rPr>
        <w:t>de</w:t>
      </w:r>
      <w:r w:rsidR="009531DA" w:rsidRPr="00836EB3">
        <w:rPr>
          <w:szCs w:val="24"/>
        </w:rPr>
        <w:t xml:space="preserve"> carga de exportación </w:t>
      </w:r>
      <w:r w:rsidR="00FA2AC4" w:rsidRPr="00836EB3">
        <w:rPr>
          <w:szCs w:val="24"/>
        </w:rPr>
        <w:t>con origen en</w:t>
      </w:r>
      <w:r w:rsidR="009531DA" w:rsidRPr="00836EB3">
        <w:rPr>
          <w:szCs w:val="24"/>
        </w:rPr>
        <w:t xml:space="preserve"> Nicaragua (</w:t>
      </w:r>
      <w:r w:rsidR="00FA2AC4" w:rsidRPr="00836EB3">
        <w:rPr>
          <w:szCs w:val="24"/>
        </w:rPr>
        <w:t xml:space="preserve">particularmente </w:t>
      </w:r>
      <w:r w:rsidR="009531DA" w:rsidRPr="00836EB3">
        <w:rPr>
          <w:szCs w:val="24"/>
        </w:rPr>
        <w:t>naranjas</w:t>
      </w:r>
      <w:r w:rsidR="00A349F7" w:rsidRPr="00836EB3">
        <w:rPr>
          <w:szCs w:val="24"/>
        </w:rPr>
        <w:t>)</w:t>
      </w:r>
      <w:r w:rsidR="009531DA" w:rsidRPr="00836EB3">
        <w:rPr>
          <w:szCs w:val="24"/>
        </w:rPr>
        <w:t xml:space="preserve"> que se produce en la zona contigua a la frontera</w:t>
      </w:r>
      <w:r w:rsidR="00A349F7" w:rsidRPr="00836EB3">
        <w:rPr>
          <w:szCs w:val="24"/>
        </w:rPr>
        <w:t xml:space="preserve"> </w:t>
      </w:r>
      <w:r w:rsidR="00FA2AC4" w:rsidRPr="00836EB3">
        <w:rPr>
          <w:szCs w:val="24"/>
        </w:rPr>
        <w:t>destina</w:t>
      </w:r>
      <w:r w:rsidR="00A349F7" w:rsidRPr="00836EB3">
        <w:rPr>
          <w:szCs w:val="24"/>
        </w:rPr>
        <w:t>da</w:t>
      </w:r>
      <w:r w:rsidR="00FA2AC4" w:rsidRPr="00836EB3">
        <w:rPr>
          <w:szCs w:val="24"/>
        </w:rPr>
        <w:t xml:space="preserve"> a</w:t>
      </w:r>
      <w:r w:rsidR="009531DA" w:rsidRPr="00836EB3">
        <w:rPr>
          <w:szCs w:val="24"/>
        </w:rPr>
        <w:t xml:space="preserve"> la industria de Costa Rica</w:t>
      </w:r>
      <w:r w:rsidR="00A51445" w:rsidRPr="00836EB3">
        <w:rPr>
          <w:szCs w:val="24"/>
        </w:rPr>
        <w:t xml:space="preserve">, así como pequeños embarques de exportación </w:t>
      </w:r>
      <w:r w:rsidR="00A349F7" w:rsidRPr="00836EB3">
        <w:rPr>
          <w:szCs w:val="24"/>
        </w:rPr>
        <w:t xml:space="preserve">de </w:t>
      </w:r>
      <w:r w:rsidR="00A51445" w:rsidRPr="00836EB3">
        <w:rPr>
          <w:szCs w:val="24"/>
        </w:rPr>
        <w:t>insumos de</w:t>
      </w:r>
      <w:r w:rsidR="00A349F7" w:rsidRPr="00836EB3">
        <w:rPr>
          <w:szCs w:val="24"/>
        </w:rPr>
        <w:t>sde</w:t>
      </w:r>
      <w:r w:rsidR="00A51445" w:rsidRPr="00836EB3">
        <w:rPr>
          <w:szCs w:val="24"/>
        </w:rPr>
        <w:t xml:space="preserve"> Costa Rica para la industria maderera en Nicaragua</w:t>
      </w:r>
      <w:r w:rsidR="009531DA" w:rsidRPr="00836EB3">
        <w:rPr>
          <w:szCs w:val="24"/>
        </w:rPr>
        <w:t>; ello implica que las autoridades competentes se instalan en el lugar cuando la</w:t>
      </w:r>
      <w:r w:rsidR="00A51445" w:rsidRPr="00836EB3">
        <w:rPr>
          <w:szCs w:val="24"/>
        </w:rPr>
        <w:t>s</w:t>
      </w:r>
      <w:r w:rsidR="009531DA" w:rsidRPr="00836EB3">
        <w:rPr>
          <w:szCs w:val="24"/>
        </w:rPr>
        <w:t xml:space="preserve"> empresa</w:t>
      </w:r>
      <w:r w:rsidR="00A51445" w:rsidRPr="00836EB3">
        <w:rPr>
          <w:szCs w:val="24"/>
        </w:rPr>
        <w:t>s</w:t>
      </w:r>
      <w:r w:rsidR="009531DA" w:rsidRPr="00836EB3">
        <w:rPr>
          <w:szCs w:val="24"/>
        </w:rPr>
        <w:t xml:space="preserve"> dispone</w:t>
      </w:r>
      <w:r w:rsidR="00A51445" w:rsidRPr="00836EB3">
        <w:rPr>
          <w:szCs w:val="24"/>
        </w:rPr>
        <w:t>n</w:t>
      </w:r>
      <w:r w:rsidR="009531DA" w:rsidRPr="00836EB3">
        <w:rPr>
          <w:szCs w:val="24"/>
        </w:rPr>
        <w:t xml:space="preserve"> de una partida de vehículos de carga listos para </w:t>
      </w:r>
      <w:r w:rsidR="00A51445" w:rsidRPr="00836EB3">
        <w:rPr>
          <w:szCs w:val="24"/>
        </w:rPr>
        <w:t>utilizar el paso</w:t>
      </w:r>
      <w:r w:rsidR="009531DA" w:rsidRPr="00836EB3">
        <w:rPr>
          <w:szCs w:val="24"/>
        </w:rPr>
        <w:t>.</w:t>
      </w:r>
      <w:bookmarkEnd w:id="2"/>
    </w:p>
    <w:p w:rsidR="00D96C78" w:rsidRPr="00836EB3" w:rsidRDefault="00D96C78" w:rsidP="00D96C78">
      <w:pPr>
        <w:pStyle w:val="ListParagraph"/>
        <w:rPr>
          <w:szCs w:val="24"/>
        </w:rPr>
      </w:pPr>
    </w:p>
    <w:p w:rsidR="00D96C78" w:rsidRPr="00836EB3" w:rsidRDefault="00D96C78" w:rsidP="00045EBF">
      <w:pPr>
        <w:widowControl w:val="0"/>
        <w:numPr>
          <w:ilvl w:val="1"/>
          <w:numId w:val="2"/>
        </w:numPr>
        <w:tabs>
          <w:tab w:val="clear" w:pos="360"/>
          <w:tab w:val="num" w:pos="709"/>
        </w:tabs>
        <w:adjustRightInd w:val="0"/>
        <w:ind w:left="709" w:hanging="709"/>
        <w:jc w:val="both"/>
        <w:textAlignment w:val="baseline"/>
        <w:rPr>
          <w:szCs w:val="24"/>
        </w:rPr>
      </w:pPr>
      <w:bookmarkStart w:id="3" w:name="_Ref351896874"/>
      <w:r w:rsidRPr="00836EB3">
        <w:rPr>
          <w:szCs w:val="24"/>
        </w:rPr>
        <w:t>En cuanto a este paso de frontera, su situación</w:t>
      </w:r>
      <w:r w:rsidR="00FA2AC4" w:rsidRPr="00836EB3">
        <w:rPr>
          <w:szCs w:val="24"/>
        </w:rPr>
        <w:t xml:space="preserve"> de no habilitación formal está asociada también </w:t>
      </w:r>
      <w:r w:rsidRPr="00836EB3">
        <w:rPr>
          <w:szCs w:val="24"/>
        </w:rPr>
        <w:t xml:space="preserve">a la </w:t>
      </w:r>
      <w:r w:rsidR="00FA2AC4" w:rsidRPr="00836EB3">
        <w:rPr>
          <w:szCs w:val="24"/>
        </w:rPr>
        <w:t>carencia</w:t>
      </w:r>
      <w:r w:rsidRPr="00836EB3">
        <w:rPr>
          <w:szCs w:val="24"/>
        </w:rPr>
        <w:t xml:space="preserve"> de una vía de comunicación </w:t>
      </w:r>
      <w:r w:rsidR="00FA2AC4" w:rsidRPr="00836EB3">
        <w:rPr>
          <w:szCs w:val="24"/>
        </w:rPr>
        <w:t>terrestre</w:t>
      </w:r>
      <w:r w:rsidRPr="00836EB3">
        <w:rPr>
          <w:szCs w:val="24"/>
        </w:rPr>
        <w:t xml:space="preserve"> apropiada en territorio de Nicaragua. No obstante, esta limitación </w:t>
      </w:r>
      <w:r w:rsidR="00FA2AC4" w:rsidRPr="00836EB3">
        <w:rPr>
          <w:szCs w:val="24"/>
        </w:rPr>
        <w:t xml:space="preserve">será </w:t>
      </w:r>
      <w:r w:rsidRPr="00836EB3">
        <w:rPr>
          <w:szCs w:val="24"/>
        </w:rPr>
        <w:t xml:space="preserve">superada </w:t>
      </w:r>
      <w:r w:rsidR="00FA2AC4" w:rsidRPr="00836EB3">
        <w:rPr>
          <w:szCs w:val="24"/>
        </w:rPr>
        <w:t>próximamente cuando</w:t>
      </w:r>
      <w:r w:rsidRPr="00836EB3">
        <w:rPr>
          <w:szCs w:val="24"/>
        </w:rPr>
        <w:t xml:space="preserve"> finalicen las obras de</w:t>
      </w:r>
      <w:r w:rsidR="00FA2AC4" w:rsidRPr="00836EB3">
        <w:rPr>
          <w:szCs w:val="24"/>
        </w:rPr>
        <w:t>l tramo de carretera</w:t>
      </w:r>
      <w:r w:rsidRPr="00836EB3">
        <w:rPr>
          <w:szCs w:val="24"/>
        </w:rPr>
        <w:t xml:space="preserve"> </w:t>
      </w:r>
      <w:r w:rsidR="00FA2AC4" w:rsidRPr="00836EB3">
        <w:rPr>
          <w:szCs w:val="24"/>
        </w:rPr>
        <w:t>“</w:t>
      </w:r>
      <w:r w:rsidRPr="00836EB3">
        <w:rPr>
          <w:szCs w:val="24"/>
        </w:rPr>
        <w:t>La Argentina-Frontera con Costa Rica (Las Tablillas)</w:t>
      </w:r>
      <w:r w:rsidR="00FA2AC4" w:rsidRPr="00836EB3">
        <w:rPr>
          <w:szCs w:val="24"/>
        </w:rPr>
        <w:t>”</w:t>
      </w:r>
      <w:r w:rsidRPr="00836EB3">
        <w:rPr>
          <w:szCs w:val="24"/>
        </w:rPr>
        <w:t xml:space="preserve"> </w:t>
      </w:r>
      <w:r w:rsidR="000A5F60" w:rsidRPr="00836EB3">
        <w:rPr>
          <w:szCs w:val="24"/>
        </w:rPr>
        <w:t xml:space="preserve">que </w:t>
      </w:r>
      <w:r w:rsidRPr="00836EB3">
        <w:rPr>
          <w:szCs w:val="24"/>
        </w:rPr>
        <w:t xml:space="preserve">forma parte del proyecto </w:t>
      </w:r>
      <w:r w:rsidR="000A5F60" w:rsidRPr="00836EB3">
        <w:rPr>
          <w:szCs w:val="24"/>
        </w:rPr>
        <w:t>“</w:t>
      </w:r>
      <w:proofErr w:type="spellStart"/>
      <w:r w:rsidRPr="00836EB3">
        <w:rPr>
          <w:szCs w:val="24"/>
        </w:rPr>
        <w:t>Acoyapa</w:t>
      </w:r>
      <w:proofErr w:type="spellEnd"/>
      <w:r w:rsidRPr="00836EB3">
        <w:rPr>
          <w:szCs w:val="24"/>
        </w:rPr>
        <w:t>-San Carlos-Frontera con Costa Rica</w:t>
      </w:r>
      <w:r w:rsidR="000A5F60" w:rsidRPr="00836EB3">
        <w:rPr>
          <w:szCs w:val="24"/>
        </w:rPr>
        <w:t>”</w:t>
      </w:r>
      <w:r w:rsidRPr="00836EB3">
        <w:rPr>
          <w:szCs w:val="24"/>
        </w:rPr>
        <w:t xml:space="preserve"> </w:t>
      </w:r>
      <w:r w:rsidR="00FA2AC4" w:rsidRPr="00836EB3">
        <w:rPr>
          <w:szCs w:val="24"/>
        </w:rPr>
        <w:t xml:space="preserve">que es </w:t>
      </w:r>
      <w:r w:rsidRPr="00836EB3">
        <w:rPr>
          <w:szCs w:val="24"/>
        </w:rPr>
        <w:t>financiado por el Banco</w:t>
      </w:r>
      <w:r w:rsidR="000A5F60" w:rsidRPr="00836EB3">
        <w:rPr>
          <w:szCs w:val="24"/>
        </w:rPr>
        <w:t xml:space="preserve"> (</w:t>
      </w:r>
      <w:r w:rsidR="000A5F60" w:rsidRPr="00836EB3">
        <w:t xml:space="preserve">Proyecto NI-L1006). </w:t>
      </w:r>
      <w:r w:rsidR="00EB2CB4" w:rsidRPr="00836EB3">
        <w:t>El proyecto de</w:t>
      </w:r>
      <w:r w:rsidR="00FA2AC4" w:rsidRPr="00836EB3">
        <w:t xml:space="preserve"> este t</w:t>
      </w:r>
      <w:r w:rsidR="000A5F60" w:rsidRPr="00836EB3">
        <w:t xml:space="preserve">ramo incluye la construcción </w:t>
      </w:r>
      <w:r w:rsidR="00EB2CB4" w:rsidRPr="00836EB3">
        <w:t xml:space="preserve">de un trecho </w:t>
      </w:r>
      <w:r w:rsidR="000A5F60" w:rsidRPr="00836EB3">
        <w:t>de carretera nueva</w:t>
      </w:r>
      <w:r w:rsidR="00FA2AC4" w:rsidRPr="00836EB3">
        <w:t xml:space="preserve"> que</w:t>
      </w:r>
      <w:r w:rsidR="000A5F60" w:rsidRPr="00836EB3">
        <w:t xml:space="preserve"> permitirá </w:t>
      </w:r>
      <w:r w:rsidR="00FA2AC4" w:rsidRPr="00836EB3">
        <w:t xml:space="preserve">llegar a </w:t>
      </w:r>
      <w:r w:rsidR="000A5F60" w:rsidRPr="00836EB3">
        <w:t>la frontera con Costa Rica con una vía troncal regional (la financiación de la construcción de</w:t>
      </w:r>
      <w:r w:rsidR="00FA2AC4" w:rsidRPr="00836EB3">
        <w:t xml:space="preserve"> esta obra </w:t>
      </w:r>
      <w:r w:rsidR="000A5F60" w:rsidRPr="00836EB3">
        <w:t xml:space="preserve">se complementa con una donación del Gobierno de Japón para la construcción del Puente </w:t>
      </w:r>
      <w:r w:rsidR="00EB2CB4" w:rsidRPr="00836EB3">
        <w:t xml:space="preserve">Santa Fe </w:t>
      </w:r>
      <w:r w:rsidR="000A5F60" w:rsidRPr="00836EB3">
        <w:t>sobre el Río San</w:t>
      </w:r>
      <w:r w:rsidR="00EB2CB4" w:rsidRPr="00836EB3">
        <w:t xml:space="preserve"> Juan</w:t>
      </w:r>
      <w:r w:rsidR="000A5F60" w:rsidRPr="00836EB3">
        <w:t xml:space="preserve"> que se ubica precisamente en el citado tramo).</w:t>
      </w:r>
      <w:bookmarkEnd w:id="3"/>
    </w:p>
    <w:p w:rsidR="0048520B" w:rsidRPr="00836EB3" w:rsidRDefault="0048520B" w:rsidP="00045EBF">
      <w:pPr>
        <w:pStyle w:val="ListParagraph"/>
        <w:jc w:val="both"/>
        <w:rPr>
          <w:szCs w:val="24"/>
        </w:rPr>
      </w:pPr>
    </w:p>
    <w:p w:rsidR="0048520B" w:rsidRPr="00836EB3" w:rsidRDefault="00911E03" w:rsidP="00045EBF">
      <w:pPr>
        <w:widowControl w:val="0"/>
        <w:numPr>
          <w:ilvl w:val="1"/>
          <w:numId w:val="2"/>
        </w:numPr>
        <w:tabs>
          <w:tab w:val="clear" w:pos="360"/>
          <w:tab w:val="num" w:pos="709"/>
        </w:tabs>
        <w:adjustRightInd w:val="0"/>
        <w:ind w:left="709" w:hanging="709"/>
        <w:jc w:val="both"/>
        <w:textAlignment w:val="baseline"/>
        <w:rPr>
          <w:szCs w:val="24"/>
        </w:rPr>
      </w:pPr>
      <w:r w:rsidRPr="00836EB3">
        <w:rPr>
          <w:b/>
          <w:szCs w:val="24"/>
        </w:rPr>
        <w:t>Paso habilitado en Sixaola.</w:t>
      </w:r>
      <w:r w:rsidRPr="00836EB3">
        <w:rPr>
          <w:szCs w:val="24"/>
        </w:rPr>
        <w:t xml:space="preserve"> </w:t>
      </w:r>
      <w:r w:rsidR="009E7DDC" w:rsidRPr="00836EB3">
        <w:rPr>
          <w:szCs w:val="24"/>
        </w:rPr>
        <w:t xml:space="preserve">El paso de frontera de Sixaola está formalmente habilitado para el vínculo entre Costa Rica y Panamá. No obstante, se trata de un paso que cuenta con instalaciones muy básicas que apenas permiten el cumplimiento de las funciones de control esperables; no dispone de comodidades </w:t>
      </w:r>
      <w:r w:rsidR="00D868DD" w:rsidRPr="00836EB3">
        <w:rPr>
          <w:szCs w:val="24"/>
        </w:rPr>
        <w:t xml:space="preserve">elementales </w:t>
      </w:r>
      <w:r w:rsidR="009E7DDC" w:rsidRPr="00836EB3">
        <w:rPr>
          <w:szCs w:val="24"/>
        </w:rPr>
        <w:t xml:space="preserve">ni servicios </w:t>
      </w:r>
      <w:r w:rsidR="00D868DD" w:rsidRPr="00836EB3">
        <w:rPr>
          <w:szCs w:val="24"/>
        </w:rPr>
        <w:t xml:space="preserve">indispensables </w:t>
      </w:r>
      <w:r w:rsidR="009E7DDC" w:rsidRPr="00836EB3">
        <w:rPr>
          <w:szCs w:val="24"/>
        </w:rPr>
        <w:t>para los usuarios.</w:t>
      </w:r>
      <w:r w:rsidR="00D868DD" w:rsidRPr="00836EB3">
        <w:rPr>
          <w:szCs w:val="24"/>
        </w:rPr>
        <w:t xml:space="preserve"> Por ejemplo, los vehículos deben estacionar en la propia ruta, e</w:t>
      </w:r>
      <w:r w:rsidR="009E7DDC" w:rsidRPr="00836EB3">
        <w:rPr>
          <w:szCs w:val="24"/>
        </w:rPr>
        <w:t>l control de migraci</w:t>
      </w:r>
      <w:r w:rsidR="00D868DD" w:rsidRPr="00836EB3">
        <w:rPr>
          <w:szCs w:val="24"/>
        </w:rPr>
        <w:t>ón de</w:t>
      </w:r>
      <w:r w:rsidR="009E7DDC" w:rsidRPr="00836EB3">
        <w:rPr>
          <w:szCs w:val="24"/>
        </w:rPr>
        <w:t xml:space="preserve"> los pasajeros de autobuses </w:t>
      </w:r>
      <w:r w:rsidR="00D868DD" w:rsidRPr="00836EB3">
        <w:rPr>
          <w:szCs w:val="24"/>
        </w:rPr>
        <w:t>obliga a éstos a largas esperas al descubierto, sin contar con servicios higiénicos ni tampoco,  obviamente, servicios de atención a turistas.</w:t>
      </w:r>
      <w:r w:rsidR="009E7DDC" w:rsidRPr="00836EB3">
        <w:rPr>
          <w:szCs w:val="24"/>
        </w:rPr>
        <w:t xml:space="preserve"> </w:t>
      </w:r>
      <w:r w:rsidR="00D868DD" w:rsidRPr="00836EB3">
        <w:rPr>
          <w:szCs w:val="24"/>
        </w:rPr>
        <w:t>Además, la ubicación del paso lo hace víctima de inundaciones por falta de protección frente a las crecidas del Río Sixaola (en la cabecera de Panamá, si bien las facilidades son aún más limitadas, se han construido defensas para evitar las inundaciones).</w:t>
      </w:r>
    </w:p>
    <w:p w:rsidR="00045EBF" w:rsidRPr="00836EB3" w:rsidRDefault="00045EBF" w:rsidP="00045EBF">
      <w:pPr>
        <w:jc w:val="both"/>
        <w:rPr>
          <w:smallCaps/>
        </w:rPr>
      </w:pPr>
    </w:p>
    <w:p w:rsidR="00832474" w:rsidRPr="00836EB3" w:rsidRDefault="00F939AB" w:rsidP="00045EBF">
      <w:pPr>
        <w:numPr>
          <w:ilvl w:val="0"/>
          <w:numId w:val="11"/>
        </w:numPr>
        <w:ind w:hanging="720"/>
        <w:jc w:val="both"/>
        <w:rPr>
          <w:smallCaps/>
        </w:rPr>
      </w:pPr>
      <w:r w:rsidRPr="00836EB3">
        <w:rPr>
          <w:smallCaps/>
        </w:rPr>
        <w:t>Tránsito actual y proyecciones.</w:t>
      </w:r>
      <w:r w:rsidR="00F5731C" w:rsidRPr="00836EB3">
        <w:rPr>
          <w:rStyle w:val="FootnoteReference"/>
          <w:smallCaps/>
        </w:rPr>
        <w:footnoteReference w:id="7"/>
      </w:r>
    </w:p>
    <w:p w:rsidR="00F939AB" w:rsidRPr="00836EB3" w:rsidRDefault="00F939AB" w:rsidP="00045EBF">
      <w:pPr>
        <w:jc w:val="both"/>
      </w:pPr>
    </w:p>
    <w:p w:rsidR="00F40112" w:rsidRPr="00836EB3" w:rsidRDefault="009777E8" w:rsidP="00045EBF">
      <w:pPr>
        <w:numPr>
          <w:ilvl w:val="1"/>
          <w:numId w:val="2"/>
        </w:numPr>
        <w:tabs>
          <w:tab w:val="clear" w:pos="360"/>
          <w:tab w:val="num" w:pos="709"/>
        </w:tabs>
        <w:ind w:left="709" w:hanging="709"/>
        <w:jc w:val="both"/>
        <w:rPr>
          <w:szCs w:val="24"/>
        </w:rPr>
      </w:pPr>
      <w:bookmarkStart w:id="4" w:name="_Ref351825304"/>
      <w:bookmarkStart w:id="5" w:name="_Ref338436022"/>
      <w:r w:rsidRPr="00836EB3">
        <w:t xml:space="preserve">Para </w:t>
      </w:r>
      <w:r w:rsidR="00BF606A" w:rsidRPr="00836EB3">
        <w:t xml:space="preserve">el análisis financiero, </w:t>
      </w:r>
      <w:r w:rsidRPr="00836EB3">
        <w:t>es necesario disponer de</w:t>
      </w:r>
      <w:r w:rsidR="00192759" w:rsidRPr="00836EB3">
        <w:t>l</w:t>
      </w:r>
      <w:r w:rsidRPr="00836EB3">
        <w:t xml:space="preserve"> </w:t>
      </w:r>
      <w:r w:rsidR="00F40112" w:rsidRPr="00836EB3">
        <w:t>volumen de tránsito (demanda) de los pasos de frontera. El volumen de tránsito usuario, expresado en términos anuales (</w:t>
      </w:r>
      <w:proofErr w:type="spellStart"/>
      <w:r w:rsidR="00F40112" w:rsidRPr="00836EB3">
        <w:t>pas</w:t>
      </w:r>
      <w:proofErr w:type="spellEnd"/>
      <w:r w:rsidR="00F40112" w:rsidRPr="00836EB3">
        <w:t xml:space="preserve">/año y </w:t>
      </w:r>
      <w:proofErr w:type="spellStart"/>
      <w:r w:rsidR="00F40112" w:rsidRPr="00836EB3">
        <w:t>veh</w:t>
      </w:r>
      <w:proofErr w:type="spellEnd"/>
      <w:r w:rsidR="00F40112" w:rsidRPr="00836EB3">
        <w:t>/año)</w:t>
      </w:r>
      <w:r w:rsidR="00F40112" w:rsidRPr="00836EB3">
        <w:rPr>
          <w:rStyle w:val="FootnoteReference"/>
        </w:rPr>
        <w:footnoteReference w:id="8"/>
      </w:r>
      <w:r w:rsidR="00F40112" w:rsidRPr="00836EB3">
        <w:t xml:space="preserve"> o diarios como </w:t>
      </w:r>
      <w:r w:rsidR="00BF606A" w:rsidRPr="00836EB3">
        <w:t xml:space="preserve">el </w:t>
      </w:r>
      <w:r w:rsidRPr="00836EB3">
        <w:t>TPDA</w:t>
      </w:r>
      <w:r w:rsidR="00F40112" w:rsidRPr="00836EB3">
        <w:rPr>
          <w:rStyle w:val="FootnoteReference"/>
        </w:rPr>
        <w:footnoteReference w:id="9"/>
      </w:r>
      <w:r w:rsidRPr="00836EB3">
        <w:t xml:space="preserve"> </w:t>
      </w:r>
      <w:r w:rsidR="00F40112" w:rsidRPr="00836EB3">
        <w:t>(</w:t>
      </w:r>
      <w:proofErr w:type="spellStart"/>
      <w:r w:rsidR="00F40112" w:rsidRPr="00836EB3">
        <w:t>pas</w:t>
      </w:r>
      <w:proofErr w:type="spellEnd"/>
      <w:r w:rsidR="00F40112" w:rsidRPr="00836EB3">
        <w:t xml:space="preserve">/día o </w:t>
      </w:r>
      <w:proofErr w:type="spellStart"/>
      <w:r w:rsidR="00F40112" w:rsidRPr="00836EB3">
        <w:t>veh</w:t>
      </w:r>
      <w:proofErr w:type="spellEnd"/>
      <w:r w:rsidR="00F40112" w:rsidRPr="00836EB3">
        <w:t xml:space="preserve">/día), debe </w:t>
      </w:r>
      <w:r w:rsidR="00BF606A" w:rsidRPr="00836EB3">
        <w:t xml:space="preserve">considerarse </w:t>
      </w:r>
      <w:r w:rsidR="003B0BF3" w:rsidRPr="00836EB3">
        <w:t xml:space="preserve">discriminado por </w:t>
      </w:r>
      <w:r w:rsidR="00F40112" w:rsidRPr="00836EB3">
        <w:t>tipo de vehículo</w:t>
      </w:r>
      <w:r w:rsidR="003B0BF3" w:rsidRPr="00836EB3">
        <w:t xml:space="preserve"> y personas a pie. E</w:t>
      </w:r>
      <w:r w:rsidR="00F40112" w:rsidRPr="00836EB3">
        <w:t>n ese sentido</w:t>
      </w:r>
      <w:r w:rsidR="003B0BF3" w:rsidRPr="00836EB3">
        <w:t>,</w:t>
      </w:r>
      <w:r w:rsidR="00F40112" w:rsidRPr="00836EB3">
        <w:t xml:space="preserve"> el </w:t>
      </w:r>
      <w:r w:rsidR="003B0BF3" w:rsidRPr="00836EB3">
        <w:t>referido</w:t>
      </w:r>
      <w:r w:rsidR="00F40112" w:rsidRPr="00836EB3">
        <w:t xml:space="preserve"> Equipo Técnico Consultor ha </w:t>
      </w:r>
      <w:r w:rsidR="003B0BF3" w:rsidRPr="00836EB3">
        <w:t xml:space="preserve">relevado y </w:t>
      </w:r>
      <w:r w:rsidR="00F40112" w:rsidRPr="00836EB3">
        <w:t>analizado la demanda de</w:t>
      </w:r>
      <w:r w:rsidR="0009227A" w:rsidRPr="00836EB3">
        <w:t>: (i)</w:t>
      </w:r>
      <w:r w:rsidR="00F40112" w:rsidRPr="00836EB3">
        <w:t xml:space="preserve"> automóviles (incluyendo en esta denominación a camionetas y similares)</w:t>
      </w:r>
      <w:r w:rsidR="0009227A" w:rsidRPr="00836EB3">
        <w:t>; (ii)</w:t>
      </w:r>
      <w:r w:rsidR="00F40112" w:rsidRPr="00836EB3">
        <w:t xml:space="preserve"> au</w:t>
      </w:r>
      <w:r w:rsidR="0009227A" w:rsidRPr="00836EB3">
        <w:t xml:space="preserve">tobuses (incluyendo </w:t>
      </w:r>
      <w:r w:rsidR="003B0BF3" w:rsidRPr="00836EB3">
        <w:t xml:space="preserve">en ellos los </w:t>
      </w:r>
      <w:r w:rsidR="0009227A" w:rsidRPr="00836EB3">
        <w:t>microbuses); (iii)</w:t>
      </w:r>
      <w:r w:rsidR="00F40112" w:rsidRPr="00836EB3">
        <w:t xml:space="preserve"> vehículos de carga (tratándose de equipos de transporte internacional, </w:t>
      </w:r>
      <w:r w:rsidR="003B0BF3" w:rsidRPr="00836EB3">
        <w:t xml:space="preserve">los mismos </w:t>
      </w:r>
      <w:r w:rsidR="00F40112" w:rsidRPr="00836EB3">
        <w:t xml:space="preserve">están </w:t>
      </w:r>
      <w:r w:rsidR="0009227A" w:rsidRPr="00836EB3">
        <w:t xml:space="preserve">casi en su totalidad </w:t>
      </w:r>
      <w:r w:rsidR="00F40112" w:rsidRPr="00836EB3">
        <w:t xml:space="preserve">representados por los </w:t>
      </w:r>
      <w:r w:rsidR="0009227A" w:rsidRPr="00836EB3">
        <w:t>denominados “</w:t>
      </w:r>
      <w:r w:rsidR="00F40112" w:rsidRPr="00836EB3">
        <w:t>camiones articulados</w:t>
      </w:r>
      <w:r w:rsidR="0009227A" w:rsidRPr="00836EB3">
        <w:t>”, sea tractor con semirremolque o cami</w:t>
      </w:r>
      <w:r w:rsidR="003B0BF3" w:rsidRPr="00836EB3">
        <w:t xml:space="preserve">ón </w:t>
      </w:r>
      <w:r w:rsidR="0009227A" w:rsidRPr="00836EB3">
        <w:t xml:space="preserve">con remolque); (iv) peatones, cuya práctica habitual es llegar al paso </w:t>
      </w:r>
      <w:r w:rsidR="00EC65F5" w:rsidRPr="00836EB3">
        <w:t xml:space="preserve">en un </w:t>
      </w:r>
      <w:r w:rsidR="0009227A" w:rsidRPr="00836EB3">
        <w:t>autob</w:t>
      </w:r>
      <w:r w:rsidR="00EC65F5" w:rsidRPr="00836EB3">
        <w:t>ú</w:t>
      </w:r>
      <w:r w:rsidR="0009227A" w:rsidRPr="00836EB3">
        <w:t xml:space="preserve">s nacional, cruzar el paso a pie y tomar luego otro autobús </w:t>
      </w:r>
      <w:r w:rsidR="00EC65F5" w:rsidRPr="00836EB3">
        <w:t>de servicio interno</w:t>
      </w:r>
      <w:r w:rsidR="0009227A" w:rsidRPr="00836EB3">
        <w:t xml:space="preserve"> en el país vecino (ello se hace por razo</w:t>
      </w:r>
      <w:r w:rsidR="00BF606A" w:rsidRPr="00836EB3">
        <w:t xml:space="preserve">nes económicas, pues los servicios </w:t>
      </w:r>
      <w:r w:rsidR="0009227A" w:rsidRPr="00836EB3">
        <w:t>internacionales son de mayor precio que los nacionales</w:t>
      </w:r>
      <w:r w:rsidR="00EC65F5" w:rsidRPr="00836EB3">
        <w:t xml:space="preserve"> equivalentes</w:t>
      </w:r>
      <w:r w:rsidR="0009227A" w:rsidRPr="00836EB3">
        <w:t>)</w:t>
      </w:r>
      <w:r w:rsidR="00F40112" w:rsidRPr="00836EB3">
        <w:t>.</w:t>
      </w:r>
      <w:bookmarkEnd w:id="4"/>
    </w:p>
    <w:p w:rsidR="003B0BF3" w:rsidRPr="00836EB3" w:rsidRDefault="003B0BF3" w:rsidP="003B0BF3">
      <w:pPr>
        <w:ind w:left="709"/>
        <w:jc w:val="both"/>
        <w:rPr>
          <w:szCs w:val="24"/>
        </w:rPr>
      </w:pPr>
    </w:p>
    <w:p w:rsidR="003B0BF3" w:rsidRPr="00836EB3" w:rsidRDefault="003B0BF3" w:rsidP="00045EBF">
      <w:pPr>
        <w:numPr>
          <w:ilvl w:val="1"/>
          <w:numId w:val="2"/>
        </w:numPr>
        <w:tabs>
          <w:tab w:val="clear" w:pos="360"/>
          <w:tab w:val="num" w:pos="709"/>
        </w:tabs>
        <w:ind w:left="709" w:hanging="709"/>
        <w:jc w:val="both"/>
        <w:rPr>
          <w:szCs w:val="24"/>
        </w:rPr>
      </w:pPr>
      <w:r w:rsidRPr="00836EB3">
        <w:rPr>
          <w:szCs w:val="24"/>
        </w:rPr>
        <w:t>El Equipo Técnico Consultor ha relevado la evolución de la mencionada demanda y ha realizado proyecciones mediante regresión lineal y</w:t>
      </w:r>
      <w:r w:rsidR="003A5B78" w:rsidRPr="00836EB3">
        <w:rPr>
          <w:szCs w:val="24"/>
        </w:rPr>
        <w:t>/u otra</w:t>
      </w:r>
      <w:r w:rsidRPr="00836EB3">
        <w:rPr>
          <w:szCs w:val="24"/>
        </w:rPr>
        <w:t xml:space="preserve">s metodologías, en función de requerir los volúmenes de demanda para dimensionar las instalaciones y los recursos necesarios para definir el proyecto </w:t>
      </w:r>
      <w:r w:rsidR="003A5B78" w:rsidRPr="00836EB3">
        <w:rPr>
          <w:szCs w:val="24"/>
        </w:rPr>
        <w:t xml:space="preserve">de modernización </w:t>
      </w:r>
      <w:r w:rsidRPr="00836EB3">
        <w:rPr>
          <w:szCs w:val="24"/>
        </w:rPr>
        <w:t xml:space="preserve">que ha propuesto para cada paso de frontera. En virtud de ello, este Consultor </w:t>
      </w:r>
      <w:r w:rsidR="003A5B78" w:rsidRPr="00836EB3">
        <w:rPr>
          <w:szCs w:val="24"/>
        </w:rPr>
        <w:t xml:space="preserve">ha </w:t>
      </w:r>
      <w:r w:rsidRPr="00836EB3">
        <w:rPr>
          <w:szCs w:val="24"/>
        </w:rPr>
        <w:t>toma</w:t>
      </w:r>
      <w:r w:rsidR="003A5B78" w:rsidRPr="00836EB3">
        <w:rPr>
          <w:szCs w:val="24"/>
        </w:rPr>
        <w:t>do</w:t>
      </w:r>
      <w:r w:rsidRPr="00836EB3">
        <w:rPr>
          <w:szCs w:val="24"/>
        </w:rPr>
        <w:t xml:space="preserve"> el resultado de los análisis de demanda realizados por el Equipo Técnico Consultor manten</w:t>
      </w:r>
      <w:r w:rsidR="003A5B78" w:rsidRPr="00836EB3">
        <w:rPr>
          <w:szCs w:val="24"/>
        </w:rPr>
        <w:t>iendo así</w:t>
      </w:r>
      <w:r w:rsidRPr="00836EB3">
        <w:rPr>
          <w:szCs w:val="24"/>
        </w:rPr>
        <w:t xml:space="preserve"> la </w:t>
      </w:r>
      <w:r w:rsidR="003A5B78" w:rsidRPr="00836EB3">
        <w:rPr>
          <w:szCs w:val="24"/>
        </w:rPr>
        <w:t xml:space="preserve">necesaria </w:t>
      </w:r>
      <w:r w:rsidRPr="00836EB3">
        <w:rPr>
          <w:szCs w:val="24"/>
        </w:rPr>
        <w:t xml:space="preserve">coherencia en </w:t>
      </w:r>
      <w:r w:rsidR="006157BC" w:rsidRPr="00836EB3">
        <w:rPr>
          <w:szCs w:val="24"/>
        </w:rPr>
        <w:t xml:space="preserve">todo el trabajo realizado; puntualmente, este Consultor ha efectuado algunos ajustes </w:t>
      </w:r>
      <w:r w:rsidR="00C37EEC" w:rsidRPr="00836EB3">
        <w:rPr>
          <w:szCs w:val="24"/>
        </w:rPr>
        <w:t xml:space="preserve">menores </w:t>
      </w:r>
      <w:r w:rsidR="006157BC" w:rsidRPr="00836EB3">
        <w:rPr>
          <w:szCs w:val="24"/>
        </w:rPr>
        <w:t xml:space="preserve">a tales </w:t>
      </w:r>
      <w:r w:rsidR="003D17D9" w:rsidRPr="00836EB3">
        <w:rPr>
          <w:szCs w:val="24"/>
        </w:rPr>
        <w:t xml:space="preserve">proyecciones </w:t>
      </w:r>
      <w:r w:rsidR="006157BC" w:rsidRPr="00836EB3">
        <w:rPr>
          <w:szCs w:val="24"/>
        </w:rPr>
        <w:t>de la demanda</w:t>
      </w:r>
      <w:r w:rsidR="003D17D9" w:rsidRPr="00836EB3">
        <w:rPr>
          <w:szCs w:val="24"/>
        </w:rPr>
        <w:t>, pero ello no impide la coherencia señalada</w:t>
      </w:r>
      <w:r w:rsidR="00685909" w:rsidRPr="00836EB3">
        <w:rPr>
          <w:szCs w:val="24"/>
        </w:rPr>
        <w:t>,</w:t>
      </w:r>
      <w:r w:rsidR="003D17D9" w:rsidRPr="00836EB3">
        <w:rPr>
          <w:szCs w:val="24"/>
        </w:rPr>
        <w:t xml:space="preserve"> como se explicitará en </w:t>
      </w:r>
      <w:r w:rsidR="00BF606A" w:rsidRPr="00836EB3">
        <w:rPr>
          <w:szCs w:val="24"/>
        </w:rPr>
        <w:t>su</w:t>
      </w:r>
      <w:r w:rsidR="003D17D9" w:rsidRPr="00836EB3">
        <w:rPr>
          <w:szCs w:val="24"/>
        </w:rPr>
        <w:t xml:space="preserve"> caso</w:t>
      </w:r>
      <w:r w:rsidR="006157BC" w:rsidRPr="00836EB3">
        <w:rPr>
          <w:szCs w:val="24"/>
        </w:rPr>
        <w:t>.</w:t>
      </w:r>
    </w:p>
    <w:p w:rsidR="009777E8" w:rsidRPr="00836EB3" w:rsidRDefault="00F40112" w:rsidP="009777E8">
      <w:pPr>
        <w:ind w:left="709"/>
        <w:jc w:val="both"/>
        <w:rPr>
          <w:szCs w:val="24"/>
        </w:rPr>
      </w:pPr>
      <w:r w:rsidRPr="00836EB3">
        <w:t xml:space="preserve"> </w:t>
      </w:r>
    </w:p>
    <w:p w:rsidR="006C1AEC" w:rsidRPr="00836EB3" w:rsidRDefault="00F40112" w:rsidP="00DC1C3D">
      <w:pPr>
        <w:numPr>
          <w:ilvl w:val="1"/>
          <w:numId w:val="2"/>
        </w:numPr>
        <w:tabs>
          <w:tab w:val="clear" w:pos="360"/>
          <w:tab w:val="num" w:pos="709"/>
        </w:tabs>
        <w:ind w:left="709" w:hanging="709"/>
        <w:jc w:val="both"/>
        <w:rPr>
          <w:szCs w:val="24"/>
        </w:rPr>
      </w:pPr>
      <w:bookmarkStart w:id="6" w:name="_Ref342375410"/>
      <w:r w:rsidRPr="00836EB3">
        <w:rPr>
          <w:b/>
          <w:szCs w:val="24"/>
        </w:rPr>
        <w:t>Paso Peñas Blancas.</w:t>
      </w:r>
      <w:r w:rsidRPr="00836EB3">
        <w:rPr>
          <w:szCs w:val="24"/>
        </w:rPr>
        <w:t xml:space="preserve"> </w:t>
      </w:r>
    </w:p>
    <w:p w:rsidR="006C1AEC" w:rsidRPr="00836EB3" w:rsidRDefault="006C1AEC" w:rsidP="006C1AEC">
      <w:pPr>
        <w:pStyle w:val="ListParagraph"/>
        <w:rPr>
          <w:szCs w:val="24"/>
        </w:rPr>
      </w:pPr>
    </w:p>
    <w:p w:rsidR="00F40112" w:rsidRPr="00836EB3" w:rsidRDefault="006C1AEC" w:rsidP="00DC1C3D">
      <w:pPr>
        <w:numPr>
          <w:ilvl w:val="1"/>
          <w:numId w:val="2"/>
        </w:numPr>
        <w:tabs>
          <w:tab w:val="clear" w:pos="360"/>
          <w:tab w:val="num" w:pos="709"/>
        </w:tabs>
        <w:ind w:left="709" w:hanging="709"/>
        <w:jc w:val="both"/>
        <w:rPr>
          <w:szCs w:val="24"/>
        </w:rPr>
      </w:pPr>
      <w:r w:rsidRPr="00836EB3">
        <w:rPr>
          <w:b/>
          <w:szCs w:val="24"/>
        </w:rPr>
        <w:t>Pasajeros</w:t>
      </w:r>
      <w:r w:rsidR="00B523F8" w:rsidRPr="00836EB3">
        <w:rPr>
          <w:b/>
          <w:szCs w:val="24"/>
        </w:rPr>
        <w:t xml:space="preserve"> y Vehículos de Pasajeros</w:t>
      </w:r>
      <w:r w:rsidRPr="00836EB3">
        <w:rPr>
          <w:b/>
          <w:szCs w:val="24"/>
        </w:rPr>
        <w:t xml:space="preserve">. </w:t>
      </w:r>
      <w:r w:rsidRPr="00836EB3">
        <w:rPr>
          <w:szCs w:val="24"/>
        </w:rPr>
        <w:t xml:space="preserve">El movimiento de pasajeros </w:t>
      </w:r>
      <w:r w:rsidR="00B523F8" w:rsidRPr="00836EB3">
        <w:rPr>
          <w:szCs w:val="24"/>
        </w:rPr>
        <w:t>en el</w:t>
      </w:r>
      <w:r w:rsidRPr="00836EB3">
        <w:rPr>
          <w:szCs w:val="24"/>
        </w:rPr>
        <w:t xml:space="preserve"> Paso </w:t>
      </w:r>
      <w:r w:rsidR="00B523F8" w:rsidRPr="00836EB3">
        <w:rPr>
          <w:szCs w:val="24"/>
        </w:rPr>
        <w:t xml:space="preserve">de </w:t>
      </w:r>
      <w:r w:rsidRPr="00836EB3">
        <w:rPr>
          <w:szCs w:val="24"/>
        </w:rPr>
        <w:t>Peñas Blancas es muy importante y ha crecido sensiblemente en l</w:t>
      </w:r>
      <w:r w:rsidR="004B3FD2" w:rsidRPr="00836EB3">
        <w:rPr>
          <w:szCs w:val="24"/>
        </w:rPr>
        <w:t xml:space="preserve">a última década; en </w:t>
      </w:r>
      <w:r w:rsidRPr="00836EB3">
        <w:rPr>
          <w:szCs w:val="24"/>
        </w:rPr>
        <w:t xml:space="preserve">2012, </w:t>
      </w:r>
      <w:r w:rsidR="004B3FD2" w:rsidRPr="00836EB3">
        <w:rPr>
          <w:szCs w:val="24"/>
        </w:rPr>
        <w:t xml:space="preserve">este movimiento alcanzó </w:t>
      </w:r>
      <w:r w:rsidRPr="00836EB3">
        <w:rPr>
          <w:szCs w:val="24"/>
        </w:rPr>
        <w:t>un total de 621 mil viajeros desde Costa Rica a Nicaragua y 630 mil viajeros desde Nicaragua a Costa Rica</w:t>
      </w:r>
      <w:r w:rsidR="004B3FD2" w:rsidRPr="00836EB3">
        <w:rPr>
          <w:szCs w:val="24"/>
        </w:rPr>
        <w:t xml:space="preserve"> (en el período 2007-2012 la tasa de crecimiento anual fue 3,8% anual)</w:t>
      </w:r>
      <w:r w:rsidRPr="00836EB3">
        <w:rPr>
          <w:szCs w:val="24"/>
        </w:rPr>
        <w:t>. E</w:t>
      </w:r>
      <w:r w:rsidR="00B523F8" w:rsidRPr="00836EB3">
        <w:rPr>
          <w:szCs w:val="24"/>
        </w:rPr>
        <w:t>l</w:t>
      </w:r>
      <w:r w:rsidR="004B3FD2" w:rsidRPr="00836EB3">
        <w:rPr>
          <w:szCs w:val="24"/>
        </w:rPr>
        <w:t xml:space="preserve"> movimiento de</w:t>
      </w:r>
      <w:r w:rsidRPr="00836EB3">
        <w:rPr>
          <w:szCs w:val="24"/>
        </w:rPr>
        <w:t xml:space="preserve"> pasajeros</w:t>
      </w:r>
      <w:r w:rsidR="00482E1D" w:rsidRPr="00836EB3">
        <w:rPr>
          <w:szCs w:val="24"/>
        </w:rPr>
        <w:t xml:space="preserve">, </w:t>
      </w:r>
      <w:r w:rsidR="00B523F8" w:rsidRPr="00836EB3">
        <w:rPr>
          <w:szCs w:val="24"/>
        </w:rPr>
        <w:t>se</w:t>
      </w:r>
      <w:r w:rsidR="00482E1D" w:rsidRPr="00836EB3">
        <w:rPr>
          <w:szCs w:val="24"/>
        </w:rPr>
        <w:t xml:space="preserve"> </w:t>
      </w:r>
      <w:r w:rsidR="004B3FD2" w:rsidRPr="00836EB3">
        <w:rPr>
          <w:szCs w:val="24"/>
        </w:rPr>
        <w:t xml:space="preserve">efectúa básicamente en automóviles </w:t>
      </w:r>
      <w:r w:rsidR="00482E1D" w:rsidRPr="00836EB3">
        <w:rPr>
          <w:szCs w:val="24"/>
        </w:rPr>
        <w:t xml:space="preserve">u otros vehículos livianos </w:t>
      </w:r>
      <w:r w:rsidR="004B3FD2" w:rsidRPr="00836EB3">
        <w:rPr>
          <w:szCs w:val="24"/>
        </w:rPr>
        <w:t>(14%), autobuses (38%) y a pie (48%). La participación de peatones (¶</w:t>
      </w:r>
      <w:r w:rsidR="003C721A">
        <w:fldChar w:fldCharType="begin"/>
      </w:r>
      <w:r w:rsidR="003C721A">
        <w:instrText xml:space="preserve"> REF _Ref351825304 \r \h  \* MERGEFORMAT </w:instrText>
      </w:r>
      <w:r w:rsidR="003C721A">
        <w:fldChar w:fldCharType="separate"/>
      </w:r>
      <w:r w:rsidR="00F700A3" w:rsidRPr="00F700A3">
        <w:rPr>
          <w:szCs w:val="24"/>
        </w:rPr>
        <w:t>2.9</w:t>
      </w:r>
      <w:r w:rsidR="003C721A">
        <w:fldChar w:fldCharType="end"/>
      </w:r>
      <w:r w:rsidR="004B3FD2" w:rsidRPr="00836EB3">
        <w:rPr>
          <w:szCs w:val="24"/>
        </w:rPr>
        <w:t xml:space="preserve">) en el total es muy </w:t>
      </w:r>
      <w:r w:rsidR="00D43610" w:rsidRPr="00836EB3">
        <w:rPr>
          <w:szCs w:val="24"/>
        </w:rPr>
        <w:t>elevada</w:t>
      </w:r>
      <w:r w:rsidR="004B3FD2" w:rsidRPr="00836EB3">
        <w:rPr>
          <w:szCs w:val="24"/>
        </w:rPr>
        <w:t xml:space="preserve"> y </w:t>
      </w:r>
      <w:r w:rsidR="00B523F8" w:rsidRPr="00836EB3">
        <w:rPr>
          <w:szCs w:val="24"/>
        </w:rPr>
        <w:t xml:space="preserve">la misma </w:t>
      </w:r>
      <w:r w:rsidR="004B3FD2" w:rsidRPr="00836EB3">
        <w:rPr>
          <w:szCs w:val="24"/>
        </w:rPr>
        <w:t>se explica por la motivaci</w:t>
      </w:r>
      <w:r w:rsidR="00482E1D" w:rsidRPr="00836EB3">
        <w:rPr>
          <w:szCs w:val="24"/>
        </w:rPr>
        <w:t>ón</w:t>
      </w:r>
      <w:r w:rsidR="004B3FD2" w:rsidRPr="00836EB3">
        <w:rPr>
          <w:szCs w:val="24"/>
        </w:rPr>
        <w:t xml:space="preserve"> de los viajes</w:t>
      </w:r>
      <w:r w:rsidR="00D43610" w:rsidRPr="00836EB3">
        <w:rPr>
          <w:szCs w:val="24"/>
        </w:rPr>
        <w:t xml:space="preserve">; el viaje por razones de trabajo es </w:t>
      </w:r>
      <w:r w:rsidR="00482E1D" w:rsidRPr="00836EB3">
        <w:rPr>
          <w:szCs w:val="24"/>
        </w:rPr>
        <w:t>el</w:t>
      </w:r>
      <w:r w:rsidR="00D43610" w:rsidRPr="00836EB3">
        <w:rPr>
          <w:szCs w:val="24"/>
        </w:rPr>
        <w:t xml:space="preserve"> más habitual para los peatones </w:t>
      </w:r>
      <w:r w:rsidR="004B3FD2" w:rsidRPr="00836EB3">
        <w:rPr>
          <w:szCs w:val="24"/>
        </w:rPr>
        <w:t>y</w:t>
      </w:r>
      <w:r w:rsidR="00D43610" w:rsidRPr="00836EB3">
        <w:rPr>
          <w:szCs w:val="24"/>
        </w:rPr>
        <w:t>,</w:t>
      </w:r>
      <w:r w:rsidR="004B3FD2" w:rsidRPr="00836EB3">
        <w:rPr>
          <w:szCs w:val="24"/>
        </w:rPr>
        <w:t xml:space="preserve"> </w:t>
      </w:r>
      <w:r w:rsidR="00D43610" w:rsidRPr="00836EB3">
        <w:rPr>
          <w:szCs w:val="24"/>
        </w:rPr>
        <w:t xml:space="preserve">en menor medida, ocurre también </w:t>
      </w:r>
      <w:r w:rsidR="004B3FD2" w:rsidRPr="00836EB3">
        <w:rPr>
          <w:szCs w:val="24"/>
        </w:rPr>
        <w:t>en el caso de los pasajeros de autobuses.</w:t>
      </w:r>
    </w:p>
    <w:p w:rsidR="00482E1D" w:rsidRPr="00836EB3" w:rsidRDefault="00482E1D" w:rsidP="00482E1D">
      <w:pPr>
        <w:pStyle w:val="ListParagraph"/>
        <w:rPr>
          <w:szCs w:val="24"/>
        </w:rPr>
      </w:pPr>
    </w:p>
    <w:p w:rsidR="00482E1D" w:rsidRPr="00836EB3" w:rsidRDefault="005F2E79" w:rsidP="00DC1C3D">
      <w:pPr>
        <w:numPr>
          <w:ilvl w:val="1"/>
          <w:numId w:val="2"/>
        </w:numPr>
        <w:tabs>
          <w:tab w:val="clear" w:pos="360"/>
          <w:tab w:val="num" w:pos="709"/>
        </w:tabs>
        <w:ind w:left="709" w:hanging="709"/>
        <w:jc w:val="both"/>
        <w:rPr>
          <w:szCs w:val="24"/>
        </w:rPr>
      </w:pPr>
      <w:r w:rsidRPr="00836EB3">
        <w:rPr>
          <w:szCs w:val="24"/>
        </w:rPr>
        <w:t xml:space="preserve">En los Cuadros II-1.1 y II-1.2 se presentan las proyecciones de </w:t>
      </w:r>
      <w:r w:rsidR="00E30AAF" w:rsidRPr="00836EB3">
        <w:rPr>
          <w:szCs w:val="24"/>
        </w:rPr>
        <w:t xml:space="preserve">TPDA de </w:t>
      </w:r>
      <w:r w:rsidRPr="00836EB3">
        <w:rPr>
          <w:szCs w:val="24"/>
        </w:rPr>
        <w:t>pasajeros y vehículos d</w:t>
      </w:r>
      <w:r w:rsidR="00BF606A" w:rsidRPr="00836EB3">
        <w:rPr>
          <w:szCs w:val="24"/>
        </w:rPr>
        <w:t>e pasajeros para el período 2017-2047</w:t>
      </w:r>
      <w:r w:rsidRPr="00836EB3">
        <w:rPr>
          <w:szCs w:val="24"/>
        </w:rPr>
        <w:t xml:space="preserve"> (</w:t>
      </w:r>
      <w:r w:rsidR="00BF606A" w:rsidRPr="00836EB3">
        <w:rPr>
          <w:szCs w:val="24"/>
        </w:rPr>
        <w:t>31</w:t>
      </w:r>
      <w:r w:rsidRPr="00836EB3">
        <w:rPr>
          <w:szCs w:val="24"/>
        </w:rPr>
        <w:t xml:space="preserve"> años)</w:t>
      </w:r>
      <w:r w:rsidRPr="00836EB3">
        <w:rPr>
          <w:rStyle w:val="FootnoteReference"/>
          <w:szCs w:val="24"/>
        </w:rPr>
        <w:footnoteReference w:id="10"/>
      </w:r>
      <w:r w:rsidR="00EC6953" w:rsidRPr="00836EB3">
        <w:rPr>
          <w:szCs w:val="24"/>
        </w:rPr>
        <w:t xml:space="preserve">, </w:t>
      </w:r>
      <w:r w:rsidR="00E30AAF" w:rsidRPr="00836EB3">
        <w:rPr>
          <w:szCs w:val="24"/>
        </w:rPr>
        <w:t xml:space="preserve">según </w:t>
      </w:r>
      <w:r w:rsidR="00EC6AB7" w:rsidRPr="00836EB3">
        <w:rPr>
          <w:szCs w:val="24"/>
        </w:rPr>
        <w:t xml:space="preserve">el </w:t>
      </w:r>
      <w:r w:rsidR="00EC6953" w:rsidRPr="00836EB3">
        <w:rPr>
          <w:szCs w:val="24"/>
        </w:rPr>
        <w:t>sentido</w:t>
      </w:r>
      <w:r w:rsidR="00E30AAF" w:rsidRPr="00836EB3">
        <w:rPr>
          <w:szCs w:val="24"/>
        </w:rPr>
        <w:t xml:space="preserve"> de viaje</w:t>
      </w:r>
      <w:r w:rsidR="00EC6AB7" w:rsidRPr="00836EB3">
        <w:rPr>
          <w:szCs w:val="24"/>
        </w:rPr>
        <w:t>, tipo de movilidad utilizada, etc.</w:t>
      </w:r>
      <w:r w:rsidRPr="00836EB3">
        <w:rPr>
          <w:szCs w:val="24"/>
        </w:rPr>
        <w:t xml:space="preserve"> </w:t>
      </w:r>
    </w:p>
    <w:p w:rsidR="00B523F8" w:rsidRPr="00836EB3" w:rsidRDefault="00B523F8" w:rsidP="00B523F8">
      <w:pPr>
        <w:pStyle w:val="ListParagraph"/>
        <w:rPr>
          <w:szCs w:val="24"/>
        </w:rPr>
      </w:pPr>
    </w:p>
    <w:p w:rsidR="00B523F8" w:rsidRPr="00836EB3" w:rsidRDefault="00B523F8" w:rsidP="00DC1C3D">
      <w:pPr>
        <w:numPr>
          <w:ilvl w:val="1"/>
          <w:numId w:val="2"/>
        </w:numPr>
        <w:tabs>
          <w:tab w:val="clear" w:pos="360"/>
          <w:tab w:val="num" w:pos="709"/>
        </w:tabs>
        <w:ind w:left="709" w:hanging="709"/>
        <w:jc w:val="both"/>
        <w:rPr>
          <w:szCs w:val="24"/>
        </w:rPr>
      </w:pPr>
      <w:r w:rsidRPr="00836EB3">
        <w:rPr>
          <w:b/>
          <w:szCs w:val="24"/>
        </w:rPr>
        <w:t>Vehículos de Carga.</w:t>
      </w:r>
      <w:r w:rsidRPr="00836EB3">
        <w:rPr>
          <w:szCs w:val="24"/>
        </w:rPr>
        <w:t xml:space="preserve"> </w:t>
      </w:r>
      <w:r w:rsidR="00C56C6C" w:rsidRPr="00836EB3">
        <w:rPr>
          <w:szCs w:val="24"/>
        </w:rPr>
        <w:t xml:space="preserve">En el paso de Peñas Blancas se moviliza un </w:t>
      </w:r>
      <w:r w:rsidR="00544882" w:rsidRPr="00836EB3">
        <w:rPr>
          <w:szCs w:val="24"/>
        </w:rPr>
        <w:t xml:space="preserve">volumen de carga de </w:t>
      </w:r>
      <w:r w:rsidR="00C56C6C" w:rsidRPr="00836EB3">
        <w:rPr>
          <w:szCs w:val="24"/>
        </w:rPr>
        <w:t>2,3 millones de ton/año</w:t>
      </w:r>
      <w:r w:rsidR="00C56C6C" w:rsidRPr="00836EB3">
        <w:rPr>
          <w:rStyle w:val="FootnoteReference"/>
          <w:szCs w:val="24"/>
        </w:rPr>
        <w:footnoteReference w:id="11"/>
      </w:r>
      <w:r w:rsidR="00C56C6C" w:rsidRPr="00836EB3">
        <w:rPr>
          <w:szCs w:val="24"/>
        </w:rPr>
        <w:t xml:space="preserve"> por un valor de </w:t>
      </w:r>
      <w:r w:rsidR="00544882" w:rsidRPr="00836EB3">
        <w:rPr>
          <w:szCs w:val="24"/>
        </w:rPr>
        <w:t xml:space="preserve">US$ 3.300 millones </w:t>
      </w:r>
      <w:r w:rsidR="00C56C6C" w:rsidRPr="00836EB3">
        <w:rPr>
          <w:szCs w:val="24"/>
        </w:rPr>
        <w:t>(2010)</w:t>
      </w:r>
      <w:r w:rsidR="00544882" w:rsidRPr="00836EB3">
        <w:rPr>
          <w:szCs w:val="24"/>
        </w:rPr>
        <w:t>; ello incluye</w:t>
      </w:r>
      <w:r w:rsidR="00783C46" w:rsidRPr="00836EB3">
        <w:rPr>
          <w:szCs w:val="24"/>
        </w:rPr>
        <w:t xml:space="preserve"> el</w:t>
      </w:r>
      <w:r w:rsidR="00544882" w:rsidRPr="00836EB3">
        <w:rPr>
          <w:szCs w:val="24"/>
        </w:rPr>
        <w:t xml:space="preserve"> comercio bilateral entre Costa Rica y Nicaragua, </w:t>
      </w:r>
      <w:r w:rsidR="00783C46" w:rsidRPr="00836EB3">
        <w:rPr>
          <w:szCs w:val="24"/>
        </w:rPr>
        <w:t xml:space="preserve">el </w:t>
      </w:r>
      <w:r w:rsidR="00544882" w:rsidRPr="00836EB3">
        <w:rPr>
          <w:szCs w:val="24"/>
        </w:rPr>
        <w:t xml:space="preserve">comercio en tránsito entre </w:t>
      </w:r>
      <w:r w:rsidR="001E099A" w:rsidRPr="00836EB3">
        <w:rPr>
          <w:szCs w:val="24"/>
        </w:rPr>
        <w:t xml:space="preserve">Costa Rica o Nicaragua con terceros países </w:t>
      </w:r>
      <w:r w:rsidR="00544882" w:rsidRPr="00836EB3">
        <w:rPr>
          <w:szCs w:val="24"/>
        </w:rPr>
        <w:t xml:space="preserve">(transporte exclusivamente carretero o combinado con transporte marítimo, v.g. </w:t>
      </w:r>
      <w:r w:rsidR="001E099A" w:rsidRPr="00836EB3">
        <w:rPr>
          <w:szCs w:val="24"/>
        </w:rPr>
        <w:t xml:space="preserve">en </w:t>
      </w:r>
      <w:r w:rsidR="00544882" w:rsidRPr="00836EB3">
        <w:rPr>
          <w:szCs w:val="24"/>
        </w:rPr>
        <w:t>Puerto Limón) e incluso</w:t>
      </w:r>
      <w:r w:rsidR="001E099A" w:rsidRPr="00836EB3">
        <w:rPr>
          <w:szCs w:val="24"/>
        </w:rPr>
        <w:t xml:space="preserve"> </w:t>
      </w:r>
      <w:r w:rsidR="00783C46" w:rsidRPr="00836EB3">
        <w:rPr>
          <w:szCs w:val="24"/>
        </w:rPr>
        <w:t xml:space="preserve">el </w:t>
      </w:r>
      <w:r w:rsidR="001E099A" w:rsidRPr="00836EB3">
        <w:rPr>
          <w:szCs w:val="24"/>
        </w:rPr>
        <w:t>comercio en tránsito entre terceros países</w:t>
      </w:r>
      <w:r w:rsidR="00544882" w:rsidRPr="00836EB3">
        <w:rPr>
          <w:szCs w:val="24"/>
        </w:rPr>
        <w:t xml:space="preserve">. El </w:t>
      </w:r>
      <w:r w:rsidR="001E099A" w:rsidRPr="00836EB3">
        <w:rPr>
          <w:szCs w:val="24"/>
        </w:rPr>
        <w:t xml:space="preserve">flujo </w:t>
      </w:r>
      <w:r w:rsidR="00544882" w:rsidRPr="00836EB3">
        <w:rPr>
          <w:szCs w:val="24"/>
        </w:rPr>
        <w:t xml:space="preserve">en el sentido Costa Rica a Nicaragua es de un mayor peso relativo, con el 59% del volumen movilizado y 64% del valor de la mercadería </w:t>
      </w:r>
      <w:r w:rsidR="00D82E70" w:rsidRPr="00836EB3">
        <w:rPr>
          <w:szCs w:val="24"/>
        </w:rPr>
        <w:t xml:space="preserve">que se </w:t>
      </w:r>
      <w:r w:rsidR="00544882" w:rsidRPr="00836EB3">
        <w:rPr>
          <w:szCs w:val="24"/>
        </w:rPr>
        <w:t>comercializa a través del paso.</w:t>
      </w:r>
      <w:r w:rsidR="001E099A" w:rsidRPr="00836EB3">
        <w:rPr>
          <w:szCs w:val="24"/>
        </w:rPr>
        <w:t xml:space="preserve"> El TPDA total de vehículos de carga se encuentra en el orden de 600 </w:t>
      </w:r>
      <w:proofErr w:type="spellStart"/>
      <w:r w:rsidR="001E099A" w:rsidRPr="00836EB3">
        <w:rPr>
          <w:szCs w:val="24"/>
        </w:rPr>
        <w:t>veh</w:t>
      </w:r>
      <w:proofErr w:type="spellEnd"/>
      <w:r w:rsidR="001E099A" w:rsidRPr="00836EB3">
        <w:rPr>
          <w:szCs w:val="24"/>
        </w:rPr>
        <w:t>/día (cargados y vacíos) incluyendo los diferentes tipos de despachos aduaneros que corresponden a las diferentes modalidades de comercio mencionadas.</w:t>
      </w:r>
    </w:p>
    <w:p w:rsidR="00CE2FA2" w:rsidRPr="00836EB3" w:rsidRDefault="00CE2FA2" w:rsidP="00CE2FA2">
      <w:pPr>
        <w:pStyle w:val="ListParagraph"/>
        <w:rPr>
          <w:szCs w:val="24"/>
        </w:rPr>
      </w:pPr>
    </w:p>
    <w:p w:rsidR="00CE2FA2" w:rsidRPr="00836EB3" w:rsidRDefault="00CE2FA2" w:rsidP="00CE2FA2">
      <w:pPr>
        <w:numPr>
          <w:ilvl w:val="1"/>
          <w:numId w:val="2"/>
        </w:numPr>
        <w:tabs>
          <w:tab w:val="clear" w:pos="360"/>
          <w:tab w:val="num" w:pos="709"/>
        </w:tabs>
        <w:ind w:left="709" w:hanging="709"/>
        <w:jc w:val="both"/>
        <w:rPr>
          <w:szCs w:val="24"/>
        </w:rPr>
      </w:pPr>
      <w:bookmarkStart w:id="7" w:name="_Ref351897407"/>
      <w:r w:rsidRPr="00836EB3">
        <w:rPr>
          <w:szCs w:val="24"/>
        </w:rPr>
        <w:t xml:space="preserve">La habilitación de un nuevo paso en Las Tablillas, conjuntamente con la construcción en Nicaragua del nuevo trecho de carretera entre La Argentina y la frontera con Costa Rica (Las Tablillas), abre una nueva opción para el transporte internacional de cargas. El Equipo Técnico Consultor ha identificado dos flujos de transporte que actualmente utilizan el paso de Peñas Blancas y podrían utilizar el paso por Las Tablillas; estos son: (i) un flujo de carga de exportación de Nicaragua que se origina en el Departamento de Chontales y </w:t>
      </w:r>
      <w:r w:rsidR="00AA4237" w:rsidRPr="00836EB3">
        <w:rPr>
          <w:szCs w:val="24"/>
        </w:rPr>
        <w:t>se embarca en</w:t>
      </w:r>
      <w:r w:rsidRPr="00836EB3">
        <w:rPr>
          <w:szCs w:val="24"/>
        </w:rPr>
        <w:t xml:space="preserve"> Puerto Limón</w:t>
      </w:r>
      <w:r w:rsidR="00AA4237" w:rsidRPr="00836EB3">
        <w:rPr>
          <w:rStyle w:val="FootnoteReference"/>
          <w:szCs w:val="24"/>
        </w:rPr>
        <w:footnoteReference w:id="12"/>
      </w:r>
      <w:r w:rsidRPr="00836EB3">
        <w:rPr>
          <w:szCs w:val="24"/>
        </w:rPr>
        <w:t xml:space="preserve">; (ii) un </w:t>
      </w:r>
      <w:r w:rsidR="00AA4237" w:rsidRPr="00836EB3">
        <w:rPr>
          <w:szCs w:val="24"/>
        </w:rPr>
        <w:t xml:space="preserve">flujo de carga de importación </w:t>
      </w:r>
      <w:r w:rsidRPr="00836EB3">
        <w:rPr>
          <w:szCs w:val="24"/>
        </w:rPr>
        <w:t xml:space="preserve">que ingresa por el puerto costarricense de Puerto Limón </w:t>
      </w:r>
      <w:r w:rsidR="00AA4237" w:rsidRPr="00836EB3">
        <w:rPr>
          <w:szCs w:val="24"/>
        </w:rPr>
        <w:t xml:space="preserve">con </w:t>
      </w:r>
      <w:r w:rsidRPr="00836EB3">
        <w:rPr>
          <w:szCs w:val="24"/>
        </w:rPr>
        <w:t>destin</w:t>
      </w:r>
      <w:r w:rsidR="00AA4237" w:rsidRPr="00836EB3">
        <w:rPr>
          <w:szCs w:val="24"/>
        </w:rPr>
        <w:t>o</w:t>
      </w:r>
      <w:r w:rsidRPr="00836EB3">
        <w:rPr>
          <w:szCs w:val="24"/>
        </w:rPr>
        <w:t xml:space="preserve"> </w:t>
      </w:r>
      <w:r w:rsidR="00AA4237" w:rsidRPr="00836EB3">
        <w:rPr>
          <w:szCs w:val="24"/>
        </w:rPr>
        <w:t xml:space="preserve">a Nicaragua (en su mayoría </w:t>
      </w:r>
      <w:r w:rsidRPr="00836EB3">
        <w:rPr>
          <w:szCs w:val="24"/>
        </w:rPr>
        <w:t xml:space="preserve">al área </w:t>
      </w:r>
      <w:r w:rsidR="00AA4237" w:rsidRPr="00836EB3">
        <w:rPr>
          <w:szCs w:val="24"/>
        </w:rPr>
        <w:t>en torno a</w:t>
      </w:r>
      <w:r w:rsidRPr="00836EB3">
        <w:rPr>
          <w:szCs w:val="24"/>
        </w:rPr>
        <w:t xml:space="preserve"> Managua</w:t>
      </w:r>
      <w:r w:rsidR="00AA4237" w:rsidRPr="00836EB3">
        <w:rPr>
          <w:szCs w:val="24"/>
        </w:rPr>
        <w:t>)</w:t>
      </w:r>
      <w:r w:rsidRPr="00836EB3">
        <w:rPr>
          <w:szCs w:val="24"/>
        </w:rPr>
        <w:t>.</w:t>
      </w:r>
      <w:bookmarkEnd w:id="7"/>
    </w:p>
    <w:p w:rsidR="00CE2FA2" w:rsidRPr="00836EB3" w:rsidRDefault="00CE2FA2" w:rsidP="00CE2FA2">
      <w:pPr>
        <w:pStyle w:val="ListParagraph"/>
        <w:rPr>
          <w:szCs w:val="24"/>
        </w:rPr>
      </w:pPr>
    </w:p>
    <w:p w:rsidR="00CE2FA2" w:rsidRPr="00836EB3" w:rsidRDefault="00CE2FA2" w:rsidP="00CE2FA2">
      <w:pPr>
        <w:numPr>
          <w:ilvl w:val="1"/>
          <w:numId w:val="2"/>
        </w:numPr>
        <w:tabs>
          <w:tab w:val="clear" w:pos="360"/>
          <w:tab w:val="num" w:pos="709"/>
        </w:tabs>
        <w:ind w:left="709" w:hanging="709"/>
        <w:jc w:val="both"/>
        <w:rPr>
          <w:szCs w:val="24"/>
        </w:rPr>
      </w:pPr>
      <w:bookmarkStart w:id="8" w:name="_Ref351897426"/>
      <w:r w:rsidRPr="00836EB3">
        <w:rPr>
          <w:szCs w:val="24"/>
        </w:rPr>
        <w:t xml:space="preserve">El </w:t>
      </w:r>
      <w:proofErr w:type="spellStart"/>
      <w:r w:rsidRPr="00836EB3">
        <w:rPr>
          <w:szCs w:val="24"/>
        </w:rPr>
        <w:t>centroide</w:t>
      </w:r>
      <w:proofErr w:type="spellEnd"/>
      <w:r w:rsidRPr="00836EB3">
        <w:rPr>
          <w:szCs w:val="24"/>
        </w:rPr>
        <w:t xml:space="preserve"> del citado flujo de exportación originada en Nicaragua se ubica en el Norte del Departamento de Chontales (se toma la intersección de la carretera NI-7 con ruta </w:t>
      </w:r>
      <w:r w:rsidR="00591848" w:rsidRPr="00836EB3">
        <w:rPr>
          <w:szCs w:val="24"/>
        </w:rPr>
        <w:t>de</w:t>
      </w:r>
      <w:r w:rsidRPr="00836EB3">
        <w:rPr>
          <w:szCs w:val="24"/>
        </w:rPr>
        <w:t xml:space="preserve"> desví</w:t>
      </w:r>
      <w:r w:rsidR="00591848" w:rsidRPr="00836EB3">
        <w:rPr>
          <w:szCs w:val="24"/>
        </w:rPr>
        <w:t>o</w:t>
      </w:r>
      <w:r w:rsidRPr="00836EB3">
        <w:rPr>
          <w:szCs w:val="24"/>
        </w:rPr>
        <w:t xml:space="preserve"> a Comalapa), lo que implica una distancia a Puerto Limón de 583 km por Peñas Blancas y 474 km por Las Tablillas; este Consultor concuerda en </w:t>
      </w:r>
      <w:r w:rsidR="00FA37B5" w:rsidRPr="00836EB3">
        <w:rPr>
          <w:szCs w:val="24"/>
        </w:rPr>
        <w:t xml:space="preserve">que </w:t>
      </w:r>
      <w:r w:rsidRPr="00836EB3">
        <w:rPr>
          <w:szCs w:val="24"/>
        </w:rPr>
        <w:t>el citado flujo se derivaría</w:t>
      </w:r>
      <w:r w:rsidR="00591848" w:rsidRPr="00836EB3">
        <w:rPr>
          <w:szCs w:val="24"/>
        </w:rPr>
        <w:t xml:space="preserve"> de Peñas Blancas a Las Tablillas, pues la diferencia de 109 km es elevada y lo suficientemente importante para cubrir cualquier duda razonable en el tamaño de la zona productiva, más </w:t>
      </w:r>
      <w:proofErr w:type="spellStart"/>
      <w:r w:rsidR="00591848" w:rsidRPr="00836EB3">
        <w:rPr>
          <w:szCs w:val="24"/>
        </w:rPr>
        <w:t>aún</w:t>
      </w:r>
      <w:proofErr w:type="spellEnd"/>
      <w:r w:rsidR="00591848" w:rsidRPr="00836EB3">
        <w:rPr>
          <w:szCs w:val="24"/>
        </w:rPr>
        <w:t xml:space="preserve"> considerando que buena parte de la carretera para llegar a Las Tablillas es nueva (ruta </w:t>
      </w:r>
      <w:proofErr w:type="spellStart"/>
      <w:r w:rsidR="00591848" w:rsidRPr="00836EB3">
        <w:rPr>
          <w:szCs w:val="24"/>
        </w:rPr>
        <w:t>Acoyapa</w:t>
      </w:r>
      <w:proofErr w:type="spellEnd"/>
      <w:r w:rsidR="00591848" w:rsidRPr="00836EB3">
        <w:rPr>
          <w:szCs w:val="24"/>
        </w:rPr>
        <w:t>-Las Tablillas de 132 km).</w:t>
      </w:r>
      <w:bookmarkEnd w:id="8"/>
      <w:r w:rsidR="00821A97" w:rsidRPr="00836EB3">
        <w:rPr>
          <w:szCs w:val="24"/>
        </w:rPr>
        <w:t xml:space="preserve"> Esta </w:t>
      </w:r>
      <w:proofErr w:type="spellStart"/>
      <w:r w:rsidR="00821A97" w:rsidRPr="00836EB3">
        <w:rPr>
          <w:szCs w:val="24"/>
        </w:rPr>
        <w:t>diferencial</w:t>
      </w:r>
      <w:proofErr w:type="spellEnd"/>
      <w:r w:rsidR="00821A97" w:rsidRPr="00836EB3">
        <w:rPr>
          <w:szCs w:val="24"/>
        </w:rPr>
        <w:t xml:space="preserve"> a favor de Las Tablillas por un menor recorrido carretero, se refuerza con una disminución del tiempo esperado en los controles en la cabecera nicaragüense (San Pancho) respecto de la cabecera nicaragüense de Peñas Blancas</w:t>
      </w:r>
      <w:r w:rsidR="00E37AB2" w:rsidRPr="00836EB3">
        <w:rPr>
          <w:szCs w:val="24"/>
        </w:rPr>
        <w:t>.</w:t>
      </w:r>
    </w:p>
    <w:p w:rsidR="00591848" w:rsidRPr="00836EB3" w:rsidRDefault="00591848" w:rsidP="00591848">
      <w:pPr>
        <w:pStyle w:val="ListParagraph"/>
        <w:rPr>
          <w:szCs w:val="24"/>
        </w:rPr>
      </w:pPr>
    </w:p>
    <w:p w:rsidR="00591848" w:rsidRPr="00836EB3" w:rsidRDefault="00591848" w:rsidP="00CE2FA2">
      <w:pPr>
        <w:numPr>
          <w:ilvl w:val="1"/>
          <w:numId w:val="2"/>
        </w:numPr>
        <w:tabs>
          <w:tab w:val="clear" w:pos="360"/>
          <w:tab w:val="num" w:pos="709"/>
        </w:tabs>
        <w:ind w:left="709" w:hanging="709"/>
        <w:jc w:val="both"/>
        <w:rPr>
          <w:szCs w:val="24"/>
        </w:rPr>
      </w:pPr>
      <w:r w:rsidRPr="00836EB3">
        <w:rPr>
          <w:szCs w:val="24"/>
        </w:rPr>
        <w:t xml:space="preserve">El </w:t>
      </w:r>
      <w:proofErr w:type="spellStart"/>
      <w:r w:rsidRPr="00836EB3">
        <w:rPr>
          <w:szCs w:val="24"/>
        </w:rPr>
        <w:t>centroide</w:t>
      </w:r>
      <w:proofErr w:type="spellEnd"/>
      <w:r w:rsidRPr="00836EB3">
        <w:rPr>
          <w:szCs w:val="24"/>
        </w:rPr>
        <w:t xml:space="preserve"> del flujo de importación destinado a</w:t>
      </w:r>
      <w:r w:rsidR="00C1461C" w:rsidRPr="00836EB3">
        <w:rPr>
          <w:szCs w:val="24"/>
        </w:rPr>
        <w:t xml:space="preserve">l </w:t>
      </w:r>
      <w:r w:rsidR="0054772E" w:rsidRPr="00836EB3">
        <w:rPr>
          <w:szCs w:val="24"/>
        </w:rPr>
        <w:t xml:space="preserve">Departamento </w:t>
      </w:r>
      <w:r w:rsidR="00C1461C" w:rsidRPr="00836EB3">
        <w:rPr>
          <w:szCs w:val="24"/>
        </w:rPr>
        <w:t>de</w:t>
      </w:r>
      <w:r w:rsidRPr="00836EB3">
        <w:rPr>
          <w:szCs w:val="24"/>
        </w:rPr>
        <w:t xml:space="preserve"> Managua, </w:t>
      </w:r>
      <w:r w:rsidR="0054772E" w:rsidRPr="00836EB3">
        <w:rPr>
          <w:szCs w:val="24"/>
        </w:rPr>
        <w:t>estaría en una ubicación aproximadamente 33</w:t>
      </w:r>
      <w:r w:rsidR="00C1461C" w:rsidRPr="00836EB3">
        <w:rPr>
          <w:szCs w:val="24"/>
        </w:rPr>
        <w:t xml:space="preserve"> km al Este de la capital, lo que implicaría que la distancia a Puerto Limón sería 18 km menor por Las Tablillas. No obstante, teniendo en cuenta </w:t>
      </w:r>
      <w:r w:rsidR="0054772E" w:rsidRPr="00836EB3">
        <w:rPr>
          <w:szCs w:val="24"/>
        </w:rPr>
        <w:t xml:space="preserve">la indefinición del área de destino de esta carga (en particular la distancia de </w:t>
      </w:r>
      <w:r w:rsidR="00C1461C" w:rsidRPr="00836EB3">
        <w:rPr>
          <w:szCs w:val="24"/>
        </w:rPr>
        <w:t xml:space="preserve">Managua </w:t>
      </w:r>
      <w:r w:rsidR="0054772E" w:rsidRPr="00836EB3">
        <w:rPr>
          <w:szCs w:val="24"/>
        </w:rPr>
        <w:t xml:space="preserve">a Puerto Limón es 48 km inferior por </w:t>
      </w:r>
      <w:r w:rsidR="00C1461C" w:rsidRPr="00836EB3">
        <w:rPr>
          <w:szCs w:val="24"/>
        </w:rPr>
        <w:t>Peñas Blancas</w:t>
      </w:r>
      <w:r w:rsidR="0054772E" w:rsidRPr="00836EB3">
        <w:rPr>
          <w:szCs w:val="24"/>
        </w:rPr>
        <w:t xml:space="preserve">), </w:t>
      </w:r>
      <w:r w:rsidR="002F2731" w:rsidRPr="00836EB3">
        <w:rPr>
          <w:szCs w:val="24"/>
        </w:rPr>
        <w:t xml:space="preserve">conservadoramente </w:t>
      </w:r>
      <w:r w:rsidR="0054772E" w:rsidRPr="00836EB3">
        <w:rPr>
          <w:szCs w:val="24"/>
        </w:rPr>
        <w:t>se adopta el criterio que este flujo no se derivaría al paso de Las Tablillas.</w:t>
      </w:r>
      <w:r w:rsidR="00C1461C" w:rsidRPr="00836EB3">
        <w:rPr>
          <w:szCs w:val="24"/>
        </w:rPr>
        <w:t xml:space="preserve"> </w:t>
      </w:r>
    </w:p>
    <w:p w:rsidR="00EC6953" w:rsidRPr="00836EB3" w:rsidRDefault="00EC6953" w:rsidP="00EC6953">
      <w:pPr>
        <w:pStyle w:val="ListParagraph"/>
        <w:rPr>
          <w:szCs w:val="24"/>
        </w:rPr>
      </w:pPr>
    </w:p>
    <w:p w:rsidR="00E30AAF" w:rsidRPr="00836EB3" w:rsidRDefault="00EC6953" w:rsidP="00DC1C3D">
      <w:pPr>
        <w:numPr>
          <w:ilvl w:val="1"/>
          <w:numId w:val="2"/>
        </w:numPr>
        <w:tabs>
          <w:tab w:val="clear" w:pos="360"/>
          <w:tab w:val="num" w:pos="709"/>
        </w:tabs>
        <w:ind w:left="709" w:hanging="709"/>
        <w:jc w:val="both"/>
        <w:rPr>
          <w:szCs w:val="24"/>
        </w:rPr>
      </w:pPr>
      <w:r w:rsidRPr="00836EB3">
        <w:rPr>
          <w:szCs w:val="24"/>
        </w:rPr>
        <w:t>E</w:t>
      </w:r>
      <w:r w:rsidR="00E30AAF" w:rsidRPr="00836EB3">
        <w:rPr>
          <w:szCs w:val="24"/>
        </w:rPr>
        <w:t xml:space="preserve">l </w:t>
      </w:r>
      <w:r w:rsidRPr="00836EB3">
        <w:rPr>
          <w:szCs w:val="24"/>
        </w:rPr>
        <w:t>Cuadro II-1.3 presenta la proyecci</w:t>
      </w:r>
      <w:r w:rsidR="00E30AAF" w:rsidRPr="00836EB3">
        <w:rPr>
          <w:szCs w:val="24"/>
        </w:rPr>
        <w:t xml:space="preserve">ón </w:t>
      </w:r>
      <w:r w:rsidRPr="00836EB3">
        <w:rPr>
          <w:szCs w:val="24"/>
        </w:rPr>
        <w:t>de</w:t>
      </w:r>
      <w:r w:rsidR="00E30AAF" w:rsidRPr="00836EB3">
        <w:rPr>
          <w:szCs w:val="24"/>
        </w:rPr>
        <w:t>l</w:t>
      </w:r>
      <w:r w:rsidRPr="00836EB3">
        <w:rPr>
          <w:szCs w:val="24"/>
        </w:rPr>
        <w:t xml:space="preserve"> </w:t>
      </w:r>
      <w:r w:rsidR="00E30AAF" w:rsidRPr="00836EB3">
        <w:rPr>
          <w:szCs w:val="24"/>
        </w:rPr>
        <w:t xml:space="preserve">TPDA de los </w:t>
      </w:r>
      <w:r w:rsidRPr="00836EB3">
        <w:rPr>
          <w:szCs w:val="24"/>
        </w:rPr>
        <w:t>vehículos de carga para el período 201</w:t>
      </w:r>
      <w:r w:rsidR="000E419E" w:rsidRPr="00836EB3">
        <w:rPr>
          <w:szCs w:val="24"/>
        </w:rPr>
        <w:t>7</w:t>
      </w:r>
      <w:r w:rsidRPr="00836EB3">
        <w:rPr>
          <w:szCs w:val="24"/>
        </w:rPr>
        <w:t>-20</w:t>
      </w:r>
      <w:r w:rsidR="000E419E" w:rsidRPr="00836EB3">
        <w:rPr>
          <w:szCs w:val="24"/>
        </w:rPr>
        <w:t>47</w:t>
      </w:r>
      <w:r w:rsidRPr="00836EB3">
        <w:rPr>
          <w:szCs w:val="24"/>
        </w:rPr>
        <w:t xml:space="preserve"> (</w:t>
      </w:r>
      <w:r w:rsidR="000E419E" w:rsidRPr="00836EB3">
        <w:rPr>
          <w:szCs w:val="24"/>
        </w:rPr>
        <w:t>31</w:t>
      </w:r>
      <w:r w:rsidRPr="00836EB3">
        <w:rPr>
          <w:szCs w:val="24"/>
        </w:rPr>
        <w:t xml:space="preserve"> años), </w:t>
      </w:r>
      <w:r w:rsidR="00E30AAF" w:rsidRPr="00836EB3">
        <w:rPr>
          <w:szCs w:val="24"/>
        </w:rPr>
        <w:t xml:space="preserve">discriminando </w:t>
      </w:r>
      <w:r w:rsidRPr="00836EB3">
        <w:rPr>
          <w:szCs w:val="24"/>
        </w:rPr>
        <w:t xml:space="preserve">sentido y tipo de despacho aduanero; </w:t>
      </w:r>
      <w:r w:rsidR="00E30AAF" w:rsidRPr="00836EB3">
        <w:rPr>
          <w:szCs w:val="24"/>
        </w:rPr>
        <w:t xml:space="preserve">la distinción por tipo de despacho es importante pues los controles, tanto para la situación actual como para la situación proyectada en cada caso son diferentes, lo que tiene una alta incidencia sobre la cuantificación de los tiempos de estancia en el paso de frontera. </w:t>
      </w:r>
    </w:p>
    <w:p w:rsidR="00E30AAF" w:rsidRPr="00836EB3" w:rsidRDefault="00E30AAF" w:rsidP="00E30AAF">
      <w:pPr>
        <w:pStyle w:val="ListParagraph"/>
        <w:rPr>
          <w:szCs w:val="24"/>
        </w:rPr>
      </w:pPr>
    </w:p>
    <w:p w:rsidR="00F40112" w:rsidRPr="00836EB3" w:rsidRDefault="00E30AAF" w:rsidP="00F40112">
      <w:pPr>
        <w:numPr>
          <w:ilvl w:val="1"/>
          <w:numId w:val="2"/>
        </w:numPr>
        <w:tabs>
          <w:tab w:val="clear" w:pos="360"/>
          <w:tab w:val="num" w:pos="709"/>
        </w:tabs>
        <w:ind w:left="709" w:hanging="709"/>
        <w:jc w:val="both"/>
        <w:rPr>
          <w:szCs w:val="24"/>
        </w:rPr>
      </w:pPr>
      <w:r w:rsidRPr="00836EB3">
        <w:rPr>
          <w:szCs w:val="24"/>
        </w:rPr>
        <w:t xml:space="preserve">El Cuadro II-1.4 presenta similares proyecciones, pero en el escenario alternativo en que se habilita el </w:t>
      </w:r>
      <w:r w:rsidR="0054772E" w:rsidRPr="00836EB3">
        <w:rPr>
          <w:szCs w:val="24"/>
        </w:rPr>
        <w:t xml:space="preserve">paso de frontera Las Tablillas, en el que el flujo de las exportaciones del Departamento de Chontales se deriva al paso Las Tablillas (se indica </w:t>
      </w:r>
      <w:r w:rsidR="00EE7FB6" w:rsidRPr="00836EB3">
        <w:rPr>
          <w:szCs w:val="24"/>
        </w:rPr>
        <w:t>con</w:t>
      </w:r>
      <w:r w:rsidR="0054772E" w:rsidRPr="00836EB3">
        <w:rPr>
          <w:szCs w:val="24"/>
        </w:rPr>
        <w:t xml:space="preserve"> números en azul, los flujos que sufren disminución de su volumen respecto del escenario actual)</w:t>
      </w:r>
      <w:r w:rsidR="00EF1CA9" w:rsidRPr="00836EB3">
        <w:rPr>
          <w:szCs w:val="24"/>
        </w:rPr>
        <w:t xml:space="preserve">; en este escenario, se produce una reducción del movimiento de vehículos cargados en tránsito (exportaciones por Puerto Limón) en el sentido Nicaragua a Costa Rica (varía de 23.400 </w:t>
      </w:r>
      <w:proofErr w:type="spellStart"/>
      <w:r w:rsidR="00EF1CA9" w:rsidRPr="00836EB3">
        <w:rPr>
          <w:szCs w:val="24"/>
        </w:rPr>
        <w:t>veh</w:t>
      </w:r>
      <w:proofErr w:type="spellEnd"/>
      <w:r w:rsidR="00EF1CA9" w:rsidRPr="00836EB3">
        <w:rPr>
          <w:szCs w:val="24"/>
        </w:rPr>
        <w:t xml:space="preserve">/año a 10.900 </w:t>
      </w:r>
      <w:proofErr w:type="spellStart"/>
      <w:r w:rsidR="00EF1CA9" w:rsidRPr="00836EB3">
        <w:rPr>
          <w:szCs w:val="24"/>
        </w:rPr>
        <w:t>veh</w:t>
      </w:r>
      <w:proofErr w:type="spellEnd"/>
      <w:r w:rsidR="00EF1CA9" w:rsidRPr="00836EB3">
        <w:rPr>
          <w:szCs w:val="24"/>
        </w:rPr>
        <w:t xml:space="preserve">/año) y una reducción del movimiento de vehículos de carga vacíos en sentido Costa Rica a Nicaragua (disminuye de 11.900 </w:t>
      </w:r>
      <w:proofErr w:type="spellStart"/>
      <w:r w:rsidR="00EF1CA9" w:rsidRPr="00836EB3">
        <w:rPr>
          <w:szCs w:val="24"/>
        </w:rPr>
        <w:t>veh</w:t>
      </w:r>
      <w:proofErr w:type="spellEnd"/>
      <w:r w:rsidR="00EF1CA9" w:rsidRPr="00836EB3">
        <w:rPr>
          <w:szCs w:val="24"/>
        </w:rPr>
        <w:t xml:space="preserve">/año a 9.250 </w:t>
      </w:r>
      <w:proofErr w:type="spellStart"/>
      <w:r w:rsidR="00EF1CA9" w:rsidRPr="00836EB3">
        <w:rPr>
          <w:szCs w:val="24"/>
        </w:rPr>
        <w:t>veh</w:t>
      </w:r>
      <w:proofErr w:type="spellEnd"/>
      <w:r w:rsidR="00EF1CA9" w:rsidRPr="00836EB3">
        <w:rPr>
          <w:szCs w:val="24"/>
        </w:rPr>
        <w:t>/año)</w:t>
      </w:r>
      <w:r w:rsidR="0054772E" w:rsidRPr="00836EB3">
        <w:rPr>
          <w:szCs w:val="24"/>
        </w:rPr>
        <w:t>.</w:t>
      </w:r>
    </w:p>
    <w:bookmarkEnd w:id="5"/>
    <w:bookmarkEnd w:id="6"/>
    <w:p w:rsidR="002B6FAB" w:rsidRPr="00836EB3" w:rsidRDefault="002B6FAB" w:rsidP="00264420">
      <w:pPr>
        <w:pStyle w:val="ListParagraph"/>
        <w:ind w:left="0"/>
        <w:rPr>
          <w:szCs w:val="24"/>
        </w:rPr>
      </w:pPr>
    </w:p>
    <w:p w:rsidR="0018315E" w:rsidRPr="00836EB3" w:rsidRDefault="0018315E" w:rsidP="0018315E">
      <w:pPr>
        <w:ind w:left="709"/>
        <w:jc w:val="both"/>
        <w:rPr>
          <w:szCs w:val="24"/>
        </w:rPr>
      </w:pPr>
    </w:p>
    <w:p w:rsidR="0018315E" w:rsidRPr="00836EB3" w:rsidRDefault="0018315E" w:rsidP="00DC1C3D">
      <w:pPr>
        <w:ind w:left="709"/>
        <w:jc w:val="both"/>
        <w:sectPr w:rsidR="0018315E" w:rsidRPr="00836EB3" w:rsidSect="00AE6447">
          <w:footerReference w:type="default" r:id="rId15"/>
          <w:pgSz w:w="12242" w:h="15842" w:code="1"/>
          <w:pgMar w:top="1440" w:right="1298" w:bottom="1440" w:left="1797" w:header="731" w:footer="1134" w:gutter="0"/>
          <w:pgNumType w:start="1"/>
          <w:cols w:space="720"/>
        </w:sectPr>
      </w:pPr>
    </w:p>
    <w:p w:rsidR="000F4023" w:rsidRPr="00836EB3" w:rsidRDefault="000F4023" w:rsidP="00AB5F88">
      <w:pPr>
        <w:jc w:val="center"/>
        <w:rPr>
          <w:b/>
          <w:sz w:val="22"/>
          <w:szCs w:val="22"/>
        </w:rPr>
      </w:pPr>
      <w:r w:rsidRPr="00836EB3">
        <w:rPr>
          <w:b/>
          <w:sz w:val="22"/>
          <w:szCs w:val="22"/>
        </w:rPr>
        <w:t xml:space="preserve">Cuadro </w:t>
      </w:r>
      <w:r w:rsidR="0087635B" w:rsidRPr="00836EB3">
        <w:rPr>
          <w:b/>
          <w:sz w:val="22"/>
          <w:szCs w:val="22"/>
        </w:rPr>
        <w:t>II-</w:t>
      </w:r>
      <w:r w:rsidR="001B2FCE" w:rsidRPr="00836EB3">
        <w:rPr>
          <w:b/>
          <w:sz w:val="22"/>
          <w:szCs w:val="22"/>
        </w:rPr>
        <w:t>1</w:t>
      </w:r>
      <w:r w:rsidR="00BE7667" w:rsidRPr="00836EB3">
        <w:rPr>
          <w:b/>
          <w:sz w:val="22"/>
          <w:szCs w:val="22"/>
        </w:rPr>
        <w:t>.1</w:t>
      </w:r>
    </w:p>
    <w:p w:rsidR="002C7110" w:rsidRPr="00836EB3" w:rsidRDefault="002C7110" w:rsidP="002C7110">
      <w:pPr>
        <w:jc w:val="center"/>
        <w:rPr>
          <w:b/>
          <w:bCs/>
          <w:sz w:val="20"/>
          <w:lang w:val="es-ES" w:eastAsia="es-ES"/>
        </w:rPr>
      </w:pPr>
      <w:proofErr w:type="gramStart"/>
      <w:r w:rsidRPr="00836EB3">
        <w:rPr>
          <w:b/>
          <w:bCs/>
          <w:sz w:val="20"/>
          <w:lang w:val="es-ES" w:eastAsia="es-ES"/>
        </w:rPr>
        <w:t>P</w:t>
      </w:r>
      <w:r w:rsidR="003A5B78" w:rsidRPr="00836EB3">
        <w:rPr>
          <w:b/>
          <w:bCs/>
          <w:sz w:val="20"/>
          <w:lang w:val="es-ES" w:eastAsia="es-ES"/>
        </w:rPr>
        <w:t>ASO</w:t>
      </w:r>
      <w:proofErr w:type="gramEnd"/>
      <w:r w:rsidR="003A5B78" w:rsidRPr="00836EB3">
        <w:rPr>
          <w:b/>
          <w:bCs/>
          <w:sz w:val="20"/>
          <w:lang w:val="es-ES" w:eastAsia="es-ES"/>
        </w:rPr>
        <w:t xml:space="preserve"> PEÑAS BLANCAS </w:t>
      </w:r>
    </w:p>
    <w:p w:rsidR="000F4023" w:rsidRPr="00836EB3" w:rsidRDefault="003A5B78" w:rsidP="000F4023">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Pasajeros (</w:t>
      </w:r>
      <w:proofErr w:type="spellStart"/>
      <w:r w:rsidRPr="00836EB3">
        <w:rPr>
          <w:b/>
          <w:bCs/>
          <w:sz w:val="20"/>
          <w:lang w:val="es-ES" w:eastAsia="es-ES"/>
        </w:rPr>
        <w:t>pas</w:t>
      </w:r>
      <w:proofErr w:type="spellEnd"/>
      <w:r w:rsidR="000F4023" w:rsidRPr="00836EB3">
        <w:rPr>
          <w:b/>
          <w:bCs/>
          <w:sz w:val="20"/>
          <w:lang w:val="es-ES" w:eastAsia="es-ES"/>
        </w:rPr>
        <w:t>/día)</w:t>
      </w:r>
      <w:r w:rsidRPr="00836EB3">
        <w:rPr>
          <w:b/>
          <w:bCs/>
          <w:sz w:val="20"/>
          <w:lang w:val="es-ES" w:eastAsia="es-ES"/>
        </w:rPr>
        <w:t>. 201</w:t>
      </w:r>
      <w:r w:rsidR="0009337E" w:rsidRPr="00836EB3">
        <w:rPr>
          <w:b/>
          <w:bCs/>
          <w:sz w:val="20"/>
          <w:lang w:val="es-ES" w:eastAsia="es-ES"/>
        </w:rPr>
        <w:t>7</w:t>
      </w:r>
      <w:r w:rsidRPr="00836EB3">
        <w:rPr>
          <w:b/>
          <w:bCs/>
          <w:sz w:val="20"/>
          <w:lang w:val="es-ES" w:eastAsia="es-ES"/>
        </w:rPr>
        <w:t>-20</w:t>
      </w:r>
      <w:r w:rsidR="0009337E" w:rsidRPr="00836EB3">
        <w:rPr>
          <w:b/>
          <w:bCs/>
          <w:sz w:val="20"/>
          <w:lang w:val="es-ES" w:eastAsia="es-ES"/>
        </w:rPr>
        <w:t>47</w:t>
      </w:r>
    </w:p>
    <w:p w:rsidR="0009337E" w:rsidRPr="00836EB3" w:rsidRDefault="0009337E" w:rsidP="000F4023">
      <w:pPr>
        <w:jc w:val="center"/>
        <w:rPr>
          <w:sz w:val="20"/>
        </w:rPr>
      </w:pPr>
    </w:p>
    <w:p w:rsidR="000F4023" w:rsidRPr="00836EB3" w:rsidRDefault="0009337E" w:rsidP="00192759">
      <w:pPr>
        <w:jc w:val="center"/>
      </w:pPr>
      <w:r w:rsidRPr="00836EB3">
        <w:rPr>
          <w:noProof/>
          <w:lang w:val="en-US"/>
        </w:rPr>
        <w:drawing>
          <wp:inline distT="0" distB="0" distL="0" distR="0">
            <wp:extent cx="7902051" cy="5271715"/>
            <wp:effectExtent l="19050" t="0" r="3699"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899400" cy="5269946"/>
                    </a:xfrm>
                    <a:prstGeom prst="rect">
                      <a:avLst/>
                    </a:prstGeom>
                    <a:noFill/>
                    <a:ln w="9525">
                      <a:noFill/>
                      <a:miter lim="800000"/>
                      <a:headEnd/>
                      <a:tailEnd/>
                    </a:ln>
                  </pic:spPr>
                </pic:pic>
              </a:graphicData>
            </a:graphic>
          </wp:inline>
        </w:drawing>
      </w:r>
    </w:p>
    <w:p w:rsidR="00AB5F88" w:rsidRPr="00836EB3" w:rsidRDefault="003A5B78">
      <w:pPr>
        <w:rPr>
          <w:b/>
          <w:sz w:val="22"/>
          <w:szCs w:val="22"/>
        </w:rPr>
      </w:pPr>
      <w:r w:rsidRPr="00836EB3">
        <w:rPr>
          <w:b/>
          <w:sz w:val="22"/>
          <w:szCs w:val="22"/>
        </w:rPr>
        <w:br w:type="page"/>
      </w:r>
    </w:p>
    <w:p w:rsidR="00AB5F88" w:rsidRPr="00836EB3" w:rsidRDefault="00AB5F88" w:rsidP="00AB5F88">
      <w:pPr>
        <w:jc w:val="center"/>
        <w:rPr>
          <w:b/>
          <w:sz w:val="22"/>
          <w:szCs w:val="22"/>
        </w:rPr>
      </w:pPr>
      <w:r w:rsidRPr="00836EB3">
        <w:rPr>
          <w:b/>
          <w:sz w:val="22"/>
          <w:szCs w:val="22"/>
        </w:rPr>
        <w:t>Cuadro II-1.2</w:t>
      </w:r>
    </w:p>
    <w:p w:rsidR="00AB5F88" w:rsidRPr="00836EB3" w:rsidRDefault="00AB5F88" w:rsidP="00AB5F88">
      <w:pPr>
        <w:jc w:val="center"/>
        <w:rPr>
          <w:b/>
          <w:bCs/>
          <w:sz w:val="20"/>
          <w:lang w:val="es-ES" w:eastAsia="es-ES"/>
        </w:rPr>
      </w:pPr>
      <w:proofErr w:type="gramStart"/>
      <w:r w:rsidRPr="00836EB3">
        <w:rPr>
          <w:b/>
          <w:bCs/>
          <w:sz w:val="20"/>
          <w:lang w:val="es-ES" w:eastAsia="es-ES"/>
        </w:rPr>
        <w:t>PASO</w:t>
      </w:r>
      <w:proofErr w:type="gramEnd"/>
      <w:r w:rsidRPr="00836EB3">
        <w:rPr>
          <w:b/>
          <w:bCs/>
          <w:sz w:val="20"/>
          <w:lang w:val="es-ES" w:eastAsia="es-ES"/>
        </w:rPr>
        <w:t xml:space="preserve"> PEÑAS BLANCAS </w:t>
      </w:r>
    </w:p>
    <w:p w:rsidR="00AB5F88" w:rsidRPr="00836EB3" w:rsidRDefault="00AB5F88" w:rsidP="00AB5F88">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Vehículos de Pasajeros (</w:t>
      </w:r>
      <w:proofErr w:type="spellStart"/>
      <w:r w:rsidRPr="00836EB3">
        <w:rPr>
          <w:b/>
          <w:bCs/>
          <w:sz w:val="20"/>
          <w:lang w:val="es-ES" w:eastAsia="es-ES"/>
        </w:rPr>
        <w:t>veh</w:t>
      </w:r>
      <w:proofErr w:type="spellEnd"/>
      <w:r w:rsidRPr="00836EB3">
        <w:rPr>
          <w:b/>
          <w:bCs/>
          <w:sz w:val="20"/>
          <w:lang w:val="es-ES" w:eastAsia="es-ES"/>
        </w:rPr>
        <w:t>/día). 201</w:t>
      </w:r>
      <w:r w:rsidR="0009337E" w:rsidRPr="00836EB3">
        <w:rPr>
          <w:b/>
          <w:bCs/>
          <w:sz w:val="20"/>
          <w:lang w:val="es-ES" w:eastAsia="es-ES"/>
        </w:rPr>
        <w:t>7</w:t>
      </w:r>
      <w:r w:rsidRPr="00836EB3">
        <w:rPr>
          <w:b/>
          <w:bCs/>
          <w:sz w:val="20"/>
          <w:lang w:val="es-ES" w:eastAsia="es-ES"/>
        </w:rPr>
        <w:t>-20</w:t>
      </w:r>
      <w:r w:rsidR="0009337E" w:rsidRPr="00836EB3">
        <w:rPr>
          <w:b/>
          <w:bCs/>
          <w:sz w:val="20"/>
          <w:lang w:val="es-ES" w:eastAsia="es-ES"/>
        </w:rPr>
        <w:t>47</w:t>
      </w:r>
    </w:p>
    <w:p w:rsidR="0009337E" w:rsidRPr="00836EB3" w:rsidRDefault="0009337E" w:rsidP="00AB5F88">
      <w:pPr>
        <w:jc w:val="center"/>
        <w:rPr>
          <w:sz w:val="20"/>
        </w:rPr>
      </w:pPr>
    </w:p>
    <w:p w:rsidR="00AB5F88" w:rsidRPr="00836EB3" w:rsidRDefault="0009337E" w:rsidP="00AB5F88">
      <w:pPr>
        <w:jc w:val="center"/>
        <w:rPr>
          <w:b/>
          <w:sz w:val="22"/>
          <w:szCs w:val="22"/>
        </w:rPr>
      </w:pPr>
      <w:r w:rsidRPr="00836EB3">
        <w:rPr>
          <w:noProof/>
          <w:szCs w:val="22"/>
          <w:lang w:val="en-US"/>
        </w:rPr>
        <w:drawing>
          <wp:inline distT="0" distB="0" distL="0" distR="0">
            <wp:extent cx="5403740" cy="5335325"/>
            <wp:effectExtent l="19050" t="0" r="646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400905" cy="5332526"/>
                    </a:xfrm>
                    <a:prstGeom prst="rect">
                      <a:avLst/>
                    </a:prstGeom>
                    <a:noFill/>
                    <a:ln w="9525">
                      <a:noFill/>
                      <a:miter lim="800000"/>
                      <a:headEnd/>
                      <a:tailEnd/>
                    </a:ln>
                  </pic:spPr>
                </pic:pic>
              </a:graphicData>
            </a:graphic>
          </wp:inline>
        </w:drawing>
      </w:r>
    </w:p>
    <w:p w:rsidR="00AB5F88" w:rsidRPr="00836EB3" w:rsidRDefault="00AB5F88">
      <w:pPr>
        <w:rPr>
          <w:b/>
          <w:sz w:val="22"/>
          <w:szCs w:val="22"/>
        </w:rPr>
      </w:pPr>
      <w:r w:rsidRPr="00836EB3">
        <w:rPr>
          <w:b/>
          <w:sz w:val="22"/>
          <w:szCs w:val="22"/>
        </w:rPr>
        <w:br w:type="page"/>
      </w:r>
    </w:p>
    <w:p w:rsidR="001B2FCE" w:rsidRPr="00836EB3" w:rsidRDefault="001B2FCE" w:rsidP="001B2FCE">
      <w:pPr>
        <w:jc w:val="center"/>
        <w:rPr>
          <w:b/>
          <w:sz w:val="22"/>
          <w:szCs w:val="22"/>
        </w:rPr>
      </w:pPr>
      <w:r w:rsidRPr="00836EB3">
        <w:rPr>
          <w:b/>
          <w:sz w:val="22"/>
          <w:szCs w:val="22"/>
        </w:rPr>
        <w:t>Cuadro II-1.</w:t>
      </w:r>
      <w:r w:rsidR="00AB5F88" w:rsidRPr="00836EB3">
        <w:rPr>
          <w:b/>
          <w:sz w:val="22"/>
          <w:szCs w:val="22"/>
        </w:rPr>
        <w:t>3</w:t>
      </w:r>
    </w:p>
    <w:p w:rsidR="001B2FCE" w:rsidRPr="00836EB3" w:rsidRDefault="001B2FCE" w:rsidP="001B2FCE">
      <w:pPr>
        <w:jc w:val="center"/>
        <w:rPr>
          <w:b/>
          <w:bCs/>
          <w:sz w:val="20"/>
          <w:lang w:val="es-ES" w:eastAsia="es-ES"/>
        </w:rPr>
      </w:pPr>
      <w:proofErr w:type="gramStart"/>
      <w:r w:rsidRPr="00836EB3">
        <w:rPr>
          <w:b/>
          <w:bCs/>
          <w:sz w:val="20"/>
          <w:lang w:val="es-ES" w:eastAsia="es-ES"/>
        </w:rPr>
        <w:t>PASO</w:t>
      </w:r>
      <w:proofErr w:type="gramEnd"/>
      <w:r w:rsidRPr="00836EB3">
        <w:rPr>
          <w:b/>
          <w:bCs/>
          <w:sz w:val="20"/>
          <w:lang w:val="es-ES" w:eastAsia="es-ES"/>
        </w:rPr>
        <w:t xml:space="preserve"> PEÑAS BLANCAS </w:t>
      </w:r>
    </w:p>
    <w:p w:rsidR="001B2FCE" w:rsidRPr="00836EB3" w:rsidRDefault="001B2FCE" w:rsidP="001B2FCE">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Vehículos de Carga (</w:t>
      </w:r>
      <w:proofErr w:type="spellStart"/>
      <w:r w:rsidRPr="00836EB3">
        <w:rPr>
          <w:b/>
          <w:bCs/>
          <w:sz w:val="20"/>
          <w:lang w:val="es-ES" w:eastAsia="es-ES"/>
        </w:rPr>
        <w:t>veh</w:t>
      </w:r>
      <w:proofErr w:type="spellEnd"/>
      <w:r w:rsidRPr="00836EB3">
        <w:rPr>
          <w:b/>
          <w:bCs/>
          <w:sz w:val="20"/>
          <w:lang w:val="es-ES" w:eastAsia="es-ES"/>
        </w:rPr>
        <w:t>/día). 201</w:t>
      </w:r>
      <w:r w:rsidR="0009337E" w:rsidRPr="00836EB3">
        <w:rPr>
          <w:b/>
          <w:bCs/>
          <w:sz w:val="20"/>
          <w:lang w:val="es-ES" w:eastAsia="es-ES"/>
        </w:rPr>
        <w:t>7</w:t>
      </w:r>
      <w:r w:rsidRPr="00836EB3">
        <w:rPr>
          <w:b/>
          <w:bCs/>
          <w:sz w:val="20"/>
          <w:lang w:val="es-ES" w:eastAsia="es-ES"/>
        </w:rPr>
        <w:t>-20</w:t>
      </w:r>
      <w:r w:rsidR="0009337E" w:rsidRPr="00836EB3">
        <w:rPr>
          <w:b/>
          <w:bCs/>
          <w:sz w:val="20"/>
          <w:lang w:val="es-ES" w:eastAsia="es-ES"/>
        </w:rPr>
        <w:t>47</w:t>
      </w:r>
    </w:p>
    <w:p w:rsidR="006E3886" w:rsidRPr="00836EB3" w:rsidRDefault="006E3886" w:rsidP="001B2FCE">
      <w:pPr>
        <w:jc w:val="center"/>
        <w:rPr>
          <w:sz w:val="20"/>
        </w:rPr>
      </w:pPr>
    </w:p>
    <w:p w:rsidR="00BE7667" w:rsidRPr="00836EB3" w:rsidRDefault="006E3886" w:rsidP="00EE7FB6">
      <w:pPr>
        <w:tabs>
          <w:tab w:val="left" w:pos="5670"/>
        </w:tabs>
        <w:jc w:val="center"/>
        <w:rPr>
          <w:lang w:val="es-ES"/>
        </w:rPr>
      </w:pPr>
      <w:r w:rsidRPr="00836EB3">
        <w:rPr>
          <w:noProof/>
          <w:lang w:val="en-US"/>
        </w:rPr>
        <w:drawing>
          <wp:inline distT="0" distB="0" distL="0" distR="0">
            <wp:extent cx="5803653" cy="5311471"/>
            <wp:effectExtent l="19050" t="0" r="6597"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811636" cy="5318777"/>
                    </a:xfrm>
                    <a:prstGeom prst="rect">
                      <a:avLst/>
                    </a:prstGeom>
                    <a:noFill/>
                    <a:ln w="9525">
                      <a:noFill/>
                      <a:miter lim="800000"/>
                      <a:headEnd/>
                      <a:tailEnd/>
                    </a:ln>
                  </pic:spPr>
                </pic:pic>
              </a:graphicData>
            </a:graphic>
          </wp:inline>
        </w:drawing>
      </w:r>
    </w:p>
    <w:p w:rsidR="004544F9" w:rsidRPr="00836EB3" w:rsidRDefault="004544F9">
      <w:pPr>
        <w:rPr>
          <w:sz w:val="20"/>
        </w:rPr>
      </w:pPr>
      <w:r w:rsidRPr="00836EB3">
        <w:rPr>
          <w:sz w:val="20"/>
        </w:rPr>
        <w:br w:type="page"/>
      </w:r>
    </w:p>
    <w:p w:rsidR="001B2FCE" w:rsidRPr="00836EB3" w:rsidRDefault="001B2FCE" w:rsidP="001B2FCE">
      <w:pPr>
        <w:jc w:val="center"/>
        <w:rPr>
          <w:b/>
          <w:sz w:val="22"/>
          <w:szCs w:val="22"/>
        </w:rPr>
      </w:pPr>
      <w:r w:rsidRPr="00836EB3">
        <w:rPr>
          <w:b/>
          <w:sz w:val="22"/>
          <w:szCs w:val="22"/>
        </w:rPr>
        <w:t>Cuadro II-1.</w:t>
      </w:r>
      <w:r w:rsidR="00AB5F88" w:rsidRPr="00836EB3">
        <w:rPr>
          <w:b/>
          <w:sz w:val="22"/>
          <w:szCs w:val="22"/>
        </w:rPr>
        <w:t>4</w:t>
      </w:r>
    </w:p>
    <w:p w:rsidR="001B2FCE" w:rsidRPr="00836EB3" w:rsidRDefault="001B2FCE" w:rsidP="001B2FCE">
      <w:pPr>
        <w:jc w:val="center"/>
        <w:rPr>
          <w:b/>
          <w:bCs/>
          <w:sz w:val="20"/>
          <w:lang w:val="es-ES" w:eastAsia="es-ES"/>
        </w:rPr>
      </w:pPr>
      <w:proofErr w:type="gramStart"/>
      <w:r w:rsidRPr="00836EB3">
        <w:rPr>
          <w:b/>
          <w:bCs/>
          <w:sz w:val="20"/>
          <w:lang w:val="es-ES" w:eastAsia="es-ES"/>
        </w:rPr>
        <w:t>PASO</w:t>
      </w:r>
      <w:proofErr w:type="gramEnd"/>
      <w:r w:rsidRPr="00836EB3">
        <w:rPr>
          <w:b/>
          <w:bCs/>
          <w:sz w:val="20"/>
          <w:lang w:val="es-ES" w:eastAsia="es-ES"/>
        </w:rPr>
        <w:t xml:space="preserve"> PEÑAS BLANCAS </w:t>
      </w:r>
    </w:p>
    <w:p w:rsidR="001B2FCE" w:rsidRPr="00836EB3" w:rsidRDefault="001B2FCE" w:rsidP="001B2FCE">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Vehículos de Carga (</w:t>
      </w:r>
      <w:proofErr w:type="spellStart"/>
      <w:r w:rsidRPr="00836EB3">
        <w:rPr>
          <w:b/>
          <w:bCs/>
          <w:sz w:val="20"/>
          <w:lang w:val="es-ES" w:eastAsia="es-ES"/>
        </w:rPr>
        <w:t>veh</w:t>
      </w:r>
      <w:proofErr w:type="spellEnd"/>
      <w:r w:rsidRPr="00836EB3">
        <w:rPr>
          <w:b/>
          <w:bCs/>
          <w:sz w:val="20"/>
          <w:lang w:val="es-ES" w:eastAsia="es-ES"/>
        </w:rPr>
        <w:t>/día) con Paso Las Tablillas habilitado.</w:t>
      </w:r>
      <w:r w:rsidRPr="00836EB3">
        <w:rPr>
          <w:b/>
          <w:bCs/>
          <w:sz w:val="20"/>
          <w:vertAlign w:val="superscript"/>
          <w:lang w:val="es-ES" w:eastAsia="es-ES"/>
        </w:rPr>
        <w:t>(2)</w:t>
      </w:r>
      <w:r w:rsidRPr="00836EB3">
        <w:rPr>
          <w:b/>
          <w:bCs/>
          <w:sz w:val="20"/>
          <w:lang w:val="es-ES" w:eastAsia="es-ES"/>
        </w:rPr>
        <w:t xml:space="preserve"> 201</w:t>
      </w:r>
      <w:r w:rsidR="006E3886" w:rsidRPr="00836EB3">
        <w:rPr>
          <w:b/>
          <w:bCs/>
          <w:sz w:val="20"/>
          <w:lang w:val="es-ES" w:eastAsia="es-ES"/>
        </w:rPr>
        <w:t>7</w:t>
      </w:r>
      <w:r w:rsidRPr="00836EB3">
        <w:rPr>
          <w:b/>
          <w:bCs/>
          <w:sz w:val="20"/>
          <w:lang w:val="es-ES" w:eastAsia="es-ES"/>
        </w:rPr>
        <w:t>-20</w:t>
      </w:r>
      <w:r w:rsidR="006E3886" w:rsidRPr="00836EB3">
        <w:rPr>
          <w:b/>
          <w:bCs/>
          <w:sz w:val="20"/>
          <w:lang w:val="es-ES" w:eastAsia="es-ES"/>
        </w:rPr>
        <w:t>47</w:t>
      </w:r>
    </w:p>
    <w:p w:rsidR="006E3886" w:rsidRPr="00836EB3" w:rsidRDefault="006E3886" w:rsidP="001B2FCE">
      <w:pPr>
        <w:jc w:val="center"/>
        <w:rPr>
          <w:sz w:val="20"/>
        </w:rPr>
      </w:pPr>
    </w:p>
    <w:p w:rsidR="004544F9" w:rsidRPr="00836EB3" w:rsidRDefault="006E3886" w:rsidP="006E3886">
      <w:pPr>
        <w:jc w:val="center"/>
      </w:pPr>
      <w:r w:rsidRPr="00836EB3">
        <w:rPr>
          <w:noProof/>
          <w:lang w:val="en-US"/>
        </w:rPr>
        <w:drawing>
          <wp:inline distT="0" distB="0" distL="0" distR="0">
            <wp:extent cx="5761364" cy="5263763"/>
            <wp:effectExtent l="19050" t="0" r="0" b="0"/>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759432" cy="5261998"/>
                    </a:xfrm>
                    <a:prstGeom prst="rect">
                      <a:avLst/>
                    </a:prstGeom>
                    <a:noFill/>
                    <a:ln w="9525">
                      <a:noFill/>
                      <a:miter lim="800000"/>
                      <a:headEnd/>
                      <a:tailEnd/>
                    </a:ln>
                  </pic:spPr>
                </pic:pic>
              </a:graphicData>
            </a:graphic>
          </wp:inline>
        </w:drawing>
      </w:r>
    </w:p>
    <w:p w:rsidR="006E3886" w:rsidRPr="00836EB3" w:rsidRDefault="006E3886" w:rsidP="006E3886"/>
    <w:p w:rsidR="000F4023" w:rsidRPr="00836EB3" w:rsidRDefault="000F4023" w:rsidP="004544F9">
      <w:pPr>
        <w:sectPr w:rsidR="000F4023" w:rsidRPr="00836EB3" w:rsidSect="0009337E">
          <w:pgSz w:w="15842" w:h="12242" w:orient="landscape" w:code="1"/>
          <w:pgMar w:top="1418" w:right="1701" w:bottom="1134" w:left="1701" w:header="731" w:footer="851" w:gutter="0"/>
          <w:cols w:space="720"/>
          <w:docGrid w:linePitch="326"/>
        </w:sectPr>
      </w:pPr>
    </w:p>
    <w:p w:rsidR="0021591B" w:rsidRPr="00836EB3" w:rsidRDefault="0021591B" w:rsidP="0021591B">
      <w:pPr>
        <w:pStyle w:val="ListParagraph"/>
        <w:rPr>
          <w:szCs w:val="24"/>
        </w:rPr>
      </w:pPr>
    </w:p>
    <w:p w:rsidR="0021591B" w:rsidRPr="00836EB3" w:rsidRDefault="0021591B" w:rsidP="0021591B">
      <w:pPr>
        <w:numPr>
          <w:ilvl w:val="1"/>
          <w:numId w:val="2"/>
        </w:numPr>
        <w:tabs>
          <w:tab w:val="clear" w:pos="360"/>
          <w:tab w:val="num" w:pos="709"/>
        </w:tabs>
        <w:ind w:left="709" w:hanging="709"/>
        <w:jc w:val="both"/>
        <w:rPr>
          <w:szCs w:val="24"/>
        </w:rPr>
      </w:pPr>
      <w:bookmarkStart w:id="9" w:name="_Ref342375471"/>
      <w:r w:rsidRPr="00836EB3">
        <w:rPr>
          <w:b/>
          <w:szCs w:val="24"/>
          <w:lang w:val="es-ES_tradnl"/>
        </w:rPr>
        <w:t>Paso Las Tablillas.</w:t>
      </w:r>
      <w:r w:rsidRPr="00836EB3">
        <w:rPr>
          <w:szCs w:val="24"/>
        </w:rPr>
        <w:t xml:space="preserve"> </w:t>
      </w:r>
      <w:bookmarkEnd w:id="9"/>
    </w:p>
    <w:p w:rsidR="00291C08" w:rsidRPr="00836EB3" w:rsidRDefault="00291C08" w:rsidP="00291C08">
      <w:pPr>
        <w:ind w:left="709"/>
        <w:jc w:val="both"/>
        <w:rPr>
          <w:szCs w:val="24"/>
        </w:rPr>
      </w:pPr>
    </w:p>
    <w:p w:rsidR="0021591B" w:rsidRPr="00836EB3" w:rsidRDefault="00291C08" w:rsidP="00291C08">
      <w:pPr>
        <w:numPr>
          <w:ilvl w:val="1"/>
          <w:numId w:val="2"/>
        </w:numPr>
        <w:tabs>
          <w:tab w:val="clear" w:pos="360"/>
          <w:tab w:val="num" w:pos="709"/>
        </w:tabs>
        <w:ind w:left="709" w:hanging="709"/>
        <w:jc w:val="both"/>
        <w:rPr>
          <w:szCs w:val="24"/>
        </w:rPr>
      </w:pPr>
      <w:r w:rsidRPr="00836EB3">
        <w:rPr>
          <w:b/>
          <w:szCs w:val="24"/>
        </w:rPr>
        <w:t>Pasajeros y Vehículos de Pasajeros.</w:t>
      </w:r>
      <w:r w:rsidRPr="00836EB3">
        <w:rPr>
          <w:szCs w:val="24"/>
        </w:rPr>
        <w:t xml:space="preserve"> </w:t>
      </w:r>
      <w:r w:rsidR="000E51EF" w:rsidRPr="00836EB3">
        <w:rPr>
          <w:szCs w:val="24"/>
        </w:rPr>
        <w:t xml:space="preserve">Tal como fue </w:t>
      </w:r>
      <w:r w:rsidR="00AE0503" w:rsidRPr="00836EB3">
        <w:rPr>
          <w:szCs w:val="24"/>
        </w:rPr>
        <w:t>mencionado</w:t>
      </w:r>
      <w:r w:rsidR="000E51EF" w:rsidRPr="00836EB3">
        <w:rPr>
          <w:szCs w:val="24"/>
        </w:rPr>
        <w:t xml:space="preserve">, el paso </w:t>
      </w:r>
      <w:r w:rsidR="002F2731" w:rsidRPr="00836EB3">
        <w:rPr>
          <w:szCs w:val="24"/>
        </w:rPr>
        <w:t xml:space="preserve">de frontera </w:t>
      </w:r>
      <w:r w:rsidR="000E51EF" w:rsidRPr="00836EB3">
        <w:rPr>
          <w:szCs w:val="24"/>
        </w:rPr>
        <w:t>Las Tablillas</w:t>
      </w:r>
      <w:r w:rsidR="002F2731" w:rsidRPr="00836EB3">
        <w:rPr>
          <w:szCs w:val="24"/>
        </w:rPr>
        <w:t xml:space="preserve"> </w:t>
      </w:r>
      <w:r w:rsidR="000E51EF" w:rsidRPr="00836EB3">
        <w:rPr>
          <w:szCs w:val="24"/>
        </w:rPr>
        <w:t>-</w:t>
      </w:r>
      <w:r w:rsidR="002F2731" w:rsidRPr="00836EB3">
        <w:rPr>
          <w:szCs w:val="24"/>
        </w:rPr>
        <w:t xml:space="preserve"> </w:t>
      </w:r>
      <w:r w:rsidR="000E51EF" w:rsidRPr="00836EB3">
        <w:rPr>
          <w:szCs w:val="24"/>
        </w:rPr>
        <w:t xml:space="preserve">San Pancho no se encuentra </w:t>
      </w:r>
      <w:r w:rsidR="002F2731" w:rsidRPr="00836EB3">
        <w:rPr>
          <w:szCs w:val="24"/>
        </w:rPr>
        <w:t xml:space="preserve">actualmente </w:t>
      </w:r>
      <w:r w:rsidR="000E51EF" w:rsidRPr="00836EB3">
        <w:rPr>
          <w:szCs w:val="24"/>
        </w:rPr>
        <w:t xml:space="preserve">habilitado; </w:t>
      </w:r>
      <w:r w:rsidR="002F2731" w:rsidRPr="00836EB3">
        <w:rPr>
          <w:szCs w:val="24"/>
        </w:rPr>
        <w:t xml:space="preserve">por ello, no debería presentarse   </w:t>
      </w:r>
      <w:r w:rsidRPr="00836EB3">
        <w:rPr>
          <w:szCs w:val="24"/>
        </w:rPr>
        <w:t>movimiento de pasajeros</w:t>
      </w:r>
      <w:r w:rsidR="002F2731" w:rsidRPr="00836EB3">
        <w:rPr>
          <w:szCs w:val="24"/>
        </w:rPr>
        <w:t xml:space="preserve">, pero </w:t>
      </w:r>
      <w:r w:rsidR="00A513DB" w:rsidRPr="00836EB3">
        <w:rPr>
          <w:szCs w:val="24"/>
        </w:rPr>
        <w:t xml:space="preserve">ha observado </w:t>
      </w:r>
      <w:r w:rsidR="002F2731" w:rsidRPr="00836EB3">
        <w:rPr>
          <w:szCs w:val="24"/>
        </w:rPr>
        <w:t xml:space="preserve">un tránsito de </w:t>
      </w:r>
      <w:r w:rsidRPr="00836EB3">
        <w:rPr>
          <w:szCs w:val="24"/>
        </w:rPr>
        <w:t xml:space="preserve">personas que, </w:t>
      </w:r>
      <w:r w:rsidR="00A513DB" w:rsidRPr="00836EB3">
        <w:rPr>
          <w:szCs w:val="24"/>
        </w:rPr>
        <w:t xml:space="preserve">presumiblemente </w:t>
      </w:r>
      <w:r w:rsidR="002F2731" w:rsidRPr="00836EB3">
        <w:rPr>
          <w:szCs w:val="24"/>
        </w:rPr>
        <w:t>por razones de trabajo</w:t>
      </w:r>
      <w:r w:rsidR="00A513DB" w:rsidRPr="00836EB3">
        <w:rPr>
          <w:szCs w:val="24"/>
        </w:rPr>
        <w:t>,</w:t>
      </w:r>
      <w:r w:rsidR="002F2731" w:rsidRPr="00836EB3">
        <w:rPr>
          <w:szCs w:val="24"/>
        </w:rPr>
        <w:t xml:space="preserve"> </w:t>
      </w:r>
      <w:r w:rsidRPr="00836EB3">
        <w:rPr>
          <w:szCs w:val="24"/>
        </w:rPr>
        <w:t>atraviesan la frontera sin que sea efectuado control alguno</w:t>
      </w:r>
      <w:r w:rsidR="002F2731" w:rsidRPr="00836EB3">
        <w:rPr>
          <w:szCs w:val="24"/>
        </w:rPr>
        <w:t>.</w:t>
      </w:r>
      <w:r w:rsidRPr="00836EB3">
        <w:rPr>
          <w:szCs w:val="24"/>
        </w:rPr>
        <w:t xml:space="preserve"> La hipótesis de instalación de un nuevo paso de frontera en este lugar, regula</w:t>
      </w:r>
      <w:r w:rsidR="000E51EF" w:rsidRPr="00836EB3">
        <w:rPr>
          <w:szCs w:val="24"/>
        </w:rPr>
        <w:t>r</w:t>
      </w:r>
      <w:r w:rsidRPr="00836EB3">
        <w:rPr>
          <w:szCs w:val="24"/>
        </w:rPr>
        <w:t xml:space="preserve">izará </w:t>
      </w:r>
      <w:r w:rsidR="00783C46" w:rsidRPr="00836EB3">
        <w:rPr>
          <w:szCs w:val="24"/>
        </w:rPr>
        <w:t>este tránsito de pasajeros; ello de por sí, representa un beneficio cualitativo muy importante para Costa Rica, en la medida de disponer de control sobre el tránsito en esta frontera.</w:t>
      </w:r>
    </w:p>
    <w:p w:rsidR="002F2731" w:rsidRPr="00836EB3" w:rsidRDefault="002F2731" w:rsidP="002F2731">
      <w:pPr>
        <w:pStyle w:val="ListParagraph"/>
        <w:rPr>
          <w:szCs w:val="24"/>
        </w:rPr>
      </w:pPr>
    </w:p>
    <w:p w:rsidR="00291C08" w:rsidRPr="00836EB3" w:rsidRDefault="002F2731" w:rsidP="00291C08">
      <w:pPr>
        <w:numPr>
          <w:ilvl w:val="1"/>
          <w:numId w:val="2"/>
        </w:numPr>
        <w:tabs>
          <w:tab w:val="clear" w:pos="360"/>
          <w:tab w:val="num" w:pos="709"/>
        </w:tabs>
        <w:ind w:left="709" w:hanging="709"/>
        <w:jc w:val="both"/>
        <w:rPr>
          <w:szCs w:val="24"/>
        </w:rPr>
      </w:pPr>
      <w:r w:rsidRPr="00836EB3">
        <w:rPr>
          <w:szCs w:val="24"/>
        </w:rPr>
        <w:t xml:space="preserve">En esa zona, el movimiento de pasajeros formal se realiza por vía fluvial entre las localidades no fronterizas de San Carlos (sobre el Lago de Nicaragua) y Los Chiles en Costa Rica; existen para ello lanchas que cumplen este servicio y se cumple control migratorio en tales localidades. </w:t>
      </w:r>
      <w:r w:rsidR="00BF6201" w:rsidRPr="00836EB3">
        <w:rPr>
          <w:szCs w:val="24"/>
        </w:rPr>
        <w:t xml:space="preserve">Estos servicios movilizan 49.200 </w:t>
      </w:r>
      <w:proofErr w:type="spellStart"/>
      <w:r w:rsidR="00BF6201" w:rsidRPr="00836EB3">
        <w:rPr>
          <w:szCs w:val="24"/>
        </w:rPr>
        <w:t>pas</w:t>
      </w:r>
      <w:proofErr w:type="spellEnd"/>
      <w:r w:rsidR="00BF6201" w:rsidRPr="00836EB3">
        <w:rPr>
          <w:szCs w:val="24"/>
        </w:rPr>
        <w:t xml:space="preserve">/año (2011), los cuales se dividen prácticamente en partes iguales en cada sentido. El Equipo Técnico Consultor estima que este flujo se derivaría en su totalidad por el nuevo paso de Las Tablillas, atendiendo a la fuerte diferencia en </w:t>
      </w:r>
      <w:r w:rsidR="00A05968" w:rsidRPr="00836EB3">
        <w:rPr>
          <w:szCs w:val="24"/>
        </w:rPr>
        <w:t>e</w:t>
      </w:r>
      <w:r w:rsidR="00BF6201" w:rsidRPr="00836EB3">
        <w:rPr>
          <w:szCs w:val="24"/>
        </w:rPr>
        <w:t>l</w:t>
      </w:r>
      <w:r w:rsidR="00A05968" w:rsidRPr="00836EB3">
        <w:rPr>
          <w:szCs w:val="24"/>
        </w:rPr>
        <w:t xml:space="preserve"> tiempo</w:t>
      </w:r>
      <w:r w:rsidR="00BF6201" w:rsidRPr="00836EB3">
        <w:rPr>
          <w:szCs w:val="24"/>
        </w:rPr>
        <w:t xml:space="preserve"> de viaje entre el servicio fluvial actual (aproximadamente </w:t>
      </w:r>
      <w:r w:rsidR="00783C46" w:rsidRPr="00836EB3">
        <w:rPr>
          <w:szCs w:val="24"/>
        </w:rPr>
        <w:t>90 minutos</w:t>
      </w:r>
      <w:r w:rsidR="00BF6201" w:rsidRPr="00836EB3">
        <w:rPr>
          <w:szCs w:val="24"/>
        </w:rPr>
        <w:t xml:space="preserve">) y el </w:t>
      </w:r>
      <w:r w:rsidR="00E37AB2" w:rsidRPr="00836EB3">
        <w:rPr>
          <w:szCs w:val="24"/>
        </w:rPr>
        <w:t>tiempo de viaje por el itinerario</w:t>
      </w:r>
      <w:r w:rsidR="00BF6201" w:rsidRPr="00836EB3">
        <w:rPr>
          <w:szCs w:val="24"/>
        </w:rPr>
        <w:t xml:space="preserve"> </w:t>
      </w:r>
      <w:r w:rsidR="00A05968" w:rsidRPr="00836EB3">
        <w:rPr>
          <w:szCs w:val="24"/>
        </w:rPr>
        <w:t xml:space="preserve">alternativo </w:t>
      </w:r>
      <w:r w:rsidR="00BF6201" w:rsidRPr="00836EB3">
        <w:rPr>
          <w:szCs w:val="24"/>
        </w:rPr>
        <w:t xml:space="preserve">terrestre por </w:t>
      </w:r>
      <w:r w:rsidR="00A05968" w:rsidRPr="00836EB3">
        <w:rPr>
          <w:szCs w:val="24"/>
        </w:rPr>
        <w:t xml:space="preserve">el paso de </w:t>
      </w:r>
      <w:r w:rsidR="00BF6201" w:rsidRPr="00836EB3">
        <w:rPr>
          <w:szCs w:val="24"/>
        </w:rPr>
        <w:t xml:space="preserve">Las Tablillas (aproximadamente </w:t>
      </w:r>
      <w:r w:rsidR="00783C46" w:rsidRPr="00836EB3">
        <w:rPr>
          <w:szCs w:val="24"/>
        </w:rPr>
        <w:t>30 minutos</w:t>
      </w:r>
      <w:r w:rsidR="00BF6201" w:rsidRPr="00836EB3">
        <w:rPr>
          <w:szCs w:val="24"/>
        </w:rPr>
        <w:t>)</w:t>
      </w:r>
      <w:r w:rsidR="00AB266D" w:rsidRPr="00836EB3">
        <w:rPr>
          <w:szCs w:val="24"/>
        </w:rPr>
        <w:t>.</w:t>
      </w:r>
      <w:r w:rsidR="00AB266D" w:rsidRPr="00836EB3">
        <w:rPr>
          <w:rStyle w:val="FootnoteReference"/>
          <w:szCs w:val="24"/>
        </w:rPr>
        <w:footnoteReference w:id="13"/>
      </w:r>
    </w:p>
    <w:p w:rsidR="00783C46" w:rsidRPr="00836EB3" w:rsidRDefault="00783C46" w:rsidP="00783C46">
      <w:pPr>
        <w:pStyle w:val="ListParagraph"/>
        <w:rPr>
          <w:szCs w:val="24"/>
        </w:rPr>
      </w:pPr>
    </w:p>
    <w:p w:rsidR="00291C08" w:rsidRPr="00836EB3" w:rsidRDefault="00783C46" w:rsidP="00291C08">
      <w:pPr>
        <w:numPr>
          <w:ilvl w:val="1"/>
          <w:numId w:val="2"/>
        </w:numPr>
        <w:tabs>
          <w:tab w:val="clear" w:pos="360"/>
          <w:tab w:val="num" w:pos="709"/>
        </w:tabs>
        <w:ind w:left="709" w:hanging="709"/>
        <w:jc w:val="both"/>
        <w:rPr>
          <w:szCs w:val="24"/>
        </w:rPr>
      </w:pPr>
      <w:r w:rsidRPr="00836EB3">
        <w:rPr>
          <w:szCs w:val="24"/>
        </w:rPr>
        <w:t>En los Cuadros II-2.1 y II-2.2 se presentan las proyecciones de</w:t>
      </w:r>
      <w:r w:rsidR="00AB266D" w:rsidRPr="00836EB3">
        <w:rPr>
          <w:szCs w:val="24"/>
        </w:rPr>
        <w:t xml:space="preserve">l TPDA de </w:t>
      </w:r>
      <w:r w:rsidRPr="00836EB3">
        <w:rPr>
          <w:szCs w:val="24"/>
        </w:rPr>
        <w:t xml:space="preserve"> pasajeros y vehículos de pasajeros</w:t>
      </w:r>
      <w:r w:rsidR="00AB266D" w:rsidRPr="00836EB3">
        <w:rPr>
          <w:szCs w:val="24"/>
        </w:rPr>
        <w:t xml:space="preserve"> en</w:t>
      </w:r>
      <w:r w:rsidRPr="00836EB3">
        <w:rPr>
          <w:szCs w:val="24"/>
        </w:rPr>
        <w:t xml:space="preserve"> el paso de Las Tablillas</w:t>
      </w:r>
      <w:r w:rsidR="00F36F93" w:rsidRPr="00836EB3">
        <w:rPr>
          <w:szCs w:val="24"/>
        </w:rPr>
        <w:t xml:space="preserve"> para el período 2017</w:t>
      </w:r>
      <w:r w:rsidR="00AB266D" w:rsidRPr="00836EB3">
        <w:rPr>
          <w:szCs w:val="24"/>
        </w:rPr>
        <w:t>-20</w:t>
      </w:r>
      <w:r w:rsidR="00F36F93" w:rsidRPr="00836EB3">
        <w:rPr>
          <w:szCs w:val="24"/>
        </w:rPr>
        <w:t>47</w:t>
      </w:r>
      <w:r w:rsidR="00AB266D" w:rsidRPr="00836EB3">
        <w:rPr>
          <w:szCs w:val="24"/>
        </w:rPr>
        <w:t xml:space="preserve"> (</w:t>
      </w:r>
      <w:r w:rsidR="00F36F93" w:rsidRPr="00836EB3">
        <w:rPr>
          <w:szCs w:val="24"/>
        </w:rPr>
        <w:t>31</w:t>
      </w:r>
      <w:r w:rsidR="00AB266D" w:rsidRPr="00836EB3">
        <w:rPr>
          <w:szCs w:val="24"/>
        </w:rPr>
        <w:t xml:space="preserve"> años)</w:t>
      </w:r>
      <w:r w:rsidRPr="00836EB3">
        <w:rPr>
          <w:szCs w:val="24"/>
        </w:rPr>
        <w:t>.</w:t>
      </w:r>
    </w:p>
    <w:p w:rsidR="00291C08" w:rsidRPr="00836EB3" w:rsidRDefault="00291C08" w:rsidP="00291C08">
      <w:pPr>
        <w:pStyle w:val="ListParagraph"/>
        <w:rPr>
          <w:szCs w:val="24"/>
        </w:rPr>
      </w:pPr>
    </w:p>
    <w:p w:rsidR="00291C08" w:rsidRPr="00836EB3" w:rsidRDefault="00291C08" w:rsidP="00291C08">
      <w:pPr>
        <w:numPr>
          <w:ilvl w:val="1"/>
          <w:numId w:val="2"/>
        </w:numPr>
        <w:tabs>
          <w:tab w:val="clear" w:pos="360"/>
          <w:tab w:val="num" w:pos="709"/>
        </w:tabs>
        <w:ind w:left="709" w:hanging="709"/>
        <w:jc w:val="both"/>
        <w:rPr>
          <w:szCs w:val="24"/>
        </w:rPr>
      </w:pPr>
      <w:r w:rsidRPr="00836EB3">
        <w:rPr>
          <w:b/>
          <w:szCs w:val="24"/>
        </w:rPr>
        <w:t>Vehículos de Carga.</w:t>
      </w:r>
      <w:r w:rsidRPr="00836EB3">
        <w:rPr>
          <w:szCs w:val="24"/>
        </w:rPr>
        <w:t xml:space="preserve"> En e</w:t>
      </w:r>
      <w:r w:rsidR="00A349F7" w:rsidRPr="00836EB3">
        <w:rPr>
          <w:szCs w:val="24"/>
        </w:rPr>
        <w:t>ste</w:t>
      </w:r>
      <w:r w:rsidRPr="00836EB3">
        <w:rPr>
          <w:szCs w:val="24"/>
        </w:rPr>
        <w:t xml:space="preserve"> paso</w:t>
      </w:r>
      <w:r w:rsidR="00A349F7" w:rsidRPr="00836EB3">
        <w:rPr>
          <w:szCs w:val="24"/>
        </w:rPr>
        <w:t xml:space="preserve"> no habilitado, se verifica un flujo de mercancías de comercio bilateral que la aduana de Costa Rica autoriza especialmente a solicitud de las empresas exportadoras o importadoras (¶</w:t>
      </w:r>
      <w:r w:rsidR="003C721A">
        <w:fldChar w:fldCharType="begin"/>
      </w:r>
      <w:r w:rsidR="003C721A">
        <w:instrText xml:space="preserve"> REF _Ref351896854 \r \h  \* MERGEFORMAT </w:instrText>
      </w:r>
      <w:r w:rsidR="003C721A">
        <w:fldChar w:fldCharType="separate"/>
      </w:r>
      <w:r w:rsidR="00F700A3" w:rsidRPr="00F700A3">
        <w:rPr>
          <w:szCs w:val="24"/>
        </w:rPr>
        <w:t>2.6</w:t>
      </w:r>
      <w:r w:rsidR="003C721A">
        <w:fldChar w:fldCharType="end"/>
      </w:r>
      <w:r w:rsidR="00A349F7" w:rsidRPr="00836EB3">
        <w:rPr>
          <w:szCs w:val="24"/>
        </w:rPr>
        <w:t xml:space="preserve"> y ¶</w:t>
      </w:r>
      <w:r w:rsidR="003C721A">
        <w:fldChar w:fldCharType="begin"/>
      </w:r>
      <w:r w:rsidR="003C721A">
        <w:instrText xml:space="preserve"> REF _Ref351896874 \r \h  \* MERGEFORMAT </w:instrText>
      </w:r>
      <w:r w:rsidR="003C721A">
        <w:fldChar w:fldCharType="separate"/>
      </w:r>
      <w:r w:rsidR="00F700A3" w:rsidRPr="00F700A3">
        <w:rPr>
          <w:szCs w:val="24"/>
        </w:rPr>
        <w:t>2.7</w:t>
      </w:r>
      <w:r w:rsidR="003C721A">
        <w:fldChar w:fldCharType="end"/>
      </w:r>
      <w:r w:rsidR="00A349F7" w:rsidRPr="00836EB3">
        <w:rPr>
          <w:szCs w:val="24"/>
        </w:rPr>
        <w:t>). Es</w:t>
      </w:r>
      <w:r w:rsidR="00821A97" w:rsidRPr="00836EB3">
        <w:rPr>
          <w:szCs w:val="24"/>
        </w:rPr>
        <w:t>te</w:t>
      </w:r>
      <w:r w:rsidR="00A349F7" w:rsidRPr="00836EB3">
        <w:rPr>
          <w:szCs w:val="24"/>
        </w:rPr>
        <w:t xml:space="preserve"> flujo totaliza 60.000 ton/año e involucra un valor del orden de US$ 8,0 millones anuales (2010). Est</w:t>
      </w:r>
      <w:r w:rsidR="00821A97" w:rsidRPr="00836EB3">
        <w:rPr>
          <w:szCs w:val="24"/>
        </w:rPr>
        <w:t xml:space="preserve">a demanda </w:t>
      </w:r>
      <w:r w:rsidR="00A349F7" w:rsidRPr="00836EB3">
        <w:rPr>
          <w:szCs w:val="24"/>
        </w:rPr>
        <w:t>debe ser considerada para el dimensionamiento de las instalaciones y los recursos del nuevo paso, pero no se considera para e</w:t>
      </w:r>
      <w:r w:rsidR="00821A97" w:rsidRPr="00836EB3">
        <w:rPr>
          <w:szCs w:val="24"/>
        </w:rPr>
        <w:t>l a</w:t>
      </w:r>
      <w:r w:rsidR="00A349F7" w:rsidRPr="00836EB3">
        <w:rPr>
          <w:szCs w:val="24"/>
        </w:rPr>
        <w:t xml:space="preserve">nálisis </w:t>
      </w:r>
      <w:r w:rsidR="00821A97" w:rsidRPr="00836EB3">
        <w:rPr>
          <w:szCs w:val="24"/>
        </w:rPr>
        <w:t xml:space="preserve">de viabilidad </w:t>
      </w:r>
      <w:r w:rsidR="00A349F7" w:rsidRPr="00836EB3">
        <w:rPr>
          <w:szCs w:val="24"/>
        </w:rPr>
        <w:t>económic</w:t>
      </w:r>
      <w:r w:rsidR="00821A97" w:rsidRPr="00836EB3">
        <w:rPr>
          <w:szCs w:val="24"/>
        </w:rPr>
        <w:t xml:space="preserve">a de la instalación del nuevo paso </w:t>
      </w:r>
      <w:r w:rsidR="00A349F7" w:rsidRPr="00836EB3">
        <w:rPr>
          <w:szCs w:val="24"/>
        </w:rPr>
        <w:t xml:space="preserve">pues no se espera que la habilitación formal del </w:t>
      </w:r>
      <w:r w:rsidR="00821A97" w:rsidRPr="00836EB3">
        <w:rPr>
          <w:szCs w:val="24"/>
        </w:rPr>
        <w:t>mismo</w:t>
      </w:r>
      <w:r w:rsidR="00A349F7" w:rsidRPr="00836EB3">
        <w:rPr>
          <w:szCs w:val="24"/>
        </w:rPr>
        <w:t xml:space="preserve"> m</w:t>
      </w:r>
      <w:r w:rsidR="00821A97" w:rsidRPr="00836EB3">
        <w:rPr>
          <w:szCs w:val="24"/>
        </w:rPr>
        <w:t>ejore</w:t>
      </w:r>
      <w:r w:rsidR="00A349F7" w:rsidRPr="00836EB3">
        <w:rPr>
          <w:szCs w:val="24"/>
        </w:rPr>
        <w:t xml:space="preserve"> los tiempos de estancia necesarios para la realización de los controles.</w:t>
      </w:r>
    </w:p>
    <w:p w:rsidR="00A349F7" w:rsidRPr="00836EB3" w:rsidRDefault="00A349F7" w:rsidP="00A349F7">
      <w:pPr>
        <w:pStyle w:val="ListParagraph"/>
        <w:rPr>
          <w:szCs w:val="24"/>
        </w:rPr>
      </w:pPr>
    </w:p>
    <w:p w:rsidR="00A349F7" w:rsidRPr="00836EB3" w:rsidRDefault="00A349F7" w:rsidP="00291C08">
      <w:pPr>
        <w:numPr>
          <w:ilvl w:val="1"/>
          <w:numId w:val="2"/>
        </w:numPr>
        <w:tabs>
          <w:tab w:val="clear" w:pos="360"/>
          <w:tab w:val="num" w:pos="709"/>
        </w:tabs>
        <w:ind w:left="709" w:hanging="709"/>
        <w:jc w:val="both"/>
        <w:rPr>
          <w:szCs w:val="24"/>
        </w:rPr>
      </w:pPr>
      <w:r w:rsidRPr="00836EB3">
        <w:rPr>
          <w:szCs w:val="24"/>
        </w:rPr>
        <w:t xml:space="preserve">El tránsito de vehículos de carga de interés para el análisis económico </w:t>
      </w:r>
      <w:r w:rsidR="00D82E70" w:rsidRPr="00836EB3">
        <w:rPr>
          <w:szCs w:val="24"/>
        </w:rPr>
        <w:t xml:space="preserve">del nuevo paso </w:t>
      </w:r>
      <w:r w:rsidRPr="00836EB3">
        <w:rPr>
          <w:szCs w:val="24"/>
        </w:rPr>
        <w:t xml:space="preserve">es el flujo de comercio de </w:t>
      </w:r>
      <w:r w:rsidR="00D82E70" w:rsidRPr="00836EB3">
        <w:rPr>
          <w:szCs w:val="24"/>
        </w:rPr>
        <w:t>exportación originado en el Departamento de Chontales que actualmente utiliza el paso de Peñas Blancas, según fue previamente analizado (¶</w:t>
      </w:r>
      <w:r w:rsidR="003C721A">
        <w:fldChar w:fldCharType="begin"/>
      </w:r>
      <w:r w:rsidR="003C721A">
        <w:instrText xml:space="preserve"> REF _Ref351897407 \r \h  \* MERGEFORMAT </w:instrText>
      </w:r>
      <w:r w:rsidR="003C721A">
        <w:fldChar w:fldCharType="separate"/>
      </w:r>
      <w:r w:rsidR="00F700A3" w:rsidRPr="00F700A3">
        <w:rPr>
          <w:szCs w:val="24"/>
        </w:rPr>
        <w:t>2.15</w:t>
      </w:r>
      <w:r w:rsidR="003C721A">
        <w:fldChar w:fldCharType="end"/>
      </w:r>
      <w:r w:rsidR="00D82E70" w:rsidRPr="00836EB3">
        <w:rPr>
          <w:szCs w:val="24"/>
        </w:rPr>
        <w:t xml:space="preserve"> y ¶</w:t>
      </w:r>
      <w:r w:rsidR="003C721A">
        <w:fldChar w:fldCharType="begin"/>
      </w:r>
      <w:r w:rsidR="003C721A">
        <w:instrText xml:space="preserve"> REF _Ref351897426 \r \h  \* MERGEFORMAT </w:instrText>
      </w:r>
      <w:r w:rsidR="003C721A">
        <w:fldChar w:fldCharType="separate"/>
      </w:r>
      <w:r w:rsidR="00F700A3" w:rsidRPr="00F700A3">
        <w:rPr>
          <w:szCs w:val="24"/>
        </w:rPr>
        <w:t>2.16</w:t>
      </w:r>
      <w:r w:rsidR="003C721A">
        <w:fldChar w:fldCharType="end"/>
      </w:r>
      <w:r w:rsidR="00D82E70" w:rsidRPr="00836EB3">
        <w:rPr>
          <w:szCs w:val="24"/>
        </w:rPr>
        <w:t xml:space="preserve">). El volumen de vehículos de carga que se derivarían al nuevo paso Las Tablillas actualmente </w:t>
      </w:r>
      <w:r w:rsidR="00312B26" w:rsidRPr="00836EB3">
        <w:rPr>
          <w:szCs w:val="24"/>
        </w:rPr>
        <w:t>se encuentra en</w:t>
      </w:r>
      <w:r w:rsidR="00D82E70" w:rsidRPr="00836EB3">
        <w:rPr>
          <w:szCs w:val="24"/>
        </w:rPr>
        <w:t xml:space="preserve"> </w:t>
      </w:r>
      <w:r w:rsidR="00AB266D" w:rsidRPr="00836EB3">
        <w:rPr>
          <w:szCs w:val="24"/>
        </w:rPr>
        <w:t xml:space="preserve">el orden de </w:t>
      </w:r>
      <w:r w:rsidR="00D82E70" w:rsidRPr="00836EB3">
        <w:rPr>
          <w:szCs w:val="24"/>
        </w:rPr>
        <w:t xml:space="preserve">14.000 </w:t>
      </w:r>
      <w:proofErr w:type="spellStart"/>
      <w:r w:rsidR="00D82E70" w:rsidRPr="00836EB3">
        <w:rPr>
          <w:szCs w:val="24"/>
        </w:rPr>
        <w:t>veh</w:t>
      </w:r>
      <w:proofErr w:type="spellEnd"/>
      <w:r w:rsidR="00D82E70" w:rsidRPr="00836EB3">
        <w:rPr>
          <w:szCs w:val="24"/>
        </w:rPr>
        <w:t xml:space="preserve">/año (82% vehículos cargados </w:t>
      </w:r>
      <w:r w:rsidR="00AB266D" w:rsidRPr="00836EB3">
        <w:rPr>
          <w:szCs w:val="24"/>
        </w:rPr>
        <w:t xml:space="preserve">en sentido Nicaragua a Costa Rica </w:t>
      </w:r>
      <w:r w:rsidR="00D82E70" w:rsidRPr="00836EB3">
        <w:rPr>
          <w:szCs w:val="24"/>
        </w:rPr>
        <w:t>y 18% vehículos vacíos</w:t>
      </w:r>
      <w:r w:rsidR="00AB266D" w:rsidRPr="00836EB3">
        <w:rPr>
          <w:szCs w:val="24"/>
        </w:rPr>
        <w:t xml:space="preserve"> en sentido contrario</w:t>
      </w:r>
      <w:r w:rsidR="00D82E70" w:rsidRPr="00836EB3">
        <w:rPr>
          <w:szCs w:val="24"/>
        </w:rPr>
        <w:t>).</w:t>
      </w:r>
    </w:p>
    <w:p w:rsidR="006422DC" w:rsidRPr="00836EB3" w:rsidRDefault="006422DC" w:rsidP="006422DC">
      <w:pPr>
        <w:pStyle w:val="ListParagraph"/>
        <w:rPr>
          <w:szCs w:val="24"/>
        </w:rPr>
      </w:pPr>
    </w:p>
    <w:p w:rsidR="00AB266D" w:rsidRPr="00836EB3" w:rsidRDefault="006422DC" w:rsidP="00AB266D">
      <w:pPr>
        <w:numPr>
          <w:ilvl w:val="1"/>
          <w:numId w:val="2"/>
        </w:numPr>
        <w:tabs>
          <w:tab w:val="clear" w:pos="360"/>
          <w:tab w:val="num" w:pos="709"/>
        </w:tabs>
        <w:ind w:left="709" w:hanging="709"/>
        <w:jc w:val="both"/>
        <w:rPr>
          <w:szCs w:val="24"/>
        </w:rPr>
      </w:pPr>
      <w:r w:rsidRPr="00836EB3">
        <w:rPr>
          <w:szCs w:val="24"/>
        </w:rPr>
        <w:t>La demanda de vehículos de carga para Las Tablillas es pasible de ser incrementada con tránsito generado. Esto es así</w:t>
      </w:r>
      <w:r w:rsidR="001A0525" w:rsidRPr="00836EB3">
        <w:rPr>
          <w:szCs w:val="24"/>
        </w:rPr>
        <w:t>,</w:t>
      </w:r>
      <w:r w:rsidRPr="00836EB3">
        <w:rPr>
          <w:szCs w:val="24"/>
        </w:rPr>
        <w:t xml:space="preserve"> porque una fuerte disminución de los costos de transporte y tiempo será un estímulo para </w:t>
      </w:r>
      <w:r w:rsidR="001A0525" w:rsidRPr="00836EB3">
        <w:rPr>
          <w:szCs w:val="24"/>
        </w:rPr>
        <w:t>el incremento de la producción exportable en Nicaragua, tanto en el Departamento de Chontales como, más aún, en el Departamento de San Juan</w:t>
      </w:r>
      <w:r w:rsidR="00C028E5" w:rsidRPr="00836EB3">
        <w:rPr>
          <w:szCs w:val="24"/>
        </w:rPr>
        <w:t xml:space="preserve"> que dispone de alta capacidad productiva y cuenta con menores distancias para alcanzar el paso de Las Tablillas. Se debe tener presente que, en el proyecto de reconstrucción y pavimentación de la carretera “</w:t>
      </w:r>
      <w:proofErr w:type="spellStart"/>
      <w:r w:rsidR="00C028E5" w:rsidRPr="00836EB3">
        <w:rPr>
          <w:szCs w:val="24"/>
        </w:rPr>
        <w:t>Acoyapa</w:t>
      </w:r>
      <w:proofErr w:type="spellEnd"/>
      <w:r w:rsidR="00C028E5" w:rsidRPr="00836EB3">
        <w:rPr>
          <w:szCs w:val="24"/>
        </w:rPr>
        <w:t xml:space="preserve"> - San Carlos - Frontera de Costa Rica” (</w:t>
      </w:r>
      <w:r w:rsidR="00C028E5" w:rsidRPr="00836EB3">
        <w:t>NI-L1006</w:t>
      </w:r>
      <w:r w:rsidR="00C028E5" w:rsidRPr="00836EB3">
        <w:rPr>
          <w:szCs w:val="24"/>
        </w:rPr>
        <w:t>)</w:t>
      </w:r>
      <w:r w:rsidR="00C028E5" w:rsidRPr="00836EB3">
        <w:rPr>
          <w:rStyle w:val="FootnoteReference"/>
          <w:szCs w:val="24"/>
        </w:rPr>
        <w:footnoteReference w:id="14"/>
      </w:r>
      <w:r w:rsidR="00C028E5" w:rsidRPr="00836EB3">
        <w:rPr>
          <w:szCs w:val="24"/>
        </w:rPr>
        <w:t>, se previó que ésta produciría un incremento de valor de la producción en el área de influencia de esta carretera como parte de los beneficios, pero no consideró en la oportunidad la posibilidad de habilitación del paso Las Tablillas, pues ello dependía de la voluntad del país vecino; esta nueva situación potencia los beneficios de la nueva carretera que correspondería adjudicar al proyecto de este nuevo paso.</w:t>
      </w:r>
    </w:p>
    <w:p w:rsidR="00C028E5" w:rsidRPr="00836EB3" w:rsidRDefault="00C028E5" w:rsidP="00C028E5">
      <w:pPr>
        <w:pStyle w:val="ListParagraph"/>
        <w:rPr>
          <w:szCs w:val="24"/>
        </w:rPr>
      </w:pPr>
    </w:p>
    <w:p w:rsidR="00AB266D" w:rsidRPr="00836EB3" w:rsidRDefault="00AB266D" w:rsidP="00AB266D">
      <w:pPr>
        <w:numPr>
          <w:ilvl w:val="1"/>
          <w:numId w:val="2"/>
        </w:numPr>
        <w:tabs>
          <w:tab w:val="clear" w:pos="360"/>
          <w:tab w:val="num" w:pos="709"/>
        </w:tabs>
        <w:ind w:left="709" w:hanging="709"/>
        <w:jc w:val="both"/>
        <w:rPr>
          <w:szCs w:val="24"/>
        </w:rPr>
      </w:pPr>
      <w:r w:rsidRPr="00836EB3">
        <w:rPr>
          <w:szCs w:val="24"/>
        </w:rPr>
        <w:t>En el  Cuadro II-2.3 se presenta la proyección del TPDA de los vehículos de carga para el período 201</w:t>
      </w:r>
      <w:r w:rsidR="00F36F93" w:rsidRPr="00836EB3">
        <w:rPr>
          <w:szCs w:val="24"/>
        </w:rPr>
        <w:t>7</w:t>
      </w:r>
      <w:r w:rsidRPr="00836EB3">
        <w:rPr>
          <w:szCs w:val="24"/>
        </w:rPr>
        <w:t>-20</w:t>
      </w:r>
      <w:r w:rsidR="00F36F93" w:rsidRPr="00836EB3">
        <w:rPr>
          <w:szCs w:val="24"/>
        </w:rPr>
        <w:t>47 (31</w:t>
      </w:r>
      <w:r w:rsidRPr="00836EB3">
        <w:rPr>
          <w:szCs w:val="24"/>
        </w:rPr>
        <w:t xml:space="preserve"> años), discriminando sentido y tipo de despacho aduanero.</w:t>
      </w:r>
    </w:p>
    <w:p w:rsidR="006422DC" w:rsidRPr="00836EB3" w:rsidRDefault="006422DC" w:rsidP="006422DC">
      <w:pPr>
        <w:pStyle w:val="ListParagraph"/>
        <w:rPr>
          <w:szCs w:val="24"/>
        </w:rPr>
      </w:pPr>
    </w:p>
    <w:p w:rsidR="006422DC" w:rsidRPr="00836EB3" w:rsidRDefault="006422DC" w:rsidP="006422DC">
      <w:pPr>
        <w:pStyle w:val="ListParagraph"/>
        <w:rPr>
          <w:szCs w:val="24"/>
        </w:rPr>
      </w:pPr>
    </w:p>
    <w:p w:rsidR="006422DC" w:rsidRPr="00836EB3" w:rsidRDefault="006422DC" w:rsidP="006422DC">
      <w:pPr>
        <w:jc w:val="both"/>
        <w:rPr>
          <w:szCs w:val="24"/>
        </w:rPr>
      </w:pPr>
    </w:p>
    <w:p w:rsidR="00AB266D" w:rsidRPr="00836EB3" w:rsidRDefault="00AB266D" w:rsidP="0021591B">
      <w:pPr>
        <w:numPr>
          <w:ilvl w:val="1"/>
          <w:numId w:val="2"/>
        </w:numPr>
        <w:tabs>
          <w:tab w:val="clear" w:pos="360"/>
          <w:tab w:val="num" w:pos="709"/>
        </w:tabs>
        <w:ind w:left="709" w:hanging="709"/>
        <w:jc w:val="both"/>
        <w:rPr>
          <w:szCs w:val="24"/>
        </w:rPr>
        <w:sectPr w:rsidR="00AB266D" w:rsidRPr="00836EB3" w:rsidSect="003D64AD">
          <w:pgSz w:w="12242" w:h="15842" w:code="1"/>
          <w:pgMar w:top="1440" w:right="1298" w:bottom="1440" w:left="1797" w:header="731" w:footer="1134" w:gutter="0"/>
          <w:cols w:space="720"/>
        </w:sectPr>
      </w:pPr>
    </w:p>
    <w:p w:rsidR="00746EF8" w:rsidRPr="00836EB3" w:rsidRDefault="00746EF8" w:rsidP="00746EF8">
      <w:pPr>
        <w:jc w:val="center"/>
        <w:rPr>
          <w:b/>
          <w:sz w:val="22"/>
          <w:szCs w:val="22"/>
        </w:rPr>
      </w:pPr>
      <w:r w:rsidRPr="00836EB3">
        <w:rPr>
          <w:b/>
          <w:sz w:val="22"/>
          <w:szCs w:val="22"/>
        </w:rPr>
        <w:t>Cuadro II-2.1</w:t>
      </w:r>
    </w:p>
    <w:p w:rsidR="00746EF8" w:rsidRPr="00836EB3" w:rsidRDefault="00746EF8" w:rsidP="00746EF8">
      <w:pPr>
        <w:jc w:val="center"/>
        <w:rPr>
          <w:b/>
          <w:bCs/>
          <w:sz w:val="20"/>
          <w:lang w:val="es-ES" w:eastAsia="es-ES"/>
        </w:rPr>
      </w:pPr>
      <w:r w:rsidRPr="00836EB3">
        <w:rPr>
          <w:b/>
          <w:bCs/>
          <w:sz w:val="20"/>
          <w:lang w:val="es-ES" w:eastAsia="es-ES"/>
        </w:rPr>
        <w:t xml:space="preserve">PASO LAS TABLILLAS </w:t>
      </w:r>
    </w:p>
    <w:p w:rsidR="00746EF8" w:rsidRPr="00836EB3" w:rsidRDefault="00746EF8" w:rsidP="00746EF8">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00F36F93" w:rsidRPr="00836EB3">
        <w:rPr>
          <w:b/>
          <w:bCs/>
          <w:sz w:val="20"/>
          <w:lang w:val="es-ES" w:eastAsia="es-ES"/>
        </w:rPr>
        <w:t xml:space="preserve"> de Pasajeros (</w:t>
      </w:r>
      <w:proofErr w:type="spellStart"/>
      <w:r w:rsidR="00F36F93" w:rsidRPr="00836EB3">
        <w:rPr>
          <w:b/>
          <w:bCs/>
          <w:sz w:val="20"/>
          <w:lang w:val="es-ES" w:eastAsia="es-ES"/>
        </w:rPr>
        <w:t>pas</w:t>
      </w:r>
      <w:proofErr w:type="spellEnd"/>
      <w:r w:rsidR="00F36F93" w:rsidRPr="00836EB3">
        <w:rPr>
          <w:b/>
          <w:bCs/>
          <w:sz w:val="20"/>
          <w:lang w:val="es-ES" w:eastAsia="es-ES"/>
        </w:rPr>
        <w:t>/día). 2017</w:t>
      </w:r>
      <w:r w:rsidRPr="00836EB3">
        <w:rPr>
          <w:b/>
          <w:bCs/>
          <w:sz w:val="20"/>
          <w:lang w:val="es-ES" w:eastAsia="es-ES"/>
        </w:rPr>
        <w:t>-20</w:t>
      </w:r>
      <w:r w:rsidR="00F36F93" w:rsidRPr="00836EB3">
        <w:rPr>
          <w:b/>
          <w:bCs/>
          <w:sz w:val="20"/>
          <w:lang w:val="es-ES" w:eastAsia="es-ES"/>
        </w:rPr>
        <w:t>47</w:t>
      </w:r>
    </w:p>
    <w:p w:rsidR="00F36F93" w:rsidRPr="00836EB3" w:rsidRDefault="00F36F93" w:rsidP="00746EF8">
      <w:pPr>
        <w:jc w:val="center"/>
        <w:rPr>
          <w:sz w:val="20"/>
        </w:rPr>
      </w:pPr>
    </w:p>
    <w:p w:rsidR="0021591B" w:rsidRPr="00836EB3" w:rsidRDefault="00F36F93" w:rsidP="00746EF8">
      <w:pPr>
        <w:pStyle w:val="ListParagraph"/>
        <w:ind w:left="0"/>
        <w:jc w:val="center"/>
        <w:rPr>
          <w:szCs w:val="24"/>
        </w:rPr>
      </w:pPr>
      <w:r w:rsidRPr="00836EB3">
        <w:rPr>
          <w:noProof/>
          <w:szCs w:val="24"/>
          <w:lang w:val="en-US"/>
        </w:rPr>
        <w:drawing>
          <wp:inline distT="0" distB="0" distL="0" distR="0">
            <wp:extent cx="6795072" cy="5327373"/>
            <wp:effectExtent l="19050" t="0" r="5778" b="0"/>
            <wp:docPr id="3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6791369" cy="5324470"/>
                    </a:xfrm>
                    <a:prstGeom prst="rect">
                      <a:avLst/>
                    </a:prstGeom>
                    <a:noFill/>
                    <a:ln w="9525">
                      <a:noFill/>
                      <a:miter lim="800000"/>
                      <a:headEnd/>
                      <a:tailEnd/>
                    </a:ln>
                  </pic:spPr>
                </pic:pic>
              </a:graphicData>
            </a:graphic>
          </wp:inline>
        </w:drawing>
      </w:r>
    </w:p>
    <w:p w:rsidR="00746EF8" w:rsidRPr="00836EB3" w:rsidRDefault="00746EF8">
      <w:pPr>
        <w:rPr>
          <w:szCs w:val="24"/>
        </w:rPr>
      </w:pPr>
      <w:r w:rsidRPr="00836EB3">
        <w:rPr>
          <w:szCs w:val="24"/>
        </w:rPr>
        <w:br w:type="page"/>
      </w:r>
    </w:p>
    <w:p w:rsidR="00746EF8" w:rsidRPr="00836EB3" w:rsidRDefault="00746EF8" w:rsidP="00746EF8">
      <w:pPr>
        <w:jc w:val="center"/>
        <w:rPr>
          <w:b/>
          <w:sz w:val="22"/>
          <w:szCs w:val="22"/>
        </w:rPr>
      </w:pPr>
      <w:r w:rsidRPr="00836EB3">
        <w:rPr>
          <w:b/>
          <w:sz w:val="22"/>
          <w:szCs w:val="22"/>
        </w:rPr>
        <w:t>Cuadro II-2.2</w:t>
      </w:r>
    </w:p>
    <w:p w:rsidR="00746EF8" w:rsidRPr="00836EB3" w:rsidRDefault="00746EF8" w:rsidP="00746EF8">
      <w:pPr>
        <w:jc w:val="center"/>
        <w:rPr>
          <w:b/>
          <w:bCs/>
          <w:sz w:val="20"/>
          <w:lang w:val="es-ES" w:eastAsia="es-ES"/>
        </w:rPr>
      </w:pPr>
      <w:r w:rsidRPr="00836EB3">
        <w:rPr>
          <w:b/>
          <w:bCs/>
          <w:sz w:val="20"/>
          <w:lang w:val="es-ES" w:eastAsia="es-ES"/>
        </w:rPr>
        <w:t xml:space="preserve">PASO LAS TABLILLAS </w:t>
      </w:r>
    </w:p>
    <w:p w:rsidR="00746EF8" w:rsidRPr="00836EB3" w:rsidRDefault="00746EF8" w:rsidP="00746EF8">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Vehícu</w:t>
      </w:r>
      <w:r w:rsidR="00F36F93" w:rsidRPr="00836EB3">
        <w:rPr>
          <w:b/>
          <w:bCs/>
          <w:sz w:val="20"/>
          <w:lang w:val="es-ES" w:eastAsia="es-ES"/>
        </w:rPr>
        <w:t>los de Pasajeros (</w:t>
      </w:r>
      <w:proofErr w:type="spellStart"/>
      <w:r w:rsidR="00F36F93" w:rsidRPr="00836EB3">
        <w:rPr>
          <w:b/>
          <w:bCs/>
          <w:sz w:val="20"/>
          <w:lang w:val="es-ES" w:eastAsia="es-ES"/>
        </w:rPr>
        <w:t>veh</w:t>
      </w:r>
      <w:proofErr w:type="spellEnd"/>
      <w:r w:rsidR="00F36F93" w:rsidRPr="00836EB3">
        <w:rPr>
          <w:b/>
          <w:bCs/>
          <w:sz w:val="20"/>
          <w:lang w:val="es-ES" w:eastAsia="es-ES"/>
        </w:rPr>
        <w:t>/día). 2017</w:t>
      </w:r>
      <w:r w:rsidRPr="00836EB3">
        <w:rPr>
          <w:b/>
          <w:bCs/>
          <w:sz w:val="20"/>
          <w:lang w:val="es-ES" w:eastAsia="es-ES"/>
        </w:rPr>
        <w:t>-20</w:t>
      </w:r>
      <w:r w:rsidR="00F36F93" w:rsidRPr="00836EB3">
        <w:rPr>
          <w:b/>
          <w:bCs/>
          <w:sz w:val="20"/>
          <w:lang w:val="es-ES" w:eastAsia="es-ES"/>
        </w:rPr>
        <w:t>47</w:t>
      </w:r>
    </w:p>
    <w:p w:rsidR="009E529C" w:rsidRPr="00836EB3" w:rsidRDefault="009E529C" w:rsidP="00746EF8">
      <w:pPr>
        <w:jc w:val="center"/>
        <w:rPr>
          <w:b/>
          <w:bCs/>
          <w:sz w:val="20"/>
          <w:lang w:val="es-ES" w:eastAsia="es-ES"/>
        </w:rPr>
      </w:pPr>
    </w:p>
    <w:p w:rsidR="00746EF8" w:rsidRPr="00836EB3" w:rsidRDefault="009E529C" w:rsidP="00746EF8">
      <w:pPr>
        <w:jc w:val="center"/>
        <w:rPr>
          <w:b/>
          <w:bCs/>
          <w:sz w:val="20"/>
          <w:lang w:val="es-ES" w:eastAsia="es-ES"/>
        </w:rPr>
      </w:pPr>
      <w:r w:rsidRPr="00836EB3">
        <w:rPr>
          <w:noProof/>
          <w:lang w:val="en-US"/>
        </w:rPr>
        <w:drawing>
          <wp:inline distT="0" distB="0" distL="0" distR="0">
            <wp:extent cx="5310418" cy="5279666"/>
            <wp:effectExtent l="19050" t="0" r="4532" b="0"/>
            <wp:docPr id="4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309834" cy="5279086"/>
                    </a:xfrm>
                    <a:prstGeom prst="rect">
                      <a:avLst/>
                    </a:prstGeom>
                    <a:noFill/>
                    <a:ln w="9525">
                      <a:noFill/>
                      <a:miter lim="800000"/>
                      <a:headEnd/>
                      <a:tailEnd/>
                    </a:ln>
                  </pic:spPr>
                </pic:pic>
              </a:graphicData>
            </a:graphic>
          </wp:inline>
        </w:drawing>
      </w:r>
    </w:p>
    <w:p w:rsidR="00210778" w:rsidRPr="00836EB3" w:rsidRDefault="00210778">
      <w:pPr>
        <w:rPr>
          <w:szCs w:val="24"/>
        </w:rPr>
      </w:pPr>
      <w:r w:rsidRPr="00836EB3">
        <w:rPr>
          <w:szCs w:val="24"/>
        </w:rPr>
        <w:br w:type="page"/>
      </w:r>
    </w:p>
    <w:p w:rsidR="00210778" w:rsidRPr="00836EB3" w:rsidRDefault="00210778" w:rsidP="00210778">
      <w:pPr>
        <w:jc w:val="center"/>
        <w:rPr>
          <w:b/>
          <w:sz w:val="22"/>
          <w:szCs w:val="22"/>
        </w:rPr>
      </w:pPr>
      <w:r w:rsidRPr="00836EB3">
        <w:rPr>
          <w:b/>
          <w:sz w:val="22"/>
          <w:szCs w:val="22"/>
        </w:rPr>
        <w:t>Cuadro II-2.3</w:t>
      </w:r>
    </w:p>
    <w:p w:rsidR="00210778" w:rsidRPr="00836EB3" w:rsidRDefault="00210778" w:rsidP="00210778">
      <w:pPr>
        <w:jc w:val="center"/>
        <w:rPr>
          <w:b/>
          <w:bCs/>
          <w:sz w:val="20"/>
          <w:lang w:val="es-ES" w:eastAsia="es-ES"/>
        </w:rPr>
      </w:pPr>
      <w:r w:rsidRPr="00836EB3">
        <w:rPr>
          <w:b/>
          <w:bCs/>
          <w:sz w:val="20"/>
          <w:lang w:val="es-ES" w:eastAsia="es-ES"/>
        </w:rPr>
        <w:t xml:space="preserve">PASO LAS TABLILLAS </w:t>
      </w:r>
    </w:p>
    <w:p w:rsidR="00210778" w:rsidRPr="00836EB3" w:rsidRDefault="00210778" w:rsidP="00210778">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Vehículos de Carga </w:t>
      </w:r>
      <w:r w:rsidR="007E6004" w:rsidRPr="00836EB3">
        <w:rPr>
          <w:b/>
          <w:bCs/>
          <w:sz w:val="20"/>
          <w:lang w:val="es-ES" w:eastAsia="es-ES"/>
        </w:rPr>
        <w:t>en Tránsito</w:t>
      </w:r>
      <w:r w:rsidR="007E6004" w:rsidRPr="00836EB3">
        <w:rPr>
          <w:b/>
          <w:bCs/>
          <w:sz w:val="20"/>
          <w:vertAlign w:val="superscript"/>
          <w:lang w:val="es-ES" w:eastAsia="es-ES"/>
        </w:rPr>
        <w:t>(2)</w:t>
      </w:r>
      <w:r w:rsidR="007E6004" w:rsidRPr="00836EB3">
        <w:rPr>
          <w:b/>
          <w:bCs/>
          <w:sz w:val="20"/>
          <w:lang w:val="es-ES" w:eastAsia="es-ES"/>
        </w:rPr>
        <w:t xml:space="preserve"> </w:t>
      </w:r>
      <w:r w:rsidRPr="00836EB3">
        <w:rPr>
          <w:b/>
          <w:bCs/>
          <w:sz w:val="20"/>
          <w:lang w:val="es-ES" w:eastAsia="es-ES"/>
        </w:rPr>
        <w:t>(</w:t>
      </w:r>
      <w:proofErr w:type="spellStart"/>
      <w:r w:rsidRPr="00836EB3">
        <w:rPr>
          <w:b/>
          <w:bCs/>
          <w:sz w:val="20"/>
          <w:lang w:val="es-ES" w:eastAsia="es-ES"/>
        </w:rPr>
        <w:t>veh</w:t>
      </w:r>
      <w:proofErr w:type="spellEnd"/>
      <w:r w:rsidRPr="00836EB3">
        <w:rPr>
          <w:b/>
          <w:bCs/>
          <w:sz w:val="20"/>
          <w:lang w:val="es-ES" w:eastAsia="es-ES"/>
        </w:rPr>
        <w:t>/día). 201</w:t>
      </w:r>
      <w:r w:rsidR="009E529C" w:rsidRPr="00836EB3">
        <w:rPr>
          <w:b/>
          <w:bCs/>
          <w:sz w:val="20"/>
          <w:lang w:val="es-ES" w:eastAsia="es-ES"/>
        </w:rPr>
        <w:t>7</w:t>
      </w:r>
      <w:r w:rsidRPr="00836EB3">
        <w:rPr>
          <w:b/>
          <w:bCs/>
          <w:sz w:val="20"/>
          <w:lang w:val="es-ES" w:eastAsia="es-ES"/>
        </w:rPr>
        <w:t>-20</w:t>
      </w:r>
      <w:r w:rsidR="009E529C" w:rsidRPr="00836EB3">
        <w:rPr>
          <w:b/>
          <w:bCs/>
          <w:sz w:val="20"/>
          <w:lang w:val="es-ES" w:eastAsia="es-ES"/>
        </w:rPr>
        <w:t>47</w:t>
      </w:r>
    </w:p>
    <w:p w:rsidR="00964E5B" w:rsidRPr="00836EB3" w:rsidRDefault="00964E5B" w:rsidP="00210778">
      <w:pPr>
        <w:jc w:val="center"/>
        <w:rPr>
          <w:sz w:val="20"/>
        </w:rPr>
      </w:pPr>
    </w:p>
    <w:p w:rsidR="00746EF8" w:rsidRPr="00836EB3" w:rsidRDefault="00964E5B" w:rsidP="00210778">
      <w:pPr>
        <w:pStyle w:val="ListParagraph"/>
        <w:ind w:left="0"/>
        <w:jc w:val="center"/>
        <w:rPr>
          <w:szCs w:val="24"/>
        </w:rPr>
      </w:pPr>
      <w:r w:rsidRPr="00836EB3">
        <w:rPr>
          <w:noProof/>
          <w:szCs w:val="24"/>
          <w:lang w:val="en-US"/>
        </w:rPr>
        <w:drawing>
          <wp:inline distT="0" distB="0" distL="0" distR="0">
            <wp:extent cx="4719927" cy="5182321"/>
            <wp:effectExtent l="19050" t="0" r="4473" b="0"/>
            <wp:docPr id="4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727658" cy="5190809"/>
                    </a:xfrm>
                    <a:prstGeom prst="rect">
                      <a:avLst/>
                    </a:prstGeom>
                    <a:noFill/>
                    <a:ln w="9525">
                      <a:noFill/>
                      <a:miter lim="800000"/>
                      <a:headEnd/>
                      <a:tailEnd/>
                    </a:ln>
                  </pic:spPr>
                </pic:pic>
              </a:graphicData>
            </a:graphic>
          </wp:inline>
        </w:drawing>
      </w:r>
    </w:p>
    <w:p w:rsidR="00746EF8" w:rsidRPr="00836EB3" w:rsidRDefault="00746EF8">
      <w:pPr>
        <w:rPr>
          <w:szCs w:val="24"/>
        </w:rPr>
      </w:pPr>
    </w:p>
    <w:p w:rsidR="00746EF8" w:rsidRPr="00836EB3" w:rsidRDefault="00746EF8">
      <w:pPr>
        <w:rPr>
          <w:szCs w:val="24"/>
        </w:rPr>
        <w:sectPr w:rsidR="00746EF8" w:rsidRPr="00836EB3" w:rsidSect="00F36F93">
          <w:pgSz w:w="15842" w:h="12242" w:orient="landscape" w:code="1"/>
          <w:pgMar w:top="1418" w:right="1701" w:bottom="1134" w:left="1701" w:header="731" w:footer="1134" w:gutter="0"/>
          <w:cols w:space="720"/>
          <w:docGrid w:linePitch="326"/>
        </w:sectPr>
      </w:pPr>
    </w:p>
    <w:p w:rsidR="0021591B" w:rsidRPr="00836EB3" w:rsidRDefault="0021591B">
      <w:pPr>
        <w:rPr>
          <w:szCs w:val="24"/>
        </w:rPr>
      </w:pPr>
    </w:p>
    <w:p w:rsidR="0021591B" w:rsidRPr="00836EB3" w:rsidRDefault="0021591B" w:rsidP="0021591B">
      <w:pPr>
        <w:numPr>
          <w:ilvl w:val="1"/>
          <w:numId w:val="2"/>
        </w:numPr>
        <w:tabs>
          <w:tab w:val="clear" w:pos="360"/>
          <w:tab w:val="num" w:pos="709"/>
        </w:tabs>
        <w:ind w:left="709" w:hanging="709"/>
        <w:jc w:val="both"/>
        <w:rPr>
          <w:szCs w:val="24"/>
        </w:rPr>
      </w:pPr>
      <w:r w:rsidRPr="00836EB3">
        <w:rPr>
          <w:b/>
          <w:szCs w:val="24"/>
          <w:lang w:val="es-ES_tradnl"/>
        </w:rPr>
        <w:t>Paso Canoas.</w:t>
      </w:r>
      <w:r w:rsidRPr="00836EB3">
        <w:rPr>
          <w:szCs w:val="24"/>
        </w:rPr>
        <w:t xml:space="preserve"> </w:t>
      </w:r>
    </w:p>
    <w:p w:rsidR="0021591B" w:rsidRPr="00836EB3" w:rsidRDefault="0021591B" w:rsidP="0021591B">
      <w:pPr>
        <w:pStyle w:val="ListParagraph"/>
        <w:rPr>
          <w:szCs w:val="24"/>
        </w:rPr>
      </w:pPr>
    </w:p>
    <w:p w:rsidR="0021591B" w:rsidRPr="00836EB3" w:rsidRDefault="00AB266D" w:rsidP="0021591B">
      <w:pPr>
        <w:numPr>
          <w:ilvl w:val="1"/>
          <w:numId w:val="2"/>
        </w:numPr>
        <w:tabs>
          <w:tab w:val="clear" w:pos="360"/>
          <w:tab w:val="num" w:pos="709"/>
        </w:tabs>
        <w:ind w:left="709" w:hanging="709"/>
        <w:jc w:val="both"/>
        <w:rPr>
          <w:szCs w:val="24"/>
        </w:rPr>
      </w:pPr>
      <w:bookmarkStart w:id="10" w:name="_Ref342375544"/>
      <w:r w:rsidRPr="00836EB3">
        <w:rPr>
          <w:b/>
          <w:szCs w:val="24"/>
        </w:rPr>
        <w:t>Pasajeros y Vehículos de Pasajeros.</w:t>
      </w:r>
      <w:r w:rsidRPr="00836EB3">
        <w:rPr>
          <w:szCs w:val="24"/>
        </w:rPr>
        <w:t xml:space="preserve"> </w:t>
      </w:r>
      <w:bookmarkEnd w:id="10"/>
      <w:r w:rsidR="00AE0503" w:rsidRPr="00836EB3">
        <w:rPr>
          <w:szCs w:val="24"/>
        </w:rPr>
        <w:t xml:space="preserve">El movimiento de pasajeros en Paso Canoas es importante y ha crecido sensiblemente en la última década; en 2011, este movimiento alcanzó un 213 mil viajeros desde Costa Rica a Panamá y 188 mil viajeros en el sentido Panamá a Costa Rica (en el período 2001-2011 la tasa de crecimiento </w:t>
      </w:r>
      <w:r w:rsidR="00865ACA" w:rsidRPr="00836EB3">
        <w:rPr>
          <w:szCs w:val="24"/>
        </w:rPr>
        <w:t xml:space="preserve">promedio anual </w:t>
      </w:r>
      <w:r w:rsidR="00AE0503" w:rsidRPr="00836EB3">
        <w:rPr>
          <w:szCs w:val="24"/>
        </w:rPr>
        <w:t xml:space="preserve">fue </w:t>
      </w:r>
      <w:r w:rsidR="00865ACA" w:rsidRPr="00836EB3">
        <w:rPr>
          <w:szCs w:val="24"/>
        </w:rPr>
        <w:t>de 9</w:t>
      </w:r>
      <w:r w:rsidR="00AE0503" w:rsidRPr="00836EB3">
        <w:rPr>
          <w:szCs w:val="24"/>
        </w:rPr>
        <w:t>,</w:t>
      </w:r>
      <w:r w:rsidR="00865ACA" w:rsidRPr="00836EB3">
        <w:rPr>
          <w:szCs w:val="24"/>
        </w:rPr>
        <w:t>4</w:t>
      </w:r>
      <w:r w:rsidR="00AE0503" w:rsidRPr="00836EB3">
        <w:rPr>
          <w:szCs w:val="24"/>
        </w:rPr>
        <w:t xml:space="preserve">%). El movimiento de pasajeros, se efectúa en automóviles u otros vehículos livianos </w:t>
      </w:r>
      <w:r w:rsidR="00865ACA" w:rsidRPr="00836EB3">
        <w:rPr>
          <w:szCs w:val="24"/>
        </w:rPr>
        <w:t>(12</w:t>
      </w:r>
      <w:r w:rsidR="00AE0503" w:rsidRPr="00836EB3">
        <w:rPr>
          <w:szCs w:val="24"/>
        </w:rPr>
        <w:t>%), autobuses (</w:t>
      </w:r>
      <w:r w:rsidR="00865ACA" w:rsidRPr="00836EB3">
        <w:rPr>
          <w:szCs w:val="24"/>
        </w:rPr>
        <w:t>59</w:t>
      </w:r>
      <w:r w:rsidR="00AE0503" w:rsidRPr="00836EB3">
        <w:rPr>
          <w:szCs w:val="24"/>
        </w:rPr>
        <w:t>%) y a pie (</w:t>
      </w:r>
      <w:r w:rsidR="00865ACA" w:rsidRPr="00836EB3">
        <w:rPr>
          <w:szCs w:val="24"/>
        </w:rPr>
        <w:t>29</w:t>
      </w:r>
      <w:r w:rsidR="00AE0503" w:rsidRPr="00836EB3">
        <w:rPr>
          <w:szCs w:val="24"/>
        </w:rPr>
        <w:t>%). La participación de peatones (¶</w:t>
      </w:r>
      <w:r w:rsidR="003C721A">
        <w:fldChar w:fldCharType="begin"/>
      </w:r>
      <w:r w:rsidR="003C721A">
        <w:instrText xml:space="preserve"> REF _Ref351825304 \r \h  \* MERGEFORMAT </w:instrText>
      </w:r>
      <w:r w:rsidR="003C721A">
        <w:fldChar w:fldCharType="separate"/>
      </w:r>
      <w:r w:rsidR="00F700A3" w:rsidRPr="00F700A3">
        <w:rPr>
          <w:szCs w:val="24"/>
        </w:rPr>
        <w:t>2.9</w:t>
      </w:r>
      <w:r w:rsidR="003C721A">
        <w:fldChar w:fldCharType="end"/>
      </w:r>
      <w:r w:rsidR="00AE0503" w:rsidRPr="00836EB3">
        <w:rPr>
          <w:szCs w:val="24"/>
        </w:rPr>
        <w:t xml:space="preserve">) en el total es </w:t>
      </w:r>
      <w:r w:rsidR="00865ACA" w:rsidRPr="00836EB3">
        <w:rPr>
          <w:szCs w:val="24"/>
        </w:rPr>
        <w:t xml:space="preserve">relativamente </w:t>
      </w:r>
      <w:r w:rsidR="00AE0503" w:rsidRPr="00836EB3">
        <w:rPr>
          <w:szCs w:val="24"/>
        </w:rPr>
        <w:t>elevada</w:t>
      </w:r>
      <w:r w:rsidR="00865ACA" w:rsidRPr="00836EB3">
        <w:rPr>
          <w:szCs w:val="24"/>
        </w:rPr>
        <w:t xml:space="preserve">, pero no tal alta como en Peñas Blancas, denotando que este paso tiene un carácter más turístico (es menor la motivación de </w:t>
      </w:r>
      <w:r w:rsidR="00AE0503" w:rsidRPr="00836EB3">
        <w:rPr>
          <w:szCs w:val="24"/>
        </w:rPr>
        <w:t>viaje</w:t>
      </w:r>
      <w:r w:rsidR="00865ACA" w:rsidRPr="00836EB3">
        <w:rPr>
          <w:szCs w:val="24"/>
        </w:rPr>
        <w:t>s</w:t>
      </w:r>
      <w:r w:rsidR="00AE0503" w:rsidRPr="00836EB3">
        <w:rPr>
          <w:szCs w:val="24"/>
        </w:rPr>
        <w:t xml:space="preserve"> por razones de trabajo</w:t>
      </w:r>
      <w:r w:rsidR="00865ACA" w:rsidRPr="00836EB3">
        <w:rPr>
          <w:szCs w:val="24"/>
        </w:rPr>
        <w:t>)</w:t>
      </w:r>
      <w:r w:rsidR="00AE0503" w:rsidRPr="00836EB3">
        <w:rPr>
          <w:szCs w:val="24"/>
        </w:rPr>
        <w:t>.</w:t>
      </w:r>
    </w:p>
    <w:p w:rsidR="00865ACA" w:rsidRPr="00836EB3" w:rsidRDefault="00865ACA" w:rsidP="00865ACA">
      <w:pPr>
        <w:ind w:left="709"/>
        <w:jc w:val="both"/>
        <w:rPr>
          <w:szCs w:val="24"/>
        </w:rPr>
      </w:pPr>
    </w:p>
    <w:p w:rsidR="00865ACA" w:rsidRPr="00836EB3" w:rsidRDefault="00865ACA" w:rsidP="00865ACA">
      <w:pPr>
        <w:numPr>
          <w:ilvl w:val="1"/>
          <w:numId w:val="2"/>
        </w:numPr>
        <w:tabs>
          <w:tab w:val="clear" w:pos="360"/>
          <w:tab w:val="num" w:pos="709"/>
        </w:tabs>
        <w:ind w:left="709" w:hanging="709"/>
        <w:jc w:val="both"/>
        <w:rPr>
          <w:szCs w:val="24"/>
        </w:rPr>
      </w:pPr>
      <w:r w:rsidRPr="00836EB3">
        <w:rPr>
          <w:szCs w:val="24"/>
        </w:rPr>
        <w:t>En los Cuadros II-3.1 y II-3.2 se presentan las proyecciones de TPDA para pasajeros y vehículos d</w:t>
      </w:r>
      <w:r w:rsidR="00602059">
        <w:rPr>
          <w:szCs w:val="24"/>
        </w:rPr>
        <w:t>e pasajeros para el período 2017</w:t>
      </w:r>
      <w:r w:rsidRPr="00836EB3">
        <w:rPr>
          <w:szCs w:val="24"/>
        </w:rPr>
        <w:t>-20</w:t>
      </w:r>
      <w:r w:rsidR="00602059">
        <w:rPr>
          <w:szCs w:val="24"/>
        </w:rPr>
        <w:t>47</w:t>
      </w:r>
      <w:r w:rsidRPr="00836EB3">
        <w:rPr>
          <w:szCs w:val="24"/>
        </w:rPr>
        <w:t xml:space="preserve"> (</w:t>
      </w:r>
      <w:r w:rsidR="00602059">
        <w:rPr>
          <w:szCs w:val="24"/>
        </w:rPr>
        <w:t>31</w:t>
      </w:r>
      <w:r w:rsidRPr="00836EB3">
        <w:rPr>
          <w:szCs w:val="24"/>
        </w:rPr>
        <w:t xml:space="preserve"> años), según el sentido de viaje, tipo de movilidad utilizada, etc. </w:t>
      </w:r>
    </w:p>
    <w:p w:rsidR="00865ACA" w:rsidRPr="00836EB3" w:rsidRDefault="00865ACA" w:rsidP="00865ACA">
      <w:pPr>
        <w:pStyle w:val="ListParagraph"/>
        <w:rPr>
          <w:szCs w:val="24"/>
        </w:rPr>
      </w:pPr>
    </w:p>
    <w:p w:rsidR="00865ACA" w:rsidRPr="00836EB3" w:rsidRDefault="00865ACA" w:rsidP="00865ACA">
      <w:pPr>
        <w:numPr>
          <w:ilvl w:val="1"/>
          <w:numId w:val="2"/>
        </w:numPr>
        <w:tabs>
          <w:tab w:val="clear" w:pos="360"/>
          <w:tab w:val="num" w:pos="709"/>
        </w:tabs>
        <w:ind w:left="709" w:hanging="709"/>
        <w:jc w:val="both"/>
        <w:rPr>
          <w:szCs w:val="24"/>
        </w:rPr>
      </w:pPr>
      <w:r w:rsidRPr="00836EB3">
        <w:rPr>
          <w:b/>
          <w:szCs w:val="24"/>
        </w:rPr>
        <w:t>Vehículos de Carga.</w:t>
      </w:r>
      <w:r w:rsidRPr="00836EB3">
        <w:rPr>
          <w:szCs w:val="24"/>
        </w:rPr>
        <w:t xml:space="preserve"> En el paso de P</w:t>
      </w:r>
      <w:r w:rsidR="00690276" w:rsidRPr="00836EB3">
        <w:rPr>
          <w:szCs w:val="24"/>
        </w:rPr>
        <w:t>aso Canoas</w:t>
      </w:r>
      <w:r w:rsidRPr="00836EB3">
        <w:rPr>
          <w:szCs w:val="24"/>
        </w:rPr>
        <w:t xml:space="preserve"> se moviliza un volumen de carga de </w:t>
      </w:r>
      <w:r w:rsidR="006B4DF7" w:rsidRPr="00836EB3">
        <w:rPr>
          <w:szCs w:val="24"/>
        </w:rPr>
        <w:t>769 mil</w:t>
      </w:r>
      <w:r w:rsidRPr="00836EB3">
        <w:rPr>
          <w:szCs w:val="24"/>
        </w:rPr>
        <w:t xml:space="preserve"> ton/año por un valor de US$ </w:t>
      </w:r>
      <w:r w:rsidR="006B4DF7" w:rsidRPr="00836EB3">
        <w:rPr>
          <w:szCs w:val="24"/>
        </w:rPr>
        <w:t>913</w:t>
      </w:r>
      <w:r w:rsidRPr="00836EB3">
        <w:rPr>
          <w:szCs w:val="24"/>
        </w:rPr>
        <w:t xml:space="preserve"> millones (201</w:t>
      </w:r>
      <w:r w:rsidR="006B4DF7" w:rsidRPr="00836EB3">
        <w:rPr>
          <w:szCs w:val="24"/>
        </w:rPr>
        <w:t>1</w:t>
      </w:r>
      <w:r w:rsidRPr="00836EB3">
        <w:rPr>
          <w:szCs w:val="24"/>
        </w:rPr>
        <w:t xml:space="preserve">); ello incluye el comercio bilateral entre Costa Rica y </w:t>
      </w:r>
      <w:r w:rsidR="006B4DF7" w:rsidRPr="00836EB3">
        <w:rPr>
          <w:szCs w:val="24"/>
        </w:rPr>
        <w:t>Panamá</w:t>
      </w:r>
      <w:r w:rsidRPr="00836EB3">
        <w:rPr>
          <w:szCs w:val="24"/>
        </w:rPr>
        <w:t xml:space="preserve">, </w:t>
      </w:r>
      <w:r w:rsidR="006B4DF7" w:rsidRPr="00836EB3">
        <w:rPr>
          <w:szCs w:val="24"/>
        </w:rPr>
        <w:t xml:space="preserve">así como </w:t>
      </w:r>
      <w:r w:rsidRPr="00836EB3">
        <w:rPr>
          <w:szCs w:val="24"/>
        </w:rPr>
        <w:t xml:space="preserve">el comercio en tránsito entre </w:t>
      </w:r>
      <w:r w:rsidR="006B4DF7" w:rsidRPr="00836EB3">
        <w:rPr>
          <w:szCs w:val="24"/>
        </w:rPr>
        <w:t xml:space="preserve">Panamá </w:t>
      </w:r>
      <w:r w:rsidRPr="00836EB3">
        <w:rPr>
          <w:szCs w:val="24"/>
        </w:rPr>
        <w:t xml:space="preserve">con terceros países. El flujo </w:t>
      </w:r>
      <w:r w:rsidR="006B4DF7" w:rsidRPr="00836EB3">
        <w:rPr>
          <w:szCs w:val="24"/>
        </w:rPr>
        <w:t xml:space="preserve">en </w:t>
      </w:r>
      <w:r w:rsidRPr="00836EB3">
        <w:rPr>
          <w:szCs w:val="24"/>
        </w:rPr>
        <w:t xml:space="preserve">sentido Costa Rica a </w:t>
      </w:r>
      <w:r w:rsidR="006B4DF7" w:rsidRPr="00836EB3">
        <w:rPr>
          <w:szCs w:val="24"/>
        </w:rPr>
        <w:t xml:space="preserve">Panamá </w:t>
      </w:r>
      <w:r w:rsidRPr="00836EB3">
        <w:rPr>
          <w:szCs w:val="24"/>
        </w:rPr>
        <w:t xml:space="preserve">es de un mayor peso relativo, con el </w:t>
      </w:r>
      <w:r w:rsidR="006B4DF7" w:rsidRPr="00836EB3">
        <w:rPr>
          <w:szCs w:val="24"/>
        </w:rPr>
        <w:t>71</w:t>
      </w:r>
      <w:r w:rsidRPr="00836EB3">
        <w:rPr>
          <w:szCs w:val="24"/>
        </w:rPr>
        <w:t xml:space="preserve">% del volumen movilizado y </w:t>
      </w:r>
      <w:r w:rsidR="006B4DF7" w:rsidRPr="00836EB3">
        <w:rPr>
          <w:szCs w:val="24"/>
        </w:rPr>
        <w:t>80</w:t>
      </w:r>
      <w:r w:rsidRPr="00836EB3">
        <w:rPr>
          <w:szCs w:val="24"/>
        </w:rPr>
        <w:t>% del valor de la mercadería comercializa</w:t>
      </w:r>
      <w:r w:rsidR="006B4DF7" w:rsidRPr="00836EB3">
        <w:rPr>
          <w:szCs w:val="24"/>
        </w:rPr>
        <w:t>da</w:t>
      </w:r>
      <w:r w:rsidRPr="00836EB3">
        <w:rPr>
          <w:szCs w:val="24"/>
        </w:rPr>
        <w:t xml:space="preserve"> a través del paso. El TPDA total de vehículos de carga se encuentra en </w:t>
      </w:r>
      <w:r w:rsidR="00D35E70" w:rsidRPr="00836EB3">
        <w:rPr>
          <w:szCs w:val="24"/>
        </w:rPr>
        <w:t xml:space="preserve">aproximadamente </w:t>
      </w:r>
      <w:r w:rsidRPr="00836EB3">
        <w:rPr>
          <w:szCs w:val="24"/>
        </w:rPr>
        <w:t xml:space="preserve"> </w:t>
      </w:r>
      <w:r w:rsidR="006B4DF7" w:rsidRPr="00836EB3">
        <w:rPr>
          <w:szCs w:val="24"/>
        </w:rPr>
        <w:t>1</w:t>
      </w:r>
      <w:r w:rsidRPr="00836EB3">
        <w:rPr>
          <w:szCs w:val="24"/>
        </w:rPr>
        <w:t xml:space="preserve">00 </w:t>
      </w:r>
      <w:proofErr w:type="spellStart"/>
      <w:r w:rsidRPr="00836EB3">
        <w:rPr>
          <w:szCs w:val="24"/>
        </w:rPr>
        <w:t>veh</w:t>
      </w:r>
      <w:proofErr w:type="spellEnd"/>
      <w:r w:rsidRPr="00836EB3">
        <w:rPr>
          <w:szCs w:val="24"/>
        </w:rPr>
        <w:t>/día (cargados y vacíos) incluyendo los diferentes tipos de despachos aduaneros que corresponden a las diferentes modalidades de comercio mencionadas.</w:t>
      </w:r>
    </w:p>
    <w:p w:rsidR="00865ACA" w:rsidRPr="00836EB3" w:rsidRDefault="00865ACA" w:rsidP="00865ACA">
      <w:pPr>
        <w:pStyle w:val="ListParagraph"/>
        <w:rPr>
          <w:szCs w:val="24"/>
        </w:rPr>
      </w:pPr>
    </w:p>
    <w:p w:rsidR="00F551B7" w:rsidRPr="00836EB3" w:rsidRDefault="00F551B7" w:rsidP="00F551B7">
      <w:pPr>
        <w:numPr>
          <w:ilvl w:val="1"/>
          <w:numId w:val="2"/>
        </w:numPr>
        <w:tabs>
          <w:tab w:val="clear" w:pos="360"/>
          <w:tab w:val="num" w:pos="709"/>
        </w:tabs>
        <w:ind w:left="709" w:hanging="709"/>
        <w:jc w:val="both"/>
        <w:rPr>
          <w:szCs w:val="24"/>
        </w:rPr>
      </w:pPr>
      <w:r w:rsidRPr="00836EB3">
        <w:rPr>
          <w:szCs w:val="24"/>
        </w:rPr>
        <w:t>En los Cuadros II-3.3 y II-3.4 se presenta la proyección del TPDA de los vehículos de carga para el per</w:t>
      </w:r>
      <w:r w:rsidR="00F5731C" w:rsidRPr="00836EB3">
        <w:rPr>
          <w:szCs w:val="24"/>
        </w:rPr>
        <w:t>íodo 2017</w:t>
      </w:r>
      <w:r w:rsidRPr="00836EB3">
        <w:rPr>
          <w:szCs w:val="24"/>
        </w:rPr>
        <w:t>-20</w:t>
      </w:r>
      <w:r w:rsidR="00F5731C" w:rsidRPr="00836EB3">
        <w:rPr>
          <w:szCs w:val="24"/>
        </w:rPr>
        <w:t>47</w:t>
      </w:r>
      <w:r w:rsidRPr="00836EB3">
        <w:rPr>
          <w:szCs w:val="24"/>
        </w:rPr>
        <w:t xml:space="preserve"> (</w:t>
      </w:r>
      <w:r w:rsidR="00F5731C" w:rsidRPr="00836EB3">
        <w:rPr>
          <w:szCs w:val="24"/>
        </w:rPr>
        <w:t>31</w:t>
      </w:r>
      <w:r w:rsidRPr="00836EB3">
        <w:rPr>
          <w:szCs w:val="24"/>
        </w:rPr>
        <w:t xml:space="preserve"> años), discriminando sentido y tipo de despacho aduanero, respectivamente para la cabecera de Costa Rica y Panamá (la distinción por cabecera es importante para este paso, pues posteriormente se </w:t>
      </w:r>
      <w:r w:rsidR="00D35E70" w:rsidRPr="00836EB3">
        <w:rPr>
          <w:szCs w:val="24"/>
        </w:rPr>
        <w:t xml:space="preserve">distinguen </w:t>
      </w:r>
      <w:r w:rsidRPr="00836EB3">
        <w:rPr>
          <w:szCs w:val="24"/>
        </w:rPr>
        <w:t xml:space="preserve">los tiempos de permanencia por cabecera). </w:t>
      </w:r>
    </w:p>
    <w:p w:rsidR="00D35E70" w:rsidRPr="00836EB3" w:rsidRDefault="00D35E70" w:rsidP="00D35E70">
      <w:pPr>
        <w:pStyle w:val="ListParagraph"/>
        <w:rPr>
          <w:szCs w:val="24"/>
        </w:rPr>
      </w:pPr>
    </w:p>
    <w:p w:rsidR="00D35E70" w:rsidRPr="00836EB3" w:rsidRDefault="00D35E70" w:rsidP="00D35E70">
      <w:pPr>
        <w:jc w:val="both"/>
        <w:rPr>
          <w:szCs w:val="24"/>
        </w:rPr>
      </w:pPr>
    </w:p>
    <w:p w:rsidR="006422DC" w:rsidRPr="00836EB3" w:rsidRDefault="006422DC">
      <w:pPr>
        <w:rPr>
          <w:szCs w:val="24"/>
        </w:rPr>
        <w:sectPr w:rsidR="006422DC" w:rsidRPr="00836EB3" w:rsidSect="003D64AD">
          <w:pgSz w:w="12242" w:h="15842" w:code="1"/>
          <w:pgMar w:top="1440" w:right="1298" w:bottom="1440" w:left="1797" w:header="731" w:footer="1134" w:gutter="0"/>
          <w:cols w:space="720"/>
        </w:sectPr>
      </w:pPr>
    </w:p>
    <w:p w:rsidR="006422DC" w:rsidRPr="00836EB3" w:rsidRDefault="006422DC" w:rsidP="006422DC">
      <w:pPr>
        <w:jc w:val="center"/>
        <w:rPr>
          <w:b/>
          <w:sz w:val="22"/>
          <w:szCs w:val="22"/>
        </w:rPr>
      </w:pPr>
      <w:r w:rsidRPr="00836EB3">
        <w:rPr>
          <w:b/>
          <w:sz w:val="22"/>
          <w:szCs w:val="22"/>
        </w:rPr>
        <w:t>Cuadro II-3.1</w:t>
      </w:r>
    </w:p>
    <w:p w:rsidR="006422DC" w:rsidRPr="00836EB3" w:rsidRDefault="006422DC" w:rsidP="006422DC">
      <w:pPr>
        <w:jc w:val="center"/>
        <w:rPr>
          <w:b/>
          <w:bCs/>
          <w:sz w:val="20"/>
          <w:lang w:val="es-ES" w:eastAsia="es-ES"/>
        </w:rPr>
      </w:pPr>
      <w:proofErr w:type="gramStart"/>
      <w:r w:rsidRPr="00836EB3">
        <w:rPr>
          <w:b/>
          <w:bCs/>
          <w:sz w:val="20"/>
          <w:lang w:val="es-ES" w:eastAsia="es-ES"/>
        </w:rPr>
        <w:t>PASO</w:t>
      </w:r>
      <w:proofErr w:type="gramEnd"/>
      <w:r w:rsidRPr="00836EB3">
        <w:rPr>
          <w:b/>
          <w:bCs/>
          <w:sz w:val="20"/>
          <w:lang w:val="es-ES" w:eastAsia="es-ES"/>
        </w:rPr>
        <w:t xml:space="preserve"> CANOAS </w:t>
      </w:r>
    </w:p>
    <w:p w:rsidR="006422DC" w:rsidRPr="00836EB3" w:rsidRDefault="006422DC" w:rsidP="006422DC">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Pasajeros (</w:t>
      </w:r>
      <w:proofErr w:type="spellStart"/>
      <w:r w:rsidRPr="00836EB3">
        <w:rPr>
          <w:b/>
          <w:bCs/>
          <w:sz w:val="20"/>
          <w:lang w:val="es-ES" w:eastAsia="es-ES"/>
        </w:rPr>
        <w:t>pas</w:t>
      </w:r>
      <w:proofErr w:type="spellEnd"/>
      <w:r w:rsidRPr="00836EB3">
        <w:rPr>
          <w:b/>
          <w:bCs/>
          <w:sz w:val="20"/>
          <w:lang w:val="es-ES" w:eastAsia="es-ES"/>
        </w:rPr>
        <w:t>/día). 201</w:t>
      </w:r>
      <w:r w:rsidR="00D0414C" w:rsidRPr="00836EB3">
        <w:rPr>
          <w:b/>
          <w:bCs/>
          <w:sz w:val="20"/>
          <w:lang w:val="es-ES" w:eastAsia="es-ES"/>
        </w:rPr>
        <w:t>7</w:t>
      </w:r>
      <w:r w:rsidRPr="00836EB3">
        <w:rPr>
          <w:b/>
          <w:bCs/>
          <w:sz w:val="20"/>
          <w:lang w:val="es-ES" w:eastAsia="es-ES"/>
        </w:rPr>
        <w:t>-20</w:t>
      </w:r>
      <w:r w:rsidR="00D0414C" w:rsidRPr="00836EB3">
        <w:rPr>
          <w:b/>
          <w:bCs/>
          <w:sz w:val="20"/>
          <w:lang w:val="es-ES" w:eastAsia="es-ES"/>
        </w:rPr>
        <w:t>47</w:t>
      </w:r>
    </w:p>
    <w:p w:rsidR="00645888" w:rsidRPr="00836EB3" w:rsidRDefault="00645888" w:rsidP="006422DC">
      <w:pPr>
        <w:jc w:val="center"/>
        <w:rPr>
          <w:sz w:val="20"/>
        </w:rPr>
      </w:pPr>
    </w:p>
    <w:p w:rsidR="00AB266D" w:rsidRPr="00836EB3" w:rsidRDefault="00645888" w:rsidP="006422DC">
      <w:pPr>
        <w:jc w:val="center"/>
        <w:rPr>
          <w:szCs w:val="24"/>
        </w:rPr>
      </w:pPr>
      <w:r w:rsidRPr="00836EB3">
        <w:rPr>
          <w:noProof/>
          <w:szCs w:val="24"/>
          <w:lang w:val="en-US"/>
        </w:rPr>
        <w:drawing>
          <wp:inline distT="0" distB="0" distL="0" distR="0">
            <wp:extent cx="7235384" cy="5136542"/>
            <wp:effectExtent l="19050" t="0" r="3616" b="0"/>
            <wp:docPr id="4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7237896" cy="5138325"/>
                    </a:xfrm>
                    <a:prstGeom prst="rect">
                      <a:avLst/>
                    </a:prstGeom>
                    <a:noFill/>
                    <a:ln w="9525">
                      <a:noFill/>
                      <a:miter lim="800000"/>
                      <a:headEnd/>
                      <a:tailEnd/>
                    </a:ln>
                  </pic:spPr>
                </pic:pic>
              </a:graphicData>
            </a:graphic>
          </wp:inline>
        </w:drawing>
      </w:r>
    </w:p>
    <w:p w:rsidR="006422DC" w:rsidRPr="00836EB3" w:rsidRDefault="006422DC">
      <w:pPr>
        <w:rPr>
          <w:szCs w:val="24"/>
        </w:rPr>
      </w:pPr>
      <w:r w:rsidRPr="00836EB3">
        <w:rPr>
          <w:szCs w:val="24"/>
        </w:rPr>
        <w:br w:type="page"/>
      </w:r>
    </w:p>
    <w:p w:rsidR="006422DC" w:rsidRPr="00836EB3" w:rsidRDefault="006422DC" w:rsidP="006422DC">
      <w:pPr>
        <w:jc w:val="center"/>
        <w:rPr>
          <w:b/>
          <w:sz w:val="22"/>
          <w:szCs w:val="22"/>
        </w:rPr>
      </w:pPr>
      <w:r w:rsidRPr="00836EB3">
        <w:rPr>
          <w:b/>
          <w:sz w:val="22"/>
          <w:szCs w:val="22"/>
        </w:rPr>
        <w:t>Cuadro II-3.2</w:t>
      </w:r>
    </w:p>
    <w:p w:rsidR="006422DC" w:rsidRPr="00836EB3" w:rsidRDefault="006422DC" w:rsidP="006422DC">
      <w:pPr>
        <w:jc w:val="center"/>
        <w:rPr>
          <w:b/>
          <w:bCs/>
          <w:sz w:val="20"/>
          <w:lang w:val="es-ES" w:eastAsia="es-ES"/>
        </w:rPr>
      </w:pPr>
      <w:proofErr w:type="gramStart"/>
      <w:r w:rsidRPr="00836EB3">
        <w:rPr>
          <w:b/>
          <w:bCs/>
          <w:sz w:val="20"/>
          <w:lang w:val="es-ES" w:eastAsia="es-ES"/>
        </w:rPr>
        <w:t>PASO</w:t>
      </w:r>
      <w:proofErr w:type="gramEnd"/>
      <w:r w:rsidRPr="00836EB3">
        <w:rPr>
          <w:b/>
          <w:bCs/>
          <w:sz w:val="20"/>
          <w:lang w:val="es-ES" w:eastAsia="es-ES"/>
        </w:rPr>
        <w:t xml:space="preserve"> CANOAS </w:t>
      </w:r>
    </w:p>
    <w:p w:rsidR="006422DC" w:rsidRPr="00836EB3" w:rsidRDefault="006422DC" w:rsidP="006422DC">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Vehículos de Pasajeros (</w:t>
      </w:r>
      <w:proofErr w:type="spellStart"/>
      <w:r w:rsidRPr="00836EB3">
        <w:rPr>
          <w:b/>
          <w:bCs/>
          <w:sz w:val="20"/>
          <w:lang w:val="es-ES" w:eastAsia="es-ES"/>
        </w:rPr>
        <w:t>veh</w:t>
      </w:r>
      <w:proofErr w:type="spellEnd"/>
      <w:r w:rsidRPr="00836EB3">
        <w:rPr>
          <w:b/>
          <w:bCs/>
          <w:sz w:val="20"/>
          <w:lang w:val="es-ES" w:eastAsia="es-ES"/>
        </w:rPr>
        <w:t>/día). 201</w:t>
      </w:r>
      <w:r w:rsidR="00645888" w:rsidRPr="00836EB3">
        <w:rPr>
          <w:b/>
          <w:bCs/>
          <w:sz w:val="20"/>
          <w:lang w:val="es-ES" w:eastAsia="es-ES"/>
        </w:rPr>
        <w:t>7</w:t>
      </w:r>
      <w:r w:rsidRPr="00836EB3">
        <w:rPr>
          <w:b/>
          <w:bCs/>
          <w:sz w:val="20"/>
          <w:lang w:val="es-ES" w:eastAsia="es-ES"/>
        </w:rPr>
        <w:t>-20</w:t>
      </w:r>
      <w:r w:rsidR="00645888" w:rsidRPr="00836EB3">
        <w:rPr>
          <w:b/>
          <w:bCs/>
          <w:sz w:val="20"/>
          <w:lang w:val="es-ES" w:eastAsia="es-ES"/>
        </w:rPr>
        <w:t>47</w:t>
      </w:r>
    </w:p>
    <w:p w:rsidR="00645888" w:rsidRPr="00836EB3" w:rsidRDefault="00645888" w:rsidP="006422DC">
      <w:pPr>
        <w:jc w:val="center"/>
        <w:rPr>
          <w:b/>
          <w:bCs/>
          <w:sz w:val="20"/>
          <w:lang w:val="es-ES" w:eastAsia="es-ES"/>
        </w:rPr>
      </w:pPr>
    </w:p>
    <w:p w:rsidR="006422DC" w:rsidRPr="00836EB3" w:rsidRDefault="00645888" w:rsidP="006422DC">
      <w:pPr>
        <w:jc w:val="center"/>
        <w:rPr>
          <w:szCs w:val="24"/>
          <w:lang w:val="es-ES"/>
        </w:rPr>
      </w:pPr>
      <w:r w:rsidRPr="00836EB3">
        <w:rPr>
          <w:noProof/>
          <w:szCs w:val="24"/>
          <w:lang w:val="en-US"/>
        </w:rPr>
        <w:drawing>
          <wp:inline distT="0" distB="0" distL="0" distR="0">
            <wp:extent cx="5356032" cy="5259364"/>
            <wp:effectExtent l="19050" t="0" r="0" b="0"/>
            <wp:docPr id="4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360194" cy="5263451"/>
                    </a:xfrm>
                    <a:prstGeom prst="rect">
                      <a:avLst/>
                    </a:prstGeom>
                    <a:noFill/>
                    <a:ln w="9525">
                      <a:noFill/>
                      <a:miter lim="800000"/>
                      <a:headEnd/>
                      <a:tailEnd/>
                    </a:ln>
                  </pic:spPr>
                </pic:pic>
              </a:graphicData>
            </a:graphic>
          </wp:inline>
        </w:drawing>
      </w:r>
    </w:p>
    <w:p w:rsidR="006422DC" w:rsidRPr="00836EB3" w:rsidRDefault="006422DC">
      <w:pPr>
        <w:rPr>
          <w:szCs w:val="24"/>
          <w:lang w:val="es-ES"/>
        </w:rPr>
      </w:pPr>
      <w:r w:rsidRPr="00836EB3">
        <w:rPr>
          <w:szCs w:val="24"/>
          <w:lang w:val="es-ES"/>
        </w:rPr>
        <w:br w:type="page"/>
      </w:r>
    </w:p>
    <w:p w:rsidR="006422DC" w:rsidRPr="00836EB3" w:rsidRDefault="006422DC" w:rsidP="006422DC">
      <w:pPr>
        <w:jc w:val="center"/>
        <w:rPr>
          <w:b/>
          <w:sz w:val="22"/>
          <w:szCs w:val="22"/>
        </w:rPr>
      </w:pPr>
      <w:r w:rsidRPr="00836EB3">
        <w:rPr>
          <w:b/>
          <w:sz w:val="22"/>
          <w:szCs w:val="22"/>
        </w:rPr>
        <w:t>Cuadro II-3.3</w:t>
      </w:r>
    </w:p>
    <w:p w:rsidR="006422DC" w:rsidRPr="00836EB3" w:rsidRDefault="006422DC" w:rsidP="006422DC">
      <w:pPr>
        <w:jc w:val="center"/>
        <w:rPr>
          <w:b/>
          <w:bCs/>
          <w:sz w:val="20"/>
          <w:lang w:val="es-ES" w:eastAsia="es-ES"/>
        </w:rPr>
      </w:pPr>
      <w:proofErr w:type="gramStart"/>
      <w:r w:rsidRPr="00836EB3">
        <w:rPr>
          <w:b/>
          <w:bCs/>
          <w:sz w:val="20"/>
          <w:lang w:val="es-ES" w:eastAsia="es-ES"/>
        </w:rPr>
        <w:t>PASO</w:t>
      </w:r>
      <w:proofErr w:type="gramEnd"/>
      <w:r w:rsidRPr="00836EB3">
        <w:rPr>
          <w:b/>
          <w:bCs/>
          <w:sz w:val="20"/>
          <w:lang w:val="es-ES" w:eastAsia="es-ES"/>
        </w:rPr>
        <w:t xml:space="preserve"> CANOAS </w:t>
      </w:r>
    </w:p>
    <w:p w:rsidR="006422DC" w:rsidRPr="00836EB3" w:rsidRDefault="006422DC" w:rsidP="006422DC">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Vehículos de Carga (</w:t>
      </w:r>
      <w:proofErr w:type="spellStart"/>
      <w:r w:rsidRPr="00836EB3">
        <w:rPr>
          <w:b/>
          <w:bCs/>
          <w:sz w:val="20"/>
          <w:lang w:val="es-ES" w:eastAsia="es-ES"/>
        </w:rPr>
        <w:t>veh</w:t>
      </w:r>
      <w:proofErr w:type="spellEnd"/>
      <w:r w:rsidRPr="00836EB3">
        <w:rPr>
          <w:b/>
          <w:bCs/>
          <w:sz w:val="20"/>
          <w:lang w:val="es-ES" w:eastAsia="es-ES"/>
        </w:rPr>
        <w:t>/día)</w:t>
      </w:r>
      <w:r w:rsidR="003161BD" w:rsidRPr="00836EB3">
        <w:rPr>
          <w:b/>
          <w:bCs/>
          <w:sz w:val="20"/>
          <w:lang w:val="es-ES" w:eastAsia="es-ES"/>
        </w:rPr>
        <w:t>. Control en COSTA RICA</w:t>
      </w:r>
      <w:r w:rsidR="00F52227" w:rsidRPr="00836EB3">
        <w:rPr>
          <w:b/>
          <w:bCs/>
          <w:sz w:val="20"/>
          <w:lang w:val="es-ES" w:eastAsia="es-ES"/>
        </w:rPr>
        <w:t>. 2017</w:t>
      </w:r>
      <w:r w:rsidRPr="00836EB3">
        <w:rPr>
          <w:b/>
          <w:bCs/>
          <w:sz w:val="20"/>
          <w:lang w:val="es-ES" w:eastAsia="es-ES"/>
        </w:rPr>
        <w:t>-20</w:t>
      </w:r>
      <w:r w:rsidR="00F52227" w:rsidRPr="00836EB3">
        <w:rPr>
          <w:b/>
          <w:bCs/>
          <w:sz w:val="20"/>
          <w:lang w:val="es-ES" w:eastAsia="es-ES"/>
        </w:rPr>
        <w:t>47</w:t>
      </w:r>
    </w:p>
    <w:p w:rsidR="00F52227" w:rsidRPr="00836EB3" w:rsidRDefault="00F52227" w:rsidP="006422DC">
      <w:pPr>
        <w:jc w:val="center"/>
        <w:rPr>
          <w:sz w:val="20"/>
        </w:rPr>
      </w:pPr>
    </w:p>
    <w:p w:rsidR="006422DC" w:rsidRPr="00836EB3" w:rsidRDefault="00645888" w:rsidP="006422DC">
      <w:pPr>
        <w:jc w:val="center"/>
        <w:rPr>
          <w:szCs w:val="24"/>
        </w:rPr>
      </w:pPr>
      <w:r w:rsidRPr="00836EB3">
        <w:rPr>
          <w:noProof/>
          <w:szCs w:val="24"/>
          <w:lang w:val="en-US"/>
        </w:rPr>
        <w:drawing>
          <wp:inline distT="0" distB="0" distL="0" distR="0">
            <wp:extent cx="6114041" cy="5192201"/>
            <wp:effectExtent l="19050" t="0" r="1009" b="0"/>
            <wp:docPr id="4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6113364" cy="5191626"/>
                    </a:xfrm>
                    <a:prstGeom prst="rect">
                      <a:avLst/>
                    </a:prstGeom>
                    <a:noFill/>
                    <a:ln w="9525">
                      <a:noFill/>
                      <a:miter lim="800000"/>
                      <a:headEnd/>
                      <a:tailEnd/>
                    </a:ln>
                  </pic:spPr>
                </pic:pic>
              </a:graphicData>
            </a:graphic>
          </wp:inline>
        </w:drawing>
      </w:r>
    </w:p>
    <w:p w:rsidR="00AB266D" w:rsidRPr="00836EB3" w:rsidRDefault="00AB266D" w:rsidP="006422DC">
      <w:pPr>
        <w:pStyle w:val="ListParagraph"/>
        <w:ind w:left="0"/>
        <w:rPr>
          <w:szCs w:val="24"/>
        </w:rPr>
      </w:pPr>
    </w:p>
    <w:p w:rsidR="003161BD" w:rsidRPr="00836EB3" w:rsidRDefault="003161BD">
      <w:pPr>
        <w:rPr>
          <w:szCs w:val="24"/>
        </w:rPr>
      </w:pPr>
      <w:r w:rsidRPr="00836EB3">
        <w:rPr>
          <w:szCs w:val="24"/>
        </w:rPr>
        <w:br w:type="page"/>
      </w:r>
    </w:p>
    <w:p w:rsidR="003161BD" w:rsidRPr="00836EB3" w:rsidRDefault="003161BD" w:rsidP="003161BD">
      <w:pPr>
        <w:jc w:val="center"/>
        <w:rPr>
          <w:b/>
          <w:sz w:val="22"/>
          <w:szCs w:val="22"/>
        </w:rPr>
      </w:pPr>
      <w:r w:rsidRPr="00836EB3">
        <w:rPr>
          <w:b/>
          <w:sz w:val="22"/>
          <w:szCs w:val="22"/>
        </w:rPr>
        <w:t>Cuadro II-3.4</w:t>
      </w:r>
    </w:p>
    <w:p w:rsidR="003161BD" w:rsidRPr="00836EB3" w:rsidRDefault="003161BD" w:rsidP="003161BD">
      <w:pPr>
        <w:jc w:val="center"/>
        <w:rPr>
          <w:b/>
          <w:bCs/>
          <w:sz w:val="20"/>
          <w:lang w:val="es-ES" w:eastAsia="es-ES"/>
        </w:rPr>
      </w:pPr>
      <w:proofErr w:type="gramStart"/>
      <w:r w:rsidRPr="00836EB3">
        <w:rPr>
          <w:b/>
          <w:bCs/>
          <w:sz w:val="20"/>
          <w:lang w:val="es-ES" w:eastAsia="es-ES"/>
        </w:rPr>
        <w:t>PASO</w:t>
      </w:r>
      <w:proofErr w:type="gramEnd"/>
      <w:r w:rsidRPr="00836EB3">
        <w:rPr>
          <w:b/>
          <w:bCs/>
          <w:sz w:val="20"/>
          <w:lang w:val="es-ES" w:eastAsia="es-ES"/>
        </w:rPr>
        <w:t xml:space="preserve"> CANOAS </w:t>
      </w:r>
    </w:p>
    <w:p w:rsidR="003161BD" w:rsidRPr="00836EB3" w:rsidRDefault="003161BD" w:rsidP="003161BD">
      <w:pPr>
        <w:jc w:val="center"/>
        <w:rPr>
          <w:sz w:val="20"/>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Vehículos de Carga (</w:t>
      </w:r>
      <w:proofErr w:type="spellStart"/>
      <w:r w:rsidRPr="00836EB3">
        <w:rPr>
          <w:b/>
          <w:bCs/>
          <w:sz w:val="20"/>
          <w:lang w:val="es-ES" w:eastAsia="es-ES"/>
        </w:rPr>
        <w:t>veh</w:t>
      </w:r>
      <w:proofErr w:type="spellEnd"/>
      <w:r w:rsidRPr="00836EB3">
        <w:rPr>
          <w:b/>
          <w:bCs/>
          <w:sz w:val="20"/>
          <w:lang w:val="es-ES" w:eastAsia="es-ES"/>
        </w:rPr>
        <w:t>/día). Control en PANAMA. 201</w:t>
      </w:r>
      <w:r w:rsidR="00F52227" w:rsidRPr="00836EB3">
        <w:rPr>
          <w:b/>
          <w:bCs/>
          <w:sz w:val="20"/>
          <w:lang w:val="es-ES" w:eastAsia="es-ES"/>
        </w:rPr>
        <w:t>7</w:t>
      </w:r>
      <w:r w:rsidRPr="00836EB3">
        <w:rPr>
          <w:b/>
          <w:bCs/>
          <w:sz w:val="20"/>
          <w:lang w:val="es-ES" w:eastAsia="es-ES"/>
        </w:rPr>
        <w:t>-20</w:t>
      </w:r>
      <w:r w:rsidR="00F52227" w:rsidRPr="00836EB3">
        <w:rPr>
          <w:b/>
          <w:bCs/>
          <w:sz w:val="20"/>
          <w:lang w:val="es-ES" w:eastAsia="es-ES"/>
        </w:rPr>
        <w:t>47</w:t>
      </w:r>
    </w:p>
    <w:p w:rsidR="006422DC" w:rsidRPr="00836EB3" w:rsidRDefault="006422DC" w:rsidP="003161BD">
      <w:pPr>
        <w:pStyle w:val="ListParagraph"/>
        <w:ind w:left="0"/>
        <w:jc w:val="center"/>
        <w:rPr>
          <w:szCs w:val="24"/>
        </w:rPr>
      </w:pPr>
    </w:p>
    <w:p w:rsidR="003161BD" w:rsidRPr="00836EB3" w:rsidRDefault="00F52227" w:rsidP="003161BD">
      <w:pPr>
        <w:pStyle w:val="ListParagraph"/>
        <w:ind w:left="0"/>
        <w:jc w:val="center"/>
        <w:rPr>
          <w:szCs w:val="24"/>
        </w:rPr>
      </w:pPr>
      <w:r w:rsidRPr="00836EB3">
        <w:rPr>
          <w:noProof/>
          <w:szCs w:val="24"/>
          <w:lang w:val="en-US"/>
        </w:rPr>
        <w:drawing>
          <wp:inline distT="0" distB="0" distL="0" distR="0">
            <wp:extent cx="6175016" cy="4974999"/>
            <wp:effectExtent l="19050" t="0" r="0" b="0"/>
            <wp:docPr id="4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6179137" cy="4978319"/>
                    </a:xfrm>
                    <a:prstGeom prst="rect">
                      <a:avLst/>
                    </a:prstGeom>
                    <a:noFill/>
                    <a:ln w="9525">
                      <a:noFill/>
                      <a:miter lim="800000"/>
                      <a:headEnd/>
                      <a:tailEnd/>
                    </a:ln>
                  </pic:spPr>
                </pic:pic>
              </a:graphicData>
            </a:graphic>
          </wp:inline>
        </w:drawing>
      </w:r>
    </w:p>
    <w:p w:rsidR="003161BD" w:rsidRPr="00836EB3" w:rsidRDefault="003161BD" w:rsidP="003161BD">
      <w:pPr>
        <w:pStyle w:val="ListParagraph"/>
        <w:ind w:left="0"/>
        <w:jc w:val="center"/>
        <w:rPr>
          <w:szCs w:val="24"/>
        </w:rPr>
      </w:pPr>
    </w:p>
    <w:p w:rsidR="006422DC" w:rsidRPr="00836EB3" w:rsidRDefault="006422DC" w:rsidP="006422DC">
      <w:pPr>
        <w:rPr>
          <w:szCs w:val="24"/>
        </w:rPr>
      </w:pPr>
    </w:p>
    <w:p w:rsidR="006422DC" w:rsidRPr="00836EB3" w:rsidRDefault="006422DC" w:rsidP="0021591B">
      <w:pPr>
        <w:pStyle w:val="ListParagraph"/>
        <w:rPr>
          <w:szCs w:val="24"/>
        </w:rPr>
        <w:sectPr w:rsidR="006422DC" w:rsidRPr="00836EB3" w:rsidSect="00645888">
          <w:pgSz w:w="15842" w:h="12242" w:orient="landscape" w:code="1"/>
          <w:pgMar w:top="1418" w:right="1701" w:bottom="1134" w:left="1701" w:header="731" w:footer="1134" w:gutter="0"/>
          <w:cols w:space="720"/>
        </w:sectPr>
      </w:pPr>
    </w:p>
    <w:p w:rsidR="0021591B" w:rsidRPr="00836EB3" w:rsidRDefault="0021591B" w:rsidP="0021591B">
      <w:pPr>
        <w:numPr>
          <w:ilvl w:val="1"/>
          <w:numId w:val="2"/>
        </w:numPr>
        <w:tabs>
          <w:tab w:val="clear" w:pos="360"/>
          <w:tab w:val="num" w:pos="709"/>
        </w:tabs>
        <w:ind w:left="709" w:hanging="709"/>
        <w:jc w:val="both"/>
        <w:rPr>
          <w:szCs w:val="24"/>
        </w:rPr>
      </w:pPr>
      <w:r w:rsidRPr="00836EB3">
        <w:rPr>
          <w:b/>
          <w:szCs w:val="24"/>
          <w:lang w:val="es-ES_tradnl"/>
        </w:rPr>
        <w:t>Paso Sixaola.</w:t>
      </w:r>
    </w:p>
    <w:p w:rsidR="00385D83" w:rsidRPr="00836EB3" w:rsidRDefault="00385D83" w:rsidP="00385D83">
      <w:pPr>
        <w:ind w:left="709"/>
        <w:jc w:val="both"/>
        <w:rPr>
          <w:szCs w:val="24"/>
        </w:rPr>
      </w:pPr>
    </w:p>
    <w:p w:rsidR="008759FC" w:rsidRPr="00836EB3" w:rsidRDefault="00385D83" w:rsidP="00385D83">
      <w:pPr>
        <w:numPr>
          <w:ilvl w:val="1"/>
          <w:numId w:val="2"/>
        </w:numPr>
        <w:tabs>
          <w:tab w:val="clear" w:pos="360"/>
          <w:tab w:val="num" w:pos="709"/>
        </w:tabs>
        <w:ind w:left="709" w:hanging="709"/>
        <w:jc w:val="both"/>
        <w:rPr>
          <w:szCs w:val="24"/>
        </w:rPr>
      </w:pPr>
      <w:r w:rsidRPr="00836EB3">
        <w:rPr>
          <w:b/>
          <w:szCs w:val="24"/>
        </w:rPr>
        <w:t>Pasajeros y Vehículos de Pasajeros.</w:t>
      </w:r>
      <w:r w:rsidRPr="00836EB3">
        <w:rPr>
          <w:szCs w:val="24"/>
        </w:rPr>
        <w:t xml:space="preserve"> El movimiento de pasajeros en </w:t>
      </w:r>
      <w:r w:rsidR="008759FC" w:rsidRPr="00836EB3">
        <w:rPr>
          <w:szCs w:val="24"/>
        </w:rPr>
        <w:t xml:space="preserve">paso </w:t>
      </w:r>
      <w:r w:rsidRPr="00836EB3">
        <w:rPr>
          <w:szCs w:val="24"/>
        </w:rPr>
        <w:t xml:space="preserve">Sixaola es reducido; en 2011, este movimiento alcanzó </w:t>
      </w:r>
      <w:r w:rsidR="008759FC" w:rsidRPr="00836EB3">
        <w:rPr>
          <w:szCs w:val="24"/>
        </w:rPr>
        <w:t>aproximadamente 130 mil viajeros (</w:t>
      </w:r>
      <w:r w:rsidR="00C50C80" w:rsidRPr="00836EB3">
        <w:rPr>
          <w:szCs w:val="24"/>
        </w:rPr>
        <w:t>68</w:t>
      </w:r>
      <w:r w:rsidRPr="00836EB3">
        <w:rPr>
          <w:szCs w:val="24"/>
        </w:rPr>
        <w:t xml:space="preserve"> mil viajeros desde Costa Rica a Panamá y </w:t>
      </w:r>
      <w:r w:rsidR="00C50C80" w:rsidRPr="00836EB3">
        <w:rPr>
          <w:szCs w:val="24"/>
        </w:rPr>
        <w:t xml:space="preserve">62 </w:t>
      </w:r>
      <w:r w:rsidRPr="00836EB3">
        <w:rPr>
          <w:szCs w:val="24"/>
        </w:rPr>
        <w:t>mil viajeros en el sentido Panamá a Costa Rica</w:t>
      </w:r>
      <w:r w:rsidR="008759FC" w:rsidRPr="00836EB3">
        <w:rPr>
          <w:szCs w:val="24"/>
        </w:rPr>
        <w:t>)</w:t>
      </w:r>
      <w:r w:rsidR="00C50C80" w:rsidRPr="00836EB3">
        <w:rPr>
          <w:szCs w:val="24"/>
        </w:rPr>
        <w:t>, aunque ha crecido fuertemente en los últimos años</w:t>
      </w:r>
      <w:r w:rsidRPr="00836EB3">
        <w:rPr>
          <w:szCs w:val="24"/>
        </w:rPr>
        <w:t xml:space="preserve"> (en el período 2001-2011 la tasa de </w:t>
      </w:r>
      <w:r w:rsidR="008759FC" w:rsidRPr="00836EB3">
        <w:rPr>
          <w:szCs w:val="24"/>
        </w:rPr>
        <w:t xml:space="preserve">promedio de crecimiento anual </w:t>
      </w:r>
      <w:r w:rsidRPr="00836EB3">
        <w:rPr>
          <w:szCs w:val="24"/>
        </w:rPr>
        <w:t xml:space="preserve">fue </w:t>
      </w:r>
      <w:r w:rsidR="00C50C80" w:rsidRPr="00836EB3">
        <w:rPr>
          <w:szCs w:val="24"/>
        </w:rPr>
        <w:t>16,6</w:t>
      </w:r>
      <w:r w:rsidRPr="00836EB3">
        <w:rPr>
          <w:szCs w:val="24"/>
        </w:rPr>
        <w:t>%)</w:t>
      </w:r>
      <w:r w:rsidR="00C50C80" w:rsidRPr="00836EB3">
        <w:rPr>
          <w:szCs w:val="24"/>
        </w:rPr>
        <w:t xml:space="preserve">; existen </w:t>
      </w:r>
      <w:r w:rsidR="00011D8F" w:rsidRPr="00836EB3">
        <w:rPr>
          <w:szCs w:val="24"/>
        </w:rPr>
        <w:t>“</w:t>
      </w:r>
      <w:r w:rsidR="00C50C80" w:rsidRPr="00836EB3">
        <w:rPr>
          <w:szCs w:val="24"/>
        </w:rPr>
        <w:t>pasajeros no migrantes</w:t>
      </w:r>
      <w:r w:rsidR="00011D8F" w:rsidRPr="00836EB3">
        <w:rPr>
          <w:szCs w:val="24"/>
        </w:rPr>
        <w:t>”</w:t>
      </w:r>
      <w:r w:rsidR="00C50C80" w:rsidRPr="00836EB3">
        <w:rPr>
          <w:szCs w:val="24"/>
        </w:rPr>
        <w:t xml:space="preserve"> (vecinales) que se movilizan libremente entre las localidades de Sixaola y Gabito que no son objeto de control migratorio.</w:t>
      </w:r>
      <w:r w:rsidRPr="00836EB3">
        <w:rPr>
          <w:szCs w:val="24"/>
        </w:rPr>
        <w:t xml:space="preserve"> El movimiento de </w:t>
      </w:r>
      <w:r w:rsidR="00C50C80" w:rsidRPr="00836EB3">
        <w:rPr>
          <w:szCs w:val="24"/>
        </w:rPr>
        <w:t xml:space="preserve">vehículos </w:t>
      </w:r>
      <w:r w:rsidR="008759FC" w:rsidRPr="00836EB3">
        <w:rPr>
          <w:szCs w:val="24"/>
        </w:rPr>
        <w:t xml:space="preserve">de pasajeros </w:t>
      </w:r>
      <w:r w:rsidR="00C50C80" w:rsidRPr="00836EB3">
        <w:rPr>
          <w:szCs w:val="24"/>
        </w:rPr>
        <w:t xml:space="preserve">por el paso es muy reducido, </w:t>
      </w:r>
      <w:r w:rsidR="008759FC" w:rsidRPr="00836EB3">
        <w:rPr>
          <w:szCs w:val="24"/>
        </w:rPr>
        <w:t xml:space="preserve">estimado en </w:t>
      </w:r>
      <w:r w:rsidR="00011D8F" w:rsidRPr="00836EB3">
        <w:rPr>
          <w:szCs w:val="24"/>
        </w:rPr>
        <w:t>apenas</w:t>
      </w:r>
      <w:r w:rsidR="008759FC" w:rsidRPr="00836EB3">
        <w:rPr>
          <w:szCs w:val="24"/>
        </w:rPr>
        <w:t xml:space="preserve"> 14</w:t>
      </w:r>
      <w:r w:rsidR="00C50C80" w:rsidRPr="00836EB3">
        <w:rPr>
          <w:szCs w:val="24"/>
        </w:rPr>
        <w:t xml:space="preserve"> </w:t>
      </w:r>
      <w:proofErr w:type="spellStart"/>
      <w:r w:rsidR="00C50C80" w:rsidRPr="00836EB3">
        <w:rPr>
          <w:szCs w:val="24"/>
        </w:rPr>
        <w:t>veh</w:t>
      </w:r>
      <w:proofErr w:type="spellEnd"/>
      <w:r w:rsidR="00C50C80" w:rsidRPr="00836EB3">
        <w:rPr>
          <w:szCs w:val="24"/>
        </w:rPr>
        <w:t xml:space="preserve">/día </w:t>
      </w:r>
      <w:r w:rsidR="008759FC" w:rsidRPr="00836EB3">
        <w:rPr>
          <w:szCs w:val="24"/>
        </w:rPr>
        <w:t xml:space="preserve">en ambos sentidos </w:t>
      </w:r>
      <w:r w:rsidR="00C50C80" w:rsidRPr="00836EB3">
        <w:rPr>
          <w:szCs w:val="24"/>
        </w:rPr>
        <w:t>(2010)</w:t>
      </w:r>
      <w:r w:rsidR="008759FC" w:rsidRPr="00836EB3">
        <w:rPr>
          <w:szCs w:val="24"/>
        </w:rPr>
        <w:t xml:space="preserve">; la composición </w:t>
      </w:r>
      <w:r w:rsidR="00011D8F" w:rsidRPr="00836EB3">
        <w:rPr>
          <w:szCs w:val="24"/>
        </w:rPr>
        <w:t xml:space="preserve">estimada </w:t>
      </w:r>
      <w:r w:rsidR="008759FC" w:rsidRPr="00836EB3">
        <w:rPr>
          <w:szCs w:val="24"/>
        </w:rPr>
        <w:t xml:space="preserve">es 65% </w:t>
      </w:r>
      <w:r w:rsidR="00011D8F" w:rsidRPr="00836EB3">
        <w:rPr>
          <w:szCs w:val="24"/>
        </w:rPr>
        <w:t xml:space="preserve">de </w:t>
      </w:r>
      <w:r w:rsidR="008759FC" w:rsidRPr="00836EB3">
        <w:rPr>
          <w:szCs w:val="24"/>
        </w:rPr>
        <w:t xml:space="preserve">automóviles </w:t>
      </w:r>
      <w:r w:rsidR="00011D8F" w:rsidRPr="00836EB3">
        <w:rPr>
          <w:szCs w:val="24"/>
        </w:rPr>
        <w:t xml:space="preserve">(incluye </w:t>
      </w:r>
      <w:r w:rsidR="008759FC" w:rsidRPr="00836EB3">
        <w:rPr>
          <w:szCs w:val="24"/>
        </w:rPr>
        <w:t>motocicletas) y 35% autobuses.</w:t>
      </w:r>
    </w:p>
    <w:p w:rsidR="008759FC" w:rsidRPr="00836EB3" w:rsidRDefault="008759FC" w:rsidP="008759FC">
      <w:pPr>
        <w:pStyle w:val="ListParagraph"/>
        <w:rPr>
          <w:szCs w:val="24"/>
        </w:rPr>
      </w:pPr>
    </w:p>
    <w:p w:rsidR="00385D83" w:rsidRPr="00836EB3" w:rsidRDefault="00011D8F" w:rsidP="00385D83">
      <w:pPr>
        <w:numPr>
          <w:ilvl w:val="1"/>
          <w:numId w:val="2"/>
        </w:numPr>
        <w:tabs>
          <w:tab w:val="clear" w:pos="360"/>
          <w:tab w:val="num" w:pos="709"/>
        </w:tabs>
        <w:ind w:left="709" w:hanging="709"/>
        <w:jc w:val="both"/>
        <w:rPr>
          <w:szCs w:val="24"/>
        </w:rPr>
      </w:pPr>
      <w:r w:rsidRPr="00836EB3">
        <w:rPr>
          <w:szCs w:val="24"/>
        </w:rPr>
        <w:t>En los Cuadros II-4.1 y II-4</w:t>
      </w:r>
      <w:r w:rsidR="00385D83" w:rsidRPr="00836EB3">
        <w:rPr>
          <w:szCs w:val="24"/>
        </w:rPr>
        <w:t xml:space="preserve">.2 se presentan las proyecciones de TPDA para pasajeros y vehículos de pasajeros para el período 2014-2035 (22 años), según el sentido de viaje, tipo de movilidad utilizada, etc. </w:t>
      </w:r>
    </w:p>
    <w:p w:rsidR="00385D83" w:rsidRPr="00836EB3" w:rsidRDefault="00385D83" w:rsidP="00385D83">
      <w:pPr>
        <w:pStyle w:val="ListParagraph"/>
        <w:rPr>
          <w:szCs w:val="24"/>
        </w:rPr>
      </w:pPr>
    </w:p>
    <w:p w:rsidR="00385D83" w:rsidRPr="00836EB3" w:rsidRDefault="00385D83" w:rsidP="00385D83">
      <w:pPr>
        <w:numPr>
          <w:ilvl w:val="1"/>
          <w:numId w:val="2"/>
        </w:numPr>
        <w:tabs>
          <w:tab w:val="clear" w:pos="360"/>
          <w:tab w:val="num" w:pos="709"/>
        </w:tabs>
        <w:ind w:left="709" w:hanging="709"/>
        <w:jc w:val="both"/>
        <w:rPr>
          <w:szCs w:val="24"/>
        </w:rPr>
      </w:pPr>
      <w:r w:rsidRPr="00836EB3">
        <w:rPr>
          <w:b/>
          <w:szCs w:val="24"/>
        </w:rPr>
        <w:t>Vehículos de Carga.</w:t>
      </w:r>
      <w:r w:rsidRPr="00836EB3">
        <w:rPr>
          <w:szCs w:val="24"/>
        </w:rPr>
        <w:t xml:space="preserve"> En el paso </w:t>
      </w:r>
      <w:r w:rsidR="00011D8F" w:rsidRPr="00836EB3">
        <w:rPr>
          <w:szCs w:val="24"/>
        </w:rPr>
        <w:t>Sixaola</w:t>
      </w:r>
      <w:r w:rsidRPr="00836EB3">
        <w:rPr>
          <w:szCs w:val="24"/>
        </w:rPr>
        <w:t xml:space="preserve"> se moviliza un volumen de carga </w:t>
      </w:r>
      <w:r w:rsidR="00011D8F" w:rsidRPr="00836EB3">
        <w:rPr>
          <w:szCs w:val="24"/>
        </w:rPr>
        <w:t xml:space="preserve">reducido, pues es </w:t>
      </w:r>
      <w:r w:rsidRPr="00836EB3">
        <w:rPr>
          <w:szCs w:val="24"/>
        </w:rPr>
        <w:t xml:space="preserve">de </w:t>
      </w:r>
      <w:r w:rsidR="00011D8F" w:rsidRPr="00836EB3">
        <w:rPr>
          <w:szCs w:val="24"/>
        </w:rPr>
        <w:t>aproximadamente 77</w:t>
      </w:r>
      <w:r w:rsidRPr="00836EB3">
        <w:rPr>
          <w:szCs w:val="24"/>
        </w:rPr>
        <w:t xml:space="preserve"> mil ton/año por un valor de US$ </w:t>
      </w:r>
      <w:r w:rsidR="00011D8F" w:rsidRPr="00836EB3">
        <w:rPr>
          <w:szCs w:val="24"/>
        </w:rPr>
        <w:t>60</w:t>
      </w:r>
      <w:r w:rsidRPr="00836EB3">
        <w:rPr>
          <w:szCs w:val="24"/>
        </w:rPr>
        <w:t xml:space="preserve"> millones (2011); el flujo en sentido Costa Rica a Panamá es de un mayor peso relativo, con el </w:t>
      </w:r>
      <w:r w:rsidR="00011D8F" w:rsidRPr="00836EB3">
        <w:rPr>
          <w:szCs w:val="24"/>
        </w:rPr>
        <w:t>66</w:t>
      </w:r>
      <w:r w:rsidRPr="00836EB3">
        <w:rPr>
          <w:szCs w:val="24"/>
        </w:rPr>
        <w:t xml:space="preserve">% del volumen movilizado y </w:t>
      </w:r>
      <w:r w:rsidR="00011D8F" w:rsidRPr="00836EB3">
        <w:rPr>
          <w:szCs w:val="24"/>
        </w:rPr>
        <w:t>78</w:t>
      </w:r>
      <w:r w:rsidRPr="00836EB3">
        <w:rPr>
          <w:szCs w:val="24"/>
        </w:rPr>
        <w:t>% del valor de la mercadería comercializada a través del paso. El TPDA total de vehículos de carga se encuentra en</w:t>
      </w:r>
      <w:r w:rsidR="00011D8F" w:rsidRPr="00836EB3">
        <w:rPr>
          <w:szCs w:val="24"/>
        </w:rPr>
        <w:t xml:space="preserve"> el orden de 25</w:t>
      </w:r>
      <w:r w:rsidRPr="00836EB3">
        <w:rPr>
          <w:szCs w:val="24"/>
        </w:rPr>
        <w:t xml:space="preserve"> </w:t>
      </w:r>
      <w:proofErr w:type="spellStart"/>
      <w:r w:rsidRPr="00836EB3">
        <w:rPr>
          <w:szCs w:val="24"/>
        </w:rPr>
        <w:t>veh</w:t>
      </w:r>
      <w:proofErr w:type="spellEnd"/>
      <w:r w:rsidRPr="00836EB3">
        <w:rPr>
          <w:szCs w:val="24"/>
        </w:rPr>
        <w:t>/día (cargados y vacíos) incluyendo los diferentes tipos de despachos aduaneros que corresponden a las diferentes modalidades de comercio mencionadas.</w:t>
      </w:r>
    </w:p>
    <w:p w:rsidR="00385D83" w:rsidRPr="00836EB3" w:rsidRDefault="00385D83" w:rsidP="00385D83">
      <w:pPr>
        <w:pStyle w:val="ListParagraph"/>
        <w:rPr>
          <w:szCs w:val="24"/>
        </w:rPr>
      </w:pPr>
    </w:p>
    <w:p w:rsidR="00385D83" w:rsidRPr="00836EB3" w:rsidRDefault="00385D83" w:rsidP="00385D83">
      <w:pPr>
        <w:numPr>
          <w:ilvl w:val="1"/>
          <w:numId w:val="2"/>
        </w:numPr>
        <w:tabs>
          <w:tab w:val="clear" w:pos="360"/>
          <w:tab w:val="num" w:pos="709"/>
        </w:tabs>
        <w:ind w:left="709" w:hanging="709"/>
        <w:jc w:val="both"/>
        <w:rPr>
          <w:szCs w:val="24"/>
        </w:rPr>
      </w:pPr>
      <w:r w:rsidRPr="00836EB3">
        <w:rPr>
          <w:szCs w:val="24"/>
        </w:rPr>
        <w:t>En</w:t>
      </w:r>
      <w:r w:rsidR="00011D8F" w:rsidRPr="00836EB3">
        <w:rPr>
          <w:szCs w:val="24"/>
        </w:rPr>
        <w:t xml:space="preserve"> e</w:t>
      </w:r>
      <w:r w:rsidRPr="00836EB3">
        <w:rPr>
          <w:szCs w:val="24"/>
        </w:rPr>
        <w:t>l Cu</w:t>
      </w:r>
      <w:r w:rsidR="00011D8F" w:rsidRPr="00836EB3">
        <w:rPr>
          <w:szCs w:val="24"/>
        </w:rPr>
        <w:t>adro II-4</w:t>
      </w:r>
      <w:r w:rsidRPr="00836EB3">
        <w:rPr>
          <w:szCs w:val="24"/>
        </w:rPr>
        <w:t>.3 se presenta la proyección del TPDA de los vehícul</w:t>
      </w:r>
      <w:r w:rsidR="0044164B" w:rsidRPr="00836EB3">
        <w:rPr>
          <w:szCs w:val="24"/>
        </w:rPr>
        <w:t>os de carga para el período 2017</w:t>
      </w:r>
      <w:r w:rsidRPr="00836EB3">
        <w:rPr>
          <w:szCs w:val="24"/>
        </w:rPr>
        <w:t>-20</w:t>
      </w:r>
      <w:r w:rsidR="0044164B" w:rsidRPr="00836EB3">
        <w:rPr>
          <w:szCs w:val="24"/>
        </w:rPr>
        <w:t>47</w:t>
      </w:r>
      <w:r w:rsidRPr="00836EB3">
        <w:rPr>
          <w:szCs w:val="24"/>
        </w:rPr>
        <w:t xml:space="preserve"> (</w:t>
      </w:r>
      <w:r w:rsidR="0044164B" w:rsidRPr="00836EB3">
        <w:rPr>
          <w:szCs w:val="24"/>
        </w:rPr>
        <w:t>31</w:t>
      </w:r>
      <w:r w:rsidRPr="00836EB3">
        <w:rPr>
          <w:szCs w:val="24"/>
        </w:rPr>
        <w:t xml:space="preserve"> años), discriminando sentido y tipo de despacho aduanero. </w:t>
      </w:r>
    </w:p>
    <w:p w:rsidR="0021591B" w:rsidRPr="00836EB3" w:rsidRDefault="0021591B" w:rsidP="0021591B">
      <w:pPr>
        <w:pStyle w:val="ListParagraph"/>
        <w:rPr>
          <w:szCs w:val="24"/>
        </w:rPr>
      </w:pPr>
    </w:p>
    <w:p w:rsidR="006422DC" w:rsidRPr="00836EB3" w:rsidRDefault="006422DC" w:rsidP="0021591B">
      <w:pPr>
        <w:pStyle w:val="ListParagraph"/>
        <w:rPr>
          <w:szCs w:val="24"/>
        </w:rPr>
      </w:pPr>
    </w:p>
    <w:p w:rsidR="002B6FAB" w:rsidRPr="00836EB3" w:rsidRDefault="002B6FAB">
      <w:pPr>
        <w:rPr>
          <w:lang w:val="es-ES_tradnl"/>
        </w:rPr>
      </w:pPr>
    </w:p>
    <w:p w:rsidR="006422DC" w:rsidRPr="00836EB3" w:rsidRDefault="006422DC">
      <w:pPr>
        <w:rPr>
          <w:lang w:val="es-ES_tradnl"/>
        </w:rPr>
        <w:sectPr w:rsidR="006422DC" w:rsidRPr="00836EB3" w:rsidSect="003D64AD">
          <w:pgSz w:w="12242" w:h="15842" w:code="1"/>
          <w:pgMar w:top="1440" w:right="1298" w:bottom="1440" w:left="1797" w:header="731" w:footer="1134" w:gutter="0"/>
          <w:cols w:space="720"/>
        </w:sectPr>
      </w:pPr>
    </w:p>
    <w:p w:rsidR="006422DC" w:rsidRPr="00836EB3" w:rsidRDefault="006422DC" w:rsidP="006422DC">
      <w:pPr>
        <w:jc w:val="center"/>
        <w:rPr>
          <w:b/>
          <w:sz w:val="22"/>
          <w:szCs w:val="22"/>
        </w:rPr>
      </w:pPr>
      <w:r w:rsidRPr="00836EB3">
        <w:rPr>
          <w:b/>
          <w:sz w:val="22"/>
          <w:szCs w:val="22"/>
        </w:rPr>
        <w:t>Cuadro II-4.1</w:t>
      </w:r>
    </w:p>
    <w:p w:rsidR="006422DC" w:rsidRPr="00836EB3" w:rsidRDefault="006422DC" w:rsidP="006422DC">
      <w:pPr>
        <w:jc w:val="center"/>
        <w:rPr>
          <w:b/>
          <w:bCs/>
          <w:sz w:val="20"/>
          <w:lang w:val="es-ES" w:eastAsia="es-ES"/>
        </w:rPr>
      </w:pPr>
      <w:r w:rsidRPr="00836EB3">
        <w:rPr>
          <w:b/>
          <w:bCs/>
          <w:sz w:val="20"/>
          <w:lang w:val="es-ES" w:eastAsia="es-ES"/>
        </w:rPr>
        <w:t xml:space="preserve">PASO SIXAOLA </w:t>
      </w:r>
    </w:p>
    <w:p w:rsidR="006422DC" w:rsidRPr="00836EB3" w:rsidRDefault="006422DC" w:rsidP="006422DC">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00AE48E6" w:rsidRPr="00836EB3">
        <w:rPr>
          <w:b/>
          <w:bCs/>
          <w:sz w:val="20"/>
          <w:lang w:val="es-ES" w:eastAsia="es-ES"/>
        </w:rPr>
        <w:t xml:space="preserve"> de Pasajeros (</w:t>
      </w:r>
      <w:proofErr w:type="spellStart"/>
      <w:r w:rsidR="00AE48E6" w:rsidRPr="00836EB3">
        <w:rPr>
          <w:b/>
          <w:bCs/>
          <w:sz w:val="20"/>
          <w:lang w:val="es-ES" w:eastAsia="es-ES"/>
        </w:rPr>
        <w:t>pas</w:t>
      </w:r>
      <w:proofErr w:type="spellEnd"/>
      <w:r w:rsidR="00AE48E6" w:rsidRPr="00836EB3">
        <w:rPr>
          <w:b/>
          <w:bCs/>
          <w:sz w:val="20"/>
          <w:lang w:val="es-ES" w:eastAsia="es-ES"/>
        </w:rPr>
        <w:t>/día). 2017</w:t>
      </w:r>
      <w:r w:rsidRPr="00836EB3">
        <w:rPr>
          <w:b/>
          <w:bCs/>
          <w:sz w:val="20"/>
          <w:lang w:val="es-ES" w:eastAsia="es-ES"/>
        </w:rPr>
        <w:t>-20</w:t>
      </w:r>
      <w:r w:rsidR="00AE48E6" w:rsidRPr="00836EB3">
        <w:rPr>
          <w:b/>
          <w:bCs/>
          <w:sz w:val="20"/>
          <w:lang w:val="es-ES" w:eastAsia="es-ES"/>
        </w:rPr>
        <w:t>47</w:t>
      </w:r>
    </w:p>
    <w:p w:rsidR="00AE48E6" w:rsidRPr="00836EB3" w:rsidRDefault="00AE48E6" w:rsidP="006422DC">
      <w:pPr>
        <w:jc w:val="center"/>
        <w:rPr>
          <w:sz w:val="20"/>
        </w:rPr>
      </w:pPr>
    </w:p>
    <w:p w:rsidR="006422DC" w:rsidRPr="00836EB3" w:rsidRDefault="00AE48E6" w:rsidP="006422DC">
      <w:pPr>
        <w:jc w:val="center"/>
      </w:pPr>
      <w:r w:rsidRPr="00836EB3">
        <w:rPr>
          <w:noProof/>
          <w:lang w:val="en-US"/>
        </w:rPr>
        <w:drawing>
          <wp:inline distT="0" distB="0" distL="0" distR="0">
            <wp:extent cx="7902051" cy="5168347"/>
            <wp:effectExtent l="19050" t="0" r="3699" b="0"/>
            <wp:docPr id="5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7899400" cy="5166613"/>
                    </a:xfrm>
                    <a:prstGeom prst="rect">
                      <a:avLst/>
                    </a:prstGeom>
                    <a:noFill/>
                    <a:ln w="9525">
                      <a:noFill/>
                      <a:miter lim="800000"/>
                      <a:headEnd/>
                      <a:tailEnd/>
                    </a:ln>
                  </pic:spPr>
                </pic:pic>
              </a:graphicData>
            </a:graphic>
          </wp:inline>
        </w:drawing>
      </w:r>
    </w:p>
    <w:p w:rsidR="006422DC" w:rsidRPr="00836EB3" w:rsidRDefault="006422DC">
      <w:r w:rsidRPr="00836EB3">
        <w:br w:type="page"/>
      </w:r>
    </w:p>
    <w:p w:rsidR="006422DC" w:rsidRPr="00836EB3" w:rsidRDefault="006422DC" w:rsidP="006422DC">
      <w:pPr>
        <w:jc w:val="center"/>
        <w:rPr>
          <w:b/>
          <w:sz w:val="22"/>
          <w:szCs w:val="22"/>
        </w:rPr>
      </w:pPr>
      <w:r w:rsidRPr="00836EB3">
        <w:rPr>
          <w:b/>
          <w:sz w:val="22"/>
          <w:szCs w:val="22"/>
        </w:rPr>
        <w:t>Cuadro II-4.2</w:t>
      </w:r>
    </w:p>
    <w:p w:rsidR="006422DC" w:rsidRPr="00836EB3" w:rsidRDefault="006422DC" w:rsidP="006422DC">
      <w:pPr>
        <w:jc w:val="center"/>
        <w:rPr>
          <w:b/>
          <w:bCs/>
          <w:sz w:val="20"/>
          <w:lang w:val="es-ES" w:eastAsia="es-ES"/>
        </w:rPr>
      </w:pPr>
      <w:r w:rsidRPr="00836EB3">
        <w:rPr>
          <w:b/>
          <w:bCs/>
          <w:sz w:val="20"/>
          <w:lang w:val="es-ES" w:eastAsia="es-ES"/>
        </w:rPr>
        <w:t xml:space="preserve">PASO SIXAOLA </w:t>
      </w:r>
    </w:p>
    <w:p w:rsidR="006422DC" w:rsidRPr="00836EB3" w:rsidRDefault="006422DC" w:rsidP="006422DC">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Vehículos de Pasajeros (</w:t>
      </w:r>
      <w:proofErr w:type="spellStart"/>
      <w:r w:rsidRPr="00836EB3">
        <w:rPr>
          <w:b/>
          <w:bCs/>
          <w:sz w:val="20"/>
          <w:lang w:val="es-ES" w:eastAsia="es-ES"/>
        </w:rPr>
        <w:t>veh</w:t>
      </w:r>
      <w:proofErr w:type="spellEnd"/>
      <w:r w:rsidRPr="00836EB3">
        <w:rPr>
          <w:b/>
          <w:bCs/>
          <w:sz w:val="20"/>
          <w:lang w:val="es-ES" w:eastAsia="es-ES"/>
        </w:rPr>
        <w:t>/día). 201</w:t>
      </w:r>
      <w:r w:rsidR="00AE48E6" w:rsidRPr="00836EB3">
        <w:rPr>
          <w:b/>
          <w:bCs/>
          <w:sz w:val="20"/>
          <w:lang w:val="es-ES" w:eastAsia="es-ES"/>
        </w:rPr>
        <w:t>7</w:t>
      </w:r>
      <w:r w:rsidRPr="00836EB3">
        <w:rPr>
          <w:b/>
          <w:bCs/>
          <w:sz w:val="20"/>
          <w:lang w:val="es-ES" w:eastAsia="es-ES"/>
        </w:rPr>
        <w:t>-20</w:t>
      </w:r>
      <w:r w:rsidR="00AE48E6" w:rsidRPr="00836EB3">
        <w:rPr>
          <w:b/>
          <w:bCs/>
          <w:sz w:val="20"/>
          <w:lang w:val="es-ES" w:eastAsia="es-ES"/>
        </w:rPr>
        <w:t>47</w:t>
      </w:r>
    </w:p>
    <w:p w:rsidR="00AE48E6" w:rsidRPr="00836EB3" w:rsidRDefault="00AE48E6" w:rsidP="006422DC">
      <w:pPr>
        <w:jc w:val="center"/>
        <w:rPr>
          <w:b/>
          <w:bCs/>
          <w:sz w:val="20"/>
          <w:lang w:val="es-ES" w:eastAsia="es-ES"/>
        </w:rPr>
      </w:pPr>
    </w:p>
    <w:p w:rsidR="006422DC" w:rsidRPr="00836EB3" w:rsidRDefault="00AE48E6" w:rsidP="006422DC">
      <w:pPr>
        <w:jc w:val="center"/>
        <w:rPr>
          <w:lang w:val="es-ES"/>
        </w:rPr>
      </w:pPr>
      <w:r w:rsidRPr="00836EB3">
        <w:rPr>
          <w:noProof/>
          <w:lang w:val="en-US"/>
        </w:rPr>
        <w:drawing>
          <wp:inline distT="0" distB="0" distL="0" distR="0">
            <wp:extent cx="5445109" cy="5303520"/>
            <wp:effectExtent l="19050" t="0" r="3191" b="0"/>
            <wp:docPr id="5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5447831" cy="5306171"/>
                    </a:xfrm>
                    <a:prstGeom prst="rect">
                      <a:avLst/>
                    </a:prstGeom>
                    <a:noFill/>
                    <a:ln w="9525">
                      <a:noFill/>
                      <a:miter lim="800000"/>
                      <a:headEnd/>
                      <a:tailEnd/>
                    </a:ln>
                  </pic:spPr>
                </pic:pic>
              </a:graphicData>
            </a:graphic>
          </wp:inline>
        </w:drawing>
      </w:r>
    </w:p>
    <w:p w:rsidR="006422DC" w:rsidRPr="00836EB3" w:rsidRDefault="006422DC">
      <w:pPr>
        <w:rPr>
          <w:lang w:val="es-ES"/>
        </w:rPr>
      </w:pPr>
      <w:r w:rsidRPr="00836EB3">
        <w:rPr>
          <w:lang w:val="es-ES"/>
        </w:rPr>
        <w:br w:type="page"/>
      </w:r>
    </w:p>
    <w:p w:rsidR="006422DC" w:rsidRPr="00836EB3" w:rsidRDefault="006422DC" w:rsidP="006422DC">
      <w:pPr>
        <w:jc w:val="center"/>
        <w:rPr>
          <w:b/>
          <w:sz w:val="22"/>
          <w:szCs w:val="22"/>
        </w:rPr>
      </w:pPr>
      <w:r w:rsidRPr="00836EB3">
        <w:rPr>
          <w:b/>
          <w:sz w:val="22"/>
          <w:szCs w:val="22"/>
        </w:rPr>
        <w:t>Cuadro II-4.3</w:t>
      </w:r>
    </w:p>
    <w:p w:rsidR="006422DC" w:rsidRPr="00836EB3" w:rsidRDefault="006422DC" w:rsidP="006422DC">
      <w:pPr>
        <w:jc w:val="center"/>
        <w:rPr>
          <w:b/>
          <w:bCs/>
          <w:sz w:val="20"/>
          <w:lang w:val="es-ES" w:eastAsia="es-ES"/>
        </w:rPr>
      </w:pPr>
      <w:r w:rsidRPr="00836EB3">
        <w:rPr>
          <w:b/>
          <w:bCs/>
          <w:sz w:val="20"/>
          <w:lang w:val="es-ES" w:eastAsia="es-ES"/>
        </w:rPr>
        <w:t xml:space="preserve">PASO SIXAOLA </w:t>
      </w:r>
    </w:p>
    <w:p w:rsidR="006422DC" w:rsidRPr="00836EB3" w:rsidRDefault="006422DC" w:rsidP="006422DC">
      <w:pPr>
        <w:jc w:val="center"/>
        <w:rPr>
          <w:b/>
          <w:bCs/>
          <w:sz w:val="20"/>
          <w:lang w:val="es-ES" w:eastAsia="es-ES"/>
        </w:rPr>
      </w:pPr>
      <w:r w:rsidRPr="00836EB3">
        <w:rPr>
          <w:b/>
          <w:bCs/>
          <w:sz w:val="20"/>
          <w:lang w:val="es-ES" w:eastAsia="es-ES"/>
        </w:rPr>
        <w:t xml:space="preserve">Proyecciones de </w:t>
      </w:r>
      <w:proofErr w:type="gramStart"/>
      <w:r w:rsidRPr="00836EB3">
        <w:rPr>
          <w:b/>
          <w:bCs/>
          <w:sz w:val="20"/>
          <w:lang w:val="es-ES" w:eastAsia="es-ES"/>
        </w:rPr>
        <w:t>TPDA</w:t>
      </w:r>
      <w:r w:rsidRPr="00836EB3">
        <w:rPr>
          <w:b/>
          <w:bCs/>
          <w:sz w:val="20"/>
          <w:vertAlign w:val="superscript"/>
          <w:lang w:val="es-ES" w:eastAsia="es-ES"/>
        </w:rPr>
        <w:t>(</w:t>
      </w:r>
      <w:proofErr w:type="gramEnd"/>
      <w:r w:rsidRPr="00836EB3">
        <w:rPr>
          <w:b/>
          <w:bCs/>
          <w:sz w:val="20"/>
          <w:vertAlign w:val="superscript"/>
          <w:lang w:val="es-ES" w:eastAsia="es-ES"/>
        </w:rPr>
        <w:t>1)</w:t>
      </w:r>
      <w:r w:rsidRPr="00836EB3">
        <w:rPr>
          <w:b/>
          <w:bCs/>
          <w:sz w:val="20"/>
          <w:lang w:val="es-ES" w:eastAsia="es-ES"/>
        </w:rPr>
        <w:t xml:space="preserve"> de Ve</w:t>
      </w:r>
      <w:r w:rsidR="00AE48E6" w:rsidRPr="00836EB3">
        <w:rPr>
          <w:b/>
          <w:bCs/>
          <w:sz w:val="20"/>
          <w:lang w:val="es-ES" w:eastAsia="es-ES"/>
        </w:rPr>
        <w:t>hículos de Carga (</w:t>
      </w:r>
      <w:proofErr w:type="spellStart"/>
      <w:r w:rsidR="00AE48E6" w:rsidRPr="00836EB3">
        <w:rPr>
          <w:b/>
          <w:bCs/>
          <w:sz w:val="20"/>
          <w:lang w:val="es-ES" w:eastAsia="es-ES"/>
        </w:rPr>
        <w:t>veh</w:t>
      </w:r>
      <w:proofErr w:type="spellEnd"/>
      <w:r w:rsidR="00AE48E6" w:rsidRPr="00836EB3">
        <w:rPr>
          <w:b/>
          <w:bCs/>
          <w:sz w:val="20"/>
          <w:lang w:val="es-ES" w:eastAsia="es-ES"/>
        </w:rPr>
        <w:t>/día). 2017</w:t>
      </w:r>
      <w:r w:rsidRPr="00836EB3">
        <w:rPr>
          <w:b/>
          <w:bCs/>
          <w:sz w:val="20"/>
          <w:lang w:val="es-ES" w:eastAsia="es-ES"/>
        </w:rPr>
        <w:t>-20</w:t>
      </w:r>
      <w:r w:rsidR="00AE48E6" w:rsidRPr="00836EB3">
        <w:rPr>
          <w:b/>
          <w:bCs/>
          <w:sz w:val="20"/>
          <w:lang w:val="es-ES" w:eastAsia="es-ES"/>
        </w:rPr>
        <w:t>47</w:t>
      </w:r>
    </w:p>
    <w:p w:rsidR="004E689C" w:rsidRPr="00836EB3" w:rsidRDefault="004E689C" w:rsidP="006422DC">
      <w:pPr>
        <w:jc w:val="center"/>
        <w:rPr>
          <w:sz w:val="12"/>
          <w:szCs w:val="12"/>
        </w:rPr>
      </w:pPr>
    </w:p>
    <w:p w:rsidR="006422DC" w:rsidRPr="00836EB3" w:rsidRDefault="00AE48E6" w:rsidP="006422DC">
      <w:pPr>
        <w:jc w:val="center"/>
      </w:pPr>
      <w:r w:rsidRPr="00836EB3">
        <w:rPr>
          <w:noProof/>
          <w:lang w:val="en-US"/>
        </w:rPr>
        <w:drawing>
          <wp:inline distT="0" distB="0" distL="0" distR="0">
            <wp:extent cx="5459399" cy="5071439"/>
            <wp:effectExtent l="19050" t="0" r="7951" b="0"/>
            <wp:docPr id="5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5465241" cy="5076865"/>
                    </a:xfrm>
                    <a:prstGeom prst="rect">
                      <a:avLst/>
                    </a:prstGeom>
                    <a:noFill/>
                    <a:ln w="9525">
                      <a:noFill/>
                      <a:miter lim="800000"/>
                      <a:headEnd/>
                      <a:tailEnd/>
                    </a:ln>
                  </pic:spPr>
                </pic:pic>
              </a:graphicData>
            </a:graphic>
          </wp:inline>
        </w:drawing>
      </w:r>
    </w:p>
    <w:p w:rsidR="006422DC" w:rsidRPr="00836EB3" w:rsidRDefault="006422DC">
      <w:pPr>
        <w:rPr>
          <w:lang w:val="es-ES_tradnl"/>
        </w:rPr>
      </w:pPr>
    </w:p>
    <w:p w:rsidR="006422DC" w:rsidRPr="00836EB3" w:rsidRDefault="006422DC">
      <w:pPr>
        <w:rPr>
          <w:lang w:val="es-ES_tradnl"/>
        </w:rPr>
        <w:sectPr w:rsidR="006422DC" w:rsidRPr="00836EB3" w:rsidSect="00AE48E6">
          <w:pgSz w:w="15842" w:h="12242" w:orient="landscape" w:code="1"/>
          <w:pgMar w:top="1418" w:right="1701" w:bottom="1134" w:left="1701" w:header="731" w:footer="1134" w:gutter="0"/>
          <w:cols w:space="720"/>
        </w:sectPr>
      </w:pPr>
    </w:p>
    <w:p w:rsidR="006C201B" w:rsidRPr="00836EB3" w:rsidRDefault="006C201B" w:rsidP="006C201B">
      <w:pPr>
        <w:pStyle w:val="ListParagraph"/>
        <w:widowControl w:val="0"/>
        <w:adjustRightInd w:val="0"/>
        <w:ind w:left="705"/>
        <w:jc w:val="both"/>
        <w:textAlignment w:val="baseline"/>
        <w:rPr>
          <w:b/>
        </w:rPr>
      </w:pPr>
    </w:p>
    <w:p w:rsidR="00595CFA" w:rsidRPr="00836EB3" w:rsidRDefault="00CB5737" w:rsidP="00595CFA">
      <w:pPr>
        <w:pStyle w:val="ListParagraph"/>
        <w:widowControl w:val="0"/>
        <w:numPr>
          <w:ilvl w:val="0"/>
          <w:numId w:val="2"/>
        </w:numPr>
        <w:adjustRightInd w:val="0"/>
        <w:jc w:val="both"/>
        <w:textAlignment w:val="baseline"/>
        <w:rPr>
          <w:b/>
        </w:rPr>
      </w:pPr>
      <w:r w:rsidRPr="00836EB3">
        <w:rPr>
          <w:b/>
        </w:rPr>
        <w:t xml:space="preserve">Metodología e Insumos para </w:t>
      </w:r>
      <w:r w:rsidR="00B31C68" w:rsidRPr="00836EB3">
        <w:rPr>
          <w:b/>
        </w:rPr>
        <w:t>el Análisis Financiero</w:t>
      </w:r>
      <w:r w:rsidR="00595CFA" w:rsidRPr="00836EB3">
        <w:rPr>
          <w:b/>
        </w:rPr>
        <w:t>.</w:t>
      </w:r>
    </w:p>
    <w:p w:rsidR="00595CFA" w:rsidRPr="00836EB3" w:rsidRDefault="00595CFA" w:rsidP="00595CFA">
      <w:pPr>
        <w:widowControl w:val="0"/>
        <w:adjustRightInd w:val="0"/>
        <w:jc w:val="both"/>
        <w:textAlignment w:val="baseline"/>
        <w:rPr>
          <w:b/>
        </w:rPr>
      </w:pPr>
    </w:p>
    <w:p w:rsidR="00457E82" w:rsidRPr="00836EB3" w:rsidRDefault="00457E82" w:rsidP="00595CFA">
      <w:pPr>
        <w:pStyle w:val="ListParagraph"/>
        <w:numPr>
          <w:ilvl w:val="0"/>
          <w:numId w:val="19"/>
        </w:numPr>
        <w:ind w:hanging="720"/>
        <w:jc w:val="both"/>
        <w:rPr>
          <w:smallCaps/>
        </w:rPr>
      </w:pPr>
      <w:r w:rsidRPr="00836EB3">
        <w:rPr>
          <w:smallCaps/>
        </w:rPr>
        <w:t xml:space="preserve">Metodología </w:t>
      </w:r>
      <w:r w:rsidR="00E82585" w:rsidRPr="00836EB3">
        <w:rPr>
          <w:smallCaps/>
        </w:rPr>
        <w:t>General</w:t>
      </w:r>
      <w:r w:rsidRPr="00836EB3">
        <w:rPr>
          <w:smallCaps/>
        </w:rPr>
        <w:t>.</w:t>
      </w:r>
    </w:p>
    <w:p w:rsidR="00457E82" w:rsidRPr="00836EB3" w:rsidRDefault="00457E82" w:rsidP="00A87C94">
      <w:pPr>
        <w:jc w:val="both"/>
        <w:rPr>
          <w:smallCaps/>
        </w:rPr>
      </w:pPr>
    </w:p>
    <w:p w:rsidR="005F0BFB" w:rsidRPr="00836EB3" w:rsidRDefault="00DA17A8" w:rsidP="00DA17A8">
      <w:pPr>
        <w:widowControl w:val="0"/>
        <w:numPr>
          <w:ilvl w:val="1"/>
          <w:numId w:val="2"/>
        </w:numPr>
        <w:tabs>
          <w:tab w:val="clear" w:pos="360"/>
          <w:tab w:val="num" w:pos="709"/>
        </w:tabs>
        <w:adjustRightInd w:val="0"/>
        <w:ind w:left="709" w:hanging="709"/>
        <w:jc w:val="both"/>
        <w:textAlignment w:val="baseline"/>
        <w:rPr>
          <w:szCs w:val="24"/>
          <w:lang w:val="es-ES_tradnl"/>
        </w:rPr>
      </w:pPr>
      <w:bookmarkStart w:id="11" w:name="_Ref412906301"/>
      <w:bookmarkStart w:id="12" w:name="_Ref338575005"/>
      <w:bookmarkStart w:id="13" w:name="_Ref274224348"/>
      <w:r w:rsidRPr="00836EB3">
        <w:rPr>
          <w:szCs w:val="24"/>
          <w:lang w:val="es-ES_tradnl"/>
        </w:rPr>
        <w:t xml:space="preserve">Para </w:t>
      </w:r>
      <w:r w:rsidR="003940A1">
        <w:rPr>
          <w:szCs w:val="24"/>
          <w:lang w:val="es-ES_tradnl"/>
        </w:rPr>
        <w:t>el análisis financiero de</w:t>
      </w:r>
      <w:r w:rsidR="005F0BFB" w:rsidRPr="00836EB3">
        <w:rPr>
          <w:szCs w:val="24"/>
          <w:lang w:val="es-ES_tradnl"/>
        </w:rPr>
        <w:t>l</w:t>
      </w:r>
      <w:r w:rsidR="003940A1">
        <w:rPr>
          <w:szCs w:val="24"/>
          <w:lang w:val="es-ES_tradnl"/>
        </w:rPr>
        <w:t xml:space="preserve"> </w:t>
      </w:r>
      <w:r w:rsidR="003940A1" w:rsidRPr="003940A1">
        <w:t>Programa de Integración Fronteriza de Costa Rica</w:t>
      </w:r>
      <w:r w:rsidR="003940A1" w:rsidRPr="00836EB3">
        <w:rPr>
          <w:szCs w:val="24"/>
          <w:lang w:val="es-ES_tradnl"/>
        </w:rPr>
        <w:t xml:space="preserve"> </w:t>
      </w:r>
      <w:r w:rsidRPr="00836EB3">
        <w:rPr>
          <w:szCs w:val="24"/>
          <w:lang w:val="es-ES_tradnl"/>
        </w:rPr>
        <w:t xml:space="preserve">se adopta la </w:t>
      </w:r>
      <w:r w:rsidR="005F0BFB" w:rsidRPr="00836EB3">
        <w:rPr>
          <w:szCs w:val="24"/>
          <w:lang w:val="es-ES_tradnl"/>
        </w:rPr>
        <w:t>programación de obras prevista en el Plan de Ejecución del Proyecto (PEP); con ello se tiene el Cuadro I</w:t>
      </w:r>
      <w:r w:rsidR="0087146D">
        <w:rPr>
          <w:szCs w:val="24"/>
          <w:lang w:val="es-ES_tradnl"/>
        </w:rPr>
        <w:t>I</w:t>
      </w:r>
      <w:r w:rsidR="005F0BFB" w:rsidRPr="00836EB3">
        <w:rPr>
          <w:szCs w:val="24"/>
          <w:lang w:val="es-ES_tradnl"/>
        </w:rPr>
        <w:t>I-1 siguiente:</w:t>
      </w:r>
      <w:bookmarkEnd w:id="11"/>
    </w:p>
    <w:p w:rsidR="005F0BFB" w:rsidRPr="00836EB3" w:rsidRDefault="005F0BFB" w:rsidP="005F0BFB">
      <w:pPr>
        <w:ind w:left="709"/>
        <w:jc w:val="center"/>
        <w:rPr>
          <w:b/>
          <w:sz w:val="22"/>
          <w:szCs w:val="22"/>
        </w:rPr>
      </w:pPr>
      <w:r w:rsidRPr="00836EB3">
        <w:rPr>
          <w:b/>
          <w:sz w:val="22"/>
          <w:szCs w:val="22"/>
        </w:rPr>
        <w:t>Cuadro III-1</w:t>
      </w:r>
    </w:p>
    <w:p w:rsidR="005F0BFB" w:rsidRPr="00836EB3" w:rsidRDefault="005F0BFB" w:rsidP="005F0BFB">
      <w:pPr>
        <w:ind w:left="709"/>
        <w:jc w:val="center"/>
        <w:rPr>
          <w:b/>
          <w:bCs/>
          <w:sz w:val="20"/>
          <w:lang w:val="es-ES" w:eastAsia="es-ES"/>
        </w:rPr>
      </w:pPr>
      <w:r w:rsidRPr="00836EB3">
        <w:rPr>
          <w:b/>
          <w:bCs/>
          <w:sz w:val="20"/>
          <w:lang w:val="es-ES" w:eastAsia="es-ES"/>
        </w:rPr>
        <w:t xml:space="preserve">Cronograma Básico de Ejecución de las Obras de Modernización </w:t>
      </w:r>
    </w:p>
    <w:p w:rsidR="005F0BFB" w:rsidRPr="00836EB3" w:rsidRDefault="005F0BFB" w:rsidP="005F0BFB">
      <w:pPr>
        <w:ind w:left="709"/>
        <w:jc w:val="center"/>
        <w:rPr>
          <w:b/>
          <w:bCs/>
          <w:sz w:val="20"/>
          <w:lang w:val="es-ES" w:eastAsia="es-ES"/>
        </w:rPr>
      </w:pPr>
    </w:p>
    <w:p w:rsidR="005F0BFB" w:rsidRPr="00836EB3" w:rsidRDefault="005F0BFB" w:rsidP="005F0BFB">
      <w:pPr>
        <w:widowControl w:val="0"/>
        <w:adjustRightInd w:val="0"/>
        <w:ind w:left="705"/>
        <w:jc w:val="center"/>
        <w:textAlignment w:val="baseline"/>
        <w:rPr>
          <w:szCs w:val="24"/>
          <w:lang w:val="es-ES_tradnl"/>
        </w:rPr>
      </w:pPr>
      <w:r w:rsidRPr="00836EB3">
        <w:rPr>
          <w:noProof/>
          <w:szCs w:val="24"/>
          <w:lang w:val="en-US"/>
        </w:rPr>
        <w:drawing>
          <wp:inline distT="0" distB="0" distL="0" distR="0">
            <wp:extent cx="3657600" cy="977900"/>
            <wp:effectExtent l="19050" t="0" r="0" b="0"/>
            <wp:docPr id="5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3657600" cy="977900"/>
                    </a:xfrm>
                    <a:prstGeom prst="rect">
                      <a:avLst/>
                    </a:prstGeom>
                    <a:noFill/>
                    <a:ln w="9525">
                      <a:noFill/>
                      <a:miter lim="800000"/>
                      <a:headEnd/>
                      <a:tailEnd/>
                    </a:ln>
                  </pic:spPr>
                </pic:pic>
              </a:graphicData>
            </a:graphic>
          </wp:inline>
        </w:drawing>
      </w:r>
    </w:p>
    <w:p w:rsidR="005F0BFB" w:rsidRPr="00836EB3" w:rsidRDefault="005F0BFB" w:rsidP="005F0BFB">
      <w:pPr>
        <w:widowControl w:val="0"/>
        <w:adjustRightInd w:val="0"/>
        <w:ind w:left="709"/>
        <w:jc w:val="both"/>
        <w:textAlignment w:val="baseline"/>
        <w:rPr>
          <w:szCs w:val="24"/>
          <w:lang w:val="es-ES_tradnl"/>
        </w:rPr>
      </w:pPr>
    </w:p>
    <w:bookmarkEnd w:id="12"/>
    <w:p w:rsidR="00133CDE" w:rsidRPr="00836EB3" w:rsidRDefault="00AC49B1" w:rsidP="005D3259">
      <w:pPr>
        <w:widowControl w:val="0"/>
        <w:numPr>
          <w:ilvl w:val="1"/>
          <w:numId w:val="2"/>
        </w:numPr>
        <w:tabs>
          <w:tab w:val="clear" w:pos="360"/>
          <w:tab w:val="num" w:pos="709"/>
        </w:tabs>
        <w:adjustRightInd w:val="0"/>
        <w:ind w:left="709" w:hanging="709"/>
        <w:jc w:val="both"/>
        <w:textAlignment w:val="baseline"/>
        <w:rPr>
          <w:szCs w:val="24"/>
          <w:lang w:val="es-ES_tradnl"/>
        </w:rPr>
      </w:pPr>
      <w:r w:rsidRPr="00836EB3">
        <w:rPr>
          <w:b/>
          <w:szCs w:val="24"/>
        </w:rPr>
        <w:t>Metodología tradicional.</w:t>
      </w:r>
      <w:r w:rsidRPr="00836EB3">
        <w:rPr>
          <w:szCs w:val="24"/>
        </w:rPr>
        <w:t xml:space="preserve"> </w:t>
      </w:r>
      <w:r w:rsidR="00A15B31" w:rsidRPr="00836EB3">
        <w:rPr>
          <w:szCs w:val="24"/>
        </w:rPr>
        <w:t xml:space="preserve">El análisis de viabilidad </w:t>
      </w:r>
      <w:r w:rsidR="008D549D" w:rsidRPr="00836EB3">
        <w:rPr>
          <w:szCs w:val="24"/>
        </w:rPr>
        <w:t xml:space="preserve">financiera </w:t>
      </w:r>
      <w:r w:rsidR="00133CDE" w:rsidRPr="00836EB3">
        <w:rPr>
          <w:szCs w:val="24"/>
        </w:rPr>
        <w:t>de</w:t>
      </w:r>
      <w:r w:rsidR="00287B53" w:rsidRPr="00836EB3">
        <w:rPr>
          <w:szCs w:val="24"/>
        </w:rPr>
        <w:t xml:space="preserve"> </w:t>
      </w:r>
      <w:r w:rsidR="00133CDE" w:rsidRPr="00836EB3">
        <w:rPr>
          <w:szCs w:val="24"/>
        </w:rPr>
        <w:t>l</w:t>
      </w:r>
      <w:r w:rsidR="00287B53" w:rsidRPr="00836EB3">
        <w:rPr>
          <w:szCs w:val="24"/>
        </w:rPr>
        <w:t xml:space="preserve">os </w:t>
      </w:r>
      <w:r w:rsidRPr="00836EB3">
        <w:rPr>
          <w:szCs w:val="24"/>
        </w:rPr>
        <w:t xml:space="preserve">cuatro </w:t>
      </w:r>
      <w:r w:rsidR="00287B53" w:rsidRPr="00836EB3">
        <w:rPr>
          <w:szCs w:val="24"/>
        </w:rPr>
        <w:t>p</w:t>
      </w:r>
      <w:r w:rsidR="00FD005F" w:rsidRPr="00836EB3">
        <w:rPr>
          <w:szCs w:val="24"/>
        </w:rPr>
        <w:t>royecto</w:t>
      </w:r>
      <w:r w:rsidR="00287B53" w:rsidRPr="00836EB3">
        <w:rPr>
          <w:szCs w:val="24"/>
        </w:rPr>
        <w:t>s</w:t>
      </w:r>
      <w:r w:rsidR="00FD005F" w:rsidRPr="00836EB3">
        <w:rPr>
          <w:szCs w:val="24"/>
        </w:rPr>
        <w:t xml:space="preserve"> </w:t>
      </w:r>
      <w:r w:rsidR="008D549D" w:rsidRPr="00836EB3">
        <w:rPr>
          <w:szCs w:val="24"/>
        </w:rPr>
        <w:t>previstos a financiar por e</w:t>
      </w:r>
      <w:r w:rsidR="00287B53" w:rsidRPr="00836EB3">
        <w:rPr>
          <w:szCs w:val="24"/>
        </w:rPr>
        <w:t xml:space="preserve">l </w:t>
      </w:r>
      <w:r w:rsidR="008D549D" w:rsidRPr="00836EB3">
        <w:rPr>
          <w:szCs w:val="24"/>
        </w:rPr>
        <w:t>Banco,</w:t>
      </w:r>
      <w:r w:rsidR="00287B53" w:rsidRPr="00836EB3">
        <w:rPr>
          <w:szCs w:val="24"/>
        </w:rPr>
        <w:t xml:space="preserve"> </w:t>
      </w:r>
      <w:r w:rsidR="00FD005F" w:rsidRPr="00836EB3">
        <w:rPr>
          <w:szCs w:val="24"/>
        </w:rPr>
        <w:t xml:space="preserve">se </w:t>
      </w:r>
      <w:r w:rsidR="00A15B31" w:rsidRPr="00836EB3">
        <w:rPr>
          <w:szCs w:val="24"/>
        </w:rPr>
        <w:t>rea</w:t>
      </w:r>
      <w:r w:rsidR="00A0018E" w:rsidRPr="00836EB3">
        <w:rPr>
          <w:szCs w:val="24"/>
        </w:rPr>
        <w:t xml:space="preserve">liza </w:t>
      </w:r>
      <w:r w:rsidR="00287B53" w:rsidRPr="00836EB3">
        <w:rPr>
          <w:szCs w:val="24"/>
        </w:rPr>
        <w:t>aplicand</w:t>
      </w:r>
      <w:r w:rsidR="00A0018E" w:rsidRPr="00836EB3">
        <w:rPr>
          <w:szCs w:val="24"/>
        </w:rPr>
        <w:t>o</w:t>
      </w:r>
      <w:r w:rsidR="00797C36" w:rsidRPr="00836EB3">
        <w:rPr>
          <w:szCs w:val="24"/>
        </w:rPr>
        <w:t xml:space="preserve"> </w:t>
      </w:r>
      <w:r w:rsidR="00A15B31" w:rsidRPr="00836EB3">
        <w:rPr>
          <w:szCs w:val="24"/>
        </w:rPr>
        <w:t xml:space="preserve">la </w:t>
      </w:r>
      <w:r w:rsidR="00133CDE" w:rsidRPr="00836EB3">
        <w:rPr>
          <w:szCs w:val="24"/>
        </w:rPr>
        <w:t>metodología tradicional</w:t>
      </w:r>
      <w:r w:rsidR="008D549D" w:rsidRPr="00836EB3">
        <w:rPr>
          <w:szCs w:val="24"/>
        </w:rPr>
        <w:t xml:space="preserve"> que implica elaborar el flujo neto de Ingresos y Egresos durante todo el plazo de vigencia de la operación; el plazo de crédito se prevé de 30,5 años. </w:t>
      </w:r>
      <w:r w:rsidR="0041691E" w:rsidRPr="00836EB3">
        <w:rPr>
          <w:szCs w:val="24"/>
        </w:rPr>
        <w:t xml:space="preserve">Obtenido </w:t>
      </w:r>
      <w:r w:rsidR="00133CDE" w:rsidRPr="00836EB3">
        <w:rPr>
          <w:szCs w:val="24"/>
        </w:rPr>
        <w:t>el flujo neto de</w:t>
      </w:r>
      <w:r w:rsidR="008D549D" w:rsidRPr="00836EB3">
        <w:rPr>
          <w:szCs w:val="24"/>
        </w:rPr>
        <w:t xml:space="preserve">l flujo financiero </w:t>
      </w:r>
      <w:r w:rsidR="00133CDE" w:rsidRPr="00836EB3">
        <w:rPr>
          <w:szCs w:val="24"/>
        </w:rPr>
        <w:t>para el período</w:t>
      </w:r>
      <w:r w:rsidR="00A0018E" w:rsidRPr="00836EB3">
        <w:rPr>
          <w:szCs w:val="24"/>
        </w:rPr>
        <w:t xml:space="preserve"> de análisis</w:t>
      </w:r>
      <w:r w:rsidR="00133CDE" w:rsidRPr="00836EB3">
        <w:rPr>
          <w:szCs w:val="24"/>
        </w:rPr>
        <w:t>, se calcul</w:t>
      </w:r>
      <w:r w:rsidR="00A0018E" w:rsidRPr="00836EB3">
        <w:rPr>
          <w:szCs w:val="24"/>
        </w:rPr>
        <w:t>a el Valor A</w:t>
      </w:r>
      <w:r w:rsidR="00133CDE" w:rsidRPr="00836EB3">
        <w:rPr>
          <w:szCs w:val="24"/>
        </w:rPr>
        <w:t>ctual Neto (VAN)</w:t>
      </w:r>
      <w:r w:rsidR="008D549D" w:rsidRPr="00836EB3">
        <w:rPr>
          <w:szCs w:val="24"/>
        </w:rPr>
        <w:t xml:space="preserve"> con</w:t>
      </w:r>
      <w:r w:rsidR="00B66B0E" w:rsidRPr="00836EB3">
        <w:rPr>
          <w:szCs w:val="24"/>
        </w:rPr>
        <w:t xml:space="preserve"> </w:t>
      </w:r>
      <w:r w:rsidR="0041691E" w:rsidRPr="00836EB3">
        <w:rPr>
          <w:szCs w:val="24"/>
        </w:rPr>
        <w:t>una tasa de descuento del 12</w:t>
      </w:r>
      <w:r w:rsidR="008314A3" w:rsidRPr="00836EB3">
        <w:rPr>
          <w:szCs w:val="24"/>
        </w:rPr>
        <w:t>,</w:t>
      </w:r>
      <w:r w:rsidR="0041691E" w:rsidRPr="00836EB3">
        <w:rPr>
          <w:szCs w:val="24"/>
        </w:rPr>
        <w:t>0%</w:t>
      </w:r>
      <w:r w:rsidR="008D549D" w:rsidRPr="00836EB3">
        <w:rPr>
          <w:szCs w:val="24"/>
        </w:rPr>
        <w:t xml:space="preserve"> y se estudia el Flujo de Caja respectivo para analizar la sustentabilidad financiera</w:t>
      </w:r>
      <w:r w:rsidR="00B66B0E" w:rsidRPr="00836EB3">
        <w:rPr>
          <w:szCs w:val="24"/>
        </w:rPr>
        <w:t>.</w:t>
      </w:r>
      <w:bookmarkEnd w:id="13"/>
    </w:p>
    <w:p w:rsidR="009806B7" w:rsidRPr="00836EB3" w:rsidRDefault="009806B7" w:rsidP="009806B7">
      <w:pPr>
        <w:widowControl w:val="0"/>
        <w:adjustRightInd w:val="0"/>
        <w:ind w:left="709"/>
        <w:jc w:val="both"/>
        <w:textAlignment w:val="baseline"/>
        <w:rPr>
          <w:szCs w:val="24"/>
          <w:lang w:val="es-ES_tradnl"/>
        </w:rPr>
      </w:pPr>
    </w:p>
    <w:p w:rsidR="009806B7" w:rsidRPr="00836EB3" w:rsidRDefault="009806B7" w:rsidP="005D3259">
      <w:pPr>
        <w:widowControl w:val="0"/>
        <w:numPr>
          <w:ilvl w:val="1"/>
          <w:numId w:val="2"/>
        </w:numPr>
        <w:tabs>
          <w:tab w:val="clear" w:pos="360"/>
          <w:tab w:val="num" w:pos="709"/>
        </w:tabs>
        <w:adjustRightInd w:val="0"/>
        <w:ind w:left="709" w:hanging="709"/>
        <w:jc w:val="both"/>
        <w:textAlignment w:val="baseline"/>
        <w:rPr>
          <w:szCs w:val="24"/>
          <w:lang w:val="es-ES_tradnl"/>
        </w:rPr>
      </w:pPr>
      <w:r w:rsidRPr="00836EB3">
        <w:rPr>
          <w:b/>
          <w:szCs w:val="24"/>
          <w:lang w:val="es-ES_tradnl"/>
        </w:rPr>
        <w:t>Precios.</w:t>
      </w:r>
      <w:r w:rsidRPr="00836EB3">
        <w:rPr>
          <w:szCs w:val="24"/>
          <w:lang w:val="es-ES_tradnl"/>
        </w:rPr>
        <w:t xml:space="preserve"> </w:t>
      </w:r>
      <w:r w:rsidRPr="00836EB3">
        <w:rPr>
          <w:lang w:val="es-ES_tradnl"/>
        </w:rPr>
        <w:t>Tratándose de un análisis financiero, se utilizaron, en todos los casos, los correspondientes precios de mercado para todos los factores de costo que componen el cálculo, según la información básica correspondiente a 2013-2014.</w:t>
      </w:r>
    </w:p>
    <w:p w:rsidR="00A11987" w:rsidRPr="00836EB3" w:rsidRDefault="00A11987" w:rsidP="008C020C">
      <w:pPr>
        <w:pStyle w:val="ListParagraph"/>
        <w:rPr>
          <w:szCs w:val="24"/>
          <w:lang w:val="es-ES_tradnl"/>
        </w:rPr>
      </w:pPr>
    </w:p>
    <w:p w:rsidR="00287770" w:rsidRPr="00836EB3" w:rsidRDefault="00287770" w:rsidP="004F1D9A">
      <w:pPr>
        <w:pStyle w:val="ListParagraph"/>
        <w:numPr>
          <w:ilvl w:val="0"/>
          <w:numId w:val="19"/>
        </w:numPr>
        <w:ind w:hanging="720"/>
        <w:jc w:val="both"/>
        <w:rPr>
          <w:smallCaps/>
        </w:rPr>
      </w:pPr>
      <w:r w:rsidRPr="00836EB3">
        <w:rPr>
          <w:smallCaps/>
        </w:rPr>
        <w:t>E</w:t>
      </w:r>
      <w:r w:rsidR="00F6089E" w:rsidRPr="00836EB3">
        <w:rPr>
          <w:smallCaps/>
        </w:rPr>
        <w:t>gresos</w:t>
      </w:r>
      <w:r w:rsidRPr="00836EB3">
        <w:rPr>
          <w:smallCaps/>
        </w:rPr>
        <w:t xml:space="preserve">. </w:t>
      </w:r>
    </w:p>
    <w:p w:rsidR="00287770" w:rsidRPr="00836EB3" w:rsidRDefault="00287770" w:rsidP="00287770">
      <w:pPr>
        <w:pStyle w:val="ListParagraph"/>
      </w:pPr>
    </w:p>
    <w:p w:rsidR="00F6089E" w:rsidRPr="00836EB3" w:rsidRDefault="00F6089E" w:rsidP="00287770">
      <w:pPr>
        <w:widowControl w:val="0"/>
        <w:numPr>
          <w:ilvl w:val="1"/>
          <w:numId w:val="2"/>
        </w:numPr>
        <w:tabs>
          <w:tab w:val="clear" w:pos="360"/>
          <w:tab w:val="num" w:pos="709"/>
        </w:tabs>
        <w:adjustRightInd w:val="0"/>
        <w:ind w:left="709" w:hanging="709"/>
        <w:jc w:val="both"/>
        <w:textAlignment w:val="baseline"/>
        <w:rPr>
          <w:szCs w:val="24"/>
          <w:lang w:val="es-ES_tradnl"/>
        </w:rPr>
      </w:pPr>
      <w:bookmarkStart w:id="14" w:name="_Ref306014868"/>
      <w:bookmarkStart w:id="15" w:name="_Ref351905045"/>
      <w:r w:rsidRPr="00836EB3">
        <w:rPr>
          <w:b/>
          <w:szCs w:val="24"/>
          <w:lang w:val="es-ES_tradnl"/>
        </w:rPr>
        <w:t>Tipos de Egresos.</w:t>
      </w:r>
      <w:r w:rsidRPr="00836EB3">
        <w:rPr>
          <w:szCs w:val="24"/>
          <w:lang w:val="es-ES_tradnl"/>
        </w:rPr>
        <w:t xml:space="preserve"> </w:t>
      </w:r>
      <w:r w:rsidR="009806B7" w:rsidRPr="00836EB3">
        <w:rPr>
          <w:szCs w:val="24"/>
          <w:lang w:val="es-ES_tradnl"/>
        </w:rPr>
        <w:t xml:space="preserve">Se distinguen dos tipos básicos de egresos: (i) los costos del Estado asociados al servicio de la deuda </w:t>
      </w:r>
      <w:r w:rsidR="0048749D" w:rsidRPr="00836EB3">
        <w:rPr>
          <w:szCs w:val="24"/>
          <w:lang w:val="es-ES_tradnl"/>
        </w:rPr>
        <w:t xml:space="preserve">para ejecutar el proyecto </w:t>
      </w:r>
      <w:r w:rsidR="009806B7" w:rsidRPr="00836EB3">
        <w:rPr>
          <w:szCs w:val="24"/>
          <w:lang w:val="es-ES_tradnl"/>
        </w:rPr>
        <w:t>(préstamo del Banco de US$ 100 millones)</w:t>
      </w:r>
      <w:r w:rsidR="0048749D" w:rsidRPr="00836EB3">
        <w:rPr>
          <w:szCs w:val="24"/>
          <w:lang w:val="es-ES_tradnl"/>
        </w:rPr>
        <w:t>, incluyendo la amortización y los intereses; (ii) los co</w:t>
      </w:r>
      <w:r w:rsidR="00D0414C" w:rsidRPr="00836EB3">
        <w:rPr>
          <w:szCs w:val="24"/>
          <w:lang w:val="es-ES_tradnl"/>
        </w:rPr>
        <w:t xml:space="preserve">stos incrementales </w:t>
      </w:r>
      <w:r w:rsidR="00166D6D" w:rsidRPr="00836EB3">
        <w:rPr>
          <w:szCs w:val="24"/>
          <w:lang w:val="es-ES_tradnl"/>
        </w:rPr>
        <w:t>de operación</w:t>
      </w:r>
      <w:r w:rsidR="003F2E2C">
        <w:rPr>
          <w:szCs w:val="24"/>
          <w:lang w:val="es-ES_tradnl"/>
        </w:rPr>
        <w:t xml:space="preserve"> para los puestos de frontera con la aplicación de la reforma proyectada</w:t>
      </w:r>
      <w:r w:rsidR="0048749D" w:rsidRPr="00836EB3">
        <w:rPr>
          <w:szCs w:val="24"/>
          <w:lang w:val="es-ES_tradnl"/>
        </w:rPr>
        <w:t xml:space="preserve">, </w:t>
      </w:r>
      <w:r w:rsidR="003F2E2C">
        <w:rPr>
          <w:szCs w:val="24"/>
          <w:lang w:val="es-ES_tradnl"/>
        </w:rPr>
        <w:t xml:space="preserve">teniendo en consideración </w:t>
      </w:r>
      <w:r w:rsidR="0048749D" w:rsidRPr="00836EB3">
        <w:rPr>
          <w:szCs w:val="24"/>
          <w:lang w:val="es-ES_tradnl"/>
        </w:rPr>
        <w:t xml:space="preserve">que el </w:t>
      </w:r>
      <w:proofErr w:type="spellStart"/>
      <w:r w:rsidR="0048749D" w:rsidRPr="00836EB3">
        <w:rPr>
          <w:szCs w:val="24"/>
          <w:lang w:val="es-ES_tradnl"/>
        </w:rPr>
        <w:t>GoCR</w:t>
      </w:r>
      <w:proofErr w:type="spellEnd"/>
      <w:r w:rsidR="0048749D" w:rsidRPr="00836EB3">
        <w:rPr>
          <w:szCs w:val="24"/>
          <w:lang w:val="es-ES_tradnl"/>
        </w:rPr>
        <w:t xml:space="preserve"> </w:t>
      </w:r>
      <w:r w:rsidR="00D0414C" w:rsidRPr="00836EB3">
        <w:rPr>
          <w:szCs w:val="24"/>
          <w:lang w:val="es-ES_tradnl"/>
        </w:rPr>
        <w:t xml:space="preserve">prevé </w:t>
      </w:r>
      <w:r w:rsidR="0048749D" w:rsidRPr="00836EB3">
        <w:rPr>
          <w:szCs w:val="24"/>
          <w:lang w:val="es-ES_tradnl"/>
        </w:rPr>
        <w:t>manten</w:t>
      </w:r>
      <w:r w:rsidR="00D0414C" w:rsidRPr="00836EB3">
        <w:rPr>
          <w:szCs w:val="24"/>
          <w:lang w:val="es-ES_tradnl"/>
        </w:rPr>
        <w:t xml:space="preserve">er </w:t>
      </w:r>
      <w:r w:rsidR="0048749D" w:rsidRPr="00836EB3">
        <w:rPr>
          <w:szCs w:val="24"/>
          <w:lang w:val="es-ES_tradnl"/>
        </w:rPr>
        <w:t xml:space="preserve">el presupuesto actual para los fines dispuestos. </w:t>
      </w:r>
    </w:p>
    <w:p w:rsidR="00F6089E" w:rsidRPr="00836EB3" w:rsidRDefault="00F6089E" w:rsidP="00F6089E">
      <w:pPr>
        <w:widowControl w:val="0"/>
        <w:adjustRightInd w:val="0"/>
        <w:ind w:left="709"/>
        <w:jc w:val="both"/>
        <w:textAlignment w:val="baseline"/>
        <w:rPr>
          <w:szCs w:val="24"/>
          <w:lang w:val="es-ES_tradnl"/>
        </w:rPr>
      </w:pPr>
    </w:p>
    <w:p w:rsidR="005B7BA6" w:rsidRPr="00836EB3" w:rsidRDefault="00F6089E" w:rsidP="00287770">
      <w:pPr>
        <w:widowControl w:val="0"/>
        <w:numPr>
          <w:ilvl w:val="1"/>
          <w:numId w:val="2"/>
        </w:numPr>
        <w:tabs>
          <w:tab w:val="clear" w:pos="360"/>
          <w:tab w:val="num" w:pos="709"/>
        </w:tabs>
        <w:adjustRightInd w:val="0"/>
        <w:ind w:left="709" w:hanging="709"/>
        <w:jc w:val="both"/>
        <w:textAlignment w:val="baseline"/>
        <w:rPr>
          <w:szCs w:val="24"/>
          <w:lang w:val="es-ES_tradnl"/>
        </w:rPr>
      </w:pPr>
      <w:r w:rsidRPr="00836EB3">
        <w:rPr>
          <w:b/>
          <w:szCs w:val="24"/>
          <w:lang w:val="es-ES_tradnl"/>
        </w:rPr>
        <w:t>Amortización e Intereses del Préstamo.</w:t>
      </w:r>
      <w:r w:rsidRPr="00836EB3">
        <w:rPr>
          <w:szCs w:val="24"/>
          <w:lang w:val="es-ES_tradnl"/>
        </w:rPr>
        <w:t xml:space="preserve"> </w:t>
      </w:r>
      <w:r w:rsidR="007156BA" w:rsidRPr="00836EB3">
        <w:rPr>
          <w:szCs w:val="24"/>
          <w:lang w:val="es-ES_tradnl"/>
        </w:rPr>
        <w:t>Tal como fue mencionado, se prevé que el Banco otorgue</w:t>
      </w:r>
      <w:r w:rsidR="00FB5263" w:rsidRPr="00836EB3">
        <w:rPr>
          <w:szCs w:val="24"/>
          <w:lang w:val="es-ES_tradnl"/>
        </w:rPr>
        <w:t xml:space="preserve"> un préstamo de US$ 100 millones, con las siguientes condiciones: (i) plazo de gracia de 5,5 años; (ii) plazo de amortización de 25 años; (iii) plazo de crédito de 30,5 años; así como condiciones</w:t>
      </w:r>
      <w:r w:rsidR="007156BA" w:rsidRPr="00836EB3">
        <w:rPr>
          <w:szCs w:val="24"/>
          <w:lang w:val="es-ES_tradnl"/>
        </w:rPr>
        <w:t xml:space="preserve"> habituales en cuanto a </w:t>
      </w:r>
      <w:r w:rsidR="00FB5263" w:rsidRPr="00836EB3">
        <w:rPr>
          <w:szCs w:val="24"/>
          <w:lang w:val="es-ES_tradnl"/>
        </w:rPr>
        <w:t>intereses</w:t>
      </w:r>
      <w:r w:rsidR="007156BA" w:rsidRPr="00836EB3">
        <w:rPr>
          <w:szCs w:val="24"/>
          <w:lang w:val="es-ES_tradnl"/>
        </w:rPr>
        <w:t xml:space="preserve"> del préstamo</w:t>
      </w:r>
      <w:r w:rsidR="00FB5263" w:rsidRPr="00836EB3">
        <w:rPr>
          <w:szCs w:val="24"/>
          <w:lang w:val="es-ES_tradnl"/>
        </w:rPr>
        <w:t xml:space="preserve">, etc. </w:t>
      </w:r>
      <w:r w:rsidR="007156BA" w:rsidRPr="00836EB3">
        <w:rPr>
          <w:szCs w:val="24"/>
          <w:lang w:val="es-ES_tradnl"/>
        </w:rPr>
        <w:t>que se aplican en estas operaciones (</w:t>
      </w:r>
      <w:r w:rsidR="007156BA" w:rsidRPr="00836EB3">
        <w:rPr>
          <w:szCs w:val="24"/>
        </w:rPr>
        <w:t>¶</w:t>
      </w:r>
      <w:r w:rsidR="003C721A">
        <w:fldChar w:fldCharType="begin"/>
      </w:r>
      <w:r w:rsidR="003C721A">
        <w:instrText xml:space="preserve"> REF _Ref412906268 \r \h  \* MERGEFORMAT </w:instrText>
      </w:r>
      <w:r w:rsidR="003C721A">
        <w:fldChar w:fldCharType="separate"/>
      </w:r>
      <w:r w:rsidR="00F700A3" w:rsidRPr="00F700A3">
        <w:rPr>
          <w:szCs w:val="24"/>
        </w:rPr>
        <w:t>4.2</w:t>
      </w:r>
      <w:r w:rsidR="003C721A">
        <w:fldChar w:fldCharType="end"/>
      </w:r>
      <w:r w:rsidR="00FB5263" w:rsidRPr="00836EB3">
        <w:rPr>
          <w:szCs w:val="24"/>
          <w:lang w:val="es-ES_tradnl"/>
        </w:rPr>
        <w:t>)</w:t>
      </w:r>
      <w:r w:rsidR="004777B6" w:rsidRPr="00836EB3">
        <w:rPr>
          <w:szCs w:val="24"/>
          <w:lang w:val="es-ES_tradnl"/>
        </w:rPr>
        <w:t>.</w:t>
      </w:r>
    </w:p>
    <w:p w:rsidR="005B7BA6" w:rsidRPr="00836EB3" w:rsidRDefault="005B7BA6" w:rsidP="005B7BA6">
      <w:pPr>
        <w:pStyle w:val="ListParagraph"/>
        <w:rPr>
          <w:szCs w:val="24"/>
          <w:lang w:val="es-ES_tradnl"/>
        </w:rPr>
      </w:pPr>
    </w:p>
    <w:bookmarkEnd w:id="14"/>
    <w:bookmarkEnd w:id="15"/>
    <w:p w:rsidR="00F6089E" w:rsidRPr="00836EB3" w:rsidRDefault="00F6089E" w:rsidP="00F6089E">
      <w:pPr>
        <w:widowControl w:val="0"/>
        <w:numPr>
          <w:ilvl w:val="1"/>
          <w:numId w:val="2"/>
        </w:numPr>
        <w:tabs>
          <w:tab w:val="clear" w:pos="360"/>
          <w:tab w:val="num" w:pos="709"/>
        </w:tabs>
        <w:adjustRightInd w:val="0"/>
        <w:ind w:left="709" w:hanging="709"/>
        <w:jc w:val="both"/>
        <w:textAlignment w:val="baseline"/>
        <w:rPr>
          <w:szCs w:val="24"/>
          <w:lang w:val="es-ES_tradnl"/>
        </w:rPr>
      </w:pPr>
      <w:r w:rsidRPr="00836EB3">
        <w:rPr>
          <w:b/>
          <w:lang w:val="es-ES_tradnl"/>
        </w:rPr>
        <w:t>Operación.</w:t>
      </w:r>
      <w:r w:rsidRPr="00836EB3">
        <w:rPr>
          <w:lang w:val="es-ES_tradnl"/>
        </w:rPr>
        <w:t xml:space="preserve"> </w:t>
      </w:r>
      <w:r w:rsidR="009806B7" w:rsidRPr="00836EB3">
        <w:rPr>
          <w:lang w:val="es-ES_tradnl"/>
        </w:rPr>
        <w:t>Los costos de operación</w:t>
      </w:r>
      <w:r w:rsidRPr="00836EB3">
        <w:rPr>
          <w:lang w:val="es-ES_tradnl"/>
        </w:rPr>
        <w:t xml:space="preserve"> refieren especialmente a costos de funcionamiento y mantenimiento incrementales</w:t>
      </w:r>
      <w:r w:rsidR="009806B7" w:rsidRPr="00836EB3">
        <w:rPr>
          <w:lang w:val="es-ES_tradnl"/>
        </w:rPr>
        <w:t>,</w:t>
      </w:r>
      <w:r w:rsidRPr="00836EB3">
        <w:rPr>
          <w:lang w:val="es-ES_tradnl"/>
        </w:rPr>
        <w:t xml:space="preserve"> por efecto de la aplicación de la modernización de la infraestructura y el equipamiento de los Pasos de Frontera, según las previsiones de</w:t>
      </w:r>
      <w:r w:rsidRPr="00836EB3">
        <w:rPr>
          <w:szCs w:val="24"/>
        </w:rPr>
        <w:t>l Equipo Técnico Consultor</w:t>
      </w:r>
      <w:r w:rsidR="006C201B" w:rsidRPr="00836EB3">
        <w:rPr>
          <w:szCs w:val="24"/>
        </w:rPr>
        <w:t xml:space="preserve"> (modificaciones en la plantilla de personal, mantenimiento de </w:t>
      </w:r>
      <w:r w:rsidR="003F2E2C">
        <w:rPr>
          <w:szCs w:val="24"/>
        </w:rPr>
        <w:t xml:space="preserve">las nuevas </w:t>
      </w:r>
      <w:r w:rsidR="006C201B" w:rsidRPr="00836EB3">
        <w:rPr>
          <w:szCs w:val="24"/>
        </w:rPr>
        <w:t>instalaciones y equipamiento, etc.)</w:t>
      </w:r>
      <w:r w:rsidRPr="00836EB3">
        <w:rPr>
          <w:szCs w:val="24"/>
        </w:rPr>
        <w:t xml:space="preserve">. </w:t>
      </w:r>
    </w:p>
    <w:p w:rsidR="00287770" w:rsidRPr="00836EB3" w:rsidRDefault="00287770" w:rsidP="00287770">
      <w:pPr>
        <w:rPr>
          <w:smallCaps/>
          <w:szCs w:val="24"/>
        </w:rPr>
      </w:pPr>
    </w:p>
    <w:p w:rsidR="00287770" w:rsidRPr="00836EB3" w:rsidRDefault="00F6089E" w:rsidP="00287770">
      <w:pPr>
        <w:pStyle w:val="ListParagraph"/>
        <w:numPr>
          <w:ilvl w:val="0"/>
          <w:numId w:val="11"/>
        </w:numPr>
        <w:ind w:hanging="720"/>
        <w:rPr>
          <w:smallCaps/>
        </w:rPr>
      </w:pPr>
      <w:r w:rsidRPr="00836EB3">
        <w:rPr>
          <w:smallCaps/>
        </w:rPr>
        <w:t>Ingresos.</w:t>
      </w:r>
      <w:r w:rsidR="00287770" w:rsidRPr="00836EB3">
        <w:rPr>
          <w:smallCaps/>
        </w:rPr>
        <w:t xml:space="preserve"> </w:t>
      </w:r>
    </w:p>
    <w:p w:rsidR="00287770" w:rsidRPr="00836EB3" w:rsidRDefault="00287770" w:rsidP="00287770">
      <w:pPr>
        <w:rPr>
          <w:smallCaps/>
        </w:rPr>
      </w:pPr>
    </w:p>
    <w:p w:rsidR="00E70D4B" w:rsidRPr="00836EB3" w:rsidRDefault="00C90345" w:rsidP="00E70D4B">
      <w:pPr>
        <w:widowControl w:val="0"/>
        <w:numPr>
          <w:ilvl w:val="1"/>
          <w:numId w:val="2"/>
        </w:numPr>
        <w:tabs>
          <w:tab w:val="clear" w:pos="360"/>
          <w:tab w:val="num" w:pos="709"/>
        </w:tabs>
        <w:adjustRightInd w:val="0"/>
        <w:ind w:left="709" w:hanging="709"/>
        <w:jc w:val="both"/>
        <w:textAlignment w:val="baseline"/>
      </w:pPr>
      <w:bookmarkStart w:id="16" w:name="_Ref412885521"/>
      <w:bookmarkStart w:id="17" w:name="_Ref306014970"/>
      <w:r w:rsidRPr="00836EB3">
        <w:rPr>
          <w:b/>
          <w:szCs w:val="24"/>
        </w:rPr>
        <w:t>Tasas.</w:t>
      </w:r>
      <w:r w:rsidRPr="00836EB3">
        <w:rPr>
          <w:szCs w:val="24"/>
        </w:rPr>
        <w:t xml:space="preserve"> </w:t>
      </w:r>
      <w:r w:rsidR="00E70D4B" w:rsidRPr="00836EB3">
        <w:rPr>
          <w:szCs w:val="24"/>
        </w:rPr>
        <w:t xml:space="preserve">El análisis considera los ingresos </w:t>
      </w:r>
      <w:r w:rsidRPr="00836EB3">
        <w:rPr>
          <w:szCs w:val="24"/>
        </w:rPr>
        <w:t xml:space="preserve">producidos por </w:t>
      </w:r>
      <w:r w:rsidR="00E70D4B" w:rsidRPr="00836EB3">
        <w:rPr>
          <w:szCs w:val="24"/>
        </w:rPr>
        <w:t xml:space="preserve">las tasas que se prevé cobrar a los usuarios, según lo dispuesto en el Artículo 4 de la </w:t>
      </w:r>
      <w:r w:rsidR="00E70D4B" w:rsidRPr="00836EB3">
        <w:rPr>
          <w:lang w:val="es-ES_tradnl"/>
        </w:rPr>
        <w:t>Ley N° 9154 de 3 de Julio de 2013; en esta norma, se crearon dos tributos</w:t>
      </w:r>
      <w:r w:rsidR="00E70D4B" w:rsidRPr="00836EB3">
        <w:rPr>
          <w:rStyle w:val="FootnoteReference"/>
          <w:lang w:val="es-ES_tradnl"/>
        </w:rPr>
        <w:footnoteReference w:id="15"/>
      </w:r>
      <w:r w:rsidR="00E70D4B" w:rsidRPr="00836EB3">
        <w:rPr>
          <w:lang w:val="es-ES_tradnl"/>
        </w:rPr>
        <w:t xml:space="preserve"> con cargo a los usuarios de los Pasos de Frontera terrestres: (i) US$ 5,00 por cada pasajero que egresa del país; (ii) US$ 25,00 por cada declaración aduanera de mercaderías de exportación. Para este análisis, se asume </w:t>
      </w:r>
      <w:r w:rsidR="00E70D4B" w:rsidRPr="00836EB3">
        <w:rPr>
          <w:szCs w:val="24"/>
        </w:rPr>
        <w:t>que estas tasas se mantienen constantes durante el período de análisis.</w:t>
      </w:r>
      <w:bookmarkEnd w:id="16"/>
    </w:p>
    <w:p w:rsidR="00E70D4B" w:rsidRPr="00836EB3" w:rsidRDefault="00E70D4B" w:rsidP="00E70D4B">
      <w:pPr>
        <w:widowControl w:val="0"/>
        <w:adjustRightInd w:val="0"/>
        <w:ind w:left="709"/>
        <w:jc w:val="both"/>
        <w:textAlignment w:val="baseline"/>
      </w:pPr>
    </w:p>
    <w:p w:rsidR="004777B6" w:rsidRPr="00836EB3" w:rsidRDefault="00C90345" w:rsidP="004777B6">
      <w:pPr>
        <w:widowControl w:val="0"/>
        <w:numPr>
          <w:ilvl w:val="1"/>
          <w:numId w:val="2"/>
        </w:numPr>
        <w:tabs>
          <w:tab w:val="clear" w:pos="360"/>
          <w:tab w:val="num" w:pos="709"/>
        </w:tabs>
        <w:adjustRightInd w:val="0"/>
        <w:ind w:left="709" w:hanging="709"/>
        <w:jc w:val="both"/>
        <w:textAlignment w:val="baseline"/>
      </w:pPr>
      <w:r w:rsidRPr="00836EB3">
        <w:rPr>
          <w:b/>
          <w:szCs w:val="24"/>
        </w:rPr>
        <w:t>Distribución de la recaudación.</w:t>
      </w:r>
      <w:r w:rsidRPr="00836EB3">
        <w:rPr>
          <w:szCs w:val="24"/>
        </w:rPr>
        <w:t xml:space="preserve"> </w:t>
      </w:r>
      <w:r w:rsidR="00E70D4B" w:rsidRPr="00836EB3">
        <w:rPr>
          <w:szCs w:val="24"/>
        </w:rPr>
        <w:t>En e</w:t>
      </w:r>
      <w:r w:rsidRPr="00836EB3">
        <w:rPr>
          <w:szCs w:val="24"/>
        </w:rPr>
        <w:t>l</w:t>
      </w:r>
      <w:r w:rsidR="00E70D4B" w:rsidRPr="00836EB3">
        <w:rPr>
          <w:szCs w:val="24"/>
        </w:rPr>
        <w:t xml:space="preserve"> análisis, la variable sujeta a incertidumbre es la cuota parte de los ingresos por las referidas tasas que el Estado podrá disponer para cubrir los costos asociados al proyecto de modernización. Según fue señalado (¶</w:t>
      </w:r>
      <w:r w:rsidR="003C721A">
        <w:fldChar w:fldCharType="begin"/>
      </w:r>
      <w:r w:rsidR="003C721A">
        <w:instrText xml:space="preserve"> REF _Ref412803424 \r \h  \* MERGEFORMAT </w:instrText>
      </w:r>
      <w:r w:rsidR="003C721A">
        <w:fldChar w:fldCharType="separate"/>
      </w:r>
      <w:r w:rsidR="00F700A3" w:rsidRPr="00F700A3">
        <w:rPr>
          <w:szCs w:val="24"/>
        </w:rPr>
        <w:t>1.7</w:t>
      </w:r>
      <w:r w:rsidR="003C721A">
        <w:fldChar w:fldCharType="end"/>
      </w:r>
      <w:r w:rsidR="00E70D4B" w:rsidRPr="00836EB3">
        <w:rPr>
          <w:szCs w:val="24"/>
        </w:rPr>
        <w:t>)</w:t>
      </w:r>
      <w:r w:rsidR="004777B6" w:rsidRPr="00836EB3">
        <w:rPr>
          <w:szCs w:val="24"/>
        </w:rPr>
        <w:t xml:space="preserve">, </w:t>
      </w:r>
      <w:r w:rsidR="004777B6" w:rsidRPr="00836EB3">
        <w:rPr>
          <w:lang w:val="es-ES_tradnl"/>
        </w:rPr>
        <w:t xml:space="preserve">el punto en discusión </w:t>
      </w:r>
      <w:bookmarkStart w:id="18" w:name="_GoBack"/>
      <w:bookmarkEnd w:id="18"/>
      <w:r w:rsidR="004777B6" w:rsidRPr="00836EB3">
        <w:rPr>
          <w:lang w:val="es-ES_tradnl"/>
        </w:rPr>
        <w:t>a nivel del parlamento es precisamente el destino de los fondos provenientes de la recaudación de tales gravámenes. Originalmente, la mencionada Ley N° 9154 estableció que el 50% de la respectiva recaudación se destinaría a sufragar el costo de la modernización de los Pasos de Frontera, en tanto el restante 50% se</w:t>
      </w:r>
      <w:r w:rsidR="003F2E2C">
        <w:rPr>
          <w:lang w:val="es-ES_tradnl"/>
        </w:rPr>
        <w:t>ría</w:t>
      </w:r>
      <w:r w:rsidR="004777B6" w:rsidRPr="00836EB3">
        <w:rPr>
          <w:lang w:val="es-ES_tradnl"/>
        </w:rPr>
        <w:t xml:space="preserve"> destina</w:t>
      </w:r>
      <w:r w:rsidR="003F2E2C">
        <w:rPr>
          <w:lang w:val="es-ES_tradnl"/>
        </w:rPr>
        <w:t>do</w:t>
      </w:r>
      <w:r w:rsidR="004777B6" w:rsidRPr="00836EB3">
        <w:rPr>
          <w:lang w:val="es-ES_tradnl"/>
        </w:rPr>
        <w:t xml:space="preserve"> a l</w:t>
      </w:r>
      <w:r w:rsidR="00A43283">
        <w:rPr>
          <w:lang w:val="es-ES_tradnl"/>
        </w:rPr>
        <w:t xml:space="preserve">os Gobiernos Locales (en particular, las </w:t>
      </w:r>
      <w:r w:rsidR="004777B6" w:rsidRPr="00836EB3">
        <w:rPr>
          <w:lang w:val="es-ES_tradnl"/>
        </w:rPr>
        <w:t xml:space="preserve">municipalidades de los cantones en cuya jurisdicción se encuentran los </w:t>
      </w:r>
      <w:r w:rsidR="00A43283">
        <w:rPr>
          <w:lang w:val="es-ES_tradnl"/>
        </w:rPr>
        <w:t>respectivos puestos de frontera)</w:t>
      </w:r>
      <w:r w:rsidR="004777B6" w:rsidRPr="00836EB3">
        <w:rPr>
          <w:lang w:val="es-ES_tradnl"/>
        </w:rPr>
        <w:t>.</w:t>
      </w:r>
    </w:p>
    <w:p w:rsidR="004777B6" w:rsidRPr="00836EB3" w:rsidRDefault="004777B6" w:rsidP="004777B6">
      <w:pPr>
        <w:pStyle w:val="ListParagraph"/>
      </w:pPr>
    </w:p>
    <w:p w:rsidR="004777B6" w:rsidRPr="00836EB3" w:rsidRDefault="00C90345" w:rsidP="004777B6">
      <w:pPr>
        <w:widowControl w:val="0"/>
        <w:numPr>
          <w:ilvl w:val="1"/>
          <w:numId w:val="2"/>
        </w:numPr>
        <w:tabs>
          <w:tab w:val="clear" w:pos="360"/>
          <w:tab w:val="num" w:pos="709"/>
        </w:tabs>
        <w:adjustRightInd w:val="0"/>
        <w:ind w:left="709" w:hanging="709"/>
        <w:jc w:val="both"/>
        <w:textAlignment w:val="baseline"/>
      </w:pPr>
      <w:bookmarkStart w:id="19" w:name="_Ref412886294"/>
      <w:r w:rsidRPr="00836EB3">
        <w:rPr>
          <w:b/>
        </w:rPr>
        <w:t>Escenarios.</w:t>
      </w:r>
      <w:r w:rsidRPr="00836EB3">
        <w:t xml:space="preserve"> </w:t>
      </w:r>
      <w:r w:rsidR="004777B6" w:rsidRPr="00836EB3">
        <w:t xml:space="preserve">En este análisis financiero, se estudiarán los siguientes casos referidos a la distribución de los fondos recaudados: (i) asignación de 50% para el Estado (previsión original de la Ley); (ii) asignación de 85% para el Estado (propuesta en discusión); (iii) asignación mínima requerida por el Estado para lograr un </w:t>
      </w:r>
      <w:proofErr w:type="gramStart"/>
      <w:r w:rsidR="004777B6" w:rsidRPr="00836EB3">
        <w:t>VAN(</w:t>
      </w:r>
      <w:proofErr w:type="gramEnd"/>
      <w:r w:rsidR="004777B6" w:rsidRPr="00836EB3">
        <w:t xml:space="preserve">12%) positivo; (iv) asignación mínima para el Estado </w:t>
      </w:r>
      <w:r w:rsidR="00DA2D31">
        <w:t xml:space="preserve">que permita </w:t>
      </w:r>
      <w:r w:rsidR="004777B6" w:rsidRPr="00836EB3">
        <w:t>lograr un Flujo de Caja siempre positivo.</w:t>
      </w:r>
      <w:r w:rsidR="00D17B0F" w:rsidRPr="00836EB3">
        <w:t xml:space="preserve"> Asimismo, se efectuará un Análisis de Sensibilidad simple para el caso de una eventual reducción del volumen de demanda proyectada.</w:t>
      </w:r>
      <w:bookmarkEnd w:id="19"/>
    </w:p>
    <w:p w:rsidR="00E70D4B" w:rsidRPr="00836EB3" w:rsidRDefault="00E70D4B" w:rsidP="004777B6">
      <w:pPr>
        <w:widowControl w:val="0"/>
        <w:adjustRightInd w:val="0"/>
        <w:ind w:left="709"/>
        <w:jc w:val="both"/>
        <w:textAlignment w:val="baseline"/>
      </w:pPr>
    </w:p>
    <w:p w:rsidR="00681F7F" w:rsidRPr="00836EB3" w:rsidRDefault="00681F7F" w:rsidP="004777B6">
      <w:pPr>
        <w:widowControl w:val="0"/>
        <w:adjustRightInd w:val="0"/>
        <w:jc w:val="both"/>
        <w:textAlignment w:val="baseline"/>
        <w:rPr>
          <w:szCs w:val="24"/>
        </w:rPr>
      </w:pPr>
      <w:r w:rsidRPr="00836EB3">
        <w:rPr>
          <w:szCs w:val="24"/>
        </w:rPr>
        <w:br w:type="page"/>
      </w:r>
    </w:p>
    <w:p w:rsidR="009768DA" w:rsidRPr="00836EB3" w:rsidRDefault="009768DA" w:rsidP="009768DA">
      <w:pPr>
        <w:pStyle w:val="ListParagraph"/>
        <w:rPr>
          <w:szCs w:val="24"/>
        </w:rPr>
      </w:pPr>
    </w:p>
    <w:bookmarkEnd w:id="17"/>
    <w:p w:rsidR="00F23097" w:rsidRPr="00836EB3" w:rsidRDefault="00327D54" w:rsidP="00F23097">
      <w:pPr>
        <w:pStyle w:val="ListParagraph"/>
        <w:widowControl w:val="0"/>
        <w:numPr>
          <w:ilvl w:val="0"/>
          <w:numId w:val="2"/>
        </w:numPr>
        <w:adjustRightInd w:val="0"/>
        <w:jc w:val="both"/>
        <w:textAlignment w:val="baseline"/>
        <w:rPr>
          <w:b/>
        </w:rPr>
      </w:pPr>
      <w:r w:rsidRPr="00836EB3">
        <w:rPr>
          <w:b/>
        </w:rPr>
        <w:t>Flujo de Egresos</w:t>
      </w:r>
      <w:r w:rsidR="005C00E5" w:rsidRPr="00836EB3">
        <w:rPr>
          <w:b/>
        </w:rPr>
        <w:t>.</w:t>
      </w:r>
    </w:p>
    <w:p w:rsidR="00F23097" w:rsidRPr="00836EB3" w:rsidRDefault="00F23097" w:rsidP="00F23097">
      <w:pPr>
        <w:widowControl w:val="0"/>
        <w:adjustRightInd w:val="0"/>
        <w:ind w:left="705"/>
        <w:jc w:val="both"/>
        <w:textAlignment w:val="baseline"/>
        <w:rPr>
          <w:szCs w:val="24"/>
        </w:rPr>
      </w:pPr>
    </w:p>
    <w:p w:rsidR="00655F00" w:rsidRPr="00836EB3" w:rsidRDefault="00327D54" w:rsidP="00655F00">
      <w:pPr>
        <w:pStyle w:val="ListParagraph"/>
        <w:numPr>
          <w:ilvl w:val="0"/>
          <w:numId w:val="21"/>
        </w:numPr>
        <w:ind w:hanging="720"/>
        <w:jc w:val="both"/>
        <w:rPr>
          <w:smallCaps/>
        </w:rPr>
      </w:pPr>
      <w:r w:rsidRPr="00836EB3">
        <w:rPr>
          <w:smallCaps/>
        </w:rPr>
        <w:t>Flujo de Pagos por Amortización e Intereses del Préstamo.</w:t>
      </w:r>
    </w:p>
    <w:p w:rsidR="00655F00" w:rsidRPr="00836EB3" w:rsidRDefault="00655F00" w:rsidP="00655F00">
      <w:pPr>
        <w:pStyle w:val="ListParagraph"/>
        <w:rPr>
          <w:szCs w:val="24"/>
          <w:lang w:val="es-ES_tradnl"/>
        </w:rPr>
      </w:pPr>
    </w:p>
    <w:p w:rsidR="00C90345" w:rsidRPr="00836EB3" w:rsidRDefault="008E251F" w:rsidP="008E251F">
      <w:pPr>
        <w:widowControl w:val="0"/>
        <w:numPr>
          <w:ilvl w:val="1"/>
          <w:numId w:val="2"/>
        </w:numPr>
        <w:tabs>
          <w:tab w:val="clear" w:pos="360"/>
          <w:tab w:val="num" w:pos="709"/>
        </w:tabs>
        <w:adjustRightInd w:val="0"/>
        <w:ind w:left="709" w:hanging="709"/>
        <w:jc w:val="both"/>
        <w:textAlignment w:val="baseline"/>
        <w:rPr>
          <w:szCs w:val="24"/>
        </w:rPr>
      </w:pPr>
      <w:bookmarkStart w:id="20" w:name="_Ref306032829"/>
      <w:r w:rsidRPr="00836EB3">
        <w:t xml:space="preserve">El cálculo del flujo de </w:t>
      </w:r>
      <w:r w:rsidR="006D511F" w:rsidRPr="00836EB3">
        <w:t>egresos</w:t>
      </w:r>
      <w:r w:rsidRPr="00836EB3">
        <w:t xml:space="preserve"> del Estado (agencia), implica determinar, para cada año del período de análisis, los </w:t>
      </w:r>
      <w:r w:rsidR="006D511F" w:rsidRPr="00836EB3">
        <w:t xml:space="preserve">pagos que el Estado debe asumir </w:t>
      </w:r>
      <w:r w:rsidR="00CF1A15" w:rsidRPr="00836EB3">
        <w:t xml:space="preserve">por el compromiso de la deuda originada en el préstamo previsto de US$ 100 millones que el </w:t>
      </w:r>
      <w:proofErr w:type="spellStart"/>
      <w:r w:rsidR="00CF1A15" w:rsidRPr="00836EB3">
        <w:t>GoCR</w:t>
      </w:r>
      <w:proofErr w:type="spellEnd"/>
      <w:r w:rsidR="00CF1A15" w:rsidRPr="00836EB3">
        <w:t xml:space="preserve"> solicita al Banco.</w:t>
      </w:r>
    </w:p>
    <w:p w:rsidR="00987988" w:rsidRPr="00836EB3" w:rsidRDefault="00987988" w:rsidP="00987988">
      <w:pPr>
        <w:widowControl w:val="0"/>
        <w:adjustRightInd w:val="0"/>
        <w:ind w:left="709"/>
        <w:jc w:val="both"/>
        <w:textAlignment w:val="baseline"/>
        <w:rPr>
          <w:szCs w:val="24"/>
        </w:rPr>
      </w:pPr>
    </w:p>
    <w:p w:rsidR="00225A4F" w:rsidRPr="00836EB3" w:rsidRDefault="00225A4F" w:rsidP="00225A4F">
      <w:pPr>
        <w:widowControl w:val="0"/>
        <w:numPr>
          <w:ilvl w:val="1"/>
          <w:numId w:val="2"/>
        </w:numPr>
        <w:tabs>
          <w:tab w:val="clear" w:pos="360"/>
          <w:tab w:val="num" w:pos="709"/>
        </w:tabs>
        <w:adjustRightInd w:val="0"/>
        <w:ind w:left="709" w:hanging="709"/>
        <w:jc w:val="both"/>
        <w:textAlignment w:val="baseline"/>
        <w:rPr>
          <w:szCs w:val="24"/>
        </w:rPr>
      </w:pPr>
      <w:bookmarkStart w:id="21" w:name="_Ref412906268"/>
      <w:r w:rsidRPr="00836EB3">
        <w:rPr>
          <w:szCs w:val="24"/>
        </w:rPr>
        <w:t xml:space="preserve">Para este análisis financiero, los términos </w:t>
      </w:r>
      <w:r w:rsidR="00987988" w:rsidRPr="00836EB3">
        <w:rPr>
          <w:szCs w:val="24"/>
        </w:rPr>
        <w:t>básic</w:t>
      </w:r>
      <w:r w:rsidRPr="00836EB3">
        <w:rPr>
          <w:szCs w:val="24"/>
        </w:rPr>
        <w:t>o</w:t>
      </w:r>
      <w:r w:rsidR="00987988" w:rsidRPr="00836EB3">
        <w:rPr>
          <w:szCs w:val="24"/>
        </w:rPr>
        <w:t xml:space="preserve">s del préstamo, </w:t>
      </w:r>
      <w:r w:rsidRPr="00836EB3">
        <w:rPr>
          <w:szCs w:val="24"/>
        </w:rPr>
        <w:t>se asumen como sigue</w:t>
      </w:r>
      <w:r w:rsidR="00987988" w:rsidRPr="00836EB3">
        <w:rPr>
          <w:szCs w:val="24"/>
        </w:rPr>
        <w:t xml:space="preserve">: (i) </w:t>
      </w:r>
      <w:r w:rsidRPr="00836EB3">
        <w:rPr>
          <w:szCs w:val="24"/>
        </w:rPr>
        <w:t xml:space="preserve">período de gracia de 5,5 años; (ii) período de repago de amortización e intereses de 25 años; (iii) plazo total de crédito </w:t>
      </w:r>
      <w:r w:rsidR="004C5F8E" w:rsidRPr="00836EB3">
        <w:rPr>
          <w:szCs w:val="24"/>
        </w:rPr>
        <w:t xml:space="preserve">de </w:t>
      </w:r>
      <w:r w:rsidRPr="00836EB3">
        <w:rPr>
          <w:szCs w:val="24"/>
        </w:rPr>
        <w:t xml:space="preserve">30,5 años; (iv) </w:t>
      </w:r>
      <w:r w:rsidR="004C5F8E" w:rsidRPr="00836EB3">
        <w:rPr>
          <w:szCs w:val="24"/>
        </w:rPr>
        <w:t>t</w:t>
      </w:r>
      <w:r w:rsidRPr="00836EB3">
        <w:rPr>
          <w:szCs w:val="24"/>
        </w:rPr>
        <w:t xml:space="preserve">asa de </w:t>
      </w:r>
      <w:r w:rsidR="004C5F8E" w:rsidRPr="00836EB3">
        <w:rPr>
          <w:szCs w:val="24"/>
        </w:rPr>
        <w:t>i</w:t>
      </w:r>
      <w:r w:rsidRPr="00836EB3">
        <w:rPr>
          <w:szCs w:val="24"/>
        </w:rPr>
        <w:t>nterés (</w:t>
      </w:r>
      <w:proofErr w:type="spellStart"/>
      <w:r w:rsidRPr="00836EB3">
        <w:rPr>
          <w:szCs w:val="24"/>
        </w:rPr>
        <w:t>Ordinary</w:t>
      </w:r>
      <w:proofErr w:type="spellEnd"/>
      <w:r w:rsidRPr="00836EB3">
        <w:rPr>
          <w:szCs w:val="24"/>
        </w:rPr>
        <w:t xml:space="preserve"> Capital FFF/SCF-LIBOR USD)</w:t>
      </w:r>
      <w:r w:rsidR="004C5F8E" w:rsidRPr="00836EB3">
        <w:rPr>
          <w:szCs w:val="24"/>
        </w:rPr>
        <w:t xml:space="preserve"> </w:t>
      </w:r>
      <w:r w:rsidR="00BE1470" w:rsidRPr="00836EB3">
        <w:rPr>
          <w:szCs w:val="24"/>
        </w:rPr>
        <w:t xml:space="preserve">de 1,19% anual, la </w:t>
      </w:r>
      <w:r w:rsidR="004C5F8E" w:rsidRPr="00836EB3">
        <w:rPr>
          <w:szCs w:val="24"/>
        </w:rPr>
        <w:t xml:space="preserve">que, conservadoramente, se </w:t>
      </w:r>
      <w:r w:rsidRPr="00836EB3">
        <w:rPr>
          <w:szCs w:val="24"/>
        </w:rPr>
        <w:t xml:space="preserve">prevé </w:t>
      </w:r>
      <w:r w:rsidR="004C5F8E" w:rsidRPr="00836EB3">
        <w:rPr>
          <w:szCs w:val="24"/>
        </w:rPr>
        <w:t xml:space="preserve">se eleve </w:t>
      </w:r>
      <w:r w:rsidRPr="00836EB3">
        <w:rPr>
          <w:szCs w:val="24"/>
        </w:rPr>
        <w:t xml:space="preserve">a 5,00% en el </w:t>
      </w:r>
      <w:r w:rsidR="004C5F8E" w:rsidRPr="00836EB3">
        <w:rPr>
          <w:szCs w:val="24"/>
        </w:rPr>
        <w:t>décimo año del plazo total de crédito</w:t>
      </w:r>
      <w:r w:rsidRPr="00836EB3">
        <w:rPr>
          <w:szCs w:val="24"/>
        </w:rPr>
        <w:t xml:space="preserve">, manteniéndose este valor hasta el final del período; (v); </w:t>
      </w:r>
      <w:r w:rsidR="004C5F8E" w:rsidRPr="00836EB3">
        <w:rPr>
          <w:szCs w:val="24"/>
        </w:rPr>
        <w:t>c</w:t>
      </w:r>
      <w:r w:rsidR="007F68E9" w:rsidRPr="00836EB3">
        <w:rPr>
          <w:szCs w:val="24"/>
        </w:rPr>
        <w:t xml:space="preserve">omisión de </w:t>
      </w:r>
      <w:r w:rsidR="004C5F8E" w:rsidRPr="00836EB3">
        <w:rPr>
          <w:szCs w:val="24"/>
        </w:rPr>
        <w:t>c</w:t>
      </w:r>
      <w:r w:rsidR="007F68E9" w:rsidRPr="00836EB3">
        <w:rPr>
          <w:szCs w:val="24"/>
        </w:rPr>
        <w:t>rédito 0,25% anual</w:t>
      </w:r>
      <w:r w:rsidR="00BE1470" w:rsidRPr="00836EB3">
        <w:rPr>
          <w:szCs w:val="24"/>
        </w:rPr>
        <w:t xml:space="preserve"> (</w:t>
      </w:r>
      <w:proofErr w:type="spellStart"/>
      <w:r w:rsidR="00BE1470" w:rsidRPr="00836EB3">
        <w:rPr>
          <w:szCs w:val="24"/>
        </w:rPr>
        <w:t>credit</w:t>
      </w:r>
      <w:proofErr w:type="spellEnd"/>
      <w:r w:rsidR="00BE1470" w:rsidRPr="00836EB3">
        <w:rPr>
          <w:szCs w:val="24"/>
        </w:rPr>
        <w:t xml:space="preserve"> </w:t>
      </w:r>
      <w:proofErr w:type="spellStart"/>
      <w:r w:rsidR="00BE1470" w:rsidRPr="00836EB3">
        <w:rPr>
          <w:szCs w:val="24"/>
        </w:rPr>
        <w:t>fee</w:t>
      </w:r>
      <w:proofErr w:type="spellEnd"/>
      <w:r w:rsidR="00BE1470" w:rsidRPr="00836EB3">
        <w:rPr>
          <w:szCs w:val="24"/>
        </w:rPr>
        <w:t>)</w:t>
      </w:r>
      <w:r w:rsidR="007F68E9" w:rsidRPr="00836EB3">
        <w:rPr>
          <w:szCs w:val="24"/>
        </w:rPr>
        <w:t>.</w:t>
      </w:r>
      <w:bookmarkEnd w:id="21"/>
    </w:p>
    <w:bookmarkEnd w:id="20"/>
    <w:p w:rsidR="00612378" w:rsidRPr="00836EB3" w:rsidRDefault="00612378" w:rsidP="00612378">
      <w:pPr>
        <w:pStyle w:val="ListParagraph"/>
        <w:rPr>
          <w:szCs w:val="24"/>
        </w:rPr>
      </w:pPr>
    </w:p>
    <w:p w:rsidR="00612378" w:rsidRPr="00836EB3" w:rsidRDefault="00612378" w:rsidP="00837143">
      <w:pPr>
        <w:widowControl w:val="0"/>
        <w:numPr>
          <w:ilvl w:val="1"/>
          <w:numId w:val="2"/>
        </w:numPr>
        <w:tabs>
          <w:tab w:val="clear" w:pos="360"/>
          <w:tab w:val="num" w:pos="709"/>
        </w:tabs>
        <w:adjustRightInd w:val="0"/>
        <w:ind w:left="709" w:hanging="709"/>
        <w:jc w:val="both"/>
        <w:textAlignment w:val="baseline"/>
        <w:rPr>
          <w:szCs w:val="24"/>
        </w:rPr>
      </w:pPr>
      <w:r w:rsidRPr="00836EB3">
        <w:rPr>
          <w:szCs w:val="24"/>
        </w:rPr>
        <w:t xml:space="preserve">El Cuadro IV-1 </w:t>
      </w:r>
      <w:r w:rsidR="00A11987" w:rsidRPr="00836EB3">
        <w:rPr>
          <w:szCs w:val="24"/>
        </w:rPr>
        <w:t xml:space="preserve">siguiente </w:t>
      </w:r>
      <w:r w:rsidR="006137FD" w:rsidRPr="00836EB3">
        <w:rPr>
          <w:szCs w:val="24"/>
        </w:rPr>
        <w:t>presenta</w:t>
      </w:r>
      <w:r w:rsidRPr="00836EB3">
        <w:rPr>
          <w:szCs w:val="24"/>
        </w:rPr>
        <w:t xml:space="preserve"> el </w:t>
      </w:r>
      <w:r w:rsidR="003F7B73" w:rsidRPr="00836EB3">
        <w:rPr>
          <w:szCs w:val="24"/>
        </w:rPr>
        <w:t xml:space="preserve">Flujo de </w:t>
      </w:r>
      <w:r w:rsidR="00BE1470" w:rsidRPr="00836EB3">
        <w:rPr>
          <w:szCs w:val="24"/>
        </w:rPr>
        <w:t>Repago</w:t>
      </w:r>
      <w:r w:rsidR="003F7B73" w:rsidRPr="00836EB3">
        <w:rPr>
          <w:szCs w:val="24"/>
        </w:rPr>
        <w:t xml:space="preserve"> </w:t>
      </w:r>
      <w:r w:rsidR="00BE1470" w:rsidRPr="00836EB3">
        <w:rPr>
          <w:szCs w:val="24"/>
        </w:rPr>
        <w:t>del</w:t>
      </w:r>
      <w:r w:rsidR="003F7B73" w:rsidRPr="00836EB3">
        <w:rPr>
          <w:szCs w:val="24"/>
        </w:rPr>
        <w:t xml:space="preserve"> préstamo </w:t>
      </w:r>
      <w:r w:rsidR="00BE1470" w:rsidRPr="00836EB3">
        <w:rPr>
          <w:szCs w:val="24"/>
        </w:rPr>
        <w:t>por un monto de</w:t>
      </w:r>
      <w:r w:rsidR="003F7B73" w:rsidRPr="00836EB3">
        <w:rPr>
          <w:szCs w:val="24"/>
        </w:rPr>
        <w:t xml:space="preserve"> US$ 1</w:t>
      </w:r>
      <w:r w:rsidR="00BE1470" w:rsidRPr="00836EB3">
        <w:rPr>
          <w:szCs w:val="24"/>
        </w:rPr>
        <w:t>00</w:t>
      </w:r>
      <w:r w:rsidR="003F7B73" w:rsidRPr="00836EB3">
        <w:rPr>
          <w:szCs w:val="24"/>
        </w:rPr>
        <w:t xml:space="preserve"> mill</w:t>
      </w:r>
      <w:r w:rsidR="00BE1470" w:rsidRPr="00836EB3">
        <w:rPr>
          <w:szCs w:val="24"/>
        </w:rPr>
        <w:t>ones (US$ 100 MM)</w:t>
      </w:r>
      <w:r w:rsidR="00661E2F" w:rsidRPr="00836EB3">
        <w:rPr>
          <w:szCs w:val="24"/>
        </w:rPr>
        <w:t>.</w:t>
      </w:r>
    </w:p>
    <w:p w:rsidR="00A11987" w:rsidRPr="00836EB3" w:rsidRDefault="00A11987" w:rsidP="00A11987">
      <w:pPr>
        <w:pStyle w:val="ListParagraph"/>
        <w:rPr>
          <w:szCs w:val="24"/>
        </w:rPr>
      </w:pPr>
    </w:p>
    <w:p w:rsidR="00A11987" w:rsidRPr="00836EB3" w:rsidRDefault="00A11987">
      <w:pPr>
        <w:rPr>
          <w:szCs w:val="24"/>
        </w:rPr>
      </w:pPr>
      <w:r w:rsidRPr="00836EB3">
        <w:rPr>
          <w:szCs w:val="24"/>
        </w:rPr>
        <w:br w:type="page"/>
      </w:r>
    </w:p>
    <w:p w:rsidR="00612378" w:rsidRPr="00836EB3" w:rsidRDefault="00612378" w:rsidP="00260A92">
      <w:pPr>
        <w:ind w:left="709"/>
        <w:jc w:val="center"/>
        <w:rPr>
          <w:b/>
          <w:sz w:val="22"/>
          <w:szCs w:val="22"/>
        </w:rPr>
      </w:pPr>
      <w:r w:rsidRPr="00836EB3">
        <w:rPr>
          <w:b/>
          <w:sz w:val="22"/>
          <w:szCs w:val="22"/>
        </w:rPr>
        <w:t>Cuadro IV-1</w:t>
      </w:r>
    </w:p>
    <w:p w:rsidR="00911F16" w:rsidRPr="00836EB3" w:rsidRDefault="003F479A" w:rsidP="009226D7">
      <w:pPr>
        <w:ind w:left="709"/>
        <w:jc w:val="center"/>
        <w:rPr>
          <w:b/>
          <w:bCs/>
          <w:sz w:val="20"/>
          <w:lang w:val="es-ES" w:eastAsia="es-ES"/>
        </w:rPr>
      </w:pPr>
      <w:r w:rsidRPr="00836EB3">
        <w:rPr>
          <w:b/>
          <w:bCs/>
          <w:sz w:val="20"/>
          <w:lang w:val="es-ES" w:eastAsia="es-ES"/>
        </w:rPr>
        <w:t xml:space="preserve">Flujo de </w:t>
      </w:r>
      <w:r w:rsidR="00BE1470" w:rsidRPr="00836EB3">
        <w:rPr>
          <w:b/>
          <w:bCs/>
          <w:sz w:val="20"/>
          <w:lang w:val="es-ES" w:eastAsia="es-ES"/>
        </w:rPr>
        <w:t>Rep</w:t>
      </w:r>
      <w:r w:rsidRPr="00836EB3">
        <w:rPr>
          <w:b/>
          <w:bCs/>
          <w:sz w:val="20"/>
          <w:lang w:val="es-ES" w:eastAsia="es-ES"/>
        </w:rPr>
        <w:t xml:space="preserve">ago del Préstamo </w:t>
      </w:r>
      <w:r w:rsidR="00BE1470" w:rsidRPr="00836EB3">
        <w:rPr>
          <w:b/>
          <w:bCs/>
          <w:sz w:val="20"/>
          <w:lang w:val="es-ES" w:eastAsia="es-ES"/>
        </w:rPr>
        <w:t>de US$ 100 MM</w:t>
      </w:r>
      <w:r w:rsidR="00D84D87" w:rsidRPr="00836EB3">
        <w:rPr>
          <w:b/>
          <w:bCs/>
          <w:sz w:val="20"/>
          <w:lang w:val="es-ES" w:eastAsia="es-ES"/>
        </w:rPr>
        <w:t xml:space="preserve"> (US$)</w:t>
      </w:r>
    </w:p>
    <w:p w:rsidR="00927397" w:rsidRPr="00836EB3" w:rsidRDefault="00927397" w:rsidP="009226D7">
      <w:pPr>
        <w:ind w:left="709"/>
        <w:jc w:val="center"/>
        <w:rPr>
          <w:b/>
          <w:bCs/>
          <w:sz w:val="20"/>
          <w:lang w:val="es-ES" w:eastAsia="es-ES"/>
        </w:rPr>
      </w:pPr>
    </w:p>
    <w:p w:rsidR="00927397" w:rsidRPr="00836EB3" w:rsidRDefault="003F063F" w:rsidP="009226D7">
      <w:pPr>
        <w:ind w:left="709"/>
        <w:jc w:val="center"/>
        <w:rPr>
          <w:szCs w:val="24"/>
        </w:rPr>
      </w:pPr>
      <w:r w:rsidRPr="00836EB3">
        <w:rPr>
          <w:noProof/>
          <w:szCs w:val="24"/>
          <w:lang w:val="en-US"/>
        </w:rPr>
        <w:drawing>
          <wp:inline distT="0" distB="0" distL="0" distR="0">
            <wp:extent cx="3407962" cy="5752741"/>
            <wp:effectExtent l="19050" t="0" r="1988"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3416979" cy="5767962"/>
                    </a:xfrm>
                    <a:prstGeom prst="rect">
                      <a:avLst/>
                    </a:prstGeom>
                    <a:noFill/>
                    <a:ln w="9525">
                      <a:noFill/>
                      <a:miter lim="800000"/>
                      <a:headEnd/>
                      <a:tailEnd/>
                    </a:ln>
                  </pic:spPr>
                </pic:pic>
              </a:graphicData>
            </a:graphic>
          </wp:inline>
        </w:drawing>
      </w:r>
    </w:p>
    <w:p w:rsidR="00260A92" w:rsidRPr="00836EB3" w:rsidRDefault="00260A92" w:rsidP="00260A92">
      <w:pPr>
        <w:pStyle w:val="ListParagraph"/>
        <w:rPr>
          <w:szCs w:val="24"/>
        </w:rPr>
      </w:pPr>
    </w:p>
    <w:p w:rsidR="00260A92" w:rsidRPr="00836EB3" w:rsidRDefault="00260A92" w:rsidP="003F479A">
      <w:pPr>
        <w:widowControl w:val="0"/>
        <w:adjustRightInd w:val="0"/>
        <w:ind w:left="709"/>
        <w:jc w:val="both"/>
        <w:textAlignment w:val="baseline"/>
        <w:rPr>
          <w:szCs w:val="24"/>
        </w:rPr>
      </w:pPr>
    </w:p>
    <w:p w:rsidR="00927397" w:rsidRPr="00836EB3" w:rsidRDefault="00927397">
      <w:pPr>
        <w:rPr>
          <w:szCs w:val="24"/>
        </w:rPr>
      </w:pPr>
      <w:r w:rsidRPr="00836EB3">
        <w:rPr>
          <w:szCs w:val="24"/>
        </w:rPr>
        <w:br w:type="page"/>
      </w:r>
    </w:p>
    <w:p w:rsidR="00260A92" w:rsidRPr="00836EB3" w:rsidRDefault="00260A92" w:rsidP="00F71809">
      <w:pPr>
        <w:rPr>
          <w:szCs w:val="24"/>
          <w:lang w:val="es-ES_tradnl"/>
        </w:rPr>
      </w:pPr>
    </w:p>
    <w:p w:rsidR="00CA4005" w:rsidRPr="00836EB3" w:rsidRDefault="00327D54" w:rsidP="00CA4005">
      <w:pPr>
        <w:pStyle w:val="ListParagraph"/>
        <w:numPr>
          <w:ilvl w:val="0"/>
          <w:numId w:val="21"/>
        </w:numPr>
        <w:ind w:hanging="720"/>
        <w:jc w:val="both"/>
        <w:rPr>
          <w:smallCaps/>
        </w:rPr>
      </w:pPr>
      <w:r w:rsidRPr="00836EB3">
        <w:rPr>
          <w:smallCaps/>
        </w:rPr>
        <w:t xml:space="preserve">Flujo de Costos Incrementales de </w:t>
      </w:r>
      <w:r w:rsidR="006D30EA" w:rsidRPr="00836EB3">
        <w:rPr>
          <w:smallCaps/>
        </w:rPr>
        <w:t>F</w:t>
      </w:r>
      <w:r w:rsidRPr="00836EB3">
        <w:rPr>
          <w:smallCaps/>
        </w:rPr>
        <w:t>uncionamient</w:t>
      </w:r>
      <w:r w:rsidR="006D30EA" w:rsidRPr="00836EB3">
        <w:rPr>
          <w:smallCaps/>
        </w:rPr>
        <w:t>o y Mantenimiento</w:t>
      </w:r>
      <w:r w:rsidR="00CA4005" w:rsidRPr="00836EB3">
        <w:rPr>
          <w:smallCaps/>
        </w:rPr>
        <w:t>.</w:t>
      </w:r>
    </w:p>
    <w:p w:rsidR="00CA4005" w:rsidRPr="00836EB3" w:rsidRDefault="00CA4005" w:rsidP="00BD5E29">
      <w:pPr>
        <w:widowControl w:val="0"/>
        <w:adjustRightInd w:val="0"/>
        <w:ind w:left="705"/>
        <w:jc w:val="both"/>
        <w:textAlignment w:val="baseline"/>
        <w:rPr>
          <w:szCs w:val="24"/>
        </w:rPr>
      </w:pPr>
    </w:p>
    <w:p w:rsidR="00F23097" w:rsidRPr="00836EB3" w:rsidRDefault="00FB6A90" w:rsidP="00F23097">
      <w:pPr>
        <w:widowControl w:val="0"/>
        <w:numPr>
          <w:ilvl w:val="1"/>
          <w:numId w:val="2"/>
        </w:numPr>
        <w:tabs>
          <w:tab w:val="clear" w:pos="360"/>
          <w:tab w:val="num" w:pos="709"/>
        </w:tabs>
        <w:adjustRightInd w:val="0"/>
        <w:ind w:left="708" w:hanging="709"/>
        <w:jc w:val="both"/>
        <w:textAlignment w:val="baseline"/>
        <w:rPr>
          <w:szCs w:val="24"/>
        </w:rPr>
      </w:pPr>
      <w:r w:rsidRPr="00836EB3">
        <w:rPr>
          <w:szCs w:val="24"/>
        </w:rPr>
        <w:t>Los f</w:t>
      </w:r>
      <w:r w:rsidR="00F23097" w:rsidRPr="00836EB3">
        <w:rPr>
          <w:szCs w:val="24"/>
        </w:rPr>
        <w:t>lujo</w:t>
      </w:r>
      <w:r w:rsidRPr="00836EB3">
        <w:rPr>
          <w:szCs w:val="24"/>
        </w:rPr>
        <w:t>s</w:t>
      </w:r>
      <w:r w:rsidR="00F23097" w:rsidRPr="00836EB3">
        <w:rPr>
          <w:szCs w:val="24"/>
        </w:rPr>
        <w:t xml:space="preserve"> de </w:t>
      </w:r>
      <w:r w:rsidR="004D5697" w:rsidRPr="00836EB3">
        <w:rPr>
          <w:szCs w:val="24"/>
        </w:rPr>
        <w:t xml:space="preserve">los </w:t>
      </w:r>
      <w:r w:rsidR="00F23097" w:rsidRPr="00836EB3">
        <w:rPr>
          <w:szCs w:val="24"/>
        </w:rPr>
        <w:t xml:space="preserve">costos incrementales por </w:t>
      </w:r>
      <w:r w:rsidR="00BE1470" w:rsidRPr="00836EB3">
        <w:rPr>
          <w:szCs w:val="24"/>
        </w:rPr>
        <w:t>la</w:t>
      </w:r>
      <w:r w:rsidR="006D30EA" w:rsidRPr="00836EB3">
        <w:rPr>
          <w:szCs w:val="24"/>
        </w:rPr>
        <w:t xml:space="preserve"> operación </w:t>
      </w:r>
      <w:r w:rsidR="00752796" w:rsidRPr="00836EB3">
        <w:rPr>
          <w:szCs w:val="24"/>
        </w:rPr>
        <w:t>en</w:t>
      </w:r>
      <w:r w:rsidR="00BE1470" w:rsidRPr="00836EB3">
        <w:rPr>
          <w:szCs w:val="24"/>
        </w:rPr>
        <w:t xml:space="preserve"> los Pasos de Frontera</w:t>
      </w:r>
      <w:r w:rsidR="00752796" w:rsidRPr="00836EB3">
        <w:rPr>
          <w:szCs w:val="24"/>
        </w:rPr>
        <w:t xml:space="preserve"> con la aplicación de las medidas de modernización (</w:t>
      </w:r>
      <w:r w:rsidR="00406052">
        <w:rPr>
          <w:szCs w:val="24"/>
        </w:rPr>
        <w:t xml:space="preserve">según se prevé en </w:t>
      </w:r>
      <w:r w:rsidR="00752796" w:rsidRPr="00836EB3">
        <w:rPr>
          <w:szCs w:val="24"/>
        </w:rPr>
        <w:t>el proyecto)</w:t>
      </w:r>
      <w:r w:rsidR="00BE1470" w:rsidRPr="00836EB3">
        <w:rPr>
          <w:szCs w:val="24"/>
        </w:rPr>
        <w:t>, incluyen:</w:t>
      </w:r>
    </w:p>
    <w:p w:rsidR="002B6FAB" w:rsidRPr="00836EB3" w:rsidRDefault="002B6FAB" w:rsidP="00FB6A90">
      <w:pPr>
        <w:widowControl w:val="0"/>
        <w:adjustRightInd w:val="0"/>
        <w:ind w:left="-1"/>
        <w:jc w:val="both"/>
        <w:textAlignment w:val="baseline"/>
        <w:rPr>
          <w:szCs w:val="24"/>
        </w:rPr>
      </w:pPr>
    </w:p>
    <w:p w:rsidR="00BE1470" w:rsidRPr="00836EB3" w:rsidRDefault="00BE1470" w:rsidP="00BE1470">
      <w:pPr>
        <w:pStyle w:val="ListParagraph"/>
        <w:widowControl w:val="0"/>
        <w:numPr>
          <w:ilvl w:val="0"/>
          <w:numId w:val="26"/>
        </w:numPr>
        <w:adjustRightInd w:val="0"/>
        <w:jc w:val="both"/>
        <w:textAlignment w:val="baseline"/>
      </w:pPr>
      <w:r w:rsidRPr="00836EB3">
        <w:rPr>
          <w:u w:val="single"/>
        </w:rPr>
        <w:t>Costo Gerencial</w:t>
      </w:r>
      <w:r w:rsidRPr="00836EB3">
        <w:t xml:space="preserve">: involucra el costo salarial de los Gerentes de los Pasos de Frontera que no será cubierto por el presupuesto nacional; este costo se estima en 50.000 US$/año </w:t>
      </w:r>
      <w:r w:rsidR="003F063F" w:rsidRPr="00836EB3">
        <w:t>promedio por</w:t>
      </w:r>
      <w:r w:rsidRPr="00836EB3">
        <w:t xml:space="preserve"> cada puesto de frontera.</w:t>
      </w:r>
      <w:r w:rsidR="00406052">
        <w:rPr>
          <w:rStyle w:val="FootnoteReference"/>
        </w:rPr>
        <w:footnoteReference w:id="16"/>
      </w:r>
    </w:p>
    <w:p w:rsidR="00BE1470" w:rsidRPr="00836EB3" w:rsidRDefault="00BE1470" w:rsidP="00BE1470">
      <w:pPr>
        <w:pStyle w:val="ListParagraph"/>
      </w:pPr>
    </w:p>
    <w:p w:rsidR="00BE1470" w:rsidRPr="00836EB3" w:rsidRDefault="00BE1470" w:rsidP="00BE1470">
      <w:pPr>
        <w:pStyle w:val="ListParagraph"/>
        <w:widowControl w:val="0"/>
        <w:numPr>
          <w:ilvl w:val="0"/>
          <w:numId w:val="26"/>
        </w:numPr>
        <w:adjustRightInd w:val="0"/>
        <w:jc w:val="both"/>
        <w:textAlignment w:val="baseline"/>
      </w:pPr>
      <w:bookmarkStart w:id="22" w:name="_Ref358371937"/>
      <w:r w:rsidRPr="00836EB3">
        <w:rPr>
          <w:u w:val="single"/>
        </w:rPr>
        <w:t>Costo Operacional Adicional</w:t>
      </w:r>
      <w:r w:rsidRPr="00836EB3">
        <w:t xml:space="preserve">: se asume que </w:t>
      </w:r>
      <w:r w:rsidR="00CF1C6B" w:rsidRPr="00836EB3">
        <w:t>e</w:t>
      </w:r>
      <w:r w:rsidRPr="00836EB3">
        <w:t>l</w:t>
      </w:r>
      <w:r w:rsidR="00CF1C6B" w:rsidRPr="00836EB3">
        <w:t xml:space="preserve"> incremento</w:t>
      </w:r>
      <w:r w:rsidRPr="00836EB3">
        <w:t xml:space="preserve"> de</w:t>
      </w:r>
      <w:r w:rsidR="00CF1C6B" w:rsidRPr="00836EB3">
        <w:t>l</w:t>
      </w:r>
      <w:r w:rsidRPr="00836EB3">
        <w:t xml:space="preserve"> costo</w:t>
      </w:r>
      <w:r w:rsidR="00CF1C6B" w:rsidRPr="00836EB3">
        <w:t xml:space="preserve"> operacional serán cubierto por las tasas a cobrar a los usuarios; incluyendo </w:t>
      </w:r>
      <w:r w:rsidRPr="00836EB3">
        <w:t>salarios (incremento de la plantilla de personal)</w:t>
      </w:r>
      <w:r w:rsidR="00CF1C6B" w:rsidRPr="00836EB3">
        <w:t xml:space="preserve"> e</w:t>
      </w:r>
      <w:r w:rsidRPr="00836EB3">
        <w:t xml:space="preserve"> </w:t>
      </w:r>
      <w:r w:rsidR="00CF1C6B" w:rsidRPr="00836EB3">
        <w:t>insumos, así como el</w:t>
      </w:r>
      <w:r w:rsidRPr="00836EB3">
        <w:t xml:space="preserve"> mantenimiento (</w:t>
      </w:r>
      <w:r w:rsidR="00CF1C6B" w:rsidRPr="00836EB3">
        <w:t>expansión de las instalaciones)</w:t>
      </w:r>
      <w:r w:rsidRPr="00836EB3">
        <w:t xml:space="preserve">. </w:t>
      </w:r>
      <w:bookmarkEnd w:id="22"/>
    </w:p>
    <w:p w:rsidR="002B6FAB" w:rsidRPr="00836EB3" w:rsidRDefault="002B6FAB" w:rsidP="00FB6A90">
      <w:pPr>
        <w:widowControl w:val="0"/>
        <w:adjustRightInd w:val="0"/>
        <w:ind w:left="-1"/>
        <w:jc w:val="both"/>
        <w:textAlignment w:val="baseline"/>
        <w:rPr>
          <w:szCs w:val="24"/>
        </w:rPr>
      </w:pPr>
    </w:p>
    <w:p w:rsidR="000445C4" w:rsidRPr="00836EB3" w:rsidRDefault="004370BC" w:rsidP="004370BC">
      <w:pPr>
        <w:widowControl w:val="0"/>
        <w:numPr>
          <w:ilvl w:val="1"/>
          <w:numId w:val="2"/>
        </w:numPr>
        <w:tabs>
          <w:tab w:val="clear" w:pos="360"/>
          <w:tab w:val="num" w:pos="709"/>
        </w:tabs>
        <w:adjustRightInd w:val="0"/>
        <w:ind w:left="709" w:hanging="709"/>
        <w:jc w:val="both"/>
        <w:textAlignment w:val="baseline"/>
        <w:rPr>
          <w:szCs w:val="24"/>
        </w:rPr>
      </w:pPr>
      <w:r w:rsidRPr="00836EB3">
        <w:rPr>
          <w:szCs w:val="24"/>
        </w:rPr>
        <w:t>E</w:t>
      </w:r>
      <w:r w:rsidR="000445C4" w:rsidRPr="00836EB3">
        <w:rPr>
          <w:szCs w:val="24"/>
        </w:rPr>
        <w:t>n el Cuadro IV-2 siguiente se presenta el</w:t>
      </w:r>
      <w:r w:rsidR="00CF1C6B" w:rsidRPr="00836EB3">
        <w:rPr>
          <w:szCs w:val="24"/>
        </w:rPr>
        <w:t xml:space="preserve"> Flujo de Costos Incrementales por concepto de gerenciamiento, funcionamiento y mantenimiento para los cuatro Pasos de Frontera.</w:t>
      </w:r>
    </w:p>
    <w:p w:rsidR="000445C4" w:rsidRPr="00836EB3" w:rsidRDefault="000445C4" w:rsidP="000445C4">
      <w:pPr>
        <w:widowControl w:val="0"/>
        <w:adjustRightInd w:val="0"/>
        <w:ind w:left="-1"/>
        <w:jc w:val="both"/>
        <w:textAlignment w:val="baseline"/>
        <w:rPr>
          <w:szCs w:val="24"/>
        </w:rPr>
      </w:pPr>
    </w:p>
    <w:p w:rsidR="00F23097" w:rsidRPr="00836EB3" w:rsidRDefault="00F23097" w:rsidP="00F23097">
      <w:pPr>
        <w:pStyle w:val="BodyText"/>
        <w:jc w:val="left"/>
      </w:pPr>
    </w:p>
    <w:p w:rsidR="00F23097" w:rsidRPr="00836EB3" w:rsidRDefault="00327D54" w:rsidP="00F23097">
      <w:pPr>
        <w:pStyle w:val="BodyText"/>
        <w:jc w:val="left"/>
        <w:sectPr w:rsidR="00F23097" w:rsidRPr="00836EB3" w:rsidSect="003D64AD">
          <w:pgSz w:w="12242" w:h="15842" w:code="1"/>
          <w:pgMar w:top="1440" w:right="1298" w:bottom="1440" w:left="1797" w:header="731" w:footer="1134" w:gutter="0"/>
          <w:cols w:space="720"/>
        </w:sectPr>
      </w:pPr>
      <w:r w:rsidRPr="00836EB3">
        <w:t xml:space="preserve"> </w:t>
      </w:r>
    </w:p>
    <w:p w:rsidR="00F23097" w:rsidRPr="00836EB3" w:rsidRDefault="00024BBB" w:rsidP="00F23097">
      <w:pPr>
        <w:pStyle w:val="BodyText"/>
        <w:rPr>
          <w:b/>
          <w:sz w:val="22"/>
          <w:szCs w:val="22"/>
        </w:rPr>
      </w:pPr>
      <w:r w:rsidRPr="00836EB3">
        <w:rPr>
          <w:b/>
          <w:sz w:val="22"/>
          <w:szCs w:val="22"/>
        </w:rPr>
        <w:t xml:space="preserve">Cuadro </w:t>
      </w:r>
      <w:r w:rsidR="00CA4005" w:rsidRPr="00836EB3">
        <w:rPr>
          <w:b/>
          <w:sz w:val="22"/>
          <w:szCs w:val="22"/>
        </w:rPr>
        <w:t>IV-2</w:t>
      </w:r>
    </w:p>
    <w:p w:rsidR="00F23097" w:rsidRPr="00836EB3" w:rsidRDefault="004A0414" w:rsidP="00F23097">
      <w:pPr>
        <w:pStyle w:val="BodyText"/>
        <w:rPr>
          <w:b/>
          <w:sz w:val="20"/>
        </w:rPr>
      </w:pPr>
      <w:r w:rsidRPr="00836EB3">
        <w:rPr>
          <w:b/>
          <w:sz w:val="20"/>
        </w:rPr>
        <w:t xml:space="preserve">Flujo de </w:t>
      </w:r>
      <w:r w:rsidR="00F23097" w:rsidRPr="00836EB3">
        <w:rPr>
          <w:b/>
          <w:sz w:val="20"/>
        </w:rPr>
        <w:t xml:space="preserve">Costos </w:t>
      </w:r>
      <w:r w:rsidR="00392B01" w:rsidRPr="00836EB3">
        <w:rPr>
          <w:b/>
          <w:sz w:val="20"/>
        </w:rPr>
        <w:t>de</w:t>
      </w:r>
      <w:r w:rsidR="00F23097" w:rsidRPr="00836EB3">
        <w:rPr>
          <w:b/>
          <w:sz w:val="20"/>
        </w:rPr>
        <w:t xml:space="preserve"> </w:t>
      </w:r>
      <w:r w:rsidRPr="00836EB3">
        <w:rPr>
          <w:b/>
          <w:sz w:val="20"/>
        </w:rPr>
        <w:t>Operación</w:t>
      </w:r>
      <w:r w:rsidR="007D67CB" w:rsidRPr="00836EB3">
        <w:rPr>
          <w:b/>
          <w:sz w:val="20"/>
        </w:rPr>
        <w:t xml:space="preserve"> </w:t>
      </w:r>
      <w:r w:rsidR="00B41B9A" w:rsidRPr="00836EB3">
        <w:rPr>
          <w:b/>
          <w:sz w:val="20"/>
        </w:rPr>
        <w:t xml:space="preserve">con </w:t>
      </w:r>
      <w:r w:rsidR="000E64C8" w:rsidRPr="00836EB3">
        <w:rPr>
          <w:b/>
          <w:sz w:val="20"/>
        </w:rPr>
        <w:t xml:space="preserve">Aplicación de </w:t>
      </w:r>
      <w:r w:rsidR="007D67CB" w:rsidRPr="00836EB3">
        <w:rPr>
          <w:b/>
          <w:sz w:val="20"/>
        </w:rPr>
        <w:t>la Modernización</w:t>
      </w:r>
    </w:p>
    <w:p w:rsidR="00F23097" w:rsidRPr="00836EB3" w:rsidRDefault="000F4110" w:rsidP="00F23097">
      <w:pPr>
        <w:pStyle w:val="BodyText"/>
        <w:rPr>
          <w:b/>
          <w:sz w:val="20"/>
        </w:rPr>
      </w:pPr>
      <w:r w:rsidRPr="00836EB3">
        <w:rPr>
          <w:b/>
          <w:sz w:val="20"/>
        </w:rPr>
        <w:t>(</w:t>
      </w:r>
      <w:r w:rsidR="00F23097" w:rsidRPr="00836EB3">
        <w:rPr>
          <w:b/>
          <w:sz w:val="20"/>
        </w:rPr>
        <w:t>US$)</w:t>
      </w:r>
    </w:p>
    <w:p w:rsidR="00F23097" w:rsidRPr="00836EB3" w:rsidRDefault="00F23097" w:rsidP="00F23097">
      <w:pPr>
        <w:pStyle w:val="BodyText"/>
        <w:tabs>
          <w:tab w:val="clear" w:pos="3060"/>
        </w:tabs>
        <w:rPr>
          <w:sz w:val="20"/>
        </w:rPr>
      </w:pPr>
    </w:p>
    <w:p w:rsidR="00BD5E29" w:rsidRPr="00836EB3" w:rsidRDefault="004A0414" w:rsidP="003D1377">
      <w:pPr>
        <w:jc w:val="center"/>
      </w:pPr>
      <w:r w:rsidRPr="00836EB3">
        <w:rPr>
          <w:noProof/>
          <w:lang w:val="en-US"/>
        </w:rPr>
        <w:drawing>
          <wp:inline distT="0" distB="0" distL="0" distR="0">
            <wp:extent cx="9339580" cy="4294081"/>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9339580" cy="4294081"/>
                    </a:xfrm>
                    <a:prstGeom prst="rect">
                      <a:avLst/>
                    </a:prstGeom>
                    <a:noFill/>
                    <a:ln w="9525">
                      <a:noFill/>
                      <a:miter lim="800000"/>
                      <a:headEnd/>
                      <a:tailEnd/>
                    </a:ln>
                  </pic:spPr>
                </pic:pic>
              </a:graphicData>
            </a:graphic>
          </wp:inline>
        </w:drawing>
      </w:r>
    </w:p>
    <w:p w:rsidR="00F23097" w:rsidRPr="00836EB3" w:rsidRDefault="00F23097" w:rsidP="003D1371"/>
    <w:p w:rsidR="000F4110" w:rsidRPr="00836EB3" w:rsidRDefault="000F4110" w:rsidP="003D1371">
      <w:pPr>
        <w:sectPr w:rsidR="000F4110" w:rsidRPr="00836EB3" w:rsidSect="004A0414">
          <w:pgSz w:w="15842" w:h="12242" w:orient="landscape" w:code="1"/>
          <w:pgMar w:top="1418" w:right="567" w:bottom="1134" w:left="567" w:header="731" w:footer="1134" w:gutter="0"/>
          <w:cols w:space="720"/>
        </w:sectPr>
      </w:pPr>
    </w:p>
    <w:p w:rsidR="00F939AB" w:rsidRPr="00836EB3" w:rsidRDefault="00327D54" w:rsidP="00A87C94">
      <w:pPr>
        <w:widowControl w:val="0"/>
        <w:numPr>
          <w:ilvl w:val="0"/>
          <w:numId w:val="2"/>
        </w:numPr>
        <w:adjustRightInd w:val="0"/>
        <w:jc w:val="both"/>
        <w:textAlignment w:val="baseline"/>
        <w:rPr>
          <w:b/>
        </w:rPr>
      </w:pPr>
      <w:r w:rsidRPr="00836EB3">
        <w:rPr>
          <w:b/>
        </w:rPr>
        <w:t>Flujo de Ingresos.</w:t>
      </w:r>
    </w:p>
    <w:p w:rsidR="00F939AB" w:rsidRPr="00836EB3" w:rsidRDefault="00F939AB" w:rsidP="00A87C94">
      <w:pPr>
        <w:rPr>
          <w:szCs w:val="24"/>
        </w:rPr>
      </w:pPr>
    </w:p>
    <w:p w:rsidR="002F2B65" w:rsidRPr="00836EB3" w:rsidRDefault="00327D54" w:rsidP="002F2B65">
      <w:pPr>
        <w:pStyle w:val="ListParagraph"/>
        <w:numPr>
          <w:ilvl w:val="0"/>
          <w:numId w:val="23"/>
        </w:numPr>
        <w:ind w:hanging="720"/>
        <w:jc w:val="both"/>
        <w:rPr>
          <w:smallCaps/>
        </w:rPr>
      </w:pPr>
      <w:r w:rsidRPr="00836EB3">
        <w:rPr>
          <w:smallCaps/>
        </w:rPr>
        <w:t>Flujo de la Recaudación por Tasas a los Usuarios</w:t>
      </w:r>
      <w:r w:rsidR="002F2B65" w:rsidRPr="00836EB3">
        <w:rPr>
          <w:smallCaps/>
        </w:rPr>
        <w:t>.</w:t>
      </w:r>
    </w:p>
    <w:p w:rsidR="0008734A" w:rsidRPr="00836EB3" w:rsidRDefault="0008734A" w:rsidP="0008734A">
      <w:pPr>
        <w:pStyle w:val="ListParagraph"/>
        <w:ind w:left="720"/>
        <w:jc w:val="both"/>
        <w:rPr>
          <w:smallCaps/>
        </w:rPr>
      </w:pPr>
    </w:p>
    <w:p w:rsidR="00437A0B" w:rsidRPr="00836EB3" w:rsidRDefault="00B41B9A" w:rsidP="00437A0B">
      <w:pPr>
        <w:widowControl w:val="0"/>
        <w:numPr>
          <w:ilvl w:val="1"/>
          <w:numId w:val="2"/>
        </w:numPr>
        <w:tabs>
          <w:tab w:val="clear" w:pos="360"/>
          <w:tab w:val="num" w:pos="709"/>
        </w:tabs>
        <w:adjustRightInd w:val="0"/>
        <w:ind w:left="709" w:hanging="709"/>
        <w:jc w:val="both"/>
        <w:textAlignment w:val="baseline"/>
      </w:pPr>
      <w:r w:rsidRPr="00836EB3">
        <w:t>Tal como fue mencionado (</w:t>
      </w:r>
      <w:r w:rsidRPr="00836EB3">
        <w:rPr>
          <w:szCs w:val="24"/>
        </w:rPr>
        <w:t>¶</w:t>
      </w:r>
      <w:r w:rsidR="003C721A">
        <w:fldChar w:fldCharType="begin"/>
      </w:r>
      <w:r w:rsidR="003C721A">
        <w:instrText xml:space="preserve"> REF _Ref412885521 \r \h  \* MERGEFORMAT </w:instrText>
      </w:r>
      <w:r w:rsidR="003C721A">
        <w:fldChar w:fldCharType="separate"/>
      </w:r>
      <w:r w:rsidR="00F700A3" w:rsidRPr="00F700A3">
        <w:rPr>
          <w:szCs w:val="24"/>
        </w:rPr>
        <w:t>3.7</w:t>
      </w:r>
      <w:r w:rsidR="003C721A">
        <w:fldChar w:fldCharType="end"/>
      </w:r>
      <w:r w:rsidRPr="00836EB3">
        <w:t>), los gravámenes aplicables a los usuarios en los Pasos de Frontera terrestres son</w:t>
      </w:r>
      <w:r w:rsidRPr="00836EB3">
        <w:rPr>
          <w:lang w:val="es-ES_tradnl"/>
        </w:rPr>
        <w:t>: (i) US$ 5,00 por cada pasajero que egresa del país; (ii) US$ 25,00 por cada declaración aduanera de mercaderías de exportación. En el caso del gravamen a los pasajeros, se prevé un costo de intermediación bancaria del 7%, por lo que el ingreso neto respectivo sería de US$ 4,65.</w:t>
      </w:r>
    </w:p>
    <w:p w:rsidR="00851939" w:rsidRPr="00836EB3" w:rsidRDefault="00851939" w:rsidP="00851939">
      <w:pPr>
        <w:widowControl w:val="0"/>
        <w:adjustRightInd w:val="0"/>
        <w:ind w:left="709"/>
        <w:jc w:val="both"/>
        <w:textAlignment w:val="baseline"/>
      </w:pPr>
    </w:p>
    <w:p w:rsidR="00437A0B" w:rsidRPr="00836EB3" w:rsidRDefault="00B41B9A" w:rsidP="00437A0B">
      <w:pPr>
        <w:widowControl w:val="0"/>
        <w:numPr>
          <w:ilvl w:val="1"/>
          <w:numId w:val="2"/>
        </w:numPr>
        <w:tabs>
          <w:tab w:val="clear" w:pos="360"/>
          <w:tab w:val="num" w:pos="709"/>
        </w:tabs>
        <w:adjustRightInd w:val="0"/>
        <w:ind w:left="709" w:hanging="709"/>
        <w:jc w:val="both"/>
        <w:textAlignment w:val="baseline"/>
      </w:pPr>
      <w:r w:rsidRPr="00836EB3">
        <w:t xml:space="preserve">En resumen, en el Cuadro V-1 siguiente, se presentan los ingresos netos unitarios por cada tipo de gravamen, en tanto los flujos netos totales se presentarán en los cuadros de análisis financiero </w:t>
      </w:r>
      <w:r w:rsidR="005701DC" w:rsidRPr="00836EB3">
        <w:t>que se presentan en el apartado que sigue a continuación</w:t>
      </w:r>
      <w:r w:rsidRPr="00836EB3">
        <w:t>.</w:t>
      </w:r>
    </w:p>
    <w:p w:rsidR="00437A0B" w:rsidRPr="00836EB3" w:rsidRDefault="00437A0B" w:rsidP="008C7733">
      <w:pPr>
        <w:widowControl w:val="0"/>
        <w:adjustRightInd w:val="0"/>
        <w:ind w:left="705"/>
        <w:jc w:val="center"/>
        <w:textAlignment w:val="baseline"/>
        <w:rPr>
          <w:b/>
          <w:sz w:val="16"/>
          <w:szCs w:val="16"/>
        </w:rPr>
      </w:pPr>
    </w:p>
    <w:p w:rsidR="00437A0B" w:rsidRPr="00836EB3" w:rsidRDefault="006A0C04" w:rsidP="00437A0B">
      <w:pPr>
        <w:pStyle w:val="BodyText"/>
        <w:ind w:left="709"/>
        <w:rPr>
          <w:b/>
          <w:sz w:val="22"/>
          <w:szCs w:val="22"/>
        </w:rPr>
      </w:pPr>
      <w:r w:rsidRPr="00836EB3">
        <w:rPr>
          <w:b/>
          <w:sz w:val="22"/>
          <w:szCs w:val="22"/>
        </w:rPr>
        <w:t>Cuadro V-1</w:t>
      </w:r>
    </w:p>
    <w:p w:rsidR="00437A0B" w:rsidRPr="00836EB3" w:rsidRDefault="007D67CB" w:rsidP="00437A0B">
      <w:pPr>
        <w:ind w:left="709"/>
        <w:jc w:val="center"/>
        <w:rPr>
          <w:b/>
          <w:sz w:val="20"/>
        </w:rPr>
      </w:pPr>
      <w:r w:rsidRPr="00836EB3">
        <w:rPr>
          <w:b/>
          <w:sz w:val="20"/>
        </w:rPr>
        <w:t>Ingresos Netos por Gravámenes a los Usuarios</w:t>
      </w:r>
    </w:p>
    <w:p w:rsidR="00B61D73" w:rsidRPr="00836EB3" w:rsidRDefault="00B61D73" w:rsidP="005B1F8D">
      <w:pPr>
        <w:widowControl w:val="0"/>
        <w:adjustRightInd w:val="0"/>
        <w:ind w:left="709"/>
        <w:jc w:val="center"/>
        <w:textAlignment w:val="baseline"/>
        <w:rPr>
          <w:sz w:val="20"/>
        </w:rPr>
      </w:pPr>
    </w:p>
    <w:p w:rsidR="005B1F8D" w:rsidRPr="00836EB3" w:rsidRDefault="000D61E4" w:rsidP="005B1F8D">
      <w:pPr>
        <w:widowControl w:val="0"/>
        <w:adjustRightInd w:val="0"/>
        <w:ind w:left="709"/>
        <w:jc w:val="center"/>
        <w:textAlignment w:val="baseline"/>
      </w:pPr>
      <w:r w:rsidRPr="00836EB3">
        <w:rPr>
          <w:noProof/>
          <w:lang w:val="en-US"/>
        </w:rPr>
        <w:drawing>
          <wp:inline distT="0" distB="0" distL="0" distR="0">
            <wp:extent cx="3964554" cy="1001864"/>
            <wp:effectExtent l="1905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3963979" cy="1001719"/>
                    </a:xfrm>
                    <a:prstGeom prst="rect">
                      <a:avLst/>
                    </a:prstGeom>
                    <a:noFill/>
                    <a:ln w="9525">
                      <a:noFill/>
                      <a:miter lim="800000"/>
                      <a:headEnd/>
                      <a:tailEnd/>
                    </a:ln>
                  </pic:spPr>
                </pic:pic>
              </a:graphicData>
            </a:graphic>
          </wp:inline>
        </w:drawing>
      </w:r>
    </w:p>
    <w:p w:rsidR="006B7CFA" w:rsidRPr="00836EB3" w:rsidRDefault="006B7CFA" w:rsidP="009276DE">
      <w:pPr>
        <w:ind w:left="709"/>
        <w:jc w:val="center"/>
        <w:rPr>
          <w:b/>
        </w:rPr>
      </w:pPr>
    </w:p>
    <w:p w:rsidR="000D61E4" w:rsidRPr="00836EB3" w:rsidRDefault="000D61E4">
      <w:pPr>
        <w:rPr>
          <w:b/>
        </w:rPr>
      </w:pPr>
    </w:p>
    <w:p w:rsidR="0061139F" w:rsidRPr="00836EB3" w:rsidRDefault="0061139F">
      <w:pPr>
        <w:rPr>
          <w:b/>
        </w:rPr>
      </w:pPr>
      <w:r w:rsidRPr="00836EB3">
        <w:rPr>
          <w:b/>
        </w:rPr>
        <w:br w:type="page"/>
      </w:r>
    </w:p>
    <w:p w:rsidR="0081231B" w:rsidRDefault="0081231B" w:rsidP="0081231B">
      <w:pPr>
        <w:widowControl w:val="0"/>
        <w:adjustRightInd w:val="0"/>
        <w:ind w:left="705"/>
        <w:jc w:val="both"/>
        <w:textAlignment w:val="baseline"/>
        <w:rPr>
          <w:b/>
        </w:rPr>
      </w:pPr>
    </w:p>
    <w:p w:rsidR="00173F5D" w:rsidRPr="00836EB3" w:rsidRDefault="00327D54" w:rsidP="00DE1BDF">
      <w:pPr>
        <w:widowControl w:val="0"/>
        <w:numPr>
          <w:ilvl w:val="0"/>
          <w:numId w:val="2"/>
        </w:numPr>
        <w:adjustRightInd w:val="0"/>
        <w:jc w:val="both"/>
        <w:textAlignment w:val="baseline"/>
        <w:rPr>
          <w:b/>
        </w:rPr>
      </w:pPr>
      <w:r w:rsidRPr="00836EB3">
        <w:rPr>
          <w:b/>
        </w:rPr>
        <w:t>Análisis Financiero</w:t>
      </w:r>
      <w:r w:rsidR="00173F5D" w:rsidRPr="00836EB3">
        <w:rPr>
          <w:b/>
        </w:rPr>
        <w:t>.</w:t>
      </w:r>
    </w:p>
    <w:p w:rsidR="00173F5D" w:rsidRPr="00836EB3" w:rsidRDefault="00173F5D" w:rsidP="00A87C94">
      <w:pPr>
        <w:rPr>
          <w:szCs w:val="24"/>
        </w:rPr>
      </w:pPr>
    </w:p>
    <w:p w:rsidR="005701DC" w:rsidRPr="00836EB3" w:rsidRDefault="008C6524" w:rsidP="005701DC">
      <w:pPr>
        <w:widowControl w:val="0"/>
        <w:numPr>
          <w:ilvl w:val="1"/>
          <w:numId w:val="2"/>
        </w:numPr>
        <w:tabs>
          <w:tab w:val="clear" w:pos="360"/>
          <w:tab w:val="num" w:pos="709"/>
        </w:tabs>
        <w:adjustRightInd w:val="0"/>
        <w:ind w:left="709" w:hanging="709"/>
        <w:jc w:val="both"/>
        <w:textAlignment w:val="baseline"/>
      </w:pPr>
      <w:bookmarkStart w:id="23" w:name="_Ref146170026"/>
      <w:r w:rsidRPr="00836EB3">
        <w:rPr>
          <w:b/>
        </w:rPr>
        <w:t>Alcance.</w:t>
      </w:r>
      <w:r w:rsidRPr="00836EB3">
        <w:t xml:space="preserve"> </w:t>
      </w:r>
      <w:r w:rsidR="00EA5015" w:rsidRPr="00836EB3">
        <w:t xml:space="preserve">El </w:t>
      </w:r>
      <w:r w:rsidR="005701DC" w:rsidRPr="00836EB3">
        <w:t xml:space="preserve">planteo </w:t>
      </w:r>
      <w:r w:rsidR="00EA5015" w:rsidRPr="00836EB3">
        <w:t>resumen de</w:t>
      </w:r>
      <w:r w:rsidR="005701DC" w:rsidRPr="00836EB3">
        <w:t xml:space="preserve">l análisis </w:t>
      </w:r>
      <w:r w:rsidR="00A469E9" w:rsidRPr="00836EB3">
        <w:t>financier</w:t>
      </w:r>
      <w:r w:rsidR="005701DC" w:rsidRPr="00836EB3">
        <w:t>o</w:t>
      </w:r>
      <w:r w:rsidR="00742278" w:rsidRPr="00836EB3">
        <w:t xml:space="preserve">, </w:t>
      </w:r>
      <w:r w:rsidR="00A469E9" w:rsidRPr="00836EB3">
        <w:t xml:space="preserve">incluyendo el </w:t>
      </w:r>
      <w:r w:rsidR="00D618E8" w:rsidRPr="00836EB3">
        <w:t>detall</w:t>
      </w:r>
      <w:r w:rsidR="005701DC" w:rsidRPr="00836EB3">
        <w:t>e de</w:t>
      </w:r>
      <w:r w:rsidR="00D618E8" w:rsidRPr="00836EB3">
        <w:t xml:space="preserve"> </w:t>
      </w:r>
      <w:r w:rsidR="00742278" w:rsidRPr="00836EB3">
        <w:t>l</w:t>
      </w:r>
      <w:r w:rsidR="0087635B" w:rsidRPr="00836EB3">
        <w:t xml:space="preserve">os </w:t>
      </w:r>
      <w:r w:rsidR="00133CDE" w:rsidRPr="00836EB3">
        <w:t>flujo</w:t>
      </w:r>
      <w:r w:rsidR="0087635B" w:rsidRPr="00836EB3">
        <w:t xml:space="preserve">s de </w:t>
      </w:r>
      <w:r w:rsidR="005701DC" w:rsidRPr="00836EB3">
        <w:t xml:space="preserve">egresos e ingresos </w:t>
      </w:r>
      <w:r w:rsidR="007A0C3B">
        <w:t>según</w:t>
      </w:r>
      <w:r w:rsidR="005701DC" w:rsidRPr="00836EB3">
        <w:t xml:space="preserve"> categoría, el </w:t>
      </w:r>
      <w:r w:rsidR="00A469E9" w:rsidRPr="00836EB3">
        <w:t>F</w:t>
      </w:r>
      <w:r w:rsidR="005701DC" w:rsidRPr="00836EB3">
        <w:t xml:space="preserve">lujo </w:t>
      </w:r>
      <w:r w:rsidR="00A469E9" w:rsidRPr="00836EB3">
        <w:t>T</w:t>
      </w:r>
      <w:r w:rsidR="005701DC" w:rsidRPr="00836EB3">
        <w:t xml:space="preserve">otal neto con </w:t>
      </w:r>
      <w:r w:rsidR="007A0C3B">
        <w:t>el cálculo del</w:t>
      </w:r>
      <w:r w:rsidR="005701DC" w:rsidRPr="00836EB3">
        <w:t xml:space="preserve"> indicador </w:t>
      </w:r>
      <w:r w:rsidR="00133CDE" w:rsidRPr="00836EB3">
        <w:t>Valor Actual Neto (VAN)</w:t>
      </w:r>
      <w:r w:rsidR="005701DC" w:rsidRPr="00836EB3">
        <w:t xml:space="preserve"> y el Flujo de Caja</w:t>
      </w:r>
      <w:bookmarkEnd w:id="23"/>
      <w:r w:rsidR="005701DC" w:rsidRPr="00836EB3">
        <w:t xml:space="preserve">, </w:t>
      </w:r>
      <w:r w:rsidR="0087635B" w:rsidRPr="00836EB3">
        <w:t xml:space="preserve">se </w:t>
      </w:r>
      <w:r w:rsidR="00742278" w:rsidRPr="00836EB3">
        <w:t>presenta</w:t>
      </w:r>
      <w:r w:rsidR="007A0C3B">
        <w:t>n</w:t>
      </w:r>
      <w:r w:rsidR="00742278" w:rsidRPr="00836EB3">
        <w:t xml:space="preserve"> </w:t>
      </w:r>
      <w:r w:rsidR="0087635B" w:rsidRPr="00836EB3">
        <w:t xml:space="preserve">en </w:t>
      </w:r>
      <w:r w:rsidR="00D618E8" w:rsidRPr="00836EB3">
        <w:t xml:space="preserve">los </w:t>
      </w:r>
      <w:r w:rsidR="00742278" w:rsidRPr="00836EB3">
        <w:t>Cuadros V</w:t>
      </w:r>
      <w:r w:rsidR="00F5534D" w:rsidRPr="00836EB3">
        <w:t>I-1 a</w:t>
      </w:r>
      <w:r w:rsidR="00742278" w:rsidRPr="00836EB3">
        <w:t xml:space="preserve"> V</w:t>
      </w:r>
      <w:r w:rsidR="00FE6619" w:rsidRPr="00836EB3">
        <w:t>I</w:t>
      </w:r>
      <w:r w:rsidR="00742278" w:rsidRPr="00836EB3">
        <w:t>-</w:t>
      </w:r>
      <w:r w:rsidR="00F5534D" w:rsidRPr="00836EB3">
        <w:t>4</w:t>
      </w:r>
      <w:r w:rsidR="00D618E8" w:rsidRPr="00836EB3">
        <w:t>,</w:t>
      </w:r>
      <w:r w:rsidR="0087635B" w:rsidRPr="00836EB3">
        <w:t xml:space="preserve"> para l</w:t>
      </w:r>
      <w:r w:rsidR="005701DC" w:rsidRPr="00836EB3">
        <w:t xml:space="preserve">os escenarios </w:t>
      </w:r>
      <w:r w:rsidR="00A469E9" w:rsidRPr="00836EB3">
        <w:t xml:space="preserve">planteados de </w:t>
      </w:r>
      <w:r w:rsidRPr="00836EB3">
        <w:t xml:space="preserve">mayor </w:t>
      </w:r>
      <w:r w:rsidR="005701DC" w:rsidRPr="00836EB3">
        <w:t>interés para este estudio (</w:t>
      </w:r>
      <w:r w:rsidR="005701DC" w:rsidRPr="00836EB3">
        <w:rPr>
          <w:szCs w:val="24"/>
        </w:rPr>
        <w:t>¶</w:t>
      </w:r>
      <w:r w:rsidR="003C721A">
        <w:fldChar w:fldCharType="begin"/>
      </w:r>
      <w:r w:rsidR="003C721A">
        <w:instrText xml:space="preserve"> REF _Ref412886294 \r \h  \* MERGEFORMAT </w:instrText>
      </w:r>
      <w:r w:rsidR="003C721A">
        <w:fldChar w:fldCharType="separate"/>
      </w:r>
      <w:r w:rsidR="00F700A3" w:rsidRPr="00F700A3">
        <w:rPr>
          <w:szCs w:val="24"/>
        </w:rPr>
        <w:t>3.9</w:t>
      </w:r>
      <w:r w:rsidR="003C721A">
        <w:fldChar w:fldCharType="end"/>
      </w:r>
      <w:r w:rsidR="005701DC" w:rsidRPr="00836EB3">
        <w:t xml:space="preserve">) asociados a diferentes opciones </w:t>
      </w:r>
      <w:r w:rsidR="00A469E9" w:rsidRPr="00836EB3">
        <w:t>para la</w:t>
      </w:r>
      <w:r w:rsidR="005701DC" w:rsidRPr="00836EB3">
        <w:t xml:space="preserve"> distribución de los fondos recaudados entre el Estado y los Gobiernos Locales.</w:t>
      </w:r>
    </w:p>
    <w:p w:rsidR="005701DC" w:rsidRPr="00836EB3" w:rsidRDefault="005701DC" w:rsidP="005701DC">
      <w:pPr>
        <w:widowControl w:val="0"/>
        <w:adjustRightInd w:val="0"/>
        <w:ind w:left="709"/>
        <w:jc w:val="both"/>
        <w:textAlignment w:val="baseline"/>
      </w:pPr>
    </w:p>
    <w:p w:rsidR="001E3100" w:rsidRPr="00836EB3" w:rsidRDefault="005701DC" w:rsidP="005701DC">
      <w:pPr>
        <w:widowControl w:val="0"/>
        <w:numPr>
          <w:ilvl w:val="1"/>
          <w:numId w:val="2"/>
        </w:numPr>
        <w:tabs>
          <w:tab w:val="clear" w:pos="360"/>
          <w:tab w:val="num" w:pos="709"/>
        </w:tabs>
        <w:adjustRightInd w:val="0"/>
        <w:ind w:left="709" w:hanging="709"/>
        <w:jc w:val="both"/>
        <w:textAlignment w:val="baseline"/>
      </w:pPr>
      <w:r w:rsidRPr="00836EB3">
        <w:t xml:space="preserve">En ese sentido, </w:t>
      </w:r>
      <w:r w:rsidR="00787A7F" w:rsidRPr="00836EB3">
        <w:t xml:space="preserve">en resumen, </w:t>
      </w:r>
      <w:r w:rsidRPr="00836EB3">
        <w:t xml:space="preserve">los escenarios </w:t>
      </w:r>
      <w:r w:rsidR="00787A7F" w:rsidRPr="00836EB3">
        <w:t xml:space="preserve">bajo </w:t>
      </w:r>
      <w:r w:rsidRPr="00836EB3">
        <w:t>estudi</w:t>
      </w:r>
      <w:r w:rsidR="00787A7F" w:rsidRPr="00836EB3">
        <w:t>o</w:t>
      </w:r>
      <w:r w:rsidRPr="00836EB3">
        <w:t xml:space="preserve"> son: (i) </w:t>
      </w:r>
      <w:r w:rsidR="008C6524" w:rsidRPr="00836EB3">
        <w:t xml:space="preserve">E1: </w:t>
      </w:r>
      <w:r w:rsidRPr="00836EB3">
        <w:t xml:space="preserve">asignación de 50% para el Estado (previsión original de la </w:t>
      </w:r>
      <w:r w:rsidRPr="00836EB3">
        <w:rPr>
          <w:lang w:val="es-ES_tradnl"/>
        </w:rPr>
        <w:t>Ley N° 9154 de 3 de Julio de 2013</w:t>
      </w:r>
      <w:r w:rsidRPr="00836EB3">
        <w:t xml:space="preserve">); (ii) </w:t>
      </w:r>
      <w:r w:rsidR="008C6524" w:rsidRPr="00836EB3">
        <w:t xml:space="preserve">E2: </w:t>
      </w:r>
      <w:r w:rsidRPr="00836EB3">
        <w:t xml:space="preserve">asignación de 85% para el Estado (propuesta en discusión); (iii) </w:t>
      </w:r>
      <w:r w:rsidR="008C6524" w:rsidRPr="00836EB3">
        <w:t xml:space="preserve">E3: </w:t>
      </w:r>
      <w:r w:rsidRPr="00836EB3">
        <w:t xml:space="preserve">asignación mínima requerida por el Estado para lograr un VAN(12%) positivo; (iv) </w:t>
      </w:r>
      <w:r w:rsidR="008C6524" w:rsidRPr="00836EB3">
        <w:t xml:space="preserve">E4: </w:t>
      </w:r>
      <w:r w:rsidRPr="00836EB3">
        <w:t xml:space="preserve">asignación mínima para el Estado </w:t>
      </w:r>
      <w:r w:rsidR="007A0C3B">
        <w:t>que permita</w:t>
      </w:r>
      <w:r w:rsidRPr="00836EB3">
        <w:t xml:space="preserve"> lograr un Flujo de Caja </w:t>
      </w:r>
      <w:r w:rsidR="00A469E9" w:rsidRPr="00836EB3">
        <w:t>cont</w:t>
      </w:r>
      <w:r w:rsidR="008C6524" w:rsidRPr="00836EB3">
        <w:t>i</w:t>
      </w:r>
      <w:r w:rsidR="00A469E9" w:rsidRPr="00836EB3">
        <w:t>nu</w:t>
      </w:r>
      <w:r w:rsidR="008C6524" w:rsidRPr="00836EB3">
        <w:t>o</w:t>
      </w:r>
      <w:r w:rsidRPr="00836EB3">
        <w:t xml:space="preserve"> positivo.</w:t>
      </w:r>
      <w:r w:rsidR="004C7651" w:rsidRPr="00836EB3">
        <w:t xml:space="preserve"> </w:t>
      </w:r>
    </w:p>
    <w:p w:rsidR="001E3100" w:rsidRPr="00836EB3" w:rsidRDefault="001E3100" w:rsidP="001E3100">
      <w:pPr>
        <w:pStyle w:val="ListParagraph"/>
      </w:pPr>
    </w:p>
    <w:p w:rsidR="005701DC" w:rsidRPr="00836EB3" w:rsidRDefault="001E3100" w:rsidP="005701DC">
      <w:pPr>
        <w:widowControl w:val="0"/>
        <w:numPr>
          <w:ilvl w:val="1"/>
          <w:numId w:val="2"/>
        </w:numPr>
        <w:tabs>
          <w:tab w:val="clear" w:pos="360"/>
          <w:tab w:val="num" w:pos="709"/>
        </w:tabs>
        <w:adjustRightInd w:val="0"/>
        <w:ind w:left="709" w:hanging="709"/>
        <w:jc w:val="both"/>
        <w:textAlignment w:val="baseline"/>
      </w:pPr>
      <w:r w:rsidRPr="00836EB3">
        <w:rPr>
          <w:b/>
        </w:rPr>
        <w:t xml:space="preserve">Resultados del </w:t>
      </w:r>
      <w:r w:rsidR="004C7651" w:rsidRPr="00836EB3">
        <w:rPr>
          <w:b/>
        </w:rPr>
        <w:t>análisis</w:t>
      </w:r>
      <w:r w:rsidRPr="00836EB3">
        <w:rPr>
          <w:b/>
        </w:rPr>
        <w:t xml:space="preserve"> financiero.</w:t>
      </w:r>
      <w:r w:rsidRPr="00836EB3">
        <w:t xml:space="preserve"> Los resultados</w:t>
      </w:r>
      <w:r w:rsidR="008C6524" w:rsidRPr="00836EB3">
        <w:t xml:space="preserve"> del análisis financiero</w:t>
      </w:r>
      <w:r w:rsidR="004C7651" w:rsidRPr="00836EB3">
        <w:t>, se plantean a continuación</w:t>
      </w:r>
      <w:r w:rsidRPr="00836EB3">
        <w:t>, para cada uno de los escenarios considerados</w:t>
      </w:r>
      <w:r w:rsidR="008C6524" w:rsidRPr="00836EB3">
        <w:t>:</w:t>
      </w:r>
    </w:p>
    <w:p w:rsidR="005701DC" w:rsidRPr="00836EB3" w:rsidRDefault="005701DC" w:rsidP="00A87C94">
      <w:pPr>
        <w:widowControl w:val="0"/>
        <w:adjustRightInd w:val="0"/>
        <w:ind w:left="709"/>
        <w:jc w:val="both"/>
        <w:textAlignment w:val="baseline"/>
      </w:pPr>
    </w:p>
    <w:p w:rsidR="0084512D" w:rsidRPr="00836EB3" w:rsidRDefault="004C7651" w:rsidP="008C6524">
      <w:pPr>
        <w:pStyle w:val="ListParagraph"/>
        <w:widowControl w:val="0"/>
        <w:numPr>
          <w:ilvl w:val="2"/>
          <w:numId w:val="2"/>
        </w:numPr>
        <w:adjustRightInd w:val="0"/>
        <w:jc w:val="both"/>
        <w:textAlignment w:val="baseline"/>
        <w:rPr>
          <w:szCs w:val="24"/>
        </w:rPr>
      </w:pPr>
      <w:r w:rsidRPr="00836EB3">
        <w:rPr>
          <w:szCs w:val="24"/>
          <w:u w:val="single"/>
        </w:rPr>
        <w:t>Escenario E1: Asignación de 50% de la recaudación neta para el Estado</w:t>
      </w:r>
      <w:r w:rsidRPr="00836EB3">
        <w:rPr>
          <w:szCs w:val="24"/>
        </w:rPr>
        <w:t>.</w:t>
      </w:r>
    </w:p>
    <w:p w:rsidR="006D6C75" w:rsidRPr="00836EB3" w:rsidRDefault="006D6C75" w:rsidP="00A87C94"/>
    <w:p w:rsidR="008A1676" w:rsidRPr="00836EB3" w:rsidRDefault="00B12BA3" w:rsidP="008C6524">
      <w:pPr>
        <w:pStyle w:val="ListParagraph"/>
        <w:widowControl w:val="0"/>
        <w:numPr>
          <w:ilvl w:val="0"/>
          <w:numId w:val="29"/>
        </w:numPr>
        <w:adjustRightInd w:val="0"/>
        <w:ind w:left="1134" w:hanging="425"/>
        <w:jc w:val="both"/>
        <w:textAlignment w:val="baseline"/>
        <w:rPr>
          <w:szCs w:val="24"/>
        </w:rPr>
      </w:pPr>
      <w:r w:rsidRPr="00836EB3">
        <w:rPr>
          <w:szCs w:val="24"/>
        </w:rPr>
        <w:t xml:space="preserve">Con </w:t>
      </w:r>
      <w:r w:rsidR="007A0C3B">
        <w:rPr>
          <w:szCs w:val="24"/>
        </w:rPr>
        <w:t>l</w:t>
      </w:r>
      <w:r w:rsidRPr="00836EB3">
        <w:rPr>
          <w:szCs w:val="24"/>
        </w:rPr>
        <w:t xml:space="preserve">a alícuota de </w:t>
      </w:r>
      <w:r w:rsidR="007A0C3B">
        <w:rPr>
          <w:szCs w:val="24"/>
        </w:rPr>
        <w:t>50%</w:t>
      </w:r>
      <w:r w:rsidRPr="00836EB3">
        <w:rPr>
          <w:szCs w:val="24"/>
        </w:rPr>
        <w:t xml:space="preserve"> </w:t>
      </w:r>
      <w:r w:rsidR="008A1676" w:rsidRPr="00836EB3">
        <w:rPr>
          <w:szCs w:val="24"/>
        </w:rPr>
        <w:t xml:space="preserve">de ingresos </w:t>
      </w:r>
      <w:r w:rsidRPr="00836EB3">
        <w:rPr>
          <w:szCs w:val="24"/>
        </w:rPr>
        <w:t xml:space="preserve">para </w:t>
      </w:r>
      <w:r w:rsidR="008A1676" w:rsidRPr="00836EB3">
        <w:rPr>
          <w:szCs w:val="24"/>
        </w:rPr>
        <w:t>el Estado, resulta un Va</w:t>
      </w:r>
      <w:r w:rsidR="007A0C3B">
        <w:rPr>
          <w:szCs w:val="24"/>
        </w:rPr>
        <w:t>lor Actual Neto (VAN) -</w:t>
      </w:r>
      <w:r w:rsidR="008A1676" w:rsidRPr="00836EB3">
        <w:rPr>
          <w:szCs w:val="24"/>
        </w:rPr>
        <w:t>tasa de descuento del 12%- negati</w:t>
      </w:r>
      <w:r w:rsidRPr="00836EB3">
        <w:rPr>
          <w:szCs w:val="24"/>
        </w:rPr>
        <w:t>vo de US$ 3,5 millones (Cuadro V</w:t>
      </w:r>
      <w:r w:rsidR="008A1676" w:rsidRPr="00836EB3">
        <w:rPr>
          <w:szCs w:val="24"/>
        </w:rPr>
        <w:t>I</w:t>
      </w:r>
      <w:r w:rsidRPr="00836EB3">
        <w:rPr>
          <w:szCs w:val="24"/>
        </w:rPr>
        <w:t>-1</w:t>
      </w:r>
      <w:r w:rsidR="008A1676" w:rsidRPr="00836EB3">
        <w:rPr>
          <w:szCs w:val="24"/>
        </w:rPr>
        <w:t xml:space="preserve">). </w:t>
      </w:r>
    </w:p>
    <w:p w:rsidR="008C6524" w:rsidRPr="00836EB3" w:rsidRDefault="008C6524" w:rsidP="008C6524">
      <w:pPr>
        <w:pStyle w:val="ListParagraph"/>
        <w:widowControl w:val="0"/>
        <w:adjustRightInd w:val="0"/>
        <w:ind w:left="1134"/>
        <w:jc w:val="both"/>
        <w:textAlignment w:val="baseline"/>
        <w:rPr>
          <w:szCs w:val="24"/>
        </w:rPr>
      </w:pPr>
    </w:p>
    <w:p w:rsidR="0081231B" w:rsidRDefault="00B12BA3" w:rsidP="008C6524">
      <w:pPr>
        <w:pStyle w:val="ListParagraph"/>
        <w:widowControl w:val="0"/>
        <w:numPr>
          <w:ilvl w:val="0"/>
          <w:numId w:val="29"/>
        </w:numPr>
        <w:adjustRightInd w:val="0"/>
        <w:ind w:left="1134" w:hanging="425"/>
        <w:jc w:val="both"/>
        <w:textAlignment w:val="baseline"/>
        <w:rPr>
          <w:szCs w:val="24"/>
        </w:rPr>
      </w:pPr>
      <w:r w:rsidRPr="00836EB3">
        <w:rPr>
          <w:szCs w:val="24"/>
        </w:rPr>
        <w:t>En este esquema, para el Año 2018 (Año 2 del período de análisis) se presenta un resultado anual negativo de US$ 0,3 millones, debido a la puesta en operación de Las Tablillas que cuenta con un tránsito relativamente bajo. S</w:t>
      </w:r>
      <w:r w:rsidR="008A1676" w:rsidRPr="00836EB3">
        <w:rPr>
          <w:szCs w:val="24"/>
        </w:rPr>
        <w:t xml:space="preserve">in perjuicio del caso puntual </w:t>
      </w:r>
      <w:r w:rsidRPr="00836EB3">
        <w:rPr>
          <w:szCs w:val="24"/>
        </w:rPr>
        <w:t>mencionado que tiene una importancia menor</w:t>
      </w:r>
      <w:r w:rsidR="008A1676" w:rsidRPr="00836EB3">
        <w:rPr>
          <w:szCs w:val="24"/>
        </w:rPr>
        <w:t xml:space="preserve">, se presentan resultados anuales negativos </w:t>
      </w:r>
      <w:r w:rsidR="007A0C3B">
        <w:rPr>
          <w:szCs w:val="24"/>
        </w:rPr>
        <w:t xml:space="preserve">importantes </w:t>
      </w:r>
      <w:r w:rsidR="008A1676" w:rsidRPr="00836EB3">
        <w:rPr>
          <w:szCs w:val="24"/>
        </w:rPr>
        <w:t xml:space="preserve">cuando comienza el repago del préstamo </w:t>
      </w:r>
      <w:r w:rsidRPr="00836EB3">
        <w:rPr>
          <w:szCs w:val="24"/>
        </w:rPr>
        <w:t>desde</w:t>
      </w:r>
      <w:r w:rsidR="008A1676" w:rsidRPr="00836EB3">
        <w:rPr>
          <w:szCs w:val="24"/>
        </w:rPr>
        <w:t xml:space="preserve"> 2022 </w:t>
      </w:r>
      <w:r w:rsidRPr="00836EB3">
        <w:rPr>
          <w:szCs w:val="24"/>
        </w:rPr>
        <w:t>a</w:t>
      </w:r>
      <w:r w:rsidR="008A1676" w:rsidRPr="00836EB3">
        <w:rPr>
          <w:szCs w:val="24"/>
        </w:rPr>
        <w:t xml:space="preserve"> 2035</w:t>
      </w:r>
      <w:r w:rsidRPr="00836EB3">
        <w:rPr>
          <w:szCs w:val="24"/>
        </w:rPr>
        <w:t>; en este último año</w:t>
      </w:r>
      <w:r w:rsidR="007A0C3B">
        <w:rPr>
          <w:szCs w:val="24"/>
        </w:rPr>
        <w:t xml:space="preserve">, el </w:t>
      </w:r>
      <w:r w:rsidR="008A1676" w:rsidRPr="00836EB3">
        <w:rPr>
          <w:szCs w:val="24"/>
        </w:rPr>
        <w:t xml:space="preserve">Flujo de Caja negativo </w:t>
      </w:r>
      <w:r w:rsidR="007A0C3B">
        <w:rPr>
          <w:szCs w:val="24"/>
        </w:rPr>
        <w:t xml:space="preserve">es </w:t>
      </w:r>
      <w:r w:rsidR="008A1676" w:rsidRPr="00836EB3">
        <w:rPr>
          <w:szCs w:val="24"/>
        </w:rPr>
        <w:t>de US$ 23,6 millones</w:t>
      </w:r>
      <w:r w:rsidR="007A0C3B">
        <w:rPr>
          <w:szCs w:val="24"/>
        </w:rPr>
        <w:t xml:space="preserve">, lo cual </w:t>
      </w:r>
      <w:r w:rsidRPr="00836EB3">
        <w:rPr>
          <w:szCs w:val="24"/>
        </w:rPr>
        <w:t xml:space="preserve">recién </w:t>
      </w:r>
      <w:r w:rsidR="008A1676" w:rsidRPr="00836EB3">
        <w:rPr>
          <w:szCs w:val="24"/>
        </w:rPr>
        <w:t>se revierte</w:t>
      </w:r>
      <w:r w:rsidRPr="00836EB3">
        <w:rPr>
          <w:szCs w:val="24"/>
        </w:rPr>
        <w:t xml:space="preserve"> </w:t>
      </w:r>
      <w:r w:rsidR="008A1676" w:rsidRPr="00836EB3">
        <w:rPr>
          <w:szCs w:val="24"/>
        </w:rPr>
        <w:t xml:space="preserve">en 2046. </w:t>
      </w:r>
    </w:p>
    <w:p w:rsidR="0081231B" w:rsidRPr="0081231B" w:rsidRDefault="0081231B" w:rsidP="0081231B">
      <w:pPr>
        <w:pStyle w:val="ListParagraph"/>
        <w:rPr>
          <w:szCs w:val="24"/>
        </w:rPr>
      </w:pPr>
    </w:p>
    <w:p w:rsidR="008A1676" w:rsidRPr="00836EB3" w:rsidRDefault="008A1676" w:rsidP="008C6524">
      <w:pPr>
        <w:pStyle w:val="ListParagraph"/>
        <w:widowControl w:val="0"/>
        <w:numPr>
          <w:ilvl w:val="0"/>
          <w:numId w:val="29"/>
        </w:numPr>
        <w:adjustRightInd w:val="0"/>
        <w:ind w:left="1134" w:hanging="425"/>
        <w:jc w:val="both"/>
        <w:textAlignment w:val="baseline"/>
        <w:rPr>
          <w:szCs w:val="24"/>
        </w:rPr>
      </w:pPr>
      <w:r w:rsidRPr="00836EB3">
        <w:rPr>
          <w:szCs w:val="24"/>
        </w:rPr>
        <w:t>Est</w:t>
      </w:r>
      <w:r w:rsidR="00B12BA3" w:rsidRPr="00836EB3">
        <w:rPr>
          <w:szCs w:val="24"/>
        </w:rPr>
        <w:t>e escenario</w:t>
      </w:r>
      <w:r w:rsidRPr="00836EB3">
        <w:rPr>
          <w:szCs w:val="24"/>
        </w:rPr>
        <w:t xml:space="preserve"> </w:t>
      </w:r>
      <w:r w:rsidR="00B12BA3" w:rsidRPr="00836EB3">
        <w:rPr>
          <w:szCs w:val="24"/>
        </w:rPr>
        <w:t>resulta</w:t>
      </w:r>
      <w:r w:rsidRPr="00836EB3">
        <w:rPr>
          <w:szCs w:val="24"/>
        </w:rPr>
        <w:t xml:space="preserve"> </w:t>
      </w:r>
      <w:r w:rsidR="007A0C3B">
        <w:rPr>
          <w:szCs w:val="24"/>
        </w:rPr>
        <w:t xml:space="preserve">claramente </w:t>
      </w:r>
      <w:r w:rsidRPr="00836EB3">
        <w:rPr>
          <w:szCs w:val="24"/>
        </w:rPr>
        <w:t>inconveniente para el Estado</w:t>
      </w:r>
      <w:r w:rsidR="00B12BA3" w:rsidRPr="00836EB3">
        <w:rPr>
          <w:szCs w:val="24"/>
        </w:rPr>
        <w:t xml:space="preserve"> y no permite el sustento financiero de la modernización</w:t>
      </w:r>
      <w:r w:rsidRPr="00836EB3">
        <w:rPr>
          <w:szCs w:val="24"/>
        </w:rPr>
        <w:t>.</w:t>
      </w:r>
    </w:p>
    <w:p w:rsidR="008C6524" w:rsidRPr="00836EB3" w:rsidRDefault="008C6524" w:rsidP="008C6524">
      <w:pPr>
        <w:pStyle w:val="ListParagraph"/>
        <w:widowControl w:val="0"/>
        <w:adjustRightInd w:val="0"/>
        <w:ind w:left="720"/>
        <w:jc w:val="both"/>
        <w:textAlignment w:val="baseline"/>
        <w:rPr>
          <w:szCs w:val="24"/>
        </w:rPr>
      </w:pPr>
    </w:p>
    <w:p w:rsidR="004C7651" w:rsidRPr="00836EB3" w:rsidRDefault="004C7651" w:rsidP="008C6524">
      <w:pPr>
        <w:pStyle w:val="ListParagraph"/>
        <w:widowControl w:val="0"/>
        <w:numPr>
          <w:ilvl w:val="2"/>
          <w:numId w:val="2"/>
        </w:numPr>
        <w:adjustRightInd w:val="0"/>
        <w:jc w:val="both"/>
        <w:textAlignment w:val="baseline"/>
      </w:pPr>
      <w:r w:rsidRPr="00836EB3">
        <w:rPr>
          <w:szCs w:val="24"/>
          <w:u w:val="single"/>
        </w:rPr>
        <w:t>Escenario E2: Asignación de 85% de la recaudación neta para el Estado</w:t>
      </w:r>
      <w:r w:rsidRPr="00836EB3">
        <w:rPr>
          <w:szCs w:val="24"/>
        </w:rPr>
        <w:t>.</w:t>
      </w:r>
    </w:p>
    <w:p w:rsidR="004C7651" w:rsidRPr="00836EB3" w:rsidRDefault="004C7651" w:rsidP="004C7651"/>
    <w:p w:rsidR="006D6C75" w:rsidRPr="00836EB3" w:rsidRDefault="00B12BA3" w:rsidP="008C6524">
      <w:pPr>
        <w:pStyle w:val="ListParagraph"/>
        <w:widowControl w:val="0"/>
        <w:numPr>
          <w:ilvl w:val="0"/>
          <w:numId w:val="30"/>
        </w:numPr>
        <w:adjustRightInd w:val="0"/>
        <w:ind w:left="1134" w:hanging="425"/>
        <w:jc w:val="both"/>
        <w:textAlignment w:val="baseline"/>
        <w:rPr>
          <w:szCs w:val="24"/>
        </w:rPr>
      </w:pPr>
      <w:r w:rsidRPr="00836EB3">
        <w:rPr>
          <w:szCs w:val="24"/>
        </w:rPr>
        <w:t xml:space="preserve">Con esta proporción en la </w:t>
      </w:r>
      <w:r w:rsidR="006D6C75" w:rsidRPr="00836EB3">
        <w:rPr>
          <w:szCs w:val="24"/>
        </w:rPr>
        <w:t>distribución de ingresos entre el Estado y los Gobiernos Locales, resulta un Va</w:t>
      </w:r>
      <w:r w:rsidR="00673877">
        <w:rPr>
          <w:szCs w:val="24"/>
        </w:rPr>
        <w:t>lor Actual Neto (VAN) -</w:t>
      </w:r>
      <w:r w:rsidR="006D6C75" w:rsidRPr="00836EB3">
        <w:rPr>
          <w:szCs w:val="24"/>
        </w:rPr>
        <w:t xml:space="preserve">tasa de descuento del 12%- positivo de US$ 29,4 millones (Cuadro </w:t>
      </w:r>
      <w:r w:rsidRPr="00836EB3">
        <w:rPr>
          <w:szCs w:val="24"/>
        </w:rPr>
        <w:t>V</w:t>
      </w:r>
      <w:r w:rsidR="006D6C75" w:rsidRPr="00836EB3">
        <w:rPr>
          <w:szCs w:val="24"/>
        </w:rPr>
        <w:t>I</w:t>
      </w:r>
      <w:r w:rsidRPr="00836EB3">
        <w:rPr>
          <w:szCs w:val="24"/>
        </w:rPr>
        <w:t>-2</w:t>
      </w:r>
      <w:r w:rsidR="006D6C75" w:rsidRPr="00836EB3">
        <w:rPr>
          <w:szCs w:val="24"/>
        </w:rPr>
        <w:t xml:space="preserve">). </w:t>
      </w:r>
    </w:p>
    <w:p w:rsidR="008C6524" w:rsidRPr="00836EB3" w:rsidRDefault="008C6524" w:rsidP="008C6524">
      <w:pPr>
        <w:pStyle w:val="ListParagraph"/>
        <w:widowControl w:val="0"/>
        <w:adjustRightInd w:val="0"/>
        <w:ind w:left="1134" w:hanging="425"/>
        <w:jc w:val="both"/>
        <w:textAlignment w:val="baseline"/>
        <w:rPr>
          <w:szCs w:val="24"/>
        </w:rPr>
      </w:pPr>
    </w:p>
    <w:p w:rsidR="004C7651" w:rsidRPr="00836EB3" w:rsidRDefault="006D6C75" w:rsidP="008C6524">
      <w:pPr>
        <w:pStyle w:val="ListParagraph"/>
        <w:widowControl w:val="0"/>
        <w:numPr>
          <w:ilvl w:val="0"/>
          <w:numId w:val="30"/>
        </w:numPr>
        <w:adjustRightInd w:val="0"/>
        <w:ind w:left="1134" w:hanging="425"/>
        <w:jc w:val="both"/>
        <w:textAlignment w:val="baseline"/>
      </w:pPr>
      <w:bookmarkStart w:id="24" w:name="_Ref410831820"/>
      <w:r w:rsidRPr="00836EB3">
        <w:rPr>
          <w:szCs w:val="24"/>
        </w:rPr>
        <w:t xml:space="preserve">En este esquema, para el Año 2018 (Año 2 del período de análisis) se presenta el único resultado anual negativo, con US$ 0,3 millones; esto se debe a la puesta en operación de Las Tablillas, </w:t>
      </w:r>
      <w:r w:rsidR="008074E6" w:rsidRPr="00836EB3">
        <w:rPr>
          <w:szCs w:val="24"/>
        </w:rPr>
        <w:t>como fue referido</w:t>
      </w:r>
      <w:r w:rsidRPr="00836EB3">
        <w:rPr>
          <w:szCs w:val="24"/>
        </w:rPr>
        <w:t xml:space="preserve">. Se trata de un monto relativamente reducido que podría ser cubierto con recursos provenientes de tasas aplicadas en los años 2016-2017 (o en 2018 de otros Pasos) si se hiciera la respectiva previsión; </w:t>
      </w:r>
      <w:r w:rsidR="008074E6" w:rsidRPr="00836EB3">
        <w:rPr>
          <w:szCs w:val="24"/>
        </w:rPr>
        <w:t xml:space="preserve">desde </w:t>
      </w:r>
      <w:r w:rsidRPr="00836EB3">
        <w:rPr>
          <w:szCs w:val="24"/>
        </w:rPr>
        <w:t xml:space="preserve">el año 2019 </w:t>
      </w:r>
      <w:r w:rsidR="008074E6" w:rsidRPr="00836EB3">
        <w:rPr>
          <w:szCs w:val="24"/>
        </w:rPr>
        <w:t>en adelante</w:t>
      </w:r>
      <w:r w:rsidRPr="00836EB3">
        <w:rPr>
          <w:szCs w:val="24"/>
        </w:rPr>
        <w:t xml:space="preserve">, los resultados anuales </w:t>
      </w:r>
      <w:r w:rsidR="008074E6" w:rsidRPr="00836EB3">
        <w:rPr>
          <w:szCs w:val="24"/>
        </w:rPr>
        <w:t xml:space="preserve">netos </w:t>
      </w:r>
      <w:r w:rsidRPr="00836EB3">
        <w:rPr>
          <w:szCs w:val="24"/>
        </w:rPr>
        <w:t>y el Flujo de Caja son siempre positivos.</w:t>
      </w:r>
      <w:bookmarkEnd w:id="24"/>
    </w:p>
    <w:p w:rsidR="008C6524" w:rsidRPr="00836EB3" w:rsidRDefault="008C6524" w:rsidP="008C6524">
      <w:pPr>
        <w:pStyle w:val="ListParagraph"/>
        <w:widowControl w:val="0"/>
        <w:adjustRightInd w:val="0"/>
        <w:ind w:left="720"/>
        <w:jc w:val="both"/>
        <w:textAlignment w:val="baseline"/>
      </w:pPr>
    </w:p>
    <w:p w:rsidR="004C7651" w:rsidRPr="00836EB3" w:rsidRDefault="004C7651" w:rsidP="008C6524">
      <w:pPr>
        <w:pStyle w:val="ListParagraph"/>
        <w:widowControl w:val="0"/>
        <w:numPr>
          <w:ilvl w:val="2"/>
          <w:numId w:val="2"/>
        </w:numPr>
        <w:adjustRightInd w:val="0"/>
        <w:jc w:val="both"/>
        <w:textAlignment w:val="baseline"/>
      </w:pPr>
      <w:r w:rsidRPr="00836EB3">
        <w:rPr>
          <w:szCs w:val="24"/>
          <w:u w:val="single"/>
        </w:rPr>
        <w:t xml:space="preserve">Escenario E3: Asignación Mínima para el Estado para lograr </w:t>
      </w:r>
      <w:r w:rsidR="008C6524" w:rsidRPr="00836EB3">
        <w:rPr>
          <w:szCs w:val="24"/>
          <w:u w:val="single"/>
        </w:rPr>
        <w:t xml:space="preserve">un </w:t>
      </w:r>
      <w:r w:rsidRPr="00836EB3">
        <w:rPr>
          <w:szCs w:val="24"/>
          <w:u w:val="single"/>
        </w:rPr>
        <w:t>VAN</w:t>
      </w:r>
      <w:r w:rsidR="008C6524" w:rsidRPr="00836EB3">
        <w:rPr>
          <w:szCs w:val="24"/>
          <w:u w:val="single"/>
        </w:rPr>
        <w:t xml:space="preserve"> positivo</w:t>
      </w:r>
      <w:r w:rsidRPr="00836EB3">
        <w:rPr>
          <w:szCs w:val="24"/>
        </w:rPr>
        <w:t>.</w:t>
      </w:r>
    </w:p>
    <w:p w:rsidR="008A1676" w:rsidRPr="00836EB3" w:rsidRDefault="008A1676" w:rsidP="008A1676">
      <w:pPr>
        <w:pStyle w:val="ListParagraph"/>
        <w:rPr>
          <w:szCs w:val="24"/>
        </w:rPr>
      </w:pPr>
    </w:p>
    <w:p w:rsidR="006D6C75" w:rsidRPr="00836EB3" w:rsidRDefault="0081231B" w:rsidP="008C6524">
      <w:pPr>
        <w:pStyle w:val="ListParagraph"/>
        <w:widowControl w:val="0"/>
        <w:numPr>
          <w:ilvl w:val="0"/>
          <w:numId w:val="31"/>
        </w:numPr>
        <w:adjustRightInd w:val="0"/>
        <w:ind w:left="1134" w:hanging="425"/>
        <w:jc w:val="both"/>
        <w:textAlignment w:val="baseline"/>
        <w:rPr>
          <w:szCs w:val="24"/>
        </w:rPr>
      </w:pPr>
      <w:r>
        <w:rPr>
          <w:szCs w:val="24"/>
        </w:rPr>
        <w:t xml:space="preserve">Para lograr un </w:t>
      </w:r>
      <w:r w:rsidR="006D6C75" w:rsidRPr="00836EB3">
        <w:rPr>
          <w:szCs w:val="24"/>
        </w:rPr>
        <w:t>VAN (12%) del Flujo Neto</w:t>
      </w:r>
      <w:r>
        <w:rPr>
          <w:szCs w:val="24"/>
        </w:rPr>
        <w:t xml:space="preserve"> positivo</w:t>
      </w:r>
      <w:r w:rsidR="006D6C75" w:rsidRPr="00836EB3">
        <w:rPr>
          <w:szCs w:val="24"/>
        </w:rPr>
        <w:t xml:space="preserve">, el Estado necesitaría </w:t>
      </w:r>
      <w:r>
        <w:rPr>
          <w:szCs w:val="24"/>
        </w:rPr>
        <w:t xml:space="preserve">disponer de </w:t>
      </w:r>
      <w:r w:rsidR="006D6C75" w:rsidRPr="00836EB3">
        <w:rPr>
          <w:szCs w:val="24"/>
        </w:rPr>
        <w:t>una asignación mínima del 54% de los ingresos</w:t>
      </w:r>
      <w:r w:rsidR="008C6524" w:rsidRPr="00836EB3">
        <w:rPr>
          <w:szCs w:val="24"/>
        </w:rPr>
        <w:t xml:space="preserve"> netos</w:t>
      </w:r>
      <w:r w:rsidR="008074E6" w:rsidRPr="00836EB3">
        <w:rPr>
          <w:szCs w:val="24"/>
        </w:rPr>
        <w:t xml:space="preserve"> (Cuadro V</w:t>
      </w:r>
      <w:r w:rsidR="006D6C75" w:rsidRPr="00836EB3">
        <w:rPr>
          <w:szCs w:val="24"/>
        </w:rPr>
        <w:t>I</w:t>
      </w:r>
      <w:r w:rsidR="008074E6" w:rsidRPr="00836EB3">
        <w:rPr>
          <w:szCs w:val="24"/>
        </w:rPr>
        <w:t>-3</w:t>
      </w:r>
      <w:r w:rsidR="006D6C75" w:rsidRPr="00836EB3">
        <w:rPr>
          <w:szCs w:val="24"/>
        </w:rPr>
        <w:t>).</w:t>
      </w:r>
    </w:p>
    <w:p w:rsidR="008C6524" w:rsidRPr="00836EB3" w:rsidRDefault="008C6524" w:rsidP="008C6524">
      <w:pPr>
        <w:pStyle w:val="ListParagraph"/>
        <w:widowControl w:val="0"/>
        <w:adjustRightInd w:val="0"/>
        <w:ind w:left="1134" w:hanging="425"/>
        <w:jc w:val="both"/>
        <w:textAlignment w:val="baseline"/>
        <w:rPr>
          <w:szCs w:val="24"/>
        </w:rPr>
      </w:pPr>
    </w:p>
    <w:p w:rsidR="006D6C75" w:rsidRPr="00836EB3" w:rsidRDefault="006D6C75" w:rsidP="008C6524">
      <w:pPr>
        <w:pStyle w:val="ListParagraph"/>
        <w:widowControl w:val="0"/>
        <w:numPr>
          <w:ilvl w:val="0"/>
          <w:numId w:val="31"/>
        </w:numPr>
        <w:adjustRightInd w:val="0"/>
        <w:ind w:left="1134" w:hanging="425"/>
        <w:jc w:val="both"/>
        <w:textAlignment w:val="baseline"/>
        <w:rPr>
          <w:szCs w:val="24"/>
        </w:rPr>
      </w:pPr>
      <w:r w:rsidRPr="00836EB3">
        <w:rPr>
          <w:szCs w:val="24"/>
        </w:rPr>
        <w:t xml:space="preserve">No obstante el </w:t>
      </w:r>
      <w:r w:rsidR="008074E6" w:rsidRPr="00836EB3">
        <w:rPr>
          <w:szCs w:val="24"/>
        </w:rPr>
        <w:t xml:space="preserve">resultado del </w:t>
      </w:r>
      <w:r w:rsidRPr="00836EB3">
        <w:rPr>
          <w:szCs w:val="24"/>
        </w:rPr>
        <w:t xml:space="preserve">VAN, esta opción (más allá del caso del año 2018 ya </w:t>
      </w:r>
      <w:r w:rsidR="008074E6" w:rsidRPr="00836EB3">
        <w:rPr>
          <w:szCs w:val="24"/>
        </w:rPr>
        <w:t>citado</w:t>
      </w:r>
      <w:r w:rsidRPr="00836EB3">
        <w:rPr>
          <w:szCs w:val="24"/>
        </w:rPr>
        <w:t>), conlleva resultados anuales negativos entre 2022 y 2033, con Flujo de Caja negativo entre 2025 y 2041, caso que requería la obtención transitoria de fondos de otras fuentes</w:t>
      </w:r>
      <w:r w:rsidR="008074E6" w:rsidRPr="00836EB3">
        <w:rPr>
          <w:szCs w:val="24"/>
        </w:rPr>
        <w:t xml:space="preserve">; esta situación se revertiría recién en </w:t>
      </w:r>
      <w:r w:rsidRPr="00836EB3">
        <w:rPr>
          <w:szCs w:val="24"/>
        </w:rPr>
        <w:t xml:space="preserve">2042. Esta alternativa, si bien tiene un balance global positivo, conlleva importantes problemas de caja </w:t>
      </w:r>
      <w:r w:rsidR="008074E6" w:rsidRPr="00836EB3">
        <w:rPr>
          <w:szCs w:val="24"/>
        </w:rPr>
        <w:t xml:space="preserve">para el Estado </w:t>
      </w:r>
      <w:r w:rsidRPr="00836EB3">
        <w:rPr>
          <w:szCs w:val="24"/>
        </w:rPr>
        <w:t>que requ</w:t>
      </w:r>
      <w:r w:rsidR="008074E6" w:rsidRPr="00836EB3">
        <w:rPr>
          <w:szCs w:val="24"/>
        </w:rPr>
        <w:t xml:space="preserve">eriría </w:t>
      </w:r>
      <w:r w:rsidRPr="00836EB3">
        <w:rPr>
          <w:szCs w:val="24"/>
        </w:rPr>
        <w:t>disponer de</w:t>
      </w:r>
      <w:r w:rsidR="008074E6" w:rsidRPr="00836EB3">
        <w:rPr>
          <w:szCs w:val="24"/>
        </w:rPr>
        <w:t>l</w:t>
      </w:r>
      <w:r w:rsidRPr="00836EB3">
        <w:rPr>
          <w:szCs w:val="24"/>
        </w:rPr>
        <w:t xml:space="preserve"> apoyo financiero de otras fuentes (si este apoyo implicara un costo de interés, el VAN se vería afectado, con lo que se requeriría una asignación mayor al 54% </w:t>
      </w:r>
      <w:r w:rsidR="008074E6" w:rsidRPr="00836EB3">
        <w:rPr>
          <w:szCs w:val="24"/>
        </w:rPr>
        <w:t>prevista</w:t>
      </w:r>
      <w:r w:rsidRPr="00836EB3">
        <w:rPr>
          <w:szCs w:val="24"/>
        </w:rPr>
        <w:t>). Se trata de una alternativa inconveniente para el Estado, más aún si éste no dispusiera de fondos de apoyo de uso transitorio.</w:t>
      </w:r>
    </w:p>
    <w:p w:rsidR="008C6524" w:rsidRPr="00836EB3" w:rsidRDefault="008C6524" w:rsidP="008C6524">
      <w:pPr>
        <w:pStyle w:val="ListParagraph"/>
        <w:widowControl w:val="0"/>
        <w:adjustRightInd w:val="0"/>
        <w:ind w:left="720"/>
        <w:jc w:val="both"/>
        <w:textAlignment w:val="baseline"/>
      </w:pPr>
    </w:p>
    <w:p w:rsidR="004C7651" w:rsidRPr="00836EB3" w:rsidRDefault="004C7651" w:rsidP="008C6524">
      <w:pPr>
        <w:pStyle w:val="ListParagraph"/>
        <w:widowControl w:val="0"/>
        <w:numPr>
          <w:ilvl w:val="2"/>
          <w:numId w:val="2"/>
        </w:numPr>
        <w:adjustRightInd w:val="0"/>
        <w:jc w:val="both"/>
        <w:textAlignment w:val="baseline"/>
      </w:pPr>
      <w:bookmarkStart w:id="25" w:name="_Ref412903382"/>
      <w:r w:rsidRPr="00836EB3">
        <w:rPr>
          <w:szCs w:val="24"/>
          <w:u w:val="single"/>
        </w:rPr>
        <w:t>Escenario E4: Asignación Mínima para el Estado para lograr un Flujo de Caja positivo</w:t>
      </w:r>
      <w:r w:rsidRPr="00836EB3">
        <w:rPr>
          <w:szCs w:val="24"/>
        </w:rPr>
        <w:t>.</w:t>
      </w:r>
      <w:bookmarkEnd w:id="25"/>
    </w:p>
    <w:p w:rsidR="004C7651" w:rsidRPr="00836EB3" w:rsidRDefault="004C7651" w:rsidP="004C7651">
      <w:pPr>
        <w:pStyle w:val="ListParagraph"/>
        <w:jc w:val="both"/>
        <w:rPr>
          <w:szCs w:val="24"/>
        </w:rPr>
      </w:pPr>
    </w:p>
    <w:p w:rsidR="006D6C75" w:rsidRPr="00836EB3" w:rsidRDefault="0081231B" w:rsidP="008C6524">
      <w:pPr>
        <w:pStyle w:val="ListParagraph"/>
        <w:numPr>
          <w:ilvl w:val="0"/>
          <w:numId w:val="32"/>
        </w:numPr>
        <w:ind w:left="1134" w:hanging="414"/>
        <w:jc w:val="both"/>
        <w:rPr>
          <w:szCs w:val="24"/>
        </w:rPr>
      </w:pPr>
      <w:bookmarkStart w:id="26" w:name="_Ref410837230"/>
      <w:r>
        <w:rPr>
          <w:szCs w:val="24"/>
        </w:rPr>
        <w:t xml:space="preserve">Para lograr un </w:t>
      </w:r>
      <w:r w:rsidR="006D6C75" w:rsidRPr="00836EB3">
        <w:rPr>
          <w:szCs w:val="24"/>
        </w:rPr>
        <w:t>Flujo de Caja</w:t>
      </w:r>
      <w:r>
        <w:rPr>
          <w:szCs w:val="24"/>
        </w:rPr>
        <w:t xml:space="preserve"> continuo positivo</w:t>
      </w:r>
      <w:r w:rsidR="006D6C75" w:rsidRPr="00836EB3">
        <w:rPr>
          <w:szCs w:val="24"/>
        </w:rPr>
        <w:t xml:space="preserve">, el Estado necesitaría </w:t>
      </w:r>
      <w:r>
        <w:rPr>
          <w:szCs w:val="24"/>
        </w:rPr>
        <w:t xml:space="preserve">disponer de </w:t>
      </w:r>
      <w:r w:rsidR="006D6C75" w:rsidRPr="00836EB3">
        <w:rPr>
          <w:szCs w:val="24"/>
        </w:rPr>
        <w:t>una asignación mínima del 65% de los ingresos</w:t>
      </w:r>
      <w:r w:rsidR="008F3ED9">
        <w:rPr>
          <w:szCs w:val="24"/>
        </w:rPr>
        <w:t xml:space="preserve"> netos (sólo se presentaría un caso puntual negativo en el </w:t>
      </w:r>
      <w:r w:rsidR="006D6C75" w:rsidRPr="00836EB3">
        <w:rPr>
          <w:szCs w:val="24"/>
        </w:rPr>
        <w:t>año 2018</w:t>
      </w:r>
      <w:r w:rsidR="008F3ED9">
        <w:rPr>
          <w:szCs w:val="24"/>
        </w:rPr>
        <w:t>, según fue ya analizado</w:t>
      </w:r>
      <w:r w:rsidR="006D6C75" w:rsidRPr="00836EB3">
        <w:rPr>
          <w:szCs w:val="24"/>
        </w:rPr>
        <w:t>)</w:t>
      </w:r>
      <w:r w:rsidR="008F3ED9">
        <w:rPr>
          <w:szCs w:val="24"/>
        </w:rPr>
        <w:t>; ello</w:t>
      </w:r>
      <w:r w:rsidR="006D6C75" w:rsidRPr="00836EB3">
        <w:rPr>
          <w:szCs w:val="24"/>
        </w:rPr>
        <w:t xml:space="preserve"> </w:t>
      </w:r>
      <w:r w:rsidR="008F3ED9">
        <w:rPr>
          <w:szCs w:val="24"/>
        </w:rPr>
        <w:t xml:space="preserve">evitaría la necesidad de </w:t>
      </w:r>
      <w:r w:rsidR="006D6C75" w:rsidRPr="00836EB3">
        <w:rPr>
          <w:szCs w:val="24"/>
        </w:rPr>
        <w:t>soporte financiero transitorio con sus eventuales costos a</w:t>
      </w:r>
      <w:r w:rsidR="008074E6" w:rsidRPr="00836EB3">
        <w:rPr>
          <w:szCs w:val="24"/>
        </w:rPr>
        <w:t xml:space="preserve">diciones por intereses (Cuadro </w:t>
      </w:r>
      <w:r w:rsidR="006D6C75" w:rsidRPr="00836EB3">
        <w:rPr>
          <w:szCs w:val="24"/>
        </w:rPr>
        <w:t>V</w:t>
      </w:r>
      <w:r w:rsidR="008074E6" w:rsidRPr="00836EB3">
        <w:rPr>
          <w:szCs w:val="24"/>
        </w:rPr>
        <w:t>I-4</w:t>
      </w:r>
      <w:r w:rsidR="006D6C75" w:rsidRPr="00836EB3">
        <w:rPr>
          <w:szCs w:val="24"/>
        </w:rPr>
        <w:t xml:space="preserve">). Si bien se presentan resultados </w:t>
      </w:r>
      <w:r w:rsidR="001E3100" w:rsidRPr="00836EB3">
        <w:rPr>
          <w:szCs w:val="24"/>
        </w:rPr>
        <w:t xml:space="preserve">netos </w:t>
      </w:r>
      <w:r w:rsidR="006D6C75" w:rsidRPr="00836EB3">
        <w:rPr>
          <w:szCs w:val="24"/>
        </w:rPr>
        <w:t xml:space="preserve">anuales negativos </w:t>
      </w:r>
      <w:r w:rsidR="008074E6" w:rsidRPr="00836EB3">
        <w:rPr>
          <w:szCs w:val="24"/>
        </w:rPr>
        <w:t xml:space="preserve">en un período de mediana extensión </w:t>
      </w:r>
      <w:r w:rsidR="006D6C75" w:rsidRPr="00836EB3">
        <w:rPr>
          <w:szCs w:val="24"/>
        </w:rPr>
        <w:t xml:space="preserve">(2022 </w:t>
      </w:r>
      <w:r w:rsidR="008074E6" w:rsidRPr="00836EB3">
        <w:rPr>
          <w:szCs w:val="24"/>
        </w:rPr>
        <w:t>a 2030), el F</w:t>
      </w:r>
      <w:r w:rsidR="006D6C75" w:rsidRPr="00836EB3">
        <w:rPr>
          <w:szCs w:val="24"/>
        </w:rPr>
        <w:t>lujo de Caja se mantiene positivo como fue referido.</w:t>
      </w:r>
      <w:bookmarkEnd w:id="26"/>
    </w:p>
    <w:p w:rsidR="008C6524" w:rsidRPr="00836EB3" w:rsidRDefault="008C6524" w:rsidP="008C6524">
      <w:pPr>
        <w:pStyle w:val="ListParagraph"/>
        <w:ind w:left="1134" w:hanging="414"/>
        <w:jc w:val="both"/>
        <w:rPr>
          <w:szCs w:val="24"/>
        </w:rPr>
      </w:pPr>
    </w:p>
    <w:p w:rsidR="006D6C75" w:rsidRPr="00836EB3" w:rsidRDefault="006D6C75" w:rsidP="008C6524">
      <w:pPr>
        <w:pStyle w:val="ListParagraph"/>
        <w:numPr>
          <w:ilvl w:val="0"/>
          <w:numId w:val="32"/>
        </w:numPr>
        <w:ind w:left="1134" w:hanging="414"/>
        <w:jc w:val="both"/>
        <w:rPr>
          <w:szCs w:val="24"/>
        </w:rPr>
      </w:pPr>
      <w:r w:rsidRPr="00836EB3">
        <w:rPr>
          <w:szCs w:val="24"/>
        </w:rPr>
        <w:t xml:space="preserve">Esta alternativa </w:t>
      </w:r>
      <w:r w:rsidR="008F3ED9">
        <w:rPr>
          <w:szCs w:val="24"/>
        </w:rPr>
        <w:t>presenta</w:t>
      </w:r>
      <w:r w:rsidRPr="00836EB3">
        <w:rPr>
          <w:szCs w:val="24"/>
        </w:rPr>
        <w:t xml:space="preserve"> además un VAN (12%) de US$ 10,6 millones, por lo que </w:t>
      </w:r>
      <w:r w:rsidR="008F3ED9">
        <w:rPr>
          <w:szCs w:val="24"/>
        </w:rPr>
        <w:t>se asegura la</w:t>
      </w:r>
      <w:r w:rsidRPr="00836EB3">
        <w:rPr>
          <w:szCs w:val="24"/>
        </w:rPr>
        <w:t xml:space="preserve"> rentabilidad </w:t>
      </w:r>
      <w:r w:rsidR="008074E6" w:rsidRPr="00836EB3">
        <w:rPr>
          <w:szCs w:val="24"/>
        </w:rPr>
        <w:t xml:space="preserve">financiera </w:t>
      </w:r>
      <w:r w:rsidRPr="00836EB3">
        <w:rPr>
          <w:szCs w:val="24"/>
        </w:rPr>
        <w:t>global. Se trata</w:t>
      </w:r>
      <w:r w:rsidR="008074E6" w:rsidRPr="00836EB3">
        <w:rPr>
          <w:szCs w:val="24"/>
        </w:rPr>
        <w:t>, entonces,</w:t>
      </w:r>
      <w:r w:rsidRPr="00836EB3">
        <w:rPr>
          <w:szCs w:val="24"/>
        </w:rPr>
        <w:t xml:space="preserve"> de una alternativa aceptable para el Estado.</w:t>
      </w:r>
    </w:p>
    <w:p w:rsidR="008A1676" w:rsidRPr="00836EB3" w:rsidRDefault="008A1676" w:rsidP="008C6524">
      <w:pPr>
        <w:pStyle w:val="ListParagraph"/>
        <w:ind w:left="1134" w:hanging="414"/>
        <w:jc w:val="both"/>
        <w:rPr>
          <w:szCs w:val="24"/>
        </w:rPr>
      </w:pPr>
    </w:p>
    <w:p w:rsidR="006D6C75" w:rsidRPr="00836EB3" w:rsidRDefault="006D6C75" w:rsidP="004C7651">
      <w:pPr>
        <w:jc w:val="both"/>
        <w:sectPr w:rsidR="006D6C75" w:rsidRPr="00836EB3" w:rsidSect="00F171A5">
          <w:pgSz w:w="12242" w:h="15842" w:code="1"/>
          <w:pgMar w:top="1440" w:right="1298" w:bottom="1440" w:left="1797" w:header="731" w:footer="1134" w:gutter="0"/>
          <w:cols w:space="720"/>
        </w:sectPr>
      </w:pPr>
    </w:p>
    <w:p w:rsidR="00133CDE" w:rsidRPr="00836EB3" w:rsidRDefault="00133CDE" w:rsidP="00A87C94">
      <w:r w:rsidRPr="00836EB3">
        <w:t>.</w:t>
      </w:r>
    </w:p>
    <w:p w:rsidR="00F35557" w:rsidRPr="00836EB3" w:rsidRDefault="00F35557" w:rsidP="00F35557">
      <w:pPr>
        <w:jc w:val="center"/>
        <w:rPr>
          <w:b/>
          <w:sz w:val="20"/>
        </w:rPr>
      </w:pPr>
    </w:p>
    <w:p w:rsidR="00A905B1" w:rsidRPr="00836EB3" w:rsidRDefault="00A905B1" w:rsidP="00F35557">
      <w:pPr>
        <w:jc w:val="center"/>
        <w:rPr>
          <w:b/>
          <w:sz w:val="20"/>
        </w:rPr>
      </w:pPr>
    </w:p>
    <w:p w:rsidR="00F35557" w:rsidRPr="00836EB3" w:rsidRDefault="00F35557" w:rsidP="00F35557">
      <w:pPr>
        <w:jc w:val="center"/>
        <w:rPr>
          <w:b/>
          <w:sz w:val="20"/>
        </w:rPr>
      </w:pPr>
      <w:r w:rsidRPr="00836EB3">
        <w:rPr>
          <w:b/>
          <w:sz w:val="20"/>
        </w:rPr>
        <w:t xml:space="preserve">Cuadro </w:t>
      </w:r>
      <w:r w:rsidR="0087635B" w:rsidRPr="00836EB3">
        <w:rPr>
          <w:b/>
          <w:sz w:val="20"/>
        </w:rPr>
        <w:t>V</w:t>
      </w:r>
      <w:r w:rsidR="00FE6619" w:rsidRPr="00836EB3">
        <w:rPr>
          <w:b/>
          <w:sz w:val="20"/>
        </w:rPr>
        <w:t>I</w:t>
      </w:r>
      <w:r w:rsidR="0087635B" w:rsidRPr="00836EB3">
        <w:rPr>
          <w:b/>
          <w:sz w:val="20"/>
        </w:rPr>
        <w:t>-</w:t>
      </w:r>
      <w:r w:rsidRPr="00836EB3">
        <w:rPr>
          <w:b/>
          <w:sz w:val="20"/>
        </w:rPr>
        <w:t>1</w:t>
      </w:r>
    </w:p>
    <w:p w:rsidR="00F35557" w:rsidRPr="00836EB3" w:rsidRDefault="00F35557" w:rsidP="00F35557">
      <w:pPr>
        <w:jc w:val="center"/>
        <w:rPr>
          <w:b/>
          <w:sz w:val="20"/>
        </w:rPr>
      </w:pPr>
    </w:p>
    <w:p w:rsidR="00A01444" w:rsidRPr="00836EB3" w:rsidRDefault="00A01444" w:rsidP="00A87C94">
      <w:pPr>
        <w:jc w:val="center"/>
        <w:rPr>
          <w:b/>
          <w:sz w:val="20"/>
        </w:rPr>
      </w:pPr>
      <w:r w:rsidRPr="00836EB3">
        <w:rPr>
          <w:b/>
          <w:sz w:val="20"/>
        </w:rPr>
        <w:t>Flu</w:t>
      </w:r>
      <w:r w:rsidR="000E64C8" w:rsidRPr="00836EB3">
        <w:rPr>
          <w:b/>
          <w:sz w:val="20"/>
        </w:rPr>
        <w:t>jos Financieros (U$S)</w:t>
      </w:r>
      <w:r w:rsidRPr="00836EB3">
        <w:rPr>
          <w:b/>
          <w:sz w:val="20"/>
        </w:rPr>
        <w:t xml:space="preserve"> - Inversión: US$ 100 MM - Disponibilidad de Ingresos </w:t>
      </w:r>
      <w:r w:rsidR="000E64C8" w:rsidRPr="00836EB3">
        <w:rPr>
          <w:b/>
          <w:sz w:val="20"/>
        </w:rPr>
        <w:t xml:space="preserve">para el Estado </w:t>
      </w:r>
      <w:r w:rsidRPr="00836EB3">
        <w:rPr>
          <w:b/>
          <w:sz w:val="20"/>
        </w:rPr>
        <w:t>por Tasas: 50%</w:t>
      </w:r>
    </w:p>
    <w:p w:rsidR="00A01444" w:rsidRPr="00836EB3" w:rsidRDefault="00A01444" w:rsidP="00A87C94">
      <w:pPr>
        <w:jc w:val="center"/>
        <w:rPr>
          <w:sz w:val="20"/>
        </w:rPr>
      </w:pPr>
    </w:p>
    <w:p w:rsidR="00133CDE" w:rsidRPr="00836EB3" w:rsidRDefault="00A01444" w:rsidP="00A87C94">
      <w:pPr>
        <w:jc w:val="center"/>
      </w:pPr>
      <w:r w:rsidRPr="00836EB3">
        <w:rPr>
          <w:noProof/>
          <w:lang w:val="en-US"/>
        </w:rPr>
        <w:drawing>
          <wp:inline distT="0" distB="0" distL="0" distR="0">
            <wp:extent cx="9691679" cy="4707172"/>
            <wp:effectExtent l="19050" t="0" r="477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9698990" cy="4710723"/>
                    </a:xfrm>
                    <a:prstGeom prst="rect">
                      <a:avLst/>
                    </a:prstGeom>
                    <a:noFill/>
                    <a:ln w="9525">
                      <a:noFill/>
                      <a:miter lim="800000"/>
                      <a:headEnd/>
                      <a:tailEnd/>
                    </a:ln>
                  </pic:spPr>
                </pic:pic>
              </a:graphicData>
            </a:graphic>
          </wp:inline>
        </w:drawing>
      </w:r>
    </w:p>
    <w:p w:rsidR="00133CDE" w:rsidRPr="00836EB3" w:rsidRDefault="00133CDE" w:rsidP="00A87C94"/>
    <w:p w:rsidR="00F35557" w:rsidRPr="00836EB3" w:rsidRDefault="00F35557">
      <w:r w:rsidRPr="00836EB3">
        <w:br w:type="page"/>
      </w:r>
    </w:p>
    <w:p w:rsidR="00220C05" w:rsidRPr="00836EB3" w:rsidRDefault="009F19E1" w:rsidP="009F19E1">
      <w:pPr>
        <w:rPr>
          <w:sz w:val="22"/>
          <w:szCs w:val="22"/>
        </w:rPr>
      </w:pPr>
      <w:r w:rsidRPr="00836EB3">
        <w:rPr>
          <w:sz w:val="22"/>
          <w:szCs w:val="22"/>
        </w:rPr>
        <w:t>.</w:t>
      </w:r>
    </w:p>
    <w:p w:rsidR="003D5A8A" w:rsidRPr="00836EB3" w:rsidRDefault="003D5A8A" w:rsidP="000E64C8">
      <w:pPr>
        <w:jc w:val="center"/>
        <w:rPr>
          <w:b/>
          <w:sz w:val="20"/>
        </w:rPr>
      </w:pPr>
    </w:p>
    <w:p w:rsidR="00A905B1" w:rsidRPr="00836EB3" w:rsidRDefault="00A905B1" w:rsidP="000E64C8">
      <w:pPr>
        <w:jc w:val="center"/>
        <w:rPr>
          <w:b/>
          <w:sz w:val="20"/>
        </w:rPr>
      </w:pPr>
    </w:p>
    <w:p w:rsidR="000E64C8" w:rsidRPr="00836EB3" w:rsidRDefault="000E64C8" w:rsidP="000E64C8">
      <w:pPr>
        <w:jc w:val="center"/>
        <w:rPr>
          <w:b/>
          <w:sz w:val="20"/>
        </w:rPr>
      </w:pPr>
      <w:r w:rsidRPr="00836EB3">
        <w:rPr>
          <w:b/>
          <w:sz w:val="20"/>
        </w:rPr>
        <w:t>Cuadro VI-2</w:t>
      </w:r>
    </w:p>
    <w:p w:rsidR="000E64C8" w:rsidRPr="00836EB3" w:rsidRDefault="000E64C8" w:rsidP="000E64C8">
      <w:pPr>
        <w:jc w:val="center"/>
        <w:rPr>
          <w:b/>
          <w:sz w:val="20"/>
        </w:rPr>
      </w:pPr>
    </w:p>
    <w:p w:rsidR="000E64C8" w:rsidRPr="00836EB3" w:rsidRDefault="000E64C8" w:rsidP="000E64C8">
      <w:pPr>
        <w:jc w:val="center"/>
        <w:rPr>
          <w:b/>
          <w:sz w:val="20"/>
        </w:rPr>
      </w:pPr>
      <w:r w:rsidRPr="00836EB3">
        <w:rPr>
          <w:b/>
          <w:sz w:val="20"/>
        </w:rPr>
        <w:t>Flujos Financieros (U$S) - Inversión: US$ 100 MM - Disponibilidad de Ingresos para el Estado por Tasas: 85%</w:t>
      </w:r>
    </w:p>
    <w:p w:rsidR="000E64C8" w:rsidRPr="00836EB3" w:rsidRDefault="000E64C8" w:rsidP="000E64C8">
      <w:pPr>
        <w:jc w:val="center"/>
        <w:rPr>
          <w:sz w:val="20"/>
        </w:rPr>
      </w:pPr>
    </w:p>
    <w:p w:rsidR="00F35557" w:rsidRPr="00836EB3" w:rsidRDefault="000E64C8" w:rsidP="00F35557">
      <w:pPr>
        <w:jc w:val="center"/>
        <w:rPr>
          <w:b/>
          <w:sz w:val="20"/>
        </w:rPr>
      </w:pPr>
      <w:r w:rsidRPr="00836EB3">
        <w:rPr>
          <w:noProof/>
          <w:lang w:val="en-US"/>
        </w:rPr>
        <w:drawing>
          <wp:inline distT="0" distB="0" distL="0" distR="0">
            <wp:extent cx="9691679" cy="4810539"/>
            <wp:effectExtent l="19050" t="0" r="4771"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9698990" cy="4814168"/>
                    </a:xfrm>
                    <a:prstGeom prst="rect">
                      <a:avLst/>
                    </a:prstGeom>
                    <a:noFill/>
                    <a:ln w="9525">
                      <a:noFill/>
                      <a:miter lim="800000"/>
                      <a:headEnd/>
                      <a:tailEnd/>
                    </a:ln>
                  </pic:spPr>
                </pic:pic>
              </a:graphicData>
            </a:graphic>
          </wp:inline>
        </w:drawing>
      </w:r>
    </w:p>
    <w:p w:rsidR="00133CDE" w:rsidRPr="00836EB3" w:rsidRDefault="00133CDE" w:rsidP="003D5A8A"/>
    <w:p w:rsidR="00E46B1D" w:rsidRPr="00836EB3" w:rsidRDefault="00E46B1D">
      <w:r w:rsidRPr="00836EB3">
        <w:br w:type="page"/>
      </w:r>
    </w:p>
    <w:p w:rsidR="00E46B1D" w:rsidRPr="00836EB3" w:rsidRDefault="00E46B1D" w:rsidP="009F19E1">
      <w:pPr>
        <w:rPr>
          <w:b/>
          <w:sz w:val="22"/>
          <w:szCs w:val="22"/>
        </w:rPr>
      </w:pPr>
      <w:r w:rsidRPr="00836EB3">
        <w:t>.</w:t>
      </w:r>
      <w:r w:rsidRPr="00836EB3">
        <w:rPr>
          <w:b/>
          <w:sz w:val="22"/>
          <w:szCs w:val="22"/>
        </w:rPr>
        <w:t xml:space="preserve"> </w:t>
      </w:r>
    </w:p>
    <w:p w:rsidR="00E46B1D" w:rsidRPr="00836EB3" w:rsidRDefault="00E46B1D" w:rsidP="00E46B1D">
      <w:pPr>
        <w:jc w:val="center"/>
        <w:rPr>
          <w:b/>
          <w:sz w:val="20"/>
        </w:rPr>
      </w:pPr>
    </w:p>
    <w:p w:rsidR="00A905B1" w:rsidRPr="00836EB3" w:rsidRDefault="00A905B1" w:rsidP="00E46B1D">
      <w:pPr>
        <w:jc w:val="center"/>
        <w:rPr>
          <w:b/>
          <w:sz w:val="20"/>
        </w:rPr>
      </w:pPr>
    </w:p>
    <w:p w:rsidR="003D5A8A" w:rsidRPr="00836EB3" w:rsidRDefault="003D5A8A" w:rsidP="003D5A8A">
      <w:pPr>
        <w:jc w:val="center"/>
        <w:rPr>
          <w:b/>
          <w:sz w:val="20"/>
        </w:rPr>
      </w:pPr>
      <w:r w:rsidRPr="00836EB3">
        <w:rPr>
          <w:b/>
          <w:sz w:val="20"/>
        </w:rPr>
        <w:t>Cuadro VI-3</w:t>
      </w:r>
    </w:p>
    <w:p w:rsidR="003D5A8A" w:rsidRPr="00836EB3" w:rsidRDefault="003D5A8A" w:rsidP="003D5A8A">
      <w:pPr>
        <w:jc w:val="center"/>
        <w:rPr>
          <w:b/>
          <w:sz w:val="20"/>
        </w:rPr>
      </w:pPr>
    </w:p>
    <w:p w:rsidR="003D5A8A" w:rsidRPr="00836EB3" w:rsidRDefault="003D5A8A" w:rsidP="003D5A8A">
      <w:pPr>
        <w:jc w:val="center"/>
        <w:rPr>
          <w:b/>
          <w:sz w:val="20"/>
        </w:rPr>
      </w:pPr>
      <w:r w:rsidRPr="00836EB3">
        <w:rPr>
          <w:b/>
          <w:sz w:val="20"/>
        </w:rPr>
        <w:t>Flujos Financieros (U$S) - Inversión: US$ 100 MM - Disponibilidad de Ingresos para el Estado por Tasas: 54%</w:t>
      </w:r>
    </w:p>
    <w:p w:rsidR="00CA5E27" w:rsidRPr="00836EB3" w:rsidRDefault="00CA5E27" w:rsidP="00DD6C22">
      <w:pPr>
        <w:jc w:val="center"/>
        <w:rPr>
          <w:sz w:val="20"/>
        </w:rPr>
      </w:pPr>
    </w:p>
    <w:p w:rsidR="00133CDE" w:rsidRPr="00836EB3" w:rsidRDefault="00787A7F" w:rsidP="00DD6C22">
      <w:pPr>
        <w:jc w:val="center"/>
      </w:pPr>
      <w:r w:rsidRPr="00836EB3">
        <w:rPr>
          <w:noProof/>
          <w:lang w:val="en-US"/>
        </w:rPr>
        <w:drawing>
          <wp:inline distT="0" distB="0" distL="0" distR="0">
            <wp:extent cx="9695707" cy="4850295"/>
            <wp:effectExtent l="19050" t="0" r="743"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9698990" cy="4851937"/>
                    </a:xfrm>
                    <a:prstGeom prst="rect">
                      <a:avLst/>
                    </a:prstGeom>
                    <a:noFill/>
                    <a:ln w="9525">
                      <a:noFill/>
                      <a:miter lim="800000"/>
                      <a:headEnd/>
                      <a:tailEnd/>
                    </a:ln>
                  </pic:spPr>
                </pic:pic>
              </a:graphicData>
            </a:graphic>
          </wp:inline>
        </w:drawing>
      </w:r>
    </w:p>
    <w:p w:rsidR="00E46B1D" w:rsidRPr="00836EB3" w:rsidRDefault="00E46B1D"/>
    <w:p w:rsidR="00E46B1D" w:rsidRPr="00836EB3" w:rsidRDefault="00E46B1D">
      <w:r w:rsidRPr="00836EB3">
        <w:br w:type="page"/>
      </w:r>
    </w:p>
    <w:p w:rsidR="00E46B1D" w:rsidRPr="00836EB3" w:rsidRDefault="00E46B1D" w:rsidP="00E46B1D">
      <w:r w:rsidRPr="00836EB3">
        <w:t>.</w:t>
      </w:r>
    </w:p>
    <w:p w:rsidR="00A905B1" w:rsidRPr="00836EB3" w:rsidRDefault="00A905B1" w:rsidP="003D5A8A">
      <w:pPr>
        <w:jc w:val="center"/>
        <w:rPr>
          <w:b/>
          <w:sz w:val="20"/>
        </w:rPr>
      </w:pPr>
    </w:p>
    <w:p w:rsidR="00A905B1" w:rsidRPr="00836EB3" w:rsidRDefault="00A905B1" w:rsidP="003D5A8A">
      <w:pPr>
        <w:jc w:val="center"/>
        <w:rPr>
          <w:b/>
          <w:sz w:val="20"/>
        </w:rPr>
      </w:pPr>
    </w:p>
    <w:p w:rsidR="003D5A8A" w:rsidRPr="00836EB3" w:rsidRDefault="00E46B1D" w:rsidP="003D5A8A">
      <w:pPr>
        <w:jc w:val="center"/>
        <w:rPr>
          <w:b/>
          <w:sz w:val="20"/>
        </w:rPr>
      </w:pPr>
      <w:r w:rsidRPr="00836EB3">
        <w:rPr>
          <w:b/>
          <w:sz w:val="22"/>
          <w:szCs w:val="22"/>
        </w:rPr>
        <w:t xml:space="preserve"> </w:t>
      </w:r>
      <w:r w:rsidR="003D5A8A" w:rsidRPr="00836EB3">
        <w:rPr>
          <w:b/>
          <w:sz w:val="20"/>
        </w:rPr>
        <w:t>Cuadro VI-4</w:t>
      </w:r>
    </w:p>
    <w:p w:rsidR="003D5A8A" w:rsidRPr="00836EB3" w:rsidRDefault="003D5A8A" w:rsidP="003D5A8A">
      <w:pPr>
        <w:jc w:val="center"/>
        <w:rPr>
          <w:b/>
          <w:sz w:val="20"/>
        </w:rPr>
      </w:pPr>
    </w:p>
    <w:p w:rsidR="003D5A8A" w:rsidRPr="00836EB3" w:rsidRDefault="003D5A8A" w:rsidP="003D5A8A">
      <w:pPr>
        <w:jc w:val="center"/>
        <w:rPr>
          <w:b/>
          <w:sz w:val="20"/>
        </w:rPr>
      </w:pPr>
      <w:r w:rsidRPr="00836EB3">
        <w:rPr>
          <w:b/>
          <w:sz w:val="20"/>
        </w:rPr>
        <w:t>Flujos Financieros (U$S) - Inversión: US$ 100 MM - Disponibilidad de Ingresos para el Estado por Tasas: 65%</w:t>
      </w:r>
    </w:p>
    <w:p w:rsidR="003D5A8A" w:rsidRPr="00836EB3" w:rsidRDefault="003D5A8A" w:rsidP="003D5A8A">
      <w:pPr>
        <w:jc w:val="center"/>
        <w:rPr>
          <w:sz w:val="20"/>
        </w:rPr>
      </w:pPr>
    </w:p>
    <w:p w:rsidR="00F5534D" w:rsidRPr="00836EB3" w:rsidRDefault="003D5A8A" w:rsidP="00EF1B32">
      <w:pPr>
        <w:jc w:val="center"/>
        <w:rPr>
          <w:b/>
          <w:sz w:val="20"/>
        </w:rPr>
      </w:pPr>
      <w:r w:rsidRPr="00836EB3">
        <w:rPr>
          <w:noProof/>
          <w:lang w:val="en-US"/>
        </w:rPr>
        <w:drawing>
          <wp:inline distT="0" distB="0" distL="0" distR="0">
            <wp:extent cx="9695708" cy="4667416"/>
            <wp:effectExtent l="19050" t="0" r="742"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9698990" cy="4668996"/>
                    </a:xfrm>
                    <a:prstGeom prst="rect">
                      <a:avLst/>
                    </a:prstGeom>
                    <a:noFill/>
                    <a:ln w="9525">
                      <a:noFill/>
                      <a:miter lim="800000"/>
                      <a:headEnd/>
                      <a:tailEnd/>
                    </a:ln>
                  </pic:spPr>
                </pic:pic>
              </a:graphicData>
            </a:graphic>
          </wp:inline>
        </w:drawing>
      </w:r>
    </w:p>
    <w:p w:rsidR="00E46B1D" w:rsidRPr="00836EB3" w:rsidRDefault="00E46B1D" w:rsidP="00E46B1D"/>
    <w:p w:rsidR="00DA7E5F" w:rsidRPr="00836EB3" w:rsidRDefault="00DA7E5F" w:rsidP="00A87C94"/>
    <w:p w:rsidR="00133CDE" w:rsidRPr="00836EB3" w:rsidRDefault="00133CDE" w:rsidP="00F35557">
      <w:pPr>
        <w:jc w:val="center"/>
        <w:sectPr w:rsidR="00133CDE" w:rsidRPr="00836EB3" w:rsidSect="002A1C43">
          <w:pgSz w:w="15842" w:h="12242" w:orient="landscape" w:code="1"/>
          <w:pgMar w:top="567" w:right="284" w:bottom="567" w:left="284" w:header="731" w:footer="851" w:gutter="0"/>
          <w:cols w:space="720"/>
        </w:sectPr>
      </w:pPr>
    </w:p>
    <w:p w:rsidR="00133CDE" w:rsidRPr="00836EB3" w:rsidRDefault="00133CDE" w:rsidP="00A87C94"/>
    <w:p w:rsidR="00173F5D" w:rsidRPr="00836EB3" w:rsidRDefault="00944DC7" w:rsidP="00DE1BDF">
      <w:pPr>
        <w:widowControl w:val="0"/>
        <w:numPr>
          <w:ilvl w:val="0"/>
          <w:numId w:val="2"/>
        </w:numPr>
        <w:adjustRightInd w:val="0"/>
        <w:jc w:val="both"/>
        <w:textAlignment w:val="baseline"/>
        <w:rPr>
          <w:b/>
        </w:rPr>
      </w:pPr>
      <w:r w:rsidRPr="00836EB3">
        <w:rPr>
          <w:b/>
        </w:rPr>
        <w:t>Análisis de S</w:t>
      </w:r>
      <w:r w:rsidR="00173F5D" w:rsidRPr="00836EB3">
        <w:rPr>
          <w:b/>
        </w:rPr>
        <w:t>ensibilidad.</w:t>
      </w:r>
    </w:p>
    <w:p w:rsidR="00173F5D" w:rsidRPr="00836EB3" w:rsidRDefault="00173F5D" w:rsidP="00A87C94">
      <w:pPr>
        <w:ind w:left="708"/>
      </w:pPr>
    </w:p>
    <w:p w:rsidR="0052167F" w:rsidRPr="00836EB3" w:rsidRDefault="008C6524" w:rsidP="0052167F">
      <w:pPr>
        <w:widowControl w:val="0"/>
        <w:numPr>
          <w:ilvl w:val="1"/>
          <w:numId w:val="2"/>
        </w:numPr>
        <w:tabs>
          <w:tab w:val="clear" w:pos="360"/>
          <w:tab w:val="num" w:pos="709"/>
        </w:tabs>
        <w:adjustRightInd w:val="0"/>
        <w:ind w:left="709" w:hanging="709"/>
        <w:jc w:val="both"/>
        <w:textAlignment w:val="baseline"/>
        <w:rPr>
          <w:szCs w:val="24"/>
        </w:rPr>
      </w:pPr>
      <w:r w:rsidRPr="00836EB3">
        <w:rPr>
          <w:b/>
          <w:szCs w:val="24"/>
        </w:rPr>
        <w:t>Planteo.</w:t>
      </w:r>
      <w:r w:rsidRPr="00836EB3">
        <w:rPr>
          <w:szCs w:val="24"/>
        </w:rPr>
        <w:t xml:space="preserve"> </w:t>
      </w:r>
      <w:r w:rsidR="0061547C" w:rsidRPr="00836EB3">
        <w:rPr>
          <w:szCs w:val="24"/>
        </w:rPr>
        <w:t xml:space="preserve">Se efectúa </w:t>
      </w:r>
      <w:r w:rsidR="004A51D3" w:rsidRPr="00836EB3">
        <w:rPr>
          <w:szCs w:val="24"/>
        </w:rPr>
        <w:t>un análisis de sensibilidad simple, consider</w:t>
      </w:r>
      <w:r w:rsidR="0061547C" w:rsidRPr="00836EB3">
        <w:rPr>
          <w:szCs w:val="24"/>
        </w:rPr>
        <w:t>ando</w:t>
      </w:r>
      <w:r w:rsidR="004A51D3" w:rsidRPr="00836EB3">
        <w:t xml:space="preserve"> la eventualidad de variaci</w:t>
      </w:r>
      <w:r w:rsidR="0052167F" w:rsidRPr="00836EB3">
        <w:t>ón</w:t>
      </w:r>
      <w:r w:rsidR="004A51D3" w:rsidRPr="00836EB3">
        <w:t xml:space="preserve"> del factor clave que afecta la rentabilidad</w:t>
      </w:r>
      <w:r w:rsidR="0052167F" w:rsidRPr="00836EB3">
        <w:t xml:space="preserve"> en este caso</w:t>
      </w:r>
      <w:r w:rsidR="004A51D3" w:rsidRPr="00836EB3">
        <w:t xml:space="preserve">; </w:t>
      </w:r>
      <w:r w:rsidR="0052167F" w:rsidRPr="00836EB3">
        <w:t>es decir, la demanda.</w:t>
      </w:r>
      <w:r w:rsidRPr="00836EB3">
        <w:t xml:space="preserve"> </w:t>
      </w:r>
      <w:r w:rsidR="0052167F" w:rsidRPr="00836EB3">
        <w:t xml:space="preserve">Ello, pues el análisis </w:t>
      </w:r>
      <w:r w:rsidR="00B62D44">
        <w:t xml:space="preserve">financiero </w:t>
      </w:r>
      <w:r w:rsidR="004A51D3" w:rsidRPr="00836EB3">
        <w:t>depende de parámetros fijos (</w:t>
      </w:r>
      <w:r w:rsidR="0052167F" w:rsidRPr="00836EB3">
        <w:t xml:space="preserve">caso del </w:t>
      </w:r>
      <w:r w:rsidR="004A51D3" w:rsidRPr="00836EB3">
        <w:t xml:space="preserve">valor de las tasas a los usuarios) y otros </w:t>
      </w:r>
      <w:r w:rsidR="0052167F" w:rsidRPr="00836EB3">
        <w:t xml:space="preserve">tienen </w:t>
      </w:r>
      <w:r w:rsidR="004A51D3" w:rsidRPr="00836EB3">
        <w:t>adecuada previsibilidad (condiciones del préstamo)</w:t>
      </w:r>
      <w:r w:rsidR="0052167F" w:rsidRPr="00836EB3">
        <w:t xml:space="preserve">; por ello, </w:t>
      </w:r>
      <w:r w:rsidR="004A51D3" w:rsidRPr="00836EB3">
        <w:t>el análisis de sensibilidad se efect</w:t>
      </w:r>
      <w:r w:rsidR="0061547C" w:rsidRPr="00836EB3">
        <w:t>úa</w:t>
      </w:r>
      <w:r w:rsidR="004A51D3" w:rsidRPr="00836EB3">
        <w:t xml:space="preserve"> para </w:t>
      </w:r>
      <w:r w:rsidR="0061547C" w:rsidRPr="00836EB3">
        <w:t>un</w:t>
      </w:r>
      <w:r w:rsidR="0052167F" w:rsidRPr="00836EB3">
        <w:t xml:space="preserve">a </w:t>
      </w:r>
      <w:r w:rsidR="004A51D3" w:rsidRPr="00836EB3">
        <w:t>condici</w:t>
      </w:r>
      <w:r w:rsidR="0052167F" w:rsidRPr="00836EB3">
        <w:t xml:space="preserve">ón </w:t>
      </w:r>
      <w:r w:rsidR="004A51D3" w:rsidRPr="00836EB3">
        <w:t>de riesgo razonable</w:t>
      </w:r>
      <w:r w:rsidR="0052167F" w:rsidRPr="00836EB3">
        <w:t xml:space="preserve">, es decir, </w:t>
      </w:r>
      <w:r w:rsidR="004A51D3" w:rsidRPr="00836EB3">
        <w:t xml:space="preserve">una </w:t>
      </w:r>
      <w:r w:rsidR="0052167F" w:rsidRPr="00836EB3">
        <w:t xml:space="preserve">eventual </w:t>
      </w:r>
      <w:r w:rsidR="004A51D3" w:rsidRPr="00836EB3">
        <w:t xml:space="preserve">reducción del 10% en el </w:t>
      </w:r>
      <w:r w:rsidR="0052167F" w:rsidRPr="00836EB3">
        <w:t xml:space="preserve">tránsito para los Pasos de Frontera </w:t>
      </w:r>
      <w:r w:rsidR="0052167F" w:rsidRPr="00836EB3">
        <w:rPr>
          <w:szCs w:val="24"/>
        </w:rPr>
        <w:t>(</w:t>
      </w:r>
      <w:r w:rsidR="00B62D44">
        <w:rPr>
          <w:szCs w:val="24"/>
        </w:rPr>
        <w:t xml:space="preserve">este es un </w:t>
      </w:r>
      <w:r w:rsidR="0052167F" w:rsidRPr="00836EB3">
        <w:rPr>
          <w:szCs w:val="24"/>
        </w:rPr>
        <w:t>guarismo típico para un Análisis de Sensibilidad a la demanda).</w:t>
      </w:r>
    </w:p>
    <w:p w:rsidR="0052167F" w:rsidRPr="00836EB3" w:rsidRDefault="0052167F" w:rsidP="0052167F">
      <w:pPr>
        <w:widowControl w:val="0"/>
        <w:adjustRightInd w:val="0"/>
        <w:ind w:left="709"/>
        <w:jc w:val="both"/>
        <w:textAlignment w:val="baseline"/>
        <w:rPr>
          <w:szCs w:val="24"/>
        </w:rPr>
      </w:pPr>
    </w:p>
    <w:p w:rsidR="0052167F" w:rsidRPr="00836EB3" w:rsidRDefault="0052167F" w:rsidP="004A51D3">
      <w:pPr>
        <w:widowControl w:val="0"/>
        <w:numPr>
          <w:ilvl w:val="1"/>
          <w:numId w:val="2"/>
        </w:numPr>
        <w:tabs>
          <w:tab w:val="clear" w:pos="360"/>
          <w:tab w:val="num" w:pos="709"/>
        </w:tabs>
        <w:adjustRightInd w:val="0"/>
        <w:ind w:left="709" w:hanging="709"/>
        <w:jc w:val="both"/>
        <w:textAlignment w:val="baseline"/>
        <w:rPr>
          <w:szCs w:val="24"/>
        </w:rPr>
      </w:pPr>
      <w:r w:rsidRPr="00836EB3">
        <w:rPr>
          <w:szCs w:val="24"/>
        </w:rPr>
        <w:t xml:space="preserve">El análisis de sensibilidad se realiza sobre el escenario </w:t>
      </w:r>
      <w:r w:rsidR="009C24FC" w:rsidRPr="00836EB3">
        <w:rPr>
          <w:szCs w:val="24"/>
        </w:rPr>
        <w:t>más conservador con resultados positivos, es decir el “Asignación Mínima para el Estado por el Flujo de Caja”</w:t>
      </w:r>
      <w:r w:rsidR="001E3100" w:rsidRPr="00836EB3">
        <w:rPr>
          <w:szCs w:val="24"/>
        </w:rPr>
        <w:t xml:space="preserve"> (¶</w:t>
      </w:r>
      <w:r w:rsidR="003C721A">
        <w:fldChar w:fldCharType="begin"/>
      </w:r>
      <w:r w:rsidR="003C721A">
        <w:instrText xml:space="preserve"> REF _Ref412903382 \r \h  \* MERGEFORMAT </w:instrText>
      </w:r>
      <w:r w:rsidR="003C721A">
        <w:fldChar w:fldCharType="separate"/>
      </w:r>
      <w:r w:rsidR="00F700A3" w:rsidRPr="00F700A3">
        <w:rPr>
          <w:szCs w:val="24"/>
        </w:rPr>
        <w:t>6.3.4</w:t>
      </w:r>
      <w:r w:rsidR="003C721A">
        <w:fldChar w:fldCharType="end"/>
      </w:r>
      <w:r w:rsidR="001E3100" w:rsidRPr="00836EB3">
        <w:rPr>
          <w:szCs w:val="24"/>
        </w:rPr>
        <w:t>)</w:t>
      </w:r>
      <w:r w:rsidR="009C24FC" w:rsidRPr="00836EB3">
        <w:rPr>
          <w:szCs w:val="24"/>
        </w:rPr>
        <w:t>; es este es</w:t>
      </w:r>
      <w:r w:rsidR="001E3100" w:rsidRPr="00836EB3">
        <w:rPr>
          <w:szCs w:val="24"/>
        </w:rPr>
        <w:t>cenario</w:t>
      </w:r>
      <w:r w:rsidR="009C24FC" w:rsidRPr="00836EB3">
        <w:rPr>
          <w:szCs w:val="24"/>
        </w:rPr>
        <w:t xml:space="preserve">, </w:t>
      </w:r>
      <w:r w:rsidR="001E3100" w:rsidRPr="00836EB3">
        <w:rPr>
          <w:szCs w:val="24"/>
        </w:rPr>
        <w:t xml:space="preserve">simultáneamente </w:t>
      </w:r>
      <w:r w:rsidR="009C24FC" w:rsidRPr="00836EB3">
        <w:rPr>
          <w:szCs w:val="24"/>
        </w:rPr>
        <w:t>se determina la mínima alícuota de ingresos para el Estado que permite un Flujo de Caja positivo.</w:t>
      </w:r>
    </w:p>
    <w:p w:rsidR="0052167F" w:rsidRPr="00836EB3" w:rsidRDefault="0052167F" w:rsidP="0052167F">
      <w:pPr>
        <w:widowControl w:val="0"/>
        <w:adjustRightInd w:val="0"/>
        <w:ind w:left="709"/>
        <w:jc w:val="both"/>
        <w:textAlignment w:val="baseline"/>
        <w:rPr>
          <w:szCs w:val="24"/>
        </w:rPr>
      </w:pPr>
    </w:p>
    <w:p w:rsidR="00D413B1" w:rsidRPr="00836EB3" w:rsidRDefault="004A51D3" w:rsidP="009C24FC">
      <w:pPr>
        <w:widowControl w:val="0"/>
        <w:numPr>
          <w:ilvl w:val="1"/>
          <w:numId w:val="2"/>
        </w:numPr>
        <w:tabs>
          <w:tab w:val="clear" w:pos="360"/>
          <w:tab w:val="num" w:pos="709"/>
        </w:tabs>
        <w:adjustRightInd w:val="0"/>
        <w:ind w:left="709" w:hanging="709"/>
        <w:jc w:val="both"/>
        <w:textAlignment w:val="baseline"/>
        <w:rPr>
          <w:szCs w:val="24"/>
        </w:rPr>
      </w:pPr>
      <w:r w:rsidRPr="00836EB3">
        <w:rPr>
          <w:b/>
          <w:szCs w:val="24"/>
        </w:rPr>
        <w:t>Resultados del análisis de sensibilidad.</w:t>
      </w:r>
      <w:r w:rsidRPr="00836EB3">
        <w:rPr>
          <w:szCs w:val="24"/>
        </w:rPr>
        <w:t xml:space="preserve"> </w:t>
      </w:r>
      <w:r w:rsidR="0052167F" w:rsidRPr="00836EB3">
        <w:rPr>
          <w:szCs w:val="24"/>
        </w:rPr>
        <w:t xml:space="preserve">El resultado del análisis de sensibilidad, </w:t>
      </w:r>
      <w:r w:rsidR="009C24FC" w:rsidRPr="00836EB3">
        <w:rPr>
          <w:szCs w:val="24"/>
        </w:rPr>
        <w:t xml:space="preserve">para un 10% de reducción del volumen de demanda, determina que </w:t>
      </w:r>
      <w:r w:rsidR="004C7651" w:rsidRPr="00836EB3">
        <w:rPr>
          <w:szCs w:val="24"/>
        </w:rPr>
        <w:t>la asignación del 65% (</w:t>
      </w:r>
      <w:r w:rsidR="001E3100" w:rsidRPr="00836EB3">
        <w:rPr>
          <w:szCs w:val="24"/>
        </w:rPr>
        <w:t>¶</w:t>
      </w:r>
      <w:r w:rsidR="003C721A">
        <w:fldChar w:fldCharType="begin"/>
      </w:r>
      <w:r w:rsidR="003C721A">
        <w:instrText xml:space="preserve"> REF _Ref412903382 \r \h  \* MERGEFORMAT </w:instrText>
      </w:r>
      <w:r w:rsidR="003C721A">
        <w:fldChar w:fldCharType="separate"/>
      </w:r>
      <w:r w:rsidR="00F700A3" w:rsidRPr="00F700A3">
        <w:rPr>
          <w:szCs w:val="24"/>
        </w:rPr>
        <w:t>6.3.4</w:t>
      </w:r>
      <w:r w:rsidR="003C721A">
        <w:fldChar w:fldCharType="end"/>
      </w:r>
      <w:r w:rsidR="003C721A">
        <w:fldChar w:fldCharType="begin"/>
      </w:r>
      <w:r w:rsidR="003C721A">
        <w:instrText xml:space="preserve"> REF _Ref410837230 \r \h  \* MERGEFORMAT </w:instrText>
      </w:r>
      <w:r w:rsidR="003C721A">
        <w:fldChar w:fldCharType="separate"/>
      </w:r>
      <w:r w:rsidR="00F700A3" w:rsidRPr="00F700A3">
        <w:rPr>
          <w:szCs w:val="24"/>
        </w:rPr>
        <w:t>(a)</w:t>
      </w:r>
      <w:r w:rsidR="003C721A">
        <w:fldChar w:fldCharType="end"/>
      </w:r>
      <w:r w:rsidR="004C7651" w:rsidRPr="00836EB3">
        <w:rPr>
          <w:szCs w:val="24"/>
        </w:rPr>
        <w:t>) no es suficiente</w:t>
      </w:r>
      <w:r w:rsidR="0061547C" w:rsidRPr="00836EB3">
        <w:rPr>
          <w:szCs w:val="24"/>
        </w:rPr>
        <w:t>. E</w:t>
      </w:r>
      <w:r w:rsidR="001E3100" w:rsidRPr="00836EB3">
        <w:rPr>
          <w:szCs w:val="24"/>
        </w:rPr>
        <w:t xml:space="preserve">sto, pues </w:t>
      </w:r>
      <w:r w:rsidR="009C24FC" w:rsidRPr="00836EB3">
        <w:rPr>
          <w:szCs w:val="24"/>
        </w:rPr>
        <w:t xml:space="preserve">el </w:t>
      </w:r>
      <w:r w:rsidR="00D413B1" w:rsidRPr="00836EB3">
        <w:rPr>
          <w:szCs w:val="24"/>
        </w:rPr>
        <w:t>Estado necesitaría una asignación mínima del 70% para mantener un Flujo de Caja positivo</w:t>
      </w:r>
      <w:r w:rsidR="001E3100" w:rsidRPr="00836EB3">
        <w:rPr>
          <w:szCs w:val="24"/>
        </w:rPr>
        <w:t xml:space="preserve"> (Cuadro VII-1)</w:t>
      </w:r>
      <w:r w:rsidR="00D413B1" w:rsidRPr="00836EB3">
        <w:rPr>
          <w:szCs w:val="24"/>
        </w:rPr>
        <w:t xml:space="preserve">, sin que se requiera un apoyo financiero </w:t>
      </w:r>
      <w:r w:rsidR="001E3100" w:rsidRPr="00836EB3">
        <w:rPr>
          <w:szCs w:val="24"/>
        </w:rPr>
        <w:t>complementario</w:t>
      </w:r>
      <w:r w:rsidR="0061547C" w:rsidRPr="00836EB3">
        <w:rPr>
          <w:szCs w:val="24"/>
        </w:rPr>
        <w:t xml:space="preserve">; </w:t>
      </w:r>
      <w:r w:rsidR="001E3100" w:rsidRPr="00836EB3">
        <w:rPr>
          <w:szCs w:val="24"/>
        </w:rPr>
        <w:t>además, en</w:t>
      </w:r>
      <w:r w:rsidR="004C7651" w:rsidRPr="00836EB3">
        <w:rPr>
          <w:szCs w:val="24"/>
        </w:rPr>
        <w:t xml:space="preserve"> </w:t>
      </w:r>
      <w:r w:rsidR="0061547C" w:rsidRPr="00836EB3">
        <w:rPr>
          <w:szCs w:val="24"/>
        </w:rPr>
        <w:t xml:space="preserve">este caso, </w:t>
      </w:r>
      <w:r w:rsidR="004C7651" w:rsidRPr="00836EB3">
        <w:rPr>
          <w:szCs w:val="24"/>
        </w:rPr>
        <w:t>el</w:t>
      </w:r>
      <w:r w:rsidR="001E3100" w:rsidRPr="00836EB3">
        <w:rPr>
          <w:szCs w:val="24"/>
        </w:rPr>
        <w:t xml:space="preserve"> VAN </w:t>
      </w:r>
      <w:r w:rsidR="00D413B1" w:rsidRPr="00836EB3">
        <w:rPr>
          <w:szCs w:val="24"/>
        </w:rPr>
        <w:t xml:space="preserve">(12%) se </w:t>
      </w:r>
      <w:r w:rsidR="009C24FC" w:rsidRPr="00836EB3">
        <w:rPr>
          <w:szCs w:val="24"/>
        </w:rPr>
        <w:t>ubica</w:t>
      </w:r>
      <w:r w:rsidR="00D413B1" w:rsidRPr="00836EB3">
        <w:rPr>
          <w:szCs w:val="24"/>
        </w:rPr>
        <w:t xml:space="preserve"> en US$ 8,7 millones</w:t>
      </w:r>
      <w:r w:rsidR="001E3100" w:rsidRPr="00836EB3">
        <w:rPr>
          <w:szCs w:val="24"/>
        </w:rPr>
        <w:t xml:space="preserve"> </w:t>
      </w:r>
      <w:r w:rsidR="00B62D44">
        <w:rPr>
          <w:szCs w:val="24"/>
        </w:rPr>
        <w:t>con lo que se logra</w:t>
      </w:r>
      <w:r w:rsidR="001E3100" w:rsidRPr="00836EB3">
        <w:rPr>
          <w:szCs w:val="24"/>
        </w:rPr>
        <w:t xml:space="preserve"> una </w:t>
      </w:r>
      <w:r w:rsidR="00D413B1" w:rsidRPr="00836EB3">
        <w:rPr>
          <w:szCs w:val="24"/>
        </w:rPr>
        <w:t>rentabilidad financiera satisfactoria.</w:t>
      </w:r>
    </w:p>
    <w:p w:rsidR="00D413B1" w:rsidRPr="00836EB3" w:rsidRDefault="00D413B1" w:rsidP="00EF4F31">
      <w:pPr>
        <w:pStyle w:val="ListParagraph"/>
        <w:ind w:left="1134" w:hanging="425"/>
        <w:rPr>
          <w:szCs w:val="24"/>
        </w:rPr>
      </w:pPr>
    </w:p>
    <w:p w:rsidR="009C24FC" w:rsidRPr="00836EB3" w:rsidRDefault="009C24FC" w:rsidP="00EF4F31">
      <w:pPr>
        <w:pStyle w:val="ListParagraph"/>
        <w:ind w:left="1134" w:hanging="425"/>
        <w:rPr>
          <w:szCs w:val="24"/>
        </w:rPr>
      </w:pPr>
    </w:p>
    <w:p w:rsidR="00A905B1" w:rsidRPr="00836EB3" w:rsidRDefault="00A905B1" w:rsidP="00EF4F31">
      <w:pPr>
        <w:ind w:left="1276" w:hanging="567"/>
        <w:sectPr w:rsidR="00A905B1" w:rsidRPr="00836EB3" w:rsidSect="002B6FAB">
          <w:pgSz w:w="12242" w:h="15842" w:code="1"/>
          <w:pgMar w:top="1440" w:right="1298" w:bottom="1440" w:left="1797" w:header="731" w:footer="1134" w:gutter="0"/>
          <w:cols w:space="720"/>
        </w:sectPr>
      </w:pPr>
    </w:p>
    <w:p w:rsidR="00A905B1" w:rsidRPr="00836EB3" w:rsidRDefault="00A905B1" w:rsidP="00A905B1">
      <w:pPr>
        <w:rPr>
          <w:b/>
          <w:szCs w:val="24"/>
        </w:rPr>
      </w:pPr>
      <w:r w:rsidRPr="00836EB3">
        <w:rPr>
          <w:b/>
          <w:sz w:val="20"/>
        </w:rPr>
        <w:t>.</w:t>
      </w:r>
    </w:p>
    <w:p w:rsidR="00A905B1" w:rsidRPr="00836EB3" w:rsidRDefault="00A905B1" w:rsidP="00A905B1">
      <w:pPr>
        <w:jc w:val="center"/>
        <w:rPr>
          <w:b/>
          <w:sz w:val="20"/>
        </w:rPr>
      </w:pPr>
    </w:p>
    <w:p w:rsidR="00A905B1" w:rsidRPr="00836EB3" w:rsidRDefault="00A905B1" w:rsidP="00A905B1">
      <w:pPr>
        <w:jc w:val="center"/>
        <w:rPr>
          <w:b/>
          <w:sz w:val="20"/>
        </w:rPr>
      </w:pPr>
      <w:r w:rsidRPr="00836EB3">
        <w:rPr>
          <w:b/>
          <w:sz w:val="20"/>
        </w:rPr>
        <w:t>Cuadro VII-1</w:t>
      </w:r>
    </w:p>
    <w:p w:rsidR="00A905B1" w:rsidRPr="00836EB3" w:rsidRDefault="00A905B1" w:rsidP="00A905B1">
      <w:pPr>
        <w:jc w:val="center"/>
        <w:rPr>
          <w:b/>
          <w:sz w:val="20"/>
        </w:rPr>
      </w:pPr>
    </w:p>
    <w:p w:rsidR="00A905B1" w:rsidRPr="00836EB3" w:rsidRDefault="00A905B1" w:rsidP="00A905B1">
      <w:pPr>
        <w:jc w:val="center"/>
        <w:rPr>
          <w:b/>
          <w:sz w:val="20"/>
        </w:rPr>
      </w:pPr>
      <w:r w:rsidRPr="00836EB3">
        <w:rPr>
          <w:b/>
          <w:sz w:val="20"/>
        </w:rPr>
        <w:t>Flujos Financieros (U$S) - Inversión: US$ 100 MM - Reducción de la Demanda de 10% - Disponibilidad de Ingresos para el Estado por Tasas: 70%</w:t>
      </w:r>
    </w:p>
    <w:p w:rsidR="00A905B1" w:rsidRPr="00836EB3" w:rsidRDefault="00A905B1" w:rsidP="00A905B1">
      <w:pPr>
        <w:jc w:val="center"/>
        <w:rPr>
          <w:sz w:val="20"/>
        </w:rPr>
      </w:pPr>
    </w:p>
    <w:p w:rsidR="00A905B1" w:rsidRPr="00836EB3" w:rsidRDefault="00A905B1" w:rsidP="00A905B1">
      <w:pPr>
        <w:jc w:val="center"/>
      </w:pPr>
      <w:r w:rsidRPr="00836EB3">
        <w:rPr>
          <w:noProof/>
          <w:lang w:val="en-US"/>
        </w:rPr>
        <w:drawing>
          <wp:inline distT="0" distB="0" distL="0" distR="0">
            <wp:extent cx="9695708" cy="4643561"/>
            <wp:effectExtent l="19050" t="0" r="742"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srcRect/>
                    <a:stretch>
                      <a:fillRect/>
                    </a:stretch>
                  </pic:blipFill>
                  <pic:spPr bwMode="auto">
                    <a:xfrm>
                      <a:off x="0" y="0"/>
                      <a:ext cx="9698990" cy="4645133"/>
                    </a:xfrm>
                    <a:prstGeom prst="rect">
                      <a:avLst/>
                    </a:prstGeom>
                    <a:noFill/>
                    <a:ln w="9525">
                      <a:noFill/>
                      <a:miter lim="800000"/>
                      <a:headEnd/>
                      <a:tailEnd/>
                    </a:ln>
                  </pic:spPr>
                </pic:pic>
              </a:graphicData>
            </a:graphic>
          </wp:inline>
        </w:drawing>
      </w:r>
    </w:p>
    <w:p w:rsidR="00A905B1" w:rsidRPr="00836EB3" w:rsidRDefault="00A905B1" w:rsidP="00A87C94"/>
    <w:p w:rsidR="00A905B1" w:rsidRPr="00836EB3" w:rsidRDefault="00A905B1" w:rsidP="00A87C94"/>
    <w:p w:rsidR="00A905B1" w:rsidRPr="00836EB3" w:rsidRDefault="00A905B1" w:rsidP="00A87C94">
      <w:pPr>
        <w:sectPr w:rsidR="00A905B1" w:rsidRPr="00836EB3" w:rsidSect="00A905B1">
          <w:pgSz w:w="15842" w:h="12242" w:orient="landscape" w:code="1"/>
          <w:pgMar w:top="567" w:right="284" w:bottom="567" w:left="284" w:header="731" w:footer="1134" w:gutter="0"/>
          <w:cols w:space="720"/>
        </w:sectPr>
      </w:pPr>
    </w:p>
    <w:p w:rsidR="00A905B1" w:rsidRPr="00836EB3" w:rsidRDefault="00A905B1" w:rsidP="00A87C94"/>
    <w:p w:rsidR="00996B67" w:rsidRPr="00836EB3" w:rsidRDefault="00996B67" w:rsidP="00996B67">
      <w:pPr>
        <w:widowControl w:val="0"/>
        <w:numPr>
          <w:ilvl w:val="0"/>
          <w:numId w:val="2"/>
        </w:numPr>
        <w:adjustRightInd w:val="0"/>
        <w:jc w:val="both"/>
        <w:textAlignment w:val="baseline"/>
        <w:rPr>
          <w:b/>
        </w:rPr>
      </w:pPr>
      <w:r w:rsidRPr="00836EB3">
        <w:rPr>
          <w:b/>
          <w:lang w:val="es-ES_tradnl"/>
        </w:rPr>
        <w:t>Resumen</w:t>
      </w:r>
      <w:r w:rsidR="001C6F79" w:rsidRPr="00836EB3">
        <w:rPr>
          <w:b/>
          <w:lang w:val="es-ES_tradnl"/>
        </w:rPr>
        <w:t xml:space="preserve"> del Análisis </w:t>
      </w:r>
      <w:r w:rsidR="00714401" w:rsidRPr="00836EB3">
        <w:rPr>
          <w:b/>
          <w:lang w:val="es-ES_tradnl"/>
        </w:rPr>
        <w:t>Financiero</w:t>
      </w:r>
      <w:r w:rsidR="00B122EB" w:rsidRPr="00836EB3">
        <w:rPr>
          <w:b/>
          <w:lang w:val="es-ES_tradnl"/>
        </w:rPr>
        <w:t xml:space="preserve"> y Conclusiones</w:t>
      </w:r>
      <w:r w:rsidRPr="00836EB3">
        <w:rPr>
          <w:b/>
        </w:rPr>
        <w:t>.</w:t>
      </w:r>
    </w:p>
    <w:p w:rsidR="00996B67" w:rsidRPr="00836EB3" w:rsidRDefault="00996B67" w:rsidP="00996B67">
      <w:pPr>
        <w:widowControl w:val="0"/>
        <w:adjustRightInd w:val="0"/>
        <w:ind w:left="709"/>
        <w:jc w:val="both"/>
        <w:textAlignment w:val="baseline"/>
        <w:rPr>
          <w:lang w:val="es-ES_tradnl"/>
        </w:rPr>
      </w:pPr>
    </w:p>
    <w:p w:rsidR="00133CDE" w:rsidRPr="00836EB3" w:rsidRDefault="00B122EB" w:rsidP="00742498">
      <w:pPr>
        <w:widowControl w:val="0"/>
        <w:numPr>
          <w:ilvl w:val="1"/>
          <w:numId w:val="2"/>
        </w:numPr>
        <w:tabs>
          <w:tab w:val="clear" w:pos="360"/>
          <w:tab w:val="num" w:pos="709"/>
        </w:tabs>
        <w:adjustRightInd w:val="0"/>
        <w:ind w:left="709" w:hanging="709"/>
        <w:jc w:val="both"/>
        <w:textAlignment w:val="baseline"/>
        <w:rPr>
          <w:lang w:val="es-ES_tradnl"/>
        </w:rPr>
      </w:pPr>
      <w:r w:rsidRPr="00836EB3">
        <w:rPr>
          <w:b/>
          <w:lang w:val="es-ES_tradnl"/>
        </w:rPr>
        <w:t>Resumen.</w:t>
      </w:r>
      <w:r w:rsidR="00801173" w:rsidRPr="00836EB3">
        <w:rPr>
          <w:b/>
          <w:lang w:val="es-ES_tradnl"/>
        </w:rPr>
        <w:t xml:space="preserve"> </w:t>
      </w:r>
      <w:r w:rsidR="00915B35" w:rsidRPr="00836EB3">
        <w:rPr>
          <w:lang w:val="es-ES_tradnl"/>
        </w:rPr>
        <w:t>E</w:t>
      </w:r>
      <w:r w:rsidR="008809AF" w:rsidRPr="00836EB3">
        <w:rPr>
          <w:lang w:val="es-ES_tradnl"/>
        </w:rPr>
        <w:t>l</w:t>
      </w:r>
      <w:r w:rsidR="00915B35" w:rsidRPr="00836EB3">
        <w:rPr>
          <w:lang w:val="es-ES_tradnl"/>
        </w:rPr>
        <w:t xml:space="preserve"> comportamiento de los indicadores</w:t>
      </w:r>
      <w:r w:rsidR="00801173" w:rsidRPr="00836EB3">
        <w:rPr>
          <w:lang w:val="es-ES_tradnl"/>
        </w:rPr>
        <w:t xml:space="preserve">, en los diferentes escenarios relativos a la distribución de la recaudación neta entre Estado y Gobiernos Locales, muestra diferentes comportamientos. </w:t>
      </w:r>
      <w:r w:rsidR="00133CDE" w:rsidRPr="00836EB3">
        <w:t xml:space="preserve">En </w:t>
      </w:r>
      <w:r w:rsidR="00801173" w:rsidRPr="00836EB3">
        <w:t>e</w:t>
      </w:r>
      <w:r w:rsidR="00444801" w:rsidRPr="00836EB3">
        <w:t>l</w:t>
      </w:r>
      <w:r w:rsidR="00742498" w:rsidRPr="00836EB3">
        <w:t xml:space="preserve"> </w:t>
      </w:r>
      <w:r w:rsidR="00106F8D" w:rsidRPr="00836EB3">
        <w:t xml:space="preserve">siguiente </w:t>
      </w:r>
      <w:r w:rsidR="00D72199" w:rsidRPr="00836EB3">
        <w:t>Cuadro</w:t>
      </w:r>
      <w:r w:rsidR="00742498" w:rsidRPr="00836EB3">
        <w:t>s</w:t>
      </w:r>
      <w:r w:rsidR="00A42B95" w:rsidRPr="00836EB3">
        <w:t xml:space="preserve"> </w:t>
      </w:r>
      <w:r w:rsidR="001F66D7" w:rsidRPr="00836EB3">
        <w:t>VIII</w:t>
      </w:r>
      <w:r w:rsidR="00742498" w:rsidRPr="00836EB3">
        <w:t>-</w:t>
      </w:r>
      <w:r w:rsidR="00444801" w:rsidRPr="00836EB3">
        <w:t>1</w:t>
      </w:r>
      <w:r w:rsidR="00742498" w:rsidRPr="00836EB3">
        <w:t xml:space="preserve"> </w:t>
      </w:r>
      <w:r w:rsidR="00133CDE" w:rsidRPr="00836EB3">
        <w:t xml:space="preserve">se resumen los </w:t>
      </w:r>
      <w:r w:rsidR="001F66D7" w:rsidRPr="00836EB3">
        <w:t xml:space="preserve">referidos </w:t>
      </w:r>
      <w:r w:rsidR="00133CDE" w:rsidRPr="00836EB3">
        <w:t>cálculos</w:t>
      </w:r>
      <w:r w:rsidR="00A42B95" w:rsidRPr="00836EB3">
        <w:t xml:space="preserve"> de</w:t>
      </w:r>
      <w:r w:rsidR="00801173" w:rsidRPr="00836EB3">
        <w:t>l VAN</w:t>
      </w:r>
      <w:r w:rsidR="00C87D00" w:rsidRPr="00836EB3">
        <w:t xml:space="preserve"> (tasa de descuento del 12%)</w:t>
      </w:r>
      <w:r w:rsidR="00801173" w:rsidRPr="00836EB3">
        <w:t xml:space="preserve"> y Flujo de Caja</w:t>
      </w:r>
      <w:r w:rsidR="00133CDE" w:rsidRPr="00836EB3">
        <w:t>, correspo</w:t>
      </w:r>
      <w:r w:rsidR="004343A9" w:rsidRPr="00836EB3">
        <w:t>ndiente</w:t>
      </w:r>
      <w:r w:rsidR="00742278" w:rsidRPr="00836EB3">
        <w:t>s</w:t>
      </w:r>
      <w:r w:rsidR="004343A9" w:rsidRPr="00836EB3">
        <w:t xml:space="preserve"> a los </w:t>
      </w:r>
      <w:r w:rsidR="00801173" w:rsidRPr="00836EB3">
        <w:t xml:space="preserve">escenarios </w:t>
      </w:r>
      <w:r w:rsidR="004343A9" w:rsidRPr="00836EB3">
        <w:t>estudiados.</w:t>
      </w:r>
    </w:p>
    <w:p w:rsidR="00133CDE" w:rsidRPr="00836EB3" w:rsidRDefault="00133CDE" w:rsidP="00714401">
      <w:pPr>
        <w:ind w:left="709"/>
        <w:jc w:val="center"/>
        <w:rPr>
          <w:b/>
          <w:sz w:val="22"/>
          <w:szCs w:val="22"/>
          <w:lang w:val="es-ES_tradnl"/>
        </w:rPr>
      </w:pPr>
    </w:p>
    <w:p w:rsidR="00133CDE" w:rsidRPr="00836EB3" w:rsidRDefault="00977ECE" w:rsidP="00ED3B05">
      <w:pPr>
        <w:ind w:left="709"/>
        <w:jc w:val="center"/>
        <w:rPr>
          <w:b/>
          <w:sz w:val="20"/>
        </w:rPr>
      </w:pPr>
      <w:r w:rsidRPr="00836EB3">
        <w:rPr>
          <w:b/>
          <w:sz w:val="20"/>
        </w:rPr>
        <w:t xml:space="preserve">Cuadro </w:t>
      </w:r>
      <w:r w:rsidR="001F66D7" w:rsidRPr="00836EB3">
        <w:rPr>
          <w:b/>
          <w:sz w:val="20"/>
        </w:rPr>
        <w:t>VIII</w:t>
      </w:r>
      <w:r w:rsidR="00996B67" w:rsidRPr="00836EB3">
        <w:rPr>
          <w:b/>
          <w:sz w:val="20"/>
        </w:rPr>
        <w:t>-1</w:t>
      </w:r>
    </w:p>
    <w:p w:rsidR="00133CDE" w:rsidRPr="00836EB3" w:rsidRDefault="00D72199" w:rsidP="00ED3B05">
      <w:pPr>
        <w:ind w:left="709"/>
        <w:jc w:val="center"/>
        <w:rPr>
          <w:b/>
          <w:sz w:val="20"/>
        </w:rPr>
      </w:pPr>
      <w:r w:rsidRPr="00836EB3">
        <w:rPr>
          <w:b/>
          <w:sz w:val="20"/>
        </w:rPr>
        <w:t xml:space="preserve">Resumen del Análisis </w:t>
      </w:r>
      <w:r w:rsidR="00714401" w:rsidRPr="00836EB3">
        <w:rPr>
          <w:b/>
          <w:sz w:val="20"/>
        </w:rPr>
        <w:t>Financiero</w:t>
      </w:r>
    </w:p>
    <w:p w:rsidR="00133CDE" w:rsidRPr="00836EB3" w:rsidRDefault="00133CDE" w:rsidP="00EB5C51">
      <w:pPr>
        <w:ind w:left="709"/>
        <w:jc w:val="center"/>
        <w:rPr>
          <w:sz w:val="16"/>
          <w:szCs w:val="16"/>
        </w:rPr>
      </w:pPr>
    </w:p>
    <w:p w:rsidR="00855DE0" w:rsidRPr="00836EB3" w:rsidRDefault="00B12BA3" w:rsidP="00471A59">
      <w:pPr>
        <w:ind w:left="709"/>
        <w:jc w:val="center"/>
        <w:rPr>
          <w:lang w:val="es-ES"/>
        </w:rPr>
      </w:pPr>
      <w:r w:rsidRPr="00836EB3">
        <w:rPr>
          <w:noProof/>
          <w:lang w:val="en-US"/>
        </w:rPr>
        <w:drawing>
          <wp:inline distT="0" distB="0" distL="0" distR="0">
            <wp:extent cx="5173152" cy="2169328"/>
            <wp:effectExtent l="19050" t="0" r="8448"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5174037" cy="2169699"/>
                    </a:xfrm>
                    <a:prstGeom prst="rect">
                      <a:avLst/>
                    </a:prstGeom>
                    <a:noFill/>
                    <a:ln w="9525">
                      <a:noFill/>
                      <a:miter lim="800000"/>
                      <a:headEnd/>
                      <a:tailEnd/>
                    </a:ln>
                  </pic:spPr>
                </pic:pic>
              </a:graphicData>
            </a:graphic>
          </wp:inline>
        </w:drawing>
      </w:r>
    </w:p>
    <w:p w:rsidR="00EA1014" w:rsidRPr="00836EB3" w:rsidRDefault="00EA1014" w:rsidP="00EB5C51">
      <w:pPr>
        <w:ind w:left="709"/>
        <w:jc w:val="center"/>
      </w:pPr>
    </w:p>
    <w:p w:rsidR="00D413B1" w:rsidRPr="003C721A" w:rsidRDefault="00D413B1" w:rsidP="00D413B1">
      <w:pPr>
        <w:widowControl w:val="0"/>
        <w:numPr>
          <w:ilvl w:val="1"/>
          <w:numId w:val="2"/>
        </w:numPr>
        <w:tabs>
          <w:tab w:val="clear" w:pos="360"/>
          <w:tab w:val="num" w:pos="709"/>
        </w:tabs>
        <w:adjustRightInd w:val="0"/>
        <w:ind w:left="709" w:hanging="709"/>
        <w:jc w:val="both"/>
        <w:textAlignment w:val="baseline"/>
        <w:rPr>
          <w:szCs w:val="24"/>
        </w:rPr>
      </w:pPr>
      <w:r w:rsidRPr="003C721A">
        <w:rPr>
          <w:b/>
          <w:szCs w:val="24"/>
        </w:rPr>
        <w:t>Conclusiones.</w:t>
      </w:r>
      <w:r w:rsidRPr="003C721A">
        <w:rPr>
          <w:szCs w:val="24"/>
        </w:rPr>
        <w:t xml:space="preserve"> Sin perjuicio de otros factores que pudieran incidir en la decisión, la asignación de recursos para el Estado debería ser</w:t>
      </w:r>
      <w:r w:rsidR="00801173" w:rsidRPr="003C721A">
        <w:rPr>
          <w:szCs w:val="24"/>
        </w:rPr>
        <w:t xml:space="preserve"> de, por lo menos, un </w:t>
      </w:r>
      <w:r w:rsidRPr="003C721A">
        <w:rPr>
          <w:szCs w:val="24"/>
        </w:rPr>
        <w:t xml:space="preserve">70%, para asegurar una rentabilidad financiera suficiente y un Flujo de Caja sano que </w:t>
      </w:r>
      <w:r w:rsidR="00F700A3" w:rsidRPr="003C721A">
        <w:rPr>
          <w:szCs w:val="24"/>
        </w:rPr>
        <w:t>permita</w:t>
      </w:r>
      <w:r w:rsidRPr="003C721A">
        <w:rPr>
          <w:szCs w:val="24"/>
        </w:rPr>
        <w:t xml:space="preserve"> la sustentabilidad </w:t>
      </w:r>
      <w:r w:rsidR="00801173" w:rsidRPr="003C721A">
        <w:rPr>
          <w:szCs w:val="24"/>
        </w:rPr>
        <w:t xml:space="preserve">necesaria </w:t>
      </w:r>
      <w:r w:rsidRPr="003C721A">
        <w:rPr>
          <w:szCs w:val="24"/>
        </w:rPr>
        <w:t>para el buen funcionamiento de los nuevos Pasos de Frontera.</w:t>
      </w:r>
      <w:r w:rsidR="003C721A" w:rsidRPr="003C721A">
        <w:rPr>
          <w:szCs w:val="24"/>
        </w:rPr>
        <w:t xml:space="preserve"> En consecuencia, la modificación prevista a la Ley </w:t>
      </w:r>
      <w:r w:rsidR="003C721A" w:rsidRPr="003C721A">
        <w:rPr>
          <w:lang w:val="es-ES_tradnl"/>
        </w:rPr>
        <w:t>9154, mediante la cual se asignar</w:t>
      </w:r>
      <w:r w:rsidR="003C721A">
        <w:rPr>
          <w:lang w:val="es-ES_tradnl"/>
        </w:rPr>
        <w:t>ía al Estado el 85% de los tributos sería un escenario suficiente para que el Estado asuma el servicio de la deuda y los costos asociados al mantenimiento y de los pasos de frontera después de su entrada en servicio.</w:t>
      </w:r>
    </w:p>
    <w:p w:rsidR="0064630B" w:rsidRPr="00836EB3" w:rsidRDefault="0064630B" w:rsidP="0064630B">
      <w:pPr>
        <w:pStyle w:val="ListParagraph"/>
      </w:pPr>
    </w:p>
    <w:sectPr w:rsidR="0064630B" w:rsidRPr="00836EB3" w:rsidSect="00B122EB">
      <w:headerReference w:type="default" r:id="rId40"/>
      <w:pgSz w:w="12242" w:h="15842" w:code="1"/>
      <w:pgMar w:top="1134" w:right="1298" w:bottom="1134" w:left="1797" w:header="731"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4C" w:rsidRDefault="00361E4C">
      <w:r>
        <w:separator/>
      </w:r>
    </w:p>
  </w:endnote>
  <w:endnote w:type="continuationSeparator" w:id="0">
    <w:p w:rsidR="00361E4C" w:rsidRDefault="0036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A9" w:rsidRDefault="007510A9" w:rsidP="00133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0A9" w:rsidRDefault="00751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322456"/>
      <w:docPartObj>
        <w:docPartGallery w:val="Page Numbers (Bottom of Page)"/>
        <w:docPartUnique/>
      </w:docPartObj>
    </w:sdtPr>
    <w:sdtEndPr/>
    <w:sdtContent>
      <w:p w:rsidR="007510A9" w:rsidRDefault="003940A1" w:rsidP="00732177">
        <w:pPr>
          <w:pStyle w:val="Footer"/>
          <w:framePr w:wrap="around" w:vAnchor="text" w:hAnchor="margin" w:xAlign="center" w:y="1"/>
          <w:jc w:val="center"/>
        </w:pPr>
      </w:p>
    </w:sdtContent>
  </w:sdt>
  <w:p w:rsidR="007510A9" w:rsidRDefault="007510A9" w:rsidP="0019618A">
    <w:pPr>
      <w:pStyle w:val="Footer"/>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A9" w:rsidRDefault="007510A9" w:rsidP="00580E67">
    <w:pPr>
      <w:pStyle w:val="Footer"/>
      <w:framePr w:wrap="around" w:vAnchor="text" w:hAnchor="margin" w:xAlign="center" w:y="1"/>
      <w:jc w:val="center"/>
    </w:pPr>
  </w:p>
  <w:p w:rsidR="007510A9" w:rsidRPr="003940A1" w:rsidRDefault="007510A9" w:rsidP="003940A1">
    <w:pPr>
      <w:pStyle w:val="Footer"/>
      <w:framePr w:wrap="around" w:vAnchor="text" w:hAnchor="margin" w:xAlign="center" w:y="1"/>
      <w:rPr>
        <w:sz w:val="16"/>
        <w:szCs w:val="16"/>
      </w:rPr>
    </w:pPr>
    <w:r w:rsidRPr="003940A1">
      <w:rPr>
        <w:sz w:val="16"/>
        <w:szCs w:val="16"/>
      </w:rPr>
      <w:t xml:space="preserve">CR-L1066 Análisis Financiero de la </w:t>
    </w:r>
    <w:r w:rsidR="003940A1" w:rsidRPr="003940A1">
      <w:rPr>
        <w:sz w:val="16"/>
        <w:szCs w:val="16"/>
      </w:rPr>
      <w:t>Programa de Integración Fronteriza de Costa Rica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49844"/>
      <w:docPartObj>
        <w:docPartGallery w:val="Page Numbers (Bottom of Page)"/>
        <w:docPartUnique/>
      </w:docPartObj>
    </w:sdtPr>
    <w:sdtEndPr>
      <w:rPr>
        <w:sz w:val="22"/>
      </w:rPr>
    </w:sdtEndPr>
    <w:sdtContent>
      <w:p w:rsidR="007510A9" w:rsidRPr="003940A1" w:rsidRDefault="003C721A" w:rsidP="00580E67">
        <w:pPr>
          <w:pStyle w:val="Footer"/>
          <w:framePr w:wrap="around" w:vAnchor="text" w:hAnchor="margin" w:xAlign="center" w:y="1"/>
          <w:jc w:val="center"/>
          <w:rPr>
            <w:sz w:val="22"/>
          </w:rPr>
        </w:pPr>
        <w:r w:rsidRPr="003940A1">
          <w:rPr>
            <w:sz w:val="22"/>
          </w:rPr>
          <w:fldChar w:fldCharType="begin"/>
        </w:r>
        <w:r w:rsidRPr="003940A1">
          <w:rPr>
            <w:sz w:val="22"/>
          </w:rPr>
          <w:instrText xml:space="preserve"> PAGE   \* MERGEFORMAT </w:instrText>
        </w:r>
        <w:r w:rsidRPr="003940A1">
          <w:rPr>
            <w:sz w:val="22"/>
          </w:rPr>
          <w:fldChar w:fldCharType="separate"/>
        </w:r>
        <w:r w:rsidR="003940A1">
          <w:rPr>
            <w:noProof/>
            <w:sz w:val="22"/>
          </w:rPr>
          <w:t>1</w:t>
        </w:r>
        <w:r w:rsidRPr="003940A1">
          <w:rPr>
            <w:noProof/>
            <w:sz w:val="22"/>
          </w:rPr>
          <w:fldChar w:fldCharType="end"/>
        </w:r>
      </w:p>
    </w:sdtContent>
  </w:sdt>
  <w:p w:rsidR="007510A9" w:rsidRPr="00E12286" w:rsidRDefault="007510A9" w:rsidP="003940A1">
    <w:pPr>
      <w:pStyle w:val="Footer"/>
      <w:framePr w:wrap="around" w:vAnchor="text" w:hAnchor="margin" w:xAlign="center" w:y="1"/>
      <w:rPr>
        <w:sz w:val="16"/>
        <w:szCs w:val="16"/>
      </w:rPr>
    </w:pPr>
    <w:r>
      <w:rPr>
        <w:sz w:val="16"/>
        <w:szCs w:val="16"/>
      </w:rPr>
      <w:t>CR</w:t>
    </w:r>
    <w:r w:rsidRPr="004F5616">
      <w:rPr>
        <w:sz w:val="16"/>
        <w:szCs w:val="16"/>
      </w:rPr>
      <w:t>-L10</w:t>
    </w:r>
    <w:r>
      <w:rPr>
        <w:sz w:val="16"/>
        <w:szCs w:val="16"/>
      </w:rPr>
      <w:t>66</w:t>
    </w:r>
    <w:r w:rsidRPr="004F5616">
      <w:rPr>
        <w:sz w:val="16"/>
        <w:szCs w:val="16"/>
      </w:rPr>
      <w:t xml:space="preserve"> </w:t>
    </w:r>
    <w:r>
      <w:rPr>
        <w:sz w:val="16"/>
        <w:szCs w:val="16"/>
      </w:rPr>
      <w:t xml:space="preserve">Análisis </w:t>
    </w:r>
    <w:r w:rsidRPr="003940A1">
      <w:rPr>
        <w:sz w:val="16"/>
        <w:szCs w:val="16"/>
      </w:rPr>
      <w:t xml:space="preserve">Financiero de la </w:t>
    </w:r>
    <w:r w:rsidR="003940A1" w:rsidRPr="003940A1">
      <w:rPr>
        <w:sz w:val="16"/>
        <w:szCs w:val="16"/>
      </w:rPr>
      <w:t>Programa de Integración Fronteriza de Costa 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4C" w:rsidRDefault="00361E4C">
      <w:r>
        <w:separator/>
      </w:r>
    </w:p>
  </w:footnote>
  <w:footnote w:type="continuationSeparator" w:id="0">
    <w:p w:rsidR="00361E4C" w:rsidRDefault="00361E4C">
      <w:r>
        <w:continuationSeparator/>
      </w:r>
    </w:p>
  </w:footnote>
  <w:footnote w:id="1">
    <w:p w:rsidR="007510A9" w:rsidRPr="00836EB3" w:rsidRDefault="007510A9">
      <w:pPr>
        <w:pStyle w:val="FootnoteText"/>
      </w:pPr>
      <w:r w:rsidRPr="00836EB3">
        <w:rPr>
          <w:rStyle w:val="FootnoteReference"/>
        </w:rPr>
        <w:footnoteRef/>
      </w:r>
      <w:r w:rsidRPr="00836EB3">
        <w:t xml:space="preserve"> </w:t>
      </w:r>
      <w:r w:rsidRPr="00836EB3">
        <w:tab/>
        <w:t>Inicialmente denominado Corredor Pacífico.</w:t>
      </w:r>
    </w:p>
  </w:footnote>
  <w:footnote w:id="2">
    <w:p w:rsidR="007510A9" w:rsidRPr="00836EB3" w:rsidRDefault="007510A9" w:rsidP="00ED7A4C">
      <w:pPr>
        <w:pStyle w:val="FootnoteText"/>
      </w:pPr>
      <w:r w:rsidRPr="00836EB3">
        <w:rPr>
          <w:rStyle w:val="FootnoteReference"/>
        </w:rPr>
        <w:footnoteRef/>
      </w:r>
      <w:r w:rsidRPr="00836EB3">
        <w:t xml:space="preserve"> </w:t>
      </w:r>
      <w:r w:rsidRPr="00836EB3">
        <w:tab/>
        <w:t xml:space="preserve">RICAM: </w:t>
      </w:r>
      <w:r w:rsidRPr="00836EB3">
        <w:rPr>
          <w:rStyle w:val="st"/>
        </w:rPr>
        <w:t>Red Internacional de Carreteras Mesoamericanas.</w:t>
      </w:r>
    </w:p>
  </w:footnote>
  <w:footnote w:id="3">
    <w:p w:rsidR="007510A9" w:rsidRPr="00836EB3" w:rsidRDefault="007510A9" w:rsidP="00E775FA">
      <w:pPr>
        <w:pStyle w:val="FootnoteText"/>
        <w:ind w:left="709" w:hanging="709"/>
        <w:jc w:val="both"/>
        <w:rPr>
          <w:lang w:val="es-ES"/>
        </w:rPr>
      </w:pPr>
      <w:r w:rsidRPr="00836EB3">
        <w:rPr>
          <w:rStyle w:val="FootnoteReference"/>
        </w:rPr>
        <w:footnoteRef/>
      </w:r>
      <w:r w:rsidRPr="00836EB3">
        <w:rPr>
          <w:lang w:val="es-ES"/>
        </w:rPr>
        <w:t xml:space="preserve"> </w:t>
      </w:r>
      <w:r w:rsidRPr="00836EB3">
        <w:rPr>
          <w:lang w:val="es-ES"/>
        </w:rPr>
        <w:tab/>
        <w:t xml:space="preserve">Por ejemplo, </w:t>
      </w:r>
      <w:r w:rsidRPr="00836EB3">
        <w:t xml:space="preserve">el estudio </w:t>
      </w:r>
      <w:r w:rsidRPr="00836EB3">
        <w:rPr>
          <w:lang w:val="es-ES"/>
        </w:rPr>
        <w:t>"Adecuación, Mantenimiento y Operación de Tramos Viales del Corredor Pacífico de La RICAM (RG-T744)", elaborado en 2011 y en el que participó este Consultor.</w:t>
      </w:r>
    </w:p>
  </w:footnote>
  <w:footnote w:id="4">
    <w:p w:rsidR="007510A9" w:rsidRPr="00836EB3" w:rsidRDefault="007510A9" w:rsidP="00C744DA">
      <w:pPr>
        <w:pStyle w:val="FootnoteText"/>
        <w:ind w:left="709" w:hanging="709"/>
        <w:jc w:val="both"/>
      </w:pPr>
      <w:r w:rsidRPr="00836EB3">
        <w:rPr>
          <w:rStyle w:val="FootnoteReference"/>
        </w:rPr>
        <w:footnoteRef/>
      </w:r>
      <w:r w:rsidRPr="00836EB3">
        <w:t xml:space="preserve"> </w:t>
      </w:r>
      <w:r w:rsidRPr="00836EB3">
        <w:tab/>
        <w:t>“</w:t>
      </w:r>
      <w:r w:rsidRPr="00836EB3">
        <w:rPr>
          <w:szCs w:val="24"/>
          <w:lang w:eastAsia="es-ES"/>
        </w:rPr>
        <w:t xml:space="preserve">Consultoría para la adecuación de estudios de Proceso de Control, Gestión, Infraestructuras e Inversión de los Pasos de Frontera Terrestres de Costa Rica, como apoyo a la preparación de la operación de </w:t>
      </w:r>
      <w:r w:rsidR="003940A1" w:rsidRPr="003940A1">
        <w:t>Programa de Integración Fronteriza de Costa Rica</w:t>
      </w:r>
      <w:r w:rsidR="003940A1" w:rsidRPr="00836EB3">
        <w:rPr>
          <w:szCs w:val="24"/>
          <w:lang w:eastAsia="es-ES"/>
        </w:rPr>
        <w:t xml:space="preserve"> </w:t>
      </w:r>
      <w:r w:rsidRPr="00836EB3">
        <w:rPr>
          <w:szCs w:val="24"/>
          <w:lang w:eastAsia="es-ES"/>
        </w:rPr>
        <w:t>(CR-L1066)”.</w:t>
      </w:r>
    </w:p>
  </w:footnote>
  <w:footnote w:id="5">
    <w:p w:rsidR="007510A9" w:rsidRPr="00836EB3" w:rsidRDefault="007510A9" w:rsidP="007A64B8">
      <w:pPr>
        <w:pStyle w:val="FootnoteText"/>
        <w:ind w:left="709" w:hanging="709"/>
        <w:jc w:val="both"/>
      </w:pPr>
      <w:r w:rsidRPr="00836EB3">
        <w:rPr>
          <w:rStyle w:val="FootnoteReference"/>
        </w:rPr>
        <w:footnoteRef/>
      </w:r>
      <w:r w:rsidRPr="00836EB3">
        <w:t xml:space="preserve"> </w:t>
      </w:r>
      <w:r w:rsidRPr="00836EB3">
        <w:tab/>
        <w:t xml:space="preserve">Una primera versión del Análisis de Viabilidad Económica fue elaborada por este Consultor en 2013; posteriormente, la firma consultora ‘Georgia </w:t>
      </w:r>
      <w:proofErr w:type="spellStart"/>
      <w:r w:rsidRPr="00836EB3">
        <w:t>Tech</w:t>
      </w:r>
      <w:proofErr w:type="spellEnd"/>
      <w:r w:rsidRPr="00836EB3">
        <w:t>’, encargada de preparar la Línea Base del proyecto, con información más precisa</w:t>
      </w:r>
      <w:r>
        <w:t>,</w:t>
      </w:r>
      <w:r w:rsidRPr="00836EB3">
        <w:t xml:space="preserve"> elaboró una segunda versión de este análisis en 2014. Los resultados de ambos estudios han sido</w:t>
      </w:r>
      <w:r>
        <w:t xml:space="preserve"> coincidentes en determinar la satisfactoria</w:t>
      </w:r>
      <w:r w:rsidRPr="00836EB3">
        <w:t xml:space="preserve"> rentabilidad económica del proyecto.</w:t>
      </w:r>
    </w:p>
  </w:footnote>
  <w:footnote w:id="6">
    <w:p w:rsidR="007510A9" w:rsidRPr="00836EB3" w:rsidRDefault="007510A9" w:rsidP="00833AE3">
      <w:pPr>
        <w:pStyle w:val="FootnoteText"/>
        <w:ind w:left="709" w:hanging="709"/>
        <w:jc w:val="both"/>
      </w:pPr>
      <w:r w:rsidRPr="00836EB3">
        <w:rPr>
          <w:rStyle w:val="FootnoteReference"/>
        </w:rPr>
        <w:footnoteRef/>
      </w:r>
      <w:r w:rsidRPr="00836EB3">
        <w:t xml:space="preserve"> </w:t>
      </w:r>
      <w:r w:rsidRPr="00836EB3">
        <w:tab/>
        <w:t>Los informes del Equipo Técnico Consultor presentan un detallado análisis de las condiciones físicas y funcionales de los referidos pasos de frontera.</w:t>
      </w:r>
    </w:p>
  </w:footnote>
  <w:footnote w:id="7">
    <w:p w:rsidR="007510A9" w:rsidRPr="00836EB3" w:rsidRDefault="007510A9" w:rsidP="00F5731C">
      <w:pPr>
        <w:pStyle w:val="FootnoteText"/>
        <w:ind w:left="709" w:hanging="709"/>
        <w:jc w:val="both"/>
      </w:pPr>
      <w:r w:rsidRPr="00836EB3">
        <w:rPr>
          <w:rStyle w:val="FootnoteReference"/>
        </w:rPr>
        <w:footnoteRef/>
      </w:r>
      <w:r w:rsidRPr="00836EB3">
        <w:t xml:space="preserve"> </w:t>
      </w:r>
      <w:r w:rsidRPr="00836EB3">
        <w:tab/>
        <w:t>La información expuesta en este apartado, reproduce la incluida en el Análisis de Viabilidad Económica (2013) realizado por e</w:t>
      </w:r>
      <w:r w:rsidR="00695746">
        <w:t xml:space="preserve">ste </w:t>
      </w:r>
      <w:r w:rsidRPr="00836EB3">
        <w:t>Consultor (Ver Nota N°</w:t>
      </w:r>
      <w:r w:rsidR="003C721A">
        <w:fldChar w:fldCharType="begin"/>
      </w:r>
      <w:r w:rsidR="003C721A">
        <w:instrText xml:space="preserve"> NOTEREF _Ref412631456 \h  \* MERGEFORMAT </w:instrText>
      </w:r>
      <w:r w:rsidR="003C721A">
        <w:fldChar w:fldCharType="separate"/>
      </w:r>
      <w:r w:rsidR="00F700A3">
        <w:t>5</w:t>
      </w:r>
      <w:r w:rsidR="003C721A">
        <w:fldChar w:fldCharType="end"/>
      </w:r>
      <w:r w:rsidRPr="00836EB3">
        <w:t>), convenientemente actualizada para el período en estudio, con objeto que este informe resulte autosuficiente para todo lector.</w:t>
      </w:r>
    </w:p>
  </w:footnote>
  <w:footnote w:id="8">
    <w:p w:rsidR="007510A9" w:rsidRPr="00836EB3" w:rsidRDefault="007510A9">
      <w:pPr>
        <w:pStyle w:val="FootnoteText"/>
      </w:pPr>
      <w:r w:rsidRPr="00836EB3">
        <w:rPr>
          <w:rStyle w:val="FootnoteReference"/>
        </w:rPr>
        <w:footnoteRef/>
      </w:r>
      <w:r w:rsidRPr="00836EB3">
        <w:t xml:space="preserve"> </w:t>
      </w:r>
      <w:r w:rsidRPr="00836EB3">
        <w:tab/>
        <w:t xml:space="preserve">Contracciones: </w:t>
      </w:r>
      <w:proofErr w:type="spellStart"/>
      <w:r w:rsidRPr="00836EB3">
        <w:t>pas</w:t>
      </w:r>
      <w:proofErr w:type="spellEnd"/>
      <w:r w:rsidRPr="00836EB3">
        <w:t xml:space="preserve"> (pasajeros); </w:t>
      </w:r>
      <w:proofErr w:type="spellStart"/>
      <w:r w:rsidRPr="00836EB3">
        <w:t>veh</w:t>
      </w:r>
      <w:proofErr w:type="spellEnd"/>
      <w:r w:rsidRPr="00836EB3">
        <w:t xml:space="preserve"> (vehículos).</w:t>
      </w:r>
    </w:p>
  </w:footnote>
  <w:footnote w:id="9">
    <w:p w:rsidR="007510A9" w:rsidRPr="00B16DF3" w:rsidRDefault="007510A9">
      <w:pPr>
        <w:pStyle w:val="FootnoteText"/>
        <w:rPr>
          <w:lang w:val="pt-BR"/>
        </w:rPr>
      </w:pPr>
      <w:r w:rsidRPr="00836EB3">
        <w:rPr>
          <w:rStyle w:val="FootnoteReference"/>
        </w:rPr>
        <w:footnoteRef/>
      </w:r>
      <w:r w:rsidRPr="00B16DF3">
        <w:rPr>
          <w:lang w:val="pt-BR"/>
        </w:rPr>
        <w:t xml:space="preserve"> </w:t>
      </w:r>
      <w:r w:rsidRPr="00B16DF3">
        <w:rPr>
          <w:lang w:val="pt-BR"/>
        </w:rPr>
        <w:tab/>
        <w:t>TPDA: Tránsito Promedio Diario Anual.</w:t>
      </w:r>
    </w:p>
  </w:footnote>
  <w:footnote w:id="10">
    <w:p w:rsidR="007510A9" w:rsidRPr="00836EB3" w:rsidRDefault="007510A9" w:rsidP="005F2E79">
      <w:pPr>
        <w:pStyle w:val="FootnoteText"/>
        <w:ind w:left="709" w:hanging="709"/>
        <w:jc w:val="both"/>
      </w:pPr>
      <w:r w:rsidRPr="00836EB3">
        <w:rPr>
          <w:rStyle w:val="FootnoteReference"/>
        </w:rPr>
        <w:footnoteRef/>
      </w:r>
      <w:r w:rsidRPr="00836EB3">
        <w:t xml:space="preserve"> </w:t>
      </w:r>
      <w:r w:rsidRPr="00836EB3">
        <w:tab/>
        <w:t xml:space="preserve">Se adopta como período de análisis el comprendido entre 2017 y 2047, con objeto de contemplar el plazo de obras (2017 a 2020) y el plazo de repago del préstamo (2022 a 2047); estos plazos se </w:t>
      </w:r>
      <w:r w:rsidR="00602059">
        <w:t>explicitan</w:t>
      </w:r>
      <w:r w:rsidRPr="00836EB3">
        <w:t xml:space="preserve"> en </w:t>
      </w:r>
      <w:r w:rsidR="00695746">
        <w:t xml:space="preserve">los </w:t>
      </w:r>
      <w:r w:rsidRPr="00836EB3">
        <w:t>apartados siguientes (</w:t>
      </w:r>
      <w:r w:rsidRPr="00836EB3">
        <w:rPr>
          <w:szCs w:val="24"/>
        </w:rPr>
        <w:t>¶</w:t>
      </w:r>
      <w:r w:rsidR="003C721A">
        <w:fldChar w:fldCharType="begin"/>
      </w:r>
      <w:r w:rsidR="003C721A">
        <w:instrText xml:space="preserve"> REF _Ref412906301 \r \h  \* MERGEFORMAT </w:instrText>
      </w:r>
      <w:r w:rsidR="003C721A">
        <w:fldChar w:fldCharType="separate"/>
      </w:r>
      <w:r w:rsidR="00F700A3" w:rsidRPr="00F700A3">
        <w:rPr>
          <w:szCs w:val="24"/>
        </w:rPr>
        <w:t>3.1</w:t>
      </w:r>
      <w:r w:rsidR="003C721A">
        <w:fldChar w:fldCharType="end"/>
      </w:r>
      <w:r w:rsidRPr="00836EB3">
        <w:rPr>
          <w:szCs w:val="24"/>
        </w:rPr>
        <w:t xml:space="preserve"> y ¶</w:t>
      </w:r>
      <w:r w:rsidR="003C721A">
        <w:fldChar w:fldCharType="begin"/>
      </w:r>
      <w:r w:rsidR="003C721A">
        <w:instrText xml:space="preserve"> REF _Ref412906268 \r \h  \* MERGEFORMAT </w:instrText>
      </w:r>
      <w:r w:rsidR="003C721A">
        <w:fldChar w:fldCharType="separate"/>
      </w:r>
      <w:r w:rsidR="00F700A3" w:rsidRPr="00F700A3">
        <w:rPr>
          <w:szCs w:val="24"/>
        </w:rPr>
        <w:t>4.2</w:t>
      </w:r>
      <w:r w:rsidR="003C721A">
        <w:fldChar w:fldCharType="end"/>
      </w:r>
      <w:r w:rsidRPr="00836EB3">
        <w:rPr>
          <w:szCs w:val="24"/>
        </w:rPr>
        <w:t>)</w:t>
      </w:r>
      <w:r w:rsidRPr="00836EB3">
        <w:t>.</w:t>
      </w:r>
    </w:p>
  </w:footnote>
  <w:footnote w:id="11">
    <w:p w:rsidR="007510A9" w:rsidRPr="00836EB3" w:rsidRDefault="007510A9">
      <w:pPr>
        <w:pStyle w:val="FootnoteText"/>
      </w:pPr>
      <w:r w:rsidRPr="00836EB3">
        <w:rPr>
          <w:rStyle w:val="FootnoteReference"/>
        </w:rPr>
        <w:footnoteRef/>
      </w:r>
      <w:r w:rsidRPr="00836EB3">
        <w:t xml:space="preserve"> </w:t>
      </w:r>
      <w:r w:rsidRPr="00836EB3">
        <w:tab/>
        <w:t>Contracción: ton (toneladas).</w:t>
      </w:r>
    </w:p>
  </w:footnote>
  <w:footnote w:id="12">
    <w:p w:rsidR="007510A9" w:rsidRPr="00836EB3" w:rsidRDefault="007510A9">
      <w:pPr>
        <w:pStyle w:val="FootnoteText"/>
      </w:pPr>
      <w:r w:rsidRPr="00836EB3">
        <w:rPr>
          <w:rStyle w:val="FootnoteReference"/>
        </w:rPr>
        <w:footnoteRef/>
      </w:r>
      <w:r w:rsidRPr="00836EB3">
        <w:t xml:space="preserve"> </w:t>
      </w:r>
      <w:r w:rsidRPr="00836EB3">
        <w:tab/>
        <w:t>Productos ganaderos (carne, productos lácteos) y agrícolas (café, etc.).</w:t>
      </w:r>
    </w:p>
  </w:footnote>
  <w:footnote w:id="13">
    <w:p w:rsidR="007510A9" w:rsidRPr="00836EB3" w:rsidRDefault="007510A9" w:rsidP="00AB266D">
      <w:pPr>
        <w:pStyle w:val="FootnoteText"/>
        <w:ind w:left="709" w:hanging="709"/>
        <w:jc w:val="both"/>
      </w:pPr>
      <w:r w:rsidRPr="00836EB3">
        <w:rPr>
          <w:rStyle w:val="FootnoteReference"/>
        </w:rPr>
        <w:footnoteRef/>
      </w:r>
      <w:r w:rsidRPr="00836EB3">
        <w:t xml:space="preserve"> </w:t>
      </w:r>
      <w:r w:rsidRPr="00836EB3">
        <w:tab/>
        <w:t>Si bien parece altamente probable que l</w:t>
      </w:r>
      <w:r w:rsidRPr="00836EB3">
        <w:rPr>
          <w:szCs w:val="24"/>
        </w:rPr>
        <w:t>os pasajeros en automóviles y autobuses preferirán la alternativa de viaje por Las Tablillas, resulta menos claro para aquellos que serán peatones, en virtud de su menor capacidad económica; no obstante, la incidencia de éstos es irrelevante para la evaluación</w:t>
      </w:r>
      <w:r>
        <w:rPr>
          <w:szCs w:val="24"/>
        </w:rPr>
        <w:t>.</w:t>
      </w:r>
    </w:p>
  </w:footnote>
  <w:footnote w:id="14">
    <w:p w:rsidR="007510A9" w:rsidRPr="00836EB3" w:rsidRDefault="007510A9" w:rsidP="00C028E5">
      <w:pPr>
        <w:pStyle w:val="FootnoteText"/>
        <w:ind w:left="709" w:hanging="709"/>
        <w:jc w:val="both"/>
        <w:rPr>
          <w:lang w:val="es-ES"/>
        </w:rPr>
      </w:pPr>
      <w:r w:rsidRPr="00836EB3">
        <w:rPr>
          <w:rStyle w:val="FootnoteReference"/>
        </w:rPr>
        <w:footnoteRef/>
      </w:r>
      <w:r w:rsidRPr="00836EB3">
        <w:rPr>
          <w:lang w:val="es-ES"/>
        </w:rPr>
        <w:t xml:space="preserve"> </w:t>
      </w:r>
      <w:r w:rsidRPr="00836EB3">
        <w:rPr>
          <w:lang w:val="es-ES"/>
        </w:rPr>
        <w:tab/>
        <w:t>El Consultor, contratado por el Banco, realizó la supervisión de la elaboración del análisis de viabilidad económica del proyecto NI-L1066.</w:t>
      </w:r>
    </w:p>
  </w:footnote>
  <w:footnote w:id="15">
    <w:p w:rsidR="007510A9" w:rsidRPr="00836EB3" w:rsidRDefault="007510A9" w:rsidP="00E70D4B">
      <w:pPr>
        <w:pStyle w:val="FootnoteText"/>
        <w:ind w:left="709" w:hanging="709"/>
        <w:jc w:val="both"/>
      </w:pPr>
      <w:r w:rsidRPr="00836EB3">
        <w:rPr>
          <w:rStyle w:val="FootnoteReference"/>
        </w:rPr>
        <w:footnoteRef/>
      </w:r>
      <w:r w:rsidRPr="00836EB3">
        <w:t xml:space="preserve"> </w:t>
      </w:r>
      <w:r w:rsidRPr="00836EB3">
        <w:tab/>
        <w:t>Este tipo de gravamen, por su propia naturaleza, suele ser denominado “tasa” en la mayoría de los países de habla hispana, entendid</w:t>
      </w:r>
      <w:r w:rsidR="003F2E2C">
        <w:t>o</w:t>
      </w:r>
      <w:r w:rsidRPr="00836EB3">
        <w:t xml:space="preserve"> como precio público.</w:t>
      </w:r>
    </w:p>
  </w:footnote>
  <w:footnote w:id="16">
    <w:p w:rsidR="00406052" w:rsidRDefault="00406052" w:rsidP="00406052">
      <w:pPr>
        <w:pStyle w:val="FootnoteText"/>
        <w:ind w:left="709" w:hanging="709"/>
        <w:jc w:val="both"/>
      </w:pPr>
      <w:r>
        <w:rPr>
          <w:rStyle w:val="FootnoteReference"/>
        </w:rPr>
        <w:footnoteRef/>
      </w:r>
      <w:r>
        <w:t xml:space="preserve"> </w:t>
      </w:r>
      <w:r>
        <w:tab/>
        <w:t xml:space="preserve">El </w:t>
      </w:r>
      <w:proofErr w:type="spellStart"/>
      <w:r>
        <w:t>GoCR</w:t>
      </w:r>
      <w:proofErr w:type="spellEnd"/>
      <w:r>
        <w:t xml:space="preserve"> podría decidir salarios diferenciales para cada Paso de Frontera, lo cual tendría un impacto mínimo en los resultados del análisis financiero.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A9" w:rsidRDefault="007510A9" w:rsidP="00133C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0A9" w:rsidRDefault="00751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A9" w:rsidRDefault="007510A9" w:rsidP="00C867BA">
    <w:pPr>
      <w:pStyle w:val="Header"/>
      <w:tabs>
        <w:tab w:val="clear" w:pos="4320"/>
        <w:tab w:val="clear" w:pos="8640"/>
        <w:tab w:val="left" w:pos="404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A9" w:rsidRPr="00E733DF" w:rsidRDefault="007510A9" w:rsidP="00133CDE">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A9" w:rsidRPr="00B122EB" w:rsidRDefault="007510A9" w:rsidP="00B12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0095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AB7FC9"/>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nsid w:val="105E1285"/>
    <w:multiLevelType w:val="hybridMultilevel"/>
    <w:tmpl w:val="F272B72A"/>
    <w:lvl w:ilvl="0" w:tplc="0FF21F7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25D309A"/>
    <w:multiLevelType w:val="hybridMultilevel"/>
    <w:tmpl w:val="8B36FA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C07B9F"/>
    <w:multiLevelType w:val="multilevel"/>
    <w:tmpl w:val="6F604570"/>
    <w:lvl w:ilvl="0">
      <w:start w:val="1"/>
      <w:numFmt w:val="decimal"/>
      <w:lvlText w:val="%1."/>
      <w:lvlJc w:val="left"/>
      <w:pPr>
        <w:tabs>
          <w:tab w:val="num" w:pos="705"/>
        </w:tabs>
        <w:ind w:left="705" w:hanging="705"/>
      </w:pPr>
      <w:rPr>
        <w:rFonts w:hint="default"/>
        <w:sz w:val="24"/>
        <w:szCs w:val="24"/>
      </w:rPr>
    </w:lvl>
    <w:lvl w:ilvl="1">
      <w:start w:val="1"/>
      <w:numFmt w:val="decimal"/>
      <w:isLg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62833CA"/>
    <w:multiLevelType w:val="hybridMultilevel"/>
    <w:tmpl w:val="D4265F9C"/>
    <w:lvl w:ilvl="0" w:tplc="118C98C8">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6">
    <w:nsid w:val="19AB7565"/>
    <w:multiLevelType w:val="hybridMultilevel"/>
    <w:tmpl w:val="A522A90C"/>
    <w:lvl w:ilvl="0" w:tplc="33E42A50">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7">
    <w:nsid w:val="1BB5186E"/>
    <w:multiLevelType w:val="hybridMultilevel"/>
    <w:tmpl w:val="D9089748"/>
    <w:lvl w:ilvl="0" w:tplc="E15AC24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FD325B"/>
    <w:multiLevelType w:val="hybridMultilevel"/>
    <w:tmpl w:val="6CC0A170"/>
    <w:lvl w:ilvl="0" w:tplc="8D3E2EDE">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9">
    <w:nsid w:val="21741A53"/>
    <w:multiLevelType w:val="hybridMultilevel"/>
    <w:tmpl w:val="314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52CBD"/>
    <w:multiLevelType w:val="hybridMultilevel"/>
    <w:tmpl w:val="48DA3F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BD6C77"/>
    <w:multiLevelType w:val="hybridMultilevel"/>
    <w:tmpl w:val="C652E44C"/>
    <w:lvl w:ilvl="0" w:tplc="0DA2851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2D635CB0"/>
    <w:multiLevelType w:val="hybridMultilevel"/>
    <w:tmpl w:val="1E24B5D8"/>
    <w:lvl w:ilvl="0" w:tplc="143A6CB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D6C3106"/>
    <w:multiLevelType w:val="hybridMultilevel"/>
    <w:tmpl w:val="8444AB48"/>
    <w:lvl w:ilvl="0" w:tplc="769E1B40">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AE72C2"/>
    <w:multiLevelType w:val="hybridMultilevel"/>
    <w:tmpl w:val="A1C80D3C"/>
    <w:lvl w:ilvl="0" w:tplc="8D1E5CF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D60DF8"/>
    <w:multiLevelType w:val="hybridMultilevel"/>
    <w:tmpl w:val="22E27D8A"/>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3EBA1746"/>
    <w:multiLevelType w:val="hybridMultilevel"/>
    <w:tmpl w:val="824632F6"/>
    <w:lvl w:ilvl="0" w:tplc="BC34886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2A62DD2"/>
    <w:multiLevelType w:val="hybridMultilevel"/>
    <w:tmpl w:val="2D742AB8"/>
    <w:lvl w:ilvl="0" w:tplc="63CA9CAE">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18">
    <w:nsid w:val="43D924B0"/>
    <w:multiLevelType w:val="hybridMultilevel"/>
    <w:tmpl w:val="5DEA6288"/>
    <w:lvl w:ilvl="0" w:tplc="BC4091D6">
      <w:start w:val="1"/>
      <w:numFmt w:val="lowerLetter"/>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9">
    <w:nsid w:val="4B095BB8"/>
    <w:multiLevelType w:val="multilevel"/>
    <w:tmpl w:val="4CC6AA8C"/>
    <w:lvl w:ilvl="0">
      <w:start w:val="1"/>
      <w:numFmt w:val="decimal"/>
      <w:lvlText w:val="%1."/>
      <w:lvlJc w:val="left"/>
      <w:pPr>
        <w:ind w:left="720" w:hanging="360"/>
      </w:pPr>
      <w:rPr>
        <w:rFonts w:hint="default"/>
        <w:sz w:val="24"/>
        <w:szCs w:val="24"/>
      </w:rPr>
    </w:lvl>
    <w:lvl w:ilvl="1">
      <w:start w:val="1"/>
      <w:numFmt w:val="decimal"/>
      <w:isLgl/>
      <w:lvlText w:val="%1.%2"/>
      <w:lvlJc w:val="left"/>
      <w:pPr>
        <w:ind w:left="1068" w:hanging="708"/>
      </w:pPr>
      <w:rPr>
        <w:rFonts w:ascii="Times New Roman" w:hAnsi="Times New Roman" w:cs="Times New Roman" w:hint="default"/>
        <w:b w:val="0"/>
        <w:sz w:val="24"/>
        <w:szCs w:val="24"/>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B8313F2"/>
    <w:multiLevelType w:val="hybridMultilevel"/>
    <w:tmpl w:val="E68C0436"/>
    <w:lvl w:ilvl="0" w:tplc="53764B9A">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1">
    <w:nsid w:val="4D3C2D42"/>
    <w:multiLevelType w:val="hybridMultilevel"/>
    <w:tmpl w:val="EF16DA80"/>
    <w:lvl w:ilvl="0" w:tplc="01FC8306">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2">
    <w:nsid w:val="4D725FAD"/>
    <w:multiLevelType w:val="hybridMultilevel"/>
    <w:tmpl w:val="517C60F8"/>
    <w:lvl w:ilvl="0" w:tplc="FA8A0824">
      <w:start w:val="1"/>
      <w:numFmt w:val="bullet"/>
      <w:lvlText w:val=""/>
      <w:lvlJc w:val="left"/>
      <w:pPr>
        <w:ind w:left="720" w:hanging="360"/>
      </w:pPr>
      <w:rPr>
        <w:rFonts w:ascii="Wingdings 3" w:hAnsi="Wingdings 3" w:hint="default"/>
      </w:rPr>
    </w:lvl>
    <w:lvl w:ilvl="1" w:tplc="5BEE2CB2"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BE42D1"/>
    <w:multiLevelType w:val="hybridMultilevel"/>
    <w:tmpl w:val="82EAED06"/>
    <w:lvl w:ilvl="0" w:tplc="988255B6">
      <w:start w:val="1"/>
      <w:numFmt w:val="lowerLetter"/>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4">
    <w:nsid w:val="5CD06085"/>
    <w:multiLevelType w:val="hybridMultilevel"/>
    <w:tmpl w:val="AB3CCF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5A71782"/>
    <w:multiLevelType w:val="hybridMultilevel"/>
    <w:tmpl w:val="D0D64D7A"/>
    <w:lvl w:ilvl="0" w:tplc="5E847D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041F26"/>
    <w:multiLevelType w:val="hybridMultilevel"/>
    <w:tmpl w:val="8444AB48"/>
    <w:lvl w:ilvl="0" w:tplc="769E1B40">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AA93266"/>
    <w:multiLevelType w:val="hybridMultilevel"/>
    <w:tmpl w:val="582A98D0"/>
    <w:lvl w:ilvl="0" w:tplc="5B149F8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762A7CBE"/>
    <w:multiLevelType w:val="multilevel"/>
    <w:tmpl w:val="7E6A0DF6"/>
    <w:lvl w:ilvl="0">
      <w:start w:val="1"/>
      <w:numFmt w:val="decimal"/>
      <w:lvlText w:val="%1."/>
      <w:lvlJc w:val="left"/>
      <w:pPr>
        <w:tabs>
          <w:tab w:val="num" w:pos="705"/>
        </w:tabs>
        <w:ind w:left="705" w:hanging="705"/>
      </w:pPr>
      <w:rPr>
        <w:rFonts w:hint="default"/>
        <w:sz w:val="24"/>
        <w:szCs w:val="24"/>
      </w:rPr>
    </w:lvl>
    <w:lvl w:ilvl="1">
      <w:start w:val="1"/>
      <w:numFmt w:val="decimal"/>
      <w:isLg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793E04C8"/>
    <w:multiLevelType w:val="hybridMultilevel"/>
    <w:tmpl w:val="EC1C8BD6"/>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97A05FB"/>
    <w:multiLevelType w:val="multilevel"/>
    <w:tmpl w:val="4BA42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7"/>
  </w:num>
  <w:num w:numId="4">
    <w:abstractNumId w:val="20"/>
  </w:num>
  <w:num w:numId="5">
    <w:abstractNumId w:val="18"/>
  </w:num>
  <w:num w:numId="6">
    <w:abstractNumId w:val="23"/>
  </w:num>
  <w:num w:numId="7">
    <w:abstractNumId w:val="5"/>
  </w:num>
  <w:num w:numId="8">
    <w:abstractNumId w:val="0"/>
  </w:num>
  <w:num w:numId="9">
    <w:abstractNumId w:val="9"/>
  </w:num>
  <w:num w:numId="10">
    <w:abstractNumId w:val="21"/>
  </w:num>
  <w:num w:numId="11">
    <w:abstractNumId w:val="15"/>
  </w:num>
  <w:num w:numId="12">
    <w:abstractNumId w:val="19"/>
  </w:num>
  <w:num w:numId="13">
    <w:abstractNumId w:val="6"/>
  </w:num>
  <w:num w:numId="14">
    <w:abstractNumId w:val="8"/>
  </w:num>
  <w:num w:numId="15">
    <w:abstractNumId w:val="28"/>
  </w:num>
  <w:num w:numId="16">
    <w:abstractNumId w:val="27"/>
  </w:num>
  <w:num w:numId="17">
    <w:abstractNumId w:val="30"/>
  </w:num>
  <w:num w:numId="18">
    <w:abstractNumId w:val="2"/>
  </w:num>
  <w:num w:numId="19">
    <w:abstractNumId w:val="10"/>
  </w:num>
  <w:num w:numId="20">
    <w:abstractNumId w:val="7"/>
  </w:num>
  <w:num w:numId="21">
    <w:abstractNumId w:val="3"/>
  </w:num>
  <w:num w:numId="22">
    <w:abstractNumId w:val="1"/>
  </w:num>
  <w:num w:numId="23">
    <w:abstractNumId w:val="29"/>
  </w:num>
  <w:num w:numId="24">
    <w:abstractNumId w:val="22"/>
  </w:num>
  <w:num w:numId="25">
    <w:abstractNumId w:val="24"/>
  </w:num>
  <w:num w:numId="26">
    <w:abstractNumId w:val="11"/>
  </w:num>
  <w:num w:numId="27">
    <w:abstractNumId w:val="26"/>
  </w:num>
  <w:num w:numId="28">
    <w:abstractNumId w:val="13"/>
  </w:num>
  <w:num w:numId="29">
    <w:abstractNumId w:val="25"/>
  </w:num>
  <w:num w:numId="30">
    <w:abstractNumId w:val="16"/>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9D"/>
    <w:rsid w:val="000013D5"/>
    <w:rsid w:val="00004BB0"/>
    <w:rsid w:val="00004E48"/>
    <w:rsid w:val="000066C2"/>
    <w:rsid w:val="000074D5"/>
    <w:rsid w:val="00010060"/>
    <w:rsid w:val="00010845"/>
    <w:rsid w:val="00010E29"/>
    <w:rsid w:val="0001159C"/>
    <w:rsid w:val="00011D8F"/>
    <w:rsid w:val="0001331E"/>
    <w:rsid w:val="00015A85"/>
    <w:rsid w:val="0001661C"/>
    <w:rsid w:val="00017BD5"/>
    <w:rsid w:val="00020460"/>
    <w:rsid w:val="00021326"/>
    <w:rsid w:val="0002287C"/>
    <w:rsid w:val="00024BBB"/>
    <w:rsid w:val="00025123"/>
    <w:rsid w:val="00025F87"/>
    <w:rsid w:val="0002729D"/>
    <w:rsid w:val="000276AF"/>
    <w:rsid w:val="00027A69"/>
    <w:rsid w:val="00027E1E"/>
    <w:rsid w:val="00030F26"/>
    <w:rsid w:val="000314EC"/>
    <w:rsid w:val="0003154C"/>
    <w:rsid w:val="00031B7B"/>
    <w:rsid w:val="00033278"/>
    <w:rsid w:val="00034441"/>
    <w:rsid w:val="00034825"/>
    <w:rsid w:val="00035EB4"/>
    <w:rsid w:val="0003646F"/>
    <w:rsid w:val="0003695C"/>
    <w:rsid w:val="00036FEF"/>
    <w:rsid w:val="00037770"/>
    <w:rsid w:val="000403B5"/>
    <w:rsid w:val="00044327"/>
    <w:rsid w:val="000445C4"/>
    <w:rsid w:val="00045D33"/>
    <w:rsid w:val="00045EBF"/>
    <w:rsid w:val="00046225"/>
    <w:rsid w:val="00046610"/>
    <w:rsid w:val="00046A62"/>
    <w:rsid w:val="000529E4"/>
    <w:rsid w:val="00055853"/>
    <w:rsid w:val="0006088F"/>
    <w:rsid w:val="000610BF"/>
    <w:rsid w:val="0006140E"/>
    <w:rsid w:val="00061FA9"/>
    <w:rsid w:val="00064C1A"/>
    <w:rsid w:val="00066F64"/>
    <w:rsid w:val="000741C1"/>
    <w:rsid w:val="00074A5B"/>
    <w:rsid w:val="000759F9"/>
    <w:rsid w:val="00075A35"/>
    <w:rsid w:val="0007682A"/>
    <w:rsid w:val="000813E5"/>
    <w:rsid w:val="00081976"/>
    <w:rsid w:val="00082FC3"/>
    <w:rsid w:val="0008320B"/>
    <w:rsid w:val="00083CAD"/>
    <w:rsid w:val="000843EB"/>
    <w:rsid w:val="00084A4E"/>
    <w:rsid w:val="00084C20"/>
    <w:rsid w:val="00086D29"/>
    <w:rsid w:val="0008734A"/>
    <w:rsid w:val="00090609"/>
    <w:rsid w:val="00091D1D"/>
    <w:rsid w:val="0009227A"/>
    <w:rsid w:val="000927DB"/>
    <w:rsid w:val="0009337E"/>
    <w:rsid w:val="000933A2"/>
    <w:rsid w:val="00095163"/>
    <w:rsid w:val="000A0343"/>
    <w:rsid w:val="000A3543"/>
    <w:rsid w:val="000A3DEA"/>
    <w:rsid w:val="000A4A14"/>
    <w:rsid w:val="000A5F60"/>
    <w:rsid w:val="000A677B"/>
    <w:rsid w:val="000A68E0"/>
    <w:rsid w:val="000A77E4"/>
    <w:rsid w:val="000A7A8A"/>
    <w:rsid w:val="000B08D4"/>
    <w:rsid w:val="000B133A"/>
    <w:rsid w:val="000B14C8"/>
    <w:rsid w:val="000B2B26"/>
    <w:rsid w:val="000B3089"/>
    <w:rsid w:val="000B39D5"/>
    <w:rsid w:val="000B459F"/>
    <w:rsid w:val="000B47B2"/>
    <w:rsid w:val="000B640F"/>
    <w:rsid w:val="000B748E"/>
    <w:rsid w:val="000C0623"/>
    <w:rsid w:val="000C17A2"/>
    <w:rsid w:val="000C240A"/>
    <w:rsid w:val="000C2DDB"/>
    <w:rsid w:val="000C3AC2"/>
    <w:rsid w:val="000C4141"/>
    <w:rsid w:val="000C44D1"/>
    <w:rsid w:val="000C4E99"/>
    <w:rsid w:val="000C50FD"/>
    <w:rsid w:val="000C5CF1"/>
    <w:rsid w:val="000C725C"/>
    <w:rsid w:val="000D027B"/>
    <w:rsid w:val="000D057A"/>
    <w:rsid w:val="000D1A1E"/>
    <w:rsid w:val="000D61E4"/>
    <w:rsid w:val="000D6973"/>
    <w:rsid w:val="000D6A0A"/>
    <w:rsid w:val="000D6EA4"/>
    <w:rsid w:val="000D7391"/>
    <w:rsid w:val="000E0F87"/>
    <w:rsid w:val="000E3A9C"/>
    <w:rsid w:val="000E419E"/>
    <w:rsid w:val="000E51EF"/>
    <w:rsid w:val="000E5869"/>
    <w:rsid w:val="000E5A9C"/>
    <w:rsid w:val="000E5F91"/>
    <w:rsid w:val="000E64C8"/>
    <w:rsid w:val="000E70B6"/>
    <w:rsid w:val="000E7A9E"/>
    <w:rsid w:val="000F082D"/>
    <w:rsid w:val="000F0C37"/>
    <w:rsid w:val="000F1B26"/>
    <w:rsid w:val="000F24A7"/>
    <w:rsid w:val="000F376C"/>
    <w:rsid w:val="000F4023"/>
    <w:rsid w:val="000F4110"/>
    <w:rsid w:val="000F5769"/>
    <w:rsid w:val="000F7F38"/>
    <w:rsid w:val="0010165A"/>
    <w:rsid w:val="00102E7F"/>
    <w:rsid w:val="0010308A"/>
    <w:rsid w:val="00104623"/>
    <w:rsid w:val="001047A7"/>
    <w:rsid w:val="0010577B"/>
    <w:rsid w:val="0010600A"/>
    <w:rsid w:val="00106F8D"/>
    <w:rsid w:val="0011095F"/>
    <w:rsid w:val="0011205B"/>
    <w:rsid w:val="00115EBF"/>
    <w:rsid w:val="0011718B"/>
    <w:rsid w:val="0011797F"/>
    <w:rsid w:val="00117E45"/>
    <w:rsid w:val="00122932"/>
    <w:rsid w:val="001230C9"/>
    <w:rsid w:val="00123EAC"/>
    <w:rsid w:val="0012644B"/>
    <w:rsid w:val="001276D0"/>
    <w:rsid w:val="001315FF"/>
    <w:rsid w:val="001324DF"/>
    <w:rsid w:val="001325D1"/>
    <w:rsid w:val="00133CDE"/>
    <w:rsid w:val="00134704"/>
    <w:rsid w:val="00134777"/>
    <w:rsid w:val="00135251"/>
    <w:rsid w:val="00135D58"/>
    <w:rsid w:val="00136C53"/>
    <w:rsid w:val="001377A0"/>
    <w:rsid w:val="001407A3"/>
    <w:rsid w:val="00140DDF"/>
    <w:rsid w:val="001435E0"/>
    <w:rsid w:val="0014499F"/>
    <w:rsid w:val="00145F28"/>
    <w:rsid w:val="00146CAA"/>
    <w:rsid w:val="00150F72"/>
    <w:rsid w:val="001514B3"/>
    <w:rsid w:val="00151F12"/>
    <w:rsid w:val="00153B95"/>
    <w:rsid w:val="00155383"/>
    <w:rsid w:val="00155F13"/>
    <w:rsid w:val="001576AB"/>
    <w:rsid w:val="00161A7E"/>
    <w:rsid w:val="00163EDF"/>
    <w:rsid w:val="00164470"/>
    <w:rsid w:val="001667D4"/>
    <w:rsid w:val="001668F1"/>
    <w:rsid w:val="00166D6D"/>
    <w:rsid w:val="0017149F"/>
    <w:rsid w:val="00173734"/>
    <w:rsid w:val="0017381F"/>
    <w:rsid w:val="00173F5D"/>
    <w:rsid w:val="00175714"/>
    <w:rsid w:val="00176ABA"/>
    <w:rsid w:val="00177F27"/>
    <w:rsid w:val="00182F21"/>
    <w:rsid w:val="0018315E"/>
    <w:rsid w:val="00183EAA"/>
    <w:rsid w:val="001840B4"/>
    <w:rsid w:val="001850BC"/>
    <w:rsid w:val="001853C9"/>
    <w:rsid w:val="00186139"/>
    <w:rsid w:val="00192759"/>
    <w:rsid w:val="00192B15"/>
    <w:rsid w:val="001945E9"/>
    <w:rsid w:val="0019618A"/>
    <w:rsid w:val="0019772D"/>
    <w:rsid w:val="001A0387"/>
    <w:rsid w:val="001A03AA"/>
    <w:rsid w:val="001A0525"/>
    <w:rsid w:val="001A0EFE"/>
    <w:rsid w:val="001A1E8F"/>
    <w:rsid w:val="001A2601"/>
    <w:rsid w:val="001A29BF"/>
    <w:rsid w:val="001A5363"/>
    <w:rsid w:val="001A6605"/>
    <w:rsid w:val="001B1B4F"/>
    <w:rsid w:val="001B1C13"/>
    <w:rsid w:val="001B1CD2"/>
    <w:rsid w:val="001B1CF2"/>
    <w:rsid w:val="001B2FCE"/>
    <w:rsid w:val="001B310C"/>
    <w:rsid w:val="001B34A5"/>
    <w:rsid w:val="001B406B"/>
    <w:rsid w:val="001B408B"/>
    <w:rsid w:val="001B50A6"/>
    <w:rsid w:val="001B5298"/>
    <w:rsid w:val="001B643E"/>
    <w:rsid w:val="001B6847"/>
    <w:rsid w:val="001B6E9D"/>
    <w:rsid w:val="001B7F4A"/>
    <w:rsid w:val="001C18C4"/>
    <w:rsid w:val="001C6D5F"/>
    <w:rsid w:val="001C6F79"/>
    <w:rsid w:val="001C74E3"/>
    <w:rsid w:val="001D1F39"/>
    <w:rsid w:val="001D7EFE"/>
    <w:rsid w:val="001E099A"/>
    <w:rsid w:val="001E0E17"/>
    <w:rsid w:val="001E3100"/>
    <w:rsid w:val="001E4C1B"/>
    <w:rsid w:val="001E4C3B"/>
    <w:rsid w:val="001E5767"/>
    <w:rsid w:val="001E71C0"/>
    <w:rsid w:val="001F1965"/>
    <w:rsid w:val="001F3A3C"/>
    <w:rsid w:val="001F48C0"/>
    <w:rsid w:val="001F4BE7"/>
    <w:rsid w:val="001F58DA"/>
    <w:rsid w:val="001F5C13"/>
    <w:rsid w:val="001F66D7"/>
    <w:rsid w:val="001F6B57"/>
    <w:rsid w:val="0020221E"/>
    <w:rsid w:val="0020563B"/>
    <w:rsid w:val="0020597A"/>
    <w:rsid w:val="002072FD"/>
    <w:rsid w:val="00207664"/>
    <w:rsid w:val="00210778"/>
    <w:rsid w:val="00210D40"/>
    <w:rsid w:val="0021123F"/>
    <w:rsid w:val="002122AF"/>
    <w:rsid w:val="002141BB"/>
    <w:rsid w:val="002145B2"/>
    <w:rsid w:val="00214678"/>
    <w:rsid w:val="00215198"/>
    <w:rsid w:val="0021591B"/>
    <w:rsid w:val="00215C03"/>
    <w:rsid w:val="00220C05"/>
    <w:rsid w:val="00221B5C"/>
    <w:rsid w:val="00223852"/>
    <w:rsid w:val="00223F7F"/>
    <w:rsid w:val="002240D7"/>
    <w:rsid w:val="00225A4F"/>
    <w:rsid w:val="002260FB"/>
    <w:rsid w:val="00227489"/>
    <w:rsid w:val="0022750B"/>
    <w:rsid w:val="00227F0F"/>
    <w:rsid w:val="00231270"/>
    <w:rsid w:val="00232C77"/>
    <w:rsid w:val="00232C7C"/>
    <w:rsid w:val="002330DC"/>
    <w:rsid w:val="00233384"/>
    <w:rsid w:val="0023374B"/>
    <w:rsid w:val="002346B0"/>
    <w:rsid w:val="0023597C"/>
    <w:rsid w:val="00237A40"/>
    <w:rsid w:val="00241A1F"/>
    <w:rsid w:val="00241B24"/>
    <w:rsid w:val="00243202"/>
    <w:rsid w:val="002434B7"/>
    <w:rsid w:val="0024721B"/>
    <w:rsid w:val="00250D30"/>
    <w:rsid w:val="00252255"/>
    <w:rsid w:val="00253086"/>
    <w:rsid w:val="00253C2C"/>
    <w:rsid w:val="0025447C"/>
    <w:rsid w:val="002544CC"/>
    <w:rsid w:val="00255A56"/>
    <w:rsid w:val="00260A92"/>
    <w:rsid w:val="00264420"/>
    <w:rsid w:val="00265FF5"/>
    <w:rsid w:val="002711F7"/>
    <w:rsid w:val="00273C4D"/>
    <w:rsid w:val="002743B4"/>
    <w:rsid w:val="0027671D"/>
    <w:rsid w:val="002817A8"/>
    <w:rsid w:val="00284FA9"/>
    <w:rsid w:val="00285103"/>
    <w:rsid w:val="00287770"/>
    <w:rsid w:val="00287B53"/>
    <w:rsid w:val="00287CCD"/>
    <w:rsid w:val="00287EA0"/>
    <w:rsid w:val="00290FD6"/>
    <w:rsid w:val="00291C08"/>
    <w:rsid w:val="0029325D"/>
    <w:rsid w:val="00293324"/>
    <w:rsid w:val="00294D73"/>
    <w:rsid w:val="00296D26"/>
    <w:rsid w:val="00297064"/>
    <w:rsid w:val="002A0A9E"/>
    <w:rsid w:val="002A1910"/>
    <w:rsid w:val="002A1C43"/>
    <w:rsid w:val="002A2EED"/>
    <w:rsid w:val="002A3EAD"/>
    <w:rsid w:val="002A5583"/>
    <w:rsid w:val="002A62F3"/>
    <w:rsid w:val="002A64CB"/>
    <w:rsid w:val="002A70EA"/>
    <w:rsid w:val="002A74B9"/>
    <w:rsid w:val="002A7E92"/>
    <w:rsid w:val="002A7F11"/>
    <w:rsid w:val="002B1F05"/>
    <w:rsid w:val="002B23B8"/>
    <w:rsid w:val="002B2565"/>
    <w:rsid w:val="002B262D"/>
    <w:rsid w:val="002B266F"/>
    <w:rsid w:val="002B53AD"/>
    <w:rsid w:val="002B64C3"/>
    <w:rsid w:val="002B6FAB"/>
    <w:rsid w:val="002C14C0"/>
    <w:rsid w:val="002C3423"/>
    <w:rsid w:val="002C433C"/>
    <w:rsid w:val="002C4946"/>
    <w:rsid w:val="002C64E2"/>
    <w:rsid w:val="002C6645"/>
    <w:rsid w:val="002C6D85"/>
    <w:rsid w:val="002C6ECB"/>
    <w:rsid w:val="002C7110"/>
    <w:rsid w:val="002C7CAD"/>
    <w:rsid w:val="002D080B"/>
    <w:rsid w:val="002D68E6"/>
    <w:rsid w:val="002E125B"/>
    <w:rsid w:val="002E3264"/>
    <w:rsid w:val="002E3E5D"/>
    <w:rsid w:val="002E5BC2"/>
    <w:rsid w:val="002E5F18"/>
    <w:rsid w:val="002E79C0"/>
    <w:rsid w:val="002F0B63"/>
    <w:rsid w:val="002F1D02"/>
    <w:rsid w:val="002F2731"/>
    <w:rsid w:val="002F2B65"/>
    <w:rsid w:val="002F2E1F"/>
    <w:rsid w:val="002F3BED"/>
    <w:rsid w:val="002F54EC"/>
    <w:rsid w:val="002F5A03"/>
    <w:rsid w:val="002F5A40"/>
    <w:rsid w:val="002F758F"/>
    <w:rsid w:val="002F7DAC"/>
    <w:rsid w:val="0030075C"/>
    <w:rsid w:val="003026AC"/>
    <w:rsid w:val="00303C03"/>
    <w:rsid w:val="00304E0D"/>
    <w:rsid w:val="00310C3F"/>
    <w:rsid w:val="00311AAD"/>
    <w:rsid w:val="00312472"/>
    <w:rsid w:val="0031299E"/>
    <w:rsid w:val="00312B26"/>
    <w:rsid w:val="0031337D"/>
    <w:rsid w:val="003145BE"/>
    <w:rsid w:val="0031572B"/>
    <w:rsid w:val="00315776"/>
    <w:rsid w:val="003161BD"/>
    <w:rsid w:val="00316757"/>
    <w:rsid w:val="003168E3"/>
    <w:rsid w:val="003204D5"/>
    <w:rsid w:val="00322CC9"/>
    <w:rsid w:val="0032337F"/>
    <w:rsid w:val="003238BA"/>
    <w:rsid w:val="00324200"/>
    <w:rsid w:val="003263D3"/>
    <w:rsid w:val="00327D26"/>
    <w:rsid w:val="00327D54"/>
    <w:rsid w:val="003313FF"/>
    <w:rsid w:val="00331A46"/>
    <w:rsid w:val="00332E12"/>
    <w:rsid w:val="00333393"/>
    <w:rsid w:val="00333E1A"/>
    <w:rsid w:val="003407CB"/>
    <w:rsid w:val="00342055"/>
    <w:rsid w:val="00342573"/>
    <w:rsid w:val="003433FE"/>
    <w:rsid w:val="00344C8F"/>
    <w:rsid w:val="00345541"/>
    <w:rsid w:val="00346DBC"/>
    <w:rsid w:val="00347D8B"/>
    <w:rsid w:val="00350C43"/>
    <w:rsid w:val="00351D10"/>
    <w:rsid w:val="00352F00"/>
    <w:rsid w:val="003555C3"/>
    <w:rsid w:val="003571A0"/>
    <w:rsid w:val="00357B1D"/>
    <w:rsid w:val="00361D92"/>
    <w:rsid w:val="00361E4C"/>
    <w:rsid w:val="00361F34"/>
    <w:rsid w:val="0036426D"/>
    <w:rsid w:val="003643D9"/>
    <w:rsid w:val="00364DE7"/>
    <w:rsid w:val="0037134C"/>
    <w:rsid w:val="003725F3"/>
    <w:rsid w:val="003769F5"/>
    <w:rsid w:val="0037772D"/>
    <w:rsid w:val="00377AA8"/>
    <w:rsid w:val="00377D61"/>
    <w:rsid w:val="003807C9"/>
    <w:rsid w:val="00381BE3"/>
    <w:rsid w:val="00384998"/>
    <w:rsid w:val="0038575C"/>
    <w:rsid w:val="00385A24"/>
    <w:rsid w:val="00385D83"/>
    <w:rsid w:val="003865FE"/>
    <w:rsid w:val="00390DD3"/>
    <w:rsid w:val="003924BB"/>
    <w:rsid w:val="00392B01"/>
    <w:rsid w:val="00393325"/>
    <w:rsid w:val="003940A1"/>
    <w:rsid w:val="00394BAD"/>
    <w:rsid w:val="003956A4"/>
    <w:rsid w:val="00395F84"/>
    <w:rsid w:val="003A13B9"/>
    <w:rsid w:val="003A1A32"/>
    <w:rsid w:val="003A4A23"/>
    <w:rsid w:val="003A5B78"/>
    <w:rsid w:val="003A7C72"/>
    <w:rsid w:val="003B0BF3"/>
    <w:rsid w:val="003B0DBD"/>
    <w:rsid w:val="003B1EE9"/>
    <w:rsid w:val="003B2329"/>
    <w:rsid w:val="003B4A81"/>
    <w:rsid w:val="003B584B"/>
    <w:rsid w:val="003B7464"/>
    <w:rsid w:val="003C063D"/>
    <w:rsid w:val="003C26CA"/>
    <w:rsid w:val="003C3C64"/>
    <w:rsid w:val="003C6D1B"/>
    <w:rsid w:val="003C721A"/>
    <w:rsid w:val="003C78C3"/>
    <w:rsid w:val="003C7B75"/>
    <w:rsid w:val="003C7C04"/>
    <w:rsid w:val="003D0481"/>
    <w:rsid w:val="003D1371"/>
    <w:rsid w:val="003D1377"/>
    <w:rsid w:val="003D17D9"/>
    <w:rsid w:val="003D1987"/>
    <w:rsid w:val="003D1E82"/>
    <w:rsid w:val="003D2C8C"/>
    <w:rsid w:val="003D2EC8"/>
    <w:rsid w:val="003D4267"/>
    <w:rsid w:val="003D50AB"/>
    <w:rsid w:val="003D5A8A"/>
    <w:rsid w:val="003D64AD"/>
    <w:rsid w:val="003D7291"/>
    <w:rsid w:val="003E018E"/>
    <w:rsid w:val="003E2568"/>
    <w:rsid w:val="003E2E44"/>
    <w:rsid w:val="003E3672"/>
    <w:rsid w:val="003E3D49"/>
    <w:rsid w:val="003E4283"/>
    <w:rsid w:val="003E490A"/>
    <w:rsid w:val="003E5BFD"/>
    <w:rsid w:val="003E6AFC"/>
    <w:rsid w:val="003F063F"/>
    <w:rsid w:val="003F1060"/>
    <w:rsid w:val="003F1E71"/>
    <w:rsid w:val="003F2E2C"/>
    <w:rsid w:val="003F306A"/>
    <w:rsid w:val="003F479A"/>
    <w:rsid w:val="003F5FD1"/>
    <w:rsid w:val="003F73BA"/>
    <w:rsid w:val="003F7716"/>
    <w:rsid w:val="003F7B73"/>
    <w:rsid w:val="004012CD"/>
    <w:rsid w:val="00401591"/>
    <w:rsid w:val="00402EC4"/>
    <w:rsid w:val="00403A96"/>
    <w:rsid w:val="00404691"/>
    <w:rsid w:val="00406052"/>
    <w:rsid w:val="00406E63"/>
    <w:rsid w:val="0040711B"/>
    <w:rsid w:val="00407470"/>
    <w:rsid w:val="00407B13"/>
    <w:rsid w:val="004107F3"/>
    <w:rsid w:val="00410940"/>
    <w:rsid w:val="00410BD3"/>
    <w:rsid w:val="00410E56"/>
    <w:rsid w:val="00411242"/>
    <w:rsid w:val="00411377"/>
    <w:rsid w:val="00412461"/>
    <w:rsid w:val="0041415D"/>
    <w:rsid w:val="004147FC"/>
    <w:rsid w:val="00414860"/>
    <w:rsid w:val="00414D08"/>
    <w:rsid w:val="00415507"/>
    <w:rsid w:val="00415544"/>
    <w:rsid w:val="004155ED"/>
    <w:rsid w:val="00415751"/>
    <w:rsid w:val="00415DB0"/>
    <w:rsid w:val="004163AB"/>
    <w:rsid w:val="0041691E"/>
    <w:rsid w:val="00417BDC"/>
    <w:rsid w:val="0042129D"/>
    <w:rsid w:val="00421775"/>
    <w:rsid w:val="00423BC3"/>
    <w:rsid w:val="0042418D"/>
    <w:rsid w:val="004243A7"/>
    <w:rsid w:val="00425A0D"/>
    <w:rsid w:val="00425D11"/>
    <w:rsid w:val="00432627"/>
    <w:rsid w:val="0043265B"/>
    <w:rsid w:val="004327E8"/>
    <w:rsid w:val="00433291"/>
    <w:rsid w:val="00433EB2"/>
    <w:rsid w:val="004343A9"/>
    <w:rsid w:val="00434BD6"/>
    <w:rsid w:val="0043512F"/>
    <w:rsid w:val="004370BC"/>
    <w:rsid w:val="00437A0B"/>
    <w:rsid w:val="00440E62"/>
    <w:rsid w:val="004411BE"/>
    <w:rsid w:val="00441471"/>
    <w:rsid w:val="0044164B"/>
    <w:rsid w:val="004417D1"/>
    <w:rsid w:val="004423B6"/>
    <w:rsid w:val="00442A79"/>
    <w:rsid w:val="00443D92"/>
    <w:rsid w:val="00444801"/>
    <w:rsid w:val="00444B32"/>
    <w:rsid w:val="00444E9E"/>
    <w:rsid w:val="004459E4"/>
    <w:rsid w:val="00446E31"/>
    <w:rsid w:val="00450135"/>
    <w:rsid w:val="0045067C"/>
    <w:rsid w:val="0045067F"/>
    <w:rsid w:val="00451FED"/>
    <w:rsid w:val="0045347E"/>
    <w:rsid w:val="0045405F"/>
    <w:rsid w:val="004543CD"/>
    <w:rsid w:val="004544F9"/>
    <w:rsid w:val="00454619"/>
    <w:rsid w:val="0045506A"/>
    <w:rsid w:val="00456796"/>
    <w:rsid w:val="00457307"/>
    <w:rsid w:val="00457E82"/>
    <w:rsid w:val="0046086D"/>
    <w:rsid w:val="00464E13"/>
    <w:rsid w:val="00467C97"/>
    <w:rsid w:val="004715D8"/>
    <w:rsid w:val="00471653"/>
    <w:rsid w:val="00471947"/>
    <w:rsid w:val="004719E3"/>
    <w:rsid w:val="00471A59"/>
    <w:rsid w:val="004723B2"/>
    <w:rsid w:val="00472FAE"/>
    <w:rsid w:val="00476332"/>
    <w:rsid w:val="00476FF0"/>
    <w:rsid w:val="004777B6"/>
    <w:rsid w:val="0048101E"/>
    <w:rsid w:val="00481103"/>
    <w:rsid w:val="0048218A"/>
    <w:rsid w:val="00482E1D"/>
    <w:rsid w:val="0048520B"/>
    <w:rsid w:val="0048602B"/>
    <w:rsid w:val="00486A9E"/>
    <w:rsid w:val="00486D91"/>
    <w:rsid w:val="0048749D"/>
    <w:rsid w:val="00487940"/>
    <w:rsid w:val="00490464"/>
    <w:rsid w:val="00490866"/>
    <w:rsid w:val="00490E25"/>
    <w:rsid w:val="00493244"/>
    <w:rsid w:val="00497A1B"/>
    <w:rsid w:val="004A0414"/>
    <w:rsid w:val="004A22EB"/>
    <w:rsid w:val="004A45CF"/>
    <w:rsid w:val="004A51D3"/>
    <w:rsid w:val="004B01EB"/>
    <w:rsid w:val="004B034B"/>
    <w:rsid w:val="004B0642"/>
    <w:rsid w:val="004B1E6B"/>
    <w:rsid w:val="004B3AD2"/>
    <w:rsid w:val="004B3E7A"/>
    <w:rsid w:val="004B3FD2"/>
    <w:rsid w:val="004B4790"/>
    <w:rsid w:val="004B49DA"/>
    <w:rsid w:val="004B4F3F"/>
    <w:rsid w:val="004B6824"/>
    <w:rsid w:val="004B697D"/>
    <w:rsid w:val="004B7D05"/>
    <w:rsid w:val="004C23D8"/>
    <w:rsid w:val="004C5F4B"/>
    <w:rsid w:val="004C5F8E"/>
    <w:rsid w:val="004C62A5"/>
    <w:rsid w:val="004C7651"/>
    <w:rsid w:val="004C7B0A"/>
    <w:rsid w:val="004D37F5"/>
    <w:rsid w:val="004D3A22"/>
    <w:rsid w:val="004D5697"/>
    <w:rsid w:val="004D735B"/>
    <w:rsid w:val="004E197C"/>
    <w:rsid w:val="004E2171"/>
    <w:rsid w:val="004E219A"/>
    <w:rsid w:val="004E2803"/>
    <w:rsid w:val="004E31A3"/>
    <w:rsid w:val="004E4397"/>
    <w:rsid w:val="004E689C"/>
    <w:rsid w:val="004E7386"/>
    <w:rsid w:val="004F0D38"/>
    <w:rsid w:val="004F1C8B"/>
    <w:rsid w:val="004F1D9A"/>
    <w:rsid w:val="004F294B"/>
    <w:rsid w:val="004F2B3F"/>
    <w:rsid w:val="004F2B42"/>
    <w:rsid w:val="004F5616"/>
    <w:rsid w:val="004F5744"/>
    <w:rsid w:val="004F5C0F"/>
    <w:rsid w:val="005057B9"/>
    <w:rsid w:val="0051267B"/>
    <w:rsid w:val="00512D8B"/>
    <w:rsid w:val="005135BF"/>
    <w:rsid w:val="0051389F"/>
    <w:rsid w:val="005142A6"/>
    <w:rsid w:val="00515755"/>
    <w:rsid w:val="0052167F"/>
    <w:rsid w:val="00523300"/>
    <w:rsid w:val="0052425D"/>
    <w:rsid w:val="005257DE"/>
    <w:rsid w:val="00525929"/>
    <w:rsid w:val="0052646F"/>
    <w:rsid w:val="005266B2"/>
    <w:rsid w:val="005303D2"/>
    <w:rsid w:val="005319FE"/>
    <w:rsid w:val="00531D16"/>
    <w:rsid w:val="00533E6E"/>
    <w:rsid w:val="00535C40"/>
    <w:rsid w:val="00536D36"/>
    <w:rsid w:val="005376EF"/>
    <w:rsid w:val="00537986"/>
    <w:rsid w:val="00541DA2"/>
    <w:rsid w:val="00541E93"/>
    <w:rsid w:val="0054288E"/>
    <w:rsid w:val="00544882"/>
    <w:rsid w:val="00545063"/>
    <w:rsid w:val="00545DAB"/>
    <w:rsid w:val="0054639E"/>
    <w:rsid w:val="0054654C"/>
    <w:rsid w:val="00546625"/>
    <w:rsid w:val="00546F2A"/>
    <w:rsid w:val="00546FA7"/>
    <w:rsid w:val="0054772E"/>
    <w:rsid w:val="00547B1C"/>
    <w:rsid w:val="00550F2D"/>
    <w:rsid w:val="00551D3E"/>
    <w:rsid w:val="00551E20"/>
    <w:rsid w:val="00551FF1"/>
    <w:rsid w:val="00552A63"/>
    <w:rsid w:val="005541F3"/>
    <w:rsid w:val="005549C6"/>
    <w:rsid w:val="00554A95"/>
    <w:rsid w:val="00555166"/>
    <w:rsid w:val="00555F07"/>
    <w:rsid w:val="00556893"/>
    <w:rsid w:val="00556D69"/>
    <w:rsid w:val="00557053"/>
    <w:rsid w:val="00560246"/>
    <w:rsid w:val="00562520"/>
    <w:rsid w:val="00565723"/>
    <w:rsid w:val="005659DD"/>
    <w:rsid w:val="005701DC"/>
    <w:rsid w:val="0057081D"/>
    <w:rsid w:val="0057160A"/>
    <w:rsid w:val="00572046"/>
    <w:rsid w:val="00573E03"/>
    <w:rsid w:val="005745B7"/>
    <w:rsid w:val="00574D3D"/>
    <w:rsid w:val="0057670C"/>
    <w:rsid w:val="00580E67"/>
    <w:rsid w:val="005819D8"/>
    <w:rsid w:val="0058363E"/>
    <w:rsid w:val="00585A8D"/>
    <w:rsid w:val="00586ABC"/>
    <w:rsid w:val="00587680"/>
    <w:rsid w:val="0059078D"/>
    <w:rsid w:val="0059095C"/>
    <w:rsid w:val="00590D7F"/>
    <w:rsid w:val="0059102C"/>
    <w:rsid w:val="00591848"/>
    <w:rsid w:val="005918D8"/>
    <w:rsid w:val="00591987"/>
    <w:rsid w:val="00595365"/>
    <w:rsid w:val="00595A49"/>
    <w:rsid w:val="00595CFA"/>
    <w:rsid w:val="00597A4B"/>
    <w:rsid w:val="005A12C8"/>
    <w:rsid w:val="005A1C50"/>
    <w:rsid w:val="005A2021"/>
    <w:rsid w:val="005A2B32"/>
    <w:rsid w:val="005A2BA8"/>
    <w:rsid w:val="005A33DA"/>
    <w:rsid w:val="005A7702"/>
    <w:rsid w:val="005A7A82"/>
    <w:rsid w:val="005B1F8D"/>
    <w:rsid w:val="005B3999"/>
    <w:rsid w:val="005B6358"/>
    <w:rsid w:val="005B64CD"/>
    <w:rsid w:val="005B77D9"/>
    <w:rsid w:val="005B7BA6"/>
    <w:rsid w:val="005C00E5"/>
    <w:rsid w:val="005C27FA"/>
    <w:rsid w:val="005C3FF0"/>
    <w:rsid w:val="005C55D7"/>
    <w:rsid w:val="005C5B89"/>
    <w:rsid w:val="005C5F57"/>
    <w:rsid w:val="005C6308"/>
    <w:rsid w:val="005C7CE1"/>
    <w:rsid w:val="005D133D"/>
    <w:rsid w:val="005D23EB"/>
    <w:rsid w:val="005D3259"/>
    <w:rsid w:val="005D3BEA"/>
    <w:rsid w:val="005D598A"/>
    <w:rsid w:val="005D5AD4"/>
    <w:rsid w:val="005D5DA2"/>
    <w:rsid w:val="005D5DB9"/>
    <w:rsid w:val="005D6F06"/>
    <w:rsid w:val="005D6F0D"/>
    <w:rsid w:val="005D70E6"/>
    <w:rsid w:val="005E348E"/>
    <w:rsid w:val="005E3A0D"/>
    <w:rsid w:val="005E5993"/>
    <w:rsid w:val="005E59F8"/>
    <w:rsid w:val="005E6242"/>
    <w:rsid w:val="005E7EA1"/>
    <w:rsid w:val="005F0BFB"/>
    <w:rsid w:val="005F2E79"/>
    <w:rsid w:val="005F2F21"/>
    <w:rsid w:val="005F404C"/>
    <w:rsid w:val="005F73BE"/>
    <w:rsid w:val="0060029E"/>
    <w:rsid w:val="00602059"/>
    <w:rsid w:val="006023F7"/>
    <w:rsid w:val="00603E35"/>
    <w:rsid w:val="00604332"/>
    <w:rsid w:val="006048BB"/>
    <w:rsid w:val="006049F0"/>
    <w:rsid w:val="0060526F"/>
    <w:rsid w:val="00606202"/>
    <w:rsid w:val="00607B2F"/>
    <w:rsid w:val="0061139F"/>
    <w:rsid w:val="00611CD6"/>
    <w:rsid w:val="00612378"/>
    <w:rsid w:val="006137FD"/>
    <w:rsid w:val="0061547C"/>
    <w:rsid w:val="006157BC"/>
    <w:rsid w:val="00616480"/>
    <w:rsid w:val="00617109"/>
    <w:rsid w:val="00621112"/>
    <w:rsid w:val="00621ECC"/>
    <w:rsid w:val="00623FB4"/>
    <w:rsid w:val="006243C7"/>
    <w:rsid w:val="00625630"/>
    <w:rsid w:val="00625B53"/>
    <w:rsid w:val="006275A5"/>
    <w:rsid w:val="00627856"/>
    <w:rsid w:val="006320E8"/>
    <w:rsid w:val="006350B5"/>
    <w:rsid w:val="00635A83"/>
    <w:rsid w:val="00635DB8"/>
    <w:rsid w:val="00637B03"/>
    <w:rsid w:val="006401AF"/>
    <w:rsid w:val="006407B5"/>
    <w:rsid w:val="006422DC"/>
    <w:rsid w:val="00643E32"/>
    <w:rsid w:val="00645888"/>
    <w:rsid w:val="0064630B"/>
    <w:rsid w:val="00646461"/>
    <w:rsid w:val="00646A8A"/>
    <w:rsid w:val="006479CC"/>
    <w:rsid w:val="00651FC3"/>
    <w:rsid w:val="00652D0E"/>
    <w:rsid w:val="00652FC5"/>
    <w:rsid w:val="00653130"/>
    <w:rsid w:val="00655F00"/>
    <w:rsid w:val="0066108F"/>
    <w:rsid w:val="00661E2F"/>
    <w:rsid w:val="0066533D"/>
    <w:rsid w:val="006669CA"/>
    <w:rsid w:val="006675FD"/>
    <w:rsid w:val="00667C74"/>
    <w:rsid w:val="0067148D"/>
    <w:rsid w:val="00672412"/>
    <w:rsid w:val="00673877"/>
    <w:rsid w:val="00676049"/>
    <w:rsid w:val="00676361"/>
    <w:rsid w:val="006767F5"/>
    <w:rsid w:val="00676F5A"/>
    <w:rsid w:val="00677652"/>
    <w:rsid w:val="006802F0"/>
    <w:rsid w:val="00680B1E"/>
    <w:rsid w:val="00680EC8"/>
    <w:rsid w:val="00681D5B"/>
    <w:rsid w:val="00681F7F"/>
    <w:rsid w:val="006823B6"/>
    <w:rsid w:val="00685909"/>
    <w:rsid w:val="00686038"/>
    <w:rsid w:val="0068658A"/>
    <w:rsid w:val="00690276"/>
    <w:rsid w:val="006905E9"/>
    <w:rsid w:val="006922A9"/>
    <w:rsid w:val="00695746"/>
    <w:rsid w:val="00696838"/>
    <w:rsid w:val="006A0C04"/>
    <w:rsid w:val="006A1C19"/>
    <w:rsid w:val="006A3BB7"/>
    <w:rsid w:val="006A3CF0"/>
    <w:rsid w:val="006A3EFC"/>
    <w:rsid w:val="006A5608"/>
    <w:rsid w:val="006A6562"/>
    <w:rsid w:val="006B0176"/>
    <w:rsid w:val="006B3BF6"/>
    <w:rsid w:val="006B4DF7"/>
    <w:rsid w:val="006B5426"/>
    <w:rsid w:val="006B602F"/>
    <w:rsid w:val="006B7CFA"/>
    <w:rsid w:val="006B7D7D"/>
    <w:rsid w:val="006C1AEC"/>
    <w:rsid w:val="006C201B"/>
    <w:rsid w:val="006C255F"/>
    <w:rsid w:val="006C3F99"/>
    <w:rsid w:val="006C4A6D"/>
    <w:rsid w:val="006C5687"/>
    <w:rsid w:val="006C5C47"/>
    <w:rsid w:val="006C6546"/>
    <w:rsid w:val="006C7A96"/>
    <w:rsid w:val="006D1A9C"/>
    <w:rsid w:val="006D2A66"/>
    <w:rsid w:val="006D2B8D"/>
    <w:rsid w:val="006D30EA"/>
    <w:rsid w:val="006D38E4"/>
    <w:rsid w:val="006D4016"/>
    <w:rsid w:val="006D4367"/>
    <w:rsid w:val="006D4EA9"/>
    <w:rsid w:val="006D4FC3"/>
    <w:rsid w:val="006D511F"/>
    <w:rsid w:val="006D534C"/>
    <w:rsid w:val="006D59B9"/>
    <w:rsid w:val="006D6524"/>
    <w:rsid w:val="006D666D"/>
    <w:rsid w:val="006D6918"/>
    <w:rsid w:val="006D6C75"/>
    <w:rsid w:val="006E124E"/>
    <w:rsid w:val="006E23D2"/>
    <w:rsid w:val="006E2C21"/>
    <w:rsid w:val="006E33AC"/>
    <w:rsid w:val="006E3886"/>
    <w:rsid w:val="006E445B"/>
    <w:rsid w:val="006E6F9D"/>
    <w:rsid w:val="006E739C"/>
    <w:rsid w:val="006F0C51"/>
    <w:rsid w:val="006F21E2"/>
    <w:rsid w:val="006F3263"/>
    <w:rsid w:val="006F36E3"/>
    <w:rsid w:val="006F3979"/>
    <w:rsid w:val="006F44EA"/>
    <w:rsid w:val="006F4693"/>
    <w:rsid w:val="006F77FD"/>
    <w:rsid w:val="006F7CB0"/>
    <w:rsid w:val="006F7CE4"/>
    <w:rsid w:val="00700327"/>
    <w:rsid w:val="00700B90"/>
    <w:rsid w:val="00702228"/>
    <w:rsid w:val="00702560"/>
    <w:rsid w:val="0070265F"/>
    <w:rsid w:val="0070356B"/>
    <w:rsid w:val="00704C77"/>
    <w:rsid w:val="00705865"/>
    <w:rsid w:val="00712106"/>
    <w:rsid w:val="0071214C"/>
    <w:rsid w:val="0071262C"/>
    <w:rsid w:val="00714401"/>
    <w:rsid w:val="0071441C"/>
    <w:rsid w:val="00715684"/>
    <w:rsid w:val="007156BA"/>
    <w:rsid w:val="00715875"/>
    <w:rsid w:val="00716612"/>
    <w:rsid w:val="00722999"/>
    <w:rsid w:val="007258E4"/>
    <w:rsid w:val="0072594A"/>
    <w:rsid w:val="0072754F"/>
    <w:rsid w:val="00727EE1"/>
    <w:rsid w:val="00732177"/>
    <w:rsid w:val="00733180"/>
    <w:rsid w:val="007358A7"/>
    <w:rsid w:val="00737600"/>
    <w:rsid w:val="007409EE"/>
    <w:rsid w:val="00740DD9"/>
    <w:rsid w:val="00740E04"/>
    <w:rsid w:val="00742278"/>
    <w:rsid w:val="00742498"/>
    <w:rsid w:val="00745045"/>
    <w:rsid w:val="007468E5"/>
    <w:rsid w:val="00746EF8"/>
    <w:rsid w:val="007471C2"/>
    <w:rsid w:val="00750299"/>
    <w:rsid w:val="007510A9"/>
    <w:rsid w:val="00751147"/>
    <w:rsid w:val="007521CF"/>
    <w:rsid w:val="00752796"/>
    <w:rsid w:val="007533D6"/>
    <w:rsid w:val="00753E05"/>
    <w:rsid w:val="0075506C"/>
    <w:rsid w:val="007553B4"/>
    <w:rsid w:val="00755707"/>
    <w:rsid w:val="00757453"/>
    <w:rsid w:val="0075798B"/>
    <w:rsid w:val="00757A2C"/>
    <w:rsid w:val="007601AE"/>
    <w:rsid w:val="00760551"/>
    <w:rsid w:val="00760C65"/>
    <w:rsid w:val="00761F90"/>
    <w:rsid w:val="00762016"/>
    <w:rsid w:val="00765BE1"/>
    <w:rsid w:val="0077121D"/>
    <w:rsid w:val="007738BC"/>
    <w:rsid w:val="00773BD8"/>
    <w:rsid w:val="0077508F"/>
    <w:rsid w:val="00775BEE"/>
    <w:rsid w:val="00777A10"/>
    <w:rsid w:val="00777D3E"/>
    <w:rsid w:val="00780467"/>
    <w:rsid w:val="00781243"/>
    <w:rsid w:val="00781921"/>
    <w:rsid w:val="00781A65"/>
    <w:rsid w:val="00783001"/>
    <w:rsid w:val="00783C46"/>
    <w:rsid w:val="00783ED3"/>
    <w:rsid w:val="00784605"/>
    <w:rsid w:val="00785F9A"/>
    <w:rsid w:val="007869A0"/>
    <w:rsid w:val="00786E27"/>
    <w:rsid w:val="00787A7F"/>
    <w:rsid w:val="00787AB5"/>
    <w:rsid w:val="00790026"/>
    <w:rsid w:val="00790CFA"/>
    <w:rsid w:val="007920D5"/>
    <w:rsid w:val="00793061"/>
    <w:rsid w:val="007939A9"/>
    <w:rsid w:val="007939D1"/>
    <w:rsid w:val="00796CC0"/>
    <w:rsid w:val="00796DED"/>
    <w:rsid w:val="00797047"/>
    <w:rsid w:val="00797C36"/>
    <w:rsid w:val="007A0C3B"/>
    <w:rsid w:val="007A1428"/>
    <w:rsid w:val="007A29D7"/>
    <w:rsid w:val="007A4CEC"/>
    <w:rsid w:val="007A635F"/>
    <w:rsid w:val="007A64B8"/>
    <w:rsid w:val="007B0E88"/>
    <w:rsid w:val="007B7EE0"/>
    <w:rsid w:val="007C18BC"/>
    <w:rsid w:val="007C1F03"/>
    <w:rsid w:val="007C6E6C"/>
    <w:rsid w:val="007C7E7A"/>
    <w:rsid w:val="007D0357"/>
    <w:rsid w:val="007D5059"/>
    <w:rsid w:val="007D531B"/>
    <w:rsid w:val="007D67CB"/>
    <w:rsid w:val="007D715B"/>
    <w:rsid w:val="007E3112"/>
    <w:rsid w:val="007E4D70"/>
    <w:rsid w:val="007E511D"/>
    <w:rsid w:val="007E53A3"/>
    <w:rsid w:val="007E5765"/>
    <w:rsid w:val="007E5AE9"/>
    <w:rsid w:val="007E6004"/>
    <w:rsid w:val="007E6C58"/>
    <w:rsid w:val="007E789E"/>
    <w:rsid w:val="007F0CC2"/>
    <w:rsid w:val="007F2E5B"/>
    <w:rsid w:val="007F39D4"/>
    <w:rsid w:val="007F5527"/>
    <w:rsid w:val="007F5A4C"/>
    <w:rsid w:val="007F68E9"/>
    <w:rsid w:val="008000EE"/>
    <w:rsid w:val="00801173"/>
    <w:rsid w:val="008019C8"/>
    <w:rsid w:val="00802761"/>
    <w:rsid w:val="00803441"/>
    <w:rsid w:val="00805319"/>
    <w:rsid w:val="00807039"/>
    <w:rsid w:val="008074E6"/>
    <w:rsid w:val="00807545"/>
    <w:rsid w:val="0081231B"/>
    <w:rsid w:val="008137AC"/>
    <w:rsid w:val="00813D5E"/>
    <w:rsid w:val="008174D3"/>
    <w:rsid w:val="008176E6"/>
    <w:rsid w:val="008200A9"/>
    <w:rsid w:val="00820D15"/>
    <w:rsid w:val="00821489"/>
    <w:rsid w:val="00821A97"/>
    <w:rsid w:val="00821B00"/>
    <w:rsid w:val="00825214"/>
    <w:rsid w:val="00827B34"/>
    <w:rsid w:val="008314A3"/>
    <w:rsid w:val="00832474"/>
    <w:rsid w:val="00833AE3"/>
    <w:rsid w:val="008358AC"/>
    <w:rsid w:val="00835A9B"/>
    <w:rsid w:val="00835FF8"/>
    <w:rsid w:val="008366B0"/>
    <w:rsid w:val="00836EB3"/>
    <w:rsid w:val="00837143"/>
    <w:rsid w:val="00841110"/>
    <w:rsid w:val="00841196"/>
    <w:rsid w:val="008428BC"/>
    <w:rsid w:val="00844033"/>
    <w:rsid w:val="008446F2"/>
    <w:rsid w:val="00844ABE"/>
    <w:rsid w:val="0084502B"/>
    <w:rsid w:val="0084512D"/>
    <w:rsid w:val="00850CC5"/>
    <w:rsid w:val="00851939"/>
    <w:rsid w:val="00851B81"/>
    <w:rsid w:val="00852F9A"/>
    <w:rsid w:val="008535A0"/>
    <w:rsid w:val="00853BC4"/>
    <w:rsid w:val="00854B1C"/>
    <w:rsid w:val="00854E83"/>
    <w:rsid w:val="00855DE0"/>
    <w:rsid w:val="00856199"/>
    <w:rsid w:val="00856A55"/>
    <w:rsid w:val="00856C00"/>
    <w:rsid w:val="00860013"/>
    <w:rsid w:val="00862086"/>
    <w:rsid w:val="0086368A"/>
    <w:rsid w:val="00864224"/>
    <w:rsid w:val="00864BB9"/>
    <w:rsid w:val="00865ACA"/>
    <w:rsid w:val="00865D01"/>
    <w:rsid w:val="00866CAD"/>
    <w:rsid w:val="00871195"/>
    <w:rsid w:val="0087146D"/>
    <w:rsid w:val="0087206C"/>
    <w:rsid w:val="0087238F"/>
    <w:rsid w:val="008727DB"/>
    <w:rsid w:val="00873C2B"/>
    <w:rsid w:val="008759FC"/>
    <w:rsid w:val="0087635B"/>
    <w:rsid w:val="00876CE5"/>
    <w:rsid w:val="0087728F"/>
    <w:rsid w:val="008777B1"/>
    <w:rsid w:val="00880103"/>
    <w:rsid w:val="008809AF"/>
    <w:rsid w:val="00880B81"/>
    <w:rsid w:val="00881193"/>
    <w:rsid w:val="00882360"/>
    <w:rsid w:val="00882FEF"/>
    <w:rsid w:val="0088348C"/>
    <w:rsid w:val="00883718"/>
    <w:rsid w:val="00883B0B"/>
    <w:rsid w:val="00883E31"/>
    <w:rsid w:val="008934EE"/>
    <w:rsid w:val="00893548"/>
    <w:rsid w:val="008957BE"/>
    <w:rsid w:val="008A1676"/>
    <w:rsid w:val="008A1C07"/>
    <w:rsid w:val="008A2718"/>
    <w:rsid w:val="008A48FA"/>
    <w:rsid w:val="008A49E7"/>
    <w:rsid w:val="008A4D7A"/>
    <w:rsid w:val="008A56E9"/>
    <w:rsid w:val="008A5B09"/>
    <w:rsid w:val="008A65F9"/>
    <w:rsid w:val="008A7C2E"/>
    <w:rsid w:val="008B1378"/>
    <w:rsid w:val="008B1FF4"/>
    <w:rsid w:val="008B5A9C"/>
    <w:rsid w:val="008B6177"/>
    <w:rsid w:val="008B7A03"/>
    <w:rsid w:val="008C00F4"/>
    <w:rsid w:val="008C020C"/>
    <w:rsid w:val="008C0430"/>
    <w:rsid w:val="008C1C68"/>
    <w:rsid w:val="008C4EA4"/>
    <w:rsid w:val="008C5B7D"/>
    <w:rsid w:val="008C6524"/>
    <w:rsid w:val="008C747E"/>
    <w:rsid w:val="008C7733"/>
    <w:rsid w:val="008C7879"/>
    <w:rsid w:val="008D0222"/>
    <w:rsid w:val="008D10D5"/>
    <w:rsid w:val="008D1562"/>
    <w:rsid w:val="008D2224"/>
    <w:rsid w:val="008D2D1D"/>
    <w:rsid w:val="008D549D"/>
    <w:rsid w:val="008D5969"/>
    <w:rsid w:val="008E0911"/>
    <w:rsid w:val="008E251F"/>
    <w:rsid w:val="008E3016"/>
    <w:rsid w:val="008E3620"/>
    <w:rsid w:val="008E55D4"/>
    <w:rsid w:val="008E5DFE"/>
    <w:rsid w:val="008E6090"/>
    <w:rsid w:val="008E6A72"/>
    <w:rsid w:val="008E73E5"/>
    <w:rsid w:val="008F05D8"/>
    <w:rsid w:val="008F19EC"/>
    <w:rsid w:val="008F31A0"/>
    <w:rsid w:val="008F3ED9"/>
    <w:rsid w:val="008F4D42"/>
    <w:rsid w:val="008F583C"/>
    <w:rsid w:val="008F677F"/>
    <w:rsid w:val="00900C6E"/>
    <w:rsid w:val="00902D95"/>
    <w:rsid w:val="00903AF4"/>
    <w:rsid w:val="009042D1"/>
    <w:rsid w:val="00911E03"/>
    <w:rsid w:val="00911F16"/>
    <w:rsid w:val="00912B37"/>
    <w:rsid w:val="00914888"/>
    <w:rsid w:val="00915B35"/>
    <w:rsid w:val="0091633A"/>
    <w:rsid w:val="00916686"/>
    <w:rsid w:val="00916884"/>
    <w:rsid w:val="00916F3C"/>
    <w:rsid w:val="00917058"/>
    <w:rsid w:val="0091747E"/>
    <w:rsid w:val="00917707"/>
    <w:rsid w:val="009215FC"/>
    <w:rsid w:val="00921EB3"/>
    <w:rsid w:val="009226D7"/>
    <w:rsid w:val="00922E3D"/>
    <w:rsid w:val="00927397"/>
    <w:rsid w:val="009276B5"/>
    <w:rsid w:val="009276DE"/>
    <w:rsid w:val="00927A8C"/>
    <w:rsid w:val="00927EC3"/>
    <w:rsid w:val="0093029F"/>
    <w:rsid w:val="00930325"/>
    <w:rsid w:val="00931B91"/>
    <w:rsid w:val="00933284"/>
    <w:rsid w:val="00935049"/>
    <w:rsid w:val="00935C8D"/>
    <w:rsid w:val="00936214"/>
    <w:rsid w:val="00936356"/>
    <w:rsid w:val="00936C6B"/>
    <w:rsid w:val="0094074B"/>
    <w:rsid w:val="009428F4"/>
    <w:rsid w:val="00943E57"/>
    <w:rsid w:val="00944086"/>
    <w:rsid w:val="009443DF"/>
    <w:rsid w:val="00944DC7"/>
    <w:rsid w:val="00951C19"/>
    <w:rsid w:val="009528DB"/>
    <w:rsid w:val="009531DA"/>
    <w:rsid w:val="00953658"/>
    <w:rsid w:val="0095367B"/>
    <w:rsid w:val="009541D6"/>
    <w:rsid w:val="00955CEC"/>
    <w:rsid w:val="00956498"/>
    <w:rsid w:val="009573A2"/>
    <w:rsid w:val="00957D61"/>
    <w:rsid w:val="009600BA"/>
    <w:rsid w:val="009611E5"/>
    <w:rsid w:val="009646E9"/>
    <w:rsid w:val="00964E5B"/>
    <w:rsid w:val="00965068"/>
    <w:rsid w:val="0096533F"/>
    <w:rsid w:val="00967C19"/>
    <w:rsid w:val="00970A5E"/>
    <w:rsid w:val="00973347"/>
    <w:rsid w:val="00974B25"/>
    <w:rsid w:val="00975296"/>
    <w:rsid w:val="009753B3"/>
    <w:rsid w:val="0097632D"/>
    <w:rsid w:val="009764BE"/>
    <w:rsid w:val="009768DA"/>
    <w:rsid w:val="0097690E"/>
    <w:rsid w:val="00977486"/>
    <w:rsid w:val="009776E0"/>
    <w:rsid w:val="009777E8"/>
    <w:rsid w:val="00977D6F"/>
    <w:rsid w:val="00977ECE"/>
    <w:rsid w:val="009806B7"/>
    <w:rsid w:val="00980EB0"/>
    <w:rsid w:val="00982661"/>
    <w:rsid w:val="00983F0A"/>
    <w:rsid w:val="00985A4F"/>
    <w:rsid w:val="0098676E"/>
    <w:rsid w:val="009870BA"/>
    <w:rsid w:val="00987988"/>
    <w:rsid w:val="0099050B"/>
    <w:rsid w:val="00990E75"/>
    <w:rsid w:val="00995CC4"/>
    <w:rsid w:val="009965D9"/>
    <w:rsid w:val="00996713"/>
    <w:rsid w:val="00996B67"/>
    <w:rsid w:val="00997D30"/>
    <w:rsid w:val="009A2515"/>
    <w:rsid w:val="009A2D51"/>
    <w:rsid w:val="009A2EE3"/>
    <w:rsid w:val="009A57A9"/>
    <w:rsid w:val="009A5C21"/>
    <w:rsid w:val="009B1968"/>
    <w:rsid w:val="009B19FC"/>
    <w:rsid w:val="009B2569"/>
    <w:rsid w:val="009B2A32"/>
    <w:rsid w:val="009B2C66"/>
    <w:rsid w:val="009B3298"/>
    <w:rsid w:val="009B51FA"/>
    <w:rsid w:val="009B52F5"/>
    <w:rsid w:val="009B648A"/>
    <w:rsid w:val="009B6AD1"/>
    <w:rsid w:val="009B6CD2"/>
    <w:rsid w:val="009B713A"/>
    <w:rsid w:val="009C24FC"/>
    <w:rsid w:val="009C3144"/>
    <w:rsid w:val="009C3F30"/>
    <w:rsid w:val="009C4659"/>
    <w:rsid w:val="009C49B6"/>
    <w:rsid w:val="009D11CA"/>
    <w:rsid w:val="009D72EB"/>
    <w:rsid w:val="009D737C"/>
    <w:rsid w:val="009E0064"/>
    <w:rsid w:val="009E1EA9"/>
    <w:rsid w:val="009E202A"/>
    <w:rsid w:val="009E361A"/>
    <w:rsid w:val="009E529C"/>
    <w:rsid w:val="009E7DDC"/>
    <w:rsid w:val="009F096B"/>
    <w:rsid w:val="009F19E1"/>
    <w:rsid w:val="009F1BF8"/>
    <w:rsid w:val="009F2BC8"/>
    <w:rsid w:val="009F3B11"/>
    <w:rsid w:val="009F4CE2"/>
    <w:rsid w:val="009F4E2F"/>
    <w:rsid w:val="009F51FB"/>
    <w:rsid w:val="009F5C8E"/>
    <w:rsid w:val="009F5DCD"/>
    <w:rsid w:val="00A0018E"/>
    <w:rsid w:val="00A01444"/>
    <w:rsid w:val="00A0161C"/>
    <w:rsid w:val="00A017F1"/>
    <w:rsid w:val="00A01A86"/>
    <w:rsid w:val="00A054A5"/>
    <w:rsid w:val="00A05968"/>
    <w:rsid w:val="00A0611F"/>
    <w:rsid w:val="00A06A49"/>
    <w:rsid w:val="00A1084A"/>
    <w:rsid w:val="00A11987"/>
    <w:rsid w:val="00A123C2"/>
    <w:rsid w:val="00A137E1"/>
    <w:rsid w:val="00A1471B"/>
    <w:rsid w:val="00A1590E"/>
    <w:rsid w:val="00A15B31"/>
    <w:rsid w:val="00A20C25"/>
    <w:rsid w:val="00A20DA4"/>
    <w:rsid w:val="00A21955"/>
    <w:rsid w:val="00A22D0F"/>
    <w:rsid w:val="00A259F6"/>
    <w:rsid w:val="00A25CDA"/>
    <w:rsid w:val="00A26344"/>
    <w:rsid w:val="00A265E0"/>
    <w:rsid w:val="00A2677A"/>
    <w:rsid w:val="00A32809"/>
    <w:rsid w:val="00A32955"/>
    <w:rsid w:val="00A32F5B"/>
    <w:rsid w:val="00A34146"/>
    <w:rsid w:val="00A3467B"/>
    <w:rsid w:val="00A349F7"/>
    <w:rsid w:val="00A34F30"/>
    <w:rsid w:val="00A37120"/>
    <w:rsid w:val="00A3755F"/>
    <w:rsid w:val="00A3788E"/>
    <w:rsid w:val="00A37E46"/>
    <w:rsid w:val="00A429B2"/>
    <w:rsid w:val="00A42B95"/>
    <w:rsid w:val="00A43283"/>
    <w:rsid w:val="00A45492"/>
    <w:rsid w:val="00A469E9"/>
    <w:rsid w:val="00A513DB"/>
    <w:rsid w:val="00A51445"/>
    <w:rsid w:val="00A51859"/>
    <w:rsid w:val="00A534FB"/>
    <w:rsid w:val="00A536A5"/>
    <w:rsid w:val="00A546BE"/>
    <w:rsid w:val="00A54FA5"/>
    <w:rsid w:val="00A57142"/>
    <w:rsid w:val="00A60A45"/>
    <w:rsid w:val="00A60DB1"/>
    <w:rsid w:val="00A61B55"/>
    <w:rsid w:val="00A61BA1"/>
    <w:rsid w:val="00A67858"/>
    <w:rsid w:val="00A700ED"/>
    <w:rsid w:val="00A707FB"/>
    <w:rsid w:val="00A71176"/>
    <w:rsid w:val="00A717A4"/>
    <w:rsid w:val="00A76F3A"/>
    <w:rsid w:val="00A77275"/>
    <w:rsid w:val="00A77BB1"/>
    <w:rsid w:val="00A77BCE"/>
    <w:rsid w:val="00A77F12"/>
    <w:rsid w:val="00A801C7"/>
    <w:rsid w:val="00A8081C"/>
    <w:rsid w:val="00A80B64"/>
    <w:rsid w:val="00A81E47"/>
    <w:rsid w:val="00A83C97"/>
    <w:rsid w:val="00A84055"/>
    <w:rsid w:val="00A851D1"/>
    <w:rsid w:val="00A85571"/>
    <w:rsid w:val="00A8558B"/>
    <w:rsid w:val="00A868D6"/>
    <w:rsid w:val="00A87C94"/>
    <w:rsid w:val="00A905B1"/>
    <w:rsid w:val="00A907E2"/>
    <w:rsid w:val="00A920C3"/>
    <w:rsid w:val="00A92A41"/>
    <w:rsid w:val="00A94796"/>
    <w:rsid w:val="00A96C0E"/>
    <w:rsid w:val="00AA347F"/>
    <w:rsid w:val="00AA3614"/>
    <w:rsid w:val="00AA4237"/>
    <w:rsid w:val="00AA71EF"/>
    <w:rsid w:val="00AB0EB1"/>
    <w:rsid w:val="00AB1BB9"/>
    <w:rsid w:val="00AB21D6"/>
    <w:rsid w:val="00AB266D"/>
    <w:rsid w:val="00AB2689"/>
    <w:rsid w:val="00AB3064"/>
    <w:rsid w:val="00AB3524"/>
    <w:rsid w:val="00AB3DF4"/>
    <w:rsid w:val="00AB40CF"/>
    <w:rsid w:val="00AB46A4"/>
    <w:rsid w:val="00AB5F88"/>
    <w:rsid w:val="00AB72CD"/>
    <w:rsid w:val="00AC11C2"/>
    <w:rsid w:val="00AC13D5"/>
    <w:rsid w:val="00AC1FC8"/>
    <w:rsid w:val="00AC2607"/>
    <w:rsid w:val="00AC382B"/>
    <w:rsid w:val="00AC49B1"/>
    <w:rsid w:val="00AC5217"/>
    <w:rsid w:val="00AC56D5"/>
    <w:rsid w:val="00AC66F0"/>
    <w:rsid w:val="00AC72CD"/>
    <w:rsid w:val="00AC74F1"/>
    <w:rsid w:val="00AD1CB0"/>
    <w:rsid w:val="00AD226A"/>
    <w:rsid w:val="00AD2E0D"/>
    <w:rsid w:val="00AD3B81"/>
    <w:rsid w:val="00AD5893"/>
    <w:rsid w:val="00AD6DB6"/>
    <w:rsid w:val="00AE0503"/>
    <w:rsid w:val="00AE184C"/>
    <w:rsid w:val="00AE1A12"/>
    <w:rsid w:val="00AE208C"/>
    <w:rsid w:val="00AE2453"/>
    <w:rsid w:val="00AE48E6"/>
    <w:rsid w:val="00AE4DF5"/>
    <w:rsid w:val="00AE6447"/>
    <w:rsid w:val="00AE7DB6"/>
    <w:rsid w:val="00AE7EB5"/>
    <w:rsid w:val="00AF09E3"/>
    <w:rsid w:val="00AF2CE4"/>
    <w:rsid w:val="00AF3CE8"/>
    <w:rsid w:val="00AF3E76"/>
    <w:rsid w:val="00AF4E66"/>
    <w:rsid w:val="00AF6D24"/>
    <w:rsid w:val="00B003BD"/>
    <w:rsid w:val="00B01E98"/>
    <w:rsid w:val="00B01FFB"/>
    <w:rsid w:val="00B048CE"/>
    <w:rsid w:val="00B04BB2"/>
    <w:rsid w:val="00B05931"/>
    <w:rsid w:val="00B06DCD"/>
    <w:rsid w:val="00B07D95"/>
    <w:rsid w:val="00B10259"/>
    <w:rsid w:val="00B10683"/>
    <w:rsid w:val="00B122EB"/>
    <w:rsid w:val="00B12BA3"/>
    <w:rsid w:val="00B13123"/>
    <w:rsid w:val="00B13393"/>
    <w:rsid w:val="00B14461"/>
    <w:rsid w:val="00B146F3"/>
    <w:rsid w:val="00B16DF3"/>
    <w:rsid w:val="00B1771F"/>
    <w:rsid w:val="00B20706"/>
    <w:rsid w:val="00B228D3"/>
    <w:rsid w:val="00B268A3"/>
    <w:rsid w:val="00B27469"/>
    <w:rsid w:val="00B27815"/>
    <w:rsid w:val="00B27B66"/>
    <w:rsid w:val="00B30023"/>
    <w:rsid w:val="00B303B0"/>
    <w:rsid w:val="00B31C68"/>
    <w:rsid w:val="00B339E0"/>
    <w:rsid w:val="00B33D98"/>
    <w:rsid w:val="00B33FB9"/>
    <w:rsid w:val="00B36462"/>
    <w:rsid w:val="00B40C03"/>
    <w:rsid w:val="00B41B9A"/>
    <w:rsid w:val="00B465DC"/>
    <w:rsid w:val="00B467F7"/>
    <w:rsid w:val="00B46E15"/>
    <w:rsid w:val="00B4750B"/>
    <w:rsid w:val="00B478BC"/>
    <w:rsid w:val="00B523F8"/>
    <w:rsid w:val="00B535AB"/>
    <w:rsid w:val="00B54424"/>
    <w:rsid w:val="00B559CC"/>
    <w:rsid w:val="00B559DE"/>
    <w:rsid w:val="00B5670D"/>
    <w:rsid w:val="00B57875"/>
    <w:rsid w:val="00B57A5E"/>
    <w:rsid w:val="00B602D7"/>
    <w:rsid w:val="00B60973"/>
    <w:rsid w:val="00B60B5F"/>
    <w:rsid w:val="00B612E5"/>
    <w:rsid w:val="00B61D73"/>
    <w:rsid w:val="00B62D44"/>
    <w:rsid w:val="00B645FF"/>
    <w:rsid w:val="00B64EE2"/>
    <w:rsid w:val="00B655E7"/>
    <w:rsid w:val="00B65E71"/>
    <w:rsid w:val="00B66B0E"/>
    <w:rsid w:val="00B72418"/>
    <w:rsid w:val="00B72A9C"/>
    <w:rsid w:val="00B739EA"/>
    <w:rsid w:val="00B75F97"/>
    <w:rsid w:val="00B76BBB"/>
    <w:rsid w:val="00B76DFD"/>
    <w:rsid w:val="00B770E2"/>
    <w:rsid w:val="00B77A08"/>
    <w:rsid w:val="00B80388"/>
    <w:rsid w:val="00B80A00"/>
    <w:rsid w:val="00B81EE7"/>
    <w:rsid w:val="00B82211"/>
    <w:rsid w:val="00B829C1"/>
    <w:rsid w:val="00B834A0"/>
    <w:rsid w:val="00B84490"/>
    <w:rsid w:val="00B847B8"/>
    <w:rsid w:val="00B84CEC"/>
    <w:rsid w:val="00B86DA4"/>
    <w:rsid w:val="00B86F8D"/>
    <w:rsid w:val="00B920B3"/>
    <w:rsid w:val="00B92AC2"/>
    <w:rsid w:val="00B93063"/>
    <w:rsid w:val="00B9414E"/>
    <w:rsid w:val="00B94BC1"/>
    <w:rsid w:val="00B96A3E"/>
    <w:rsid w:val="00BA035E"/>
    <w:rsid w:val="00BA0563"/>
    <w:rsid w:val="00BA352A"/>
    <w:rsid w:val="00BA4AF4"/>
    <w:rsid w:val="00BA4EBD"/>
    <w:rsid w:val="00BA5BDC"/>
    <w:rsid w:val="00BA7115"/>
    <w:rsid w:val="00BA7923"/>
    <w:rsid w:val="00BA7C93"/>
    <w:rsid w:val="00BB0660"/>
    <w:rsid w:val="00BB3A17"/>
    <w:rsid w:val="00BB3F1B"/>
    <w:rsid w:val="00BB3F3B"/>
    <w:rsid w:val="00BB411F"/>
    <w:rsid w:val="00BB4F94"/>
    <w:rsid w:val="00BC0812"/>
    <w:rsid w:val="00BC2C13"/>
    <w:rsid w:val="00BC4BB0"/>
    <w:rsid w:val="00BC5B51"/>
    <w:rsid w:val="00BC5DDE"/>
    <w:rsid w:val="00BD0329"/>
    <w:rsid w:val="00BD1D8B"/>
    <w:rsid w:val="00BD42D9"/>
    <w:rsid w:val="00BD48BA"/>
    <w:rsid w:val="00BD52CD"/>
    <w:rsid w:val="00BD5E29"/>
    <w:rsid w:val="00BD600C"/>
    <w:rsid w:val="00BD705A"/>
    <w:rsid w:val="00BE04FA"/>
    <w:rsid w:val="00BE1470"/>
    <w:rsid w:val="00BE15E2"/>
    <w:rsid w:val="00BE1AD2"/>
    <w:rsid w:val="00BE292E"/>
    <w:rsid w:val="00BE4111"/>
    <w:rsid w:val="00BE4753"/>
    <w:rsid w:val="00BE4C55"/>
    <w:rsid w:val="00BE6664"/>
    <w:rsid w:val="00BE6E61"/>
    <w:rsid w:val="00BE7445"/>
    <w:rsid w:val="00BE7667"/>
    <w:rsid w:val="00BF097F"/>
    <w:rsid w:val="00BF0E90"/>
    <w:rsid w:val="00BF31E7"/>
    <w:rsid w:val="00BF44A8"/>
    <w:rsid w:val="00BF477F"/>
    <w:rsid w:val="00BF581B"/>
    <w:rsid w:val="00BF606A"/>
    <w:rsid w:val="00BF6201"/>
    <w:rsid w:val="00BF65FE"/>
    <w:rsid w:val="00BF7B61"/>
    <w:rsid w:val="00C004AE"/>
    <w:rsid w:val="00C018E0"/>
    <w:rsid w:val="00C02805"/>
    <w:rsid w:val="00C028E5"/>
    <w:rsid w:val="00C031BA"/>
    <w:rsid w:val="00C034E4"/>
    <w:rsid w:val="00C040A4"/>
    <w:rsid w:val="00C04A06"/>
    <w:rsid w:val="00C0703A"/>
    <w:rsid w:val="00C07EE2"/>
    <w:rsid w:val="00C122C3"/>
    <w:rsid w:val="00C12D96"/>
    <w:rsid w:val="00C137AE"/>
    <w:rsid w:val="00C14048"/>
    <w:rsid w:val="00C1461C"/>
    <w:rsid w:val="00C15381"/>
    <w:rsid w:val="00C1580A"/>
    <w:rsid w:val="00C15CA3"/>
    <w:rsid w:val="00C17C2D"/>
    <w:rsid w:val="00C205A1"/>
    <w:rsid w:val="00C21302"/>
    <w:rsid w:val="00C22302"/>
    <w:rsid w:val="00C230E6"/>
    <w:rsid w:val="00C24161"/>
    <w:rsid w:val="00C24652"/>
    <w:rsid w:val="00C24944"/>
    <w:rsid w:val="00C264A6"/>
    <w:rsid w:val="00C26AF2"/>
    <w:rsid w:val="00C302D0"/>
    <w:rsid w:val="00C30DED"/>
    <w:rsid w:val="00C31677"/>
    <w:rsid w:val="00C345BA"/>
    <w:rsid w:val="00C34D19"/>
    <w:rsid w:val="00C373A4"/>
    <w:rsid w:val="00C375F9"/>
    <w:rsid w:val="00C37EEC"/>
    <w:rsid w:val="00C41649"/>
    <w:rsid w:val="00C43331"/>
    <w:rsid w:val="00C44082"/>
    <w:rsid w:val="00C471F5"/>
    <w:rsid w:val="00C47500"/>
    <w:rsid w:val="00C47896"/>
    <w:rsid w:val="00C509B7"/>
    <w:rsid w:val="00C50C80"/>
    <w:rsid w:val="00C52DE2"/>
    <w:rsid w:val="00C52ECF"/>
    <w:rsid w:val="00C54C1E"/>
    <w:rsid w:val="00C56873"/>
    <w:rsid w:val="00C56C6C"/>
    <w:rsid w:val="00C56D91"/>
    <w:rsid w:val="00C603FE"/>
    <w:rsid w:val="00C60CBB"/>
    <w:rsid w:val="00C60FDA"/>
    <w:rsid w:val="00C64919"/>
    <w:rsid w:val="00C650F8"/>
    <w:rsid w:val="00C659A7"/>
    <w:rsid w:val="00C65F05"/>
    <w:rsid w:val="00C6632D"/>
    <w:rsid w:val="00C715D4"/>
    <w:rsid w:val="00C71F4B"/>
    <w:rsid w:val="00C73429"/>
    <w:rsid w:val="00C7367B"/>
    <w:rsid w:val="00C73A82"/>
    <w:rsid w:val="00C7435D"/>
    <w:rsid w:val="00C744DA"/>
    <w:rsid w:val="00C76307"/>
    <w:rsid w:val="00C765E3"/>
    <w:rsid w:val="00C76C2F"/>
    <w:rsid w:val="00C77D65"/>
    <w:rsid w:val="00C8009F"/>
    <w:rsid w:val="00C8181B"/>
    <w:rsid w:val="00C81F33"/>
    <w:rsid w:val="00C8369A"/>
    <w:rsid w:val="00C83B27"/>
    <w:rsid w:val="00C83DA9"/>
    <w:rsid w:val="00C84805"/>
    <w:rsid w:val="00C849DF"/>
    <w:rsid w:val="00C863B8"/>
    <w:rsid w:val="00C867BA"/>
    <w:rsid w:val="00C86E6F"/>
    <w:rsid w:val="00C87D00"/>
    <w:rsid w:val="00C90345"/>
    <w:rsid w:val="00C9040C"/>
    <w:rsid w:val="00C91166"/>
    <w:rsid w:val="00C929D0"/>
    <w:rsid w:val="00C92F1B"/>
    <w:rsid w:val="00C9342B"/>
    <w:rsid w:val="00C970EF"/>
    <w:rsid w:val="00C97C08"/>
    <w:rsid w:val="00CA1254"/>
    <w:rsid w:val="00CA1CE8"/>
    <w:rsid w:val="00CA1F01"/>
    <w:rsid w:val="00CA345D"/>
    <w:rsid w:val="00CA4005"/>
    <w:rsid w:val="00CA457A"/>
    <w:rsid w:val="00CA4CB6"/>
    <w:rsid w:val="00CA5E27"/>
    <w:rsid w:val="00CA61BE"/>
    <w:rsid w:val="00CA640E"/>
    <w:rsid w:val="00CA65EE"/>
    <w:rsid w:val="00CB0245"/>
    <w:rsid w:val="00CB2D52"/>
    <w:rsid w:val="00CB2E2E"/>
    <w:rsid w:val="00CB5737"/>
    <w:rsid w:val="00CC0897"/>
    <w:rsid w:val="00CC1D58"/>
    <w:rsid w:val="00CC2CF4"/>
    <w:rsid w:val="00CC355D"/>
    <w:rsid w:val="00CC3E67"/>
    <w:rsid w:val="00CC7488"/>
    <w:rsid w:val="00CC7724"/>
    <w:rsid w:val="00CD03B6"/>
    <w:rsid w:val="00CD2399"/>
    <w:rsid w:val="00CD31CB"/>
    <w:rsid w:val="00CD3608"/>
    <w:rsid w:val="00CD4F63"/>
    <w:rsid w:val="00CD74B1"/>
    <w:rsid w:val="00CE0080"/>
    <w:rsid w:val="00CE1A19"/>
    <w:rsid w:val="00CE1C9D"/>
    <w:rsid w:val="00CE2045"/>
    <w:rsid w:val="00CE2FA2"/>
    <w:rsid w:val="00CE3DD7"/>
    <w:rsid w:val="00CE4BA2"/>
    <w:rsid w:val="00CE4BF6"/>
    <w:rsid w:val="00CE63B0"/>
    <w:rsid w:val="00CE6D62"/>
    <w:rsid w:val="00CF1A15"/>
    <w:rsid w:val="00CF1C6B"/>
    <w:rsid w:val="00CF2913"/>
    <w:rsid w:val="00CF2FBD"/>
    <w:rsid w:val="00CF3D89"/>
    <w:rsid w:val="00CF47F7"/>
    <w:rsid w:val="00CF4F4B"/>
    <w:rsid w:val="00CF5967"/>
    <w:rsid w:val="00CF5B8D"/>
    <w:rsid w:val="00CF5E7F"/>
    <w:rsid w:val="00CF70D1"/>
    <w:rsid w:val="00CF768E"/>
    <w:rsid w:val="00D01139"/>
    <w:rsid w:val="00D031EB"/>
    <w:rsid w:val="00D03CA3"/>
    <w:rsid w:val="00D0414C"/>
    <w:rsid w:val="00D0427E"/>
    <w:rsid w:val="00D04914"/>
    <w:rsid w:val="00D04A78"/>
    <w:rsid w:val="00D06032"/>
    <w:rsid w:val="00D106CC"/>
    <w:rsid w:val="00D11240"/>
    <w:rsid w:val="00D13183"/>
    <w:rsid w:val="00D15AAE"/>
    <w:rsid w:val="00D15E6E"/>
    <w:rsid w:val="00D16EE2"/>
    <w:rsid w:val="00D17B0F"/>
    <w:rsid w:val="00D20236"/>
    <w:rsid w:val="00D20512"/>
    <w:rsid w:val="00D22A45"/>
    <w:rsid w:val="00D23F5E"/>
    <w:rsid w:val="00D244F9"/>
    <w:rsid w:val="00D25D40"/>
    <w:rsid w:val="00D274FF"/>
    <w:rsid w:val="00D27E0D"/>
    <w:rsid w:val="00D309BE"/>
    <w:rsid w:val="00D31106"/>
    <w:rsid w:val="00D31C24"/>
    <w:rsid w:val="00D338D0"/>
    <w:rsid w:val="00D341DD"/>
    <w:rsid w:val="00D35D45"/>
    <w:rsid w:val="00D35E70"/>
    <w:rsid w:val="00D37F74"/>
    <w:rsid w:val="00D40881"/>
    <w:rsid w:val="00D4135F"/>
    <w:rsid w:val="00D413B1"/>
    <w:rsid w:val="00D4266E"/>
    <w:rsid w:val="00D42D4E"/>
    <w:rsid w:val="00D43610"/>
    <w:rsid w:val="00D438A4"/>
    <w:rsid w:val="00D463AC"/>
    <w:rsid w:val="00D46967"/>
    <w:rsid w:val="00D469C1"/>
    <w:rsid w:val="00D47D23"/>
    <w:rsid w:val="00D50354"/>
    <w:rsid w:val="00D5150C"/>
    <w:rsid w:val="00D54363"/>
    <w:rsid w:val="00D55CF5"/>
    <w:rsid w:val="00D55E07"/>
    <w:rsid w:val="00D57F6C"/>
    <w:rsid w:val="00D610ED"/>
    <w:rsid w:val="00D618E8"/>
    <w:rsid w:val="00D62B72"/>
    <w:rsid w:val="00D62E37"/>
    <w:rsid w:val="00D64510"/>
    <w:rsid w:val="00D66388"/>
    <w:rsid w:val="00D66C4F"/>
    <w:rsid w:val="00D66EA1"/>
    <w:rsid w:val="00D66F7A"/>
    <w:rsid w:val="00D7031A"/>
    <w:rsid w:val="00D71264"/>
    <w:rsid w:val="00D72019"/>
    <w:rsid w:val="00D72199"/>
    <w:rsid w:val="00D73225"/>
    <w:rsid w:val="00D73E46"/>
    <w:rsid w:val="00D74402"/>
    <w:rsid w:val="00D74881"/>
    <w:rsid w:val="00D764D1"/>
    <w:rsid w:val="00D766B1"/>
    <w:rsid w:val="00D76760"/>
    <w:rsid w:val="00D77D3D"/>
    <w:rsid w:val="00D827CB"/>
    <w:rsid w:val="00D82CCE"/>
    <w:rsid w:val="00D82E70"/>
    <w:rsid w:val="00D831EA"/>
    <w:rsid w:val="00D84D87"/>
    <w:rsid w:val="00D85283"/>
    <w:rsid w:val="00D864F5"/>
    <w:rsid w:val="00D8654D"/>
    <w:rsid w:val="00D868DD"/>
    <w:rsid w:val="00D917A5"/>
    <w:rsid w:val="00D919D0"/>
    <w:rsid w:val="00D92678"/>
    <w:rsid w:val="00D93237"/>
    <w:rsid w:val="00D93BB1"/>
    <w:rsid w:val="00D95021"/>
    <w:rsid w:val="00D96C78"/>
    <w:rsid w:val="00D9703D"/>
    <w:rsid w:val="00DA1697"/>
    <w:rsid w:val="00DA17A8"/>
    <w:rsid w:val="00DA1FF1"/>
    <w:rsid w:val="00DA2795"/>
    <w:rsid w:val="00DA2D31"/>
    <w:rsid w:val="00DA40D7"/>
    <w:rsid w:val="00DA449F"/>
    <w:rsid w:val="00DA4531"/>
    <w:rsid w:val="00DA68D9"/>
    <w:rsid w:val="00DA6C9E"/>
    <w:rsid w:val="00DA7E5F"/>
    <w:rsid w:val="00DB0344"/>
    <w:rsid w:val="00DB15F1"/>
    <w:rsid w:val="00DB54D7"/>
    <w:rsid w:val="00DC06B4"/>
    <w:rsid w:val="00DC140F"/>
    <w:rsid w:val="00DC166F"/>
    <w:rsid w:val="00DC1C3D"/>
    <w:rsid w:val="00DC27FD"/>
    <w:rsid w:val="00DC3D3A"/>
    <w:rsid w:val="00DC41E3"/>
    <w:rsid w:val="00DC4749"/>
    <w:rsid w:val="00DC4D41"/>
    <w:rsid w:val="00DC6A4A"/>
    <w:rsid w:val="00DC6CB6"/>
    <w:rsid w:val="00DD3BFD"/>
    <w:rsid w:val="00DD4B8F"/>
    <w:rsid w:val="00DD6C22"/>
    <w:rsid w:val="00DE0399"/>
    <w:rsid w:val="00DE1BDF"/>
    <w:rsid w:val="00DE1DED"/>
    <w:rsid w:val="00DE6389"/>
    <w:rsid w:val="00DF042E"/>
    <w:rsid w:val="00DF0D98"/>
    <w:rsid w:val="00DF0F09"/>
    <w:rsid w:val="00DF1AD5"/>
    <w:rsid w:val="00DF23B3"/>
    <w:rsid w:val="00DF47AB"/>
    <w:rsid w:val="00DF51B1"/>
    <w:rsid w:val="00DF605D"/>
    <w:rsid w:val="00DF69AE"/>
    <w:rsid w:val="00DF77DE"/>
    <w:rsid w:val="00DF7B47"/>
    <w:rsid w:val="00E0024D"/>
    <w:rsid w:val="00E012A9"/>
    <w:rsid w:val="00E029A4"/>
    <w:rsid w:val="00E02BE3"/>
    <w:rsid w:val="00E036D1"/>
    <w:rsid w:val="00E03DC4"/>
    <w:rsid w:val="00E0400A"/>
    <w:rsid w:val="00E044FE"/>
    <w:rsid w:val="00E04700"/>
    <w:rsid w:val="00E052A6"/>
    <w:rsid w:val="00E056B7"/>
    <w:rsid w:val="00E0606A"/>
    <w:rsid w:val="00E066B4"/>
    <w:rsid w:val="00E06C93"/>
    <w:rsid w:val="00E07F18"/>
    <w:rsid w:val="00E10D55"/>
    <w:rsid w:val="00E12286"/>
    <w:rsid w:val="00E134C7"/>
    <w:rsid w:val="00E1569A"/>
    <w:rsid w:val="00E21123"/>
    <w:rsid w:val="00E220DF"/>
    <w:rsid w:val="00E2243A"/>
    <w:rsid w:val="00E230C5"/>
    <w:rsid w:val="00E24378"/>
    <w:rsid w:val="00E268A2"/>
    <w:rsid w:val="00E26FF8"/>
    <w:rsid w:val="00E30AAF"/>
    <w:rsid w:val="00E330AA"/>
    <w:rsid w:val="00E33ADD"/>
    <w:rsid w:val="00E36B79"/>
    <w:rsid w:val="00E36D7E"/>
    <w:rsid w:val="00E3728B"/>
    <w:rsid w:val="00E37504"/>
    <w:rsid w:val="00E37AB2"/>
    <w:rsid w:val="00E37D9B"/>
    <w:rsid w:val="00E401BC"/>
    <w:rsid w:val="00E4028F"/>
    <w:rsid w:val="00E419C2"/>
    <w:rsid w:val="00E430BD"/>
    <w:rsid w:val="00E44FB1"/>
    <w:rsid w:val="00E46B1D"/>
    <w:rsid w:val="00E46E3F"/>
    <w:rsid w:val="00E50403"/>
    <w:rsid w:val="00E51A16"/>
    <w:rsid w:val="00E51EDC"/>
    <w:rsid w:val="00E5341E"/>
    <w:rsid w:val="00E5414B"/>
    <w:rsid w:val="00E54215"/>
    <w:rsid w:val="00E602F4"/>
    <w:rsid w:val="00E6053D"/>
    <w:rsid w:val="00E6172E"/>
    <w:rsid w:val="00E61D41"/>
    <w:rsid w:val="00E61D7A"/>
    <w:rsid w:val="00E65D5E"/>
    <w:rsid w:val="00E67966"/>
    <w:rsid w:val="00E67EDA"/>
    <w:rsid w:val="00E70AE7"/>
    <w:rsid w:val="00E70D4B"/>
    <w:rsid w:val="00E71CF3"/>
    <w:rsid w:val="00E71F6A"/>
    <w:rsid w:val="00E734F8"/>
    <w:rsid w:val="00E76D62"/>
    <w:rsid w:val="00E771AF"/>
    <w:rsid w:val="00E775FA"/>
    <w:rsid w:val="00E81943"/>
    <w:rsid w:val="00E82585"/>
    <w:rsid w:val="00E85674"/>
    <w:rsid w:val="00E86620"/>
    <w:rsid w:val="00E86E6C"/>
    <w:rsid w:val="00E87C85"/>
    <w:rsid w:val="00E91E5F"/>
    <w:rsid w:val="00E93639"/>
    <w:rsid w:val="00E942FF"/>
    <w:rsid w:val="00E944B8"/>
    <w:rsid w:val="00E96125"/>
    <w:rsid w:val="00E964FB"/>
    <w:rsid w:val="00E9732C"/>
    <w:rsid w:val="00EA04BF"/>
    <w:rsid w:val="00EA1014"/>
    <w:rsid w:val="00EA16F1"/>
    <w:rsid w:val="00EA19EC"/>
    <w:rsid w:val="00EA2323"/>
    <w:rsid w:val="00EA29ED"/>
    <w:rsid w:val="00EA3748"/>
    <w:rsid w:val="00EA5015"/>
    <w:rsid w:val="00EA5BFD"/>
    <w:rsid w:val="00EA5FB2"/>
    <w:rsid w:val="00EA69B3"/>
    <w:rsid w:val="00EA6D9D"/>
    <w:rsid w:val="00EA7941"/>
    <w:rsid w:val="00EB181D"/>
    <w:rsid w:val="00EB2CB4"/>
    <w:rsid w:val="00EB2D2C"/>
    <w:rsid w:val="00EB3763"/>
    <w:rsid w:val="00EB3F96"/>
    <w:rsid w:val="00EB5C46"/>
    <w:rsid w:val="00EB5C51"/>
    <w:rsid w:val="00EB5D63"/>
    <w:rsid w:val="00EB6272"/>
    <w:rsid w:val="00EB6BDC"/>
    <w:rsid w:val="00EB7564"/>
    <w:rsid w:val="00EC0756"/>
    <w:rsid w:val="00EC1D86"/>
    <w:rsid w:val="00EC342C"/>
    <w:rsid w:val="00EC38C3"/>
    <w:rsid w:val="00EC65F5"/>
    <w:rsid w:val="00EC6953"/>
    <w:rsid w:val="00EC6AB7"/>
    <w:rsid w:val="00ED05F6"/>
    <w:rsid w:val="00ED16FD"/>
    <w:rsid w:val="00ED1B5E"/>
    <w:rsid w:val="00ED1E11"/>
    <w:rsid w:val="00ED2392"/>
    <w:rsid w:val="00ED2E9E"/>
    <w:rsid w:val="00ED3B05"/>
    <w:rsid w:val="00ED3FDC"/>
    <w:rsid w:val="00ED48F0"/>
    <w:rsid w:val="00ED555A"/>
    <w:rsid w:val="00ED55A2"/>
    <w:rsid w:val="00ED605A"/>
    <w:rsid w:val="00ED630D"/>
    <w:rsid w:val="00ED6B20"/>
    <w:rsid w:val="00ED6CF5"/>
    <w:rsid w:val="00ED6DF8"/>
    <w:rsid w:val="00ED7A4C"/>
    <w:rsid w:val="00EE3F46"/>
    <w:rsid w:val="00EE497F"/>
    <w:rsid w:val="00EE64F7"/>
    <w:rsid w:val="00EE66FA"/>
    <w:rsid w:val="00EE78C5"/>
    <w:rsid w:val="00EE7FB6"/>
    <w:rsid w:val="00EF0D4C"/>
    <w:rsid w:val="00EF157F"/>
    <w:rsid w:val="00EF1866"/>
    <w:rsid w:val="00EF1B32"/>
    <w:rsid w:val="00EF1CA9"/>
    <w:rsid w:val="00EF2D40"/>
    <w:rsid w:val="00EF3141"/>
    <w:rsid w:val="00EF406D"/>
    <w:rsid w:val="00EF4724"/>
    <w:rsid w:val="00EF4768"/>
    <w:rsid w:val="00EF4DD4"/>
    <w:rsid w:val="00EF4F31"/>
    <w:rsid w:val="00EF576A"/>
    <w:rsid w:val="00EF587B"/>
    <w:rsid w:val="00EF68DB"/>
    <w:rsid w:val="00EF753C"/>
    <w:rsid w:val="00F006DC"/>
    <w:rsid w:val="00F028D3"/>
    <w:rsid w:val="00F03DB7"/>
    <w:rsid w:val="00F04613"/>
    <w:rsid w:val="00F04A13"/>
    <w:rsid w:val="00F04D1A"/>
    <w:rsid w:val="00F06B22"/>
    <w:rsid w:val="00F074DB"/>
    <w:rsid w:val="00F10708"/>
    <w:rsid w:val="00F12116"/>
    <w:rsid w:val="00F1343E"/>
    <w:rsid w:val="00F14931"/>
    <w:rsid w:val="00F171A5"/>
    <w:rsid w:val="00F2129A"/>
    <w:rsid w:val="00F23097"/>
    <w:rsid w:val="00F23329"/>
    <w:rsid w:val="00F23D85"/>
    <w:rsid w:val="00F24D93"/>
    <w:rsid w:val="00F274E2"/>
    <w:rsid w:val="00F30879"/>
    <w:rsid w:val="00F30DA4"/>
    <w:rsid w:val="00F31F2D"/>
    <w:rsid w:val="00F31FB5"/>
    <w:rsid w:val="00F32174"/>
    <w:rsid w:val="00F32762"/>
    <w:rsid w:val="00F33B0C"/>
    <w:rsid w:val="00F346BD"/>
    <w:rsid w:val="00F35557"/>
    <w:rsid w:val="00F35C8F"/>
    <w:rsid w:val="00F36F93"/>
    <w:rsid w:val="00F40112"/>
    <w:rsid w:val="00F40988"/>
    <w:rsid w:val="00F41306"/>
    <w:rsid w:val="00F42619"/>
    <w:rsid w:val="00F43A1C"/>
    <w:rsid w:val="00F44197"/>
    <w:rsid w:val="00F454EA"/>
    <w:rsid w:val="00F456B9"/>
    <w:rsid w:val="00F47D40"/>
    <w:rsid w:val="00F51932"/>
    <w:rsid w:val="00F52227"/>
    <w:rsid w:val="00F543F8"/>
    <w:rsid w:val="00F551B7"/>
    <w:rsid w:val="00F5534D"/>
    <w:rsid w:val="00F55E66"/>
    <w:rsid w:val="00F567B2"/>
    <w:rsid w:val="00F572ED"/>
    <w:rsid w:val="00F5731C"/>
    <w:rsid w:val="00F57C6E"/>
    <w:rsid w:val="00F6089E"/>
    <w:rsid w:val="00F63BBC"/>
    <w:rsid w:val="00F63D97"/>
    <w:rsid w:val="00F6634E"/>
    <w:rsid w:val="00F67C1B"/>
    <w:rsid w:val="00F700A3"/>
    <w:rsid w:val="00F704CD"/>
    <w:rsid w:val="00F70AF1"/>
    <w:rsid w:val="00F71809"/>
    <w:rsid w:val="00F7336C"/>
    <w:rsid w:val="00F755A5"/>
    <w:rsid w:val="00F81669"/>
    <w:rsid w:val="00F82CB1"/>
    <w:rsid w:val="00F852C7"/>
    <w:rsid w:val="00F8678E"/>
    <w:rsid w:val="00F87505"/>
    <w:rsid w:val="00F9030C"/>
    <w:rsid w:val="00F90AB0"/>
    <w:rsid w:val="00F90B2C"/>
    <w:rsid w:val="00F91CC3"/>
    <w:rsid w:val="00F9274F"/>
    <w:rsid w:val="00F92B7C"/>
    <w:rsid w:val="00F92D7C"/>
    <w:rsid w:val="00F939AB"/>
    <w:rsid w:val="00F93E28"/>
    <w:rsid w:val="00F95EA1"/>
    <w:rsid w:val="00F975D4"/>
    <w:rsid w:val="00F9778D"/>
    <w:rsid w:val="00F97DF6"/>
    <w:rsid w:val="00FA2A8D"/>
    <w:rsid w:val="00FA2AC4"/>
    <w:rsid w:val="00FA37B5"/>
    <w:rsid w:val="00FA38E4"/>
    <w:rsid w:val="00FA507F"/>
    <w:rsid w:val="00FA5630"/>
    <w:rsid w:val="00FA61C1"/>
    <w:rsid w:val="00FB2896"/>
    <w:rsid w:val="00FB2A67"/>
    <w:rsid w:val="00FB2BCE"/>
    <w:rsid w:val="00FB2E65"/>
    <w:rsid w:val="00FB376E"/>
    <w:rsid w:val="00FB400C"/>
    <w:rsid w:val="00FB4102"/>
    <w:rsid w:val="00FB5263"/>
    <w:rsid w:val="00FB5377"/>
    <w:rsid w:val="00FB55F2"/>
    <w:rsid w:val="00FB63D9"/>
    <w:rsid w:val="00FB64B0"/>
    <w:rsid w:val="00FB6A90"/>
    <w:rsid w:val="00FC2621"/>
    <w:rsid w:val="00FC2A0C"/>
    <w:rsid w:val="00FC44D5"/>
    <w:rsid w:val="00FC4AB8"/>
    <w:rsid w:val="00FC526C"/>
    <w:rsid w:val="00FC5916"/>
    <w:rsid w:val="00FC5A4B"/>
    <w:rsid w:val="00FC64F8"/>
    <w:rsid w:val="00FD005F"/>
    <w:rsid w:val="00FD011D"/>
    <w:rsid w:val="00FD3989"/>
    <w:rsid w:val="00FD559D"/>
    <w:rsid w:val="00FD6586"/>
    <w:rsid w:val="00FE1265"/>
    <w:rsid w:val="00FE14EE"/>
    <w:rsid w:val="00FE1C7C"/>
    <w:rsid w:val="00FE2DD0"/>
    <w:rsid w:val="00FE65E1"/>
    <w:rsid w:val="00FE6619"/>
    <w:rsid w:val="00FE6701"/>
    <w:rsid w:val="00FF0AC8"/>
    <w:rsid w:val="00FF19E9"/>
    <w:rsid w:val="00FF20DE"/>
    <w:rsid w:val="00FF2472"/>
    <w:rsid w:val="00FF373F"/>
    <w:rsid w:val="00FF6B2C"/>
    <w:rsid w:val="00FF6B76"/>
    <w:rsid w:val="00FF7D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1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DE"/>
    <w:rPr>
      <w:sz w:val="24"/>
      <w:lang w:eastAsia="en-US"/>
    </w:rPr>
  </w:style>
  <w:style w:type="paragraph" w:styleId="Heading1">
    <w:name w:val="heading 1"/>
    <w:aliases w:val="Capítulo"/>
    <w:basedOn w:val="Normal"/>
    <w:next w:val="Normal"/>
    <w:link w:val="Heading1Char"/>
    <w:qFormat/>
    <w:rsid w:val="00A57142"/>
    <w:pPr>
      <w:keepNext/>
      <w:tabs>
        <w:tab w:val="num" w:pos="360"/>
      </w:tabs>
      <w:spacing w:before="240" w:after="60"/>
      <w:outlineLvl w:val="0"/>
    </w:pPr>
    <w:rPr>
      <w:rFonts w:ascii="Arial" w:hAnsi="Arial"/>
      <w:b/>
      <w:kern w:val="28"/>
      <w:sz w:val="28"/>
      <w:lang w:val="es-ES_tradnl"/>
    </w:rPr>
  </w:style>
  <w:style w:type="paragraph" w:styleId="Heading2">
    <w:name w:val="heading 2"/>
    <w:basedOn w:val="Normal"/>
    <w:next w:val="Normal"/>
    <w:link w:val="Heading2Char"/>
    <w:qFormat/>
    <w:rsid w:val="00A57142"/>
    <w:pPr>
      <w:keepNext/>
      <w:tabs>
        <w:tab w:val="num" w:pos="1080"/>
      </w:tabs>
      <w:spacing w:before="240" w:after="60"/>
      <w:ind w:left="720"/>
      <w:outlineLvl w:val="1"/>
    </w:pPr>
    <w:rPr>
      <w:rFonts w:ascii="Arial" w:hAnsi="Arial"/>
      <w:b/>
      <w:i/>
      <w:lang w:val="es-ES_tradnl"/>
    </w:rPr>
  </w:style>
  <w:style w:type="paragraph" w:styleId="Heading3">
    <w:name w:val="heading 3"/>
    <w:basedOn w:val="Normal"/>
    <w:link w:val="Heading3Char"/>
    <w:qFormat/>
    <w:rsid w:val="005745B7"/>
    <w:pPr>
      <w:spacing w:before="100" w:beforeAutospacing="1" w:after="100" w:afterAutospacing="1"/>
      <w:outlineLvl w:val="2"/>
    </w:pPr>
    <w:rPr>
      <w:b/>
      <w:bCs/>
      <w:sz w:val="27"/>
      <w:szCs w:val="27"/>
      <w:lang w:val="es-ES" w:eastAsia="es-ES"/>
    </w:rPr>
  </w:style>
  <w:style w:type="paragraph" w:styleId="Heading4">
    <w:name w:val="heading 4"/>
    <w:basedOn w:val="Normal"/>
    <w:next w:val="Normal"/>
    <w:link w:val="Heading4Char"/>
    <w:qFormat/>
    <w:rsid w:val="00A57142"/>
    <w:pPr>
      <w:keepNext/>
      <w:tabs>
        <w:tab w:val="num" w:pos="2520"/>
      </w:tabs>
      <w:spacing w:before="240" w:after="60"/>
      <w:ind w:left="2160"/>
      <w:outlineLvl w:val="3"/>
    </w:pPr>
    <w:rPr>
      <w:rFonts w:ascii="Arial" w:hAnsi="Arial"/>
      <w:b/>
      <w:lang w:val="es-ES_tradnl"/>
    </w:rPr>
  </w:style>
  <w:style w:type="paragraph" w:styleId="Heading5">
    <w:name w:val="heading 5"/>
    <w:basedOn w:val="Normal"/>
    <w:next w:val="Normal"/>
    <w:link w:val="Heading5Char"/>
    <w:qFormat/>
    <w:rsid w:val="00A57142"/>
    <w:pPr>
      <w:tabs>
        <w:tab w:val="num" w:pos="3240"/>
      </w:tabs>
      <w:spacing w:before="240" w:after="60"/>
      <w:ind w:left="2880"/>
      <w:outlineLvl w:val="4"/>
    </w:pPr>
    <w:rPr>
      <w:sz w:val="22"/>
      <w:lang w:val="es-ES_tradnl"/>
    </w:rPr>
  </w:style>
  <w:style w:type="paragraph" w:styleId="Heading6">
    <w:name w:val="heading 6"/>
    <w:basedOn w:val="Normal"/>
    <w:next w:val="Normal"/>
    <w:link w:val="Heading6Char"/>
    <w:qFormat/>
    <w:rsid w:val="00A57142"/>
    <w:pPr>
      <w:tabs>
        <w:tab w:val="num" w:pos="3960"/>
      </w:tabs>
      <w:spacing w:before="240" w:after="60"/>
      <w:ind w:left="3600"/>
      <w:outlineLvl w:val="5"/>
    </w:pPr>
    <w:rPr>
      <w:i/>
      <w:sz w:val="22"/>
      <w:lang w:val="es-ES_tradnl"/>
    </w:rPr>
  </w:style>
  <w:style w:type="paragraph" w:styleId="Heading7">
    <w:name w:val="heading 7"/>
    <w:basedOn w:val="Normal"/>
    <w:next w:val="Normal"/>
    <w:link w:val="Heading7Char"/>
    <w:qFormat/>
    <w:rsid w:val="00A57142"/>
    <w:pPr>
      <w:tabs>
        <w:tab w:val="num" w:pos="4680"/>
      </w:tabs>
      <w:spacing w:before="240" w:after="60"/>
      <w:ind w:left="4320"/>
      <w:outlineLvl w:val="6"/>
    </w:pPr>
    <w:rPr>
      <w:rFonts w:ascii="Arial" w:hAnsi="Arial"/>
      <w:lang w:val="es-ES_tradnl"/>
    </w:rPr>
  </w:style>
  <w:style w:type="paragraph" w:styleId="Heading8">
    <w:name w:val="heading 8"/>
    <w:basedOn w:val="Normal"/>
    <w:next w:val="Normal"/>
    <w:link w:val="Heading8Char"/>
    <w:qFormat/>
    <w:rsid w:val="00A57142"/>
    <w:pPr>
      <w:tabs>
        <w:tab w:val="num" w:pos="5400"/>
      </w:tabs>
      <w:spacing w:before="240" w:after="60"/>
      <w:ind w:left="5040"/>
      <w:outlineLvl w:val="7"/>
    </w:pPr>
    <w:rPr>
      <w:rFonts w:ascii="Arial" w:hAnsi="Arial"/>
      <w:i/>
      <w:lang w:val="es-ES_tradnl"/>
    </w:rPr>
  </w:style>
  <w:style w:type="paragraph" w:styleId="Heading9">
    <w:name w:val="heading 9"/>
    <w:basedOn w:val="Normal"/>
    <w:next w:val="Normal"/>
    <w:link w:val="Heading9Char"/>
    <w:qFormat/>
    <w:rsid w:val="00A57142"/>
    <w:pPr>
      <w:tabs>
        <w:tab w:val="num" w:pos="6120"/>
      </w:tabs>
      <w:spacing w:before="240" w:after="60"/>
      <w:ind w:left="57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3CDE"/>
    <w:pPr>
      <w:tabs>
        <w:tab w:val="left" w:pos="3060"/>
      </w:tabs>
      <w:jc w:val="center"/>
    </w:pPr>
  </w:style>
  <w:style w:type="paragraph" w:customStyle="1" w:styleId="Chapter">
    <w:name w:val="Chapter"/>
    <w:basedOn w:val="Normal"/>
    <w:next w:val="Normal"/>
    <w:uiPriority w:val="99"/>
    <w:rsid w:val="00133CDE"/>
    <w:pPr>
      <w:numPr>
        <w:numId w:val="1"/>
      </w:numPr>
      <w:tabs>
        <w:tab w:val="left" w:pos="1440"/>
      </w:tabs>
      <w:spacing w:after="240"/>
      <w:jc w:val="center"/>
    </w:pPr>
    <w:rPr>
      <w:b/>
      <w:smallCaps/>
      <w:lang w:val="es-ES"/>
    </w:rPr>
  </w:style>
  <w:style w:type="paragraph" w:styleId="Footer">
    <w:name w:val="footer"/>
    <w:basedOn w:val="Normal"/>
    <w:link w:val="FooterChar"/>
    <w:uiPriority w:val="99"/>
    <w:rsid w:val="00133CDE"/>
    <w:pPr>
      <w:tabs>
        <w:tab w:val="center" w:pos="4320"/>
        <w:tab w:val="right" w:pos="8640"/>
      </w:tabs>
    </w:pPr>
  </w:style>
  <w:style w:type="paragraph" w:styleId="FootnoteText">
    <w:name w:val="footnote text"/>
    <w:aliases w:val="footnote,fn,Texto de rodapé,nota_rodapé,nota de rodapé Car Car,nota de rodapé Car Car Car Car Car Car Car Car Car Car Car,Texto nota pie IIRSA,single space,FOOTNOTES,footnote text,Footnote Text Char Char,ft,Footnote,foottextfra,F"/>
    <w:basedOn w:val="Normal"/>
    <w:link w:val="FootnoteTextChar"/>
    <w:uiPriority w:val="99"/>
    <w:rsid w:val="00133CDE"/>
    <w:rPr>
      <w:sz w:val="20"/>
    </w:rPr>
  </w:style>
  <w:style w:type="paragraph" w:styleId="Header">
    <w:name w:val="header"/>
    <w:basedOn w:val="Normal"/>
    <w:rsid w:val="00133CDE"/>
    <w:pPr>
      <w:tabs>
        <w:tab w:val="center" w:pos="4320"/>
        <w:tab w:val="right" w:pos="8640"/>
      </w:tabs>
    </w:pPr>
  </w:style>
  <w:style w:type="paragraph" w:customStyle="1" w:styleId="Newpage">
    <w:name w:val="Newpage"/>
    <w:basedOn w:val="Chapter"/>
    <w:rsid w:val="00133CDE"/>
    <w:pPr>
      <w:numPr>
        <w:numId w:val="0"/>
      </w:numPr>
      <w:tabs>
        <w:tab w:val="clear" w:pos="1440"/>
        <w:tab w:val="left" w:pos="3060"/>
      </w:tabs>
      <w:spacing w:after="0"/>
    </w:pPr>
  </w:style>
  <w:style w:type="character" w:styleId="PageNumber">
    <w:name w:val="page number"/>
    <w:basedOn w:val="DefaultParagraphFont"/>
    <w:rsid w:val="00133CDE"/>
  </w:style>
  <w:style w:type="paragraph" w:customStyle="1" w:styleId="Paragraph">
    <w:name w:val="Paragraph"/>
    <w:aliases w:val="paragraph,p,PARAGRAPH,PG,pa,at"/>
    <w:basedOn w:val="BodyTextIndent"/>
    <w:link w:val="ParagraphChar"/>
    <w:uiPriority w:val="99"/>
    <w:rsid w:val="00133CDE"/>
    <w:pPr>
      <w:numPr>
        <w:ilvl w:val="1"/>
        <w:numId w:val="1"/>
      </w:numPr>
      <w:spacing w:before="120"/>
      <w:jc w:val="both"/>
      <w:outlineLvl w:val="1"/>
    </w:pPr>
    <w:rPr>
      <w:lang w:val="es-ES"/>
    </w:rPr>
  </w:style>
  <w:style w:type="paragraph" w:customStyle="1" w:styleId="SubSubPar">
    <w:name w:val="SubSubPar"/>
    <w:basedOn w:val="Normal"/>
    <w:uiPriority w:val="99"/>
    <w:rsid w:val="00133CDE"/>
    <w:pPr>
      <w:numPr>
        <w:ilvl w:val="3"/>
        <w:numId w:val="1"/>
      </w:numPr>
      <w:tabs>
        <w:tab w:val="left" w:pos="0"/>
      </w:tabs>
      <w:spacing w:before="120" w:after="120"/>
      <w:jc w:val="both"/>
      <w:outlineLvl w:val="2"/>
    </w:pPr>
    <w:rPr>
      <w:lang w:val="es-ES_tradnl"/>
    </w:rPr>
  </w:style>
  <w:style w:type="paragraph" w:styleId="Title">
    <w:name w:val="Title"/>
    <w:basedOn w:val="Normal"/>
    <w:link w:val="TitleChar"/>
    <w:qFormat/>
    <w:rsid w:val="00133CDE"/>
    <w:pPr>
      <w:tabs>
        <w:tab w:val="left" w:pos="1440"/>
        <w:tab w:val="left" w:pos="3060"/>
      </w:tabs>
      <w:jc w:val="center"/>
      <w:outlineLvl w:val="0"/>
    </w:pPr>
  </w:style>
  <w:style w:type="character" w:styleId="FootnoteReference">
    <w:name w:val="footnote reference"/>
    <w:aliases w:val="FC,ftref"/>
    <w:basedOn w:val="DefaultParagraphFont"/>
    <w:uiPriority w:val="99"/>
    <w:rsid w:val="00133CDE"/>
    <w:rPr>
      <w:vertAlign w:val="superscript"/>
    </w:rPr>
  </w:style>
  <w:style w:type="paragraph" w:styleId="NormalWeb">
    <w:name w:val="Normal (Web)"/>
    <w:basedOn w:val="Normal"/>
    <w:rsid w:val="00133CDE"/>
    <w:pPr>
      <w:spacing w:before="100" w:beforeAutospacing="1" w:after="100" w:afterAutospacing="1"/>
    </w:pPr>
    <w:rPr>
      <w:rFonts w:ascii="Arial Unicode MS" w:eastAsia="Arial Unicode MS" w:hAnsi="Arial Unicode MS" w:cs="Arial Unicode MS"/>
      <w:color w:val="000000"/>
      <w:szCs w:val="24"/>
      <w:lang w:val="en-US"/>
    </w:rPr>
  </w:style>
  <w:style w:type="paragraph" w:styleId="BodyTextIndent">
    <w:name w:val="Body Text Indent"/>
    <w:basedOn w:val="Normal"/>
    <w:rsid w:val="00133CDE"/>
    <w:pPr>
      <w:spacing w:after="120"/>
      <w:ind w:left="283"/>
    </w:pPr>
  </w:style>
  <w:style w:type="paragraph" w:styleId="ListParagraph">
    <w:name w:val="List Paragraph"/>
    <w:basedOn w:val="Normal"/>
    <w:uiPriority w:val="34"/>
    <w:qFormat/>
    <w:rsid w:val="00D76760"/>
    <w:pPr>
      <w:ind w:left="708"/>
    </w:pPr>
  </w:style>
  <w:style w:type="paragraph" w:styleId="ListBullet">
    <w:name w:val="List Bullet"/>
    <w:basedOn w:val="Normal"/>
    <w:uiPriority w:val="99"/>
    <w:unhideWhenUsed/>
    <w:rsid w:val="007E5765"/>
    <w:pPr>
      <w:numPr>
        <w:numId w:val="8"/>
      </w:numPr>
      <w:contextualSpacing/>
    </w:pPr>
  </w:style>
  <w:style w:type="character" w:customStyle="1" w:styleId="FootnoteTextChar">
    <w:name w:val="Footnote Text Char"/>
    <w:aliases w:val="footnote Char,fn Char,Texto de rodapé Char,nota_rodapé Char,nota de rodapé Car Car Char,nota de rodapé Car Car Car Car Car Car Car Car Car Car Car Char,Texto nota pie IIRSA Char,single space Char,FOOTNOTES Char,footnote text Char"/>
    <w:basedOn w:val="DefaultParagraphFont"/>
    <w:link w:val="FootnoteText"/>
    <w:uiPriority w:val="99"/>
    <w:rsid w:val="00ED2E9E"/>
    <w:rPr>
      <w:lang w:val="es-UY" w:eastAsia="en-US"/>
    </w:rPr>
  </w:style>
  <w:style w:type="character" w:customStyle="1" w:styleId="TitleChar">
    <w:name w:val="Title Char"/>
    <w:link w:val="Title"/>
    <w:rsid w:val="0019618A"/>
    <w:rPr>
      <w:sz w:val="24"/>
      <w:lang w:eastAsia="en-US"/>
    </w:rPr>
  </w:style>
  <w:style w:type="character" w:customStyle="1" w:styleId="BodyTextChar">
    <w:name w:val="Body Text Char"/>
    <w:link w:val="BodyText"/>
    <w:rsid w:val="0019618A"/>
    <w:rPr>
      <w:sz w:val="24"/>
      <w:lang w:eastAsia="en-US"/>
    </w:rPr>
  </w:style>
  <w:style w:type="paragraph" w:styleId="BalloonText">
    <w:name w:val="Balloon Text"/>
    <w:basedOn w:val="Normal"/>
    <w:link w:val="BalloonTextChar"/>
    <w:uiPriority w:val="99"/>
    <w:semiHidden/>
    <w:unhideWhenUsed/>
    <w:rsid w:val="00457E82"/>
    <w:rPr>
      <w:rFonts w:ascii="Tahoma" w:hAnsi="Tahoma" w:cs="Tahoma"/>
      <w:sz w:val="16"/>
      <w:szCs w:val="16"/>
    </w:rPr>
  </w:style>
  <w:style w:type="character" w:customStyle="1" w:styleId="BalloonTextChar">
    <w:name w:val="Balloon Text Char"/>
    <w:basedOn w:val="DefaultParagraphFont"/>
    <w:link w:val="BalloonText"/>
    <w:uiPriority w:val="99"/>
    <w:semiHidden/>
    <w:rsid w:val="00457E82"/>
    <w:rPr>
      <w:rFonts w:ascii="Tahoma" w:hAnsi="Tahoma" w:cs="Tahoma"/>
      <w:sz w:val="16"/>
      <w:szCs w:val="16"/>
      <w:lang w:eastAsia="en-US"/>
    </w:rPr>
  </w:style>
  <w:style w:type="character" w:customStyle="1" w:styleId="FooterChar">
    <w:name w:val="Footer Char"/>
    <w:basedOn w:val="DefaultParagraphFont"/>
    <w:link w:val="Footer"/>
    <w:uiPriority w:val="99"/>
    <w:rsid w:val="00C659A7"/>
    <w:rPr>
      <w:sz w:val="24"/>
      <w:lang w:eastAsia="en-US"/>
    </w:rPr>
  </w:style>
  <w:style w:type="character" w:styleId="CommentReference">
    <w:name w:val="annotation reference"/>
    <w:basedOn w:val="DefaultParagraphFont"/>
    <w:uiPriority w:val="99"/>
    <w:semiHidden/>
    <w:unhideWhenUsed/>
    <w:rsid w:val="001A29BF"/>
    <w:rPr>
      <w:sz w:val="16"/>
      <w:szCs w:val="16"/>
    </w:rPr>
  </w:style>
  <w:style w:type="paragraph" w:styleId="CommentText">
    <w:name w:val="annotation text"/>
    <w:basedOn w:val="Normal"/>
    <w:link w:val="CommentTextChar"/>
    <w:uiPriority w:val="99"/>
    <w:semiHidden/>
    <w:unhideWhenUsed/>
    <w:rsid w:val="001A29BF"/>
    <w:rPr>
      <w:sz w:val="20"/>
    </w:rPr>
  </w:style>
  <w:style w:type="character" w:customStyle="1" w:styleId="CommentTextChar">
    <w:name w:val="Comment Text Char"/>
    <w:basedOn w:val="DefaultParagraphFont"/>
    <w:link w:val="CommentText"/>
    <w:uiPriority w:val="99"/>
    <w:semiHidden/>
    <w:rsid w:val="001A29BF"/>
    <w:rPr>
      <w:lang w:eastAsia="en-US"/>
    </w:rPr>
  </w:style>
  <w:style w:type="paragraph" w:styleId="CommentSubject">
    <w:name w:val="annotation subject"/>
    <w:basedOn w:val="CommentText"/>
    <w:next w:val="CommentText"/>
    <w:link w:val="CommentSubjectChar"/>
    <w:uiPriority w:val="99"/>
    <w:semiHidden/>
    <w:unhideWhenUsed/>
    <w:rsid w:val="001A29BF"/>
    <w:rPr>
      <w:b/>
      <w:bCs/>
    </w:rPr>
  </w:style>
  <w:style w:type="character" w:customStyle="1" w:styleId="CommentSubjectChar">
    <w:name w:val="Comment Subject Char"/>
    <w:basedOn w:val="CommentTextChar"/>
    <w:link w:val="CommentSubject"/>
    <w:uiPriority w:val="99"/>
    <w:semiHidden/>
    <w:rsid w:val="001A29BF"/>
    <w:rPr>
      <w:b/>
      <w:bCs/>
      <w:lang w:eastAsia="en-US"/>
    </w:rPr>
  </w:style>
  <w:style w:type="character" w:styleId="Emphasis">
    <w:name w:val="Emphasis"/>
    <w:basedOn w:val="DefaultParagraphFont"/>
    <w:uiPriority w:val="20"/>
    <w:qFormat/>
    <w:rsid w:val="005C3FF0"/>
    <w:rPr>
      <w:b/>
      <w:bCs/>
      <w:i w:val="0"/>
      <w:iCs w:val="0"/>
    </w:rPr>
  </w:style>
  <w:style w:type="character" w:customStyle="1" w:styleId="st">
    <w:name w:val="st"/>
    <w:basedOn w:val="DefaultParagraphFont"/>
    <w:rsid w:val="005C3FF0"/>
  </w:style>
  <w:style w:type="character" w:customStyle="1" w:styleId="hps">
    <w:name w:val="hps"/>
    <w:basedOn w:val="DefaultParagraphFont"/>
    <w:rsid w:val="00982661"/>
  </w:style>
  <w:style w:type="character" w:customStyle="1" w:styleId="atn">
    <w:name w:val="atn"/>
    <w:basedOn w:val="DefaultParagraphFont"/>
    <w:rsid w:val="00982661"/>
  </w:style>
  <w:style w:type="character" w:customStyle="1" w:styleId="Heading3Char">
    <w:name w:val="Heading 3 Char"/>
    <w:basedOn w:val="DefaultParagraphFont"/>
    <w:link w:val="Heading3"/>
    <w:uiPriority w:val="9"/>
    <w:rsid w:val="005745B7"/>
    <w:rPr>
      <w:b/>
      <w:bCs/>
      <w:sz w:val="27"/>
      <w:szCs w:val="27"/>
      <w:lang w:val="es-ES" w:eastAsia="es-ES"/>
    </w:rPr>
  </w:style>
  <w:style w:type="character" w:styleId="Hyperlink">
    <w:name w:val="Hyperlink"/>
    <w:basedOn w:val="DefaultParagraphFont"/>
    <w:uiPriority w:val="99"/>
    <w:unhideWhenUsed/>
    <w:rsid w:val="005745B7"/>
    <w:rPr>
      <w:rFonts w:ascii="Arial" w:hAnsi="Arial" w:cs="Arial" w:hint="default"/>
      <w:strike w:val="0"/>
      <w:dstrike w:val="0"/>
      <w:color w:val="1122CC"/>
      <w:u w:val="none"/>
      <w:effect w:val="none"/>
    </w:rPr>
  </w:style>
  <w:style w:type="paragraph" w:customStyle="1" w:styleId="Default">
    <w:name w:val="Default"/>
    <w:rsid w:val="00EE497F"/>
    <w:pPr>
      <w:autoSpaceDE w:val="0"/>
      <w:autoSpaceDN w:val="0"/>
      <w:adjustRightInd w:val="0"/>
    </w:pPr>
    <w:rPr>
      <w:color w:val="000000"/>
      <w:sz w:val="24"/>
      <w:szCs w:val="24"/>
      <w:lang w:val="es-ES"/>
    </w:rPr>
  </w:style>
  <w:style w:type="paragraph" w:styleId="BodyTextIndent2">
    <w:name w:val="Body Text Indent 2"/>
    <w:basedOn w:val="Normal"/>
    <w:link w:val="BodyTextIndent2Char"/>
    <w:uiPriority w:val="99"/>
    <w:semiHidden/>
    <w:unhideWhenUsed/>
    <w:rsid w:val="00324200"/>
    <w:pPr>
      <w:spacing w:after="120" w:line="480" w:lineRule="auto"/>
      <w:ind w:left="283"/>
    </w:pPr>
  </w:style>
  <w:style w:type="character" w:customStyle="1" w:styleId="BodyTextIndent2Char">
    <w:name w:val="Body Text Indent 2 Char"/>
    <w:basedOn w:val="DefaultParagraphFont"/>
    <w:link w:val="BodyTextIndent2"/>
    <w:uiPriority w:val="99"/>
    <w:semiHidden/>
    <w:rsid w:val="00324200"/>
    <w:rPr>
      <w:sz w:val="24"/>
      <w:lang w:eastAsia="en-US"/>
    </w:rPr>
  </w:style>
  <w:style w:type="paragraph" w:customStyle="1" w:styleId="subpar">
    <w:name w:val="subpar"/>
    <w:basedOn w:val="BodyTextIndent3"/>
    <w:uiPriority w:val="99"/>
    <w:rsid w:val="00B86DA4"/>
  </w:style>
  <w:style w:type="character" w:customStyle="1" w:styleId="ParagraphChar">
    <w:name w:val="Paragraph Char"/>
    <w:link w:val="Paragraph"/>
    <w:uiPriority w:val="99"/>
    <w:locked/>
    <w:rsid w:val="00B86DA4"/>
    <w:rPr>
      <w:sz w:val="24"/>
      <w:lang w:val="es-ES" w:eastAsia="en-US"/>
    </w:rPr>
  </w:style>
  <w:style w:type="paragraph" w:styleId="BodyTextIndent3">
    <w:name w:val="Body Text Indent 3"/>
    <w:basedOn w:val="Normal"/>
    <w:link w:val="BodyTextIndent3Char"/>
    <w:uiPriority w:val="99"/>
    <w:semiHidden/>
    <w:unhideWhenUsed/>
    <w:rsid w:val="00B86DA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86DA4"/>
    <w:rPr>
      <w:sz w:val="16"/>
      <w:szCs w:val="16"/>
      <w:lang w:eastAsia="en-US"/>
    </w:rPr>
  </w:style>
  <w:style w:type="character" w:customStyle="1" w:styleId="Heading1Char">
    <w:name w:val="Heading 1 Char"/>
    <w:aliases w:val="Capítulo Char"/>
    <w:basedOn w:val="DefaultParagraphFont"/>
    <w:link w:val="Heading1"/>
    <w:rsid w:val="00A57142"/>
    <w:rPr>
      <w:rFonts w:ascii="Arial" w:hAnsi="Arial"/>
      <w:b/>
      <w:kern w:val="28"/>
      <w:sz w:val="28"/>
      <w:lang w:val="es-ES_tradnl" w:eastAsia="en-US"/>
    </w:rPr>
  </w:style>
  <w:style w:type="character" w:customStyle="1" w:styleId="Heading2Char">
    <w:name w:val="Heading 2 Char"/>
    <w:basedOn w:val="DefaultParagraphFont"/>
    <w:link w:val="Heading2"/>
    <w:rsid w:val="00A57142"/>
    <w:rPr>
      <w:rFonts w:ascii="Arial" w:hAnsi="Arial"/>
      <w:b/>
      <w:i/>
      <w:sz w:val="24"/>
      <w:lang w:val="es-ES_tradnl" w:eastAsia="en-US"/>
    </w:rPr>
  </w:style>
  <w:style w:type="character" w:customStyle="1" w:styleId="Heading4Char">
    <w:name w:val="Heading 4 Char"/>
    <w:basedOn w:val="DefaultParagraphFont"/>
    <w:link w:val="Heading4"/>
    <w:rsid w:val="00A57142"/>
    <w:rPr>
      <w:rFonts w:ascii="Arial" w:hAnsi="Arial"/>
      <w:b/>
      <w:sz w:val="24"/>
      <w:lang w:val="es-ES_tradnl" w:eastAsia="en-US"/>
    </w:rPr>
  </w:style>
  <w:style w:type="character" w:customStyle="1" w:styleId="Heading5Char">
    <w:name w:val="Heading 5 Char"/>
    <w:basedOn w:val="DefaultParagraphFont"/>
    <w:link w:val="Heading5"/>
    <w:rsid w:val="00A57142"/>
    <w:rPr>
      <w:sz w:val="22"/>
      <w:lang w:val="es-ES_tradnl" w:eastAsia="en-US"/>
    </w:rPr>
  </w:style>
  <w:style w:type="character" w:customStyle="1" w:styleId="Heading6Char">
    <w:name w:val="Heading 6 Char"/>
    <w:basedOn w:val="DefaultParagraphFont"/>
    <w:link w:val="Heading6"/>
    <w:rsid w:val="00A57142"/>
    <w:rPr>
      <w:i/>
      <w:sz w:val="22"/>
      <w:lang w:val="es-ES_tradnl" w:eastAsia="en-US"/>
    </w:rPr>
  </w:style>
  <w:style w:type="character" w:customStyle="1" w:styleId="Heading7Char">
    <w:name w:val="Heading 7 Char"/>
    <w:basedOn w:val="DefaultParagraphFont"/>
    <w:link w:val="Heading7"/>
    <w:rsid w:val="00A57142"/>
    <w:rPr>
      <w:rFonts w:ascii="Arial" w:hAnsi="Arial"/>
      <w:sz w:val="24"/>
      <w:lang w:val="es-ES_tradnl" w:eastAsia="en-US"/>
    </w:rPr>
  </w:style>
  <w:style w:type="character" w:customStyle="1" w:styleId="Heading8Char">
    <w:name w:val="Heading 8 Char"/>
    <w:basedOn w:val="DefaultParagraphFont"/>
    <w:link w:val="Heading8"/>
    <w:rsid w:val="00A57142"/>
    <w:rPr>
      <w:rFonts w:ascii="Arial" w:hAnsi="Arial"/>
      <w:i/>
      <w:sz w:val="24"/>
      <w:lang w:val="es-ES_tradnl" w:eastAsia="en-US"/>
    </w:rPr>
  </w:style>
  <w:style w:type="character" w:customStyle="1" w:styleId="Heading9Char">
    <w:name w:val="Heading 9 Char"/>
    <w:basedOn w:val="DefaultParagraphFont"/>
    <w:link w:val="Heading9"/>
    <w:rsid w:val="00A57142"/>
    <w:rPr>
      <w:rFonts w:ascii="Arial" w:hAnsi="Arial"/>
      <w:b/>
      <w:i/>
      <w:sz w:val="18"/>
      <w:lang w:val="es-ES_tradnl" w:eastAsia="en-US"/>
    </w:rPr>
  </w:style>
  <w:style w:type="table" w:styleId="TableGrid">
    <w:name w:val="Table Grid"/>
    <w:basedOn w:val="TableNormal"/>
    <w:rsid w:val="00A5714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Nivel2Izquierda0cmSangrafrancesa12cm">
    <w:name w:val="Estilo Nivel 2 + Izquierda:  0 cm Sangría francesa:  12 cm"/>
    <w:basedOn w:val="Normal"/>
    <w:rsid w:val="0020563B"/>
    <w:pPr>
      <w:tabs>
        <w:tab w:val="num" w:pos="705"/>
      </w:tabs>
      <w:ind w:left="705" w:hanging="705"/>
    </w:pPr>
    <w:rPr>
      <w:rFonts w:ascii="Arial" w:hAnsi="Arial"/>
      <w:b/>
      <w:bCs/>
      <w:szCs w:val="22"/>
      <w:u w:val="single"/>
      <w:lang w:val="es-MX" w:bidi="en-US"/>
    </w:rPr>
  </w:style>
  <w:style w:type="paragraph" w:customStyle="1" w:styleId="Prrafodelista1">
    <w:name w:val="Párrafo de lista1"/>
    <w:basedOn w:val="Normal"/>
    <w:rsid w:val="00D244F9"/>
    <w:pPr>
      <w:ind w:left="720"/>
      <w:contextualSpacing/>
    </w:pPr>
    <w:rPr>
      <w:rFonts w:ascii="Arial" w:hAnsi="Arial"/>
      <w:sz w:val="22"/>
      <w:szCs w:val="22"/>
      <w:lang w:val="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DE"/>
    <w:rPr>
      <w:sz w:val="24"/>
      <w:lang w:eastAsia="en-US"/>
    </w:rPr>
  </w:style>
  <w:style w:type="paragraph" w:styleId="Heading1">
    <w:name w:val="heading 1"/>
    <w:aliases w:val="Capítulo"/>
    <w:basedOn w:val="Normal"/>
    <w:next w:val="Normal"/>
    <w:link w:val="Heading1Char"/>
    <w:qFormat/>
    <w:rsid w:val="00A57142"/>
    <w:pPr>
      <w:keepNext/>
      <w:tabs>
        <w:tab w:val="num" w:pos="360"/>
      </w:tabs>
      <w:spacing w:before="240" w:after="60"/>
      <w:outlineLvl w:val="0"/>
    </w:pPr>
    <w:rPr>
      <w:rFonts w:ascii="Arial" w:hAnsi="Arial"/>
      <w:b/>
      <w:kern w:val="28"/>
      <w:sz w:val="28"/>
      <w:lang w:val="es-ES_tradnl"/>
    </w:rPr>
  </w:style>
  <w:style w:type="paragraph" w:styleId="Heading2">
    <w:name w:val="heading 2"/>
    <w:basedOn w:val="Normal"/>
    <w:next w:val="Normal"/>
    <w:link w:val="Heading2Char"/>
    <w:qFormat/>
    <w:rsid w:val="00A57142"/>
    <w:pPr>
      <w:keepNext/>
      <w:tabs>
        <w:tab w:val="num" w:pos="1080"/>
      </w:tabs>
      <w:spacing w:before="240" w:after="60"/>
      <w:ind w:left="720"/>
      <w:outlineLvl w:val="1"/>
    </w:pPr>
    <w:rPr>
      <w:rFonts w:ascii="Arial" w:hAnsi="Arial"/>
      <w:b/>
      <w:i/>
      <w:lang w:val="es-ES_tradnl"/>
    </w:rPr>
  </w:style>
  <w:style w:type="paragraph" w:styleId="Heading3">
    <w:name w:val="heading 3"/>
    <w:basedOn w:val="Normal"/>
    <w:link w:val="Heading3Char"/>
    <w:qFormat/>
    <w:rsid w:val="005745B7"/>
    <w:pPr>
      <w:spacing w:before="100" w:beforeAutospacing="1" w:after="100" w:afterAutospacing="1"/>
      <w:outlineLvl w:val="2"/>
    </w:pPr>
    <w:rPr>
      <w:b/>
      <w:bCs/>
      <w:sz w:val="27"/>
      <w:szCs w:val="27"/>
      <w:lang w:val="es-ES" w:eastAsia="es-ES"/>
    </w:rPr>
  </w:style>
  <w:style w:type="paragraph" w:styleId="Heading4">
    <w:name w:val="heading 4"/>
    <w:basedOn w:val="Normal"/>
    <w:next w:val="Normal"/>
    <w:link w:val="Heading4Char"/>
    <w:qFormat/>
    <w:rsid w:val="00A57142"/>
    <w:pPr>
      <w:keepNext/>
      <w:tabs>
        <w:tab w:val="num" w:pos="2520"/>
      </w:tabs>
      <w:spacing w:before="240" w:after="60"/>
      <w:ind w:left="2160"/>
      <w:outlineLvl w:val="3"/>
    </w:pPr>
    <w:rPr>
      <w:rFonts w:ascii="Arial" w:hAnsi="Arial"/>
      <w:b/>
      <w:lang w:val="es-ES_tradnl"/>
    </w:rPr>
  </w:style>
  <w:style w:type="paragraph" w:styleId="Heading5">
    <w:name w:val="heading 5"/>
    <w:basedOn w:val="Normal"/>
    <w:next w:val="Normal"/>
    <w:link w:val="Heading5Char"/>
    <w:qFormat/>
    <w:rsid w:val="00A57142"/>
    <w:pPr>
      <w:tabs>
        <w:tab w:val="num" w:pos="3240"/>
      </w:tabs>
      <w:spacing w:before="240" w:after="60"/>
      <w:ind w:left="2880"/>
      <w:outlineLvl w:val="4"/>
    </w:pPr>
    <w:rPr>
      <w:sz w:val="22"/>
      <w:lang w:val="es-ES_tradnl"/>
    </w:rPr>
  </w:style>
  <w:style w:type="paragraph" w:styleId="Heading6">
    <w:name w:val="heading 6"/>
    <w:basedOn w:val="Normal"/>
    <w:next w:val="Normal"/>
    <w:link w:val="Heading6Char"/>
    <w:qFormat/>
    <w:rsid w:val="00A57142"/>
    <w:pPr>
      <w:tabs>
        <w:tab w:val="num" w:pos="3960"/>
      </w:tabs>
      <w:spacing w:before="240" w:after="60"/>
      <w:ind w:left="3600"/>
      <w:outlineLvl w:val="5"/>
    </w:pPr>
    <w:rPr>
      <w:i/>
      <w:sz w:val="22"/>
      <w:lang w:val="es-ES_tradnl"/>
    </w:rPr>
  </w:style>
  <w:style w:type="paragraph" w:styleId="Heading7">
    <w:name w:val="heading 7"/>
    <w:basedOn w:val="Normal"/>
    <w:next w:val="Normal"/>
    <w:link w:val="Heading7Char"/>
    <w:qFormat/>
    <w:rsid w:val="00A57142"/>
    <w:pPr>
      <w:tabs>
        <w:tab w:val="num" w:pos="4680"/>
      </w:tabs>
      <w:spacing w:before="240" w:after="60"/>
      <w:ind w:left="4320"/>
      <w:outlineLvl w:val="6"/>
    </w:pPr>
    <w:rPr>
      <w:rFonts w:ascii="Arial" w:hAnsi="Arial"/>
      <w:lang w:val="es-ES_tradnl"/>
    </w:rPr>
  </w:style>
  <w:style w:type="paragraph" w:styleId="Heading8">
    <w:name w:val="heading 8"/>
    <w:basedOn w:val="Normal"/>
    <w:next w:val="Normal"/>
    <w:link w:val="Heading8Char"/>
    <w:qFormat/>
    <w:rsid w:val="00A57142"/>
    <w:pPr>
      <w:tabs>
        <w:tab w:val="num" w:pos="5400"/>
      </w:tabs>
      <w:spacing w:before="240" w:after="60"/>
      <w:ind w:left="5040"/>
      <w:outlineLvl w:val="7"/>
    </w:pPr>
    <w:rPr>
      <w:rFonts w:ascii="Arial" w:hAnsi="Arial"/>
      <w:i/>
      <w:lang w:val="es-ES_tradnl"/>
    </w:rPr>
  </w:style>
  <w:style w:type="paragraph" w:styleId="Heading9">
    <w:name w:val="heading 9"/>
    <w:basedOn w:val="Normal"/>
    <w:next w:val="Normal"/>
    <w:link w:val="Heading9Char"/>
    <w:qFormat/>
    <w:rsid w:val="00A57142"/>
    <w:pPr>
      <w:tabs>
        <w:tab w:val="num" w:pos="6120"/>
      </w:tabs>
      <w:spacing w:before="240" w:after="60"/>
      <w:ind w:left="57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3CDE"/>
    <w:pPr>
      <w:tabs>
        <w:tab w:val="left" w:pos="3060"/>
      </w:tabs>
      <w:jc w:val="center"/>
    </w:pPr>
  </w:style>
  <w:style w:type="paragraph" w:customStyle="1" w:styleId="Chapter">
    <w:name w:val="Chapter"/>
    <w:basedOn w:val="Normal"/>
    <w:next w:val="Normal"/>
    <w:uiPriority w:val="99"/>
    <w:rsid w:val="00133CDE"/>
    <w:pPr>
      <w:numPr>
        <w:numId w:val="1"/>
      </w:numPr>
      <w:tabs>
        <w:tab w:val="left" w:pos="1440"/>
      </w:tabs>
      <w:spacing w:after="240"/>
      <w:jc w:val="center"/>
    </w:pPr>
    <w:rPr>
      <w:b/>
      <w:smallCaps/>
      <w:lang w:val="es-ES"/>
    </w:rPr>
  </w:style>
  <w:style w:type="paragraph" w:styleId="Footer">
    <w:name w:val="footer"/>
    <w:basedOn w:val="Normal"/>
    <w:link w:val="FooterChar"/>
    <w:uiPriority w:val="99"/>
    <w:rsid w:val="00133CDE"/>
    <w:pPr>
      <w:tabs>
        <w:tab w:val="center" w:pos="4320"/>
        <w:tab w:val="right" w:pos="8640"/>
      </w:tabs>
    </w:pPr>
  </w:style>
  <w:style w:type="paragraph" w:styleId="FootnoteText">
    <w:name w:val="footnote text"/>
    <w:aliases w:val="footnote,fn,Texto de rodapé,nota_rodapé,nota de rodapé Car Car,nota de rodapé Car Car Car Car Car Car Car Car Car Car Car,Texto nota pie IIRSA,single space,FOOTNOTES,footnote text,Footnote Text Char Char,ft,Footnote,foottextfra,F"/>
    <w:basedOn w:val="Normal"/>
    <w:link w:val="FootnoteTextChar"/>
    <w:uiPriority w:val="99"/>
    <w:rsid w:val="00133CDE"/>
    <w:rPr>
      <w:sz w:val="20"/>
    </w:rPr>
  </w:style>
  <w:style w:type="paragraph" w:styleId="Header">
    <w:name w:val="header"/>
    <w:basedOn w:val="Normal"/>
    <w:rsid w:val="00133CDE"/>
    <w:pPr>
      <w:tabs>
        <w:tab w:val="center" w:pos="4320"/>
        <w:tab w:val="right" w:pos="8640"/>
      </w:tabs>
    </w:pPr>
  </w:style>
  <w:style w:type="paragraph" w:customStyle="1" w:styleId="Newpage">
    <w:name w:val="Newpage"/>
    <w:basedOn w:val="Chapter"/>
    <w:rsid w:val="00133CDE"/>
    <w:pPr>
      <w:numPr>
        <w:numId w:val="0"/>
      </w:numPr>
      <w:tabs>
        <w:tab w:val="clear" w:pos="1440"/>
        <w:tab w:val="left" w:pos="3060"/>
      </w:tabs>
      <w:spacing w:after="0"/>
    </w:pPr>
  </w:style>
  <w:style w:type="character" w:styleId="PageNumber">
    <w:name w:val="page number"/>
    <w:basedOn w:val="DefaultParagraphFont"/>
    <w:rsid w:val="00133CDE"/>
  </w:style>
  <w:style w:type="paragraph" w:customStyle="1" w:styleId="Paragraph">
    <w:name w:val="Paragraph"/>
    <w:aliases w:val="paragraph,p,PARAGRAPH,PG,pa,at"/>
    <w:basedOn w:val="BodyTextIndent"/>
    <w:link w:val="ParagraphChar"/>
    <w:uiPriority w:val="99"/>
    <w:rsid w:val="00133CDE"/>
    <w:pPr>
      <w:numPr>
        <w:ilvl w:val="1"/>
        <w:numId w:val="1"/>
      </w:numPr>
      <w:spacing w:before="120"/>
      <w:jc w:val="both"/>
      <w:outlineLvl w:val="1"/>
    </w:pPr>
    <w:rPr>
      <w:lang w:val="es-ES"/>
    </w:rPr>
  </w:style>
  <w:style w:type="paragraph" w:customStyle="1" w:styleId="SubSubPar">
    <w:name w:val="SubSubPar"/>
    <w:basedOn w:val="Normal"/>
    <w:uiPriority w:val="99"/>
    <w:rsid w:val="00133CDE"/>
    <w:pPr>
      <w:numPr>
        <w:ilvl w:val="3"/>
        <w:numId w:val="1"/>
      </w:numPr>
      <w:tabs>
        <w:tab w:val="left" w:pos="0"/>
      </w:tabs>
      <w:spacing w:before="120" w:after="120"/>
      <w:jc w:val="both"/>
      <w:outlineLvl w:val="2"/>
    </w:pPr>
    <w:rPr>
      <w:lang w:val="es-ES_tradnl"/>
    </w:rPr>
  </w:style>
  <w:style w:type="paragraph" w:styleId="Title">
    <w:name w:val="Title"/>
    <w:basedOn w:val="Normal"/>
    <w:link w:val="TitleChar"/>
    <w:qFormat/>
    <w:rsid w:val="00133CDE"/>
    <w:pPr>
      <w:tabs>
        <w:tab w:val="left" w:pos="1440"/>
        <w:tab w:val="left" w:pos="3060"/>
      </w:tabs>
      <w:jc w:val="center"/>
      <w:outlineLvl w:val="0"/>
    </w:pPr>
  </w:style>
  <w:style w:type="character" w:styleId="FootnoteReference">
    <w:name w:val="footnote reference"/>
    <w:aliases w:val="FC,ftref"/>
    <w:basedOn w:val="DefaultParagraphFont"/>
    <w:uiPriority w:val="99"/>
    <w:rsid w:val="00133CDE"/>
    <w:rPr>
      <w:vertAlign w:val="superscript"/>
    </w:rPr>
  </w:style>
  <w:style w:type="paragraph" w:styleId="NormalWeb">
    <w:name w:val="Normal (Web)"/>
    <w:basedOn w:val="Normal"/>
    <w:rsid w:val="00133CDE"/>
    <w:pPr>
      <w:spacing w:before="100" w:beforeAutospacing="1" w:after="100" w:afterAutospacing="1"/>
    </w:pPr>
    <w:rPr>
      <w:rFonts w:ascii="Arial Unicode MS" w:eastAsia="Arial Unicode MS" w:hAnsi="Arial Unicode MS" w:cs="Arial Unicode MS"/>
      <w:color w:val="000000"/>
      <w:szCs w:val="24"/>
      <w:lang w:val="en-US"/>
    </w:rPr>
  </w:style>
  <w:style w:type="paragraph" w:styleId="BodyTextIndent">
    <w:name w:val="Body Text Indent"/>
    <w:basedOn w:val="Normal"/>
    <w:rsid w:val="00133CDE"/>
    <w:pPr>
      <w:spacing w:after="120"/>
      <w:ind w:left="283"/>
    </w:pPr>
  </w:style>
  <w:style w:type="paragraph" w:styleId="ListParagraph">
    <w:name w:val="List Paragraph"/>
    <w:basedOn w:val="Normal"/>
    <w:uiPriority w:val="34"/>
    <w:qFormat/>
    <w:rsid w:val="00D76760"/>
    <w:pPr>
      <w:ind w:left="708"/>
    </w:pPr>
  </w:style>
  <w:style w:type="paragraph" w:styleId="ListBullet">
    <w:name w:val="List Bullet"/>
    <w:basedOn w:val="Normal"/>
    <w:uiPriority w:val="99"/>
    <w:unhideWhenUsed/>
    <w:rsid w:val="007E5765"/>
    <w:pPr>
      <w:numPr>
        <w:numId w:val="8"/>
      </w:numPr>
      <w:contextualSpacing/>
    </w:pPr>
  </w:style>
  <w:style w:type="character" w:customStyle="1" w:styleId="FootnoteTextChar">
    <w:name w:val="Footnote Text Char"/>
    <w:aliases w:val="footnote Char,fn Char,Texto de rodapé Char,nota_rodapé Char,nota de rodapé Car Car Char,nota de rodapé Car Car Car Car Car Car Car Car Car Car Car Char,Texto nota pie IIRSA Char,single space Char,FOOTNOTES Char,footnote text Char"/>
    <w:basedOn w:val="DefaultParagraphFont"/>
    <w:link w:val="FootnoteText"/>
    <w:uiPriority w:val="99"/>
    <w:rsid w:val="00ED2E9E"/>
    <w:rPr>
      <w:lang w:val="es-UY" w:eastAsia="en-US"/>
    </w:rPr>
  </w:style>
  <w:style w:type="character" w:customStyle="1" w:styleId="TitleChar">
    <w:name w:val="Title Char"/>
    <w:link w:val="Title"/>
    <w:rsid w:val="0019618A"/>
    <w:rPr>
      <w:sz w:val="24"/>
      <w:lang w:eastAsia="en-US"/>
    </w:rPr>
  </w:style>
  <w:style w:type="character" w:customStyle="1" w:styleId="BodyTextChar">
    <w:name w:val="Body Text Char"/>
    <w:link w:val="BodyText"/>
    <w:rsid w:val="0019618A"/>
    <w:rPr>
      <w:sz w:val="24"/>
      <w:lang w:eastAsia="en-US"/>
    </w:rPr>
  </w:style>
  <w:style w:type="paragraph" w:styleId="BalloonText">
    <w:name w:val="Balloon Text"/>
    <w:basedOn w:val="Normal"/>
    <w:link w:val="BalloonTextChar"/>
    <w:uiPriority w:val="99"/>
    <w:semiHidden/>
    <w:unhideWhenUsed/>
    <w:rsid w:val="00457E82"/>
    <w:rPr>
      <w:rFonts w:ascii="Tahoma" w:hAnsi="Tahoma" w:cs="Tahoma"/>
      <w:sz w:val="16"/>
      <w:szCs w:val="16"/>
    </w:rPr>
  </w:style>
  <w:style w:type="character" w:customStyle="1" w:styleId="BalloonTextChar">
    <w:name w:val="Balloon Text Char"/>
    <w:basedOn w:val="DefaultParagraphFont"/>
    <w:link w:val="BalloonText"/>
    <w:uiPriority w:val="99"/>
    <w:semiHidden/>
    <w:rsid w:val="00457E82"/>
    <w:rPr>
      <w:rFonts w:ascii="Tahoma" w:hAnsi="Tahoma" w:cs="Tahoma"/>
      <w:sz w:val="16"/>
      <w:szCs w:val="16"/>
      <w:lang w:eastAsia="en-US"/>
    </w:rPr>
  </w:style>
  <w:style w:type="character" w:customStyle="1" w:styleId="FooterChar">
    <w:name w:val="Footer Char"/>
    <w:basedOn w:val="DefaultParagraphFont"/>
    <w:link w:val="Footer"/>
    <w:uiPriority w:val="99"/>
    <w:rsid w:val="00C659A7"/>
    <w:rPr>
      <w:sz w:val="24"/>
      <w:lang w:eastAsia="en-US"/>
    </w:rPr>
  </w:style>
  <w:style w:type="character" w:styleId="CommentReference">
    <w:name w:val="annotation reference"/>
    <w:basedOn w:val="DefaultParagraphFont"/>
    <w:uiPriority w:val="99"/>
    <w:semiHidden/>
    <w:unhideWhenUsed/>
    <w:rsid w:val="001A29BF"/>
    <w:rPr>
      <w:sz w:val="16"/>
      <w:szCs w:val="16"/>
    </w:rPr>
  </w:style>
  <w:style w:type="paragraph" w:styleId="CommentText">
    <w:name w:val="annotation text"/>
    <w:basedOn w:val="Normal"/>
    <w:link w:val="CommentTextChar"/>
    <w:uiPriority w:val="99"/>
    <w:semiHidden/>
    <w:unhideWhenUsed/>
    <w:rsid w:val="001A29BF"/>
    <w:rPr>
      <w:sz w:val="20"/>
    </w:rPr>
  </w:style>
  <w:style w:type="character" w:customStyle="1" w:styleId="CommentTextChar">
    <w:name w:val="Comment Text Char"/>
    <w:basedOn w:val="DefaultParagraphFont"/>
    <w:link w:val="CommentText"/>
    <w:uiPriority w:val="99"/>
    <w:semiHidden/>
    <w:rsid w:val="001A29BF"/>
    <w:rPr>
      <w:lang w:eastAsia="en-US"/>
    </w:rPr>
  </w:style>
  <w:style w:type="paragraph" w:styleId="CommentSubject">
    <w:name w:val="annotation subject"/>
    <w:basedOn w:val="CommentText"/>
    <w:next w:val="CommentText"/>
    <w:link w:val="CommentSubjectChar"/>
    <w:uiPriority w:val="99"/>
    <w:semiHidden/>
    <w:unhideWhenUsed/>
    <w:rsid w:val="001A29BF"/>
    <w:rPr>
      <w:b/>
      <w:bCs/>
    </w:rPr>
  </w:style>
  <w:style w:type="character" w:customStyle="1" w:styleId="CommentSubjectChar">
    <w:name w:val="Comment Subject Char"/>
    <w:basedOn w:val="CommentTextChar"/>
    <w:link w:val="CommentSubject"/>
    <w:uiPriority w:val="99"/>
    <w:semiHidden/>
    <w:rsid w:val="001A29BF"/>
    <w:rPr>
      <w:b/>
      <w:bCs/>
      <w:lang w:eastAsia="en-US"/>
    </w:rPr>
  </w:style>
  <w:style w:type="character" w:styleId="Emphasis">
    <w:name w:val="Emphasis"/>
    <w:basedOn w:val="DefaultParagraphFont"/>
    <w:uiPriority w:val="20"/>
    <w:qFormat/>
    <w:rsid w:val="005C3FF0"/>
    <w:rPr>
      <w:b/>
      <w:bCs/>
      <w:i w:val="0"/>
      <w:iCs w:val="0"/>
    </w:rPr>
  </w:style>
  <w:style w:type="character" w:customStyle="1" w:styleId="st">
    <w:name w:val="st"/>
    <w:basedOn w:val="DefaultParagraphFont"/>
    <w:rsid w:val="005C3FF0"/>
  </w:style>
  <w:style w:type="character" w:customStyle="1" w:styleId="hps">
    <w:name w:val="hps"/>
    <w:basedOn w:val="DefaultParagraphFont"/>
    <w:rsid w:val="00982661"/>
  </w:style>
  <w:style w:type="character" w:customStyle="1" w:styleId="atn">
    <w:name w:val="atn"/>
    <w:basedOn w:val="DefaultParagraphFont"/>
    <w:rsid w:val="00982661"/>
  </w:style>
  <w:style w:type="character" w:customStyle="1" w:styleId="Heading3Char">
    <w:name w:val="Heading 3 Char"/>
    <w:basedOn w:val="DefaultParagraphFont"/>
    <w:link w:val="Heading3"/>
    <w:uiPriority w:val="9"/>
    <w:rsid w:val="005745B7"/>
    <w:rPr>
      <w:b/>
      <w:bCs/>
      <w:sz w:val="27"/>
      <w:szCs w:val="27"/>
      <w:lang w:val="es-ES" w:eastAsia="es-ES"/>
    </w:rPr>
  </w:style>
  <w:style w:type="character" w:styleId="Hyperlink">
    <w:name w:val="Hyperlink"/>
    <w:basedOn w:val="DefaultParagraphFont"/>
    <w:uiPriority w:val="99"/>
    <w:unhideWhenUsed/>
    <w:rsid w:val="005745B7"/>
    <w:rPr>
      <w:rFonts w:ascii="Arial" w:hAnsi="Arial" w:cs="Arial" w:hint="default"/>
      <w:strike w:val="0"/>
      <w:dstrike w:val="0"/>
      <w:color w:val="1122CC"/>
      <w:u w:val="none"/>
      <w:effect w:val="none"/>
    </w:rPr>
  </w:style>
  <w:style w:type="paragraph" w:customStyle="1" w:styleId="Default">
    <w:name w:val="Default"/>
    <w:rsid w:val="00EE497F"/>
    <w:pPr>
      <w:autoSpaceDE w:val="0"/>
      <w:autoSpaceDN w:val="0"/>
      <w:adjustRightInd w:val="0"/>
    </w:pPr>
    <w:rPr>
      <w:color w:val="000000"/>
      <w:sz w:val="24"/>
      <w:szCs w:val="24"/>
      <w:lang w:val="es-ES"/>
    </w:rPr>
  </w:style>
  <w:style w:type="paragraph" w:styleId="BodyTextIndent2">
    <w:name w:val="Body Text Indent 2"/>
    <w:basedOn w:val="Normal"/>
    <w:link w:val="BodyTextIndent2Char"/>
    <w:uiPriority w:val="99"/>
    <w:semiHidden/>
    <w:unhideWhenUsed/>
    <w:rsid w:val="00324200"/>
    <w:pPr>
      <w:spacing w:after="120" w:line="480" w:lineRule="auto"/>
      <w:ind w:left="283"/>
    </w:pPr>
  </w:style>
  <w:style w:type="character" w:customStyle="1" w:styleId="BodyTextIndent2Char">
    <w:name w:val="Body Text Indent 2 Char"/>
    <w:basedOn w:val="DefaultParagraphFont"/>
    <w:link w:val="BodyTextIndent2"/>
    <w:uiPriority w:val="99"/>
    <w:semiHidden/>
    <w:rsid w:val="00324200"/>
    <w:rPr>
      <w:sz w:val="24"/>
      <w:lang w:eastAsia="en-US"/>
    </w:rPr>
  </w:style>
  <w:style w:type="paragraph" w:customStyle="1" w:styleId="subpar">
    <w:name w:val="subpar"/>
    <w:basedOn w:val="BodyTextIndent3"/>
    <w:uiPriority w:val="99"/>
    <w:rsid w:val="00B86DA4"/>
  </w:style>
  <w:style w:type="character" w:customStyle="1" w:styleId="ParagraphChar">
    <w:name w:val="Paragraph Char"/>
    <w:link w:val="Paragraph"/>
    <w:uiPriority w:val="99"/>
    <w:locked/>
    <w:rsid w:val="00B86DA4"/>
    <w:rPr>
      <w:sz w:val="24"/>
      <w:lang w:val="es-ES" w:eastAsia="en-US"/>
    </w:rPr>
  </w:style>
  <w:style w:type="paragraph" w:styleId="BodyTextIndent3">
    <w:name w:val="Body Text Indent 3"/>
    <w:basedOn w:val="Normal"/>
    <w:link w:val="BodyTextIndent3Char"/>
    <w:uiPriority w:val="99"/>
    <w:semiHidden/>
    <w:unhideWhenUsed/>
    <w:rsid w:val="00B86DA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86DA4"/>
    <w:rPr>
      <w:sz w:val="16"/>
      <w:szCs w:val="16"/>
      <w:lang w:eastAsia="en-US"/>
    </w:rPr>
  </w:style>
  <w:style w:type="character" w:customStyle="1" w:styleId="Heading1Char">
    <w:name w:val="Heading 1 Char"/>
    <w:aliases w:val="Capítulo Char"/>
    <w:basedOn w:val="DefaultParagraphFont"/>
    <w:link w:val="Heading1"/>
    <w:rsid w:val="00A57142"/>
    <w:rPr>
      <w:rFonts w:ascii="Arial" w:hAnsi="Arial"/>
      <w:b/>
      <w:kern w:val="28"/>
      <w:sz w:val="28"/>
      <w:lang w:val="es-ES_tradnl" w:eastAsia="en-US"/>
    </w:rPr>
  </w:style>
  <w:style w:type="character" w:customStyle="1" w:styleId="Heading2Char">
    <w:name w:val="Heading 2 Char"/>
    <w:basedOn w:val="DefaultParagraphFont"/>
    <w:link w:val="Heading2"/>
    <w:rsid w:val="00A57142"/>
    <w:rPr>
      <w:rFonts w:ascii="Arial" w:hAnsi="Arial"/>
      <w:b/>
      <w:i/>
      <w:sz w:val="24"/>
      <w:lang w:val="es-ES_tradnl" w:eastAsia="en-US"/>
    </w:rPr>
  </w:style>
  <w:style w:type="character" w:customStyle="1" w:styleId="Heading4Char">
    <w:name w:val="Heading 4 Char"/>
    <w:basedOn w:val="DefaultParagraphFont"/>
    <w:link w:val="Heading4"/>
    <w:rsid w:val="00A57142"/>
    <w:rPr>
      <w:rFonts w:ascii="Arial" w:hAnsi="Arial"/>
      <w:b/>
      <w:sz w:val="24"/>
      <w:lang w:val="es-ES_tradnl" w:eastAsia="en-US"/>
    </w:rPr>
  </w:style>
  <w:style w:type="character" w:customStyle="1" w:styleId="Heading5Char">
    <w:name w:val="Heading 5 Char"/>
    <w:basedOn w:val="DefaultParagraphFont"/>
    <w:link w:val="Heading5"/>
    <w:rsid w:val="00A57142"/>
    <w:rPr>
      <w:sz w:val="22"/>
      <w:lang w:val="es-ES_tradnl" w:eastAsia="en-US"/>
    </w:rPr>
  </w:style>
  <w:style w:type="character" w:customStyle="1" w:styleId="Heading6Char">
    <w:name w:val="Heading 6 Char"/>
    <w:basedOn w:val="DefaultParagraphFont"/>
    <w:link w:val="Heading6"/>
    <w:rsid w:val="00A57142"/>
    <w:rPr>
      <w:i/>
      <w:sz w:val="22"/>
      <w:lang w:val="es-ES_tradnl" w:eastAsia="en-US"/>
    </w:rPr>
  </w:style>
  <w:style w:type="character" w:customStyle="1" w:styleId="Heading7Char">
    <w:name w:val="Heading 7 Char"/>
    <w:basedOn w:val="DefaultParagraphFont"/>
    <w:link w:val="Heading7"/>
    <w:rsid w:val="00A57142"/>
    <w:rPr>
      <w:rFonts w:ascii="Arial" w:hAnsi="Arial"/>
      <w:sz w:val="24"/>
      <w:lang w:val="es-ES_tradnl" w:eastAsia="en-US"/>
    </w:rPr>
  </w:style>
  <w:style w:type="character" w:customStyle="1" w:styleId="Heading8Char">
    <w:name w:val="Heading 8 Char"/>
    <w:basedOn w:val="DefaultParagraphFont"/>
    <w:link w:val="Heading8"/>
    <w:rsid w:val="00A57142"/>
    <w:rPr>
      <w:rFonts w:ascii="Arial" w:hAnsi="Arial"/>
      <w:i/>
      <w:sz w:val="24"/>
      <w:lang w:val="es-ES_tradnl" w:eastAsia="en-US"/>
    </w:rPr>
  </w:style>
  <w:style w:type="character" w:customStyle="1" w:styleId="Heading9Char">
    <w:name w:val="Heading 9 Char"/>
    <w:basedOn w:val="DefaultParagraphFont"/>
    <w:link w:val="Heading9"/>
    <w:rsid w:val="00A57142"/>
    <w:rPr>
      <w:rFonts w:ascii="Arial" w:hAnsi="Arial"/>
      <w:b/>
      <w:i/>
      <w:sz w:val="18"/>
      <w:lang w:val="es-ES_tradnl" w:eastAsia="en-US"/>
    </w:rPr>
  </w:style>
  <w:style w:type="table" w:styleId="TableGrid">
    <w:name w:val="Table Grid"/>
    <w:basedOn w:val="TableNormal"/>
    <w:rsid w:val="00A5714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Nivel2Izquierda0cmSangrafrancesa12cm">
    <w:name w:val="Estilo Nivel 2 + Izquierda:  0 cm Sangría francesa:  12 cm"/>
    <w:basedOn w:val="Normal"/>
    <w:rsid w:val="0020563B"/>
    <w:pPr>
      <w:tabs>
        <w:tab w:val="num" w:pos="705"/>
      </w:tabs>
      <w:ind w:left="705" w:hanging="705"/>
    </w:pPr>
    <w:rPr>
      <w:rFonts w:ascii="Arial" w:hAnsi="Arial"/>
      <w:b/>
      <w:bCs/>
      <w:szCs w:val="22"/>
      <w:u w:val="single"/>
      <w:lang w:val="es-MX" w:bidi="en-US"/>
    </w:rPr>
  </w:style>
  <w:style w:type="paragraph" w:customStyle="1" w:styleId="Prrafodelista1">
    <w:name w:val="Párrafo de lista1"/>
    <w:basedOn w:val="Normal"/>
    <w:rsid w:val="00D244F9"/>
    <w:pPr>
      <w:ind w:left="720"/>
      <w:contextualSpacing/>
    </w:pPr>
    <w:rPr>
      <w:rFonts w:ascii="Arial" w:hAnsi="Arial"/>
      <w:sz w:val="22"/>
      <w:szCs w:val="22"/>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8351">
      <w:bodyDiv w:val="1"/>
      <w:marLeft w:val="0"/>
      <w:marRight w:val="0"/>
      <w:marTop w:val="0"/>
      <w:marBottom w:val="0"/>
      <w:divBdr>
        <w:top w:val="none" w:sz="0" w:space="0" w:color="auto"/>
        <w:left w:val="none" w:sz="0" w:space="0" w:color="auto"/>
        <w:bottom w:val="none" w:sz="0" w:space="0" w:color="auto"/>
        <w:right w:val="none" w:sz="0" w:space="0" w:color="auto"/>
      </w:divBdr>
    </w:div>
    <w:div w:id="248932520">
      <w:bodyDiv w:val="1"/>
      <w:marLeft w:val="0"/>
      <w:marRight w:val="0"/>
      <w:marTop w:val="0"/>
      <w:marBottom w:val="0"/>
      <w:divBdr>
        <w:top w:val="none" w:sz="0" w:space="0" w:color="auto"/>
        <w:left w:val="none" w:sz="0" w:space="0" w:color="auto"/>
        <w:bottom w:val="none" w:sz="0" w:space="0" w:color="auto"/>
        <w:right w:val="none" w:sz="0" w:space="0" w:color="auto"/>
      </w:divBdr>
      <w:divsChild>
        <w:div w:id="2103184545">
          <w:marLeft w:val="0"/>
          <w:marRight w:val="0"/>
          <w:marTop w:val="0"/>
          <w:marBottom w:val="0"/>
          <w:divBdr>
            <w:top w:val="none" w:sz="0" w:space="0" w:color="auto"/>
            <w:left w:val="none" w:sz="0" w:space="0" w:color="auto"/>
            <w:bottom w:val="none" w:sz="0" w:space="0" w:color="auto"/>
            <w:right w:val="none" w:sz="0" w:space="0" w:color="auto"/>
          </w:divBdr>
          <w:divsChild>
            <w:div w:id="1661881773">
              <w:marLeft w:val="0"/>
              <w:marRight w:val="0"/>
              <w:marTop w:val="0"/>
              <w:marBottom w:val="0"/>
              <w:divBdr>
                <w:top w:val="none" w:sz="0" w:space="0" w:color="auto"/>
                <w:left w:val="none" w:sz="0" w:space="0" w:color="auto"/>
                <w:bottom w:val="none" w:sz="0" w:space="0" w:color="auto"/>
                <w:right w:val="none" w:sz="0" w:space="0" w:color="auto"/>
              </w:divBdr>
              <w:divsChild>
                <w:div w:id="723796999">
                  <w:marLeft w:val="0"/>
                  <w:marRight w:val="0"/>
                  <w:marTop w:val="0"/>
                  <w:marBottom w:val="0"/>
                  <w:divBdr>
                    <w:top w:val="none" w:sz="0" w:space="0" w:color="auto"/>
                    <w:left w:val="none" w:sz="0" w:space="0" w:color="auto"/>
                    <w:bottom w:val="none" w:sz="0" w:space="0" w:color="auto"/>
                    <w:right w:val="none" w:sz="0" w:space="0" w:color="auto"/>
                  </w:divBdr>
                  <w:divsChild>
                    <w:div w:id="1891721948">
                      <w:marLeft w:val="0"/>
                      <w:marRight w:val="0"/>
                      <w:marTop w:val="0"/>
                      <w:marBottom w:val="0"/>
                      <w:divBdr>
                        <w:top w:val="none" w:sz="0" w:space="0" w:color="auto"/>
                        <w:left w:val="none" w:sz="0" w:space="0" w:color="auto"/>
                        <w:bottom w:val="none" w:sz="0" w:space="0" w:color="auto"/>
                        <w:right w:val="none" w:sz="0" w:space="0" w:color="auto"/>
                      </w:divBdr>
                      <w:divsChild>
                        <w:div w:id="1675762803">
                          <w:marLeft w:val="0"/>
                          <w:marRight w:val="0"/>
                          <w:marTop w:val="0"/>
                          <w:marBottom w:val="0"/>
                          <w:divBdr>
                            <w:top w:val="none" w:sz="0" w:space="0" w:color="auto"/>
                            <w:left w:val="none" w:sz="0" w:space="0" w:color="auto"/>
                            <w:bottom w:val="none" w:sz="0" w:space="0" w:color="auto"/>
                            <w:right w:val="none" w:sz="0" w:space="0" w:color="auto"/>
                          </w:divBdr>
                          <w:divsChild>
                            <w:div w:id="1514686114">
                              <w:marLeft w:val="0"/>
                              <w:marRight w:val="0"/>
                              <w:marTop w:val="0"/>
                              <w:marBottom w:val="0"/>
                              <w:divBdr>
                                <w:top w:val="none" w:sz="0" w:space="0" w:color="auto"/>
                                <w:left w:val="none" w:sz="0" w:space="0" w:color="auto"/>
                                <w:bottom w:val="none" w:sz="0" w:space="0" w:color="auto"/>
                                <w:right w:val="none" w:sz="0" w:space="0" w:color="auto"/>
                              </w:divBdr>
                              <w:divsChild>
                                <w:div w:id="1035229613">
                                  <w:marLeft w:val="0"/>
                                  <w:marRight w:val="0"/>
                                  <w:marTop w:val="0"/>
                                  <w:marBottom w:val="0"/>
                                  <w:divBdr>
                                    <w:top w:val="none" w:sz="0" w:space="0" w:color="auto"/>
                                    <w:left w:val="none" w:sz="0" w:space="0" w:color="auto"/>
                                    <w:bottom w:val="none" w:sz="0" w:space="0" w:color="auto"/>
                                    <w:right w:val="none" w:sz="0" w:space="0" w:color="auto"/>
                                  </w:divBdr>
                                  <w:divsChild>
                                    <w:div w:id="2123725517">
                                      <w:marLeft w:val="0"/>
                                      <w:marRight w:val="0"/>
                                      <w:marTop w:val="0"/>
                                      <w:marBottom w:val="0"/>
                                      <w:divBdr>
                                        <w:top w:val="none" w:sz="0" w:space="0" w:color="auto"/>
                                        <w:left w:val="none" w:sz="0" w:space="0" w:color="auto"/>
                                        <w:bottom w:val="none" w:sz="0" w:space="0" w:color="auto"/>
                                        <w:right w:val="none" w:sz="0" w:space="0" w:color="auto"/>
                                      </w:divBdr>
                                      <w:divsChild>
                                        <w:div w:id="1445080864">
                                          <w:marLeft w:val="0"/>
                                          <w:marRight w:val="0"/>
                                          <w:marTop w:val="0"/>
                                          <w:marBottom w:val="0"/>
                                          <w:divBdr>
                                            <w:top w:val="none" w:sz="0" w:space="0" w:color="auto"/>
                                            <w:left w:val="none" w:sz="0" w:space="0" w:color="auto"/>
                                            <w:bottom w:val="none" w:sz="0" w:space="0" w:color="auto"/>
                                            <w:right w:val="none" w:sz="0" w:space="0" w:color="auto"/>
                                          </w:divBdr>
                                          <w:divsChild>
                                            <w:div w:id="1037511512">
                                              <w:marLeft w:val="0"/>
                                              <w:marRight w:val="0"/>
                                              <w:marTop w:val="0"/>
                                              <w:marBottom w:val="0"/>
                                              <w:divBdr>
                                                <w:top w:val="none" w:sz="0" w:space="0" w:color="auto"/>
                                                <w:left w:val="none" w:sz="0" w:space="0" w:color="auto"/>
                                                <w:bottom w:val="none" w:sz="0" w:space="0" w:color="auto"/>
                                                <w:right w:val="none" w:sz="0" w:space="0" w:color="auto"/>
                                              </w:divBdr>
                                              <w:divsChild>
                                                <w:div w:id="4814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071689">
      <w:bodyDiv w:val="1"/>
      <w:marLeft w:val="0"/>
      <w:marRight w:val="0"/>
      <w:marTop w:val="0"/>
      <w:marBottom w:val="0"/>
      <w:divBdr>
        <w:top w:val="none" w:sz="0" w:space="0" w:color="auto"/>
        <w:left w:val="none" w:sz="0" w:space="0" w:color="auto"/>
        <w:bottom w:val="none" w:sz="0" w:space="0" w:color="auto"/>
        <w:right w:val="none" w:sz="0" w:space="0" w:color="auto"/>
      </w:divBdr>
    </w:div>
    <w:div w:id="429620384">
      <w:bodyDiv w:val="1"/>
      <w:marLeft w:val="0"/>
      <w:marRight w:val="0"/>
      <w:marTop w:val="0"/>
      <w:marBottom w:val="0"/>
      <w:divBdr>
        <w:top w:val="none" w:sz="0" w:space="0" w:color="auto"/>
        <w:left w:val="none" w:sz="0" w:space="0" w:color="auto"/>
        <w:bottom w:val="none" w:sz="0" w:space="0" w:color="auto"/>
        <w:right w:val="none" w:sz="0" w:space="0" w:color="auto"/>
      </w:divBdr>
    </w:div>
    <w:div w:id="535311516">
      <w:bodyDiv w:val="1"/>
      <w:marLeft w:val="0"/>
      <w:marRight w:val="0"/>
      <w:marTop w:val="0"/>
      <w:marBottom w:val="0"/>
      <w:divBdr>
        <w:top w:val="none" w:sz="0" w:space="0" w:color="auto"/>
        <w:left w:val="none" w:sz="0" w:space="0" w:color="auto"/>
        <w:bottom w:val="none" w:sz="0" w:space="0" w:color="auto"/>
        <w:right w:val="none" w:sz="0" w:space="0" w:color="auto"/>
      </w:divBdr>
    </w:div>
    <w:div w:id="550460998">
      <w:bodyDiv w:val="1"/>
      <w:marLeft w:val="0"/>
      <w:marRight w:val="0"/>
      <w:marTop w:val="0"/>
      <w:marBottom w:val="0"/>
      <w:divBdr>
        <w:top w:val="none" w:sz="0" w:space="0" w:color="auto"/>
        <w:left w:val="none" w:sz="0" w:space="0" w:color="auto"/>
        <w:bottom w:val="none" w:sz="0" w:space="0" w:color="auto"/>
        <w:right w:val="none" w:sz="0" w:space="0" w:color="auto"/>
      </w:divBdr>
    </w:div>
    <w:div w:id="687293880">
      <w:bodyDiv w:val="1"/>
      <w:marLeft w:val="0"/>
      <w:marRight w:val="0"/>
      <w:marTop w:val="0"/>
      <w:marBottom w:val="0"/>
      <w:divBdr>
        <w:top w:val="none" w:sz="0" w:space="0" w:color="auto"/>
        <w:left w:val="none" w:sz="0" w:space="0" w:color="auto"/>
        <w:bottom w:val="none" w:sz="0" w:space="0" w:color="auto"/>
        <w:right w:val="none" w:sz="0" w:space="0" w:color="auto"/>
      </w:divBdr>
    </w:div>
    <w:div w:id="702052578">
      <w:bodyDiv w:val="1"/>
      <w:marLeft w:val="0"/>
      <w:marRight w:val="0"/>
      <w:marTop w:val="0"/>
      <w:marBottom w:val="0"/>
      <w:divBdr>
        <w:top w:val="none" w:sz="0" w:space="0" w:color="auto"/>
        <w:left w:val="none" w:sz="0" w:space="0" w:color="auto"/>
        <w:bottom w:val="none" w:sz="0" w:space="0" w:color="auto"/>
        <w:right w:val="none" w:sz="0" w:space="0" w:color="auto"/>
      </w:divBdr>
    </w:div>
    <w:div w:id="754013565">
      <w:bodyDiv w:val="1"/>
      <w:marLeft w:val="0"/>
      <w:marRight w:val="0"/>
      <w:marTop w:val="0"/>
      <w:marBottom w:val="0"/>
      <w:divBdr>
        <w:top w:val="none" w:sz="0" w:space="0" w:color="auto"/>
        <w:left w:val="none" w:sz="0" w:space="0" w:color="auto"/>
        <w:bottom w:val="none" w:sz="0" w:space="0" w:color="auto"/>
        <w:right w:val="none" w:sz="0" w:space="0" w:color="auto"/>
      </w:divBdr>
    </w:div>
    <w:div w:id="951791218">
      <w:bodyDiv w:val="1"/>
      <w:marLeft w:val="0"/>
      <w:marRight w:val="0"/>
      <w:marTop w:val="0"/>
      <w:marBottom w:val="0"/>
      <w:divBdr>
        <w:top w:val="none" w:sz="0" w:space="0" w:color="auto"/>
        <w:left w:val="none" w:sz="0" w:space="0" w:color="auto"/>
        <w:bottom w:val="none" w:sz="0" w:space="0" w:color="auto"/>
        <w:right w:val="none" w:sz="0" w:space="0" w:color="auto"/>
      </w:divBdr>
    </w:div>
    <w:div w:id="1069310624">
      <w:bodyDiv w:val="1"/>
      <w:marLeft w:val="0"/>
      <w:marRight w:val="0"/>
      <w:marTop w:val="0"/>
      <w:marBottom w:val="0"/>
      <w:divBdr>
        <w:top w:val="none" w:sz="0" w:space="0" w:color="auto"/>
        <w:left w:val="none" w:sz="0" w:space="0" w:color="auto"/>
        <w:bottom w:val="none" w:sz="0" w:space="0" w:color="auto"/>
        <w:right w:val="none" w:sz="0" w:space="0" w:color="auto"/>
      </w:divBdr>
    </w:div>
    <w:div w:id="1099713746">
      <w:bodyDiv w:val="1"/>
      <w:marLeft w:val="0"/>
      <w:marRight w:val="0"/>
      <w:marTop w:val="0"/>
      <w:marBottom w:val="0"/>
      <w:divBdr>
        <w:top w:val="none" w:sz="0" w:space="0" w:color="auto"/>
        <w:left w:val="none" w:sz="0" w:space="0" w:color="auto"/>
        <w:bottom w:val="none" w:sz="0" w:space="0" w:color="auto"/>
        <w:right w:val="none" w:sz="0" w:space="0" w:color="auto"/>
      </w:divBdr>
    </w:div>
    <w:div w:id="1249122358">
      <w:bodyDiv w:val="1"/>
      <w:marLeft w:val="0"/>
      <w:marRight w:val="0"/>
      <w:marTop w:val="0"/>
      <w:marBottom w:val="0"/>
      <w:divBdr>
        <w:top w:val="none" w:sz="0" w:space="0" w:color="auto"/>
        <w:left w:val="none" w:sz="0" w:space="0" w:color="auto"/>
        <w:bottom w:val="none" w:sz="0" w:space="0" w:color="auto"/>
        <w:right w:val="none" w:sz="0" w:space="0" w:color="auto"/>
      </w:divBdr>
    </w:div>
    <w:div w:id="1259602292">
      <w:bodyDiv w:val="1"/>
      <w:marLeft w:val="0"/>
      <w:marRight w:val="0"/>
      <w:marTop w:val="0"/>
      <w:marBottom w:val="0"/>
      <w:divBdr>
        <w:top w:val="none" w:sz="0" w:space="0" w:color="auto"/>
        <w:left w:val="none" w:sz="0" w:space="0" w:color="auto"/>
        <w:bottom w:val="none" w:sz="0" w:space="0" w:color="auto"/>
        <w:right w:val="none" w:sz="0" w:space="0" w:color="auto"/>
      </w:divBdr>
    </w:div>
    <w:div w:id="1277522305">
      <w:bodyDiv w:val="1"/>
      <w:marLeft w:val="0"/>
      <w:marRight w:val="0"/>
      <w:marTop w:val="0"/>
      <w:marBottom w:val="0"/>
      <w:divBdr>
        <w:top w:val="none" w:sz="0" w:space="0" w:color="auto"/>
        <w:left w:val="none" w:sz="0" w:space="0" w:color="auto"/>
        <w:bottom w:val="none" w:sz="0" w:space="0" w:color="auto"/>
        <w:right w:val="none" w:sz="0" w:space="0" w:color="auto"/>
      </w:divBdr>
    </w:div>
    <w:div w:id="1509632395">
      <w:bodyDiv w:val="1"/>
      <w:marLeft w:val="0"/>
      <w:marRight w:val="0"/>
      <w:marTop w:val="0"/>
      <w:marBottom w:val="0"/>
      <w:divBdr>
        <w:top w:val="none" w:sz="0" w:space="0" w:color="auto"/>
        <w:left w:val="none" w:sz="0" w:space="0" w:color="auto"/>
        <w:bottom w:val="none" w:sz="0" w:space="0" w:color="auto"/>
        <w:right w:val="none" w:sz="0" w:space="0" w:color="auto"/>
      </w:divBdr>
    </w:div>
    <w:div w:id="1513762092">
      <w:bodyDiv w:val="1"/>
      <w:marLeft w:val="0"/>
      <w:marRight w:val="0"/>
      <w:marTop w:val="0"/>
      <w:marBottom w:val="0"/>
      <w:divBdr>
        <w:top w:val="none" w:sz="0" w:space="0" w:color="auto"/>
        <w:left w:val="none" w:sz="0" w:space="0" w:color="auto"/>
        <w:bottom w:val="none" w:sz="0" w:space="0" w:color="auto"/>
        <w:right w:val="none" w:sz="0" w:space="0" w:color="auto"/>
      </w:divBdr>
    </w:div>
    <w:div w:id="1752972569">
      <w:bodyDiv w:val="1"/>
      <w:marLeft w:val="0"/>
      <w:marRight w:val="0"/>
      <w:marTop w:val="0"/>
      <w:marBottom w:val="0"/>
      <w:divBdr>
        <w:top w:val="none" w:sz="0" w:space="0" w:color="auto"/>
        <w:left w:val="none" w:sz="0" w:space="0" w:color="auto"/>
        <w:bottom w:val="none" w:sz="0" w:space="0" w:color="auto"/>
        <w:right w:val="none" w:sz="0" w:space="0" w:color="auto"/>
      </w:divBdr>
    </w:div>
    <w:div w:id="1806971147">
      <w:bodyDiv w:val="1"/>
      <w:marLeft w:val="0"/>
      <w:marRight w:val="0"/>
      <w:marTop w:val="0"/>
      <w:marBottom w:val="0"/>
      <w:divBdr>
        <w:top w:val="none" w:sz="0" w:space="0" w:color="auto"/>
        <w:left w:val="none" w:sz="0" w:space="0" w:color="auto"/>
        <w:bottom w:val="none" w:sz="0" w:space="0" w:color="auto"/>
        <w:right w:val="none" w:sz="0" w:space="0" w:color="auto"/>
      </w:divBdr>
      <w:divsChild>
        <w:div w:id="959990151">
          <w:marLeft w:val="0"/>
          <w:marRight w:val="0"/>
          <w:marTop w:val="0"/>
          <w:marBottom w:val="0"/>
          <w:divBdr>
            <w:top w:val="none" w:sz="0" w:space="0" w:color="auto"/>
            <w:left w:val="none" w:sz="0" w:space="0" w:color="auto"/>
            <w:bottom w:val="none" w:sz="0" w:space="0" w:color="auto"/>
            <w:right w:val="none" w:sz="0" w:space="0" w:color="auto"/>
          </w:divBdr>
          <w:divsChild>
            <w:div w:id="1480416354">
              <w:marLeft w:val="0"/>
              <w:marRight w:val="0"/>
              <w:marTop w:val="0"/>
              <w:marBottom w:val="0"/>
              <w:divBdr>
                <w:top w:val="none" w:sz="0" w:space="0" w:color="auto"/>
                <w:left w:val="none" w:sz="0" w:space="0" w:color="auto"/>
                <w:bottom w:val="none" w:sz="0" w:space="0" w:color="auto"/>
                <w:right w:val="none" w:sz="0" w:space="0" w:color="auto"/>
              </w:divBdr>
              <w:divsChild>
                <w:div w:id="601569763">
                  <w:marLeft w:val="0"/>
                  <w:marRight w:val="0"/>
                  <w:marTop w:val="0"/>
                  <w:marBottom w:val="0"/>
                  <w:divBdr>
                    <w:top w:val="none" w:sz="0" w:space="0" w:color="auto"/>
                    <w:left w:val="none" w:sz="0" w:space="0" w:color="auto"/>
                    <w:bottom w:val="none" w:sz="0" w:space="0" w:color="auto"/>
                    <w:right w:val="none" w:sz="0" w:space="0" w:color="auto"/>
                  </w:divBdr>
                  <w:divsChild>
                    <w:div w:id="266817592">
                      <w:marLeft w:val="0"/>
                      <w:marRight w:val="0"/>
                      <w:marTop w:val="0"/>
                      <w:marBottom w:val="0"/>
                      <w:divBdr>
                        <w:top w:val="none" w:sz="0" w:space="0" w:color="auto"/>
                        <w:left w:val="none" w:sz="0" w:space="0" w:color="auto"/>
                        <w:bottom w:val="none" w:sz="0" w:space="0" w:color="auto"/>
                        <w:right w:val="none" w:sz="0" w:space="0" w:color="auto"/>
                      </w:divBdr>
                      <w:divsChild>
                        <w:div w:id="1616012686">
                          <w:marLeft w:val="0"/>
                          <w:marRight w:val="0"/>
                          <w:marTop w:val="0"/>
                          <w:marBottom w:val="0"/>
                          <w:divBdr>
                            <w:top w:val="none" w:sz="0" w:space="0" w:color="auto"/>
                            <w:left w:val="none" w:sz="0" w:space="0" w:color="auto"/>
                            <w:bottom w:val="none" w:sz="0" w:space="0" w:color="auto"/>
                            <w:right w:val="none" w:sz="0" w:space="0" w:color="auto"/>
                          </w:divBdr>
                          <w:divsChild>
                            <w:div w:id="526017976">
                              <w:marLeft w:val="0"/>
                              <w:marRight w:val="0"/>
                              <w:marTop w:val="0"/>
                              <w:marBottom w:val="0"/>
                              <w:divBdr>
                                <w:top w:val="none" w:sz="0" w:space="0" w:color="auto"/>
                                <w:left w:val="none" w:sz="0" w:space="0" w:color="auto"/>
                                <w:bottom w:val="none" w:sz="0" w:space="0" w:color="auto"/>
                                <w:right w:val="none" w:sz="0" w:space="0" w:color="auto"/>
                              </w:divBdr>
                              <w:divsChild>
                                <w:div w:id="1278558774">
                                  <w:marLeft w:val="0"/>
                                  <w:marRight w:val="0"/>
                                  <w:marTop w:val="0"/>
                                  <w:marBottom w:val="0"/>
                                  <w:divBdr>
                                    <w:top w:val="none" w:sz="0" w:space="0" w:color="auto"/>
                                    <w:left w:val="none" w:sz="0" w:space="0" w:color="auto"/>
                                    <w:bottom w:val="none" w:sz="0" w:space="0" w:color="auto"/>
                                    <w:right w:val="none" w:sz="0" w:space="0" w:color="auto"/>
                                  </w:divBdr>
                                  <w:divsChild>
                                    <w:div w:id="767309810">
                                      <w:marLeft w:val="0"/>
                                      <w:marRight w:val="0"/>
                                      <w:marTop w:val="0"/>
                                      <w:marBottom w:val="0"/>
                                      <w:divBdr>
                                        <w:top w:val="none" w:sz="0" w:space="0" w:color="auto"/>
                                        <w:left w:val="none" w:sz="0" w:space="0" w:color="auto"/>
                                        <w:bottom w:val="none" w:sz="0" w:space="0" w:color="auto"/>
                                        <w:right w:val="none" w:sz="0" w:space="0" w:color="auto"/>
                                      </w:divBdr>
                                      <w:divsChild>
                                        <w:div w:id="294256681">
                                          <w:marLeft w:val="0"/>
                                          <w:marRight w:val="0"/>
                                          <w:marTop w:val="0"/>
                                          <w:marBottom w:val="0"/>
                                          <w:divBdr>
                                            <w:top w:val="none" w:sz="0" w:space="0" w:color="auto"/>
                                            <w:left w:val="none" w:sz="0" w:space="0" w:color="auto"/>
                                            <w:bottom w:val="none" w:sz="0" w:space="0" w:color="auto"/>
                                            <w:right w:val="none" w:sz="0" w:space="0" w:color="auto"/>
                                          </w:divBdr>
                                          <w:divsChild>
                                            <w:div w:id="1510295868">
                                              <w:marLeft w:val="0"/>
                                              <w:marRight w:val="0"/>
                                              <w:marTop w:val="0"/>
                                              <w:marBottom w:val="0"/>
                                              <w:divBdr>
                                                <w:top w:val="none" w:sz="0" w:space="0" w:color="auto"/>
                                                <w:left w:val="none" w:sz="0" w:space="0" w:color="auto"/>
                                                <w:bottom w:val="none" w:sz="0" w:space="0" w:color="auto"/>
                                                <w:right w:val="none" w:sz="0" w:space="0" w:color="auto"/>
                                              </w:divBdr>
                                              <w:divsChild>
                                                <w:div w:id="1047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884385">
      <w:bodyDiv w:val="1"/>
      <w:marLeft w:val="0"/>
      <w:marRight w:val="0"/>
      <w:marTop w:val="0"/>
      <w:marBottom w:val="0"/>
      <w:divBdr>
        <w:top w:val="none" w:sz="0" w:space="0" w:color="auto"/>
        <w:left w:val="none" w:sz="0" w:space="0" w:color="auto"/>
        <w:bottom w:val="none" w:sz="0" w:space="0" w:color="auto"/>
        <w:right w:val="none" w:sz="0" w:space="0" w:color="auto"/>
      </w:divBdr>
    </w:div>
    <w:div w:id="1897663029">
      <w:bodyDiv w:val="1"/>
      <w:marLeft w:val="0"/>
      <w:marRight w:val="0"/>
      <w:marTop w:val="0"/>
      <w:marBottom w:val="0"/>
      <w:divBdr>
        <w:top w:val="none" w:sz="0" w:space="0" w:color="auto"/>
        <w:left w:val="none" w:sz="0" w:space="0" w:color="auto"/>
        <w:bottom w:val="none" w:sz="0" w:space="0" w:color="auto"/>
        <w:right w:val="none" w:sz="0" w:space="0" w:color="auto"/>
      </w:divBdr>
    </w:div>
    <w:div w:id="1943681534">
      <w:bodyDiv w:val="1"/>
      <w:marLeft w:val="0"/>
      <w:marRight w:val="0"/>
      <w:marTop w:val="0"/>
      <w:marBottom w:val="0"/>
      <w:divBdr>
        <w:top w:val="none" w:sz="0" w:space="0" w:color="auto"/>
        <w:left w:val="none" w:sz="0" w:space="0" w:color="auto"/>
        <w:bottom w:val="none" w:sz="0" w:space="0" w:color="auto"/>
        <w:right w:val="none" w:sz="0" w:space="0" w:color="auto"/>
      </w:divBdr>
    </w:div>
    <w:div w:id="1962833811">
      <w:bodyDiv w:val="1"/>
      <w:marLeft w:val="0"/>
      <w:marRight w:val="0"/>
      <w:marTop w:val="0"/>
      <w:marBottom w:val="0"/>
      <w:divBdr>
        <w:top w:val="none" w:sz="0" w:space="0" w:color="auto"/>
        <w:left w:val="none" w:sz="0" w:space="0" w:color="auto"/>
        <w:bottom w:val="none" w:sz="0" w:space="0" w:color="auto"/>
        <w:right w:val="none" w:sz="0" w:space="0" w:color="auto"/>
      </w:divBdr>
      <w:divsChild>
        <w:div w:id="2064597063">
          <w:marLeft w:val="0"/>
          <w:marRight w:val="0"/>
          <w:marTop w:val="0"/>
          <w:marBottom w:val="0"/>
          <w:divBdr>
            <w:top w:val="none" w:sz="0" w:space="0" w:color="auto"/>
            <w:left w:val="none" w:sz="0" w:space="0" w:color="auto"/>
            <w:bottom w:val="none" w:sz="0" w:space="0" w:color="auto"/>
            <w:right w:val="none" w:sz="0" w:space="0" w:color="auto"/>
          </w:divBdr>
          <w:divsChild>
            <w:div w:id="26511906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26058220">
                  <w:marLeft w:val="0"/>
                  <w:marRight w:val="0"/>
                  <w:marTop w:val="0"/>
                  <w:marBottom w:val="0"/>
                  <w:divBdr>
                    <w:top w:val="none" w:sz="0" w:space="0" w:color="auto"/>
                    <w:left w:val="none" w:sz="0" w:space="0" w:color="auto"/>
                    <w:bottom w:val="none" w:sz="0" w:space="0" w:color="auto"/>
                    <w:right w:val="none" w:sz="0" w:space="0" w:color="auto"/>
                  </w:divBdr>
                  <w:divsChild>
                    <w:div w:id="1574898277">
                      <w:marLeft w:val="0"/>
                      <w:marRight w:val="0"/>
                      <w:marTop w:val="0"/>
                      <w:marBottom w:val="0"/>
                      <w:divBdr>
                        <w:top w:val="none" w:sz="0" w:space="0" w:color="auto"/>
                        <w:left w:val="none" w:sz="0" w:space="0" w:color="auto"/>
                        <w:bottom w:val="none" w:sz="0" w:space="0" w:color="auto"/>
                        <w:right w:val="none" w:sz="0" w:space="0" w:color="auto"/>
                      </w:divBdr>
                      <w:divsChild>
                        <w:div w:id="253713814">
                          <w:marLeft w:val="0"/>
                          <w:marRight w:val="0"/>
                          <w:marTop w:val="0"/>
                          <w:marBottom w:val="0"/>
                          <w:divBdr>
                            <w:top w:val="none" w:sz="0" w:space="0" w:color="auto"/>
                            <w:left w:val="none" w:sz="0" w:space="0" w:color="auto"/>
                            <w:bottom w:val="none" w:sz="0" w:space="0" w:color="auto"/>
                            <w:right w:val="none" w:sz="0" w:space="0" w:color="auto"/>
                          </w:divBdr>
                          <w:divsChild>
                            <w:div w:id="2064868653">
                              <w:marLeft w:val="0"/>
                              <w:marRight w:val="0"/>
                              <w:marTop w:val="0"/>
                              <w:marBottom w:val="0"/>
                              <w:divBdr>
                                <w:top w:val="none" w:sz="0" w:space="0" w:color="auto"/>
                                <w:left w:val="none" w:sz="0" w:space="0" w:color="auto"/>
                                <w:bottom w:val="none" w:sz="0" w:space="0" w:color="auto"/>
                                <w:right w:val="none" w:sz="0" w:space="0" w:color="auto"/>
                              </w:divBdr>
                              <w:divsChild>
                                <w:div w:id="1338995596">
                                  <w:marLeft w:val="0"/>
                                  <w:marRight w:val="0"/>
                                  <w:marTop w:val="0"/>
                                  <w:marBottom w:val="0"/>
                                  <w:divBdr>
                                    <w:top w:val="none" w:sz="0" w:space="0" w:color="auto"/>
                                    <w:left w:val="none" w:sz="0" w:space="0" w:color="auto"/>
                                    <w:bottom w:val="none" w:sz="0" w:space="0" w:color="auto"/>
                                    <w:right w:val="none" w:sz="0" w:space="0" w:color="auto"/>
                                  </w:divBdr>
                                  <w:divsChild>
                                    <w:div w:id="3900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743672">
      <w:bodyDiv w:val="1"/>
      <w:marLeft w:val="0"/>
      <w:marRight w:val="0"/>
      <w:marTop w:val="0"/>
      <w:marBottom w:val="0"/>
      <w:divBdr>
        <w:top w:val="none" w:sz="0" w:space="0" w:color="auto"/>
        <w:left w:val="none" w:sz="0" w:space="0" w:color="auto"/>
        <w:bottom w:val="none" w:sz="0" w:space="0" w:color="auto"/>
        <w:right w:val="none" w:sz="0" w:space="0" w:color="auto"/>
      </w:divBdr>
    </w:div>
    <w:div w:id="2108234818">
      <w:bodyDiv w:val="1"/>
      <w:marLeft w:val="0"/>
      <w:marRight w:val="0"/>
      <w:marTop w:val="0"/>
      <w:marBottom w:val="0"/>
      <w:divBdr>
        <w:top w:val="none" w:sz="0" w:space="0" w:color="auto"/>
        <w:left w:val="none" w:sz="0" w:space="0" w:color="auto"/>
        <w:bottom w:val="none" w:sz="0" w:space="0" w:color="auto"/>
        <w:right w:val="none" w:sz="0" w:space="0" w:color="auto"/>
      </w:divBdr>
    </w:div>
    <w:div w:id="2112164585">
      <w:bodyDiv w:val="1"/>
      <w:marLeft w:val="0"/>
      <w:marRight w:val="0"/>
      <w:marTop w:val="0"/>
      <w:marBottom w:val="0"/>
      <w:divBdr>
        <w:top w:val="none" w:sz="0" w:space="0" w:color="auto"/>
        <w:left w:val="none" w:sz="0" w:space="0" w:color="auto"/>
        <w:bottom w:val="none" w:sz="0" w:space="0" w:color="auto"/>
        <w:right w:val="none" w:sz="0" w:space="0" w:color="auto"/>
      </w:divBdr>
      <w:divsChild>
        <w:div w:id="1679232925">
          <w:marLeft w:val="0"/>
          <w:marRight w:val="0"/>
          <w:marTop w:val="0"/>
          <w:marBottom w:val="0"/>
          <w:divBdr>
            <w:top w:val="none" w:sz="0" w:space="0" w:color="auto"/>
            <w:left w:val="none" w:sz="0" w:space="0" w:color="auto"/>
            <w:bottom w:val="none" w:sz="0" w:space="0" w:color="auto"/>
            <w:right w:val="none" w:sz="0" w:space="0" w:color="auto"/>
          </w:divBdr>
          <w:divsChild>
            <w:div w:id="373966779">
              <w:marLeft w:val="0"/>
              <w:marRight w:val="0"/>
              <w:marTop w:val="0"/>
              <w:marBottom w:val="0"/>
              <w:divBdr>
                <w:top w:val="none" w:sz="0" w:space="0" w:color="auto"/>
                <w:left w:val="none" w:sz="0" w:space="0" w:color="auto"/>
                <w:bottom w:val="none" w:sz="0" w:space="0" w:color="auto"/>
                <w:right w:val="none" w:sz="0" w:space="0" w:color="auto"/>
              </w:divBdr>
              <w:divsChild>
                <w:div w:id="1200778135">
                  <w:marLeft w:val="0"/>
                  <w:marRight w:val="0"/>
                  <w:marTop w:val="0"/>
                  <w:marBottom w:val="0"/>
                  <w:divBdr>
                    <w:top w:val="none" w:sz="0" w:space="0" w:color="auto"/>
                    <w:left w:val="none" w:sz="0" w:space="0" w:color="auto"/>
                    <w:bottom w:val="none" w:sz="0" w:space="0" w:color="auto"/>
                    <w:right w:val="none" w:sz="0" w:space="0" w:color="auto"/>
                  </w:divBdr>
                  <w:divsChild>
                    <w:div w:id="531721729">
                      <w:marLeft w:val="0"/>
                      <w:marRight w:val="0"/>
                      <w:marTop w:val="0"/>
                      <w:marBottom w:val="0"/>
                      <w:divBdr>
                        <w:top w:val="none" w:sz="0" w:space="0" w:color="auto"/>
                        <w:left w:val="none" w:sz="0" w:space="0" w:color="auto"/>
                        <w:bottom w:val="none" w:sz="0" w:space="0" w:color="auto"/>
                        <w:right w:val="none" w:sz="0" w:space="0" w:color="auto"/>
                      </w:divBdr>
                      <w:divsChild>
                        <w:div w:id="1740901050">
                          <w:marLeft w:val="0"/>
                          <w:marRight w:val="0"/>
                          <w:marTop w:val="0"/>
                          <w:marBottom w:val="0"/>
                          <w:divBdr>
                            <w:top w:val="none" w:sz="0" w:space="0" w:color="auto"/>
                            <w:left w:val="none" w:sz="0" w:space="0" w:color="auto"/>
                            <w:bottom w:val="none" w:sz="0" w:space="0" w:color="auto"/>
                            <w:right w:val="none" w:sz="0" w:space="0" w:color="auto"/>
                          </w:divBdr>
                          <w:divsChild>
                            <w:div w:id="1765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theme" Target="theme/theme1.xml"/><Relationship Id="rId47" Type="http://schemas.openxmlformats.org/officeDocument/2006/relationships/customXml" Target="../customXml/item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header" Target="header4.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customXml" Target="../customXml/item5.xml"/><Relationship Id="rId20" Type="http://schemas.openxmlformats.org/officeDocument/2006/relationships/image" Target="media/image5.emf"/><Relationship Id="rId4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8EFCBFD83FF904AA1577F7ED955A7E2" ma:contentTypeVersion="0" ma:contentTypeDescription="A content type to manage public (operations) IDB documents" ma:contentTypeScope="" ma:versionID="97bbc8412c06206773e26935c3c6ea20">
  <xsd:schema xmlns:xsd="http://www.w3.org/2001/XMLSchema" xmlns:xs="http://www.w3.org/2001/XMLSchema" xmlns:p="http://schemas.microsoft.com/office/2006/metadata/properties" xmlns:ns2="9c571b2f-e523-4ab2-ba2e-09e151a03ef4" targetNamespace="http://schemas.microsoft.com/office/2006/metadata/properties" ma:root="true" ma:fieldsID="1c1f4268a1831cfd6a9fb3e703a3f6a6"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5c5757e-a72b-4d31-bdc0-8de15f34ed79}" ma:internalName="TaxCatchAll" ma:showField="CatchAllData"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c5757e-a72b-4d31-bdc0-8de15f34ed79}" ma:internalName="TaxCatchAllLabel" ma:readOnly="true" ma:showField="CatchAllDataLabel"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38786366</IDBDocs_x0020_Number>
    <Document_x0020_Author xmlns="9c571b2f-e523-4ab2-ba2e-09e151a03ef4">Leano, Juan Manuel</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CR-L1066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Whole&lt;/APPROVAL_DESC&gt;&lt;PD_OBJ_TYPE&gt;0&lt;/PD_OBJ_TYPE&gt;&lt;DTAPPROVAL&gt;Jun 17 2015 12:00AM&lt;/DTAPPROVAL&gt;&lt;MAKERECORD&gt;N&lt;/MAKERECORD&gt;&lt;PD_FILEPT_NO&gt;PO-CR-L1066-Anl&lt;/PD_FILEPT_NO&gt;&lt;/Data&gt;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TR-TRP</Webtopic>
    <Identifier xmlns="9c571b2f-e523-4ab2-ba2e-09e151a03ef4"> FULL DOC</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99F0E759-FCE5-49C2-AB9F-839536A44F86}"/>
</file>

<file path=customXml/itemProps2.xml><?xml version="1.0" encoding="utf-8"?>
<ds:datastoreItem xmlns:ds="http://schemas.openxmlformats.org/officeDocument/2006/customXml" ds:itemID="{290EE6F4-14E9-4DFE-91E0-6F8E3EE7F76C}"/>
</file>

<file path=customXml/itemProps3.xml><?xml version="1.0" encoding="utf-8"?>
<ds:datastoreItem xmlns:ds="http://schemas.openxmlformats.org/officeDocument/2006/customXml" ds:itemID="{D696A6A5-4D8E-4F7A-A246-1C8653CD15C4}"/>
</file>

<file path=customXml/itemProps4.xml><?xml version="1.0" encoding="utf-8"?>
<ds:datastoreItem xmlns:ds="http://schemas.openxmlformats.org/officeDocument/2006/customXml" ds:itemID="{FEEBE2E9-85E0-407C-95E8-FED27621DFDD}"/>
</file>

<file path=customXml/itemProps5.xml><?xml version="1.0" encoding="utf-8"?>
<ds:datastoreItem xmlns:ds="http://schemas.openxmlformats.org/officeDocument/2006/customXml" ds:itemID="{9DEB0C73-4BDB-4B00-80DF-F7406A690239}"/>
</file>

<file path=customXml/itemProps6.xml><?xml version="1.0" encoding="utf-8"?>
<ds:datastoreItem xmlns:ds="http://schemas.openxmlformats.org/officeDocument/2006/customXml" ds:itemID="{212E3EBE-0501-4B58-85C6-6376262C5A9E}"/>
</file>

<file path=docProps/app.xml><?xml version="1.0" encoding="utf-8"?>
<Properties xmlns="http://schemas.openxmlformats.org/officeDocument/2006/extended-properties" xmlns:vt="http://schemas.openxmlformats.org/officeDocument/2006/docPropsVTypes">
  <Template>Normal.dotm</Template>
  <TotalTime>5</TotalTime>
  <Pages>43</Pages>
  <Words>6876</Words>
  <Characters>38227</Characters>
  <Application>Microsoft Office Word</Application>
  <DocSecurity>0</DocSecurity>
  <Lines>318</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HONDURAS</vt:lpstr>
      <vt:lpstr>HONDURAS</vt:lpstr>
    </vt:vector>
  </TitlesOfParts>
  <Company>Inter-American Development Bank</Company>
  <LinksUpToDate>false</LinksUpToDate>
  <CharactersWithSpaces>45013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 16_ Viabilidad financiera para el Estado _ LP</dc:title>
  <dc:creator>R Suárez Nicolini</dc:creator>
  <cp:lastModifiedBy>Inter-American Development Bank</cp:lastModifiedBy>
  <cp:revision>3</cp:revision>
  <cp:lastPrinted>2015-02-28T23:09:00Z</cp:lastPrinted>
  <dcterms:created xsi:type="dcterms:W3CDTF">2015-03-27T18:39:00Z</dcterms:created>
  <dcterms:modified xsi:type="dcterms:W3CDTF">2015-04-07T19:26:00Z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0x01010046CF21643EE8D14686A648AA6DAD08920068EFCBFD83FF904AA1577F7ED955A7E2</vt:lpwstr>
  </property>
  <property fmtid="{D5CDD505-2E9C-101B-9397-08002B2CF9AE}" pid="5" name="TaxKeywordTaxHTField">
    <vt:lpwstr/>
  </property>
  <property fmtid="{D5CDD505-2E9C-101B-9397-08002B2CF9AE}" pid="6" name="Series Operations IDB">
    <vt:lpwstr>5;#Loan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6;#Project Preparation, Planning and Design|29ca0c72-1fc4-435f-a09c-28585cb5eac9</vt:lpwstr>
  </property>
</Properties>
</file>