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0"/>
      </w:tblGrid>
      <w:tr w:rsidR="00C01166" w:rsidRPr="003837C2" w:rsidTr="00C81319">
        <w:tc>
          <w:tcPr>
            <w:tcW w:w="9570" w:type="dxa"/>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01166" w:rsidRPr="003837C2" w:rsidRDefault="003837C2" w:rsidP="003837C2">
            <w:pPr>
              <w:spacing w:after="240"/>
              <w:jc w:val="center"/>
              <w:rPr>
                <w:rFonts w:ascii="Times New Roman Bold" w:eastAsia="Times New Roman" w:hAnsi="Times New Roman Bold"/>
                <w:smallCaps/>
              </w:rPr>
            </w:pPr>
            <w:bookmarkStart w:id="0" w:name="_GoBack"/>
            <w:bookmarkEnd w:id="0"/>
            <w:r w:rsidRPr="003837C2">
              <w:rPr>
                <w:rFonts w:ascii="Times New Roman Bold" w:eastAsia="Times New Roman" w:hAnsi="Times New Roman Bold"/>
                <w:b/>
                <w:bCs/>
                <w:smallCaps/>
              </w:rPr>
              <w:t>Safeguard Policy Filter Report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913"/>
            </w:tblGrid>
            <w:tr w:rsidR="00C01166" w:rsidRPr="003837C2" w:rsidTr="00C81319">
              <w:tc>
                <w:tcPr>
                  <w:tcW w:w="9344" w:type="dxa"/>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01166" w:rsidRPr="003837C2" w:rsidRDefault="00700219">
                  <w:pPr>
                    <w:rPr>
                      <w:rFonts w:eastAsia="Times New Roman"/>
                      <w:b/>
                      <w:bCs/>
                      <w:sz w:val="20"/>
                      <w:szCs w:val="20"/>
                    </w:rPr>
                  </w:pPr>
                  <w:r w:rsidRPr="003837C2">
                    <w:rPr>
                      <w:rFonts w:eastAsia="Times New Roman"/>
                      <w:b/>
                      <w:bCs/>
                      <w:sz w:val="20"/>
                      <w:szCs w:val="20"/>
                    </w:rPr>
                    <w:t>PROJECT DETAILS</w:t>
                  </w:r>
                </w:p>
              </w:tc>
            </w:tr>
            <w:tr w:rsidR="00C01166" w:rsidRPr="003837C2" w:rsidTr="00C81319">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rPr>
                  </w:pPr>
                  <w:r w:rsidRPr="003837C2">
                    <w:rPr>
                      <w:rFonts w:eastAsia="Times New Roman"/>
                      <w:sz w:val="20"/>
                      <w:szCs w:val="20"/>
                    </w:rPr>
                    <w:t>ENVIRONMENT AND NATURAL DISASTERS-FOREST RESOURCES MANAGEMENT</w:t>
                  </w:r>
                </w:p>
              </w:tc>
            </w:tr>
            <w:tr w:rsidR="00C01166" w:rsidRPr="003837C2"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Type of Operation</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rPr>
                  </w:pPr>
                  <w:r w:rsidRPr="003837C2">
                    <w:rPr>
                      <w:rFonts w:eastAsia="Times New Roman"/>
                      <w:sz w:val="20"/>
                      <w:szCs w:val="20"/>
                    </w:rPr>
                    <w:t>Investment Loan</w:t>
                  </w:r>
                </w:p>
              </w:tc>
            </w:tr>
            <w:tr w:rsidR="00C01166" w:rsidRPr="003837C2"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Additional Operation Details</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C01166">
                  <w:pPr>
                    <w:rPr>
                      <w:rFonts w:eastAsia="Times New Roman"/>
                      <w:sz w:val="20"/>
                      <w:szCs w:val="20"/>
                    </w:rPr>
                  </w:pPr>
                </w:p>
              </w:tc>
            </w:tr>
            <w:tr w:rsidR="00C01166" w:rsidRPr="003837C2"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Investment Checklist</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rPr>
                  </w:pPr>
                  <w:r w:rsidRPr="003837C2">
                    <w:rPr>
                      <w:rFonts w:eastAsia="Times New Roman"/>
                      <w:sz w:val="20"/>
                      <w:szCs w:val="20"/>
                    </w:rPr>
                    <w:t>Generic Checklist</w:t>
                  </w:r>
                </w:p>
              </w:tc>
            </w:tr>
            <w:tr w:rsidR="00C01166" w:rsidRPr="00D73ED6"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Team Leader</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lang w:val="pt-BR"/>
                    </w:rPr>
                  </w:pPr>
                  <w:r w:rsidRPr="003837C2">
                    <w:rPr>
                      <w:rFonts w:eastAsia="Times New Roman"/>
                      <w:sz w:val="20"/>
                      <w:szCs w:val="20"/>
                      <w:lang w:val="pt-BR"/>
                    </w:rPr>
                    <w:t>Acevedo-Daunas, Rafael M. (RAFAELAC@iadb.org</w:t>
                  </w:r>
                  <w:proofErr w:type="gramStart"/>
                  <w:r w:rsidRPr="003837C2">
                    <w:rPr>
                      <w:rFonts w:eastAsia="Times New Roman"/>
                      <w:sz w:val="20"/>
                      <w:szCs w:val="20"/>
                      <w:lang w:val="pt-BR"/>
                    </w:rPr>
                    <w:t>)</w:t>
                  </w:r>
                  <w:proofErr w:type="gramEnd"/>
                </w:p>
              </w:tc>
            </w:tr>
            <w:tr w:rsidR="00C01166" w:rsidRPr="003837C2"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Project Title</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rPr>
                  </w:pPr>
                  <w:r w:rsidRPr="003837C2">
                    <w:rPr>
                      <w:rFonts w:eastAsia="Times New Roman"/>
                      <w:sz w:val="20"/>
                      <w:szCs w:val="20"/>
                    </w:rPr>
                    <w:t>Provincial Road Support Program for GAD: PROVIAL</w:t>
                  </w:r>
                </w:p>
              </w:tc>
            </w:tr>
            <w:tr w:rsidR="00C01166" w:rsidRPr="003837C2"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Project Number</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rPr>
                  </w:pPr>
                  <w:r w:rsidRPr="003837C2">
                    <w:rPr>
                      <w:rFonts w:eastAsia="Times New Roman"/>
                      <w:sz w:val="20"/>
                      <w:szCs w:val="20"/>
                    </w:rPr>
                    <w:t>EC-L1125</w:t>
                  </w:r>
                </w:p>
              </w:tc>
            </w:tr>
            <w:tr w:rsidR="00C01166" w:rsidRPr="00D73ED6"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Safeguard Screening Assessor(s)</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lang w:val="pt-BR"/>
                    </w:rPr>
                  </w:pPr>
                  <w:r w:rsidRPr="003837C2">
                    <w:rPr>
                      <w:rFonts w:eastAsia="Times New Roman"/>
                      <w:sz w:val="20"/>
                      <w:szCs w:val="20"/>
                      <w:lang w:val="pt-BR"/>
                    </w:rPr>
                    <w:t>Acevedo-Daunas, Rafael M. (RAFAELAC@iadb.org</w:t>
                  </w:r>
                  <w:proofErr w:type="gramStart"/>
                  <w:r w:rsidRPr="003837C2">
                    <w:rPr>
                      <w:rFonts w:eastAsia="Times New Roman"/>
                      <w:sz w:val="20"/>
                      <w:szCs w:val="20"/>
                      <w:lang w:val="pt-BR"/>
                    </w:rPr>
                    <w:t>)</w:t>
                  </w:r>
                  <w:proofErr w:type="gramEnd"/>
                </w:p>
              </w:tc>
            </w:tr>
            <w:tr w:rsidR="00C01166" w:rsidRPr="003837C2" w:rsidTr="00C81319">
              <w:tc>
                <w:tcPr>
                  <w:tcW w:w="242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pPr>
                    <w:rPr>
                      <w:rFonts w:eastAsia="Times New Roman"/>
                      <w:b/>
                      <w:bCs/>
                      <w:sz w:val="20"/>
                      <w:szCs w:val="20"/>
                    </w:rPr>
                  </w:pPr>
                  <w:r w:rsidRPr="003837C2">
                    <w:rPr>
                      <w:rFonts w:eastAsia="Times New Roman"/>
                      <w:b/>
                      <w:bCs/>
                      <w:sz w:val="20"/>
                      <w:szCs w:val="20"/>
                    </w:rPr>
                    <w:t>Assessment Date</w:t>
                  </w:r>
                </w:p>
              </w:tc>
              <w:tc>
                <w:tcPr>
                  <w:tcW w:w="69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pPr>
                    <w:rPr>
                      <w:rFonts w:eastAsia="Times New Roman"/>
                      <w:sz w:val="20"/>
                      <w:szCs w:val="20"/>
                    </w:rPr>
                  </w:pPr>
                  <w:r w:rsidRPr="003837C2">
                    <w:rPr>
                      <w:rFonts w:eastAsia="Times New Roman"/>
                      <w:sz w:val="20"/>
                      <w:szCs w:val="20"/>
                    </w:rPr>
                    <w:t>2013-10-09</w:t>
                  </w:r>
                </w:p>
              </w:tc>
            </w:tr>
          </w:tbl>
          <w:p w:rsidR="00C01166" w:rsidRPr="003837C2" w:rsidRDefault="00C01166">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2198"/>
              <w:gridCol w:w="4113"/>
              <w:gridCol w:w="3033"/>
            </w:tblGrid>
            <w:tr w:rsidR="00C01166" w:rsidRPr="003837C2" w:rsidTr="00C81319">
              <w:tc>
                <w:tcPr>
                  <w:tcW w:w="5000" w:type="pct"/>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01166" w:rsidRPr="003837C2" w:rsidRDefault="00700219">
                  <w:pPr>
                    <w:rPr>
                      <w:rFonts w:eastAsia="Times New Roman"/>
                      <w:b/>
                      <w:bCs/>
                      <w:sz w:val="20"/>
                      <w:szCs w:val="20"/>
                    </w:rPr>
                  </w:pPr>
                  <w:r w:rsidRPr="003837C2">
                    <w:rPr>
                      <w:rFonts w:eastAsia="Times New Roman"/>
                      <w:b/>
                      <w:bCs/>
                      <w:sz w:val="20"/>
                      <w:szCs w:val="20"/>
                    </w:rPr>
                    <w:t>SAFEGUARD POLICY FILTER RESULTS</w:t>
                  </w:r>
                </w:p>
              </w:tc>
            </w:tr>
            <w:tr w:rsidR="00C01166" w:rsidRPr="003837C2" w:rsidTr="00C81319">
              <w:tc>
                <w:tcPr>
                  <w:tcW w:w="117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t>Type of Operation</w:t>
                  </w:r>
                </w:p>
              </w:tc>
              <w:tc>
                <w:tcPr>
                  <w:tcW w:w="3824" w:type="pct"/>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Loan Operation</w:t>
                  </w:r>
                </w:p>
              </w:tc>
            </w:tr>
            <w:tr w:rsidR="00C01166" w:rsidRPr="003837C2" w:rsidTr="00C81319">
              <w:trPr>
                <w:trHeight w:val="150"/>
              </w:trPr>
              <w:tc>
                <w:tcPr>
                  <w:tcW w:w="1176" w:type="pct"/>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t>Safeguard Policy Items</w:t>
                  </w:r>
                  <w:r w:rsidRPr="003837C2">
                    <w:rPr>
                      <w:rFonts w:eastAsia="Times New Roman"/>
                      <w:b/>
                      <w:bCs/>
                      <w:sz w:val="20"/>
                      <w:szCs w:val="20"/>
                    </w:rPr>
                    <w:br/>
                    <w:t xml:space="preserve">Identified </w:t>
                  </w:r>
                  <w:r w:rsidRPr="003837C2">
                    <w:rPr>
                      <w:rFonts w:eastAsia="Times New Roman"/>
                      <w:b/>
                      <w:bCs/>
                      <w:color w:val="FF0000"/>
                      <w:sz w:val="20"/>
                      <w:szCs w:val="20"/>
                    </w:rPr>
                    <w:t>(Yes)</w:t>
                  </w: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C81319">
                  <w:pPr>
                    <w:keepLines/>
                    <w:widowControl w:val="0"/>
                    <w:rPr>
                      <w:rFonts w:eastAsia="Times New Roman"/>
                      <w:sz w:val="20"/>
                      <w:szCs w:val="20"/>
                    </w:rPr>
                  </w:pPr>
                  <w:r w:rsidRPr="003837C2">
                    <w:rPr>
                      <w:rFonts w:eastAsia="Times New Roman"/>
                      <w:sz w:val="20"/>
                      <w:szCs w:val="20"/>
                    </w:rPr>
                    <w:t>Potential to negatively affect Indigenous People (also see Indigenous Peoples Policy.).</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C81319">
                  <w:pPr>
                    <w:keepLines/>
                    <w:widowControl w:val="0"/>
                    <w:rPr>
                      <w:rFonts w:eastAsia="Times New Roman"/>
                      <w:color w:val="0000FF"/>
                      <w:sz w:val="20"/>
                      <w:szCs w:val="20"/>
                    </w:rPr>
                  </w:pPr>
                  <w:r w:rsidRPr="003837C2">
                    <w:rPr>
                      <w:rFonts w:eastAsia="Times New Roman"/>
                      <w:color w:val="0000FF"/>
                      <w:sz w:val="20"/>
                      <w:szCs w:val="20"/>
                    </w:rPr>
                    <w:t>(B.01) Indigenous People Policy– OP-765</w:t>
                  </w:r>
                </w:p>
              </w:tc>
            </w:tr>
            <w:tr w:rsidR="00C01166" w:rsidRPr="003837C2" w:rsidTr="00C81319">
              <w:trPr>
                <w:trHeight w:val="363"/>
              </w:trPr>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0" w:type="dxa"/>
                    <w:left w:w="105" w:type="dxa"/>
                    <w:bottom w:w="300" w:type="dxa"/>
                    <w:right w:w="105" w:type="dxa"/>
                  </w:tcMar>
                  <w:vAlign w:val="center"/>
                  <w:hideMark/>
                </w:tcPr>
                <w:p w:rsidR="00C01166" w:rsidRPr="003837C2" w:rsidRDefault="00700219" w:rsidP="00C81319">
                  <w:pPr>
                    <w:keepLines/>
                    <w:widowControl w:val="0"/>
                    <w:rPr>
                      <w:rFonts w:eastAsia="Times New Roman"/>
                      <w:sz w:val="20"/>
                      <w:szCs w:val="20"/>
                    </w:rPr>
                  </w:pPr>
                  <w:r w:rsidRPr="003837C2">
                    <w:rPr>
                      <w:rFonts w:eastAsia="Times New Roman"/>
                      <w:sz w:val="20"/>
                      <w:szCs w:val="20"/>
                    </w:rPr>
                    <w:t>Does this project offer opportunities for indigenous peoples through its project components?</w:t>
                  </w:r>
                </w:p>
              </w:tc>
              <w:tc>
                <w:tcPr>
                  <w:tcW w:w="1624" w:type="pct"/>
                  <w:tcBorders>
                    <w:top w:val="single" w:sz="6" w:space="0" w:color="000000"/>
                    <w:left w:val="single" w:sz="6" w:space="0" w:color="000000"/>
                    <w:bottom w:val="single" w:sz="6" w:space="0" w:color="000000"/>
                    <w:right w:val="single" w:sz="6" w:space="0" w:color="000000"/>
                  </w:tcBorders>
                  <w:tcMar>
                    <w:top w:w="0" w:type="dxa"/>
                    <w:left w:w="105" w:type="dxa"/>
                    <w:bottom w:w="15" w:type="dxa"/>
                    <w:right w:w="105" w:type="dxa"/>
                  </w:tcMar>
                  <w:hideMark/>
                </w:tcPr>
                <w:p w:rsidR="00C01166" w:rsidRPr="003837C2" w:rsidRDefault="00700219" w:rsidP="00C81319">
                  <w:pPr>
                    <w:keepLines/>
                    <w:widowControl w:val="0"/>
                    <w:rPr>
                      <w:rFonts w:eastAsia="Times New Roman"/>
                      <w:color w:val="0000FF"/>
                      <w:sz w:val="20"/>
                      <w:szCs w:val="20"/>
                    </w:rPr>
                  </w:pPr>
                  <w:r w:rsidRPr="003837C2">
                    <w:rPr>
                      <w:rFonts w:eastAsia="Times New Roman"/>
                      <w:color w:val="0000FF"/>
                      <w:sz w:val="20"/>
                      <w:szCs w:val="20"/>
                    </w:rPr>
                    <w:t>(B.01) Indigenous People Policy– OP-765</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0" w:type="dxa"/>
                    <w:left w:w="105" w:type="dxa"/>
                    <w:bottom w:w="300" w:type="dxa"/>
                    <w:right w:w="105" w:type="dxa"/>
                  </w:tcMar>
                  <w:vAlign w:val="center"/>
                  <w:hideMark/>
                </w:tcPr>
                <w:p w:rsidR="00C01166" w:rsidRPr="003837C2" w:rsidRDefault="00700219" w:rsidP="00C81319">
                  <w:pPr>
                    <w:widowControl w:val="0"/>
                    <w:rPr>
                      <w:rFonts w:eastAsia="Times New Roman"/>
                      <w:sz w:val="20"/>
                      <w:szCs w:val="20"/>
                    </w:rPr>
                  </w:pPr>
                  <w:r w:rsidRPr="003837C2">
                    <w:rPr>
                      <w:rFonts w:eastAsia="Times New Roman"/>
                      <w:sz w:val="20"/>
                      <w:szCs w:val="20"/>
                    </w:rPr>
                    <w:t>Activities to be financed by the project are in a geographical area and sector exposed to natural hazards* (Type 1 Disaster Risk Scenario).</w:t>
                  </w:r>
                </w:p>
              </w:tc>
              <w:tc>
                <w:tcPr>
                  <w:tcW w:w="1624" w:type="pct"/>
                  <w:tcBorders>
                    <w:top w:val="single" w:sz="6" w:space="0" w:color="000000"/>
                    <w:left w:val="single" w:sz="6" w:space="0" w:color="000000"/>
                    <w:bottom w:val="single" w:sz="6" w:space="0" w:color="000000"/>
                    <w:right w:val="single" w:sz="6" w:space="0" w:color="000000"/>
                  </w:tcBorders>
                  <w:tcMar>
                    <w:top w:w="0" w:type="dxa"/>
                    <w:left w:w="105" w:type="dxa"/>
                    <w:bottom w:w="15" w:type="dxa"/>
                    <w:right w:w="105" w:type="dxa"/>
                  </w:tcMar>
                  <w:hideMark/>
                </w:tcPr>
                <w:p w:rsidR="00C01166" w:rsidRPr="003837C2" w:rsidRDefault="00700219" w:rsidP="003837C2">
                  <w:pPr>
                    <w:widowControl w:val="0"/>
                    <w:rPr>
                      <w:rFonts w:eastAsia="Times New Roman"/>
                      <w:color w:val="0000FF"/>
                      <w:sz w:val="20"/>
                      <w:szCs w:val="20"/>
                    </w:rPr>
                  </w:pPr>
                  <w:r w:rsidRPr="003837C2">
                    <w:rPr>
                      <w:rFonts w:eastAsia="Times New Roman"/>
                      <w:color w:val="0000FF"/>
                      <w:sz w:val="20"/>
                      <w:szCs w:val="20"/>
                    </w:rPr>
                    <w:t>(B.01) Disaster Risk Management Policy– OP-704</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0" w:type="dxa"/>
                    <w:left w:w="105" w:type="dxa"/>
                    <w:bottom w:w="300" w:type="dxa"/>
                    <w:right w:w="105" w:type="dxa"/>
                  </w:tcMar>
                  <w:vAlign w:val="center"/>
                  <w:hideMark/>
                </w:tcPr>
                <w:p w:rsidR="00C01166" w:rsidRPr="003837C2" w:rsidRDefault="00700219" w:rsidP="00C81319">
                  <w:pPr>
                    <w:widowControl w:val="0"/>
                    <w:rPr>
                      <w:rFonts w:eastAsia="Times New Roman"/>
                      <w:sz w:val="20"/>
                      <w:szCs w:val="20"/>
                    </w:rPr>
                  </w:pPr>
                  <w:r w:rsidRPr="003837C2">
                    <w:rPr>
                      <w:rFonts w:eastAsia="Times New Roman"/>
                      <w:sz w:val="20"/>
                      <w:szCs w:val="20"/>
                    </w:rPr>
                    <w:t>The Bank will make available to the public the relevant Project documents.</w:t>
                  </w:r>
                </w:p>
              </w:tc>
              <w:tc>
                <w:tcPr>
                  <w:tcW w:w="1624" w:type="pct"/>
                  <w:tcBorders>
                    <w:top w:val="single" w:sz="6" w:space="0" w:color="000000"/>
                    <w:left w:val="single" w:sz="6" w:space="0" w:color="000000"/>
                    <w:bottom w:val="single" w:sz="6" w:space="0" w:color="000000"/>
                    <w:right w:val="single" w:sz="6" w:space="0" w:color="000000"/>
                  </w:tcBorders>
                  <w:tcMar>
                    <w:top w:w="0" w:type="dxa"/>
                    <w:left w:w="105" w:type="dxa"/>
                    <w:bottom w:w="15" w:type="dxa"/>
                    <w:right w:w="105" w:type="dxa"/>
                  </w:tcMar>
                  <w:hideMark/>
                </w:tcPr>
                <w:p w:rsidR="00C01166" w:rsidRPr="003837C2" w:rsidRDefault="00700219" w:rsidP="003837C2">
                  <w:pPr>
                    <w:widowControl w:val="0"/>
                    <w:rPr>
                      <w:rFonts w:eastAsia="Times New Roman"/>
                      <w:color w:val="0000FF"/>
                      <w:sz w:val="20"/>
                      <w:szCs w:val="20"/>
                    </w:rPr>
                  </w:pPr>
                  <w:r w:rsidRPr="003837C2">
                    <w:rPr>
                      <w:rFonts w:eastAsia="Times New Roman"/>
                      <w:color w:val="0000FF"/>
                      <w:sz w:val="20"/>
                      <w:szCs w:val="20"/>
                    </w:rPr>
                    <w:t>(B.01) Access to Information Policy– OP-102</w:t>
                  </w:r>
                </w:p>
              </w:tc>
            </w:tr>
            <w:tr w:rsidR="00C01166" w:rsidRPr="003837C2" w:rsidTr="00C81319">
              <w:trPr>
                <w:trHeight w:val="753"/>
              </w:trPr>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0" w:type="dxa"/>
                    <w:left w:w="105" w:type="dxa"/>
                    <w:bottom w:w="300" w:type="dxa"/>
                    <w:right w:w="105" w:type="dxa"/>
                  </w:tcMar>
                  <w:vAlign w:val="center"/>
                  <w:hideMark/>
                </w:tcPr>
                <w:p w:rsidR="00C01166" w:rsidRPr="003837C2" w:rsidRDefault="00700219" w:rsidP="00C81319">
                  <w:pPr>
                    <w:rPr>
                      <w:rFonts w:eastAsia="Times New Roman"/>
                      <w:sz w:val="20"/>
                      <w:szCs w:val="20"/>
                    </w:rPr>
                  </w:pPr>
                  <w:r w:rsidRPr="003837C2">
                    <w:rPr>
                      <w:rFonts w:eastAsia="Times New Roman"/>
                      <w:sz w:val="20"/>
                      <w:szCs w:val="20"/>
                    </w:rPr>
                    <w:t>Does this project offer opportunities to promote gender equality or women's empowerment through its project components?</w:t>
                  </w:r>
                </w:p>
              </w:tc>
              <w:tc>
                <w:tcPr>
                  <w:tcW w:w="1624" w:type="pct"/>
                  <w:tcBorders>
                    <w:top w:val="single" w:sz="6" w:space="0" w:color="000000"/>
                    <w:left w:val="single" w:sz="6" w:space="0" w:color="000000"/>
                    <w:bottom w:val="single" w:sz="6" w:space="0" w:color="000000"/>
                    <w:right w:val="single" w:sz="6" w:space="0" w:color="000000"/>
                  </w:tcBorders>
                  <w:tcMar>
                    <w:top w:w="0"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(B.01) Gender Equality Policy– OP-761</w:t>
                  </w:r>
                </w:p>
              </w:tc>
            </w:tr>
            <w:tr w:rsidR="00C01166" w:rsidRPr="003837C2" w:rsidTr="00C81319">
              <w:trPr>
                <w:trHeight w:val="576"/>
              </w:trPr>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0"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1624" w:type="pct"/>
                  <w:tcBorders>
                    <w:top w:val="single" w:sz="6" w:space="0" w:color="000000"/>
                    <w:left w:val="single" w:sz="6" w:space="0" w:color="000000"/>
                    <w:bottom w:val="single" w:sz="6" w:space="0" w:color="000000"/>
                    <w:right w:val="single" w:sz="6" w:space="0" w:color="000000"/>
                  </w:tcBorders>
                  <w:tcMar>
                    <w:top w:w="0"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(B.02)</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The operation (including associated facilities) is screened and classified according to their potential environmental impacts.</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(B.03)</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The Borrower/Executing Agency exhibits weak institutional capacity for managing environmental and social issues.</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(B.04)</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The project includes activities to close current “adaptation deficits” or to increase the capacity of human social and ecological systems to adapt to a changing climate.</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(B.04)</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An Environmental Assessment is required.</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(B.05)</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 xml:space="preserve">Consultations with affected parties will be performed equitably and inclusively with the views of all stakeholders taken into account, including in particular: (a) equal participation of women and men, (b) socio-culturally appropriate participation of indigenous peoples and (c) mechanisms for equitable participation by vulnerable groups. </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(B.06)</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The Bank will monitor the executing agency/borrower’s compliance with all safeguard requirements stipulated in the loan agreement and project operating or credit regulations.</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(B.07)</w:t>
                  </w:r>
                </w:p>
              </w:tc>
            </w:tr>
            <w:tr w:rsidR="00C01166" w:rsidRPr="003837C2" w:rsidTr="00C81319">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 xml:space="preserve">Environmental or culturally sensitive areas, defined in the Policy as critical natural habitats or critical cultural sites in project area of influence (please refer to the </w:t>
                  </w:r>
                  <w:hyperlink r:id="rId8" w:tgtFrame="_blank" w:history="1">
                    <w:r w:rsidRPr="003837C2">
                      <w:rPr>
                        <w:rStyle w:val="Hyperlink"/>
                        <w:rFonts w:eastAsia="Times New Roman"/>
                        <w:sz w:val="20"/>
                        <w:szCs w:val="20"/>
                      </w:rPr>
                      <w:t>Decision Support System</w:t>
                    </w:r>
                  </w:hyperlink>
                  <w:r w:rsidRPr="003837C2">
                    <w:rPr>
                      <w:rFonts w:eastAsia="Times New Roman"/>
                      <w:sz w:val="20"/>
                      <w:szCs w:val="20"/>
                    </w:rPr>
                    <w:t xml:space="preserve"> for more information).</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(B.09)</w:t>
                  </w:r>
                </w:p>
              </w:tc>
            </w:tr>
            <w:tr w:rsidR="00C01166" w:rsidRPr="003837C2" w:rsidTr="00C81319">
              <w:trPr>
                <w:trHeight w:val="1464"/>
              </w:trPr>
              <w:tc>
                <w:tcPr>
                  <w:tcW w:w="1176" w:type="pct"/>
                  <w:vMerge/>
                  <w:tcBorders>
                    <w:top w:val="single" w:sz="6" w:space="0" w:color="000000"/>
                    <w:left w:val="single" w:sz="6" w:space="0" w:color="000000"/>
                    <w:bottom w:val="single" w:sz="6" w:space="0" w:color="000000"/>
                    <w:right w:val="single" w:sz="6" w:space="0" w:color="000000"/>
                  </w:tcBorders>
                  <w:vAlign w:val="center"/>
                  <w:hideMark/>
                </w:tcPr>
                <w:p w:rsidR="00C01166" w:rsidRPr="003837C2" w:rsidRDefault="00C01166" w:rsidP="003837C2">
                  <w:pPr>
                    <w:rPr>
                      <w:rFonts w:eastAsia="Times New Roman"/>
                      <w:b/>
                      <w:bCs/>
                      <w:sz w:val="20"/>
                      <w:szCs w:val="20"/>
                    </w:rPr>
                  </w:pP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color w:val="0000FF"/>
                      <w:sz w:val="20"/>
                      <w:szCs w:val="20"/>
                    </w:rPr>
                  </w:pPr>
                  <w:r w:rsidRPr="003837C2">
                    <w:rPr>
                      <w:rFonts w:eastAsia="Times New Roman"/>
                      <w:color w:val="0000FF"/>
                      <w:sz w:val="20"/>
                      <w:szCs w:val="20"/>
                    </w:rPr>
                    <w:t>(B.17)</w:t>
                  </w:r>
                </w:p>
              </w:tc>
            </w:tr>
            <w:tr w:rsidR="00C01166" w:rsidRPr="003837C2" w:rsidTr="00C81319">
              <w:tc>
                <w:tcPr>
                  <w:tcW w:w="117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t>Potential Safeguard Policy</w:t>
                  </w:r>
                  <w:r w:rsidRPr="003837C2">
                    <w:rPr>
                      <w:rFonts w:eastAsia="Times New Roman"/>
                      <w:b/>
                      <w:bCs/>
                      <w:sz w:val="20"/>
                      <w:szCs w:val="20"/>
                    </w:rPr>
                    <w:br/>
                  </w:r>
                  <w:proofErr w:type="gramStart"/>
                  <w:r w:rsidRPr="003837C2">
                    <w:rPr>
                      <w:rFonts w:eastAsia="Times New Roman"/>
                      <w:b/>
                      <w:bCs/>
                      <w:sz w:val="20"/>
                      <w:szCs w:val="20"/>
                    </w:rPr>
                    <w:t>Items</w:t>
                  </w:r>
                  <w:r w:rsidRPr="003837C2">
                    <w:rPr>
                      <w:rFonts w:eastAsia="Times New Roman"/>
                      <w:b/>
                      <w:bCs/>
                      <w:color w:val="FF0000"/>
                      <w:sz w:val="20"/>
                      <w:szCs w:val="20"/>
                    </w:rPr>
                    <w:t>(</w:t>
                  </w:r>
                  <w:proofErr w:type="gramEnd"/>
                  <w:r w:rsidRPr="003837C2">
                    <w:rPr>
                      <w:rFonts w:eastAsia="Times New Roman"/>
                      <w:b/>
                      <w:bCs/>
                      <w:color w:val="FF0000"/>
                      <w:sz w:val="20"/>
                      <w:szCs w:val="20"/>
                    </w:rPr>
                    <w:t>?)</w:t>
                  </w:r>
                </w:p>
              </w:tc>
              <w:tc>
                <w:tcPr>
                  <w:tcW w:w="2201" w:type="pct"/>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No potential issues identified</w:t>
                  </w:r>
                </w:p>
              </w:tc>
              <w:tc>
                <w:tcPr>
                  <w:tcW w:w="162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C01166" w:rsidP="003837C2">
                  <w:pPr>
                    <w:rPr>
                      <w:rFonts w:eastAsia="Times New Roman"/>
                      <w:sz w:val="20"/>
                      <w:szCs w:val="20"/>
                    </w:rPr>
                  </w:pPr>
                </w:p>
              </w:tc>
            </w:tr>
            <w:tr w:rsidR="00C01166" w:rsidRPr="003837C2" w:rsidTr="00C81319">
              <w:tc>
                <w:tcPr>
                  <w:tcW w:w="117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t>Recommended Action:</w:t>
                  </w:r>
                </w:p>
              </w:tc>
              <w:tc>
                <w:tcPr>
                  <w:tcW w:w="3824" w:type="pct"/>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Operation has triggered 1 or more Policy Directives; please refer to appropriate Directive(s). Complete Project Classification Tool. Submit Safeguard Policy Filter Report, PP (or equivalent) and Safeguard Screening Form to ESR.</w:t>
                  </w:r>
                  <w:r w:rsidRPr="003837C2">
                    <w:rPr>
                      <w:rFonts w:eastAsia="Times New Roman"/>
                      <w:sz w:val="20"/>
                      <w:szCs w:val="20"/>
                    </w:rPr>
                    <w:br/>
                  </w:r>
                  <w:r w:rsidRPr="003837C2">
                    <w:rPr>
                      <w:rFonts w:eastAsia="Times New Roman"/>
                      <w:sz w:val="20"/>
                      <w:szCs w:val="20"/>
                    </w:rPr>
                    <w:br/>
                    <w:t xml:space="preserve">The project triggered the Disaster Risk Management policy (OP-704). A Disaster Risk Assessment (DRA) may be required (see Directive A-2 of the DRM Policy OP-704) in case of high risk, a limited DRA in case of moderate risk. Next, please complete a Disaster Risk Classification along with Impact Classification. </w:t>
                  </w:r>
                  <w:r w:rsidRPr="003837C2">
                    <w:rPr>
                      <w:rFonts w:eastAsia="Times New Roman"/>
                      <w:sz w:val="20"/>
                      <w:szCs w:val="20"/>
                    </w:rPr>
                    <w:br/>
                  </w:r>
                  <w:r w:rsidRPr="003837C2">
                    <w:rPr>
                      <w:rFonts w:eastAsia="Times New Roman"/>
                      <w:sz w:val="20"/>
                      <w:szCs w:val="20"/>
                    </w:rPr>
                    <w:lastRenderedPageBreak/>
                    <w:br/>
                  </w:r>
                  <w:r w:rsidRPr="003837C2">
                    <w:rPr>
                      <w:rFonts w:eastAsia="Times New Roman"/>
                      <w:sz w:val="20"/>
                      <w:szCs w:val="20"/>
                    </w:rPr>
                    <w:br/>
                  </w:r>
                  <w:r w:rsidRPr="003837C2">
                    <w:rPr>
                      <w:rFonts w:eastAsia="Times New Roman"/>
                      <w:sz w:val="20"/>
                      <w:szCs w:val="20"/>
                    </w:rPr>
                    <w:br/>
                    <w:t xml:space="preserve">The project triggered the Other Risks policy (B.04): climate </w:t>
                  </w:r>
                  <w:proofErr w:type="spellStart"/>
                  <w:r w:rsidRPr="003837C2">
                    <w:rPr>
                      <w:rFonts w:eastAsia="Times New Roman"/>
                      <w:sz w:val="20"/>
                      <w:szCs w:val="20"/>
                    </w:rPr>
                    <w:t>risk.Please</w:t>
                  </w:r>
                  <w:proofErr w:type="spellEnd"/>
                  <w:r w:rsidRPr="003837C2">
                    <w:rPr>
                      <w:rFonts w:eastAsia="Times New Roman"/>
                      <w:sz w:val="20"/>
                      <w:szCs w:val="20"/>
                    </w:rPr>
                    <w:t xml:space="preserve"> include sections on how climate risk will be dealt with in the ESS as well as client documents (EIA, EA, </w:t>
                  </w:r>
                  <w:proofErr w:type="spellStart"/>
                  <w:r w:rsidRPr="003837C2">
                    <w:rPr>
                      <w:rFonts w:eastAsia="Times New Roman"/>
                      <w:sz w:val="20"/>
                      <w:szCs w:val="20"/>
                    </w:rPr>
                    <w:t>etc</w:t>
                  </w:r>
                  <w:proofErr w:type="spellEnd"/>
                  <w:r w:rsidRPr="003837C2">
                    <w:rPr>
                      <w:rFonts w:eastAsia="Times New Roman"/>
                      <w:sz w:val="20"/>
                      <w:szCs w:val="20"/>
                    </w:rPr>
                    <w:t>);Recommend addressing risks from gradual changes in climate for the project in cost/benefit and credit risk analyses as well as TORs for engineering studies.</w:t>
                  </w:r>
                </w:p>
              </w:tc>
            </w:tr>
            <w:tr w:rsidR="00C01166" w:rsidRPr="003837C2" w:rsidTr="00C81319">
              <w:trPr>
                <w:trHeight w:val="348"/>
              </w:trPr>
              <w:tc>
                <w:tcPr>
                  <w:tcW w:w="117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lastRenderedPageBreak/>
                    <w:t>Additional Comments:</w:t>
                  </w:r>
                </w:p>
              </w:tc>
              <w:tc>
                <w:tcPr>
                  <w:tcW w:w="3824" w:type="pct"/>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C01166" w:rsidP="003837C2">
                  <w:pPr>
                    <w:rPr>
                      <w:rFonts w:eastAsia="Times New Roman"/>
                      <w:sz w:val="20"/>
                      <w:szCs w:val="20"/>
                    </w:rPr>
                  </w:pPr>
                </w:p>
              </w:tc>
            </w:tr>
          </w:tbl>
          <w:p w:rsidR="00C01166" w:rsidRPr="003837C2" w:rsidRDefault="00C01166" w:rsidP="003837C2">
            <w:pPr>
              <w:rPr>
                <w:rFonts w:eastAsia="Times New Roman"/>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2"/>
              <w:gridCol w:w="7190"/>
            </w:tblGrid>
            <w:tr w:rsidR="00C01166" w:rsidRPr="003837C2" w:rsidTr="00C81319">
              <w:tc>
                <w:tcPr>
                  <w:tcW w:w="9342" w:type="dxa"/>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C01166" w:rsidRPr="003837C2" w:rsidRDefault="00700219" w:rsidP="003837C2">
                  <w:pPr>
                    <w:rPr>
                      <w:rFonts w:eastAsia="Times New Roman"/>
                      <w:b/>
                      <w:bCs/>
                      <w:sz w:val="20"/>
                      <w:szCs w:val="20"/>
                    </w:rPr>
                  </w:pPr>
                  <w:r w:rsidRPr="003837C2">
                    <w:rPr>
                      <w:rFonts w:eastAsia="Times New Roman"/>
                      <w:b/>
                      <w:bCs/>
                      <w:sz w:val="20"/>
                      <w:szCs w:val="20"/>
                    </w:rPr>
                    <w:t>ASSESSOR DETAILS</w:t>
                  </w:r>
                </w:p>
              </w:tc>
            </w:tr>
            <w:tr w:rsidR="00C01166" w:rsidRPr="00D73ED6" w:rsidTr="00C81319">
              <w:trPr>
                <w:trHeight w:val="300"/>
              </w:trPr>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rsidP="003837C2">
                  <w:pPr>
                    <w:rPr>
                      <w:rFonts w:eastAsia="Times New Roman"/>
                      <w:b/>
                      <w:bCs/>
                      <w:sz w:val="20"/>
                      <w:szCs w:val="20"/>
                    </w:rPr>
                  </w:pPr>
                  <w:r w:rsidRPr="003837C2">
                    <w:rPr>
                      <w:rFonts w:eastAsia="Times New Roman"/>
                      <w:b/>
                      <w:bCs/>
                      <w:sz w:val="20"/>
                      <w:szCs w:val="20"/>
                    </w:rPr>
                    <w:t>Name of person who completed screening:</w:t>
                  </w:r>
                </w:p>
              </w:tc>
              <w:tc>
                <w:tcPr>
                  <w:tcW w:w="71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rsidP="003837C2">
                  <w:pPr>
                    <w:rPr>
                      <w:rFonts w:eastAsia="Times New Roman"/>
                      <w:sz w:val="20"/>
                      <w:szCs w:val="20"/>
                      <w:lang w:val="pt-BR"/>
                    </w:rPr>
                  </w:pPr>
                  <w:r w:rsidRPr="003837C2">
                    <w:rPr>
                      <w:rFonts w:eastAsia="Times New Roman"/>
                      <w:sz w:val="20"/>
                      <w:szCs w:val="20"/>
                      <w:lang w:val="pt-BR"/>
                    </w:rPr>
                    <w:t>Acevedo-Daunas, Rafael M. (RAFAELAC@iadb.org</w:t>
                  </w:r>
                  <w:proofErr w:type="gramStart"/>
                  <w:r w:rsidRPr="003837C2">
                    <w:rPr>
                      <w:rFonts w:eastAsia="Times New Roman"/>
                      <w:sz w:val="20"/>
                      <w:szCs w:val="20"/>
                      <w:lang w:val="pt-BR"/>
                    </w:rPr>
                    <w:t>)</w:t>
                  </w:r>
                  <w:proofErr w:type="gramEnd"/>
                </w:p>
              </w:tc>
            </w:tr>
            <w:tr w:rsidR="00C01166" w:rsidRPr="003837C2" w:rsidTr="00C81319">
              <w:trPr>
                <w:trHeight w:val="300"/>
              </w:trPr>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t>Title:</w:t>
                  </w:r>
                </w:p>
              </w:tc>
              <w:tc>
                <w:tcPr>
                  <w:tcW w:w="71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C01166" w:rsidP="003837C2">
                  <w:pPr>
                    <w:rPr>
                      <w:rFonts w:eastAsia="Times New Roman"/>
                      <w:sz w:val="20"/>
                      <w:szCs w:val="20"/>
                    </w:rPr>
                  </w:pPr>
                </w:p>
              </w:tc>
            </w:tr>
            <w:tr w:rsidR="00C01166" w:rsidRPr="003837C2" w:rsidTr="00C81319">
              <w:trPr>
                <w:trHeight w:val="300"/>
              </w:trPr>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01166" w:rsidRPr="003837C2" w:rsidRDefault="00700219" w:rsidP="003837C2">
                  <w:pPr>
                    <w:rPr>
                      <w:rFonts w:eastAsia="Times New Roman"/>
                      <w:b/>
                      <w:bCs/>
                      <w:sz w:val="20"/>
                      <w:szCs w:val="20"/>
                    </w:rPr>
                  </w:pPr>
                  <w:r w:rsidRPr="003837C2">
                    <w:rPr>
                      <w:rFonts w:eastAsia="Times New Roman"/>
                      <w:b/>
                      <w:bCs/>
                      <w:sz w:val="20"/>
                      <w:szCs w:val="20"/>
                    </w:rPr>
                    <w:t>Date:</w:t>
                  </w:r>
                </w:p>
              </w:tc>
              <w:tc>
                <w:tcPr>
                  <w:tcW w:w="71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01166" w:rsidRPr="003837C2" w:rsidRDefault="00700219" w:rsidP="003837C2">
                  <w:pPr>
                    <w:rPr>
                      <w:rFonts w:eastAsia="Times New Roman"/>
                      <w:sz w:val="20"/>
                      <w:szCs w:val="20"/>
                    </w:rPr>
                  </w:pPr>
                  <w:r w:rsidRPr="003837C2">
                    <w:rPr>
                      <w:rFonts w:eastAsia="Times New Roman"/>
                      <w:sz w:val="20"/>
                      <w:szCs w:val="20"/>
                    </w:rPr>
                    <w:t>2013-10-09</w:t>
                  </w:r>
                </w:p>
              </w:tc>
            </w:tr>
          </w:tbl>
          <w:p w:rsidR="00C01166" w:rsidRPr="003837C2" w:rsidRDefault="00700219">
            <w:pPr>
              <w:rPr>
                <w:rFonts w:eastAsia="Times New Roman"/>
                <w:sz w:val="20"/>
                <w:szCs w:val="20"/>
              </w:rPr>
            </w:pPr>
            <w:r w:rsidRPr="003837C2">
              <w:rPr>
                <w:rFonts w:eastAsia="Times New Roman"/>
                <w:sz w:val="20"/>
                <w:szCs w:val="20"/>
              </w:rPr>
              <w:br/>
              <w:t> </w:t>
            </w:r>
          </w:p>
          <w:p w:rsidR="000B520E" w:rsidRPr="003837C2" w:rsidRDefault="000B520E">
            <w:pPr>
              <w:rPr>
                <w:rFonts w:eastAsia="Times New Roman"/>
                <w:sz w:val="20"/>
                <w:szCs w:val="20"/>
              </w:rPr>
            </w:pPr>
          </w:p>
        </w:tc>
      </w:tr>
    </w:tbl>
    <w:p w:rsidR="003837C2" w:rsidRPr="003837C2" w:rsidRDefault="003837C2">
      <w:pPr>
        <w:rPr>
          <w:sz w:val="20"/>
          <w:szCs w:val="20"/>
        </w:rPr>
      </w:pPr>
      <w:r w:rsidRPr="003837C2">
        <w:rPr>
          <w:sz w:val="20"/>
          <w:szCs w:val="20"/>
        </w:rPr>
        <w:lastRenderedPageBreak/>
        <w:br w:type="page"/>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8"/>
      </w:tblGrid>
      <w:tr w:rsidR="000B520E" w:rsidRPr="003837C2" w:rsidTr="00115057">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0B520E" w:rsidRPr="003837C2" w:rsidRDefault="003837C2" w:rsidP="003837C2">
            <w:pPr>
              <w:spacing w:after="240"/>
              <w:jc w:val="center"/>
              <w:rPr>
                <w:rFonts w:ascii="Times New Roman Bold" w:eastAsia="Times New Roman" w:hAnsi="Times New Roman Bold"/>
                <w:smallCaps/>
              </w:rPr>
            </w:pPr>
            <w:r w:rsidRPr="003837C2">
              <w:rPr>
                <w:rFonts w:ascii="Times New Roman Bold" w:eastAsia="Times New Roman" w:hAnsi="Times New Roman Bold"/>
                <w:b/>
                <w:bCs/>
                <w:smallCaps/>
              </w:rPr>
              <w:lastRenderedPageBreak/>
              <w:t>Safeguard Screening Form</w:t>
            </w:r>
          </w:p>
          <w:tbl>
            <w:tblPr>
              <w:tblW w:w="5000" w:type="pct"/>
              <w:tblBorders>
                <w:top w:val="single" w:sz="6" w:space="0" w:color="808080"/>
                <w:left w:val="single" w:sz="6" w:space="0" w:color="808080"/>
                <w:right w:val="single" w:sz="6" w:space="0" w:color="808080"/>
              </w:tblBorders>
              <w:tblCellMar>
                <w:left w:w="0" w:type="dxa"/>
                <w:right w:w="0" w:type="dxa"/>
              </w:tblCellMar>
              <w:tblLook w:val="04A0" w:firstRow="1" w:lastRow="0" w:firstColumn="1" w:lastColumn="0" w:noHBand="0" w:noVBand="1"/>
            </w:tblPr>
            <w:tblGrid>
              <w:gridCol w:w="2432"/>
              <w:gridCol w:w="6920"/>
            </w:tblGrid>
            <w:tr w:rsidR="000B520E" w:rsidRPr="003837C2" w:rsidTr="00115057">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PROJECT DETAILS</w:t>
                  </w:r>
                </w:p>
              </w:tc>
            </w:tr>
            <w:tr w:rsidR="000B520E" w:rsidRPr="003837C2" w:rsidTr="00115057">
              <w:tc>
                <w:tcPr>
                  <w:tcW w:w="13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ENVIRONMENT AND NATURAL DISASTERS-FOREST RESOURCES MANAGEMENT</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Investment Loan</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ECUADOR</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Generic Checklist</w:t>
                  </w:r>
                </w:p>
              </w:tc>
            </w:tr>
            <w:tr w:rsidR="000B520E" w:rsidRPr="00D73ED6"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lang w:val="pt-BR"/>
                    </w:rPr>
                  </w:pPr>
                  <w:r w:rsidRPr="003837C2">
                    <w:rPr>
                      <w:rFonts w:eastAsia="Times New Roman"/>
                      <w:sz w:val="20"/>
                      <w:szCs w:val="20"/>
                      <w:lang w:val="pt-BR"/>
                    </w:rPr>
                    <w:t>Acevedo-Daunas, Rafael M. (RAFAELAC@iadb.org</w:t>
                  </w:r>
                  <w:proofErr w:type="gramStart"/>
                  <w:r w:rsidRPr="003837C2">
                    <w:rPr>
                      <w:rFonts w:eastAsia="Times New Roman"/>
                      <w:sz w:val="20"/>
                      <w:szCs w:val="20"/>
                      <w:lang w:val="pt-BR"/>
                    </w:rPr>
                    <w:t>)</w:t>
                  </w:r>
                  <w:proofErr w:type="gramEnd"/>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Provincial Road Support Program for GAD: PROVIAL</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EC-L1125</w:t>
                  </w:r>
                </w:p>
              </w:tc>
            </w:tr>
            <w:tr w:rsidR="000B520E" w:rsidRPr="00D73ED6"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lang w:val="pt-BR"/>
                    </w:rPr>
                  </w:pPr>
                  <w:r w:rsidRPr="003837C2">
                    <w:rPr>
                      <w:rFonts w:eastAsia="Times New Roman"/>
                      <w:sz w:val="20"/>
                      <w:szCs w:val="20"/>
                      <w:lang w:val="pt-BR"/>
                    </w:rPr>
                    <w:t>Acevedo-Daunas, Rafael M. (RAFAELAC@iadb.org</w:t>
                  </w:r>
                  <w:proofErr w:type="gramStart"/>
                  <w:r w:rsidRPr="003837C2">
                    <w:rPr>
                      <w:rFonts w:eastAsia="Times New Roman"/>
                      <w:sz w:val="20"/>
                      <w:szCs w:val="20"/>
                      <w:lang w:val="pt-BR"/>
                    </w:rPr>
                    <w:t>)</w:t>
                  </w:r>
                  <w:proofErr w:type="gramEnd"/>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2013-10-09</w:t>
                  </w:r>
                </w:p>
              </w:tc>
            </w:tr>
          </w:tbl>
          <w:p w:rsidR="000B520E" w:rsidRPr="003837C2" w:rsidRDefault="000B520E" w:rsidP="00115057">
            <w:pPr>
              <w:spacing w:after="240"/>
              <w:rPr>
                <w:rFonts w:eastAsia="Times New Roman"/>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6"/>
              <w:gridCol w:w="1914"/>
              <w:gridCol w:w="5492"/>
            </w:tblGrid>
            <w:tr w:rsidR="000B520E" w:rsidRPr="003837C2" w:rsidTr="00115057">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PROJECT CLASSIFICATION SUMMARY</w:t>
                  </w:r>
                </w:p>
              </w:tc>
            </w:tr>
            <w:tr w:rsidR="000B520E" w:rsidRPr="003837C2" w:rsidTr="003837C2">
              <w:trPr>
                <w:trHeight w:val="204"/>
              </w:trPr>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Project Category:</w:t>
                  </w:r>
                  <w:r w:rsidRPr="003837C2">
                    <w:rPr>
                      <w:rFonts w:eastAsia="Times New Roman"/>
                      <w:b/>
                      <w:bCs/>
                      <w:sz w:val="20"/>
                      <w:szCs w:val="20"/>
                    </w:rPr>
                    <w:br/>
                  </w:r>
                  <w:r w:rsidRPr="003837C2">
                    <w:rPr>
                      <w:rFonts w:eastAsia="Times New Roman"/>
                      <w:sz w:val="20"/>
                      <w:szCs w:val="20"/>
                    </w:rPr>
                    <w:t>B</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Override Justification:</w:t>
                  </w:r>
                </w:p>
              </w:tc>
            </w:tr>
            <w:tr w:rsidR="000B520E" w:rsidRPr="003837C2" w:rsidTr="003837C2">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20E" w:rsidRPr="003837C2" w:rsidRDefault="000B520E" w:rsidP="0011505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20E" w:rsidRPr="003837C2" w:rsidRDefault="000B520E" w:rsidP="00115057">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Comments:</w:t>
                  </w:r>
                </w:p>
              </w:tc>
            </w:tr>
            <w:tr w:rsidR="000B520E" w:rsidRPr="003837C2" w:rsidTr="00C81319">
              <w:trPr>
                <w:trHeight w:val="298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Conditions/</w:t>
                  </w:r>
                  <w:r w:rsidRPr="003837C2">
                    <w:rPr>
                      <w:rFonts w:eastAsia="Times New Roman"/>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C81319">
                  <w:pPr>
                    <w:spacing w:after="60"/>
                    <w:rPr>
                      <w:rFonts w:eastAsia="Times New Roman"/>
                      <w:sz w:val="20"/>
                      <w:szCs w:val="20"/>
                    </w:rPr>
                  </w:pPr>
                  <w:proofErr w:type="gramStart"/>
                  <w:r w:rsidRPr="003837C2">
                    <w:rPr>
                      <w:rFonts w:eastAsia="Times New Roman"/>
                      <w:sz w:val="20"/>
                      <w:szCs w:val="20"/>
                    </w:rPr>
                    <w:t>  Category</w:t>
                  </w:r>
                  <w:proofErr w:type="gramEnd"/>
                  <w:r w:rsidRPr="003837C2">
                    <w:rPr>
                      <w:rFonts w:eastAsia="Times New Roman"/>
                      <w:sz w:val="20"/>
                      <w:szCs w:val="20"/>
                    </w:rPr>
                    <w:t xml:space="preserve"> "B" operations require an environmental analysis (see Environment Policy Guideline: Directive B.5 for Environmental Analysis requirements).</w:t>
                  </w:r>
                </w:p>
                <w:p w:rsidR="000B520E" w:rsidRPr="003837C2" w:rsidRDefault="000B520E" w:rsidP="00C81319">
                  <w:pPr>
                    <w:spacing w:before="60" w:after="60"/>
                    <w:rPr>
                      <w:rFonts w:eastAsia="Times New Roman"/>
                      <w:sz w:val="20"/>
                      <w:szCs w:val="20"/>
                    </w:rPr>
                  </w:pPr>
                  <w:proofErr w:type="gramStart"/>
                  <w:r w:rsidRPr="003837C2">
                    <w:rPr>
                      <w:rFonts w:eastAsia="Times New Roman"/>
                      <w:sz w:val="20"/>
                      <w:szCs w:val="20"/>
                    </w:rPr>
                    <w:t>  The</w:t>
                  </w:r>
                  <w:proofErr w:type="gramEnd"/>
                  <w:r w:rsidRPr="003837C2">
                    <w:rPr>
                      <w:rFonts w:eastAsia="Times New Roman"/>
                      <w:sz w:val="20"/>
                      <w:szCs w:val="20"/>
                    </w:rPr>
                    <w:t xml:space="preserve"> Project Team must send to ESR the PP (or equivalent) containing the Environmental and Social Strategy (the requirements for an ESS are described in the Environment Policy Guideline: Directive B.3) as well as the Safeguard Policy Filter and Safeguard Screening Form Reports.</w:t>
                  </w:r>
                </w:p>
                <w:p w:rsidR="000B520E" w:rsidRPr="003837C2" w:rsidRDefault="000B520E" w:rsidP="00C81319">
                  <w:pPr>
                    <w:spacing w:after="240"/>
                    <w:rPr>
                      <w:rFonts w:eastAsia="Times New Roman"/>
                      <w:sz w:val="20"/>
                      <w:szCs w:val="20"/>
                    </w:rPr>
                  </w:pPr>
                  <w:proofErr w:type="gramStart"/>
                  <w:r w:rsidRPr="003837C2">
                    <w:rPr>
                      <w:rFonts w:eastAsia="Times New Roman"/>
                      <w:sz w:val="20"/>
                      <w:szCs w:val="20"/>
                    </w:rPr>
                    <w:t>  These</w:t>
                  </w:r>
                  <w:proofErr w:type="gramEnd"/>
                  <w:r w:rsidRPr="003837C2">
                    <w:rPr>
                      <w:rFonts w:eastAsia="Times New Roman"/>
                      <w:sz w:val="20"/>
                      <w:szCs w:val="20"/>
                    </w:rPr>
                    <w:t xml:space="preserv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p>
              </w:tc>
            </w:tr>
          </w:tbl>
          <w:p w:rsidR="000B520E" w:rsidRPr="00C81319" w:rsidRDefault="000B520E" w:rsidP="00115057">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2"/>
              <w:gridCol w:w="6920"/>
            </w:tblGrid>
            <w:tr w:rsidR="000B520E" w:rsidRPr="003837C2" w:rsidTr="00115057">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SUMMARY OF IMPACTS/RISKS AND POTENTIAL SOLUTIONS</w:t>
                  </w:r>
                </w:p>
              </w:tc>
            </w:tr>
            <w:tr w:rsidR="000B520E" w:rsidRPr="003837C2" w:rsidTr="00115057">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Identified Impacts/Risks</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Potential Solutions</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Generation of solid waste is moderate in volume, does not include hazardous materials and follows standards recognized by multilateral development banks.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b/>
                      <w:bCs/>
                      <w:sz w:val="20"/>
                      <w:szCs w:val="20"/>
                    </w:rPr>
                    <w:t>Solid Waste Management:</w:t>
                  </w:r>
                  <w:r w:rsidRPr="003837C2">
                    <w:rPr>
                      <w:rFonts w:eastAsia="Times New Roman"/>
                      <w:sz w:val="20"/>
                      <w:szCs w:val="20"/>
                    </w:rPr>
                    <w:t xml:space="preserve"> The borrower should monitor and report on waste reduction, management and disposal and may also need to develop a Waste Management Plan (which could be included in the ESMP). Effort should be placed on reducing and re-cycling solid wastes. Specifically (if applicable) in the case that national legislations have no provisions for the disposal and destruction of hazardous materials, the applicable procedures established within the Rotterdam Convention, the Stockholm Convention, the Basel Convention, the WHO List on Banned Pesticides, and the Pollution Prevention and Abatement Handbook (PPAH), should be taken into consideration.</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The project has or will have minor negative impacts on Indigenous Peoples.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b/>
                      <w:bCs/>
                      <w:sz w:val="20"/>
                      <w:szCs w:val="20"/>
                    </w:rPr>
                    <w:t>Mitigation Framework:</w:t>
                  </w:r>
                  <w:r w:rsidRPr="003837C2">
                    <w:rPr>
                      <w:rFonts w:eastAsia="Times New Roman"/>
                      <w:sz w:val="20"/>
                      <w:szCs w:val="20"/>
                    </w:rPr>
                    <w:t xml:space="preserve"> Include specific mitigation measures as needed in consultation with affected IPs. Consult with Indigenous Peoples specialist. Incorporate measures in legal documentation (covenants, conditions of disbursement, etc.). Include mitigation measures as part of overall environmental and social management plans or provisions.</w:t>
                  </w:r>
                </w:p>
              </w:tc>
            </w:tr>
          </w:tbl>
          <w:p w:rsidR="000B520E" w:rsidRPr="003837C2" w:rsidRDefault="000B520E" w:rsidP="00115057">
            <w:pPr>
              <w:spacing w:after="240"/>
              <w:rPr>
                <w:rFonts w:eastAsia="Times New Roman"/>
                <w:sz w:val="20"/>
                <w:szCs w:val="20"/>
              </w:rPr>
            </w:pPr>
          </w:p>
          <w:tbl>
            <w:tblPr>
              <w:tblW w:w="93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8"/>
              <w:gridCol w:w="7464"/>
            </w:tblGrid>
            <w:tr w:rsidR="000B520E" w:rsidRPr="003837C2" w:rsidTr="00C81319">
              <w:trPr>
                <w:trHeight w:val="330"/>
              </w:trPr>
              <w:tc>
                <w:tcPr>
                  <w:tcW w:w="9352" w:type="dxa"/>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DISASTER RISK SUMMARY</w:t>
                  </w:r>
                </w:p>
              </w:tc>
            </w:tr>
            <w:tr w:rsidR="000B520E" w:rsidRPr="003837C2" w:rsidTr="003837C2">
              <w:tc>
                <w:tcPr>
                  <w:tcW w:w="9352"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 xml:space="preserve">Disaster Risk Category: </w:t>
                  </w:r>
                  <w:r w:rsidRPr="003837C2">
                    <w:rPr>
                      <w:rFonts w:eastAsia="Times New Roman"/>
                      <w:sz w:val="20"/>
                      <w:szCs w:val="20"/>
                    </w:rPr>
                    <w:t>Low</w:t>
                  </w:r>
                </w:p>
              </w:tc>
            </w:tr>
            <w:tr w:rsidR="000B520E" w:rsidRPr="003837C2" w:rsidTr="003837C2">
              <w:tc>
                <w:tcPr>
                  <w:tcW w:w="188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Disaster/</w:t>
                  </w:r>
                  <w:r w:rsidRPr="003837C2">
                    <w:rPr>
                      <w:rFonts w:eastAsia="Times New Roman"/>
                      <w:b/>
                      <w:bCs/>
                      <w:sz w:val="20"/>
                      <w:szCs w:val="20"/>
                    </w:rPr>
                    <w:br/>
                    <w:t>Recommendations</w:t>
                  </w:r>
                </w:p>
              </w:tc>
              <w:tc>
                <w:tcPr>
                  <w:tcW w:w="746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numPr>
                      <w:ilvl w:val="0"/>
                      <w:numId w:val="1"/>
                    </w:numPr>
                    <w:spacing w:before="100" w:beforeAutospacing="1" w:after="100" w:afterAutospacing="1"/>
                    <w:rPr>
                      <w:rFonts w:eastAsia="Times New Roman"/>
                      <w:sz w:val="20"/>
                      <w:szCs w:val="20"/>
                    </w:rPr>
                  </w:pPr>
                  <w:r w:rsidRPr="003837C2">
                    <w:rPr>
                      <w:rFonts w:eastAsia="Times New Roman"/>
                      <w:sz w:val="20"/>
                      <w:szCs w:val="20"/>
                    </w:rPr>
                    <w:t>No specific Disaster Risk Management is required.</w:t>
                  </w:r>
                </w:p>
              </w:tc>
            </w:tr>
          </w:tbl>
          <w:p w:rsidR="000B520E" w:rsidRPr="00C81319" w:rsidRDefault="000B520E" w:rsidP="00115057">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5"/>
              <w:gridCol w:w="4477"/>
            </w:tblGrid>
            <w:tr w:rsidR="000B520E" w:rsidRPr="003837C2" w:rsidTr="00115057">
              <w:trPr>
                <w:gridAfter w:val="1"/>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DISASTER SUMMARY</w:t>
                  </w:r>
                </w:p>
              </w:tc>
            </w:tr>
            <w:tr w:rsidR="000B520E" w:rsidRPr="003837C2" w:rsidTr="00115057">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Details</w:t>
                  </w:r>
                  <w:r w:rsidRPr="003837C2">
                    <w:rPr>
                      <w:rFonts w:eastAsia="Times New Roman"/>
                      <w:b/>
                      <w:bCs/>
                      <w:sz w:val="20"/>
                      <w:szCs w:val="20"/>
                    </w:rPr>
                    <w:br/>
                  </w:r>
                  <w:r w:rsidRPr="003837C2">
                    <w:rPr>
                      <w:rFonts w:eastAsia="Times New Roman"/>
                      <w:b/>
                      <w:bCs/>
                      <w:sz w:val="20"/>
                      <w:szCs w:val="20"/>
                    </w:rPr>
                    <w:br/>
                  </w:r>
                  <w:r w:rsidRPr="003837C2">
                    <w:rPr>
                      <w:rFonts w:eastAsia="Times New Roman"/>
                      <w:sz w:val="20"/>
                      <w:szCs w:val="20"/>
                    </w:rPr>
                    <w:t>The Project should include the necessary measures to reduce disaster risk to acceptable levels as determined by the Bank on the basis of generally accepted standards and practices. Alternative prevention and mitigation measures that decrease vulnerability must be analyzed and included in project design and implementation as applicable. These measures should include safety and contingency planning to protect human health and economic assets. Expert opinion and adherence to international standards should be sought, where reasonably necessary.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Actions</w:t>
                  </w:r>
                  <w:r w:rsidRPr="003837C2">
                    <w:rPr>
                      <w:rFonts w:eastAsia="Times New Roman"/>
                      <w:b/>
                      <w:bCs/>
                      <w:sz w:val="20"/>
                      <w:szCs w:val="20"/>
                    </w:rPr>
                    <w:br/>
                  </w:r>
                  <w:r w:rsidRPr="003837C2">
                    <w:rPr>
                      <w:rFonts w:eastAsia="Times New Roman"/>
                      <w:b/>
                      <w:bCs/>
                      <w:sz w:val="20"/>
                      <w:szCs w:val="20"/>
                    </w:rPr>
                    <w:br/>
                  </w:r>
                  <w:r w:rsidRPr="003837C2">
                    <w:rPr>
                      <w:rFonts w:eastAsia="Times New Roman"/>
                      <w:sz w:val="20"/>
                      <w:szCs w:val="20"/>
                    </w:rPr>
                    <w:br/>
                  </w:r>
                  <w:r w:rsidRPr="003837C2">
                    <w:rPr>
                      <w:rFonts w:eastAsia="Times New Roman"/>
                      <w:sz w:val="20"/>
                      <w:szCs w:val="20"/>
                    </w:rPr>
                    <w:br/>
                    <w:t xml:space="preserve">The project triggered the Other Risks policy (B.04): climate </w:t>
                  </w:r>
                  <w:proofErr w:type="spellStart"/>
                  <w:r w:rsidRPr="003837C2">
                    <w:rPr>
                      <w:rFonts w:eastAsia="Times New Roman"/>
                      <w:sz w:val="20"/>
                      <w:szCs w:val="20"/>
                    </w:rPr>
                    <w:t>risk.Please</w:t>
                  </w:r>
                  <w:proofErr w:type="spellEnd"/>
                  <w:r w:rsidRPr="003837C2">
                    <w:rPr>
                      <w:rFonts w:eastAsia="Times New Roman"/>
                      <w:sz w:val="20"/>
                      <w:szCs w:val="20"/>
                    </w:rPr>
                    <w:t xml:space="preserve"> include sections on how climate risk will be dealt with in the ESS as well as client documents (EIA, EA, </w:t>
                  </w:r>
                  <w:proofErr w:type="spellStart"/>
                  <w:r w:rsidRPr="003837C2">
                    <w:rPr>
                      <w:rFonts w:eastAsia="Times New Roman"/>
                      <w:sz w:val="20"/>
                      <w:szCs w:val="20"/>
                    </w:rPr>
                    <w:t>etc</w:t>
                  </w:r>
                  <w:proofErr w:type="spellEnd"/>
                  <w:r w:rsidRPr="003837C2">
                    <w:rPr>
                      <w:rFonts w:eastAsia="Times New Roman"/>
                      <w:sz w:val="20"/>
                      <w:szCs w:val="20"/>
                    </w:rPr>
                    <w:t>);Recommend addressing risks from gradual changes in climate for the project in cost/benefit and credit risk analyses as well as TORs for engineering studies.</w:t>
                  </w:r>
                </w:p>
              </w:tc>
            </w:tr>
          </w:tbl>
          <w:p w:rsidR="000B520E" w:rsidRPr="00C81319" w:rsidRDefault="000B520E" w:rsidP="00115057">
            <w:pPr>
              <w:spacing w:after="240"/>
              <w:rPr>
                <w:rFonts w:eastAsia="Times New Roman"/>
                <w:sz w:val="2"/>
                <w:szCs w:val="2"/>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2"/>
              <w:gridCol w:w="6920"/>
            </w:tblGrid>
            <w:tr w:rsidR="000B520E" w:rsidRPr="003837C2" w:rsidTr="00115057">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ASSESSOR DETAILS</w:t>
                  </w:r>
                </w:p>
              </w:tc>
            </w:tr>
            <w:tr w:rsidR="000B520E" w:rsidRPr="00D73ED6" w:rsidTr="00115057">
              <w:trPr>
                <w:trHeight w:val="300"/>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b/>
                      <w:bCs/>
                      <w:sz w:val="20"/>
                      <w:szCs w:val="20"/>
                    </w:rPr>
                  </w:pPr>
                  <w:r w:rsidRPr="003837C2">
                    <w:rPr>
                      <w:rFonts w:eastAsia="Times New Roman"/>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lang w:val="pt-BR"/>
                    </w:rPr>
                  </w:pPr>
                  <w:r w:rsidRPr="003837C2">
                    <w:rPr>
                      <w:rFonts w:eastAsia="Times New Roman"/>
                      <w:sz w:val="20"/>
                      <w:szCs w:val="20"/>
                      <w:lang w:val="pt-BR"/>
                    </w:rPr>
                    <w:t>Acevedo-Daunas, Rafael M. (RAFAELAC@iadb.org</w:t>
                  </w:r>
                  <w:proofErr w:type="gramStart"/>
                  <w:r w:rsidRPr="003837C2">
                    <w:rPr>
                      <w:rFonts w:eastAsia="Times New Roman"/>
                      <w:sz w:val="20"/>
                      <w:szCs w:val="20"/>
                      <w:lang w:val="pt-BR"/>
                    </w:rPr>
                    <w:t>)</w:t>
                  </w:r>
                  <w:proofErr w:type="gramEnd"/>
                </w:p>
              </w:tc>
            </w:tr>
            <w:tr w:rsidR="000B520E" w:rsidRPr="003837C2" w:rsidTr="00115057">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tabs>
                      <w:tab w:val="center" w:pos="1109"/>
                    </w:tabs>
                    <w:rPr>
                      <w:rFonts w:eastAsia="Times New Roman"/>
                      <w:b/>
                      <w:bCs/>
                      <w:sz w:val="20"/>
                      <w:szCs w:val="20"/>
                    </w:rPr>
                  </w:pPr>
                  <w:r w:rsidRPr="003837C2">
                    <w:rPr>
                      <w:rFonts w:eastAsia="Times New Roman"/>
                      <w:b/>
                      <w:bCs/>
                      <w:sz w:val="20"/>
                      <w:szCs w:val="20"/>
                    </w:rPr>
                    <w:t>Title:</w:t>
                  </w:r>
                  <w:r w:rsidRPr="003837C2">
                    <w:rPr>
                      <w:rFonts w:eastAsia="Times New Roman"/>
                      <w:b/>
                      <w:bCs/>
                      <w:sz w:val="20"/>
                      <w:szCs w:val="20"/>
                    </w:rPr>
                    <w:tab/>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rPr>
                  </w:pPr>
                </w:p>
              </w:tc>
            </w:tr>
            <w:tr w:rsidR="000B520E" w:rsidRPr="003837C2" w:rsidTr="00115057">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B520E" w:rsidRPr="003837C2" w:rsidRDefault="000B520E" w:rsidP="00115057">
                  <w:pPr>
                    <w:rPr>
                      <w:rFonts w:eastAsia="Times New Roman"/>
                      <w:b/>
                      <w:bCs/>
                      <w:sz w:val="20"/>
                      <w:szCs w:val="20"/>
                    </w:rPr>
                  </w:pPr>
                  <w:r w:rsidRPr="003837C2">
                    <w:rPr>
                      <w:rFonts w:eastAsia="Times New Roman"/>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0B520E" w:rsidRPr="003837C2" w:rsidRDefault="000B520E" w:rsidP="00115057">
                  <w:pPr>
                    <w:rPr>
                      <w:rFonts w:eastAsia="Times New Roman"/>
                      <w:sz w:val="20"/>
                      <w:szCs w:val="20"/>
                    </w:rPr>
                  </w:pPr>
                  <w:r w:rsidRPr="003837C2">
                    <w:rPr>
                      <w:rFonts w:eastAsia="Times New Roman"/>
                      <w:sz w:val="20"/>
                      <w:szCs w:val="20"/>
                    </w:rPr>
                    <w:t>2013-10-09</w:t>
                  </w:r>
                </w:p>
              </w:tc>
            </w:tr>
          </w:tbl>
          <w:p w:rsidR="000B520E" w:rsidRPr="003837C2" w:rsidRDefault="000B520E" w:rsidP="00115057">
            <w:pPr>
              <w:rPr>
                <w:rFonts w:eastAsia="Times New Roman"/>
                <w:sz w:val="20"/>
                <w:szCs w:val="20"/>
              </w:rPr>
            </w:pPr>
            <w:r w:rsidRPr="003837C2">
              <w:rPr>
                <w:rFonts w:eastAsia="Times New Roman"/>
                <w:sz w:val="20"/>
                <w:szCs w:val="20"/>
              </w:rPr>
              <w:br/>
              <w:t> </w:t>
            </w:r>
          </w:p>
        </w:tc>
      </w:tr>
    </w:tbl>
    <w:p w:rsidR="000B520E" w:rsidRPr="003837C2" w:rsidRDefault="000B520E" w:rsidP="000B520E">
      <w:pPr>
        <w:rPr>
          <w:rFonts w:eastAsia="Times New Roman"/>
          <w:sz w:val="20"/>
          <w:szCs w:val="20"/>
        </w:rPr>
      </w:pPr>
    </w:p>
    <w:p w:rsidR="00C01166" w:rsidRPr="003837C2" w:rsidRDefault="00C01166">
      <w:pPr>
        <w:rPr>
          <w:rFonts w:eastAsia="Times New Roman"/>
          <w:sz w:val="20"/>
          <w:szCs w:val="20"/>
        </w:rPr>
      </w:pPr>
    </w:p>
    <w:sectPr w:rsidR="00C01166" w:rsidRPr="003837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C2" w:rsidRDefault="003837C2" w:rsidP="003837C2">
      <w:r>
        <w:separator/>
      </w:r>
    </w:p>
  </w:endnote>
  <w:endnote w:type="continuationSeparator" w:id="0">
    <w:p w:rsidR="003837C2" w:rsidRDefault="003837C2" w:rsidP="0038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C2" w:rsidRDefault="003837C2" w:rsidP="003837C2">
      <w:r>
        <w:separator/>
      </w:r>
    </w:p>
  </w:footnote>
  <w:footnote w:type="continuationSeparator" w:id="0">
    <w:p w:rsidR="003837C2" w:rsidRDefault="003837C2" w:rsidP="0038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sz w:val="22"/>
        <w:szCs w:val="22"/>
      </w:rPr>
    </w:sdtEndPr>
    <w:sdtContent>
      <w:p w:rsidR="003837C2" w:rsidRPr="003837C2" w:rsidRDefault="003837C2" w:rsidP="003837C2">
        <w:pPr>
          <w:pStyle w:val="Header"/>
          <w:jc w:val="right"/>
          <w:rPr>
            <w:sz w:val="22"/>
            <w:szCs w:val="22"/>
          </w:rPr>
        </w:pPr>
        <w:proofErr w:type="spellStart"/>
        <w:r w:rsidRPr="003837C2">
          <w:rPr>
            <w:sz w:val="22"/>
            <w:szCs w:val="22"/>
          </w:rPr>
          <w:t>Anexo</w:t>
        </w:r>
        <w:proofErr w:type="spellEnd"/>
        <w:r w:rsidRPr="003837C2">
          <w:rPr>
            <w:sz w:val="22"/>
            <w:szCs w:val="22"/>
          </w:rPr>
          <w:t xml:space="preserve"> IV – EC-L1125</w:t>
        </w:r>
      </w:p>
      <w:p w:rsidR="003837C2" w:rsidRPr="003837C2" w:rsidRDefault="003837C2" w:rsidP="003837C2">
        <w:pPr>
          <w:pStyle w:val="Header"/>
          <w:jc w:val="right"/>
          <w:rPr>
            <w:sz w:val="22"/>
            <w:szCs w:val="22"/>
          </w:rPr>
        </w:pPr>
        <w:proofErr w:type="spellStart"/>
        <w:r w:rsidRPr="003837C2">
          <w:rPr>
            <w:sz w:val="22"/>
            <w:szCs w:val="22"/>
          </w:rPr>
          <w:t>Página</w:t>
        </w:r>
        <w:proofErr w:type="spellEnd"/>
        <w:r w:rsidRPr="003837C2">
          <w:rPr>
            <w:sz w:val="22"/>
            <w:szCs w:val="22"/>
          </w:rPr>
          <w:t xml:space="preserve"> </w:t>
        </w:r>
        <w:r w:rsidRPr="003837C2">
          <w:rPr>
            <w:bCs/>
            <w:sz w:val="22"/>
            <w:szCs w:val="22"/>
          </w:rPr>
          <w:fldChar w:fldCharType="begin"/>
        </w:r>
        <w:r w:rsidRPr="003837C2">
          <w:rPr>
            <w:bCs/>
            <w:sz w:val="22"/>
            <w:szCs w:val="22"/>
          </w:rPr>
          <w:instrText xml:space="preserve"> PAGE </w:instrText>
        </w:r>
        <w:r w:rsidRPr="003837C2">
          <w:rPr>
            <w:bCs/>
            <w:sz w:val="22"/>
            <w:szCs w:val="22"/>
          </w:rPr>
          <w:fldChar w:fldCharType="separate"/>
        </w:r>
        <w:r w:rsidR="00D73ED6">
          <w:rPr>
            <w:bCs/>
            <w:noProof/>
            <w:sz w:val="22"/>
            <w:szCs w:val="22"/>
          </w:rPr>
          <w:t>1</w:t>
        </w:r>
        <w:r w:rsidRPr="003837C2">
          <w:rPr>
            <w:bCs/>
            <w:sz w:val="22"/>
            <w:szCs w:val="22"/>
          </w:rPr>
          <w:fldChar w:fldCharType="end"/>
        </w:r>
        <w:r w:rsidRPr="003837C2">
          <w:rPr>
            <w:sz w:val="22"/>
            <w:szCs w:val="22"/>
          </w:rPr>
          <w:t xml:space="preserve"> de </w:t>
        </w:r>
        <w:r w:rsidRPr="003837C2">
          <w:rPr>
            <w:bCs/>
            <w:sz w:val="22"/>
            <w:szCs w:val="22"/>
          </w:rPr>
          <w:fldChar w:fldCharType="begin"/>
        </w:r>
        <w:r w:rsidRPr="003837C2">
          <w:rPr>
            <w:bCs/>
            <w:sz w:val="22"/>
            <w:szCs w:val="22"/>
          </w:rPr>
          <w:instrText xml:space="preserve"> NUMPAGES  </w:instrText>
        </w:r>
        <w:r w:rsidRPr="003837C2">
          <w:rPr>
            <w:bCs/>
            <w:sz w:val="22"/>
            <w:szCs w:val="22"/>
          </w:rPr>
          <w:fldChar w:fldCharType="separate"/>
        </w:r>
        <w:r w:rsidR="00D73ED6">
          <w:rPr>
            <w:bCs/>
            <w:noProof/>
            <w:sz w:val="22"/>
            <w:szCs w:val="22"/>
          </w:rPr>
          <w:t>5</w:t>
        </w:r>
        <w:r w:rsidRPr="003837C2">
          <w:rPr>
            <w:bCs/>
            <w:sz w:val="22"/>
            <w:szCs w:val="22"/>
          </w:rPr>
          <w:fldChar w:fldCharType="end"/>
        </w:r>
      </w:p>
    </w:sdtContent>
  </w:sdt>
  <w:p w:rsidR="003837C2" w:rsidRDefault="00383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618C3"/>
    <w:multiLevelType w:val="multilevel"/>
    <w:tmpl w:val="2B1A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4"/>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00219"/>
    <w:rsid w:val="000B520E"/>
    <w:rsid w:val="003837C2"/>
    <w:rsid w:val="00700219"/>
    <w:rsid w:val="00C01166"/>
    <w:rsid w:val="00C81319"/>
    <w:rsid w:val="00D7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3837C2"/>
    <w:pPr>
      <w:tabs>
        <w:tab w:val="center" w:pos="4513"/>
        <w:tab w:val="right" w:pos="9026"/>
      </w:tabs>
    </w:pPr>
  </w:style>
  <w:style w:type="character" w:customStyle="1" w:styleId="HeaderChar">
    <w:name w:val="Header Char"/>
    <w:basedOn w:val="DefaultParagraphFont"/>
    <w:link w:val="Header"/>
    <w:uiPriority w:val="99"/>
    <w:rsid w:val="003837C2"/>
    <w:rPr>
      <w:rFonts w:eastAsiaTheme="minorEastAsia"/>
      <w:sz w:val="24"/>
      <w:szCs w:val="24"/>
    </w:rPr>
  </w:style>
  <w:style w:type="paragraph" w:styleId="Footer">
    <w:name w:val="footer"/>
    <w:basedOn w:val="Normal"/>
    <w:link w:val="FooterChar"/>
    <w:uiPriority w:val="99"/>
    <w:unhideWhenUsed/>
    <w:rsid w:val="003837C2"/>
    <w:pPr>
      <w:tabs>
        <w:tab w:val="center" w:pos="4513"/>
        <w:tab w:val="right" w:pos="9026"/>
      </w:tabs>
    </w:pPr>
  </w:style>
  <w:style w:type="character" w:customStyle="1" w:styleId="FooterChar">
    <w:name w:val="Footer Char"/>
    <w:basedOn w:val="DefaultParagraphFont"/>
    <w:link w:val="Footer"/>
    <w:uiPriority w:val="99"/>
    <w:rsid w:val="003837C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3837C2"/>
    <w:pPr>
      <w:tabs>
        <w:tab w:val="center" w:pos="4513"/>
        <w:tab w:val="right" w:pos="9026"/>
      </w:tabs>
    </w:pPr>
  </w:style>
  <w:style w:type="character" w:customStyle="1" w:styleId="HeaderChar">
    <w:name w:val="Header Char"/>
    <w:basedOn w:val="DefaultParagraphFont"/>
    <w:link w:val="Header"/>
    <w:uiPriority w:val="99"/>
    <w:rsid w:val="003837C2"/>
    <w:rPr>
      <w:rFonts w:eastAsiaTheme="minorEastAsia"/>
      <w:sz w:val="24"/>
      <w:szCs w:val="24"/>
    </w:rPr>
  </w:style>
  <w:style w:type="paragraph" w:styleId="Footer">
    <w:name w:val="footer"/>
    <w:basedOn w:val="Normal"/>
    <w:link w:val="FooterChar"/>
    <w:uiPriority w:val="99"/>
    <w:unhideWhenUsed/>
    <w:rsid w:val="003837C2"/>
    <w:pPr>
      <w:tabs>
        <w:tab w:val="center" w:pos="4513"/>
        <w:tab w:val="right" w:pos="9026"/>
      </w:tabs>
    </w:pPr>
  </w:style>
  <w:style w:type="character" w:customStyle="1" w:styleId="FooterChar">
    <w:name w:val="Footer Char"/>
    <w:basedOn w:val="DefaultParagraphFont"/>
    <w:link w:val="Footer"/>
    <w:uiPriority w:val="99"/>
    <w:rsid w:val="003837C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asin.org/rest/auth/login?username=IDBUSER&amp;password=IDBUSER&amp;redirect=http%3A%2F%2Fidb.databasin.org%2Fmaps%2Fnew%23datasets%3D3ed5b5d200ce41e898a001ced7bde5dd"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F8896E1841C842949D0F901AA0D771" ma:contentTypeVersion="6" ma:contentTypeDescription="A content type to manage public (operations) IDB documents" ma:contentTypeScope="" ma:versionID="0102ec3d50b4e7ef566a89942b7337f4">
  <xsd:schema xmlns:xsd="http://www.w3.org/2001/XMLSchema" xmlns:xs="http://www.w3.org/2001/XMLSchema" xmlns:p="http://schemas.microsoft.com/office/2006/metadata/properties" xmlns:ns2="cdc7663a-08f0-4737-9e8c-148ce897a09c" targetNamespace="http://schemas.microsoft.com/office/2006/metadata/properties" ma:root="true" ma:fieldsID="4a2b00a3559290db0aee23e76ac17fb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04e1e40-5c2d-4772-8def-99c6b9ea1318}" ma:internalName="TaxCatchAll" ma:showField="CatchAllData"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04e1e40-5c2d-4772-8def-99c6b9ea1318}" ma:internalName="TaxCatchAllLabel" ma:readOnly="true" ma:showField="CatchAllDataLabel"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TaxKeywordTaxHTField" ma:index="55"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38195823</IDBDocs_x0020_Number>
    <TaxCatchAll xmlns="cdc7663a-08f0-4737-9e8c-148ce897a09c">
      <Value>11</Value>
      <Value>81</Value>
    </TaxCatchAll>
    <Issue_x0020_Date xmlns="cdc7663a-08f0-4737-9e8c-148ce897a09c" xsi:nil="true"/>
    <Phase xmlns="cdc7663a-08f0-4737-9e8c-148ce897a09c" xsi:nil="true"/>
    <SISCOR_x0020_Number xmlns="cdc7663a-08f0-4737-9e8c-148ce897a09c" xsi:nil="true"/>
    <Disclosed xmlns="cdc7663a-08f0-4737-9e8c-148ce897a09c">false</Disclosed>
    <Publication_x0020_Type xmlns="cdc7663a-08f0-4737-9e8c-148ce897a09c" xsi:nil="true"/>
    <Division_x0020_or_x0020_Unit xmlns="cdc7663a-08f0-4737-9e8c-148ce897a09c">INE/TSP</Division_x0020_or_x0020_Unit>
    <Approval_x0020_Number xmlns="cdc7663a-08f0-4737-9e8c-148ce897a09c" xsi:nil="true"/>
    <Document_x0020_Author xmlns="cdc7663a-08f0-4737-9e8c-148ce897a09c">Acevedo-Daunas, Rafael M.</Document_x0020_Author>
    <Disclosure_x0020_Activity xmlns="cdc7663a-08f0-4737-9e8c-148ce897a09c">Loan Proposal</Disclosure_x0020_Activity>
    <Fiscal_x0020_Year_x0020_IDB xmlns="cdc7663a-08f0-4737-9e8c-148ce897a09c">2013</Fiscal_x0020_Year_x0020_IDB>
    <Webtopic xmlns="cdc7663a-08f0-4737-9e8c-148ce897a09c">Transportation</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&lt;Data&gt;&lt;APPLICATION&gt;MS WORD&lt;/APPLICATION&gt;&lt;STAGE_CODE&gt;LP&lt;/STAGE_CODE&gt;&lt;USER_STAGE&gt;Loan Proposal&lt;/USER_STAGE&gt;&lt;PD_OBJ_TYPE&gt;0&lt;/PD_OBJ_TYPE&gt;&lt;MAKERECORD&gt;N&lt;/MAKERECORD&gt;&lt;/Data&gt;</Migration_x0020_Info>
    <Operation_x0020_Type xmlns="cdc7663a-08f0-4737-9e8c-148ce897a09c" xsi:nil="true"/>
    <KP_x0020_Topics xmlns="cdc7663a-08f0-4737-9e8c-148ce897a09c" xsi:nil="true"/>
    <Record_x0020_Number xmlns="cdc7663a-08f0-4737-9e8c-148ce897a09c" xsi:nil="true"/>
    <TaxKeywordTaxHTField xmlns="cdc7663a-08f0-4737-9e8c-148ce897a09c">
      <Terms xmlns="http://schemas.microsoft.com/office/infopath/2007/PartnerControls"/>
    </TaxKeywordTaxHTField>
    <Editor1 xmlns="cdc7663a-08f0-4737-9e8c-148ce897a09c" xsi:nil="true"/>
    <Region xmlns="cdc7663a-08f0-4737-9e8c-148ce897a09c" xsi:nil="true"/>
    <Document_x0020_Language_x0020_IDB xmlns="cdc7663a-08f0-4737-9e8c-148ce897a09c">Spanish</Document_x0020_Language_x0020_IDB>
    <Identifier xmlns="cdc7663a-08f0-4737-9e8c-148ce897a09c">Maria Romero Pons x.1567 TECFILE</Identifier>
    <Publishing_x0020_Hou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7B34EBAA-A94D-4130-8AE2-F0280B3646DF}"/>
</file>

<file path=customXml/itemProps2.xml><?xml version="1.0" encoding="utf-8"?>
<ds:datastoreItem xmlns:ds="http://schemas.openxmlformats.org/officeDocument/2006/customXml" ds:itemID="{17964CE2-00B2-472F-91DD-70E3B9BC0891}"/>
</file>

<file path=customXml/itemProps3.xml><?xml version="1.0" encoding="utf-8"?>
<ds:datastoreItem xmlns:ds="http://schemas.openxmlformats.org/officeDocument/2006/customXml" ds:itemID="{D11EA8B2-424D-4A74-88F0-35BE6D3B1707}"/>
</file>

<file path=customXml/itemProps4.xml><?xml version="1.0" encoding="utf-8"?>
<ds:datastoreItem xmlns:ds="http://schemas.openxmlformats.org/officeDocument/2006/customXml" ds:itemID="{E6A54976-544A-4DBA-B2D2-8ABB7CDAD651}"/>
</file>

<file path=customXml/itemProps5.xml><?xml version="1.0" encoding="utf-8"?>
<ds:datastoreItem xmlns:ds="http://schemas.openxmlformats.org/officeDocument/2006/customXml" ds:itemID="{C92533A4-1E3C-4EDA-A98E-37FCF4737694}"/>
</file>

<file path=customXml/itemProps6.xml><?xml version="1.0" encoding="utf-8"?>
<ds:datastoreItem xmlns:ds="http://schemas.openxmlformats.org/officeDocument/2006/customXml" ds:itemID="{DE81F7B6-55BB-498F-AB3C-4447C71E5E44}"/>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7411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10 Filtro de Política de Salvaguardias (SPF) y Formulario de Análisis de Salvaguardias (SSF)</dc:title>
  <dc:creator>Juan Carlos Paez Zamora</dc:creator>
  <cp:keywords/>
  <cp:lastModifiedBy>Test</cp:lastModifiedBy>
  <cp:revision>2</cp:revision>
  <dcterms:created xsi:type="dcterms:W3CDTF">2013-10-28T15:03:00Z</dcterms:created>
  <dcterms:modified xsi:type="dcterms:W3CDTF">2013-10-28T15:03:00Z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0x0101001A458A224826124E8B45B1D613300CFC00BCF8896E1841C842949D0F901AA0D771</vt:lpwstr>
  </property>
  <property fmtid="{D5CDD505-2E9C-101B-9397-08002B2CF9AE}" pid="3" name="TaxKeyword">
    <vt:lpwstr/>
  </property>
  <property fmtid="{D5CDD505-2E9C-101B-9397-08002B2CF9AE}" pid="4" name="Sub_x002d_Sector">
    <vt:lpwstr/>
  </property>
  <property fmtid="{D5CDD505-2E9C-101B-9397-08002B2CF9AE}" pid="7" name="Fund IDB">
    <vt:lpwstr/>
  </property>
  <property fmtid="{D5CDD505-2E9C-101B-9397-08002B2CF9AE}" pid="8" name="Country">
    <vt:lpwstr>11;#Ecuador|8f163189-00fa-4e7c-827d-28fb5798781c</vt:lpwstr>
  </property>
  <property fmtid="{D5CDD505-2E9C-101B-9397-08002B2CF9AE}" pid="9" name="Series_x0020_Operations_x0020_IDB">
    <vt:lpwstr/>
  </property>
  <property fmtid="{D5CDD505-2E9C-101B-9397-08002B2CF9AE}" pid="10" name="Sector IDB">
    <vt:lpwstr/>
  </property>
  <property fmtid="{D5CDD505-2E9C-101B-9397-08002B2CF9AE}" pid="11" name="Function Operations IDB">
    <vt:lpwstr>81;#IDBDocs|cca77002-e150-4b2d-ab1f-1d7a7cdcae16</vt:lpwstr>
  </property>
  <property fmtid="{D5CDD505-2E9C-101B-9397-08002B2CF9AE}" pid="14" name="From:">
    <vt:lpwstr/>
  </property>
  <property fmtid="{D5CDD505-2E9C-101B-9397-08002B2CF9AE}" pid="15" name="To:">
    <vt:lpwstr/>
  </property>
  <property fmtid="{D5CDD505-2E9C-101B-9397-08002B2CF9AE}" pid="16" name="Series Operations IDB">
    <vt:lpwstr/>
  </property>
  <property fmtid="{D5CDD505-2E9C-101B-9397-08002B2CF9AE}" pid="17" name="Sub-Sector">
    <vt:lpwstr/>
  </property>
</Properties>
</file>