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EB" w:rsidRPr="006967CC" w:rsidRDefault="00C128EB" w:rsidP="009F0618">
      <w:pPr>
        <w:widowControl w:val="0"/>
        <w:autoSpaceDE w:val="0"/>
        <w:autoSpaceDN w:val="0"/>
        <w:adjustRightInd w:val="0"/>
        <w:spacing w:before="74" w:after="0" w:line="249" w:lineRule="exact"/>
        <w:ind w:left="1080"/>
        <w:rPr>
          <w:rFonts w:ascii="Arial" w:hAnsi="Arial" w:cs="Arial"/>
          <w:b/>
          <w:bCs/>
          <w:spacing w:val="-1"/>
          <w:position w:val="-1"/>
          <w:sz w:val="24"/>
          <w:szCs w:val="24"/>
          <w:lang w:val="en-US"/>
        </w:rPr>
      </w:pPr>
    </w:p>
    <w:p w:rsidR="00C128EB" w:rsidRPr="006967CC" w:rsidRDefault="00C128EB" w:rsidP="009F0618">
      <w:pPr>
        <w:widowControl w:val="0"/>
        <w:autoSpaceDE w:val="0"/>
        <w:autoSpaceDN w:val="0"/>
        <w:adjustRightInd w:val="0"/>
        <w:spacing w:before="74" w:after="0" w:line="249" w:lineRule="exact"/>
        <w:ind w:left="1080"/>
        <w:rPr>
          <w:rFonts w:ascii="Arial" w:hAnsi="Arial" w:cs="Arial"/>
          <w:b/>
          <w:bCs/>
          <w:spacing w:val="-1"/>
          <w:position w:val="-1"/>
          <w:sz w:val="24"/>
          <w:szCs w:val="24"/>
          <w:lang w:val="en-US"/>
        </w:rPr>
      </w:pPr>
    </w:p>
    <w:p w:rsidR="00C128EB" w:rsidRPr="006967CC" w:rsidRDefault="00C128EB" w:rsidP="009F0618">
      <w:pPr>
        <w:widowControl w:val="0"/>
        <w:autoSpaceDE w:val="0"/>
        <w:autoSpaceDN w:val="0"/>
        <w:adjustRightInd w:val="0"/>
        <w:spacing w:before="74" w:after="0" w:line="249" w:lineRule="exact"/>
        <w:ind w:left="1080"/>
        <w:rPr>
          <w:rFonts w:ascii="Arial" w:hAnsi="Arial" w:cs="Arial"/>
          <w:b/>
          <w:bCs/>
          <w:spacing w:val="-1"/>
          <w:position w:val="-1"/>
          <w:sz w:val="24"/>
          <w:szCs w:val="24"/>
          <w:lang w:val="en-US"/>
        </w:rPr>
      </w:pPr>
    </w:p>
    <w:p w:rsidR="00C128EB" w:rsidRPr="006967CC" w:rsidRDefault="00C128EB" w:rsidP="009F0618">
      <w:pPr>
        <w:widowControl w:val="0"/>
        <w:autoSpaceDE w:val="0"/>
        <w:autoSpaceDN w:val="0"/>
        <w:adjustRightInd w:val="0"/>
        <w:spacing w:before="74" w:after="0" w:line="249" w:lineRule="exact"/>
        <w:ind w:left="1080"/>
        <w:rPr>
          <w:rFonts w:ascii="Arial" w:hAnsi="Arial" w:cs="Arial"/>
          <w:b/>
          <w:bCs/>
          <w:spacing w:val="-1"/>
          <w:position w:val="-1"/>
          <w:sz w:val="24"/>
          <w:szCs w:val="24"/>
          <w:lang w:val="en-US"/>
        </w:rPr>
      </w:pPr>
    </w:p>
    <w:p w:rsidR="00C128EB" w:rsidRPr="006967CC" w:rsidRDefault="00C128EB" w:rsidP="00885911">
      <w:pPr>
        <w:pStyle w:val="NoSpacing"/>
        <w:jc w:val="center"/>
        <w:rPr>
          <w:rFonts w:ascii="Arial" w:hAnsi="Arial" w:cs="Arial"/>
          <w:b/>
          <w:bCs/>
          <w:lang w:val="en-US"/>
        </w:rPr>
      </w:pPr>
    </w:p>
    <w:p w:rsidR="00C128EB" w:rsidRPr="006967CC" w:rsidRDefault="00C128EB" w:rsidP="00885911">
      <w:pPr>
        <w:pStyle w:val="NoSpacing"/>
        <w:jc w:val="center"/>
        <w:rPr>
          <w:rFonts w:ascii="Arial" w:hAnsi="Arial" w:cs="Arial"/>
          <w:b/>
          <w:bCs/>
          <w:lang w:val="en-US"/>
        </w:rPr>
      </w:pPr>
    </w:p>
    <w:p w:rsidR="00C128EB" w:rsidRDefault="00C128EB" w:rsidP="009F0618">
      <w:pPr>
        <w:widowControl w:val="0"/>
        <w:autoSpaceDE w:val="0"/>
        <w:autoSpaceDN w:val="0"/>
        <w:adjustRightInd w:val="0"/>
        <w:spacing w:before="74" w:after="0" w:line="249" w:lineRule="exact"/>
        <w:jc w:val="center"/>
        <w:rPr>
          <w:rFonts w:ascii="Arial" w:hAnsi="Arial" w:cs="Arial"/>
          <w:b/>
          <w:bCs/>
          <w:lang w:val="en-US"/>
        </w:rPr>
      </w:pPr>
    </w:p>
    <w:p w:rsidR="00C128EB" w:rsidRPr="00546ABB" w:rsidRDefault="00C128EB" w:rsidP="009F0618">
      <w:pPr>
        <w:widowControl w:val="0"/>
        <w:autoSpaceDE w:val="0"/>
        <w:autoSpaceDN w:val="0"/>
        <w:adjustRightInd w:val="0"/>
        <w:spacing w:before="74" w:after="0" w:line="249" w:lineRule="exact"/>
        <w:jc w:val="center"/>
        <w:rPr>
          <w:rFonts w:ascii="Times New Roman" w:hAnsi="Times New Roman" w:cs="Times New Roman"/>
          <w:b/>
          <w:bCs/>
          <w:sz w:val="28"/>
          <w:szCs w:val="28"/>
          <w:lang w:val="en-US"/>
        </w:rPr>
      </w:pPr>
      <w:r w:rsidRPr="00546ABB">
        <w:rPr>
          <w:rFonts w:ascii="Times New Roman" w:hAnsi="Times New Roman" w:cs="Times New Roman"/>
          <w:b/>
          <w:bCs/>
          <w:sz w:val="28"/>
          <w:szCs w:val="28"/>
          <w:lang w:val="en-US"/>
        </w:rPr>
        <w:t>DOCUMENT OF THE INTER-AMERICAN DEVELOPMENT BANK</w:t>
      </w:r>
      <w:r w:rsidR="00FE5968">
        <w:rPr>
          <w:noProof/>
          <w:lang w:val="en-US"/>
        </w:rPr>
        <mc:AlternateContent>
          <mc:Choice Requires="wpg">
            <w:drawing>
              <wp:anchor distT="0" distB="0" distL="114300" distR="114300" simplePos="0" relativeHeight="251658240" behindDoc="1" locked="0" layoutInCell="0" allowOverlap="1">
                <wp:simplePos x="0" y="0"/>
                <wp:positionH relativeFrom="page">
                  <wp:posOffset>954405</wp:posOffset>
                </wp:positionH>
                <wp:positionV relativeFrom="page">
                  <wp:posOffset>7390765</wp:posOffset>
                </wp:positionV>
                <wp:extent cx="5981700" cy="1003935"/>
                <wp:effectExtent l="1905" t="8890" r="762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003935"/>
                          <a:chOff x="1503" y="11639"/>
                          <a:chExt cx="9420" cy="1581"/>
                        </a:xfrm>
                      </wpg:grpSpPr>
                      <wps:wsp>
                        <wps:cNvPr id="4" name="Freeform 3"/>
                        <wps:cNvSpPr>
                          <a:spLocks/>
                        </wps:cNvSpPr>
                        <wps:spPr bwMode="auto">
                          <a:xfrm>
                            <a:off x="1509" y="11644"/>
                            <a:ext cx="9408" cy="0"/>
                          </a:xfrm>
                          <a:custGeom>
                            <a:avLst/>
                            <a:gdLst>
                              <a:gd name="T0" fmla="*/ 0 w 9408"/>
                              <a:gd name="T1" fmla="*/ 9408 w 9408"/>
                            </a:gdLst>
                            <a:ahLst/>
                            <a:cxnLst>
                              <a:cxn ang="0">
                                <a:pos x="T0" y="0"/>
                              </a:cxn>
                              <a:cxn ang="0">
                                <a:pos x="T1" y="0"/>
                              </a:cxn>
                            </a:cxnLst>
                            <a:rect l="0" t="0" r="r" b="b"/>
                            <a:pathLst>
                              <a:path w="9408">
                                <a:moveTo>
                                  <a:pt x="0" y="0"/>
                                </a:moveTo>
                                <a:lnTo>
                                  <a:pt x="940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1514" y="11649"/>
                            <a:ext cx="0" cy="1560"/>
                          </a:xfrm>
                          <a:custGeom>
                            <a:avLst/>
                            <a:gdLst>
                              <a:gd name="T0" fmla="*/ 0 h 1560"/>
                              <a:gd name="T1" fmla="*/ 1559 h 1560"/>
                            </a:gdLst>
                            <a:ahLst/>
                            <a:cxnLst>
                              <a:cxn ang="0">
                                <a:pos x="0" y="T0"/>
                              </a:cxn>
                              <a:cxn ang="0">
                                <a:pos x="0" y="T1"/>
                              </a:cxn>
                            </a:cxnLst>
                            <a:rect l="0" t="0" r="r" b="b"/>
                            <a:pathLst>
                              <a:path h="1560">
                                <a:moveTo>
                                  <a:pt x="0" y="0"/>
                                </a:moveTo>
                                <a:lnTo>
                                  <a:pt x="0" y="15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0912" y="11649"/>
                            <a:ext cx="0" cy="1560"/>
                          </a:xfrm>
                          <a:custGeom>
                            <a:avLst/>
                            <a:gdLst>
                              <a:gd name="T0" fmla="*/ 0 h 1560"/>
                              <a:gd name="T1" fmla="*/ 1559 h 1560"/>
                            </a:gdLst>
                            <a:ahLst/>
                            <a:cxnLst>
                              <a:cxn ang="0">
                                <a:pos x="0" y="T0"/>
                              </a:cxn>
                              <a:cxn ang="0">
                                <a:pos x="0" y="T1"/>
                              </a:cxn>
                            </a:cxnLst>
                            <a:rect l="0" t="0" r="r" b="b"/>
                            <a:pathLst>
                              <a:path h="1560">
                                <a:moveTo>
                                  <a:pt x="0" y="0"/>
                                </a:moveTo>
                                <a:lnTo>
                                  <a:pt x="0" y="15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
                        <wps:cNvSpPr>
                          <a:spLocks/>
                        </wps:cNvSpPr>
                        <wps:spPr bwMode="auto">
                          <a:xfrm>
                            <a:off x="1509" y="13214"/>
                            <a:ext cx="9408" cy="0"/>
                          </a:xfrm>
                          <a:custGeom>
                            <a:avLst/>
                            <a:gdLst>
                              <a:gd name="T0" fmla="*/ 0 w 9408"/>
                              <a:gd name="T1" fmla="*/ 9408 w 9408"/>
                            </a:gdLst>
                            <a:ahLst/>
                            <a:cxnLst>
                              <a:cxn ang="0">
                                <a:pos x="T0" y="0"/>
                              </a:cxn>
                              <a:cxn ang="0">
                                <a:pos x="T1" y="0"/>
                              </a:cxn>
                            </a:cxnLst>
                            <a:rect l="0" t="0" r="r" b="b"/>
                            <a:pathLst>
                              <a:path w="9408">
                                <a:moveTo>
                                  <a:pt x="0" y="0"/>
                                </a:moveTo>
                                <a:lnTo>
                                  <a:pt x="940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5.15pt;margin-top:581.95pt;width:471pt;height:79.05pt;z-index:-251658240;mso-position-horizontal-relative:page;mso-position-vertical-relative:page" coordorigin="1503,11639" coordsize="9420,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" o:allowincell="f">
                <v:shape id="Freeform 3" o:spid="_x0000_s1027" style="position:absolute;left:1509;top:11644;width:9408;height:0;visibility:visible;mso-wrap-style:square;v-text-anchor:top" coordsize="9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llsMA&#10;AADaAAAADwAAAGRycy9kb3ducmV2LnhtbESPQWsCMRSE70L/Q3gFbzVbUVu3RhFFrCDI2vb+2Lxu&#10;FjcvSxLd7b9vCgWPw8x8wyxWvW3EjXyoHSt4HmUgiEuna64UfH7snl5BhIissXFMCn4owGr5MFhg&#10;rl3HBd3OsRIJwiFHBSbGNpcylIYshpFriZP37bzFmKSvpPbYJbht5DjLZtJizWnBYEsbQ+XlfLUK&#10;vjqzvexPnvbtiznO59Pi0KyNUsPHfv0GIlIf7+H/9rtWMIG/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XllsMAAADaAAAADwAAAAAAAAAAAAAAAACYAgAAZHJzL2Rv&#10;d25yZXYueG1sUEsFBgAAAAAEAAQA9QAAAIgDAAAAAA==&#10;" path="m,l9408,e" filled="f" strokeweight=".20458mm">
                  <v:path arrowok="t" o:connecttype="custom" o:connectlocs="0,0;9408,0" o:connectangles="0,0"/>
                </v:shape>
                <v:shape id="Freeform 4" o:spid="_x0000_s1028" style="position:absolute;left:1514;top:11649;width:0;height:1560;visibility:visible;mso-wrap-style:square;v-text-anchor:top" coordsize="0,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4jksIA&#10;AADaAAAADwAAAGRycy9kb3ducmV2LnhtbESPT2sCMRTE70K/Q3hCbzVroVpXs9I/VES8aPX+2Lzd&#10;LG5eliTVtZ++EQoeh5n5DbNY9rYVZ/KhcaxgPMpAEJdON1wrOHx/Pb2CCBFZY+uYFFwpwLJ4GCww&#10;1+7COzrvYy0ShEOOCkyMXS5lKA1ZDCPXESevct5iTNLXUnu8JLht5XOWTaTFhtOCwY4+DJWn/Y9V&#10;sF19mg25U7X7zd69nx7DTF6DUo/D/m0OIlIf7+H/9loreIHblX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iOSwgAAANoAAAAPAAAAAAAAAAAAAAAAAJgCAABkcnMvZG93&#10;bnJldi54bWxQSwUGAAAAAAQABAD1AAAAhwMAAAAA&#10;" path="m,l,1559e" filled="f" strokeweight=".58pt">
                  <v:path arrowok="t" o:connecttype="custom" o:connectlocs="0,0;0,1559" o:connectangles="0,0"/>
                </v:shape>
                <v:shape id="Freeform 5" o:spid="_x0000_s1029" style="position:absolute;left:10912;top:11649;width:0;height:1560;visibility:visible;mso-wrap-style:square;v-text-anchor:top" coordsize="0,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y95cEA&#10;AADaAAAADwAAAGRycy9kb3ducmV2LnhtbESPzWsCMRTE7wX/h/AEbzWrB1tXo/iBpZRe/Lo/Ns/N&#10;4uZlSaKu/esbQfA4zMxvmOm8tbW4kg+VYwWDfgaCuHC64lLBYb95/wQRIrLG2jEpuFOA+azzNsVc&#10;uxtv6bqLpUgQDjkqMDE2uZShMGQx9F1DnLyT8xZjkr6U2uMtwW0th1k2khYrTgsGG1oZKs67i1Xw&#10;+7U2P+TOp+1ftvT+4xjG8h6U6nXbxQREpDa+ws/2t1YwgseVd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veXBAAAA2gAAAA8AAAAAAAAAAAAAAAAAmAIAAGRycy9kb3du&#10;cmV2LnhtbFBLBQYAAAAABAAEAPUAAACGAwAAAAA=&#10;" path="m,l,1559e" filled="f" strokeweight=".58pt">
                  <v:path arrowok="t" o:connecttype="custom" o:connectlocs="0,0;0,1559" o:connectangles="0,0"/>
                </v:shape>
                <v:shape id="Freeform 6" o:spid="_x0000_s1030" style="position:absolute;left:1509;top:13214;width:9408;height:0;visibility:visible;mso-wrap-style:square;v-text-anchor:top" coordsize="9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T8EA&#10;AADbAAAADwAAAGRycy9kb3ducmV2LnhtbERP32vCMBB+F/wfwgm+abqBU7umIhviBoLotvejuTXF&#10;5lKSzHb//TIQfLuP7+cVm8G24ko+NI4VPMwzEMSV0w3XCj4/drMViBCRNbaOScEvBdiU41GBuXY9&#10;n+h6jrVIIRxyVGBi7HIpQ2XIYpi7jjhx385bjAn6WmqPfQq3rXzMsidpseHUYLCjF0PV5fxjFXz1&#10;5vWyP3rad0tzWK8Xp/d2a5SaTobtM4hIQ7yLb+43neYv4P+XdI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Pk0/BAAAA2wAAAA8AAAAAAAAAAAAAAAAAmAIAAGRycy9kb3du&#10;cmV2LnhtbFBLBQYAAAAABAAEAPUAAACGAwAAAAA=&#10;" path="m,l9408,e" filled="f" strokeweight=".20458mm">
                  <v:path arrowok="t" o:connecttype="custom" o:connectlocs="0,0;9408,0" o:connectangles="0,0"/>
                </v:shape>
                <w10:wrap anchorx="page" anchory="page"/>
              </v:group>
            </w:pict>
          </mc:Fallback>
        </mc:AlternateContent>
      </w:r>
    </w:p>
    <w:p w:rsidR="00C128EB" w:rsidRPr="00546ABB" w:rsidRDefault="00C128EB" w:rsidP="009F0618">
      <w:pPr>
        <w:widowControl w:val="0"/>
        <w:autoSpaceDE w:val="0"/>
        <w:autoSpaceDN w:val="0"/>
        <w:adjustRightInd w:val="0"/>
        <w:spacing w:after="0" w:line="200" w:lineRule="exact"/>
        <w:jc w:val="center"/>
        <w:rPr>
          <w:rFonts w:ascii="Times New Roman" w:hAnsi="Times New Roman" w:cs="Times New Roman"/>
          <w:b/>
          <w:bCs/>
          <w:sz w:val="20"/>
          <w:szCs w:val="20"/>
          <w:lang w:val="en-US"/>
        </w:rPr>
      </w:pPr>
    </w:p>
    <w:p w:rsidR="00C128EB" w:rsidRPr="00546ABB" w:rsidRDefault="00C128EB" w:rsidP="009F0618">
      <w:pPr>
        <w:widowControl w:val="0"/>
        <w:autoSpaceDE w:val="0"/>
        <w:autoSpaceDN w:val="0"/>
        <w:adjustRightInd w:val="0"/>
        <w:spacing w:after="0" w:line="200" w:lineRule="exact"/>
        <w:rPr>
          <w:rFonts w:ascii="Times New Roman" w:hAnsi="Times New Roman" w:cs="Times New Roman"/>
          <w:sz w:val="20"/>
          <w:szCs w:val="20"/>
          <w:lang w:val="en-US"/>
        </w:rPr>
      </w:pPr>
    </w:p>
    <w:p w:rsidR="00C128EB" w:rsidRPr="00546ABB" w:rsidRDefault="00C128EB" w:rsidP="009F0618">
      <w:pPr>
        <w:widowControl w:val="0"/>
        <w:autoSpaceDE w:val="0"/>
        <w:autoSpaceDN w:val="0"/>
        <w:adjustRightInd w:val="0"/>
        <w:spacing w:after="0" w:line="200" w:lineRule="exact"/>
        <w:rPr>
          <w:rFonts w:ascii="Times New Roman" w:hAnsi="Times New Roman" w:cs="Times New Roman"/>
          <w:sz w:val="20"/>
          <w:szCs w:val="20"/>
          <w:lang w:val="en-US"/>
        </w:rPr>
      </w:pPr>
    </w:p>
    <w:p w:rsidR="00C128EB" w:rsidRPr="00546ABB" w:rsidRDefault="00C128EB" w:rsidP="009F0618">
      <w:pPr>
        <w:widowControl w:val="0"/>
        <w:autoSpaceDE w:val="0"/>
        <w:autoSpaceDN w:val="0"/>
        <w:adjustRightInd w:val="0"/>
        <w:spacing w:after="0" w:line="200" w:lineRule="exact"/>
        <w:rPr>
          <w:rFonts w:ascii="Times New Roman" w:hAnsi="Times New Roman" w:cs="Times New Roman"/>
          <w:sz w:val="20"/>
          <w:szCs w:val="20"/>
          <w:lang w:val="en-US"/>
        </w:rPr>
      </w:pPr>
    </w:p>
    <w:p w:rsidR="00C128EB" w:rsidRPr="00546ABB" w:rsidRDefault="00C128EB" w:rsidP="009F0618">
      <w:pPr>
        <w:widowControl w:val="0"/>
        <w:autoSpaceDE w:val="0"/>
        <w:autoSpaceDN w:val="0"/>
        <w:adjustRightInd w:val="0"/>
        <w:spacing w:after="0" w:line="200" w:lineRule="exact"/>
        <w:rPr>
          <w:rFonts w:ascii="Times New Roman" w:hAnsi="Times New Roman" w:cs="Times New Roman"/>
          <w:sz w:val="20"/>
          <w:szCs w:val="20"/>
          <w:lang w:val="en-US"/>
        </w:rPr>
      </w:pPr>
    </w:p>
    <w:p w:rsidR="00C128EB" w:rsidRPr="00546ABB" w:rsidRDefault="00C128EB" w:rsidP="009F0618">
      <w:pPr>
        <w:widowControl w:val="0"/>
        <w:autoSpaceDE w:val="0"/>
        <w:autoSpaceDN w:val="0"/>
        <w:adjustRightInd w:val="0"/>
        <w:spacing w:after="0" w:line="200" w:lineRule="exact"/>
        <w:rPr>
          <w:rFonts w:ascii="Times New Roman" w:hAnsi="Times New Roman" w:cs="Times New Roman"/>
          <w:sz w:val="20"/>
          <w:szCs w:val="20"/>
          <w:lang w:val="en-US"/>
        </w:rPr>
      </w:pPr>
    </w:p>
    <w:p w:rsidR="00C128EB" w:rsidRPr="00546ABB" w:rsidRDefault="00C128EB" w:rsidP="009F0618">
      <w:pPr>
        <w:widowControl w:val="0"/>
        <w:autoSpaceDE w:val="0"/>
        <w:autoSpaceDN w:val="0"/>
        <w:adjustRightInd w:val="0"/>
        <w:spacing w:before="19" w:after="0" w:line="240" w:lineRule="exact"/>
        <w:rPr>
          <w:rFonts w:ascii="Times New Roman" w:hAnsi="Times New Roman" w:cs="Times New Roman"/>
          <w:sz w:val="24"/>
          <w:szCs w:val="24"/>
          <w:lang w:val="en-US"/>
        </w:rPr>
      </w:pPr>
    </w:p>
    <w:p w:rsidR="00C128EB" w:rsidRPr="00F3763D" w:rsidRDefault="00C128EB" w:rsidP="009F0618">
      <w:pPr>
        <w:widowControl w:val="0"/>
        <w:autoSpaceDE w:val="0"/>
        <w:autoSpaceDN w:val="0"/>
        <w:adjustRightInd w:val="0"/>
        <w:spacing w:before="32" w:after="0" w:line="249" w:lineRule="exact"/>
        <w:ind w:left="3686" w:right="3309"/>
        <w:jc w:val="center"/>
        <w:rPr>
          <w:rFonts w:ascii="Times New Roman" w:hAnsi="Times New Roman" w:cs="Times New Roman"/>
          <w:sz w:val="28"/>
          <w:szCs w:val="28"/>
          <w:lang w:val="en-US"/>
        </w:rPr>
      </w:pPr>
      <w:r w:rsidRPr="00F3763D">
        <w:rPr>
          <w:rFonts w:ascii="Times New Roman" w:hAnsi="Times New Roman" w:cs="Times New Roman"/>
          <w:b/>
          <w:bCs/>
          <w:spacing w:val="-1"/>
          <w:position w:val="-1"/>
          <w:sz w:val="28"/>
          <w:szCs w:val="28"/>
          <w:lang w:val="en-US"/>
        </w:rPr>
        <w:t>SURINAME</w:t>
      </w:r>
    </w:p>
    <w:p w:rsidR="00C128EB" w:rsidRPr="00546ABB" w:rsidRDefault="00C128EB" w:rsidP="009F0618">
      <w:pPr>
        <w:widowControl w:val="0"/>
        <w:autoSpaceDE w:val="0"/>
        <w:autoSpaceDN w:val="0"/>
        <w:adjustRightInd w:val="0"/>
        <w:spacing w:after="0" w:line="190" w:lineRule="exact"/>
        <w:rPr>
          <w:rFonts w:ascii="Times New Roman" w:hAnsi="Times New Roman" w:cs="Times New Roman"/>
          <w:sz w:val="19"/>
          <w:szCs w:val="19"/>
          <w:lang w:val="en-US"/>
        </w:rPr>
      </w:pPr>
    </w:p>
    <w:p w:rsidR="00C128EB" w:rsidRPr="00546ABB" w:rsidRDefault="00C128EB" w:rsidP="009F0618">
      <w:pPr>
        <w:widowControl w:val="0"/>
        <w:autoSpaceDE w:val="0"/>
        <w:autoSpaceDN w:val="0"/>
        <w:adjustRightInd w:val="0"/>
        <w:spacing w:after="0" w:line="200" w:lineRule="exact"/>
        <w:rPr>
          <w:rFonts w:ascii="Times New Roman" w:hAnsi="Times New Roman" w:cs="Times New Roman"/>
          <w:sz w:val="20"/>
          <w:szCs w:val="20"/>
          <w:lang w:val="en-US"/>
        </w:rPr>
      </w:pPr>
    </w:p>
    <w:p w:rsidR="00C128EB" w:rsidRPr="00546ABB" w:rsidRDefault="00C128EB" w:rsidP="009F0618">
      <w:pPr>
        <w:widowControl w:val="0"/>
        <w:autoSpaceDE w:val="0"/>
        <w:autoSpaceDN w:val="0"/>
        <w:adjustRightInd w:val="0"/>
        <w:spacing w:after="0" w:line="200" w:lineRule="exact"/>
        <w:rPr>
          <w:rFonts w:ascii="Times New Roman" w:hAnsi="Times New Roman" w:cs="Times New Roman"/>
          <w:sz w:val="20"/>
          <w:szCs w:val="20"/>
          <w:lang w:val="en-US"/>
        </w:rPr>
      </w:pPr>
    </w:p>
    <w:p w:rsidR="00C128EB" w:rsidRPr="00546ABB" w:rsidRDefault="00C128EB" w:rsidP="009F0618">
      <w:pPr>
        <w:widowControl w:val="0"/>
        <w:autoSpaceDE w:val="0"/>
        <w:autoSpaceDN w:val="0"/>
        <w:adjustRightInd w:val="0"/>
        <w:spacing w:after="0" w:line="200" w:lineRule="exact"/>
        <w:rPr>
          <w:rFonts w:ascii="Times New Roman" w:hAnsi="Times New Roman" w:cs="Times New Roman"/>
          <w:sz w:val="20"/>
          <w:szCs w:val="20"/>
          <w:lang w:val="en-US"/>
        </w:rPr>
      </w:pPr>
    </w:p>
    <w:p w:rsidR="00C128EB" w:rsidRPr="00546ABB" w:rsidRDefault="00C128EB" w:rsidP="009F0618">
      <w:pPr>
        <w:widowControl w:val="0"/>
        <w:autoSpaceDE w:val="0"/>
        <w:autoSpaceDN w:val="0"/>
        <w:adjustRightInd w:val="0"/>
        <w:spacing w:after="0" w:line="200" w:lineRule="exact"/>
        <w:rPr>
          <w:rFonts w:ascii="Times New Roman" w:hAnsi="Times New Roman" w:cs="Times New Roman"/>
          <w:sz w:val="20"/>
          <w:szCs w:val="20"/>
          <w:lang w:val="en-US"/>
        </w:rPr>
      </w:pPr>
    </w:p>
    <w:p w:rsidR="00C128EB" w:rsidRPr="00546ABB" w:rsidRDefault="00C128EB" w:rsidP="009F0618">
      <w:pPr>
        <w:widowControl w:val="0"/>
        <w:autoSpaceDE w:val="0"/>
        <w:autoSpaceDN w:val="0"/>
        <w:adjustRightInd w:val="0"/>
        <w:spacing w:after="0" w:line="200" w:lineRule="exact"/>
        <w:rPr>
          <w:rFonts w:ascii="Times New Roman" w:hAnsi="Times New Roman" w:cs="Times New Roman"/>
          <w:sz w:val="20"/>
          <w:szCs w:val="20"/>
          <w:lang w:val="en-US"/>
        </w:rPr>
      </w:pPr>
    </w:p>
    <w:p w:rsidR="00C128EB" w:rsidRPr="00F3763D" w:rsidRDefault="00C128EB" w:rsidP="00546ABB">
      <w:pPr>
        <w:pStyle w:val="NoSpacing"/>
        <w:jc w:val="center"/>
        <w:rPr>
          <w:rFonts w:ascii="Times New Roman" w:hAnsi="Times New Roman" w:cs="Times New Roman"/>
          <w:b/>
          <w:bCs/>
          <w:sz w:val="28"/>
          <w:szCs w:val="28"/>
          <w:lang w:val="en-US"/>
        </w:rPr>
      </w:pPr>
      <w:r w:rsidRPr="00F3763D">
        <w:rPr>
          <w:rFonts w:ascii="Times New Roman" w:hAnsi="Times New Roman" w:cs="Times New Roman"/>
          <w:b/>
          <w:bCs/>
          <w:sz w:val="28"/>
          <w:szCs w:val="28"/>
          <w:lang w:val="en-US"/>
        </w:rPr>
        <w:t>STRATEGIC SHORT TERM INVESTMENT</w:t>
      </w:r>
      <w:r>
        <w:rPr>
          <w:rFonts w:ascii="Times New Roman" w:hAnsi="Times New Roman" w:cs="Times New Roman"/>
          <w:b/>
          <w:bCs/>
          <w:sz w:val="28"/>
          <w:szCs w:val="28"/>
          <w:lang w:val="en-US"/>
        </w:rPr>
        <w:t xml:space="preserve"> PROGRAM</w:t>
      </w:r>
    </w:p>
    <w:p w:rsidR="00C128EB" w:rsidRPr="00F3763D" w:rsidRDefault="00C128EB" w:rsidP="00546ABB">
      <w:pPr>
        <w:pStyle w:val="NoSpacing"/>
        <w:jc w:val="center"/>
        <w:rPr>
          <w:rFonts w:ascii="Times New Roman" w:hAnsi="Times New Roman" w:cs="Times New Roman"/>
          <w:b/>
          <w:bCs/>
          <w:sz w:val="28"/>
          <w:szCs w:val="28"/>
          <w:lang w:val="en-US"/>
        </w:rPr>
      </w:pPr>
      <w:r w:rsidRPr="00F3763D">
        <w:rPr>
          <w:rFonts w:ascii="Times New Roman" w:hAnsi="Times New Roman" w:cs="Times New Roman"/>
          <w:b/>
          <w:bCs/>
          <w:sz w:val="28"/>
          <w:szCs w:val="28"/>
          <w:lang w:val="en-US"/>
        </w:rPr>
        <w:t>IN EPAR ELECTRICITY SYSTEM</w:t>
      </w:r>
    </w:p>
    <w:p w:rsidR="00C128EB" w:rsidRPr="00F3763D" w:rsidRDefault="00C128EB" w:rsidP="009F0618">
      <w:pPr>
        <w:widowControl w:val="0"/>
        <w:autoSpaceDE w:val="0"/>
        <w:autoSpaceDN w:val="0"/>
        <w:adjustRightInd w:val="0"/>
        <w:spacing w:before="1" w:after="0" w:line="180" w:lineRule="exact"/>
        <w:rPr>
          <w:rFonts w:ascii="Times New Roman" w:hAnsi="Times New Roman" w:cs="Times New Roman"/>
          <w:sz w:val="28"/>
          <w:szCs w:val="28"/>
          <w:lang w:val="en-US"/>
        </w:rPr>
      </w:pPr>
    </w:p>
    <w:p w:rsidR="00C128EB" w:rsidRPr="00546ABB" w:rsidRDefault="00C128EB" w:rsidP="009F0618">
      <w:pPr>
        <w:widowControl w:val="0"/>
        <w:autoSpaceDE w:val="0"/>
        <w:autoSpaceDN w:val="0"/>
        <w:adjustRightInd w:val="0"/>
        <w:spacing w:after="0" w:line="200" w:lineRule="exact"/>
        <w:rPr>
          <w:rFonts w:ascii="Times New Roman" w:hAnsi="Times New Roman" w:cs="Times New Roman"/>
          <w:sz w:val="20"/>
          <w:szCs w:val="20"/>
          <w:lang w:val="en-US"/>
        </w:rPr>
      </w:pPr>
    </w:p>
    <w:p w:rsidR="00C128EB" w:rsidRPr="00546ABB" w:rsidRDefault="00C128EB" w:rsidP="009F0618">
      <w:pPr>
        <w:widowControl w:val="0"/>
        <w:autoSpaceDE w:val="0"/>
        <w:autoSpaceDN w:val="0"/>
        <w:adjustRightInd w:val="0"/>
        <w:spacing w:after="0" w:line="200" w:lineRule="exact"/>
        <w:rPr>
          <w:rFonts w:ascii="Times New Roman" w:hAnsi="Times New Roman" w:cs="Times New Roman"/>
          <w:sz w:val="20"/>
          <w:szCs w:val="20"/>
          <w:lang w:val="en-US"/>
        </w:rPr>
      </w:pPr>
    </w:p>
    <w:p w:rsidR="00C128EB" w:rsidRPr="00546ABB" w:rsidRDefault="00C128EB" w:rsidP="009F0618">
      <w:pPr>
        <w:widowControl w:val="0"/>
        <w:autoSpaceDE w:val="0"/>
        <w:autoSpaceDN w:val="0"/>
        <w:adjustRightInd w:val="0"/>
        <w:spacing w:after="0" w:line="200" w:lineRule="exact"/>
        <w:rPr>
          <w:rFonts w:ascii="Times New Roman" w:hAnsi="Times New Roman" w:cs="Times New Roman"/>
          <w:sz w:val="20"/>
          <w:szCs w:val="20"/>
          <w:lang w:val="en-US"/>
        </w:rPr>
      </w:pPr>
    </w:p>
    <w:p w:rsidR="00C128EB" w:rsidRPr="00546ABB" w:rsidRDefault="00C128EB" w:rsidP="009F0618">
      <w:pPr>
        <w:widowControl w:val="0"/>
        <w:autoSpaceDE w:val="0"/>
        <w:autoSpaceDN w:val="0"/>
        <w:adjustRightInd w:val="0"/>
        <w:spacing w:after="0" w:line="200" w:lineRule="exact"/>
        <w:rPr>
          <w:rFonts w:ascii="Times New Roman" w:hAnsi="Times New Roman" w:cs="Times New Roman"/>
          <w:sz w:val="20"/>
          <w:szCs w:val="20"/>
          <w:lang w:val="en-US"/>
        </w:rPr>
      </w:pPr>
    </w:p>
    <w:p w:rsidR="00C128EB" w:rsidRPr="00546ABB" w:rsidRDefault="00C128EB" w:rsidP="009F0618">
      <w:pPr>
        <w:widowControl w:val="0"/>
        <w:autoSpaceDE w:val="0"/>
        <w:autoSpaceDN w:val="0"/>
        <w:adjustRightInd w:val="0"/>
        <w:spacing w:after="0" w:line="249" w:lineRule="exact"/>
        <w:ind w:left="3279" w:right="2892"/>
        <w:jc w:val="center"/>
        <w:rPr>
          <w:rFonts w:ascii="Times New Roman" w:hAnsi="Times New Roman" w:cs="Times New Roman"/>
          <w:b/>
          <w:bCs/>
          <w:spacing w:val="-1"/>
          <w:position w:val="-1"/>
          <w:lang w:val="en-US"/>
        </w:rPr>
      </w:pPr>
    </w:p>
    <w:p w:rsidR="00C128EB" w:rsidRPr="00546ABB" w:rsidRDefault="00C128EB" w:rsidP="009F0618">
      <w:pPr>
        <w:widowControl w:val="0"/>
        <w:autoSpaceDE w:val="0"/>
        <w:autoSpaceDN w:val="0"/>
        <w:adjustRightInd w:val="0"/>
        <w:spacing w:after="0" w:line="249" w:lineRule="exact"/>
        <w:ind w:left="3279" w:right="2892"/>
        <w:jc w:val="center"/>
        <w:rPr>
          <w:rFonts w:ascii="Times New Roman" w:hAnsi="Times New Roman" w:cs="Times New Roman"/>
          <w:b/>
          <w:bCs/>
          <w:spacing w:val="-1"/>
          <w:position w:val="-1"/>
          <w:lang w:val="en-US"/>
        </w:rPr>
      </w:pPr>
    </w:p>
    <w:p w:rsidR="00C128EB" w:rsidRPr="00546ABB" w:rsidRDefault="00C128EB" w:rsidP="009F0618">
      <w:pPr>
        <w:widowControl w:val="0"/>
        <w:autoSpaceDE w:val="0"/>
        <w:autoSpaceDN w:val="0"/>
        <w:adjustRightInd w:val="0"/>
        <w:spacing w:after="0" w:line="249" w:lineRule="exact"/>
        <w:ind w:left="3279" w:right="2892"/>
        <w:jc w:val="center"/>
        <w:rPr>
          <w:rFonts w:ascii="Times New Roman" w:hAnsi="Times New Roman" w:cs="Times New Roman"/>
          <w:b/>
          <w:bCs/>
          <w:spacing w:val="-1"/>
          <w:position w:val="-1"/>
          <w:lang w:val="en-US"/>
        </w:rPr>
      </w:pPr>
      <w:bookmarkStart w:id="0" w:name="_GoBack"/>
      <w:bookmarkEnd w:id="0"/>
    </w:p>
    <w:p w:rsidR="00C128EB" w:rsidRPr="000C3635" w:rsidRDefault="00C128EB" w:rsidP="000C3635">
      <w:pPr>
        <w:widowControl w:val="0"/>
        <w:tabs>
          <w:tab w:val="left" w:pos="6663"/>
        </w:tabs>
        <w:autoSpaceDE w:val="0"/>
        <w:autoSpaceDN w:val="0"/>
        <w:adjustRightInd w:val="0"/>
        <w:spacing w:after="0" w:line="249" w:lineRule="exact"/>
        <w:ind w:left="2268" w:right="2175"/>
        <w:jc w:val="center"/>
        <w:rPr>
          <w:rFonts w:ascii="Times New Roman" w:hAnsi="Times New Roman" w:cs="Times New Roman"/>
          <w:b/>
          <w:bCs/>
          <w:sz w:val="24"/>
          <w:szCs w:val="24"/>
          <w:lang w:val="en-US"/>
        </w:rPr>
      </w:pPr>
      <w:r w:rsidRPr="000C3635">
        <w:rPr>
          <w:rFonts w:ascii="Times New Roman" w:hAnsi="Times New Roman" w:cs="Times New Roman"/>
          <w:b/>
          <w:bCs/>
          <w:sz w:val="24"/>
          <w:szCs w:val="24"/>
          <w:lang w:val="en-US"/>
        </w:rPr>
        <w:t xml:space="preserve">ECONOMIC ANALYSIS </w:t>
      </w:r>
      <w:r>
        <w:rPr>
          <w:rFonts w:ascii="Times New Roman" w:hAnsi="Times New Roman" w:cs="Times New Roman"/>
          <w:b/>
          <w:bCs/>
          <w:sz w:val="24"/>
          <w:szCs w:val="24"/>
          <w:lang w:val="en-US"/>
        </w:rPr>
        <w:t>A</w:t>
      </w:r>
      <w:r w:rsidRPr="000C3635">
        <w:rPr>
          <w:rFonts w:ascii="Times New Roman" w:hAnsi="Times New Roman" w:cs="Times New Roman"/>
          <w:b/>
          <w:bCs/>
          <w:sz w:val="24"/>
          <w:szCs w:val="24"/>
          <w:lang w:val="en-US"/>
        </w:rPr>
        <w:t>NNEX</w:t>
      </w:r>
    </w:p>
    <w:p w:rsidR="00C128EB" w:rsidRPr="00E6166A" w:rsidRDefault="00E6166A" w:rsidP="009F0618">
      <w:pPr>
        <w:widowControl w:val="0"/>
        <w:autoSpaceDE w:val="0"/>
        <w:autoSpaceDN w:val="0"/>
        <w:adjustRightInd w:val="0"/>
        <w:spacing w:after="0" w:line="249" w:lineRule="exact"/>
        <w:ind w:left="3279" w:right="2892"/>
        <w:jc w:val="center"/>
        <w:rPr>
          <w:rFonts w:ascii="Times New Roman" w:hAnsi="Times New Roman" w:cs="Times New Roman"/>
          <w:b/>
          <w:bCs/>
          <w:sz w:val="24"/>
          <w:szCs w:val="24"/>
          <w:lang w:val="en-US"/>
        </w:rPr>
      </w:pPr>
      <w:r w:rsidRPr="00E6166A">
        <w:rPr>
          <w:rFonts w:ascii="Times New Roman" w:hAnsi="Times New Roman" w:cs="Times New Roman"/>
          <w:b/>
          <w:bCs/>
          <w:sz w:val="24"/>
          <w:szCs w:val="24"/>
          <w:lang w:val="en-US"/>
        </w:rPr>
        <w:t>Revision 1</w:t>
      </w:r>
    </w:p>
    <w:p w:rsidR="00C128EB" w:rsidRPr="00F3763D" w:rsidRDefault="00C128EB" w:rsidP="009F0618">
      <w:pPr>
        <w:widowControl w:val="0"/>
        <w:autoSpaceDE w:val="0"/>
        <w:autoSpaceDN w:val="0"/>
        <w:adjustRightInd w:val="0"/>
        <w:spacing w:after="0" w:line="249" w:lineRule="exact"/>
        <w:ind w:left="3279" w:right="2892"/>
        <w:jc w:val="center"/>
        <w:rPr>
          <w:rFonts w:ascii="Times New Roman" w:hAnsi="Times New Roman" w:cs="Times New Roman"/>
          <w:b/>
          <w:bCs/>
          <w:spacing w:val="-1"/>
          <w:position w:val="-1"/>
          <w:sz w:val="18"/>
          <w:szCs w:val="18"/>
          <w:lang w:val="en-US"/>
        </w:rPr>
      </w:pPr>
    </w:p>
    <w:p w:rsidR="00C128EB" w:rsidRPr="00546ABB" w:rsidRDefault="00C128EB" w:rsidP="009F0618">
      <w:pPr>
        <w:widowControl w:val="0"/>
        <w:autoSpaceDE w:val="0"/>
        <w:autoSpaceDN w:val="0"/>
        <w:adjustRightInd w:val="0"/>
        <w:spacing w:after="0" w:line="249" w:lineRule="exact"/>
        <w:ind w:left="3279" w:right="2892"/>
        <w:jc w:val="center"/>
        <w:rPr>
          <w:rFonts w:ascii="Times New Roman" w:hAnsi="Times New Roman" w:cs="Times New Roman"/>
          <w:b/>
          <w:bCs/>
          <w:spacing w:val="-1"/>
          <w:position w:val="-1"/>
          <w:lang w:val="en-US"/>
        </w:rPr>
      </w:pPr>
    </w:p>
    <w:p w:rsidR="00C128EB" w:rsidRPr="00546ABB" w:rsidRDefault="00212471" w:rsidP="00885911">
      <w:pPr>
        <w:pStyle w:val="NoSpacing"/>
        <w:jc w:val="center"/>
        <w:rPr>
          <w:rFonts w:ascii="Times New Roman" w:hAnsi="Times New Roman" w:cs="Times New Roman"/>
          <w:b/>
          <w:bCs/>
          <w:lang w:val="en-US"/>
        </w:rPr>
      </w:pPr>
      <w:r>
        <w:rPr>
          <w:rFonts w:ascii="Times New Roman" w:hAnsi="Times New Roman" w:cs="Times New Roman"/>
          <w:b/>
          <w:bCs/>
          <w:lang w:val="en-US"/>
        </w:rPr>
        <w:t xml:space="preserve">August </w:t>
      </w:r>
      <w:r w:rsidR="00E6166A">
        <w:rPr>
          <w:rFonts w:ascii="Times New Roman" w:hAnsi="Times New Roman" w:cs="Times New Roman"/>
          <w:b/>
          <w:bCs/>
          <w:lang w:val="en-US"/>
        </w:rPr>
        <w:t>13</w:t>
      </w:r>
      <w:r w:rsidR="00C128EB">
        <w:rPr>
          <w:rFonts w:ascii="Times New Roman" w:hAnsi="Times New Roman" w:cs="Times New Roman"/>
          <w:b/>
          <w:bCs/>
          <w:lang w:val="en-US"/>
        </w:rPr>
        <w:t>th, 201</w:t>
      </w:r>
      <w:r w:rsidR="00C128EB" w:rsidRPr="00546ABB">
        <w:rPr>
          <w:rFonts w:ascii="Times New Roman" w:hAnsi="Times New Roman" w:cs="Times New Roman"/>
          <w:b/>
          <w:bCs/>
          <w:lang w:val="en-US"/>
        </w:rPr>
        <w:t>3</w:t>
      </w:r>
    </w:p>
    <w:p w:rsidR="00C128EB" w:rsidRPr="00546ABB" w:rsidRDefault="00C128EB" w:rsidP="009F0618">
      <w:pPr>
        <w:pStyle w:val="NoSpacing"/>
        <w:tabs>
          <w:tab w:val="left" w:pos="5610"/>
        </w:tabs>
        <w:rPr>
          <w:rFonts w:ascii="Times New Roman" w:hAnsi="Times New Roman" w:cs="Times New Roman"/>
          <w:b/>
          <w:bCs/>
          <w:lang w:val="en-US"/>
        </w:rPr>
      </w:pPr>
      <w:r w:rsidRPr="00546ABB">
        <w:rPr>
          <w:rFonts w:ascii="Times New Roman" w:hAnsi="Times New Roman" w:cs="Times New Roman"/>
          <w:b/>
          <w:bCs/>
          <w:lang w:val="en-US"/>
        </w:rPr>
        <w:tab/>
      </w:r>
    </w:p>
    <w:p w:rsidR="00C128EB" w:rsidRPr="00546ABB" w:rsidRDefault="00C128EB" w:rsidP="00885911">
      <w:pPr>
        <w:pStyle w:val="NoSpacing"/>
        <w:jc w:val="center"/>
        <w:rPr>
          <w:rFonts w:ascii="Times New Roman" w:hAnsi="Times New Roman" w:cs="Times New Roman"/>
          <w:b/>
          <w:bCs/>
          <w:lang w:val="en-US"/>
        </w:rPr>
      </w:pPr>
    </w:p>
    <w:p w:rsidR="00C128EB" w:rsidRPr="00546ABB" w:rsidRDefault="00C128EB" w:rsidP="00885911">
      <w:pPr>
        <w:pStyle w:val="NoSpacing"/>
        <w:jc w:val="center"/>
        <w:rPr>
          <w:rFonts w:ascii="Times New Roman" w:hAnsi="Times New Roman" w:cs="Times New Roman"/>
          <w:b/>
          <w:bCs/>
          <w:lang w:val="en-US"/>
        </w:rPr>
      </w:pPr>
    </w:p>
    <w:p w:rsidR="00C128EB" w:rsidRPr="00546ABB" w:rsidRDefault="00C128EB" w:rsidP="00885911">
      <w:pPr>
        <w:pStyle w:val="NoSpacing"/>
        <w:jc w:val="center"/>
        <w:rPr>
          <w:rFonts w:ascii="Times New Roman" w:hAnsi="Times New Roman" w:cs="Times New Roman"/>
          <w:b/>
          <w:bCs/>
          <w:lang w:val="en-US"/>
        </w:rPr>
      </w:pPr>
    </w:p>
    <w:p w:rsidR="00C128EB" w:rsidRPr="00546ABB" w:rsidRDefault="00C128EB" w:rsidP="00885911">
      <w:pPr>
        <w:pStyle w:val="NoSpacing"/>
        <w:jc w:val="center"/>
        <w:rPr>
          <w:rFonts w:ascii="Times New Roman" w:hAnsi="Times New Roman" w:cs="Times New Roman"/>
          <w:b/>
          <w:bCs/>
          <w:lang w:val="en-US"/>
        </w:rPr>
      </w:pPr>
    </w:p>
    <w:p w:rsidR="00C128EB" w:rsidRPr="00546ABB" w:rsidRDefault="00C128EB" w:rsidP="00885911">
      <w:pPr>
        <w:pStyle w:val="NoSpacing"/>
        <w:jc w:val="center"/>
        <w:rPr>
          <w:rFonts w:ascii="Times New Roman" w:hAnsi="Times New Roman" w:cs="Times New Roman"/>
          <w:b/>
          <w:bCs/>
          <w:lang w:val="en-US"/>
        </w:rPr>
      </w:pPr>
    </w:p>
    <w:p w:rsidR="00C128EB" w:rsidRDefault="00C128EB" w:rsidP="00885911">
      <w:pPr>
        <w:pStyle w:val="NoSpacing"/>
        <w:jc w:val="center"/>
        <w:rPr>
          <w:rFonts w:ascii="Times New Roman" w:hAnsi="Times New Roman" w:cs="Times New Roman"/>
          <w:b/>
          <w:bCs/>
          <w:lang w:val="en-US"/>
        </w:rPr>
      </w:pPr>
    </w:p>
    <w:p w:rsidR="00C128EB" w:rsidRPr="00546ABB" w:rsidRDefault="00C128EB" w:rsidP="00885911">
      <w:pPr>
        <w:pStyle w:val="NoSpacing"/>
        <w:jc w:val="center"/>
        <w:rPr>
          <w:rFonts w:ascii="Times New Roman" w:hAnsi="Times New Roman" w:cs="Times New Roman"/>
          <w:b/>
          <w:bCs/>
          <w:lang w:val="en-US"/>
        </w:rPr>
      </w:pPr>
      <w:r w:rsidRPr="00546ABB">
        <w:rPr>
          <w:rFonts w:ascii="Times New Roman" w:hAnsi="Times New Roman" w:cs="Times New Roman"/>
          <w:b/>
          <w:bCs/>
          <w:lang w:val="en-US"/>
        </w:rPr>
        <w:t>Prepared by: Alberto Brugman, Consultant</w:t>
      </w:r>
    </w:p>
    <w:p w:rsidR="00C128EB" w:rsidRPr="00546ABB" w:rsidRDefault="00C128EB" w:rsidP="00885911">
      <w:pPr>
        <w:pStyle w:val="NoSpacing"/>
        <w:jc w:val="center"/>
        <w:rPr>
          <w:rFonts w:ascii="Times New Roman" w:hAnsi="Times New Roman" w:cs="Times New Roman"/>
          <w:b/>
          <w:bCs/>
          <w:lang w:val="en-US"/>
        </w:rPr>
      </w:pPr>
    </w:p>
    <w:p w:rsidR="00C128EB" w:rsidRPr="00546ABB" w:rsidRDefault="00C128EB" w:rsidP="00885911">
      <w:pPr>
        <w:pStyle w:val="NoSpacing"/>
        <w:jc w:val="center"/>
        <w:rPr>
          <w:rFonts w:ascii="Times New Roman" w:hAnsi="Times New Roman" w:cs="Times New Roman"/>
          <w:b/>
          <w:bCs/>
          <w:lang w:val="en-US"/>
        </w:rPr>
      </w:pPr>
    </w:p>
    <w:p w:rsidR="00C128EB" w:rsidRPr="00546ABB" w:rsidRDefault="00C128EB" w:rsidP="00885911">
      <w:pPr>
        <w:pStyle w:val="NoSpacing"/>
        <w:jc w:val="center"/>
        <w:rPr>
          <w:rFonts w:ascii="Times New Roman" w:hAnsi="Times New Roman" w:cs="Times New Roman"/>
          <w:b/>
          <w:bCs/>
          <w:lang w:val="en-US"/>
        </w:rPr>
      </w:pPr>
    </w:p>
    <w:p w:rsidR="00C128EB" w:rsidRPr="00546ABB" w:rsidRDefault="00C128EB" w:rsidP="00885911">
      <w:pPr>
        <w:pStyle w:val="NoSpacing"/>
        <w:jc w:val="center"/>
        <w:rPr>
          <w:rFonts w:ascii="Times New Roman" w:hAnsi="Times New Roman" w:cs="Times New Roman"/>
          <w:b/>
          <w:bCs/>
          <w:lang w:val="en-US"/>
        </w:rPr>
      </w:pPr>
    </w:p>
    <w:p w:rsidR="00C128EB" w:rsidRPr="00546ABB" w:rsidRDefault="00C128EB" w:rsidP="00885911">
      <w:pPr>
        <w:pStyle w:val="NoSpacing"/>
        <w:jc w:val="center"/>
        <w:rPr>
          <w:rFonts w:ascii="Times New Roman" w:hAnsi="Times New Roman" w:cs="Times New Roman"/>
          <w:b/>
          <w:bCs/>
          <w:lang w:val="en-US"/>
        </w:rPr>
      </w:pPr>
    </w:p>
    <w:p w:rsidR="00C128EB" w:rsidRDefault="00C128EB">
      <w:pPr>
        <w:rPr>
          <w:rFonts w:ascii="Times New Roman" w:hAnsi="Times New Roman" w:cs="Times New Roman"/>
          <w:b/>
          <w:bCs/>
          <w:lang w:val="en-US"/>
        </w:rPr>
      </w:pPr>
      <w:r>
        <w:rPr>
          <w:rFonts w:ascii="Times New Roman" w:hAnsi="Times New Roman" w:cs="Times New Roman"/>
          <w:b/>
          <w:bCs/>
          <w:lang w:val="en-US"/>
        </w:rPr>
        <w:br w:type="page"/>
      </w:r>
    </w:p>
    <w:p w:rsidR="00C128EB" w:rsidRDefault="00C128EB" w:rsidP="00594C4D">
      <w:pPr>
        <w:pStyle w:val="NoSpacing"/>
        <w:jc w:val="center"/>
        <w:rPr>
          <w:rFonts w:ascii="Times New Roman" w:hAnsi="Times New Roman" w:cs="Times New Roman"/>
          <w:b/>
          <w:bCs/>
          <w:lang w:val="en-US"/>
        </w:rPr>
      </w:pPr>
    </w:p>
    <w:p w:rsidR="00C128EB" w:rsidRPr="00594C4D" w:rsidRDefault="00C128EB" w:rsidP="00594C4D">
      <w:pPr>
        <w:pStyle w:val="NoSpacing"/>
        <w:jc w:val="center"/>
        <w:rPr>
          <w:rFonts w:ascii="Times New Roman" w:hAnsi="Times New Roman" w:cs="Times New Roman"/>
          <w:b/>
          <w:bCs/>
          <w:lang w:val="en-US"/>
        </w:rPr>
      </w:pPr>
      <w:r w:rsidRPr="00594C4D">
        <w:rPr>
          <w:rFonts w:ascii="Times New Roman" w:hAnsi="Times New Roman" w:cs="Times New Roman"/>
          <w:b/>
          <w:bCs/>
          <w:lang w:val="en-US"/>
        </w:rPr>
        <w:t>STRATEGIC SHORT TERM INVESTMENT PROGRAM</w:t>
      </w:r>
    </w:p>
    <w:p w:rsidR="00C128EB" w:rsidRPr="00594C4D" w:rsidRDefault="00C128EB" w:rsidP="00594C4D">
      <w:pPr>
        <w:pStyle w:val="NoSpacing"/>
        <w:jc w:val="center"/>
        <w:rPr>
          <w:rFonts w:ascii="Times New Roman" w:hAnsi="Times New Roman" w:cs="Times New Roman"/>
          <w:b/>
          <w:bCs/>
          <w:lang w:val="en-US"/>
        </w:rPr>
      </w:pPr>
      <w:r w:rsidRPr="00594C4D">
        <w:rPr>
          <w:rFonts w:ascii="Times New Roman" w:hAnsi="Times New Roman" w:cs="Times New Roman"/>
          <w:b/>
          <w:bCs/>
          <w:lang w:val="en-US"/>
        </w:rPr>
        <w:t>IN EPAR ELECTRICITY SYSTEM</w:t>
      </w:r>
    </w:p>
    <w:p w:rsidR="00C128EB" w:rsidRPr="00F3763D" w:rsidRDefault="00C128EB" w:rsidP="00594C4D">
      <w:pPr>
        <w:widowControl w:val="0"/>
        <w:autoSpaceDE w:val="0"/>
        <w:autoSpaceDN w:val="0"/>
        <w:adjustRightInd w:val="0"/>
        <w:spacing w:before="1" w:after="0" w:line="180" w:lineRule="exact"/>
        <w:rPr>
          <w:rFonts w:ascii="Times New Roman" w:hAnsi="Times New Roman" w:cs="Times New Roman"/>
          <w:sz w:val="28"/>
          <w:szCs w:val="28"/>
          <w:lang w:val="en-US"/>
        </w:rPr>
      </w:pPr>
    </w:p>
    <w:p w:rsidR="00C128EB" w:rsidRDefault="00C128EB">
      <w:pPr>
        <w:rPr>
          <w:rFonts w:ascii="Times New Roman" w:hAnsi="Times New Roman" w:cs="Times New Roman"/>
          <w:b/>
          <w:bCs/>
          <w:lang w:val="en-US"/>
        </w:rPr>
      </w:pPr>
    </w:p>
    <w:p w:rsidR="00C128EB" w:rsidRDefault="00C128EB" w:rsidP="00594C4D">
      <w:pPr>
        <w:pStyle w:val="TOCHeading"/>
        <w:jc w:val="center"/>
        <w:rPr>
          <w:rFonts w:cs="Times New Roman"/>
          <w:color w:val="000000"/>
        </w:rPr>
      </w:pPr>
      <w:r w:rsidRPr="00594C4D">
        <w:rPr>
          <w:color w:val="000000"/>
          <w:sz w:val="22"/>
          <w:szCs w:val="22"/>
          <w:lang w:val="en-US"/>
        </w:rPr>
        <w:t>Contents</w:t>
      </w:r>
    </w:p>
    <w:p w:rsidR="00C128EB" w:rsidRPr="00594C4D" w:rsidRDefault="00C128EB" w:rsidP="00594C4D">
      <w:pPr>
        <w:rPr>
          <w:lang w:val="es-ES"/>
        </w:rPr>
      </w:pPr>
    </w:p>
    <w:p w:rsidR="00C128EB" w:rsidRDefault="00986F54">
      <w:pPr>
        <w:pStyle w:val="TOC1"/>
        <w:tabs>
          <w:tab w:val="left" w:pos="440"/>
          <w:tab w:val="right" w:leader="dot" w:pos="8828"/>
        </w:tabs>
        <w:rPr>
          <w:noProof/>
        </w:rPr>
      </w:pPr>
      <w:r>
        <w:rPr>
          <w:lang w:val="es-ES"/>
        </w:rPr>
        <w:fldChar w:fldCharType="begin"/>
      </w:r>
      <w:r w:rsidR="00C128EB">
        <w:rPr>
          <w:lang w:val="es-ES"/>
        </w:rPr>
        <w:instrText xml:space="preserve"> TOC \o "1-3" \h \z \u </w:instrText>
      </w:r>
      <w:r>
        <w:rPr>
          <w:lang w:val="es-ES"/>
        </w:rPr>
        <w:fldChar w:fldCharType="separate"/>
      </w:r>
      <w:hyperlink w:anchor="_Toc362245661" w:history="1">
        <w:r w:rsidR="00C128EB" w:rsidRPr="00720DA0">
          <w:rPr>
            <w:rStyle w:val="Hyperlink"/>
            <w:rFonts w:ascii="Times New Roman" w:hAnsi="Times New Roman" w:cs="Times New Roman"/>
            <w:noProof/>
            <w:lang w:val="en-US"/>
          </w:rPr>
          <w:t>I.</w:t>
        </w:r>
        <w:r w:rsidR="00C128EB">
          <w:rPr>
            <w:noProof/>
          </w:rPr>
          <w:tab/>
        </w:r>
        <w:r w:rsidR="00C128EB" w:rsidRPr="00720DA0">
          <w:rPr>
            <w:rStyle w:val="Hyperlink"/>
            <w:rFonts w:ascii="Times New Roman" w:hAnsi="Times New Roman" w:cs="Times New Roman"/>
            <w:noProof/>
            <w:lang w:val="en-US"/>
          </w:rPr>
          <w:t>Introduction</w:t>
        </w:r>
        <w:r w:rsidR="00C128EB">
          <w:rPr>
            <w:noProof/>
            <w:webHidden/>
          </w:rPr>
          <w:tab/>
        </w:r>
        <w:r>
          <w:rPr>
            <w:noProof/>
            <w:webHidden/>
          </w:rPr>
          <w:fldChar w:fldCharType="begin"/>
        </w:r>
        <w:r w:rsidR="00C128EB">
          <w:rPr>
            <w:noProof/>
            <w:webHidden/>
          </w:rPr>
          <w:instrText xml:space="preserve"> PAGEREF _Toc362245661 \h </w:instrText>
        </w:r>
        <w:r>
          <w:rPr>
            <w:noProof/>
            <w:webHidden/>
          </w:rPr>
        </w:r>
        <w:r>
          <w:rPr>
            <w:noProof/>
            <w:webHidden/>
          </w:rPr>
          <w:fldChar w:fldCharType="separate"/>
        </w:r>
        <w:r w:rsidR="00E03B2F">
          <w:rPr>
            <w:noProof/>
            <w:webHidden/>
          </w:rPr>
          <w:t>2</w:t>
        </w:r>
        <w:r>
          <w:rPr>
            <w:noProof/>
            <w:webHidden/>
          </w:rPr>
          <w:fldChar w:fldCharType="end"/>
        </w:r>
      </w:hyperlink>
    </w:p>
    <w:p w:rsidR="00C128EB" w:rsidRDefault="00FE5968">
      <w:pPr>
        <w:pStyle w:val="TOC1"/>
        <w:tabs>
          <w:tab w:val="left" w:pos="660"/>
          <w:tab w:val="right" w:leader="dot" w:pos="8828"/>
        </w:tabs>
        <w:rPr>
          <w:noProof/>
        </w:rPr>
      </w:pPr>
      <w:hyperlink w:anchor="_Toc362245662" w:history="1">
        <w:r w:rsidR="00C128EB" w:rsidRPr="00720DA0">
          <w:rPr>
            <w:rStyle w:val="Hyperlink"/>
            <w:rFonts w:ascii="Times New Roman" w:hAnsi="Times New Roman" w:cs="Times New Roman"/>
            <w:noProof/>
            <w:lang w:val="en-US"/>
          </w:rPr>
          <w:t xml:space="preserve">II. </w:t>
        </w:r>
        <w:r w:rsidR="00C128EB">
          <w:rPr>
            <w:noProof/>
          </w:rPr>
          <w:t xml:space="preserve">    </w:t>
        </w:r>
        <w:r w:rsidR="00C128EB" w:rsidRPr="00720DA0">
          <w:rPr>
            <w:rStyle w:val="Hyperlink"/>
            <w:rFonts w:ascii="Times New Roman" w:hAnsi="Times New Roman" w:cs="Times New Roman"/>
            <w:noProof/>
            <w:lang w:val="en-US"/>
          </w:rPr>
          <w:t>Assumptions and Methodology</w:t>
        </w:r>
        <w:r w:rsidR="00C128EB">
          <w:rPr>
            <w:noProof/>
            <w:webHidden/>
          </w:rPr>
          <w:tab/>
        </w:r>
        <w:r w:rsidR="00986F54">
          <w:rPr>
            <w:noProof/>
            <w:webHidden/>
          </w:rPr>
          <w:fldChar w:fldCharType="begin"/>
        </w:r>
        <w:r w:rsidR="00C128EB">
          <w:rPr>
            <w:noProof/>
            <w:webHidden/>
          </w:rPr>
          <w:instrText xml:space="preserve"> PAGEREF _Toc362245662 \h </w:instrText>
        </w:r>
        <w:r w:rsidR="00986F54">
          <w:rPr>
            <w:noProof/>
            <w:webHidden/>
          </w:rPr>
        </w:r>
        <w:r w:rsidR="00986F54">
          <w:rPr>
            <w:noProof/>
            <w:webHidden/>
          </w:rPr>
          <w:fldChar w:fldCharType="separate"/>
        </w:r>
        <w:r w:rsidR="00E03B2F">
          <w:rPr>
            <w:noProof/>
            <w:webHidden/>
          </w:rPr>
          <w:t>3</w:t>
        </w:r>
        <w:r w:rsidR="00986F54">
          <w:rPr>
            <w:noProof/>
            <w:webHidden/>
          </w:rPr>
          <w:fldChar w:fldCharType="end"/>
        </w:r>
      </w:hyperlink>
    </w:p>
    <w:p w:rsidR="00C128EB" w:rsidRDefault="00FE5968">
      <w:pPr>
        <w:pStyle w:val="TOC1"/>
        <w:tabs>
          <w:tab w:val="left" w:pos="440"/>
          <w:tab w:val="right" w:leader="dot" w:pos="8828"/>
        </w:tabs>
        <w:rPr>
          <w:noProof/>
        </w:rPr>
      </w:pPr>
      <w:hyperlink w:anchor="_Toc362245663" w:history="1">
        <w:r w:rsidR="00C128EB" w:rsidRPr="00720DA0">
          <w:rPr>
            <w:rStyle w:val="Hyperlink"/>
            <w:rFonts w:ascii="Times New Roman" w:hAnsi="Times New Roman" w:cs="Times New Roman"/>
            <w:noProof/>
            <w:lang w:val="en-US"/>
          </w:rPr>
          <w:t>a.</w:t>
        </w:r>
        <w:r w:rsidR="00C128EB">
          <w:rPr>
            <w:noProof/>
          </w:rPr>
          <w:tab/>
        </w:r>
        <w:r w:rsidR="00C128EB" w:rsidRPr="00720DA0">
          <w:rPr>
            <w:rStyle w:val="Hyperlink"/>
            <w:rFonts w:ascii="Times New Roman" w:hAnsi="Times New Roman" w:cs="Times New Roman"/>
            <w:noProof/>
            <w:lang w:val="en-US"/>
          </w:rPr>
          <w:t>Economic benefits associated to reduction of power service interruptions</w:t>
        </w:r>
        <w:r w:rsidR="00C128EB">
          <w:rPr>
            <w:noProof/>
            <w:webHidden/>
          </w:rPr>
          <w:tab/>
        </w:r>
        <w:r w:rsidR="00986F54">
          <w:rPr>
            <w:noProof/>
            <w:webHidden/>
          </w:rPr>
          <w:fldChar w:fldCharType="begin"/>
        </w:r>
        <w:r w:rsidR="00C128EB">
          <w:rPr>
            <w:noProof/>
            <w:webHidden/>
          </w:rPr>
          <w:instrText xml:space="preserve"> PAGEREF _Toc362245663 \h </w:instrText>
        </w:r>
        <w:r w:rsidR="00986F54">
          <w:rPr>
            <w:noProof/>
            <w:webHidden/>
          </w:rPr>
        </w:r>
        <w:r w:rsidR="00986F54">
          <w:rPr>
            <w:noProof/>
            <w:webHidden/>
          </w:rPr>
          <w:fldChar w:fldCharType="separate"/>
        </w:r>
        <w:r w:rsidR="00E03B2F">
          <w:rPr>
            <w:noProof/>
            <w:webHidden/>
          </w:rPr>
          <w:t>3</w:t>
        </w:r>
        <w:r w:rsidR="00986F54">
          <w:rPr>
            <w:noProof/>
            <w:webHidden/>
          </w:rPr>
          <w:fldChar w:fldCharType="end"/>
        </w:r>
      </w:hyperlink>
    </w:p>
    <w:p w:rsidR="00C128EB" w:rsidRDefault="00FE5968">
      <w:pPr>
        <w:pStyle w:val="TOC1"/>
        <w:tabs>
          <w:tab w:val="left" w:pos="440"/>
          <w:tab w:val="right" w:leader="dot" w:pos="8828"/>
        </w:tabs>
        <w:rPr>
          <w:noProof/>
        </w:rPr>
      </w:pPr>
      <w:hyperlink w:anchor="_Toc362245664" w:history="1">
        <w:r w:rsidR="00C128EB" w:rsidRPr="00720DA0">
          <w:rPr>
            <w:rStyle w:val="Hyperlink"/>
            <w:rFonts w:ascii="Times New Roman" w:hAnsi="Times New Roman" w:cs="Times New Roman"/>
            <w:noProof/>
            <w:lang w:val="en-US"/>
          </w:rPr>
          <w:t>b.</w:t>
        </w:r>
        <w:r w:rsidR="00C128EB">
          <w:rPr>
            <w:noProof/>
          </w:rPr>
          <w:tab/>
        </w:r>
        <w:r w:rsidR="00C128EB" w:rsidRPr="00720DA0">
          <w:rPr>
            <w:rStyle w:val="Hyperlink"/>
            <w:rFonts w:ascii="Times New Roman" w:hAnsi="Times New Roman" w:cs="Times New Roman"/>
            <w:noProof/>
            <w:lang w:val="en-US"/>
          </w:rPr>
          <w:t>Increases in transmission and distribution capacities</w:t>
        </w:r>
        <w:r w:rsidR="00C128EB">
          <w:rPr>
            <w:noProof/>
            <w:webHidden/>
          </w:rPr>
          <w:tab/>
        </w:r>
        <w:r w:rsidR="00986F54">
          <w:rPr>
            <w:noProof/>
            <w:webHidden/>
          </w:rPr>
          <w:fldChar w:fldCharType="begin"/>
        </w:r>
        <w:r w:rsidR="00C128EB">
          <w:rPr>
            <w:noProof/>
            <w:webHidden/>
          </w:rPr>
          <w:instrText xml:space="preserve"> PAGEREF _Toc362245664 \h </w:instrText>
        </w:r>
        <w:r w:rsidR="00986F54">
          <w:rPr>
            <w:noProof/>
            <w:webHidden/>
          </w:rPr>
        </w:r>
        <w:r w:rsidR="00986F54">
          <w:rPr>
            <w:noProof/>
            <w:webHidden/>
          </w:rPr>
          <w:fldChar w:fldCharType="separate"/>
        </w:r>
        <w:r w:rsidR="00E03B2F">
          <w:rPr>
            <w:noProof/>
            <w:webHidden/>
          </w:rPr>
          <w:t>4</w:t>
        </w:r>
        <w:r w:rsidR="00986F54">
          <w:rPr>
            <w:noProof/>
            <w:webHidden/>
          </w:rPr>
          <w:fldChar w:fldCharType="end"/>
        </w:r>
      </w:hyperlink>
    </w:p>
    <w:p w:rsidR="00C128EB" w:rsidRDefault="00986F54">
      <w:pPr>
        <w:pStyle w:val="TOC1"/>
        <w:tabs>
          <w:tab w:val="left" w:pos="440"/>
          <w:tab w:val="right" w:leader="dot" w:pos="8828"/>
        </w:tabs>
        <w:rPr>
          <w:noProof/>
        </w:rPr>
      </w:pPr>
      <w:hyperlink w:anchor="_Toc362245665" w:history="1">
        <w:r w:rsidR="00C128EB" w:rsidRPr="00720DA0">
          <w:rPr>
            <w:rStyle w:val="Hyperlink"/>
            <w:rFonts w:ascii="Times New Roman" w:hAnsi="Times New Roman" w:cs="Times New Roman"/>
            <w:noProof/>
            <w:lang w:val="en-US"/>
          </w:rPr>
          <w:t>c.</w:t>
        </w:r>
        <w:r w:rsidR="00C128EB">
          <w:rPr>
            <w:noProof/>
          </w:rPr>
          <w:tab/>
        </w:r>
        <w:r w:rsidR="00C128EB" w:rsidRPr="00720DA0">
          <w:rPr>
            <w:rStyle w:val="Hyperlink"/>
            <w:rFonts w:ascii="Times New Roman" w:hAnsi="Times New Roman" w:cs="Times New Roman"/>
            <w:noProof/>
            <w:lang w:val="en-US"/>
          </w:rPr>
          <w:t>Economic benefits associated to electricity consumption</w:t>
        </w:r>
        <w:r w:rsidR="00C128EB">
          <w:rPr>
            <w:noProof/>
            <w:webHidden/>
          </w:rPr>
          <w:tab/>
        </w:r>
        <w:r>
          <w:rPr>
            <w:noProof/>
            <w:webHidden/>
          </w:rPr>
          <w:fldChar w:fldCharType="begin"/>
        </w:r>
        <w:r w:rsidR="00C128EB">
          <w:rPr>
            <w:noProof/>
            <w:webHidden/>
          </w:rPr>
          <w:instrText xml:space="preserve"> PAGEREF _Toc362245665 \h </w:instrText>
        </w:r>
        <w:r>
          <w:rPr>
            <w:noProof/>
            <w:webHidden/>
          </w:rPr>
        </w:r>
        <w:r>
          <w:rPr>
            <w:noProof/>
            <w:webHidden/>
          </w:rPr>
          <w:fldChar w:fldCharType="separate"/>
        </w:r>
        <w:r w:rsidR="00E03B2F">
          <w:rPr>
            <w:noProof/>
            <w:webHidden/>
          </w:rPr>
          <w:t>7</w:t>
        </w:r>
        <w:r>
          <w:rPr>
            <w:noProof/>
            <w:webHidden/>
          </w:rPr>
          <w:fldChar w:fldCharType="end"/>
        </w:r>
      </w:hyperlink>
    </w:p>
    <w:p w:rsidR="00C128EB" w:rsidRDefault="00986F54">
      <w:pPr>
        <w:pStyle w:val="TOC1"/>
        <w:tabs>
          <w:tab w:val="left" w:pos="440"/>
          <w:tab w:val="right" w:leader="dot" w:pos="8828"/>
        </w:tabs>
        <w:rPr>
          <w:noProof/>
        </w:rPr>
      </w:pPr>
      <w:hyperlink w:anchor="_Toc362245666" w:history="1">
        <w:r w:rsidR="00C128EB" w:rsidRPr="00720DA0">
          <w:rPr>
            <w:rStyle w:val="Hyperlink"/>
            <w:rFonts w:ascii="Times New Roman" w:hAnsi="Times New Roman" w:cs="Times New Roman"/>
            <w:noProof/>
            <w:lang w:val="en-US"/>
          </w:rPr>
          <w:t>d.</w:t>
        </w:r>
        <w:r w:rsidR="00C128EB">
          <w:rPr>
            <w:noProof/>
          </w:rPr>
          <w:tab/>
        </w:r>
        <w:r w:rsidR="00C128EB" w:rsidRPr="00720DA0">
          <w:rPr>
            <w:rStyle w:val="Hyperlink"/>
            <w:rFonts w:ascii="Times New Roman" w:hAnsi="Times New Roman" w:cs="Times New Roman"/>
            <w:noProof/>
            <w:lang w:val="en-US"/>
          </w:rPr>
          <w:t>Economic benefits associated to reduction in O&amp;M costs</w:t>
        </w:r>
        <w:r w:rsidR="00C128EB">
          <w:rPr>
            <w:noProof/>
            <w:webHidden/>
          </w:rPr>
          <w:tab/>
        </w:r>
        <w:r>
          <w:rPr>
            <w:noProof/>
            <w:webHidden/>
          </w:rPr>
          <w:fldChar w:fldCharType="begin"/>
        </w:r>
        <w:r w:rsidR="00C128EB">
          <w:rPr>
            <w:noProof/>
            <w:webHidden/>
          </w:rPr>
          <w:instrText xml:space="preserve"> PAGEREF _Toc362245666 \h </w:instrText>
        </w:r>
        <w:r>
          <w:rPr>
            <w:noProof/>
            <w:webHidden/>
          </w:rPr>
        </w:r>
        <w:r>
          <w:rPr>
            <w:noProof/>
            <w:webHidden/>
          </w:rPr>
          <w:fldChar w:fldCharType="separate"/>
        </w:r>
        <w:r w:rsidR="00E03B2F">
          <w:rPr>
            <w:noProof/>
            <w:webHidden/>
          </w:rPr>
          <w:t>9</w:t>
        </w:r>
        <w:r>
          <w:rPr>
            <w:noProof/>
            <w:webHidden/>
          </w:rPr>
          <w:fldChar w:fldCharType="end"/>
        </w:r>
      </w:hyperlink>
    </w:p>
    <w:p w:rsidR="00C128EB" w:rsidRDefault="00986F54">
      <w:pPr>
        <w:pStyle w:val="TOC1"/>
        <w:tabs>
          <w:tab w:val="left" w:pos="660"/>
          <w:tab w:val="right" w:leader="dot" w:pos="8828"/>
        </w:tabs>
        <w:rPr>
          <w:noProof/>
        </w:rPr>
      </w:pPr>
      <w:hyperlink w:anchor="_Toc362245667" w:history="1">
        <w:r w:rsidR="00C128EB" w:rsidRPr="00720DA0">
          <w:rPr>
            <w:rStyle w:val="Hyperlink"/>
            <w:rFonts w:ascii="Times New Roman" w:hAnsi="Times New Roman" w:cs="Times New Roman"/>
            <w:noProof/>
            <w:lang w:val="en-US"/>
          </w:rPr>
          <w:t xml:space="preserve">III. </w:t>
        </w:r>
        <w:r w:rsidR="00C128EB">
          <w:rPr>
            <w:noProof/>
          </w:rPr>
          <w:t xml:space="preserve">  </w:t>
        </w:r>
        <w:r w:rsidR="00C128EB" w:rsidRPr="00720DA0">
          <w:rPr>
            <w:rStyle w:val="Hyperlink"/>
            <w:rFonts w:ascii="Times New Roman" w:hAnsi="Times New Roman" w:cs="Times New Roman"/>
            <w:noProof/>
            <w:lang w:val="en-US"/>
          </w:rPr>
          <w:t>Economic Benefits</w:t>
        </w:r>
        <w:r w:rsidR="00C128EB">
          <w:rPr>
            <w:noProof/>
            <w:webHidden/>
          </w:rPr>
          <w:tab/>
        </w:r>
        <w:r>
          <w:rPr>
            <w:noProof/>
            <w:webHidden/>
          </w:rPr>
          <w:fldChar w:fldCharType="begin"/>
        </w:r>
        <w:r w:rsidR="00C128EB">
          <w:rPr>
            <w:noProof/>
            <w:webHidden/>
          </w:rPr>
          <w:instrText xml:space="preserve"> PAGEREF _Toc362245667 \h </w:instrText>
        </w:r>
        <w:r>
          <w:rPr>
            <w:noProof/>
            <w:webHidden/>
          </w:rPr>
        </w:r>
        <w:r>
          <w:rPr>
            <w:noProof/>
            <w:webHidden/>
          </w:rPr>
          <w:fldChar w:fldCharType="separate"/>
        </w:r>
        <w:r w:rsidR="00E03B2F">
          <w:rPr>
            <w:noProof/>
            <w:webHidden/>
          </w:rPr>
          <w:t>10</w:t>
        </w:r>
        <w:r>
          <w:rPr>
            <w:noProof/>
            <w:webHidden/>
          </w:rPr>
          <w:fldChar w:fldCharType="end"/>
        </w:r>
      </w:hyperlink>
    </w:p>
    <w:p w:rsidR="00C128EB" w:rsidRDefault="00986F54">
      <w:pPr>
        <w:pStyle w:val="TOC1"/>
        <w:tabs>
          <w:tab w:val="left" w:pos="660"/>
          <w:tab w:val="right" w:leader="dot" w:pos="8828"/>
        </w:tabs>
        <w:rPr>
          <w:noProof/>
        </w:rPr>
      </w:pPr>
      <w:hyperlink w:anchor="_Toc362245668" w:history="1">
        <w:r w:rsidR="00C128EB" w:rsidRPr="00720DA0">
          <w:rPr>
            <w:rStyle w:val="Hyperlink"/>
            <w:rFonts w:ascii="Times New Roman" w:hAnsi="Times New Roman" w:cs="Times New Roman"/>
            <w:noProof/>
            <w:lang w:val="en-US"/>
          </w:rPr>
          <w:t>IV.</w:t>
        </w:r>
        <w:r w:rsidR="00C128EB">
          <w:rPr>
            <w:noProof/>
          </w:rPr>
          <w:t xml:space="preserve">   </w:t>
        </w:r>
        <w:r w:rsidR="00C128EB" w:rsidRPr="00720DA0">
          <w:rPr>
            <w:rStyle w:val="Hyperlink"/>
            <w:rFonts w:ascii="Times New Roman" w:hAnsi="Times New Roman" w:cs="Times New Roman"/>
            <w:noProof/>
            <w:lang w:val="en-US"/>
          </w:rPr>
          <w:t>Economic Costs</w:t>
        </w:r>
        <w:r w:rsidR="00C128EB">
          <w:rPr>
            <w:noProof/>
            <w:webHidden/>
          </w:rPr>
          <w:tab/>
        </w:r>
        <w:r>
          <w:rPr>
            <w:noProof/>
            <w:webHidden/>
          </w:rPr>
          <w:fldChar w:fldCharType="begin"/>
        </w:r>
        <w:r w:rsidR="00C128EB">
          <w:rPr>
            <w:noProof/>
            <w:webHidden/>
          </w:rPr>
          <w:instrText xml:space="preserve"> PAGEREF _Toc362245668 \h </w:instrText>
        </w:r>
        <w:r>
          <w:rPr>
            <w:noProof/>
            <w:webHidden/>
          </w:rPr>
        </w:r>
        <w:r>
          <w:rPr>
            <w:noProof/>
            <w:webHidden/>
          </w:rPr>
          <w:fldChar w:fldCharType="separate"/>
        </w:r>
        <w:r w:rsidR="00E03B2F">
          <w:rPr>
            <w:noProof/>
            <w:webHidden/>
          </w:rPr>
          <w:t>11</w:t>
        </w:r>
        <w:r>
          <w:rPr>
            <w:noProof/>
            <w:webHidden/>
          </w:rPr>
          <w:fldChar w:fldCharType="end"/>
        </w:r>
      </w:hyperlink>
    </w:p>
    <w:p w:rsidR="00C128EB" w:rsidRDefault="00986F54">
      <w:pPr>
        <w:pStyle w:val="TOC1"/>
        <w:tabs>
          <w:tab w:val="left" w:pos="660"/>
          <w:tab w:val="right" w:leader="dot" w:pos="8828"/>
        </w:tabs>
        <w:rPr>
          <w:noProof/>
        </w:rPr>
      </w:pPr>
      <w:hyperlink w:anchor="_Toc362245669" w:history="1">
        <w:r w:rsidR="00C128EB" w:rsidRPr="00720DA0">
          <w:rPr>
            <w:rStyle w:val="Hyperlink"/>
            <w:rFonts w:ascii="Times New Roman" w:hAnsi="Times New Roman" w:cs="Times New Roman"/>
            <w:noProof/>
            <w:lang w:val="en-US"/>
          </w:rPr>
          <w:t xml:space="preserve">V. </w:t>
        </w:r>
        <w:r w:rsidR="00C128EB">
          <w:rPr>
            <w:noProof/>
          </w:rPr>
          <w:t xml:space="preserve">   </w:t>
        </w:r>
        <w:r w:rsidR="00C128EB" w:rsidRPr="00720DA0">
          <w:rPr>
            <w:rStyle w:val="Hyperlink"/>
            <w:rFonts w:ascii="Times New Roman" w:hAnsi="Times New Roman" w:cs="Times New Roman"/>
            <w:noProof/>
            <w:lang w:val="en-US"/>
          </w:rPr>
          <w:t>Economic Return</w:t>
        </w:r>
        <w:r w:rsidR="00C128EB">
          <w:rPr>
            <w:noProof/>
            <w:webHidden/>
          </w:rPr>
          <w:tab/>
        </w:r>
        <w:r>
          <w:rPr>
            <w:noProof/>
            <w:webHidden/>
          </w:rPr>
          <w:fldChar w:fldCharType="begin"/>
        </w:r>
        <w:r w:rsidR="00C128EB">
          <w:rPr>
            <w:noProof/>
            <w:webHidden/>
          </w:rPr>
          <w:instrText xml:space="preserve"> PAGEREF _Toc362245669 \h </w:instrText>
        </w:r>
        <w:r>
          <w:rPr>
            <w:noProof/>
            <w:webHidden/>
          </w:rPr>
        </w:r>
        <w:r>
          <w:rPr>
            <w:noProof/>
            <w:webHidden/>
          </w:rPr>
          <w:fldChar w:fldCharType="separate"/>
        </w:r>
        <w:r w:rsidR="00E03B2F">
          <w:rPr>
            <w:noProof/>
            <w:webHidden/>
          </w:rPr>
          <w:t>12</w:t>
        </w:r>
        <w:r>
          <w:rPr>
            <w:noProof/>
            <w:webHidden/>
          </w:rPr>
          <w:fldChar w:fldCharType="end"/>
        </w:r>
      </w:hyperlink>
    </w:p>
    <w:p w:rsidR="00C128EB" w:rsidRDefault="00986F54">
      <w:pPr>
        <w:pStyle w:val="TOC1"/>
        <w:tabs>
          <w:tab w:val="left" w:pos="660"/>
          <w:tab w:val="right" w:leader="dot" w:pos="8828"/>
        </w:tabs>
        <w:rPr>
          <w:noProof/>
        </w:rPr>
      </w:pPr>
      <w:hyperlink w:anchor="_Toc362245670" w:history="1">
        <w:r w:rsidR="00C128EB" w:rsidRPr="00720DA0">
          <w:rPr>
            <w:rStyle w:val="Hyperlink"/>
            <w:rFonts w:ascii="Times New Roman" w:hAnsi="Times New Roman" w:cs="Times New Roman"/>
            <w:noProof/>
            <w:lang w:val="en-US"/>
          </w:rPr>
          <w:t xml:space="preserve">VI. </w:t>
        </w:r>
        <w:r w:rsidR="00C128EB">
          <w:rPr>
            <w:noProof/>
          </w:rPr>
          <w:t xml:space="preserve">  </w:t>
        </w:r>
        <w:r w:rsidR="00C128EB" w:rsidRPr="00720DA0">
          <w:rPr>
            <w:rStyle w:val="Hyperlink"/>
            <w:rFonts w:ascii="Times New Roman" w:hAnsi="Times New Roman" w:cs="Times New Roman"/>
            <w:noProof/>
            <w:lang w:val="en-US"/>
          </w:rPr>
          <w:t>Sensitivity analysis</w:t>
        </w:r>
        <w:r w:rsidR="00C128EB">
          <w:rPr>
            <w:noProof/>
            <w:webHidden/>
          </w:rPr>
          <w:tab/>
        </w:r>
        <w:r>
          <w:rPr>
            <w:noProof/>
            <w:webHidden/>
          </w:rPr>
          <w:fldChar w:fldCharType="begin"/>
        </w:r>
        <w:r w:rsidR="00C128EB">
          <w:rPr>
            <w:noProof/>
            <w:webHidden/>
          </w:rPr>
          <w:instrText xml:space="preserve"> PAGEREF _Toc362245670 \h </w:instrText>
        </w:r>
        <w:r>
          <w:rPr>
            <w:noProof/>
            <w:webHidden/>
          </w:rPr>
        </w:r>
        <w:r>
          <w:rPr>
            <w:noProof/>
            <w:webHidden/>
          </w:rPr>
          <w:fldChar w:fldCharType="separate"/>
        </w:r>
        <w:r w:rsidR="00E03B2F">
          <w:rPr>
            <w:noProof/>
            <w:webHidden/>
          </w:rPr>
          <w:t>13</w:t>
        </w:r>
        <w:r>
          <w:rPr>
            <w:noProof/>
            <w:webHidden/>
          </w:rPr>
          <w:fldChar w:fldCharType="end"/>
        </w:r>
      </w:hyperlink>
    </w:p>
    <w:p w:rsidR="00C128EB" w:rsidRDefault="00986F54">
      <w:pPr>
        <w:pStyle w:val="TOC1"/>
        <w:tabs>
          <w:tab w:val="left" w:pos="660"/>
          <w:tab w:val="right" w:leader="dot" w:pos="8828"/>
        </w:tabs>
        <w:rPr>
          <w:noProof/>
        </w:rPr>
      </w:pPr>
      <w:hyperlink w:anchor="_Toc362245671" w:history="1">
        <w:r w:rsidR="00C128EB" w:rsidRPr="00720DA0">
          <w:rPr>
            <w:rStyle w:val="Hyperlink"/>
            <w:rFonts w:ascii="Times New Roman" w:hAnsi="Times New Roman" w:cs="Times New Roman"/>
            <w:noProof/>
            <w:lang w:val="en-US"/>
          </w:rPr>
          <w:t xml:space="preserve">VII. </w:t>
        </w:r>
        <w:r w:rsidR="00C128EB">
          <w:rPr>
            <w:noProof/>
          </w:rPr>
          <w:t xml:space="preserve"> </w:t>
        </w:r>
        <w:r w:rsidR="00C128EB" w:rsidRPr="00720DA0">
          <w:rPr>
            <w:rStyle w:val="Hyperlink"/>
            <w:rFonts w:ascii="Times New Roman" w:hAnsi="Times New Roman" w:cs="Times New Roman"/>
            <w:noProof/>
            <w:lang w:val="en-US"/>
          </w:rPr>
          <w:t>Conclusions</w:t>
        </w:r>
        <w:r w:rsidR="00C128EB">
          <w:rPr>
            <w:noProof/>
            <w:webHidden/>
          </w:rPr>
          <w:tab/>
        </w:r>
        <w:r>
          <w:rPr>
            <w:noProof/>
            <w:webHidden/>
          </w:rPr>
          <w:fldChar w:fldCharType="begin"/>
        </w:r>
        <w:r w:rsidR="00C128EB">
          <w:rPr>
            <w:noProof/>
            <w:webHidden/>
          </w:rPr>
          <w:instrText xml:space="preserve"> PAGEREF _Toc362245671 \h </w:instrText>
        </w:r>
        <w:r>
          <w:rPr>
            <w:noProof/>
            <w:webHidden/>
          </w:rPr>
        </w:r>
        <w:r>
          <w:rPr>
            <w:noProof/>
            <w:webHidden/>
          </w:rPr>
          <w:fldChar w:fldCharType="separate"/>
        </w:r>
        <w:r w:rsidR="00E03B2F">
          <w:rPr>
            <w:noProof/>
            <w:webHidden/>
          </w:rPr>
          <w:t>14</w:t>
        </w:r>
        <w:r>
          <w:rPr>
            <w:noProof/>
            <w:webHidden/>
          </w:rPr>
          <w:fldChar w:fldCharType="end"/>
        </w:r>
      </w:hyperlink>
    </w:p>
    <w:p w:rsidR="00C128EB" w:rsidRDefault="00C128EB">
      <w:pPr>
        <w:pStyle w:val="TOC3"/>
        <w:tabs>
          <w:tab w:val="left" w:pos="880"/>
          <w:tab w:val="right" w:leader="dot" w:pos="8828"/>
        </w:tabs>
        <w:rPr>
          <w:noProof/>
        </w:rPr>
      </w:pPr>
    </w:p>
    <w:p w:rsidR="00C128EB" w:rsidRDefault="00986F54">
      <w:pPr>
        <w:rPr>
          <w:lang w:val="es-ES"/>
        </w:rPr>
      </w:pPr>
      <w:r>
        <w:rPr>
          <w:lang w:val="es-ES"/>
        </w:rPr>
        <w:fldChar w:fldCharType="end"/>
      </w:r>
    </w:p>
    <w:p w:rsidR="00C128EB" w:rsidRDefault="00C128EB">
      <w:pPr>
        <w:rPr>
          <w:rFonts w:ascii="Times New Roman" w:hAnsi="Times New Roman" w:cs="Times New Roman"/>
          <w:b/>
          <w:bCs/>
          <w:lang w:val="en-US"/>
        </w:rPr>
      </w:pPr>
    </w:p>
    <w:p w:rsidR="00C128EB" w:rsidRPr="00546ABB" w:rsidRDefault="00C128EB" w:rsidP="00885911">
      <w:pPr>
        <w:pStyle w:val="NoSpacing"/>
        <w:jc w:val="center"/>
        <w:rPr>
          <w:rFonts w:ascii="Times New Roman" w:hAnsi="Times New Roman" w:cs="Times New Roman"/>
          <w:b/>
          <w:bCs/>
          <w:lang w:val="en-US"/>
        </w:rPr>
      </w:pPr>
    </w:p>
    <w:p w:rsidR="00C128EB" w:rsidRPr="00546ABB" w:rsidRDefault="00C128EB" w:rsidP="00885911">
      <w:pPr>
        <w:pStyle w:val="NoSpacing"/>
        <w:jc w:val="center"/>
        <w:rPr>
          <w:rFonts w:ascii="Times New Roman" w:hAnsi="Times New Roman" w:cs="Times New Roman"/>
          <w:b/>
          <w:bCs/>
          <w:lang w:val="en-US"/>
        </w:rPr>
      </w:pPr>
    </w:p>
    <w:p w:rsidR="00C128EB" w:rsidRDefault="00C128EB" w:rsidP="00EC43CA">
      <w:pPr>
        <w:pStyle w:val="NoSpacing"/>
        <w:jc w:val="center"/>
        <w:rPr>
          <w:rFonts w:ascii="Times New Roman" w:hAnsi="Times New Roman" w:cs="Times New Roman"/>
          <w:b/>
          <w:bCs/>
          <w:lang w:val="en-US"/>
        </w:rPr>
      </w:pPr>
    </w:p>
    <w:p w:rsidR="00C128EB" w:rsidRDefault="00C128EB" w:rsidP="00EC43CA">
      <w:pPr>
        <w:pStyle w:val="NoSpacing"/>
        <w:jc w:val="center"/>
        <w:rPr>
          <w:rFonts w:ascii="Times New Roman" w:hAnsi="Times New Roman" w:cs="Times New Roman"/>
          <w:b/>
          <w:bCs/>
          <w:lang w:val="en-US"/>
        </w:rPr>
      </w:pPr>
    </w:p>
    <w:p w:rsidR="00C128EB" w:rsidRPr="00E45618" w:rsidRDefault="00C128EB" w:rsidP="00E45618">
      <w:pPr>
        <w:pStyle w:val="NoSpacing"/>
        <w:jc w:val="center"/>
        <w:rPr>
          <w:rFonts w:ascii="Times New Roman" w:hAnsi="Times New Roman" w:cs="Times New Roman"/>
          <w:b/>
          <w:lang w:val="en-US"/>
        </w:rPr>
      </w:pPr>
      <w:r>
        <w:rPr>
          <w:lang w:val="en-US"/>
        </w:rPr>
        <w:br w:type="page"/>
      </w:r>
      <w:r w:rsidRPr="00E45618">
        <w:rPr>
          <w:rFonts w:ascii="Times New Roman" w:hAnsi="Times New Roman" w:cs="Times New Roman"/>
          <w:b/>
          <w:lang w:val="en-US"/>
        </w:rPr>
        <w:lastRenderedPageBreak/>
        <w:t>STRATEGIC SHORT TERM INVESTMENT PROGRAM</w:t>
      </w:r>
    </w:p>
    <w:p w:rsidR="00C128EB" w:rsidRPr="00E45618" w:rsidRDefault="00C128EB" w:rsidP="00E45618">
      <w:pPr>
        <w:pStyle w:val="NoSpacing"/>
        <w:jc w:val="center"/>
        <w:rPr>
          <w:rFonts w:ascii="Times New Roman" w:hAnsi="Times New Roman" w:cs="Times New Roman"/>
          <w:b/>
          <w:lang w:val="en-US"/>
        </w:rPr>
      </w:pPr>
      <w:r w:rsidRPr="00E45618">
        <w:rPr>
          <w:rFonts w:ascii="Times New Roman" w:hAnsi="Times New Roman" w:cs="Times New Roman"/>
          <w:b/>
          <w:lang w:val="en-US"/>
        </w:rPr>
        <w:t>IN EPAR ELECTRICITY SYSTEM</w:t>
      </w:r>
    </w:p>
    <w:p w:rsidR="00C128EB" w:rsidRPr="00E45618" w:rsidRDefault="00C128EB" w:rsidP="00E45618">
      <w:pPr>
        <w:pStyle w:val="NoSpacing"/>
        <w:jc w:val="center"/>
        <w:rPr>
          <w:rFonts w:ascii="Times New Roman" w:hAnsi="Times New Roman" w:cs="Times New Roman"/>
          <w:b/>
          <w:lang w:val="en-US"/>
        </w:rPr>
      </w:pPr>
    </w:p>
    <w:p w:rsidR="00C128EB" w:rsidRPr="00F3763D" w:rsidRDefault="00C128EB" w:rsidP="00885911">
      <w:pPr>
        <w:pStyle w:val="NoSpacing"/>
        <w:jc w:val="center"/>
        <w:rPr>
          <w:rFonts w:ascii="Times New Roman" w:hAnsi="Times New Roman" w:cs="Times New Roman"/>
          <w:b/>
          <w:bCs/>
          <w:lang w:val="en-US"/>
        </w:rPr>
      </w:pPr>
    </w:p>
    <w:p w:rsidR="00C128EB" w:rsidRPr="00145186" w:rsidRDefault="00C128EB" w:rsidP="00145186">
      <w:pPr>
        <w:pStyle w:val="Heading1"/>
        <w:rPr>
          <w:rFonts w:ascii="Times New Roman" w:hAnsi="Times New Roman" w:cs="Times New Roman"/>
          <w:color w:val="000000"/>
          <w:sz w:val="22"/>
          <w:szCs w:val="22"/>
          <w:lang w:val="en-US"/>
        </w:rPr>
      </w:pPr>
      <w:bookmarkStart w:id="1" w:name="_Toc362245661"/>
      <w:r w:rsidRPr="00145186">
        <w:rPr>
          <w:rFonts w:ascii="Times New Roman" w:hAnsi="Times New Roman" w:cs="Times New Roman"/>
          <w:color w:val="000000"/>
          <w:sz w:val="22"/>
          <w:szCs w:val="22"/>
          <w:lang w:val="en-US"/>
        </w:rPr>
        <w:t>I.</w:t>
      </w:r>
      <w:r w:rsidRPr="00145186">
        <w:rPr>
          <w:rFonts w:ascii="Times New Roman" w:hAnsi="Times New Roman" w:cs="Times New Roman"/>
          <w:color w:val="000000"/>
          <w:sz w:val="22"/>
          <w:szCs w:val="22"/>
          <w:lang w:val="en-US"/>
        </w:rPr>
        <w:tab/>
        <w:t>Introduction</w:t>
      </w:r>
      <w:bookmarkEnd w:id="1"/>
    </w:p>
    <w:p w:rsidR="00C128EB" w:rsidRPr="00F3763D" w:rsidRDefault="00C128EB" w:rsidP="00885911">
      <w:pPr>
        <w:pStyle w:val="NoSpacing"/>
        <w:jc w:val="both"/>
        <w:rPr>
          <w:rFonts w:ascii="Times New Roman" w:hAnsi="Times New Roman" w:cs="Times New Roman"/>
          <w:b/>
          <w:bCs/>
          <w:lang w:val="en-US"/>
        </w:rPr>
      </w:pPr>
    </w:p>
    <w:p w:rsidR="00C128EB" w:rsidRPr="00F3763D" w:rsidRDefault="00C128EB" w:rsidP="003B6916">
      <w:pPr>
        <w:pStyle w:val="NoSpacing"/>
        <w:jc w:val="both"/>
        <w:rPr>
          <w:rFonts w:ascii="Times New Roman" w:hAnsi="Times New Roman" w:cs="Times New Roman"/>
          <w:lang w:val="en-US" w:eastAsia="ja-JP"/>
        </w:rPr>
      </w:pPr>
    </w:p>
    <w:p w:rsidR="00C128EB" w:rsidRDefault="00C128EB" w:rsidP="00925B19">
      <w:pPr>
        <w:pStyle w:val="NoSpacing"/>
        <w:jc w:val="both"/>
        <w:rPr>
          <w:rFonts w:ascii="Times New Roman" w:hAnsi="Times New Roman" w:cs="Times New Roman"/>
          <w:lang w:val="en-AU"/>
        </w:rPr>
      </w:pPr>
      <w:r w:rsidRPr="00925B19">
        <w:rPr>
          <w:rFonts w:ascii="Times New Roman" w:hAnsi="Times New Roman" w:cs="Times New Roman"/>
          <w:lang w:val="en-US" w:eastAsia="ja-JP"/>
        </w:rPr>
        <w:t>Suriname´s power sector consists of a number of individual power systems operated by EBS (</w:t>
      </w:r>
      <w:r w:rsidRPr="00925B19">
        <w:rPr>
          <w:rFonts w:ascii="Times New Roman" w:hAnsi="Times New Roman" w:cs="Times New Roman"/>
          <w:lang w:val="nl-NL" w:eastAsia="ja-JP"/>
        </w:rPr>
        <w:t>Energie Bedrijven Suriname</w:t>
      </w:r>
      <w:r w:rsidRPr="00925B19">
        <w:rPr>
          <w:rFonts w:ascii="Times New Roman" w:hAnsi="Times New Roman" w:cs="Times New Roman"/>
          <w:lang w:val="en-US" w:eastAsia="ja-JP"/>
        </w:rPr>
        <w:t xml:space="preserve">): the EPAR system </w:t>
      </w:r>
      <w:r w:rsidRPr="00925B19">
        <w:rPr>
          <w:rFonts w:ascii="Times New Roman" w:hAnsi="Times New Roman" w:cs="Times New Roman"/>
          <w:lang w:val="en-US"/>
        </w:rPr>
        <w:t>(the system serving Paramaribo</w:t>
      </w:r>
      <w:r w:rsidRPr="00925B19">
        <w:rPr>
          <w:rFonts w:ascii="Times New Roman" w:hAnsi="Times New Roman" w:cs="Times New Roman"/>
          <w:lang w:val="en-US" w:eastAsia="ja-JP"/>
        </w:rPr>
        <w:t xml:space="preserve"> and the surroundings), the ENIC system (for New Nickerie in West Suriname) and other smaller systems.  </w:t>
      </w:r>
      <w:r w:rsidRPr="00925B19">
        <w:rPr>
          <w:rFonts w:ascii="Times New Roman" w:hAnsi="Times New Roman" w:cs="Times New Roman"/>
          <w:lang w:val="en-US"/>
        </w:rPr>
        <w:t>Ele</w:t>
      </w:r>
      <w:r w:rsidR="00925B19" w:rsidRPr="00925B19">
        <w:rPr>
          <w:rFonts w:ascii="Times New Roman" w:hAnsi="Times New Roman" w:cs="Times New Roman"/>
          <w:lang w:val="en-US"/>
        </w:rPr>
        <w:t xml:space="preserve">ctricity supply in EPAR system </w:t>
      </w:r>
      <w:r w:rsidR="00A717DB">
        <w:rPr>
          <w:rFonts w:ascii="Times New Roman" w:hAnsi="Times New Roman" w:cs="Times New Roman"/>
          <w:lang w:val="en-US"/>
        </w:rPr>
        <w:t>was 1,166.7 GWh in 2011 serving 87,431</w:t>
      </w:r>
      <w:r w:rsidRPr="00925B19">
        <w:rPr>
          <w:rFonts w:ascii="Times New Roman" w:hAnsi="Times New Roman" w:cs="Times New Roman"/>
          <w:lang w:val="en-US"/>
        </w:rPr>
        <w:t xml:space="preserve"> users</w:t>
      </w:r>
      <w:r w:rsidR="00D15719">
        <w:rPr>
          <w:rFonts w:ascii="Times New Roman" w:hAnsi="Times New Roman" w:cs="Times New Roman"/>
          <w:lang w:val="en-US"/>
        </w:rPr>
        <w:t>, according information provided by EBS</w:t>
      </w:r>
      <w:r w:rsidRPr="00925B19">
        <w:rPr>
          <w:rFonts w:ascii="Times New Roman" w:hAnsi="Times New Roman" w:cs="Times New Roman"/>
          <w:lang w:val="en-US"/>
        </w:rPr>
        <w:t>. Historical electricity consumption has been increasing 7.5 % per year since 2000 but investments in the expansion of the</w:t>
      </w:r>
      <w:r w:rsidR="00925B19" w:rsidRPr="00925B19">
        <w:rPr>
          <w:rFonts w:ascii="Times New Roman" w:hAnsi="Times New Roman" w:cs="Times New Roman"/>
          <w:lang w:val="en-US"/>
        </w:rPr>
        <w:t xml:space="preserve"> transmission and distribution </w:t>
      </w:r>
      <w:r w:rsidRPr="00925B19">
        <w:rPr>
          <w:rFonts w:ascii="Times New Roman" w:hAnsi="Times New Roman" w:cs="Times New Roman"/>
          <w:lang w:val="en-US"/>
        </w:rPr>
        <w:t>system has been very limited, implying lower service quality for final consumers. Even though, recent decisions have been taken and t</w:t>
      </w:r>
      <w:r w:rsidRPr="00925B19">
        <w:rPr>
          <w:rFonts w:ascii="Times New Roman" w:hAnsi="Times New Roman" w:cs="Times New Roman"/>
          <w:lang w:val="en-AU"/>
        </w:rPr>
        <w:t xml:space="preserve">he EPAR generating system will be expanded at two locations: a) The BEM plant, adjacent to the Saramacastraat plant, in two stages: 63 MW in 2013, and 21 MW second phase, and b) The SPCS expansion in two stages: i) 34 MW in 2013, and 68 MW second phase. </w:t>
      </w:r>
    </w:p>
    <w:p w:rsidR="00925B19" w:rsidRPr="00925B19" w:rsidRDefault="00925B19" w:rsidP="00925B19">
      <w:pPr>
        <w:pStyle w:val="NoSpacing"/>
        <w:jc w:val="both"/>
        <w:rPr>
          <w:rFonts w:ascii="Times New Roman" w:hAnsi="Times New Roman" w:cs="Times New Roman"/>
          <w:lang w:val="en-US"/>
        </w:rPr>
      </w:pPr>
    </w:p>
    <w:p w:rsidR="00C128EB" w:rsidRPr="00925B19" w:rsidRDefault="00925B19" w:rsidP="00925B19">
      <w:pPr>
        <w:pStyle w:val="NoSpacing"/>
        <w:jc w:val="both"/>
        <w:rPr>
          <w:rFonts w:ascii="Times New Roman" w:hAnsi="Times New Roman" w:cs="Times New Roman"/>
          <w:lang w:val="en-US"/>
        </w:rPr>
      </w:pPr>
      <w:r w:rsidRPr="00925B19">
        <w:rPr>
          <w:rFonts w:ascii="Times New Roman" w:hAnsi="Times New Roman" w:cs="Times New Roman"/>
          <w:lang w:val="en-US"/>
        </w:rPr>
        <w:t>P</w:t>
      </w:r>
      <w:r w:rsidR="00C128EB" w:rsidRPr="00925B19">
        <w:rPr>
          <w:rFonts w:ascii="Times New Roman" w:hAnsi="Times New Roman" w:cs="Times New Roman"/>
          <w:lang w:val="en-US"/>
        </w:rPr>
        <w:t xml:space="preserve">ower service reliability indexes in EPAR system indicate </w:t>
      </w:r>
      <w:r w:rsidRPr="00925B19">
        <w:rPr>
          <w:rFonts w:ascii="Times New Roman" w:hAnsi="Times New Roman" w:cs="Times New Roman"/>
          <w:lang w:val="en-US"/>
        </w:rPr>
        <w:t>average interruptions per costumer of 81.4/year and 2.57 Hours/interruption</w:t>
      </w:r>
      <w:r w:rsidR="00C128EB" w:rsidRPr="00925B19">
        <w:rPr>
          <w:rFonts w:ascii="Times New Roman" w:hAnsi="Times New Roman" w:cs="Times New Roman"/>
          <w:lang w:val="en-US"/>
        </w:rPr>
        <w:t>, implying economic costs for the users. Several components of the power system are today insufficient to support a reliable service and the grid automatization is limited permitting service interruptions that could be avoided. It is expected that new investments in a SCADA system will provide significant improvements in service continuity and quality.</w:t>
      </w:r>
    </w:p>
    <w:p w:rsidR="00925B19" w:rsidRDefault="00925B19" w:rsidP="00925B19">
      <w:pPr>
        <w:pStyle w:val="NoSpacing"/>
        <w:jc w:val="both"/>
        <w:rPr>
          <w:rFonts w:ascii="Times New Roman" w:hAnsi="Times New Roman" w:cs="Times New Roman"/>
          <w:color w:val="000000"/>
          <w:lang w:val="en-US"/>
        </w:rPr>
      </w:pPr>
    </w:p>
    <w:p w:rsidR="00C128EB" w:rsidRDefault="00C128EB" w:rsidP="00925B19">
      <w:pPr>
        <w:pStyle w:val="NoSpacing"/>
        <w:jc w:val="both"/>
        <w:rPr>
          <w:rFonts w:ascii="Times New Roman" w:hAnsi="Times New Roman" w:cs="Times New Roman"/>
          <w:lang w:val="en-US"/>
        </w:rPr>
      </w:pPr>
      <w:r w:rsidRPr="00925B19">
        <w:rPr>
          <w:rFonts w:ascii="Times New Roman" w:hAnsi="Times New Roman" w:cs="Times New Roman"/>
          <w:color w:val="000000"/>
          <w:lang w:val="en-US"/>
        </w:rPr>
        <w:t xml:space="preserve">Also, it has been identified significant load increases in the Northern and Southern sectors of Paramaribo and current nominal ratings at 33 kV level of Substations C and D are imposing limitations to the transmission and distribution operations of the power grid. Specifically, the short circuit rating on 33 kV level in those substations is now being violated by recent expansions in the generation and transmission system and these limitations will be increased with the new generation expansions. This means a serious hazard to personnel and equipment, also a low reliability in </w:t>
      </w:r>
      <w:r w:rsidR="00EE3E0B" w:rsidRPr="00925B19">
        <w:rPr>
          <w:rFonts w:ascii="Times New Roman" w:hAnsi="Times New Roman" w:cs="Times New Roman"/>
          <w:color w:val="000000"/>
          <w:lang w:val="en-US"/>
        </w:rPr>
        <w:t>those Southern and Northern sectors</w:t>
      </w:r>
      <w:r w:rsidRPr="00925B19">
        <w:rPr>
          <w:rFonts w:ascii="Times New Roman" w:hAnsi="Times New Roman" w:cs="Times New Roman"/>
          <w:color w:val="000000"/>
          <w:lang w:val="en-US"/>
        </w:rPr>
        <w:t xml:space="preserve"> of Paramaribo that will impact the rest of the system as well. In this order of ideas, EBS has established that th</w:t>
      </w:r>
      <w:r w:rsidRPr="00925B19">
        <w:rPr>
          <w:rFonts w:ascii="Times New Roman" w:hAnsi="Times New Roman" w:cs="Times New Roman"/>
          <w:lang w:val="en-US"/>
        </w:rPr>
        <w:t>e remodeling of the oldest and insufficient substations C and D will provide significant improvements in service continuity and quality.</w:t>
      </w:r>
    </w:p>
    <w:p w:rsidR="00851C5C" w:rsidRPr="00925B19" w:rsidRDefault="00851C5C" w:rsidP="00925B19">
      <w:pPr>
        <w:pStyle w:val="NoSpacing"/>
        <w:jc w:val="both"/>
        <w:rPr>
          <w:rFonts w:ascii="Times New Roman" w:hAnsi="Times New Roman" w:cs="Times New Roman"/>
          <w:lang w:val="en-US"/>
        </w:rPr>
      </w:pPr>
    </w:p>
    <w:p w:rsidR="00C128EB" w:rsidRPr="00E45618" w:rsidRDefault="00C128EB" w:rsidP="00925B19">
      <w:pPr>
        <w:pStyle w:val="NoSpacing"/>
        <w:jc w:val="both"/>
        <w:rPr>
          <w:rStyle w:val="Heading1Char"/>
          <w:rFonts w:ascii="Times New Roman" w:hAnsi="Times New Roman" w:cs="Times New Roman"/>
          <w:color w:val="auto"/>
          <w:sz w:val="22"/>
          <w:szCs w:val="22"/>
          <w:lang w:val="en-US"/>
        </w:rPr>
      </w:pPr>
      <w:r w:rsidRPr="00925B19">
        <w:rPr>
          <w:rFonts w:ascii="Times New Roman" w:hAnsi="Times New Roman" w:cs="Times New Roman"/>
          <w:lang w:val="en-US"/>
        </w:rPr>
        <w:t>Total investment costs in the extension of the SCADA system and in the upgrade of subs</w:t>
      </w:r>
      <w:r w:rsidR="00851C5C">
        <w:rPr>
          <w:rFonts w:ascii="Times New Roman" w:hAnsi="Times New Roman" w:cs="Times New Roman"/>
          <w:lang w:val="en-US"/>
        </w:rPr>
        <w:t>tations C and D amounts US$ 12.89</w:t>
      </w:r>
      <w:r w:rsidRPr="00925B19">
        <w:rPr>
          <w:rFonts w:ascii="Times New Roman" w:hAnsi="Times New Roman" w:cs="Times New Roman"/>
          <w:lang w:val="en-US"/>
        </w:rPr>
        <w:t xml:space="preserve"> million. This report contains its economical evaluation.</w:t>
      </w:r>
      <w:r w:rsidRPr="00925B19">
        <w:rPr>
          <w:rFonts w:ascii="Times New Roman" w:hAnsi="Times New Roman" w:cs="Times New Roman"/>
          <w:lang w:val="en-US"/>
        </w:rPr>
        <w:br w:type="page"/>
      </w:r>
      <w:bookmarkStart w:id="2" w:name="_Toc362245662"/>
      <w:r w:rsidRPr="00E45618">
        <w:rPr>
          <w:rStyle w:val="Heading1Char"/>
          <w:rFonts w:ascii="Times New Roman" w:hAnsi="Times New Roman" w:cs="Times New Roman"/>
          <w:color w:val="auto"/>
          <w:sz w:val="22"/>
          <w:szCs w:val="22"/>
          <w:lang w:val="en-US"/>
        </w:rPr>
        <w:lastRenderedPageBreak/>
        <w:t xml:space="preserve">II. </w:t>
      </w:r>
      <w:r w:rsidRPr="00E45618">
        <w:rPr>
          <w:rStyle w:val="Heading1Char"/>
          <w:rFonts w:ascii="Times New Roman" w:hAnsi="Times New Roman" w:cs="Times New Roman"/>
          <w:color w:val="auto"/>
          <w:sz w:val="22"/>
          <w:szCs w:val="22"/>
          <w:lang w:val="en-US"/>
        </w:rPr>
        <w:tab/>
        <w:t>Assumptions and Methodology</w:t>
      </w:r>
      <w:bookmarkEnd w:id="2"/>
    </w:p>
    <w:p w:rsidR="00C128EB" w:rsidRPr="00F3763D" w:rsidRDefault="00C128EB" w:rsidP="00892C14">
      <w:pPr>
        <w:pStyle w:val="NoSpacing"/>
        <w:jc w:val="both"/>
        <w:rPr>
          <w:rFonts w:ascii="Times New Roman" w:hAnsi="Times New Roman" w:cs="Times New Roman"/>
          <w:lang w:val="en-US"/>
        </w:rPr>
      </w:pPr>
    </w:p>
    <w:p w:rsidR="00E75177" w:rsidRDefault="00E75177" w:rsidP="00E45618">
      <w:pPr>
        <w:pStyle w:val="NoSpacing"/>
        <w:jc w:val="both"/>
        <w:rPr>
          <w:rFonts w:ascii="Times New Roman" w:hAnsi="Times New Roman" w:cs="Times New Roman"/>
          <w:lang w:val="en-US" w:eastAsia="ja-JP"/>
        </w:rPr>
      </w:pPr>
    </w:p>
    <w:p w:rsidR="00C128EB" w:rsidRPr="00E45618" w:rsidRDefault="00C128EB" w:rsidP="00E45618">
      <w:pPr>
        <w:pStyle w:val="NoSpacing"/>
        <w:jc w:val="both"/>
        <w:rPr>
          <w:rFonts w:ascii="Times New Roman" w:hAnsi="Times New Roman" w:cs="Times New Roman"/>
          <w:lang w:val="en-US"/>
        </w:rPr>
      </w:pPr>
      <w:r w:rsidRPr="00E45618">
        <w:rPr>
          <w:rFonts w:ascii="Times New Roman" w:hAnsi="Times New Roman" w:cs="Times New Roman"/>
          <w:lang w:val="en-US" w:eastAsia="ja-JP"/>
        </w:rPr>
        <w:t xml:space="preserve">EBS faces several technical, operational and financial challenges which require Government’s intervention with adequate regulations and management practices to, among others, address financial sustainability issues with the review of the tariff structure </w:t>
      </w:r>
      <w:r w:rsidR="00EE3E0B">
        <w:rPr>
          <w:rFonts w:ascii="Times New Roman" w:hAnsi="Times New Roman" w:cs="Times New Roman"/>
          <w:lang w:val="en-US" w:eastAsia="ja-JP"/>
        </w:rPr>
        <w:t>adapting</w:t>
      </w:r>
      <w:r w:rsidR="00EE3E0B" w:rsidRPr="00E45618">
        <w:rPr>
          <w:rFonts w:ascii="Times New Roman" w:hAnsi="Times New Roman" w:cs="Times New Roman"/>
          <w:lang w:val="en-US" w:eastAsia="ja-JP"/>
        </w:rPr>
        <w:t xml:space="preserve"> </w:t>
      </w:r>
      <w:r w:rsidRPr="00E45618">
        <w:rPr>
          <w:rFonts w:ascii="Times New Roman" w:hAnsi="Times New Roman" w:cs="Times New Roman"/>
          <w:lang w:val="en-US" w:eastAsia="ja-JP"/>
        </w:rPr>
        <w:t xml:space="preserve">the average electricity rate </w:t>
      </w:r>
      <w:r w:rsidR="00616222">
        <w:rPr>
          <w:rFonts w:ascii="Times New Roman" w:hAnsi="Times New Roman" w:cs="Times New Roman"/>
          <w:lang w:val="en-US" w:eastAsia="ja-JP"/>
        </w:rPr>
        <w:t>of around</w:t>
      </w:r>
      <w:r w:rsidR="00616222" w:rsidRPr="00E45618">
        <w:rPr>
          <w:rFonts w:ascii="Times New Roman" w:hAnsi="Times New Roman" w:cs="Times New Roman"/>
          <w:lang w:val="en-US" w:eastAsia="ja-JP"/>
        </w:rPr>
        <w:t xml:space="preserve"> </w:t>
      </w:r>
      <w:r w:rsidRPr="00E45618">
        <w:rPr>
          <w:rFonts w:ascii="Times New Roman" w:hAnsi="Times New Roman" w:cs="Times New Roman"/>
          <w:lang w:val="en-US" w:eastAsia="ja-JP"/>
        </w:rPr>
        <w:t>US</w:t>
      </w:r>
      <w:r w:rsidRPr="00E45618">
        <w:rPr>
          <w:rFonts w:ascii="Times New Roman" w:hAnsi="Times New Roman" w:cs="Times New Roman"/>
          <w:lang w:val="en-US"/>
        </w:rPr>
        <w:t>¢</w:t>
      </w:r>
      <w:r w:rsidRPr="00E45618">
        <w:rPr>
          <w:rFonts w:ascii="Times New Roman" w:hAnsi="Times New Roman" w:cs="Times New Roman"/>
          <w:lang w:val="en-US" w:eastAsia="ja-JP"/>
        </w:rPr>
        <w:t xml:space="preserve"> 7/kWh </w:t>
      </w:r>
      <w:r w:rsidRPr="00E45618">
        <w:rPr>
          <w:rFonts w:ascii="Times New Roman" w:hAnsi="Times New Roman" w:cs="Times New Roman"/>
          <w:lang w:val="en-US"/>
        </w:rPr>
        <w:t xml:space="preserve">in order to reflect the real generation, transmission and distribution costs. </w:t>
      </w:r>
      <w:r w:rsidR="00851C5C">
        <w:rPr>
          <w:rFonts w:ascii="Times New Roman" w:hAnsi="Times New Roman" w:cs="Times New Roman"/>
          <w:lang w:val="en-US"/>
        </w:rPr>
        <w:t>C</w:t>
      </w:r>
      <w:r w:rsidRPr="00E45618">
        <w:rPr>
          <w:rFonts w:ascii="Times New Roman" w:hAnsi="Times New Roman" w:cs="Times New Roman"/>
          <w:lang w:val="en-US"/>
        </w:rPr>
        <w:t xml:space="preserve">urrent power </w:t>
      </w:r>
      <w:r w:rsidR="00E45618" w:rsidRPr="00E45618">
        <w:rPr>
          <w:rFonts w:ascii="Times New Roman" w:hAnsi="Times New Roman" w:cs="Times New Roman"/>
          <w:lang w:val="en-US"/>
        </w:rPr>
        <w:t>service in Suriname implies</w:t>
      </w:r>
      <w:r w:rsidRPr="00E45618">
        <w:rPr>
          <w:rFonts w:ascii="Times New Roman" w:hAnsi="Times New Roman" w:cs="Times New Roman"/>
          <w:lang w:val="en-US"/>
        </w:rPr>
        <w:t xml:space="preserve"> significant subsidies to final consumers that are basically assumed by the State. Such subsidies constitute financial transferences among national </w:t>
      </w:r>
      <w:r w:rsidR="007B4F9F">
        <w:rPr>
          <w:rFonts w:ascii="Times New Roman" w:hAnsi="Times New Roman" w:cs="Times New Roman"/>
          <w:lang w:val="en-US"/>
        </w:rPr>
        <w:t>agents</w:t>
      </w:r>
      <w:r w:rsidRPr="00E45618">
        <w:rPr>
          <w:rFonts w:ascii="Times New Roman" w:hAnsi="Times New Roman" w:cs="Times New Roman"/>
          <w:lang w:val="en-US"/>
        </w:rPr>
        <w:t xml:space="preserve"> not constituting costs or benefits from the </w:t>
      </w:r>
      <w:r w:rsidR="00EE3E0B">
        <w:rPr>
          <w:rFonts w:ascii="Times New Roman" w:hAnsi="Times New Roman" w:cs="Times New Roman"/>
          <w:lang w:val="en-US"/>
        </w:rPr>
        <w:t>stand</w:t>
      </w:r>
      <w:r w:rsidRPr="00E45618">
        <w:rPr>
          <w:rFonts w:ascii="Times New Roman" w:hAnsi="Times New Roman" w:cs="Times New Roman"/>
          <w:lang w:val="en-US"/>
        </w:rPr>
        <w:t xml:space="preserve">point of the national economy. </w:t>
      </w:r>
    </w:p>
    <w:p w:rsidR="00C128EB" w:rsidRPr="00594C4D" w:rsidRDefault="00C128EB" w:rsidP="00594C4D">
      <w:pPr>
        <w:pStyle w:val="Heading1"/>
        <w:rPr>
          <w:rFonts w:ascii="Times New Roman" w:hAnsi="Times New Roman" w:cs="Times New Roman"/>
          <w:color w:val="000000"/>
          <w:sz w:val="22"/>
          <w:szCs w:val="22"/>
          <w:lang w:val="en-US"/>
        </w:rPr>
      </w:pPr>
      <w:bookmarkStart w:id="3" w:name="_Toc362245663"/>
      <w:r w:rsidRPr="00594C4D">
        <w:rPr>
          <w:rFonts w:ascii="Times New Roman" w:hAnsi="Times New Roman" w:cs="Times New Roman"/>
          <w:color w:val="000000"/>
          <w:sz w:val="22"/>
          <w:szCs w:val="22"/>
          <w:lang w:val="en-US"/>
        </w:rPr>
        <w:t>a.</w:t>
      </w:r>
      <w:r w:rsidRPr="00594C4D">
        <w:rPr>
          <w:rFonts w:ascii="Times New Roman" w:hAnsi="Times New Roman" w:cs="Times New Roman"/>
          <w:color w:val="000000"/>
          <w:sz w:val="22"/>
          <w:szCs w:val="22"/>
          <w:lang w:val="en-US"/>
        </w:rPr>
        <w:tab/>
        <w:t>Economic benefits associated to reduction of power service interruptions</w:t>
      </w:r>
      <w:bookmarkEnd w:id="3"/>
    </w:p>
    <w:p w:rsidR="00C128EB" w:rsidRPr="00F72F62" w:rsidRDefault="00C128EB" w:rsidP="00EB4BCC">
      <w:pPr>
        <w:pStyle w:val="NoSpacing"/>
        <w:jc w:val="both"/>
        <w:rPr>
          <w:rFonts w:ascii="Times New Roman" w:hAnsi="Times New Roman" w:cs="Times New Roman"/>
          <w:lang w:val="en-US"/>
        </w:rPr>
      </w:pPr>
    </w:p>
    <w:p w:rsidR="00C128EB" w:rsidRPr="00F72F62" w:rsidRDefault="00C128EB" w:rsidP="00EB4BCC">
      <w:pPr>
        <w:pStyle w:val="NoSpacing"/>
        <w:jc w:val="both"/>
        <w:rPr>
          <w:rFonts w:ascii="Times New Roman" w:hAnsi="Times New Roman" w:cs="Times New Roman"/>
          <w:lang w:val="en-US"/>
        </w:rPr>
      </w:pPr>
    </w:p>
    <w:p w:rsidR="00C128EB" w:rsidRPr="00C87469" w:rsidRDefault="00C128EB" w:rsidP="00EB4BCC">
      <w:pPr>
        <w:pStyle w:val="NoSpacing"/>
        <w:jc w:val="both"/>
        <w:rPr>
          <w:rFonts w:ascii="Times New Roman" w:hAnsi="Times New Roman" w:cs="Times New Roman"/>
          <w:lang w:val="en-US"/>
        </w:rPr>
      </w:pPr>
      <w:r w:rsidRPr="00851C5C">
        <w:rPr>
          <w:rFonts w:ascii="Times New Roman" w:hAnsi="Times New Roman" w:cs="Times New Roman"/>
          <w:lang w:val="en-US"/>
        </w:rPr>
        <w:t>Several components of the EPAR power system are today insufficient to support a reliable service and the grid automatization is limited permitting service interruptions that could be avoided. Supervisory Control</w:t>
      </w:r>
      <w:r w:rsidRPr="00C87469">
        <w:rPr>
          <w:rFonts w:ascii="Times New Roman" w:hAnsi="Times New Roman" w:cs="Times New Roman"/>
          <w:lang w:val="en-US"/>
        </w:rPr>
        <w:t xml:space="preserve"> and Data Acquisition </w:t>
      </w:r>
      <w:r>
        <w:rPr>
          <w:rFonts w:ascii="Times New Roman" w:hAnsi="Times New Roman" w:cs="Times New Roman"/>
          <w:lang w:val="en-US"/>
        </w:rPr>
        <w:t>(</w:t>
      </w:r>
      <w:r w:rsidRPr="00C87469">
        <w:rPr>
          <w:rFonts w:ascii="Times New Roman" w:hAnsi="Times New Roman" w:cs="Times New Roman"/>
          <w:lang w:val="en-US"/>
        </w:rPr>
        <w:t>SCADA</w:t>
      </w:r>
      <w:r>
        <w:rPr>
          <w:rFonts w:ascii="Times New Roman" w:hAnsi="Times New Roman" w:cs="Times New Roman"/>
          <w:lang w:val="en-US"/>
        </w:rPr>
        <w:t>)</w:t>
      </w:r>
      <w:r w:rsidRPr="00C87469">
        <w:rPr>
          <w:rFonts w:ascii="Times New Roman" w:hAnsi="Times New Roman" w:cs="Times New Roman"/>
          <w:lang w:val="en-US"/>
        </w:rPr>
        <w:t xml:space="preserve"> systems have traditionally played a vital role by providing utilities with valuable knowledge and capabilities that are key to a primary business function - delivering power in a reliable and safe manner. A quality SCADA solution is central to effective operation of a utility's most critical and costly distribution, transmission, and generation assets. Modern SCADA systems are already contributing and playing a key role at many utilities towards achieving: i) New levels in electric grid reliability – increased revenue, ii) Proactive problem detection and resolution – higher reliability, iii) Meeting the mandated power quality requirements – increased customer satisfaction, iv) Real time strategic decision making – cost reductions and increased revenue. EBS already has part of the EPAR tran</w:t>
      </w:r>
      <w:r w:rsidR="00851C5C">
        <w:rPr>
          <w:rFonts w:ascii="Times New Roman" w:hAnsi="Times New Roman" w:cs="Times New Roman"/>
          <w:lang w:val="en-US"/>
        </w:rPr>
        <w:t>smission grid connected to a SCADA</w:t>
      </w:r>
      <w:r w:rsidRPr="00C87469">
        <w:rPr>
          <w:rFonts w:ascii="Times New Roman" w:hAnsi="Times New Roman" w:cs="Times New Roman"/>
          <w:lang w:val="en-US"/>
        </w:rPr>
        <w:t xml:space="preserve"> system</w:t>
      </w:r>
      <w:r>
        <w:rPr>
          <w:rFonts w:ascii="Times New Roman" w:hAnsi="Times New Roman" w:cs="Times New Roman"/>
          <w:lang w:val="en-US"/>
        </w:rPr>
        <w:t xml:space="preserve"> and w</w:t>
      </w:r>
      <w:r w:rsidRPr="00C87469">
        <w:rPr>
          <w:rFonts w:ascii="Times New Roman" w:hAnsi="Times New Roman" w:cs="Times New Roman"/>
          <w:lang w:val="en-US"/>
        </w:rPr>
        <w:t xml:space="preserve">ith the SCADA </w:t>
      </w:r>
      <w:r w:rsidR="00851C5C">
        <w:rPr>
          <w:rFonts w:ascii="Times New Roman" w:hAnsi="Times New Roman" w:cs="Times New Roman"/>
          <w:lang w:val="en-US"/>
        </w:rPr>
        <w:t xml:space="preserve">extension </w:t>
      </w:r>
      <w:r w:rsidRPr="00C87469">
        <w:rPr>
          <w:rFonts w:ascii="Times New Roman" w:hAnsi="Times New Roman" w:cs="Times New Roman"/>
          <w:lang w:val="en-US"/>
        </w:rPr>
        <w:t>project</w:t>
      </w:r>
      <w:r>
        <w:rPr>
          <w:rFonts w:ascii="Times New Roman" w:hAnsi="Times New Roman" w:cs="Times New Roman"/>
          <w:lang w:val="en-US"/>
        </w:rPr>
        <w:t xml:space="preserve"> it</w:t>
      </w:r>
      <w:r w:rsidRPr="00C87469">
        <w:rPr>
          <w:rFonts w:ascii="Times New Roman" w:hAnsi="Times New Roman" w:cs="Times New Roman"/>
          <w:lang w:val="en-US"/>
        </w:rPr>
        <w:t xml:space="preserve"> is planning is to connect the entire EPAR grid to this system. </w:t>
      </w:r>
    </w:p>
    <w:p w:rsidR="00C128EB" w:rsidRDefault="00C128EB" w:rsidP="00EB4BCC">
      <w:pPr>
        <w:pStyle w:val="NoSpacing"/>
        <w:jc w:val="both"/>
        <w:rPr>
          <w:rFonts w:ascii="Times New Roman" w:hAnsi="Times New Roman" w:cs="Times New Roman"/>
          <w:lang w:val="en-US"/>
        </w:rPr>
      </w:pPr>
    </w:p>
    <w:p w:rsidR="00C128EB" w:rsidRDefault="00C128EB" w:rsidP="00EB4BCC">
      <w:pPr>
        <w:pStyle w:val="NoSpacing"/>
        <w:jc w:val="both"/>
        <w:rPr>
          <w:rFonts w:ascii="Times New Roman" w:hAnsi="Times New Roman" w:cs="Times New Roman"/>
          <w:lang w:val="en-US"/>
        </w:rPr>
      </w:pPr>
      <w:r>
        <w:rPr>
          <w:rFonts w:ascii="Times New Roman" w:hAnsi="Times New Roman" w:cs="Times New Roman"/>
          <w:lang w:val="en-US"/>
        </w:rPr>
        <w:t>E</w:t>
      </w:r>
      <w:r w:rsidRPr="00C87469">
        <w:rPr>
          <w:rFonts w:ascii="Times New Roman" w:hAnsi="Times New Roman" w:cs="Times New Roman"/>
          <w:lang w:val="en-US"/>
        </w:rPr>
        <w:t>conomic benefits of this project were estimated with the expected reduction of interrupted energy associated to this project</w:t>
      </w:r>
      <w:r w:rsidR="000D0DA5">
        <w:rPr>
          <w:rFonts w:ascii="Times New Roman" w:hAnsi="Times New Roman" w:cs="Times New Roman"/>
          <w:lang w:val="en-US"/>
        </w:rPr>
        <w:t>. This was estimated</w:t>
      </w:r>
      <w:r w:rsidRPr="00C87469">
        <w:rPr>
          <w:rFonts w:ascii="Times New Roman" w:hAnsi="Times New Roman" w:cs="Times New Roman"/>
          <w:lang w:val="en-US"/>
        </w:rPr>
        <w:t xml:space="preserve"> through an analysis of the System Average Interruption Frequency Index (SAIFI) and the System Average Interruption Duration Index (SAIDI), which are commonly used as reliability indicators by electric power utilities. SAIFI is measured in units of interruptions per customer and SAIDI is the average outage duration for each customer served, and is usually measured in hours. Both are measured over the course of a year. </w:t>
      </w:r>
      <w:r w:rsidR="00E45618" w:rsidRPr="00C87469">
        <w:rPr>
          <w:rFonts w:ascii="Times New Roman" w:hAnsi="Times New Roman" w:cs="Times New Roman"/>
          <w:lang w:val="en-US"/>
        </w:rPr>
        <w:t>Next graphs illustrate</w:t>
      </w:r>
      <w:r w:rsidRPr="00C87469">
        <w:rPr>
          <w:rFonts w:ascii="Times New Roman" w:hAnsi="Times New Roman" w:cs="Times New Roman"/>
          <w:lang w:val="en-US"/>
        </w:rPr>
        <w:t xml:space="preserve"> the historical SAIFI and SAIDI indexes in EPAR system.</w:t>
      </w:r>
    </w:p>
    <w:p w:rsidR="00C128EB" w:rsidRDefault="00C128EB" w:rsidP="00EB4BCC">
      <w:pPr>
        <w:pStyle w:val="NoSpacing"/>
        <w:jc w:val="center"/>
        <w:rPr>
          <w:rFonts w:ascii="Times New Roman" w:hAnsi="Times New Roman" w:cs="Times New Roman"/>
          <w:lang w:val="en-US"/>
        </w:rPr>
      </w:pPr>
    </w:p>
    <w:p w:rsidR="00C128EB" w:rsidRPr="00D8527E" w:rsidRDefault="00C128EB" w:rsidP="00EB4BCC">
      <w:pPr>
        <w:pStyle w:val="NoSpacing"/>
        <w:jc w:val="center"/>
        <w:rPr>
          <w:rFonts w:ascii="Times New Roman" w:hAnsi="Times New Roman" w:cs="Times New Roman"/>
          <w:b/>
          <w:bCs/>
          <w:sz w:val="18"/>
          <w:szCs w:val="18"/>
          <w:lang w:val="en-US"/>
        </w:rPr>
      </w:pPr>
      <w:r w:rsidRPr="00D8527E">
        <w:rPr>
          <w:rFonts w:ascii="Times New Roman" w:hAnsi="Times New Roman" w:cs="Times New Roman"/>
          <w:b/>
          <w:bCs/>
          <w:sz w:val="18"/>
          <w:szCs w:val="18"/>
          <w:lang w:val="en-US"/>
        </w:rPr>
        <w:t>EPAR HISTORICAL RELIABILITY INDEXES</w:t>
      </w:r>
    </w:p>
    <w:p w:rsidR="00C128EB" w:rsidRDefault="00C128EB" w:rsidP="00EB4BCC">
      <w:pPr>
        <w:pStyle w:val="NoSpacing"/>
        <w:jc w:val="center"/>
        <w:rPr>
          <w:rFonts w:ascii="Times New Roman" w:hAnsi="Times New Roman" w:cs="Times New Roman"/>
          <w:lang w:val="en-US"/>
        </w:rPr>
      </w:pPr>
    </w:p>
    <w:p w:rsidR="00C128EB" w:rsidRPr="00C87469" w:rsidRDefault="00EC138D" w:rsidP="00EB4BCC">
      <w:pPr>
        <w:pStyle w:val="NoSpacing"/>
        <w:jc w:val="center"/>
        <w:rPr>
          <w:rFonts w:ascii="Times New Roman" w:hAnsi="Times New Roman" w:cs="Times New Roman"/>
          <w:lang w:val="en-US"/>
        </w:rPr>
      </w:pPr>
      <w:r>
        <w:rPr>
          <w:noProof/>
          <w:lang w:val="en-US"/>
        </w:rPr>
        <w:drawing>
          <wp:inline distT="0" distB="0" distL="0" distR="0" wp14:anchorId="2155AA19" wp14:editId="6E6B39E0">
            <wp:extent cx="5499735" cy="1125855"/>
            <wp:effectExtent l="19050" t="0" r="0" b="0"/>
            <wp:docPr id="29"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9"/>
                    <a:srcRect/>
                    <a:stretch>
                      <a:fillRect/>
                    </a:stretch>
                  </pic:blipFill>
                  <pic:spPr bwMode="auto">
                    <a:xfrm>
                      <a:off x="0" y="0"/>
                      <a:ext cx="5499735" cy="1125855"/>
                    </a:xfrm>
                    <a:prstGeom prst="rect">
                      <a:avLst/>
                    </a:prstGeom>
                    <a:noFill/>
                    <a:ln w="9525">
                      <a:noFill/>
                      <a:miter lim="800000"/>
                      <a:headEnd/>
                      <a:tailEnd/>
                    </a:ln>
                  </pic:spPr>
                </pic:pic>
              </a:graphicData>
            </a:graphic>
          </wp:inline>
        </w:drawing>
      </w:r>
    </w:p>
    <w:p w:rsidR="00E75177" w:rsidRDefault="00E75177" w:rsidP="00EB4BCC">
      <w:pPr>
        <w:pStyle w:val="NormalWeb"/>
        <w:jc w:val="both"/>
        <w:rPr>
          <w:sz w:val="22"/>
          <w:szCs w:val="22"/>
          <w:lang w:val="en-US"/>
        </w:rPr>
      </w:pPr>
    </w:p>
    <w:p w:rsidR="00E75177" w:rsidRDefault="00E75177" w:rsidP="00EB4BCC">
      <w:pPr>
        <w:pStyle w:val="NormalWeb"/>
        <w:jc w:val="both"/>
        <w:rPr>
          <w:sz w:val="22"/>
          <w:szCs w:val="22"/>
          <w:lang w:val="en-US"/>
        </w:rPr>
      </w:pPr>
    </w:p>
    <w:p w:rsidR="00C128EB" w:rsidRPr="00463471" w:rsidRDefault="00C128EB" w:rsidP="00EB4BCC">
      <w:pPr>
        <w:pStyle w:val="NormalWeb"/>
        <w:jc w:val="both"/>
        <w:rPr>
          <w:sz w:val="22"/>
          <w:szCs w:val="22"/>
          <w:lang w:val="en-US"/>
        </w:rPr>
      </w:pPr>
      <w:r w:rsidRPr="00463471">
        <w:rPr>
          <w:sz w:val="22"/>
          <w:szCs w:val="22"/>
          <w:lang w:val="en-US"/>
        </w:rPr>
        <w:lastRenderedPageBreak/>
        <w:t>SAIDI and SAIFI indexes in EPAR system during 2010, 2011 and 2012 indicate that had occurred significant service interruptions of around 30-50 hours/month</w:t>
      </w:r>
      <w:r w:rsidRPr="007E5FB3">
        <w:rPr>
          <w:sz w:val="22"/>
          <w:szCs w:val="22"/>
          <w:lang w:val="en-US"/>
        </w:rPr>
        <w:t xml:space="preserve"> </w:t>
      </w:r>
      <w:r w:rsidRPr="00463471">
        <w:rPr>
          <w:sz w:val="22"/>
          <w:szCs w:val="22"/>
          <w:lang w:val="en-US"/>
        </w:rPr>
        <w:t>during three months of the year</w:t>
      </w:r>
      <w:r>
        <w:rPr>
          <w:sz w:val="22"/>
          <w:szCs w:val="22"/>
          <w:lang w:val="en-US"/>
        </w:rPr>
        <w:t>,</w:t>
      </w:r>
      <w:r w:rsidRPr="00463471">
        <w:rPr>
          <w:sz w:val="22"/>
          <w:szCs w:val="22"/>
          <w:lang w:val="en-US"/>
        </w:rPr>
        <w:t xml:space="preserve"> imply</w:t>
      </w:r>
      <w:r>
        <w:rPr>
          <w:sz w:val="22"/>
          <w:szCs w:val="22"/>
          <w:lang w:val="en-US"/>
        </w:rPr>
        <w:t>ing economic costs for the Surinamese economy</w:t>
      </w:r>
      <w:r w:rsidRPr="00463471">
        <w:rPr>
          <w:sz w:val="22"/>
          <w:szCs w:val="22"/>
          <w:lang w:val="en-US"/>
        </w:rPr>
        <w:t>. Total average annual interruptions</w:t>
      </w:r>
      <w:r>
        <w:rPr>
          <w:sz w:val="22"/>
          <w:szCs w:val="22"/>
          <w:lang w:val="en-US"/>
        </w:rPr>
        <w:t xml:space="preserve"> per </w:t>
      </w:r>
      <w:r w:rsidR="00E45618">
        <w:rPr>
          <w:sz w:val="22"/>
          <w:szCs w:val="22"/>
          <w:lang w:val="en-US"/>
        </w:rPr>
        <w:t>costumer</w:t>
      </w:r>
      <w:r w:rsidR="00E45618" w:rsidRPr="00463471">
        <w:rPr>
          <w:sz w:val="22"/>
          <w:szCs w:val="22"/>
          <w:lang w:val="en-US"/>
        </w:rPr>
        <w:t xml:space="preserve"> were</w:t>
      </w:r>
      <w:r w:rsidRPr="00463471">
        <w:rPr>
          <w:sz w:val="22"/>
          <w:szCs w:val="22"/>
          <w:lang w:val="en-US"/>
        </w:rPr>
        <w:t xml:space="preserve"> 81.4/year and 2.57 Hours/interruption duri</w:t>
      </w:r>
      <w:r>
        <w:rPr>
          <w:sz w:val="22"/>
          <w:szCs w:val="22"/>
          <w:lang w:val="en-US"/>
        </w:rPr>
        <w:t>ng last three years (see ANNEX 1</w:t>
      </w:r>
      <w:r w:rsidRPr="00463471">
        <w:rPr>
          <w:sz w:val="22"/>
          <w:szCs w:val="22"/>
          <w:lang w:val="en-US"/>
        </w:rPr>
        <w:t xml:space="preserve">). </w:t>
      </w:r>
    </w:p>
    <w:p w:rsidR="00C128EB" w:rsidRPr="000D0DA5" w:rsidRDefault="00C128EB" w:rsidP="00EB4BCC">
      <w:pPr>
        <w:pStyle w:val="NormalWeb"/>
        <w:jc w:val="both"/>
        <w:rPr>
          <w:sz w:val="22"/>
          <w:szCs w:val="22"/>
          <w:lang w:val="en-US"/>
        </w:rPr>
      </w:pPr>
      <w:r w:rsidRPr="00463471">
        <w:rPr>
          <w:sz w:val="22"/>
          <w:szCs w:val="22"/>
          <w:lang w:val="en-US"/>
        </w:rPr>
        <w:t>It is expected that with the new investments in a SCADA system these indexes will be improved. To evaluate this, EBS conducted an analysis of the contributions of the SAIDI index in 2012 that could be reduced with the SCADA</w:t>
      </w:r>
      <w:r>
        <w:rPr>
          <w:sz w:val="22"/>
          <w:szCs w:val="22"/>
          <w:lang w:val="en-US"/>
        </w:rPr>
        <w:t xml:space="preserve"> extension</w:t>
      </w:r>
      <w:r w:rsidRPr="00463471">
        <w:rPr>
          <w:sz w:val="22"/>
          <w:szCs w:val="22"/>
          <w:lang w:val="en-US"/>
        </w:rPr>
        <w:t xml:space="preserve"> project finding a potential reduction of 8% in total duration of the interruptions</w:t>
      </w:r>
      <w:r>
        <w:rPr>
          <w:sz w:val="22"/>
          <w:szCs w:val="22"/>
          <w:lang w:val="en-US"/>
        </w:rPr>
        <w:t xml:space="preserve"> (see ANNEX 1</w:t>
      </w:r>
      <w:r w:rsidRPr="00463471">
        <w:rPr>
          <w:sz w:val="22"/>
          <w:szCs w:val="22"/>
          <w:lang w:val="en-US"/>
        </w:rPr>
        <w:t xml:space="preserve">). </w:t>
      </w:r>
      <w:r w:rsidRPr="000D0DA5">
        <w:rPr>
          <w:sz w:val="22"/>
          <w:szCs w:val="22"/>
          <w:lang w:val="en-US"/>
        </w:rPr>
        <w:t xml:space="preserve">Associated benefits were estimated with EPAR demand forecast (see ANNEX 2) and considering </w:t>
      </w:r>
      <w:r w:rsidR="00D15719">
        <w:rPr>
          <w:sz w:val="22"/>
          <w:szCs w:val="22"/>
          <w:lang w:val="en-US"/>
        </w:rPr>
        <w:t>8.2%</w:t>
      </w:r>
      <w:r w:rsidRPr="000D0DA5">
        <w:rPr>
          <w:sz w:val="22"/>
          <w:szCs w:val="22"/>
          <w:lang w:val="en-US"/>
        </w:rPr>
        <w:t xml:space="preserve"> of transmission and distribution electricity losses</w:t>
      </w:r>
      <w:r w:rsidR="00D15719">
        <w:rPr>
          <w:sz w:val="22"/>
          <w:szCs w:val="22"/>
          <w:lang w:val="en-US"/>
        </w:rPr>
        <w:t>, as informed by EBS</w:t>
      </w:r>
      <w:r w:rsidRPr="000D0DA5">
        <w:rPr>
          <w:sz w:val="22"/>
          <w:szCs w:val="22"/>
          <w:lang w:val="en-US"/>
        </w:rPr>
        <w:t xml:space="preserve">. </w:t>
      </w:r>
      <w:r w:rsidR="000D0DA5" w:rsidRPr="000D0DA5">
        <w:rPr>
          <w:sz w:val="22"/>
          <w:szCs w:val="22"/>
          <w:lang w:val="en-US"/>
        </w:rPr>
        <w:t>Economic benefits were estimated with the expected reduction of interrupted energy associated to this project, valued at US$ 500/MWh</w:t>
      </w:r>
      <w:r w:rsidR="00E75177">
        <w:rPr>
          <w:rStyle w:val="FootnoteReference"/>
          <w:sz w:val="22"/>
          <w:szCs w:val="22"/>
          <w:lang w:val="en-US"/>
        </w:rPr>
        <w:footnoteReference w:id="1"/>
      </w:r>
      <w:r w:rsidR="000D0DA5" w:rsidRPr="000D0DA5">
        <w:rPr>
          <w:sz w:val="22"/>
          <w:szCs w:val="22"/>
          <w:lang w:val="en-US"/>
        </w:rPr>
        <w:t xml:space="preserve"> as indicative unitary economic cost of non served energy and considering a long run affectivity factor of 0.9.</w:t>
      </w:r>
    </w:p>
    <w:p w:rsidR="00C128EB" w:rsidRPr="00594C4D" w:rsidRDefault="00C128EB" w:rsidP="00594C4D">
      <w:pPr>
        <w:pStyle w:val="Heading1"/>
        <w:rPr>
          <w:rFonts w:ascii="Times New Roman" w:hAnsi="Times New Roman" w:cs="Times New Roman"/>
          <w:color w:val="000000"/>
          <w:sz w:val="22"/>
          <w:szCs w:val="22"/>
          <w:lang w:val="en-US"/>
        </w:rPr>
      </w:pPr>
      <w:bookmarkStart w:id="4" w:name="_Toc362245664"/>
      <w:r w:rsidRPr="00594C4D">
        <w:rPr>
          <w:rFonts w:ascii="Times New Roman" w:hAnsi="Times New Roman" w:cs="Times New Roman"/>
          <w:color w:val="000000"/>
          <w:sz w:val="22"/>
          <w:szCs w:val="22"/>
          <w:lang w:val="en-US"/>
        </w:rPr>
        <w:t>b.</w:t>
      </w:r>
      <w:r w:rsidRPr="00594C4D">
        <w:rPr>
          <w:rFonts w:ascii="Times New Roman" w:hAnsi="Times New Roman" w:cs="Times New Roman"/>
          <w:color w:val="000000"/>
          <w:sz w:val="22"/>
          <w:szCs w:val="22"/>
          <w:lang w:val="en-US"/>
        </w:rPr>
        <w:tab/>
        <w:t>Increases in transmission and distribution capacities</w:t>
      </w:r>
      <w:bookmarkEnd w:id="4"/>
    </w:p>
    <w:p w:rsidR="00C128EB" w:rsidRPr="00877976" w:rsidRDefault="00C128EB" w:rsidP="00892C14">
      <w:pPr>
        <w:pStyle w:val="NoSpacing"/>
        <w:jc w:val="both"/>
        <w:rPr>
          <w:rFonts w:ascii="Times New Roman" w:hAnsi="Times New Roman" w:cs="Times New Roman"/>
          <w:b/>
          <w:bCs/>
          <w:lang w:val="en-US"/>
        </w:rPr>
      </w:pPr>
    </w:p>
    <w:p w:rsidR="00C128EB" w:rsidRPr="00877976" w:rsidRDefault="00C128EB" w:rsidP="00892C14">
      <w:pPr>
        <w:pStyle w:val="NoSpacing"/>
        <w:jc w:val="both"/>
        <w:rPr>
          <w:rFonts w:ascii="Times New Roman" w:hAnsi="Times New Roman" w:cs="Times New Roman"/>
          <w:b/>
          <w:bCs/>
          <w:lang w:val="en-US"/>
        </w:rPr>
      </w:pPr>
    </w:p>
    <w:p w:rsidR="00C128EB" w:rsidRPr="00877976" w:rsidRDefault="00C128EB" w:rsidP="00892C14">
      <w:pPr>
        <w:pStyle w:val="NoSpacing"/>
        <w:jc w:val="both"/>
        <w:rPr>
          <w:rFonts w:ascii="Times New Roman" w:hAnsi="Times New Roman" w:cs="Times New Roman"/>
          <w:b/>
          <w:bCs/>
          <w:lang w:val="en-US"/>
        </w:rPr>
      </w:pPr>
      <w:r w:rsidRPr="00877976">
        <w:rPr>
          <w:rFonts w:ascii="Times New Roman" w:hAnsi="Times New Roman" w:cs="Times New Roman"/>
          <w:b/>
          <w:bCs/>
          <w:lang w:val="en-US"/>
        </w:rPr>
        <w:t>i.</w:t>
      </w:r>
      <w:r w:rsidRPr="00877976">
        <w:rPr>
          <w:rFonts w:ascii="Times New Roman" w:hAnsi="Times New Roman" w:cs="Times New Roman"/>
          <w:b/>
          <w:bCs/>
          <w:lang w:val="en-US"/>
        </w:rPr>
        <w:tab/>
        <w:t>Upgrade of substation C</w:t>
      </w:r>
    </w:p>
    <w:p w:rsidR="00C128EB" w:rsidRPr="00F3763D" w:rsidRDefault="00C128EB" w:rsidP="00892C14">
      <w:pPr>
        <w:pStyle w:val="NoSpacing"/>
        <w:jc w:val="both"/>
        <w:rPr>
          <w:rFonts w:ascii="Times New Roman" w:hAnsi="Times New Roman" w:cs="Times New Roman"/>
          <w:lang w:val="en-US"/>
        </w:rPr>
      </w:pPr>
    </w:p>
    <w:p w:rsidR="00C128EB" w:rsidRPr="00F3763D" w:rsidRDefault="00C128EB" w:rsidP="00892C14">
      <w:pPr>
        <w:pStyle w:val="NoSpacing"/>
        <w:jc w:val="both"/>
        <w:rPr>
          <w:rFonts w:ascii="Times New Roman" w:hAnsi="Times New Roman" w:cs="Times New Roman"/>
          <w:lang w:val="en-US"/>
        </w:rPr>
      </w:pPr>
    </w:p>
    <w:p w:rsidR="00B50209" w:rsidRDefault="00C128EB" w:rsidP="00D15719">
      <w:pPr>
        <w:jc w:val="both"/>
        <w:rPr>
          <w:rFonts w:ascii="Times New Roman" w:hAnsi="Times New Roman" w:cs="Times New Roman"/>
          <w:color w:val="000000"/>
          <w:lang w:val="en-US"/>
        </w:rPr>
      </w:pPr>
      <w:r w:rsidRPr="00F3763D">
        <w:rPr>
          <w:rFonts w:ascii="Times New Roman" w:hAnsi="Times New Roman" w:cs="Times New Roman"/>
          <w:color w:val="000000"/>
          <w:lang w:val="en-US"/>
        </w:rPr>
        <w:t xml:space="preserve">Substation C receives power from substations T and A2 (which in turn are connected to the power plants). Basically it play a role of transmission and distribution of power to final users supplied from substations Q and C, </w:t>
      </w:r>
      <w:r w:rsidR="00D15719">
        <w:rPr>
          <w:rFonts w:ascii="Times New Roman" w:hAnsi="Times New Roman" w:cs="Times New Roman"/>
          <w:color w:val="000000"/>
          <w:lang w:val="en-US"/>
        </w:rPr>
        <w:t>through existing distribution transformers totaling an existing capacity of 28 MVA in such substations that will be expanded to 50 MVA with the project</w:t>
      </w:r>
      <w:r w:rsidR="00D15719" w:rsidRPr="00F3763D">
        <w:rPr>
          <w:rFonts w:ascii="Times New Roman" w:hAnsi="Times New Roman" w:cs="Times New Roman"/>
          <w:color w:val="000000"/>
          <w:lang w:val="en-US"/>
        </w:rPr>
        <w:t>.</w:t>
      </w:r>
      <w:r w:rsidR="00D15719">
        <w:rPr>
          <w:rFonts w:ascii="Times New Roman" w:hAnsi="Times New Roman" w:cs="Times New Roman"/>
          <w:color w:val="000000"/>
          <w:lang w:val="en-US"/>
        </w:rPr>
        <w:t xml:space="preserve"> </w:t>
      </w:r>
    </w:p>
    <w:p w:rsidR="00D15719" w:rsidRDefault="00D15719" w:rsidP="00D15719">
      <w:pPr>
        <w:jc w:val="both"/>
        <w:rPr>
          <w:rFonts w:ascii="Times New Roman" w:hAnsi="Times New Roman" w:cs="Times New Roman"/>
          <w:color w:val="000000"/>
          <w:lang w:val="en-US"/>
        </w:rPr>
      </w:pPr>
      <w:r>
        <w:rPr>
          <w:rFonts w:ascii="Times New Roman" w:hAnsi="Times New Roman" w:cs="Times New Roman"/>
          <w:color w:val="000000"/>
          <w:lang w:val="en-US"/>
        </w:rPr>
        <w:lastRenderedPageBreak/>
        <w:t xml:space="preserve">Currently, a fault in the 33 kV switchgear of substation C will imply a short circuit current of 14 kA, higher than its </w:t>
      </w:r>
      <w:r w:rsidR="00B50209">
        <w:rPr>
          <w:rFonts w:ascii="Times New Roman" w:hAnsi="Times New Roman" w:cs="Times New Roman"/>
          <w:color w:val="000000"/>
          <w:lang w:val="en-US"/>
        </w:rPr>
        <w:t>Short Circuit R</w:t>
      </w:r>
      <w:r w:rsidR="00B50209" w:rsidRPr="00925B19">
        <w:rPr>
          <w:rFonts w:ascii="Times New Roman" w:hAnsi="Times New Roman" w:cs="Times New Roman"/>
          <w:color w:val="000000"/>
          <w:lang w:val="en-US"/>
        </w:rPr>
        <w:t>ating</w:t>
      </w:r>
      <w:r w:rsidR="00B50209">
        <w:rPr>
          <w:rFonts w:ascii="Times New Roman" w:hAnsi="Times New Roman" w:cs="Times New Roman"/>
          <w:color w:val="000000"/>
          <w:lang w:val="en-US"/>
        </w:rPr>
        <w:t xml:space="preserve"> (</w:t>
      </w:r>
      <w:r>
        <w:rPr>
          <w:rFonts w:ascii="Times New Roman" w:hAnsi="Times New Roman" w:cs="Times New Roman"/>
          <w:color w:val="000000"/>
          <w:lang w:val="en-US"/>
        </w:rPr>
        <w:t>SRC</w:t>
      </w:r>
      <w:r w:rsidR="00B50209">
        <w:rPr>
          <w:rFonts w:ascii="Times New Roman" w:hAnsi="Times New Roman" w:cs="Times New Roman"/>
          <w:color w:val="000000"/>
          <w:lang w:val="en-US"/>
        </w:rPr>
        <w:t>)</w:t>
      </w:r>
      <w:r>
        <w:rPr>
          <w:rFonts w:ascii="Times New Roman" w:hAnsi="Times New Roman" w:cs="Times New Roman"/>
          <w:color w:val="000000"/>
          <w:lang w:val="en-US"/>
        </w:rPr>
        <w:t xml:space="preserve"> of 8.7 kA, implying out of regulations and non safe operations. To evaluate the upgrade of substation C</w:t>
      </w:r>
      <w:r w:rsidRPr="00F3763D">
        <w:rPr>
          <w:rFonts w:ascii="Times New Roman" w:hAnsi="Times New Roman" w:cs="Times New Roman"/>
          <w:color w:val="000000"/>
          <w:lang w:val="en-US"/>
        </w:rPr>
        <w:t xml:space="preserve"> it was estimated, through short circuit analysis, the transmission</w:t>
      </w:r>
      <w:r>
        <w:rPr>
          <w:rFonts w:ascii="Times New Roman" w:hAnsi="Times New Roman" w:cs="Times New Roman"/>
          <w:color w:val="000000"/>
          <w:lang w:val="en-US"/>
        </w:rPr>
        <w:t xml:space="preserve"> and distribution</w:t>
      </w:r>
      <w:r w:rsidRPr="00F3763D">
        <w:rPr>
          <w:rFonts w:ascii="Times New Roman" w:hAnsi="Times New Roman" w:cs="Times New Roman"/>
          <w:color w:val="000000"/>
          <w:lang w:val="en-US"/>
        </w:rPr>
        <w:t xml:space="preserve"> capacity</w:t>
      </w:r>
      <w:r>
        <w:rPr>
          <w:rFonts w:ascii="Times New Roman" w:hAnsi="Times New Roman" w:cs="Times New Roman"/>
          <w:color w:val="000000"/>
          <w:lang w:val="en-US"/>
        </w:rPr>
        <w:t xml:space="preserve"> in substations C and Q</w:t>
      </w:r>
      <w:r w:rsidRPr="00F3763D">
        <w:rPr>
          <w:rFonts w:ascii="Times New Roman" w:hAnsi="Times New Roman" w:cs="Times New Roman"/>
          <w:color w:val="000000"/>
          <w:lang w:val="en-US"/>
        </w:rPr>
        <w:t xml:space="preserve"> that will not violate the SCR of substation C</w:t>
      </w:r>
      <w:r>
        <w:rPr>
          <w:rFonts w:ascii="Times New Roman" w:hAnsi="Times New Roman" w:cs="Times New Roman"/>
          <w:color w:val="000000"/>
          <w:lang w:val="en-US"/>
        </w:rPr>
        <w:t>. The results obtained in the analysis done by EBS indicated that with t</w:t>
      </w:r>
      <w:r w:rsidRPr="00F3763D">
        <w:rPr>
          <w:rFonts w:ascii="Times New Roman" w:hAnsi="Times New Roman" w:cs="Times New Roman"/>
          <w:color w:val="000000"/>
          <w:lang w:val="en-US"/>
        </w:rPr>
        <w:t xml:space="preserve">he upgrade of this substation </w:t>
      </w:r>
      <w:r>
        <w:rPr>
          <w:rFonts w:ascii="Times New Roman" w:hAnsi="Times New Roman" w:cs="Times New Roman"/>
          <w:color w:val="000000"/>
          <w:lang w:val="en-US"/>
        </w:rPr>
        <w:t>the</w:t>
      </w:r>
      <w:r w:rsidRPr="00F3763D">
        <w:rPr>
          <w:rFonts w:ascii="Times New Roman" w:hAnsi="Times New Roman" w:cs="Times New Roman"/>
          <w:color w:val="000000"/>
          <w:lang w:val="en-US"/>
        </w:rPr>
        <w:t xml:space="preserve"> SCR</w:t>
      </w:r>
      <w:r>
        <w:rPr>
          <w:rFonts w:ascii="Times New Roman" w:hAnsi="Times New Roman" w:cs="Times New Roman"/>
          <w:color w:val="000000"/>
          <w:lang w:val="en-US"/>
        </w:rPr>
        <w:t xml:space="preserve"> of substation C </w:t>
      </w:r>
      <w:r w:rsidRPr="00F3763D">
        <w:rPr>
          <w:rFonts w:ascii="Times New Roman" w:hAnsi="Times New Roman" w:cs="Times New Roman"/>
          <w:color w:val="000000"/>
          <w:lang w:val="en-US"/>
        </w:rPr>
        <w:t>at 33 kV level</w:t>
      </w:r>
      <w:r>
        <w:rPr>
          <w:rFonts w:ascii="Times New Roman" w:hAnsi="Times New Roman" w:cs="Times New Roman"/>
          <w:color w:val="000000"/>
          <w:lang w:val="en-US"/>
        </w:rPr>
        <w:t xml:space="preserve"> will be increased from 8.7 kA to 25 kA permitting the increase of safe power distribution through substations C and Q from the existing 28 MVA distribution capacity to the future 50 MVA capacity, as presented in the following two schemes.</w:t>
      </w:r>
    </w:p>
    <w:p w:rsidR="00D15719" w:rsidRDefault="00D15719" w:rsidP="00D15719">
      <w:pPr>
        <w:jc w:val="center"/>
      </w:pPr>
      <w:r w:rsidRPr="0029390C">
        <w:rPr>
          <w:noProof/>
          <w:lang w:val="en-US"/>
        </w:rPr>
        <w:drawing>
          <wp:inline distT="0" distB="0" distL="0" distR="0" wp14:anchorId="66A14CE0" wp14:editId="550F147A">
            <wp:extent cx="5577747" cy="1990725"/>
            <wp:effectExtent l="0" t="0" r="0" b="0"/>
            <wp:docPr id="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5585886" cy="1993630"/>
                    </a:xfrm>
                    <a:prstGeom prst="rect">
                      <a:avLst/>
                    </a:prstGeom>
                    <a:noFill/>
                    <a:ln w="9525">
                      <a:noFill/>
                      <a:miter lim="800000"/>
                      <a:headEnd/>
                      <a:tailEnd/>
                    </a:ln>
                  </pic:spPr>
                </pic:pic>
              </a:graphicData>
            </a:graphic>
          </wp:inline>
        </w:drawing>
      </w:r>
    </w:p>
    <w:p w:rsidR="00D15719" w:rsidRDefault="00D15719" w:rsidP="00D15719">
      <w:pPr>
        <w:jc w:val="center"/>
      </w:pPr>
      <w:r w:rsidRPr="0029390C">
        <w:rPr>
          <w:noProof/>
          <w:lang w:val="en-US"/>
        </w:rPr>
        <w:drawing>
          <wp:inline distT="0" distB="0" distL="0" distR="0" wp14:anchorId="3E9163C3" wp14:editId="6AAD08B4">
            <wp:extent cx="5470996" cy="1952625"/>
            <wp:effectExtent l="0" t="0" r="0" b="0"/>
            <wp:docPr id="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5472982" cy="1953334"/>
                    </a:xfrm>
                    <a:prstGeom prst="rect">
                      <a:avLst/>
                    </a:prstGeom>
                    <a:noFill/>
                    <a:ln w="9525">
                      <a:noFill/>
                      <a:miter lim="800000"/>
                      <a:headEnd/>
                      <a:tailEnd/>
                    </a:ln>
                  </pic:spPr>
                </pic:pic>
              </a:graphicData>
            </a:graphic>
          </wp:inline>
        </w:drawing>
      </w:r>
    </w:p>
    <w:p w:rsidR="00C128EB" w:rsidRPr="00F3763D" w:rsidRDefault="00B50209" w:rsidP="00D6143D">
      <w:pPr>
        <w:autoSpaceDE w:val="0"/>
        <w:autoSpaceDN w:val="0"/>
        <w:adjustRightInd w:val="0"/>
        <w:spacing w:after="0" w:line="240" w:lineRule="auto"/>
        <w:jc w:val="both"/>
        <w:rPr>
          <w:rFonts w:ascii="Times New Roman" w:hAnsi="Times New Roman" w:cs="Times New Roman"/>
          <w:color w:val="000000"/>
          <w:lang w:val="en-US"/>
        </w:rPr>
      </w:pPr>
      <w:r w:rsidRPr="00F3763D">
        <w:rPr>
          <w:rFonts w:ascii="Times New Roman" w:hAnsi="Times New Roman" w:cs="Times New Roman"/>
          <w:color w:val="000000"/>
          <w:lang w:val="en-US"/>
        </w:rPr>
        <w:t>To evaluate this Project it was estimated</w:t>
      </w:r>
      <w:r>
        <w:rPr>
          <w:rFonts w:ascii="Times New Roman" w:hAnsi="Times New Roman" w:cs="Times New Roman"/>
          <w:color w:val="000000"/>
          <w:lang w:val="en-US"/>
        </w:rPr>
        <w:t xml:space="preserve"> that </w:t>
      </w:r>
      <w:r w:rsidR="004E4427">
        <w:rPr>
          <w:rFonts w:ascii="Times New Roman" w:hAnsi="Times New Roman" w:cs="Times New Roman"/>
          <w:color w:val="000000"/>
          <w:lang w:val="en-US"/>
        </w:rPr>
        <w:t>its</w:t>
      </w:r>
      <w:r>
        <w:rPr>
          <w:rFonts w:ascii="Times New Roman" w:hAnsi="Times New Roman" w:cs="Times New Roman"/>
          <w:color w:val="000000"/>
          <w:lang w:val="en-US"/>
        </w:rPr>
        <w:t xml:space="preserve"> operative capacity under</w:t>
      </w:r>
      <w:r w:rsidRPr="00F3763D">
        <w:rPr>
          <w:rFonts w:ascii="Times New Roman" w:hAnsi="Times New Roman" w:cs="Times New Roman"/>
          <w:color w:val="000000"/>
          <w:lang w:val="en-US"/>
        </w:rPr>
        <w:t xml:space="preserve"> the situation “without” its upgrade is 28 MW and "with" its upgrade 50 MW. This analysis considered the additional 33/12.6 kV distribution capacity to be installed in this substation. </w:t>
      </w:r>
      <w:r w:rsidR="00C128EB">
        <w:rPr>
          <w:rFonts w:ascii="Times New Roman" w:hAnsi="Times New Roman" w:cs="Times New Roman"/>
          <w:color w:val="000000"/>
          <w:lang w:val="en-US"/>
        </w:rPr>
        <w:t>ANNEX 3</w:t>
      </w:r>
      <w:r w:rsidR="00C128EB" w:rsidRPr="00F3763D">
        <w:rPr>
          <w:rFonts w:ascii="Times New Roman" w:hAnsi="Times New Roman" w:cs="Times New Roman"/>
          <w:color w:val="000000"/>
          <w:lang w:val="en-US"/>
        </w:rPr>
        <w:t xml:space="preserve"> contains the results of the technical analysis done by EBS and the basic information used in the evaluation</w:t>
      </w:r>
      <w:r w:rsidR="00C128EB">
        <w:rPr>
          <w:rFonts w:ascii="Times New Roman" w:hAnsi="Times New Roman" w:cs="Times New Roman"/>
          <w:color w:val="000000"/>
          <w:lang w:val="en-US"/>
        </w:rPr>
        <w:t xml:space="preserve"> of this project</w:t>
      </w:r>
      <w:r w:rsidR="00C128EB" w:rsidRPr="00F3763D">
        <w:rPr>
          <w:rFonts w:ascii="Times New Roman" w:hAnsi="Times New Roman" w:cs="Times New Roman"/>
          <w:color w:val="000000"/>
          <w:lang w:val="en-US"/>
        </w:rPr>
        <w:t xml:space="preserve">: i) Maximum transfer and distribution of power in substations C (and Q) “with” and “without” the upgrade project (related to permitted SCR under these two situations), ii) Peak demand statistics in substations Q and C, iii) Characterization of the electricity demand supplied from substations Q and C (% residential, % industrial, % commercial and % others and average tariffs for each sector), iv) Characterization of electricity distribution losses in substations C and Q (% of technical losses and % of non technical losses), v) Investment costs related to the upgrade of substation C, and vi) Annual Operation and Maintenance costs (men-hours per year) of substation C “with” and “without” the upgrade </w:t>
      </w:r>
    </w:p>
    <w:p w:rsidR="00C128EB" w:rsidRPr="00F3763D" w:rsidRDefault="00C128EB" w:rsidP="00D6143D">
      <w:pPr>
        <w:autoSpaceDE w:val="0"/>
        <w:autoSpaceDN w:val="0"/>
        <w:adjustRightInd w:val="0"/>
        <w:spacing w:after="0" w:line="240" w:lineRule="auto"/>
        <w:jc w:val="both"/>
        <w:rPr>
          <w:rFonts w:ascii="Times New Roman" w:hAnsi="Times New Roman" w:cs="Times New Roman"/>
          <w:color w:val="000000"/>
          <w:lang w:val="en-US"/>
        </w:rPr>
      </w:pPr>
    </w:p>
    <w:p w:rsidR="00C128EB" w:rsidRPr="00F3763D" w:rsidRDefault="00C128EB" w:rsidP="00D6143D">
      <w:pPr>
        <w:pStyle w:val="NoSpacing"/>
        <w:jc w:val="both"/>
        <w:rPr>
          <w:rFonts w:ascii="Times New Roman" w:hAnsi="Times New Roman" w:cs="Times New Roman"/>
          <w:lang w:val="en-US"/>
        </w:rPr>
      </w:pPr>
    </w:p>
    <w:p w:rsidR="00C128EB" w:rsidRPr="00877976" w:rsidRDefault="00C128EB" w:rsidP="00D6143D">
      <w:pPr>
        <w:pStyle w:val="NoSpacing"/>
        <w:jc w:val="both"/>
        <w:rPr>
          <w:rFonts w:ascii="Times New Roman" w:hAnsi="Times New Roman" w:cs="Times New Roman"/>
          <w:b/>
          <w:bCs/>
          <w:lang w:val="en-US"/>
        </w:rPr>
      </w:pPr>
      <w:r w:rsidRPr="00877976">
        <w:rPr>
          <w:rFonts w:ascii="Times New Roman" w:hAnsi="Times New Roman" w:cs="Times New Roman"/>
          <w:b/>
          <w:bCs/>
          <w:lang w:val="en-US"/>
        </w:rPr>
        <w:t>ii.</w:t>
      </w:r>
      <w:r w:rsidRPr="00877976">
        <w:rPr>
          <w:rFonts w:ascii="Times New Roman" w:hAnsi="Times New Roman" w:cs="Times New Roman"/>
          <w:b/>
          <w:bCs/>
          <w:lang w:val="en-US"/>
        </w:rPr>
        <w:tab/>
        <w:t>Upgrade of substation D</w:t>
      </w:r>
    </w:p>
    <w:p w:rsidR="00C128EB" w:rsidRPr="00F3763D" w:rsidRDefault="00C128EB" w:rsidP="00D6143D">
      <w:pPr>
        <w:autoSpaceDE w:val="0"/>
        <w:autoSpaceDN w:val="0"/>
        <w:adjustRightInd w:val="0"/>
        <w:spacing w:after="0" w:line="240" w:lineRule="auto"/>
        <w:jc w:val="both"/>
        <w:rPr>
          <w:rFonts w:ascii="Times New Roman" w:hAnsi="Times New Roman" w:cs="Times New Roman"/>
          <w:color w:val="000000"/>
          <w:lang w:val="en-US"/>
        </w:rPr>
      </w:pPr>
    </w:p>
    <w:p w:rsidR="00C128EB" w:rsidRPr="00F3763D" w:rsidRDefault="00C128EB" w:rsidP="00D6143D">
      <w:pPr>
        <w:autoSpaceDE w:val="0"/>
        <w:autoSpaceDN w:val="0"/>
        <w:adjustRightInd w:val="0"/>
        <w:spacing w:after="0" w:line="240" w:lineRule="auto"/>
        <w:jc w:val="both"/>
        <w:rPr>
          <w:rFonts w:ascii="Times New Roman" w:hAnsi="Times New Roman" w:cs="Times New Roman"/>
          <w:color w:val="000000"/>
          <w:lang w:val="en-US"/>
        </w:rPr>
      </w:pPr>
    </w:p>
    <w:p w:rsidR="00B50209" w:rsidRDefault="00B50209" w:rsidP="00B50209">
      <w:pPr>
        <w:jc w:val="both"/>
        <w:rPr>
          <w:rFonts w:ascii="Times New Roman" w:hAnsi="Times New Roman" w:cs="Times New Roman"/>
          <w:color w:val="000000"/>
          <w:lang w:val="en-US"/>
        </w:rPr>
      </w:pPr>
      <w:r w:rsidRPr="00102F0C">
        <w:rPr>
          <w:rFonts w:ascii="Times New Roman" w:hAnsi="Times New Roman" w:cs="Times New Roman"/>
          <w:color w:val="000000"/>
          <w:lang w:val="en-US"/>
        </w:rPr>
        <w:t>S</w:t>
      </w:r>
      <w:r w:rsidRPr="00F3763D">
        <w:rPr>
          <w:rFonts w:ascii="Times New Roman" w:hAnsi="Times New Roman" w:cs="Times New Roman"/>
          <w:color w:val="000000"/>
          <w:lang w:val="en-US"/>
        </w:rPr>
        <w:t>ubstation</w:t>
      </w:r>
      <w:r>
        <w:rPr>
          <w:rFonts w:ascii="Times New Roman" w:hAnsi="Times New Roman" w:cs="Times New Roman"/>
          <w:color w:val="000000"/>
          <w:lang w:val="en-US"/>
        </w:rPr>
        <w:t xml:space="preserve"> D</w:t>
      </w:r>
      <w:r w:rsidRPr="00F3763D">
        <w:rPr>
          <w:rFonts w:ascii="Times New Roman" w:hAnsi="Times New Roman" w:cs="Times New Roman"/>
          <w:color w:val="000000"/>
          <w:lang w:val="en-US"/>
        </w:rPr>
        <w:t xml:space="preserve"> receives power from substations R and J (which in turn are connected to the power plants). Basically it play</w:t>
      </w:r>
      <w:r>
        <w:rPr>
          <w:rFonts w:ascii="Times New Roman" w:hAnsi="Times New Roman" w:cs="Times New Roman"/>
          <w:color w:val="000000"/>
          <w:lang w:val="en-US"/>
        </w:rPr>
        <w:t>s</w:t>
      </w:r>
      <w:r w:rsidRPr="00F3763D">
        <w:rPr>
          <w:rFonts w:ascii="Times New Roman" w:hAnsi="Times New Roman" w:cs="Times New Roman"/>
          <w:color w:val="000000"/>
          <w:lang w:val="en-US"/>
        </w:rPr>
        <w:t xml:space="preserve"> a role of transmission and distribution of power to final users supplied from substations O, N, E and D</w:t>
      </w:r>
      <w:r>
        <w:rPr>
          <w:rFonts w:ascii="Times New Roman" w:hAnsi="Times New Roman" w:cs="Times New Roman"/>
          <w:color w:val="000000"/>
          <w:lang w:val="en-US"/>
        </w:rPr>
        <w:t xml:space="preserve"> through distribution transformers totaling an existing capacity of 74 MVA in such substations</w:t>
      </w:r>
      <w:r w:rsidRPr="00F3763D">
        <w:rPr>
          <w:rFonts w:ascii="Times New Roman" w:hAnsi="Times New Roman" w:cs="Times New Roman"/>
          <w:color w:val="000000"/>
          <w:lang w:val="en-US"/>
        </w:rPr>
        <w:t>.</w:t>
      </w:r>
      <w:r>
        <w:rPr>
          <w:rFonts w:ascii="Times New Roman" w:hAnsi="Times New Roman" w:cs="Times New Roman"/>
          <w:color w:val="000000"/>
          <w:lang w:val="en-US"/>
        </w:rPr>
        <w:t xml:space="preserve"> Operating those substations at that capacity, a fault in the 33 kV switchgear of substation D will imply a short circuit current of 14 kV, higher than its SRC of 8.7 kV, implying out of regulations and non safe operations. According EBS analysis, to maintain safe operations power distributed in those substations should be limited to 40 MVA. </w:t>
      </w:r>
    </w:p>
    <w:p w:rsidR="00B50209" w:rsidRDefault="00B50209" w:rsidP="00B50209">
      <w:pPr>
        <w:jc w:val="both"/>
        <w:rPr>
          <w:rFonts w:ascii="Times New Roman" w:hAnsi="Times New Roman" w:cs="Times New Roman"/>
          <w:color w:val="000000"/>
          <w:lang w:val="en-US"/>
        </w:rPr>
      </w:pPr>
      <w:r>
        <w:rPr>
          <w:rFonts w:ascii="Times New Roman" w:hAnsi="Times New Roman" w:cs="Times New Roman"/>
          <w:color w:val="000000"/>
          <w:lang w:val="en-US"/>
        </w:rPr>
        <w:t>With t</w:t>
      </w:r>
      <w:r w:rsidRPr="00F3763D">
        <w:rPr>
          <w:rFonts w:ascii="Times New Roman" w:hAnsi="Times New Roman" w:cs="Times New Roman"/>
          <w:color w:val="000000"/>
          <w:lang w:val="en-US"/>
        </w:rPr>
        <w:t xml:space="preserve">he upgrade of this substation </w:t>
      </w:r>
      <w:r>
        <w:rPr>
          <w:rFonts w:ascii="Times New Roman" w:hAnsi="Times New Roman" w:cs="Times New Roman"/>
          <w:color w:val="000000"/>
          <w:lang w:val="en-US"/>
        </w:rPr>
        <w:t>the</w:t>
      </w:r>
      <w:r w:rsidRPr="00F3763D">
        <w:rPr>
          <w:rFonts w:ascii="Times New Roman" w:hAnsi="Times New Roman" w:cs="Times New Roman"/>
          <w:color w:val="000000"/>
          <w:lang w:val="en-US"/>
        </w:rPr>
        <w:t xml:space="preserve"> </w:t>
      </w:r>
      <w:r w:rsidRPr="00925B19">
        <w:rPr>
          <w:rFonts w:ascii="Times New Roman" w:hAnsi="Times New Roman" w:cs="Times New Roman"/>
          <w:color w:val="000000"/>
          <w:lang w:val="en-US"/>
        </w:rPr>
        <w:t>short circuit rating</w:t>
      </w:r>
      <w:r w:rsidRPr="00F3763D">
        <w:rPr>
          <w:rFonts w:ascii="Times New Roman" w:hAnsi="Times New Roman" w:cs="Times New Roman"/>
          <w:color w:val="000000"/>
          <w:lang w:val="en-US"/>
        </w:rPr>
        <w:t xml:space="preserve"> </w:t>
      </w:r>
      <w:r>
        <w:rPr>
          <w:rFonts w:ascii="Times New Roman" w:hAnsi="Times New Roman" w:cs="Times New Roman"/>
          <w:color w:val="000000"/>
          <w:lang w:val="en-US"/>
        </w:rPr>
        <w:t>(</w:t>
      </w:r>
      <w:r w:rsidRPr="00F3763D">
        <w:rPr>
          <w:rFonts w:ascii="Times New Roman" w:hAnsi="Times New Roman" w:cs="Times New Roman"/>
          <w:color w:val="000000"/>
          <w:lang w:val="en-US"/>
        </w:rPr>
        <w:t>SCR</w:t>
      </w:r>
      <w:r>
        <w:rPr>
          <w:rFonts w:ascii="Times New Roman" w:hAnsi="Times New Roman" w:cs="Times New Roman"/>
          <w:color w:val="000000"/>
          <w:lang w:val="en-US"/>
        </w:rPr>
        <w:t xml:space="preserve">) of substation C </w:t>
      </w:r>
      <w:r w:rsidRPr="00F3763D">
        <w:rPr>
          <w:rFonts w:ascii="Times New Roman" w:hAnsi="Times New Roman" w:cs="Times New Roman"/>
          <w:color w:val="000000"/>
          <w:lang w:val="en-US"/>
        </w:rPr>
        <w:t>at 33 kV level</w:t>
      </w:r>
      <w:r>
        <w:rPr>
          <w:rFonts w:ascii="Times New Roman" w:hAnsi="Times New Roman" w:cs="Times New Roman"/>
          <w:color w:val="000000"/>
          <w:lang w:val="en-US"/>
        </w:rPr>
        <w:t xml:space="preserve"> will be increased from 8.7 kA to 25 kA permitting the increase of safe transmitted and distributed power in substations D, N, E and Q up to the existing installed capacity of 74 MVA, as presented in the following two schemes.</w:t>
      </w:r>
    </w:p>
    <w:p w:rsidR="00B50209" w:rsidRDefault="00B50209" w:rsidP="00B50209">
      <w:pPr>
        <w:jc w:val="center"/>
        <w:rPr>
          <w:rFonts w:ascii="Times New Roman" w:hAnsi="Times New Roman" w:cs="Times New Roman"/>
          <w:color w:val="000000"/>
          <w:lang w:val="en-US"/>
        </w:rPr>
      </w:pPr>
      <w:r w:rsidRPr="008D49CA">
        <w:rPr>
          <w:noProof/>
          <w:lang w:val="en-US"/>
        </w:rPr>
        <w:drawing>
          <wp:inline distT="0" distB="0" distL="0" distR="0" wp14:anchorId="0B33CB91" wp14:editId="5D153BE9">
            <wp:extent cx="5358836" cy="2209800"/>
            <wp:effectExtent l="19050" t="0" r="0" b="0"/>
            <wp:docPr id="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5361982" cy="2211097"/>
                    </a:xfrm>
                    <a:prstGeom prst="rect">
                      <a:avLst/>
                    </a:prstGeom>
                    <a:noFill/>
                    <a:ln w="9525">
                      <a:noFill/>
                      <a:miter lim="800000"/>
                      <a:headEnd/>
                      <a:tailEnd/>
                    </a:ln>
                  </pic:spPr>
                </pic:pic>
              </a:graphicData>
            </a:graphic>
          </wp:inline>
        </w:drawing>
      </w:r>
    </w:p>
    <w:p w:rsidR="00B50209" w:rsidRPr="008D49CA" w:rsidRDefault="00B50209" w:rsidP="00B50209">
      <w:pPr>
        <w:jc w:val="center"/>
      </w:pPr>
      <w:r w:rsidRPr="008D49CA">
        <w:rPr>
          <w:noProof/>
          <w:lang w:val="en-US"/>
        </w:rPr>
        <w:drawing>
          <wp:inline distT="0" distB="0" distL="0" distR="0" wp14:anchorId="12A8495E" wp14:editId="5D1347F4">
            <wp:extent cx="5575440" cy="2181225"/>
            <wp:effectExtent l="19050" t="0" r="0" b="0"/>
            <wp:docPr id="10"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srcRect/>
                    <a:stretch>
                      <a:fillRect/>
                    </a:stretch>
                  </pic:blipFill>
                  <pic:spPr bwMode="auto">
                    <a:xfrm>
                      <a:off x="0" y="0"/>
                      <a:ext cx="5577260" cy="2181937"/>
                    </a:xfrm>
                    <a:prstGeom prst="rect">
                      <a:avLst/>
                    </a:prstGeom>
                    <a:noFill/>
                    <a:ln w="9525">
                      <a:noFill/>
                      <a:miter lim="800000"/>
                      <a:headEnd/>
                      <a:tailEnd/>
                    </a:ln>
                  </pic:spPr>
                </pic:pic>
              </a:graphicData>
            </a:graphic>
          </wp:inline>
        </w:drawing>
      </w:r>
    </w:p>
    <w:p w:rsidR="00C128EB" w:rsidRPr="00F3763D" w:rsidRDefault="00C128EB" w:rsidP="00D6143D">
      <w:pPr>
        <w:autoSpaceDE w:val="0"/>
        <w:autoSpaceDN w:val="0"/>
        <w:adjustRightInd w:val="0"/>
        <w:spacing w:after="0" w:line="240" w:lineRule="auto"/>
        <w:jc w:val="both"/>
        <w:rPr>
          <w:rFonts w:ascii="Times New Roman" w:hAnsi="Times New Roman" w:cs="Times New Roman"/>
          <w:color w:val="000000"/>
          <w:lang w:val="en-US"/>
        </w:rPr>
      </w:pPr>
      <w:r w:rsidRPr="00F3763D">
        <w:rPr>
          <w:rFonts w:ascii="Times New Roman" w:hAnsi="Times New Roman" w:cs="Times New Roman"/>
          <w:color w:val="000000"/>
          <w:lang w:val="en-US"/>
        </w:rPr>
        <w:lastRenderedPageBreak/>
        <w:t>To evaluate this Project it was estimated</w:t>
      </w:r>
      <w:r w:rsidR="00B50209">
        <w:rPr>
          <w:rFonts w:ascii="Times New Roman" w:hAnsi="Times New Roman" w:cs="Times New Roman"/>
          <w:color w:val="000000"/>
          <w:lang w:val="en-US"/>
        </w:rPr>
        <w:t xml:space="preserve"> that its operative capacity under</w:t>
      </w:r>
      <w:r w:rsidRPr="00F3763D">
        <w:rPr>
          <w:rFonts w:ascii="Times New Roman" w:hAnsi="Times New Roman" w:cs="Times New Roman"/>
          <w:color w:val="000000"/>
          <w:lang w:val="en-US"/>
        </w:rPr>
        <w:t xml:space="preserve"> the situation “without” its </w:t>
      </w:r>
      <w:r w:rsidR="004E4427" w:rsidRPr="00F3763D">
        <w:rPr>
          <w:rFonts w:ascii="Times New Roman" w:hAnsi="Times New Roman" w:cs="Times New Roman"/>
          <w:color w:val="000000"/>
          <w:lang w:val="en-US"/>
        </w:rPr>
        <w:t>upgrade</w:t>
      </w:r>
      <w:r w:rsidR="004E4427">
        <w:rPr>
          <w:rFonts w:ascii="Times New Roman" w:hAnsi="Times New Roman" w:cs="Times New Roman"/>
          <w:color w:val="000000"/>
          <w:lang w:val="en-US"/>
        </w:rPr>
        <w:t xml:space="preserve"> </w:t>
      </w:r>
      <w:r w:rsidR="004E4427" w:rsidRPr="00F3763D">
        <w:rPr>
          <w:rFonts w:ascii="Times New Roman" w:hAnsi="Times New Roman" w:cs="Times New Roman"/>
          <w:color w:val="000000"/>
          <w:lang w:val="en-US"/>
        </w:rPr>
        <w:t>is</w:t>
      </w:r>
      <w:r w:rsidRPr="00F3763D">
        <w:rPr>
          <w:rFonts w:ascii="Times New Roman" w:hAnsi="Times New Roman" w:cs="Times New Roman"/>
          <w:color w:val="000000"/>
          <w:lang w:val="en-US"/>
        </w:rPr>
        <w:t xml:space="preserve"> 40 MW and "with" its upgrade 75 MW</w:t>
      </w:r>
      <w:r w:rsidR="00B50209">
        <w:rPr>
          <w:rFonts w:ascii="Times New Roman" w:hAnsi="Times New Roman" w:cs="Times New Roman"/>
          <w:color w:val="000000"/>
          <w:lang w:val="en-US"/>
        </w:rPr>
        <w:t xml:space="preserve">. </w:t>
      </w:r>
      <w:r>
        <w:rPr>
          <w:rFonts w:ascii="Times New Roman" w:hAnsi="Times New Roman" w:cs="Times New Roman"/>
          <w:color w:val="000000"/>
          <w:lang w:val="en-US"/>
        </w:rPr>
        <w:t>ANNEX 4</w:t>
      </w:r>
      <w:r w:rsidR="00D62DCA">
        <w:rPr>
          <w:rFonts w:ascii="Times New Roman" w:hAnsi="Times New Roman" w:cs="Times New Roman"/>
          <w:color w:val="000000"/>
          <w:lang w:val="en-US"/>
        </w:rPr>
        <w:t xml:space="preserve"> </w:t>
      </w:r>
      <w:r w:rsidRPr="00F3763D">
        <w:rPr>
          <w:rFonts w:ascii="Times New Roman" w:hAnsi="Times New Roman" w:cs="Times New Roman"/>
          <w:color w:val="000000"/>
          <w:lang w:val="en-US"/>
        </w:rPr>
        <w:t>contains the results of the technical analysis done by EBS and the basic information used in the evaluation</w:t>
      </w:r>
      <w:r>
        <w:rPr>
          <w:rFonts w:ascii="Times New Roman" w:hAnsi="Times New Roman" w:cs="Times New Roman"/>
          <w:color w:val="000000"/>
          <w:lang w:val="en-US"/>
        </w:rPr>
        <w:t xml:space="preserve"> of this project</w:t>
      </w:r>
      <w:r w:rsidRPr="00F3763D">
        <w:rPr>
          <w:rFonts w:ascii="Times New Roman" w:hAnsi="Times New Roman" w:cs="Times New Roman"/>
          <w:color w:val="000000"/>
          <w:lang w:val="en-US"/>
        </w:rPr>
        <w:t>: i) Maximum transfer and distribution of power in substations D, O, N and E “with” and “without” the upgrade project (related to permitted SCR under these two situations), ii) Peak demand statistics in substations D, O, N and E, iii) Characterization of the electricity demand supplied from substations D, O, N and E (% residential, % industrial, % commercial and % others and average tariffs for each sector), iv) Characterization of electricity distribution losses in substations D, O, N, E and D (% of technical losses and % of non technical losses), v) Investment costs related to the upgrade of substation D, and vi) Annual Operation and Maintenance costs (men-hours per year) of substations D “with” and “without” the upgrade</w:t>
      </w:r>
    </w:p>
    <w:p w:rsidR="00C128EB" w:rsidRPr="00594C4D" w:rsidRDefault="00207AB4" w:rsidP="00594C4D">
      <w:pPr>
        <w:pStyle w:val="Heading1"/>
        <w:rPr>
          <w:rFonts w:ascii="Times New Roman" w:hAnsi="Times New Roman" w:cs="Times New Roman"/>
          <w:color w:val="000000"/>
          <w:sz w:val="22"/>
          <w:szCs w:val="22"/>
          <w:lang w:val="en-US"/>
        </w:rPr>
      </w:pPr>
      <w:bookmarkStart w:id="5" w:name="_Toc362245665"/>
      <w:r>
        <w:rPr>
          <w:rFonts w:ascii="Times New Roman" w:hAnsi="Times New Roman" w:cs="Times New Roman"/>
          <w:color w:val="000000"/>
          <w:sz w:val="22"/>
          <w:szCs w:val="22"/>
          <w:lang w:val="en-US"/>
        </w:rPr>
        <w:t>c</w:t>
      </w:r>
      <w:r w:rsidR="00C128EB" w:rsidRPr="00594C4D">
        <w:rPr>
          <w:rFonts w:ascii="Times New Roman" w:hAnsi="Times New Roman" w:cs="Times New Roman"/>
          <w:color w:val="000000"/>
          <w:sz w:val="22"/>
          <w:szCs w:val="22"/>
          <w:lang w:val="en-US"/>
        </w:rPr>
        <w:t>.</w:t>
      </w:r>
      <w:r w:rsidR="00C128EB" w:rsidRPr="00594C4D">
        <w:rPr>
          <w:rFonts w:ascii="Times New Roman" w:hAnsi="Times New Roman" w:cs="Times New Roman"/>
          <w:color w:val="000000"/>
          <w:sz w:val="22"/>
          <w:szCs w:val="22"/>
          <w:lang w:val="en-US"/>
        </w:rPr>
        <w:tab/>
        <w:t xml:space="preserve">Economic benefits associated to electricity </w:t>
      </w:r>
      <w:r>
        <w:rPr>
          <w:rFonts w:ascii="Times New Roman" w:hAnsi="Times New Roman" w:cs="Times New Roman"/>
          <w:color w:val="000000"/>
          <w:sz w:val="22"/>
          <w:szCs w:val="22"/>
          <w:lang w:val="en-US"/>
        </w:rPr>
        <w:t xml:space="preserve">additional </w:t>
      </w:r>
      <w:r w:rsidR="00C128EB" w:rsidRPr="00594C4D">
        <w:rPr>
          <w:rFonts w:ascii="Times New Roman" w:hAnsi="Times New Roman" w:cs="Times New Roman"/>
          <w:color w:val="000000"/>
          <w:sz w:val="22"/>
          <w:szCs w:val="22"/>
          <w:lang w:val="en-US"/>
        </w:rPr>
        <w:t>consumption</w:t>
      </w:r>
      <w:bookmarkEnd w:id="5"/>
    </w:p>
    <w:p w:rsidR="00C128EB" w:rsidRPr="00F3763D" w:rsidRDefault="00C128EB" w:rsidP="00D6143D">
      <w:pPr>
        <w:autoSpaceDE w:val="0"/>
        <w:autoSpaceDN w:val="0"/>
        <w:adjustRightInd w:val="0"/>
        <w:spacing w:after="0" w:line="240" w:lineRule="auto"/>
        <w:jc w:val="both"/>
        <w:rPr>
          <w:rFonts w:ascii="Times New Roman" w:hAnsi="Times New Roman" w:cs="Times New Roman"/>
          <w:lang w:val="en-US"/>
        </w:rPr>
      </w:pPr>
    </w:p>
    <w:p w:rsidR="00C128EB" w:rsidRPr="00F3763D" w:rsidRDefault="00C128EB" w:rsidP="00D6143D">
      <w:pPr>
        <w:autoSpaceDE w:val="0"/>
        <w:autoSpaceDN w:val="0"/>
        <w:adjustRightInd w:val="0"/>
        <w:spacing w:after="0" w:line="240" w:lineRule="auto"/>
        <w:jc w:val="both"/>
        <w:rPr>
          <w:rFonts w:ascii="Times New Roman" w:hAnsi="Times New Roman" w:cs="Times New Roman"/>
          <w:lang w:val="en-US"/>
        </w:rPr>
      </w:pPr>
    </w:p>
    <w:p w:rsidR="00C128EB" w:rsidRPr="00F3763D" w:rsidRDefault="00C128EB" w:rsidP="00D455CE">
      <w:pPr>
        <w:autoSpaceDE w:val="0"/>
        <w:autoSpaceDN w:val="0"/>
        <w:adjustRightInd w:val="0"/>
        <w:spacing w:after="0" w:line="240" w:lineRule="auto"/>
        <w:jc w:val="both"/>
        <w:rPr>
          <w:rFonts w:ascii="Times New Roman" w:hAnsi="Times New Roman" w:cs="Times New Roman"/>
          <w:color w:val="000000"/>
          <w:lang w:val="en-US"/>
        </w:rPr>
      </w:pPr>
      <w:r w:rsidRPr="00F3763D">
        <w:rPr>
          <w:rFonts w:ascii="Times New Roman" w:hAnsi="Times New Roman" w:cs="Times New Roman"/>
          <w:lang w:val="en-US"/>
        </w:rPr>
        <w:t>The upgrade of substations C and D will permit an increment of electricity consumption in the Northern and Southern sectors of Paramaribo, given that without these projects EBS would have to restrict power supply up to the current transmission and distribution capacities determined for the</w:t>
      </w:r>
      <w:r>
        <w:rPr>
          <w:rFonts w:ascii="Times New Roman" w:hAnsi="Times New Roman" w:cs="Times New Roman"/>
          <w:lang w:val="en-US"/>
        </w:rPr>
        <w:t>se</w:t>
      </w:r>
      <w:r w:rsidRPr="00F3763D">
        <w:rPr>
          <w:rFonts w:ascii="Times New Roman" w:hAnsi="Times New Roman" w:cs="Times New Roman"/>
          <w:lang w:val="en-US"/>
        </w:rPr>
        <w:t xml:space="preserve"> </w:t>
      </w:r>
      <w:r w:rsidR="00D62DCA">
        <w:rPr>
          <w:rFonts w:ascii="Times New Roman" w:hAnsi="Times New Roman" w:cs="Times New Roman"/>
          <w:lang w:val="en-US"/>
        </w:rPr>
        <w:t xml:space="preserve">two </w:t>
      </w:r>
      <w:r w:rsidRPr="00F3763D">
        <w:rPr>
          <w:rFonts w:ascii="Times New Roman" w:hAnsi="Times New Roman" w:cs="Times New Roman"/>
          <w:lang w:val="en-US"/>
        </w:rPr>
        <w:t>substations</w:t>
      </w:r>
      <w:r>
        <w:rPr>
          <w:rFonts w:ascii="Times New Roman" w:hAnsi="Times New Roman" w:cs="Times New Roman"/>
          <w:lang w:val="en-US"/>
        </w:rPr>
        <w:t xml:space="preserve"> (</w:t>
      </w:r>
      <w:r w:rsidR="00E03B2F">
        <w:rPr>
          <w:rFonts w:ascii="Times New Roman" w:hAnsi="Times New Roman" w:cs="Times New Roman"/>
          <w:lang w:val="en-US"/>
        </w:rPr>
        <w:t xml:space="preserve">to </w:t>
      </w:r>
      <w:r>
        <w:rPr>
          <w:rFonts w:ascii="Times New Roman" w:hAnsi="Times New Roman" w:cs="Times New Roman"/>
          <w:lang w:val="en-US"/>
        </w:rPr>
        <w:t>28 MVA and 40 MVA, respectively)</w:t>
      </w:r>
      <w:r w:rsidRPr="00F3763D">
        <w:rPr>
          <w:rFonts w:ascii="Times New Roman" w:hAnsi="Times New Roman" w:cs="Times New Roman"/>
          <w:lang w:val="en-US"/>
        </w:rPr>
        <w:t>. From the view point of the country, one of the economic benefits associated to these projects will consist in the increase of EBS power sales plus its associated consumer's surplus</w:t>
      </w:r>
      <w:r w:rsidR="008B4B8C">
        <w:rPr>
          <w:rFonts w:ascii="Times New Roman" w:hAnsi="Times New Roman" w:cs="Times New Roman"/>
          <w:lang w:val="en-US"/>
        </w:rPr>
        <w:t xml:space="preserve"> in the residential sector</w:t>
      </w:r>
      <w:r w:rsidR="00783BF7">
        <w:rPr>
          <w:rStyle w:val="FootnoteReference"/>
          <w:rFonts w:ascii="Times New Roman" w:hAnsi="Times New Roman" w:cs="Times New Roman"/>
          <w:lang w:val="en-US"/>
        </w:rPr>
        <w:footnoteReference w:id="2"/>
      </w:r>
      <w:r w:rsidRPr="00F3763D">
        <w:rPr>
          <w:rFonts w:ascii="Times New Roman" w:hAnsi="Times New Roman" w:cs="Times New Roman"/>
          <w:lang w:val="en-US"/>
        </w:rPr>
        <w:t xml:space="preserve"> </w:t>
      </w:r>
      <w:r w:rsidR="00FE28C7">
        <w:rPr>
          <w:rFonts w:ascii="Times New Roman" w:hAnsi="Times New Roman" w:cs="Times New Roman"/>
          <w:lang w:val="en-US"/>
        </w:rPr>
        <w:t>as</w:t>
      </w:r>
      <w:r w:rsidR="00FE28C7" w:rsidRPr="00F3763D">
        <w:rPr>
          <w:rFonts w:ascii="Times New Roman" w:hAnsi="Times New Roman" w:cs="Times New Roman"/>
          <w:lang w:val="en-US"/>
        </w:rPr>
        <w:t xml:space="preserve"> </w:t>
      </w:r>
      <w:r w:rsidR="004E4427" w:rsidRPr="00F3763D">
        <w:rPr>
          <w:rFonts w:ascii="Times New Roman" w:hAnsi="Times New Roman" w:cs="Times New Roman"/>
          <w:lang w:val="en-US"/>
        </w:rPr>
        <w:t>permit</w:t>
      </w:r>
      <w:r w:rsidR="004E4427">
        <w:rPr>
          <w:rFonts w:ascii="Times New Roman" w:hAnsi="Times New Roman" w:cs="Times New Roman"/>
          <w:lang w:val="en-US"/>
        </w:rPr>
        <w:t>ted</w:t>
      </w:r>
      <w:r w:rsidR="00FE28C7">
        <w:rPr>
          <w:rFonts w:ascii="Times New Roman" w:hAnsi="Times New Roman" w:cs="Times New Roman"/>
          <w:lang w:val="en-US"/>
        </w:rPr>
        <w:t xml:space="preserve"> by</w:t>
      </w:r>
      <w:r w:rsidRPr="00F3763D">
        <w:rPr>
          <w:rFonts w:ascii="Times New Roman" w:hAnsi="Times New Roman" w:cs="Times New Roman"/>
          <w:lang w:val="en-US"/>
        </w:rPr>
        <w:t xml:space="preserve"> the higher capacity of the upgraded substations</w:t>
      </w:r>
      <w:r>
        <w:rPr>
          <w:rFonts w:ascii="Times New Roman" w:hAnsi="Times New Roman" w:cs="Times New Roman"/>
          <w:lang w:val="en-US"/>
        </w:rPr>
        <w:t xml:space="preserve"> (50 MVA and 75 MVA, respectively)</w:t>
      </w:r>
      <w:r w:rsidR="00783BF7">
        <w:rPr>
          <w:rStyle w:val="FootnoteReference"/>
          <w:rFonts w:ascii="Times New Roman" w:hAnsi="Times New Roman" w:cs="Times New Roman"/>
          <w:lang w:val="en-US"/>
        </w:rPr>
        <w:footnoteReference w:id="3"/>
      </w:r>
      <w:r w:rsidRPr="00F3763D">
        <w:rPr>
          <w:rFonts w:ascii="Times New Roman" w:hAnsi="Times New Roman" w:cs="Times New Roman"/>
          <w:lang w:val="en-US"/>
        </w:rPr>
        <w:t>. Main assumption of the study was the consideration of a referential "cost effe</w:t>
      </w:r>
      <w:r w:rsidR="004E4427">
        <w:rPr>
          <w:rFonts w:ascii="Times New Roman" w:hAnsi="Times New Roman" w:cs="Times New Roman"/>
          <w:lang w:val="en-US"/>
        </w:rPr>
        <w:t>ctive average tariff" of US$ 162</w:t>
      </w:r>
      <w:r w:rsidRPr="00F3763D">
        <w:rPr>
          <w:rFonts w:ascii="Times New Roman" w:hAnsi="Times New Roman" w:cs="Times New Roman"/>
          <w:lang w:val="en-US"/>
        </w:rPr>
        <w:t>/MWh to final consumers in its area of influence</w:t>
      </w:r>
      <w:r w:rsidR="00EC138D">
        <w:rPr>
          <w:rFonts w:ascii="Times New Roman" w:hAnsi="Times New Roman" w:cs="Times New Roman"/>
          <w:lang w:val="en-US"/>
        </w:rPr>
        <w:t xml:space="preserve"> (see ANNEX </w:t>
      </w:r>
      <w:r w:rsidR="00590C0B">
        <w:rPr>
          <w:rFonts w:ascii="Times New Roman" w:hAnsi="Times New Roman" w:cs="Times New Roman"/>
          <w:lang w:val="en-US"/>
        </w:rPr>
        <w:t>5</w:t>
      </w:r>
      <w:r w:rsidR="00EC138D">
        <w:rPr>
          <w:rFonts w:ascii="Times New Roman" w:hAnsi="Times New Roman" w:cs="Times New Roman"/>
          <w:lang w:val="en-US"/>
        </w:rPr>
        <w:t>)</w:t>
      </w:r>
      <w:r w:rsidRPr="00F3763D">
        <w:rPr>
          <w:rFonts w:ascii="Times New Roman" w:hAnsi="Times New Roman" w:cs="Times New Roman"/>
          <w:lang w:val="en-US"/>
        </w:rPr>
        <w:t xml:space="preserve">. </w:t>
      </w:r>
    </w:p>
    <w:p w:rsidR="00C128EB" w:rsidRPr="00F3763D" w:rsidRDefault="00C128EB" w:rsidP="00892C14">
      <w:pPr>
        <w:pStyle w:val="NoSpacing"/>
        <w:jc w:val="both"/>
        <w:rPr>
          <w:rFonts w:ascii="Times New Roman" w:hAnsi="Times New Roman" w:cs="Times New Roman"/>
          <w:lang w:val="en-US"/>
        </w:rPr>
      </w:pPr>
    </w:p>
    <w:p w:rsidR="00C128EB" w:rsidRDefault="00C128EB" w:rsidP="00192984">
      <w:pPr>
        <w:spacing w:after="0" w:line="240" w:lineRule="auto"/>
        <w:jc w:val="both"/>
        <w:rPr>
          <w:rFonts w:ascii="Times New Roman" w:hAnsi="Times New Roman" w:cs="Times New Roman"/>
          <w:lang w:val="en-US" w:eastAsia="es-CO"/>
        </w:rPr>
      </w:pPr>
      <w:r>
        <w:rPr>
          <w:rFonts w:ascii="Times New Roman" w:hAnsi="Times New Roman" w:cs="Times New Roman"/>
          <w:lang w:val="en-US" w:eastAsia="es-CO"/>
        </w:rPr>
        <w:t>Next figure illustrates</w:t>
      </w:r>
      <w:r w:rsidRPr="00F3763D">
        <w:rPr>
          <w:rFonts w:ascii="Times New Roman" w:hAnsi="Times New Roman" w:cs="Times New Roman"/>
          <w:lang w:val="en-US" w:eastAsia="es-CO"/>
        </w:rPr>
        <w:t xml:space="preserve"> the demand curve in a future time (t=i). From a </w:t>
      </w:r>
      <w:r w:rsidR="00931A0F">
        <w:rPr>
          <w:rFonts w:ascii="Times New Roman" w:hAnsi="Times New Roman" w:cs="Times New Roman"/>
          <w:lang w:val="en-US" w:eastAsia="es-CO"/>
        </w:rPr>
        <w:t>user´s</w:t>
      </w:r>
      <w:r w:rsidRPr="00F3763D">
        <w:rPr>
          <w:rFonts w:ascii="Times New Roman" w:hAnsi="Times New Roman" w:cs="Times New Roman"/>
          <w:lang w:val="en-US" w:eastAsia="es-CO"/>
        </w:rPr>
        <w:t xml:space="preserve"> perspective, benefits associated to the increase of electricity consumption are estimated as its value according</w:t>
      </w:r>
      <w:r w:rsidR="00823AE7">
        <w:rPr>
          <w:rFonts w:ascii="Times New Roman" w:hAnsi="Times New Roman" w:cs="Times New Roman"/>
          <w:lang w:val="en-US" w:eastAsia="es-CO"/>
        </w:rPr>
        <w:t xml:space="preserve"> to</w:t>
      </w:r>
      <w:r w:rsidRPr="00F3763D">
        <w:rPr>
          <w:rFonts w:ascii="Times New Roman" w:hAnsi="Times New Roman" w:cs="Times New Roman"/>
          <w:lang w:val="en-US" w:eastAsia="es-CO"/>
        </w:rPr>
        <w:t xml:space="preserve"> </w:t>
      </w:r>
      <w:r w:rsidR="006F0329">
        <w:rPr>
          <w:rFonts w:ascii="Times New Roman" w:hAnsi="Times New Roman" w:cs="Times New Roman"/>
          <w:lang w:val="en-US" w:eastAsia="es-CO"/>
        </w:rPr>
        <w:t xml:space="preserve">the </w:t>
      </w:r>
      <w:r w:rsidRPr="00F3763D">
        <w:rPr>
          <w:rFonts w:ascii="Times New Roman" w:hAnsi="Times New Roman" w:cs="Times New Roman"/>
          <w:lang w:val="en-US" w:eastAsia="es-CO"/>
        </w:rPr>
        <w:t xml:space="preserve">willingness to pay by the consumers (area </w:t>
      </w:r>
      <w:r w:rsidR="004E4427">
        <w:rPr>
          <w:rFonts w:ascii="Times New Roman" w:hAnsi="Times New Roman" w:cs="Times New Roman"/>
          <w:lang w:val="en-US" w:eastAsia="es-CO"/>
        </w:rPr>
        <w:t>FACG</w:t>
      </w:r>
      <w:r w:rsidR="00931A0F" w:rsidRPr="00931A0F">
        <w:rPr>
          <w:rFonts w:ascii="Times New Roman" w:hAnsi="Times New Roman" w:cs="Times New Roman"/>
          <w:lang w:val="en-US" w:eastAsia="es-CO"/>
        </w:rPr>
        <w:t xml:space="preserve"> </w:t>
      </w:r>
      <w:r w:rsidR="00931A0F">
        <w:rPr>
          <w:rFonts w:ascii="Times New Roman" w:hAnsi="Times New Roman" w:cs="Times New Roman"/>
          <w:lang w:val="en-US" w:eastAsia="es-CO"/>
        </w:rPr>
        <w:t xml:space="preserve">which includes consumer´s surplus given by </w:t>
      </w:r>
      <w:r w:rsidR="00931A0F" w:rsidRPr="00F3763D">
        <w:rPr>
          <w:rFonts w:ascii="Times New Roman" w:hAnsi="Times New Roman" w:cs="Times New Roman"/>
          <w:lang w:val="en-US" w:eastAsia="es-CO"/>
        </w:rPr>
        <w:t xml:space="preserve">area </w:t>
      </w:r>
      <w:r w:rsidR="00931A0F">
        <w:rPr>
          <w:rFonts w:ascii="Times New Roman" w:hAnsi="Times New Roman" w:cs="Times New Roman"/>
          <w:lang w:val="en-US" w:eastAsia="es-CO"/>
        </w:rPr>
        <w:t>BAC</w:t>
      </w:r>
      <w:r w:rsidR="00931A0F" w:rsidRPr="00F3763D">
        <w:rPr>
          <w:rFonts w:ascii="Times New Roman" w:hAnsi="Times New Roman" w:cs="Times New Roman"/>
          <w:lang w:val="en-US" w:eastAsia="es-CO"/>
        </w:rPr>
        <w:t>)</w:t>
      </w:r>
      <w:r w:rsidRPr="00F3763D">
        <w:rPr>
          <w:rFonts w:ascii="Times New Roman" w:hAnsi="Times New Roman" w:cs="Times New Roman"/>
          <w:lang w:val="en-US" w:eastAsia="es-CO"/>
        </w:rPr>
        <w:t xml:space="preserve">, </w:t>
      </w:r>
      <w:r w:rsidR="00931A0F">
        <w:rPr>
          <w:rFonts w:ascii="Times New Roman" w:hAnsi="Times New Roman" w:cs="Times New Roman"/>
          <w:lang w:val="en-US" w:eastAsia="es-CO"/>
        </w:rPr>
        <w:t>plus the subsidy received by the users (area BDEC)</w:t>
      </w:r>
      <w:r w:rsidRPr="00F3763D">
        <w:rPr>
          <w:rFonts w:ascii="Times New Roman" w:hAnsi="Times New Roman" w:cs="Times New Roman"/>
          <w:lang w:val="en-US" w:eastAsia="es-CO"/>
        </w:rPr>
        <w:t>.</w:t>
      </w:r>
    </w:p>
    <w:p w:rsidR="004E4427" w:rsidRDefault="004E4427" w:rsidP="00192984">
      <w:pPr>
        <w:spacing w:after="0" w:line="240" w:lineRule="auto"/>
        <w:jc w:val="both"/>
        <w:rPr>
          <w:rFonts w:ascii="Times New Roman" w:hAnsi="Times New Roman" w:cs="Times New Roman"/>
          <w:lang w:val="en-US" w:eastAsia="es-CO"/>
        </w:rPr>
      </w:pPr>
    </w:p>
    <w:p w:rsidR="004E4427" w:rsidRDefault="004E4427" w:rsidP="004E4427">
      <w:pPr>
        <w:spacing w:after="0" w:line="240" w:lineRule="auto"/>
        <w:jc w:val="center"/>
        <w:rPr>
          <w:rFonts w:ascii="Times New Roman" w:hAnsi="Times New Roman" w:cs="Times New Roman"/>
          <w:b/>
          <w:bCs/>
          <w:sz w:val="18"/>
          <w:szCs w:val="18"/>
          <w:lang w:val="en-US" w:eastAsia="es-CO"/>
        </w:rPr>
      </w:pPr>
      <w:r w:rsidRPr="00823AE7">
        <w:rPr>
          <w:rFonts w:ascii="Times New Roman" w:hAnsi="Times New Roman" w:cs="Times New Roman"/>
          <w:b/>
          <w:bCs/>
          <w:sz w:val="18"/>
          <w:szCs w:val="18"/>
          <w:lang w:val="en-US" w:eastAsia="es-CO"/>
        </w:rPr>
        <w:t xml:space="preserve">BENEFIT ESTIMATION OF ADDITIONAL </w:t>
      </w:r>
      <w:r w:rsidR="00823AE7">
        <w:rPr>
          <w:rFonts w:ascii="Times New Roman" w:hAnsi="Times New Roman" w:cs="Times New Roman"/>
          <w:b/>
          <w:bCs/>
          <w:sz w:val="18"/>
          <w:szCs w:val="18"/>
          <w:lang w:val="en-US" w:eastAsia="es-CO"/>
        </w:rPr>
        <w:t>RESIDENTIAL</w:t>
      </w:r>
      <w:r w:rsidR="00823AE7" w:rsidRPr="00823AE7">
        <w:rPr>
          <w:rFonts w:ascii="Times New Roman" w:hAnsi="Times New Roman" w:cs="Times New Roman"/>
          <w:b/>
          <w:bCs/>
          <w:sz w:val="18"/>
          <w:szCs w:val="18"/>
          <w:lang w:val="en-US" w:eastAsia="es-CO"/>
        </w:rPr>
        <w:t xml:space="preserve"> </w:t>
      </w:r>
      <w:r w:rsidRPr="00823AE7">
        <w:rPr>
          <w:rFonts w:ascii="Times New Roman" w:hAnsi="Times New Roman" w:cs="Times New Roman"/>
          <w:b/>
          <w:bCs/>
          <w:sz w:val="18"/>
          <w:szCs w:val="18"/>
          <w:lang w:val="en-US" w:eastAsia="es-CO"/>
        </w:rPr>
        <w:t>CONSUMPTION</w:t>
      </w:r>
    </w:p>
    <w:p w:rsidR="007D2E80" w:rsidRDefault="007D2E80" w:rsidP="004E4427">
      <w:pPr>
        <w:spacing w:after="0" w:line="240" w:lineRule="auto"/>
        <w:jc w:val="center"/>
        <w:rPr>
          <w:rFonts w:ascii="Times New Roman" w:hAnsi="Times New Roman" w:cs="Times New Roman"/>
          <w:b/>
          <w:bCs/>
          <w:sz w:val="18"/>
          <w:szCs w:val="18"/>
          <w:lang w:val="en-US" w:eastAsia="es-CO"/>
        </w:rPr>
      </w:pPr>
    </w:p>
    <w:p w:rsidR="007D2E80" w:rsidRDefault="007D2E80" w:rsidP="004E4427">
      <w:pPr>
        <w:spacing w:after="0" w:line="240" w:lineRule="auto"/>
        <w:jc w:val="center"/>
        <w:rPr>
          <w:rFonts w:ascii="Times New Roman" w:hAnsi="Times New Roman" w:cs="Times New Roman"/>
          <w:b/>
          <w:bCs/>
          <w:sz w:val="18"/>
          <w:szCs w:val="18"/>
          <w:lang w:val="en-US" w:eastAsia="es-CO"/>
        </w:rPr>
      </w:pPr>
      <w:r w:rsidRPr="00FE5968">
        <w:rPr>
          <w:noProof/>
          <w:szCs w:val="18"/>
          <w:lang w:val="en-US"/>
        </w:rPr>
        <w:drawing>
          <wp:inline distT="0" distB="0" distL="0" distR="0" wp14:anchorId="47BC4D4F" wp14:editId="1DEE983B">
            <wp:extent cx="5612130" cy="2044281"/>
            <wp:effectExtent l="0" t="0" r="0" b="0"/>
            <wp:docPr id="3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612130" cy="2044281"/>
                    </a:xfrm>
                    <a:prstGeom prst="rect">
                      <a:avLst/>
                    </a:prstGeom>
                    <a:noFill/>
                    <a:ln w="9525">
                      <a:noFill/>
                      <a:miter lim="800000"/>
                      <a:headEnd/>
                      <a:tailEnd/>
                    </a:ln>
                  </pic:spPr>
                </pic:pic>
              </a:graphicData>
            </a:graphic>
          </wp:inline>
        </w:drawing>
      </w:r>
    </w:p>
    <w:p w:rsidR="00FD1E90" w:rsidRDefault="00FD1E90" w:rsidP="004E4427">
      <w:pPr>
        <w:spacing w:after="0" w:line="240" w:lineRule="auto"/>
        <w:jc w:val="center"/>
        <w:rPr>
          <w:rFonts w:ascii="Times New Roman" w:hAnsi="Times New Roman" w:cs="Times New Roman"/>
          <w:b/>
          <w:bCs/>
          <w:sz w:val="18"/>
          <w:szCs w:val="18"/>
          <w:lang w:val="en-US" w:eastAsia="es-CO"/>
        </w:rPr>
      </w:pPr>
    </w:p>
    <w:p w:rsidR="00FD1E90" w:rsidRDefault="00FD1E90" w:rsidP="004E4427">
      <w:pPr>
        <w:spacing w:after="0" w:line="240" w:lineRule="auto"/>
        <w:jc w:val="center"/>
        <w:rPr>
          <w:rFonts w:ascii="Times New Roman" w:hAnsi="Times New Roman" w:cs="Times New Roman"/>
          <w:b/>
          <w:bCs/>
          <w:sz w:val="18"/>
          <w:szCs w:val="18"/>
          <w:lang w:val="en-US" w:eastAsia="es-CO"/>
        </w:rPr>
      </w:pPr>
      <w:r w:rsidRPr="00FE5968">
        <w:rPr>
          <w:noProof/>
          <w:szCs w:val="18"/>
          <w:lang w:val="en-US"/>
        </w:rPr>
        <w:lastRenderedPageBreak/>
        <w:drawing>
          <wp:inline distT="0" distB="0" distL="0" distR="0" wp14:anchorId="6552E2AD" wp14:editId="37CEFF7C">
            <wp:extent cx="5612130" cy="2044281"/>
            <wp:effectExtent l="0" t="0" r="0" b="0"/>
            <wp:docPr id="3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612130" cy="2044281"/>
                    </a:xfrm>
                    <a:prstGeom prst="rect">
                      <a:avLst/>
                    </a:prstGeom>
                    <a:noFill/>
                    <a:ln w="9525">
                      <a:noFill/>
                      <a:miter lim="800000"/>
                      <a:headEnd/>
                      <a:tailEnd/>
                    </a:ln>
                  </pic:spPr>
                </pic:pic>
              </a:graphicData>
            </a:graphic>
          </wp:inline>
        </w:drawing>
      </w:r>
    </w:p>
    <w:p w:rsidR="00526CD4" w:rsidRDefault="00526CD4" w:rsidP="004E4427">
      <w:pPr>
        <w:spacing w:after="0" w:line="240" w:lineRule="auto"/>
        <w:jc w:val="center"/>
        <w:rPr>
          <w:rFonts w:ascii="Times New Roman" w:hAnsi="Times New Roman" w:cs="Times New Roman"/>
          <w:b/>
          <w:bCs/>
          <w:sz w:val="18"/>
          <w:szCs w:val="18"/>
          <w:lang w:val="en-US" w:eastAsia="es-CO"/>
        </w:rPr>
      </w:pPr>
    </w:p>
    <w:p w:rsidR="004E4427" w:rsidRPr="00AE4341" w:rsidRDefault="004E4427" w:rsidP="00192984">
      <w:pPr>
        <w:spacing w:after="0" w:line="240" w:lineRule="auto"/>
        <w:jc w:val="both"/>
        <w:rPr>
          <w:rFonts w:ascii="Times New Roman" w:hAnsi="Times New Roman" w:cs="Times New Roman"/>
          <w:lang w:val="en-US" w:eastAsia="es-CO"/>
        </w:rPr>
      </w:pPr>
      <w:r w:rsidRPr="00EE4C52">
        <w:rPr>
          <w:rFonts w:ascii="Times New Roman" w:hAnsi="Times New Roman" w:cs="Times New Roman"/>
          <w:lang w:val="en-US" w:eastAsia="es-CO"/>
        </w:rPr>
        <w:t>In the graph Pi correspond to the cost effective tariff (</w:t>
      </w:r>
      <w:r w:rsidRPr="00EE4C52">
        <w:rPr>
          <w:rFonts w:ascii="Times New Roman" w:eastAsia="MS Mincho" w:hAnsi="Times New Roman" w:cs="Times New Roman"/>
          <w:lang w:val="en-US" w:eastAsia="ja-JP"/>
        </w:rPr>
        <w:t>US$ 162/MWh)</w:t>
      </w:r>
      <w:r w:rsidRPr="00EE4C52">
        <w:rPr>
          <w:rFonts w:ascii="Times New Roman" w:hAnsi="Times New Roman" w:cs="Times New Roman"/>
          <w:lang w:val="en-US" w:eastAsia="es-CO"/>
        </w:rPr>
        <w:t>. As indicated in the graph</w:t>
      </w:r>
      <w:r w:rsidR="00E03B2F">
        <w:rPr>
          <w:rFonts w:ascii="Times New Roman" w:hAnsi="Times New Roman" w:cs="Times New Roman"/>
          <w:lang w:val="en-US" w:eastAsia="es-CO"/>
        </w:rPr>
        <w:t>,</w:t>
      </w:r>
      <w:r w:rsidRPr="00EE4C52">
        <w:rPr>
          <w:rFonts w:ascii="Times New Roman" w:hAnsi="Times New Roman" w:cs="Times New Roman"/>
          <w:lang w:val="en-US" w:eastAsia="es-CO"/>
        </w:rPr>
        <w:t xml:space="preserve"> consumer's surplus benefits represents around US$ </w:t>
      </w:r>
      <w:r w:rsidR="00823AE7">
        <w:rPr>
          <w:rFonts w:ascii="Times New Roman" w:hAnsi="Times New Roman" w:cs="Times New Roman"/>
          <w:lang w:val="en-US" w:eastAsia="es-CO"/>
        </w:rPr>
        <w:t>14-63</w:t>
      </w:r>
      <w:r w:rsidRPr="00EE4C52">
        <w:rPr>
          <w:rFonts w:ascii="Times New Roman" w:hAnsi="Times New Roman" w:cs="Times New Roman"/>
          <w:lang w:val="en-US" w:eastAsia="es-CO"/>
        </w:rPr>
        <w:t>/MWh while subsi</w:t>
      </w:r>
      <w:r w:rsidR="009334A2">
        <w:rPr>
          <w:rFonts w:ascii="Times New Roman" w:hAnsi="Times New Roman" w:cs="Times New Roman"/>
          <w:lang w:val="en-US" w:eastAsia="es-CO"/>
        </w:rPr>
        <w:t>dies to the power service would be around</w:t>
      </w:r>
      <w:r w:rsidRPr="00EE4C52">
        <w:rPr>
          <w:rFonts w:ascii="Times New Roman" w:hAnsi="Times New Roman" w:cs="Times New Roman"/>
          <w:lang w:val="en-US" w:eastAsia="es-CO"/>
        </w:rPr>
        <w:t xml:space="preserve"> US$ 92/MWh</w:t>
      </w:r>
      <w:r w:rsidR="009334A2">
        <w:rPr>
          <w:rFonts w:ascii="Times New Roman" w:hAnsi="Times New Roman" w:cs="Times New Roman"/>
          <w:lang w:val="en-US" w:eastAsia="es-CO"/>
        </w:rPr>
        <w:t xml:space="preserve"> under the assumption of maintaining the existing average tariff </w:t>
      </w:r>
      <w:r w:rsidR="008B4B8C">
        <w:rPr>
          <w:rFonts w:ascii="Times New Roman" w:hAnsi="Times New Roman" w:cs="Times New Roman"/>
          <w:lang w:val="en-US" w:eastAsia="es-CO"/>
        </w:rPr>
        <w:t xml:space="preserve">P0 </w:t>
      </w:r>
      <w:r w:rsidR="009334A2">
        <w:rPr>
          <w:rFonts w:ascii="Times New Roman" w:hAnsi="Times New Roman" w:cs="Times New Roman"/>
          <w:lang w:val="en-US" w:eastAsia="es-CO"/>
        </w:rPr>
        <w:t>of US$ 70/MWh to final consumers</w:t>
      </w:r>
      <w:r w:rsidR="00931A0F">
        <w:rPr>
          <w:rStyle w:val="FootnoteReference"/>
          <w:rFonts w:ascii="Times New Roman" w:hAnsi="Times New Roman" w:cs="Times New Roman"/>
          <w:lang w:val="en-US" w:eastAsia="es-CO"/>
        </w:rPr>
        <w:footnoteReference w:id="4"/>
      </w:r>
      <w:r w:rsidR="009334A2">
        <w:rPr>
          <w:rFonts w:ascii="Times New Roman" w:hAnsi="Times New Roman" w:cs="Times New Roman"/>
          <w:lang w:val="en-US" w:eastAsia="es-CO"/>
        </w:rPr>
        <w:t>.</w:t>
      </w:r>
      <w:r w:rsidR="00CA4E1F">
        <w:rPr>
          <w:rFonts w:ascii="Times New Roman" w:hAnsi="Times New Roman" w:cs="Times New Roman"/>
          <w:lang w:val="en-US" w:eastAsia="es-CO"/>
        </w:rPr>
        <w:t xml:space="preserve"> </w:t>
      </w:r>
      <w:r w:rsidR="00AE4341" w:rsidRPr="00AE4341">
        <w:rPr>
          <w:rFonts w:ascii="Times New Roman" w:hAnsi="Times New Roman" w:cs="Times New Roman"/>
          <w:lang w:val="en-US"/>
        </w:rPr>
        <w:t>In this way,</w:t>
      </w:r>
      <w:r w:rsidR="00AE4341">
        <w:rPr>
          <w:rFonts w:ascii="Times New Roman" w:hAnsi="Times New Roman" w:cs="Times New Roman"/>
          <w:lang w:val="en-US"/>
        </w:rPr>
        <w:t xml:space="preserve"> with </w:t>
      </w:r>
      <w:r w:rsidR="00616222">
        <w:rPr>
          <w:rFonts w:ascii="Times New Roman" w:hAnsi="Times New Roman" w:cs="Times New Roman"/>
          <w:lang w:val="en-US"/>
        </w:rPr>
        <w:t xml:space="preserve">energy </w:t>
      </w:r>
      <w:r w:rsidR="00AE4341">
        <w:rPr>
          <w:rFonts w:ascii="Times New Roman" w:hAnsi="Times New Roman" w:cs="Times New Roman"/>
          <w:lang w:val="en-US"/>
        </w:rPr>
        <w:t>costs estimated equal to the cost effective tariff</w:t>
      </w:r>
      <w:r w:rsidR="00E03B2F">
        <w:rPr>
          <w:rFonts w:ascii="Times New Roman" w:hAnsi="Times New Roman" w:cs="Times New Roman"/>
          <w:lang w:val="en-US"/>
        </w:rPr>
        <w:t xml:space="preserve"> </w:t>
      </w:r>
      <w:r w:rsidR="00E03B2F" w:rsidRPr="00EE4C52">
        <w:rPr>
          <w:rFonts w:ascii="Times New Roman" w:hAnsi="Times New Roman" w:cs="Times New Roman"/>
          <w:lang w:val="en-US" w:eastAsia="es-CO"/>
        </w:rPr>
        <w:t>(</w:t>
      </w:r>
      <w:r w:rsidR="00E03B2F" w:rsidRPr="00EE4C52">
        <w:rPr>
          <w:rFonts w:ascii="Times New Roman" w:eastAsia="MS Mincho" w:hAnsi="Times New Roman" w:cs="Times New Roman"/>
          <w:lang w:val="en-US" w:eastAsia="ja-JP"/>
        </w:rPr>
        <w:t>US$ 162/MWh)</w:t>
      </w:r>
      <w:r w:rsidR="00AE4341">
        <w:rPr>
          <w:rFonts w:ascii="Times New Roman" w:hAnsi="Times New Roman" w:cs="Times New Roman"/>
          <w:lang w:val="en-US"/>
        </w:rPr>
        <w:t>,</w:t>
      </w:r>
      <w:r w:rsidR="00AE4341" w:rsidRPr="00AE4341">
        <w:rPr>
          <w:rFonts w:ascii="Times New Roman" w:hAnsi="Times New Roman" w:cs="Times New Roman"/>
          <w:lang w:val="en-US"/>
        </w:rPr>
        <w:t xml:space="preserve"> net energy benefits estimated for the upgrade of substations C and D </w:t>
      </w:r>
      <w:r w:rsidR="00AA5F43">
        <w:rPr>
          <w:rFonts w:ascii="Times New Roman" w:hAnsi="Times New Roman" w:cs="Times New Roman"/>
          <w:lang w:val="en-US"/>
        </w:rPr>
        <w:t>are equal</w:t>
      </w:r>
      <w:r w:rsidR="00616222">
        <w:rPr>
          <w:rFonts w:ascii="Times New Roman" w:hAnsi="Times New Roman" w:cs="Times New Roman"/>
          <w:lang w:val="en-US"/>
        </w:rPr>
        <w:t xml:space="preserve"> only</w:t>
      </w:r>
      <w:r w:rsidR="00AA5F43">
        <w:rPr>
          <w:rFonts w:ascii="Times New Roman" w:hAnsi="Times New Roman" w:cs="Times New Roman"/>
          <w:lang w:val="en-US"/>
        </w:rPr>
        <w:t xml:space="preserve"> </w:t>
      </w:r>
      <w:r w:rsidR="00AE4341" w:rsidRPr="00AE4341">
        <w:rPr>
          <w:rFonts w:ascii="Times New Roman" w:hAnsi="Times New Roman" w:cs="Times New Roman"/>
          <w:lang w:val="en-US"/>
        </w:rPr>
        <w:t>to the consumer´s surplus</w:t>
      </w:r>
      <w:r w:rsidR="00AA5F43">
        <w:rPr>
          <w:rFonts w:ascii="Times New Roman" w:hAnsi="Times New Roman" w:cs="Times New Roman"/>
          <w:lang w:val="en-US"/>
        </w:rPr>
        <w:t>.</w:t>
      </w:r>
    </w:p>
    <w:p w:rsidR="006F0329" w:rsidRDefault="006F0329" w:rsidP="00192984">
      <w:pPr>
        <w:spacing w:after="0" w:line="240" w:lineRule="auto"/>
        <w:jc w:val="both"/>
        <w:rPr>
          <w:rFonts w:ascii="Times New Roman" w:hAnsi="Times New Roman" w:cs="Times New Roman"/>
          <w:lang w:val="en-US" w:eastAsia="es-CO"/>
        </w:rPr>
      </w:pPr>
    </w:p>
    <w:p w:rsidR="004E4427" w:rsidRPr="00F3763D" w:rsidRDefault="004E4427" w:rsidP="004E4427">
      <w:pPr>
        <w:spacing w:after="0" w:line="240" w:lineRule="auto"/>
        <w:jc w:val="both"/>
        <w:rPr>
          <w:rFonts w:ascii="Times New Roman" w:hAnsi="Times New Roman" w:cs="Times New Roman"/>
          <w:lang w:val="en-US" w:eastAsia="es-CO"/>
        </w:rPr>
      </w:pPr>
      <w:r w:rsidRPr="00F3763D">
        <w:rPr>
          <w:rFonts w:ascii="Times New Roman" w:hAnsi="Times New Roman" w:cs="Times New Roman"/>
          <w:lang w:val="en-US" w:eastAsia="es-CO"/>
        </w:rPr>
        <w:t>Consumer's surplus was estimated from the definition of Price – Elasticity (</w:t>
      </w:r>
      <w:r w:rsidRPr="00F3763D">
        <w:rPr>
          <w:rFonts w:ascii="Times New Roman" w:hAnsi="Times New Roman" w:cs="Times New Roman"/>
          <w:i/>
          <w:iCs/>
          <w:lang w:eastAsia="es-CO"/>
        </w:rPr>
        <w:sym w:font="Symbol" w:char="F045"/>
      </w:r>
      <w:r w:rsidRPr="00F3763D">
        <w:rPr>
          <w:rFonts w:ascii="Times New Roman" w:hAnsi="Times New Roman" w:cs="Times New Roman"/>
          <w:i/>
          <w:iCs/>
          <w:lang w:val="en-US" w:eastAsia="es-CO"/>
        </w:rPr>
        <w:t xml:space="preserve"> </w:t>
      </w:r>
      <w:r w:rsidRPr="00F3763D">
        <w:rPr>
          <w:rFonts w:ascii="Times New Roman" w:hAnsi="Times New Roman" w:cs="Times New Roman"/>
          <w:lang w:val="en-US" w:eastAsia="es-CO"/>
        </w:rPr>
        <w:t>)</w:t>
      </w:r>
      <w:r>
        <w:rPr>
          <w:rFonts w:ascii="Times New Roman" w:hAnsi="Times New Roman" w:cs="Times New Roman"/>
          <w:lang w:val="en-US" w:eastAsia="es-CO"/>
        </w:rPr>
        <w:t>:</w:t>
      </w:r>
      <w:r w:rsidRPr="00F3763D">
        <w:rPr>
          <w:rFonts w:ascii="Times New Roman" w:hAnsi="Times New Roman" w:cs="Times New Roman"/>
          <w:lang w:val="en-US" w:eastAsia="es-CO"/>
        </w:rPr>
        <w:t xml:space="preserve"> it follows that the derivative of Price p with respect to the quantity q at the point Pi and quantity Qi is given by: </w:t>
      </w:r>
    </w:p>
    <w:p w:rsidR="004E4427" w:rsidRPr="00F3763D" w:rsidRDefault="004E4427" w:rsidP="004E4427">
      <w:pPr>
        <w:spacing w:after="0" w:line="240" w:lineRule="auto"/>
        <w:jc w:val="both"/>
        <w:rPr>
          <w:rFonts w:ascii="Times New Roman" w:hAnsi="Times New Roman" w:cs="Times New Roman"/>
          <w:i/>
          <w:iCs/>
          <w:lang w:val="en-US" w:eastAsia="es-CO"/>
        </w:rPr>
      </w:pPr>
    </w:p>
    <w:p w:rsidR="004E4427" w:rsidRPr="00F3763D" w:rsidRDefault="004E4427" w:rsidP="004E4427">
      <w:pPr>
        <w:spacing w:after="0" w:line="240" w:lineRule="auto"/>
        <w:jc w:val="both"/>
        <w:rPr>
          <w:rFonts w:ascii="Times New Roman" w:hAnsi="Times New Roman" w:cs="Times New Roman"/>
          <w:i/>
          <w:iCs/>
          <w:lang w:val="en-US" w:eastAsia="es-CO"/>
        </w:rPr>
      </w:pPr>
      <w:r w:rsidRPr="00F3763D">
        <w:rPr>
          <w:rFonts w:ascii="Times New Roman" w:hAnsi="Times New Roman" w:cs="Times New Roman"/>
          <w:i/>
          <w:iCs/>
          <w:lang w:val="en-US" w:eastAsia="es-CO"/>
        </w:rPr>
        <w:t xml:space="preserve">                                                         dp/dq = Pi/Qi x 1/</w:t>
      </w:r>
      <w:r w:rsidRPr="00F3763D">
        <w:rPr>
          <w:rFonts w:ascii="Times New Roman" w:hAnsi="Times New Roman" w:cs="Times New Roman"/>
          <w:i/>
          <w:iCs/>
          <w:lang w:val="es-ES" w:eastAsia="es-CO"/>
        </w:rPr>
        <w:sym w:font="Symbol" w:char="F045"/>
      </w:r>
    </w:p>
    <w:p w:rsidR="004E4427" w:rsidRPr="00F3763D" w:rsidRDefault="004E4427" w:rsidP="004E4427">
      <w:pPr>
        <w:spacing w:after="0" w:line="240" w:lineRule="auto"/>
        <w:jc w:val="both"/>
        <w:rPr>
          <w:rFonts w:ascii="Times New Roman" w:hAnsi="Times New Roman" w:cs="Times New Roman"/>
          <w:lang w:val="en-US" w:eastAsia="es-CO"/>
        </w:rPr>
      </w:pPr>
    </w:p>
    <w:p w:rsidR="004E4427" w:rsidRPr="00F3763D" w:rsidRDefault="004E4427" w:rsidP="004E4427">
      <w:pPr>
        <w:spacing w:after="0" w:line="240" w:lineRule="auto"/>
        <w:jc w:val="both"/>
        <w:rPr>
          <w:rFonts w:ascii="Times New Roman" w:hAnsi="Times New Roman" w:cs="Times New Roman"/>
          <w:lang w:val="en-US" w:eastAsia="es-CO"/>
        </w:rPr>
      </w:pPr>
      <w:r w:rsidRPr="00F3763D">
        <w:rPr>
          <w:rFonts w:ascii="Times New Roman" w:hAnsi="Times New Roman" w:cs="Times New Roman"/>
          <w:lang w:val="en-US" w:eastAsia="es-CO"/>
        </w:rPr>
        <w:t xml:space="preserve">The price that a consumer is willing to pay for a quantity </w:t>
      </w:r>
      <w:r w:rsidRPr="00F3763D">
        <w:rPr>
          <w:rFonts w:ascii="Times New Roman" w:hAnsi="Times New Roman" w:cs="Times New Roman"/>
          <w:i/>
          <w:iCs/>
          <w:lang w:val="en-US" w:eastAsia="es-CO"/>
        </w:rPr>
        <w:t xml:space="preserve">Qi - </w:t>
      </w:r>
      <w:r w:rsidRPr="00F3763D">
        <w:rPr>
          <w:rFonts w:ascii="Times New Roman" w:hAnsi="Times New Roman" w:cs="Times New Roman"/>
          <w:i/>
          <w:iCs/>
          <w:lang w:eastAsia="es-CO"/>
        </w:rPr>
        <w:sym w:font="Symbol" w:char="F044"/>
      </w:r>
      <w:r w:rsidRPr="00F3763D">
        <w:rPr>
          <w:rFonts w:ascii="Times New Roman" w:hAnsi="Times New Roman" w:cs="Times New Roman"/>
          <w:i/>
          <w:iCs/>
          <w:lang w:val="en-US" w:eastAsia="es-CO"/>
        </w:rPr>
        <w:t xml:space="preserve">q </w:t>
      </w:r>
      <w:r w:rsidRPr="00F3763D">
        <w:rPr>
          <w:rFonts w:ascii="Times New Roman" w:hAnsi="Times New Roman" w:cs="Times New Roman"/>
          <w:lang w:val="en-US" w:eastAsia="es-CO"/>
        </w:rPr>
        <w:t>is given by:</w:t>
      </w:r>
    </w:p>
    <w:p w:rsidR="004E4427" w:rsidRPr="00F3763D" w:rsidRDefault="004E4427" w:rsidP="004E4427">
      <w:pPr>
        <w:spacing w:after="0" w:line="240" w:lineRule="auto"/>
        <w:ind w:left="2832"/>
        <w:jc w:val="both"/>
        <w:rPr>
          <w:rFonts w:ascii="Times New Roman" w:hAnsi="Times New Roman" w:cs="Times New Roman"/>
          <w:i/>
          <w:iCs/>
          <w:lang w:val="en-US" w:eastAsia="es-CO"/>
        </w:rPr>
      </w:pPr>
      <w:r w:rsidRPr="00F3763D">
        <w:rPr>
          <w:rFonts w:ascii="Times New Roman" w:hAnsi="Times New Roman" w:cs="Times New Roman"/>
          <w:i/>
          <w:iCs/>
          <w:lang w:val="en-US" w:eastAsia="es-CO"/>
        </w:rPr>
        <w:t xml:space="preserve">         </w:t>
      </w:r>
    </w:p>
    <w:p w:rsidR="004E4427" w:rsidRPr="00F3763D" w:rsidRDefault="004E4427" w:rsidP="004E4427">
      <w:pPr>
        <w:spacing w:after="0" w:line="240" w:lineRule="auto"/>
        <w:ind w:left="2832"/>
        <w:jc w:val="both"/>
        <w:rPr>
          <w:rFonts w:ascii="Times New Roman" w:hAnsi="Times New Roman" w:cs="Times New Roman"/>
          <w:i/>
          <w:iCs/>
          <w:lang w:val="en-US" w:eastAsia="es-CO"/>
        </w:rPr>
      </w:pPr>
      <w:r w:rsidRPr="00F3763D">
        <w:rPr>
          <w:rFonts w:ascii="Times New Roman" w:hAnsi="Times New Roman" w:cs="Times New Roman"/>
          <w:i/>
          <w:iCs/>
          <w:lang w:val="en-US" w:eastAsia="es-CO"/>
        </w:rPr>
        <w:t>Pmi = P</w:t>
      </w:r>
      <w:r w:rsidR="00E03B2F">
        <w:rPr>
          <w:rFonts w:ascii="Times New Roman" w:hAnsi="Times New Roman" w:cs="Times New Roman"/>
          <w:i/>
          <w:iCs/>
          <w:lang w:val="en-US" w:eastAsia="es-CO"/>
        </w:rPr>
        <w:t>0</w:t>
      </w:r>
      <w:r w:rsidRPr="00F3763D">
        <w:rPr>
          <w:rFonts w:ascii="Times New Roman" w:hAnsi="Times New Roman" w:cs="Times New Roman"/>
          <w:i/>
          <w:iCs/>
          <w:lang w:val="en-US" w:eastAsia="es-CO"/>
        </w:rPr>
        <w:t xml:space="preserve"> – dp/dq x </w:t>
      </w:r>
      <w:r w:rsidRPr="00F3763D">
        <w:rPr>
          <w:rFonts w:ascii="Times New Roman" w:hAnsi="Times New Roman" w:cs="Times New Roman"/>
          <w:i/>
          <w:iCs/>
          <w:lang w:eastAsia="es-CO"/>
        </w:rPr>
        <w:sym w:font="Symbol" w:char="F044"/>
      </w:r>
      <w:r w:rsidRPr="00F3763D">
        <w:rPr>
          <w:rFonts w:ascii="Times New Roman" w:hAnsi="Times New Roman" w:cs="Times New Roman"/>
          <w:i/>
          <w:iCs/>
          <w:lang w:val="en-US" w:eastAsia="es-CO"/>
        </w:rPr>
        <w:t>qi</w:t>
      </w:r>
    </w:p>
    <w:p w:rsidR="004E4427" w:rsidRPr="00F3763D" w:rsidRDefault="004E4427" w:rsidP="004E4427">
      <w:pPr>
        <w:spacing w:after="0" w:line="240" w:lineRule="auto"/>
        <w:jc w:val="both"/>
        <w:rPr>
          <w:rFonts w:ascii="Times New Roman" w:hAnsi="Times New Roman" w:cs="Times New Roman"/>
          <w:i/>
          <w:iCs/>
          <w:lang w:val="en-US" w:eastAsia="es-CO"/>
        </w:rPr>
      </w:pPr>
    </w:p>
    <w:p w:rsidR="004E4427" w:rsidRPr="00F3763D" w:rsidRDefault="004E4427" w:rsidP="004E4427">
      <w:pPr>
        <w:spacing w:after="0" w:line="240" w:lineRule="auto"/>
        <w:jc w:val="both"/>
        <w:rPr>
          <w:rFonts w:ascii="Times New Roman" w:hAnsi="Times New Roman" w:cs="Times New Roman"/>
          <w:lang w:val="en-US" w:eastAsia="es-CO"/>
        </w:rPr>
      </w:pPr>
      <w:r w:rsidRPr="00F3763D">
        <w:rPr>
          <w:rFonts w:ascii="Times New Roman" w:hAnsi="Times New Roman" w:cs="Times New Roman"/>
          <w:lang w:val="en-US" w:eastAsia="es-CO"/>
        </w:rPr>
        <w:t xml:space="preserve">And the consumer’s surplus is calculated as: </w:t>
      </w:r>
    </w:p>
    <w:p w:rsidR="004E4427" w:rsidRPr="00F3763D" w:rsidRDefault="004E4427" w:rsidP="004E4427">
      <w:pPr>
        <w:spacing w:after="0" w:line="240" w:lineRule="auto"/>
        <w:jc w:val="both"/>
        <w:rPr>
          <w:rFonts w:ascii="Times New Roman" w:hAnsi="Times New Roman" w:cs="Times New Roman"/>
          <w:lang w:val="en-US" w:eastAsia="es-CO"/>
        </w:rPr>
      </w:pPr>
    </w:p>
    <w:p w:rsidR="004E4427" w:rsidRPr="00F3763D" w:rsidRDefault="004E4427" w:rsidP="004E4427">
      <w:pPr>
        <w:spacing w:after="0" w:line="240" w:lineRule="auto"/>
        <w:jc w:val="both"/>
        <w:rPr>
          <w:rFonts w:ascii="Times New Roman" w:hAnsi="Times New Roman" w:cs="Times New Roman"/>
          <w:i/>
          <w:iCs/>
          <w:lang w:val="en-US" w:eastAsia="es-CO"/>
        </w:rPr>
      </w:pPr>
      <w:r w:rsidRPr="00F3763D">
        <w:rPr>
          <w:rFonts w:ascii="Times New Roman" w:hAnsi="Times New Roman" w:cs="Times New Roman"/>
          <w:lang w:val="en-US" w:eastAsia="es-CO"/>
        </w:rPr>
        <w:t xml:space="preserve">                                      Consumer’s surplus = (</w:t>
      </w:r>
      <w:r w:rsidRPr="00F3763D">
        <w:rPr>
          <w:rFonts w:ascii="Times New Roman" w:hAnsi="Times New Roman" w:cs="Times New Roman"/>
          <w:i/>
          <w:iCs/>
          <w:lang w:val="en-US" w:eastAsia="es-CO"/>
        </w:rPr>
        <w:t xml:space="preserve">Pmi </w:t>
      </w:r>
      <w:r w:rsidRPr="00F3763D">
        <w:rPr>
          <w:rFonts w:ascii="Times New Roman" w:hAnsi="Times New Roman" w:cs="Times New Roman"/>
          <w:lang w:val="en-US" w:eastAsia="es-CO"/>
        </w:rPr>
        <w:t xml:space="preserve">– </w:t>
      </w:r>
      <w:r w:rsidRPr="00F3763D">
        <w:rPr>
          <w:rFonts w:ascii="Times New Roman" w:hAnsi="Times New Roman" w:cs="Times New Roman"/>
          <w:i/>
          <w:iCs/>
          <w:lang w:val="en-US" w:eastAsia="es-CO"/>
        </w:rPr>
        <w:t>P</w:t>
      </w:r>
      <w:r w:rsidR="00E03B2F">
        <w:rPr>
          <w:rFonts w:ascii="Times New Roman" w:hAnsi="Times New Roman" w:cs="Times New Roman"/>
          <w:i/>
          <w:iCs/>
          <w:lang w:val="en-US" w:eastAsia="es-CO"/>
        </w:rPr>
        <w:t>0</w:t>
      </w:r>
      <w:r w:rsidRPr="00F3763D">
        <w:rPr>
          <w:rFonts w:ascii="Times New Roman" w:hAnsi="Times New Roman" w:cs="Times New Roman"/>
          <w:lang w:val="en-US" w:eastAsia="es-CO"/>
        </w:rPr>
        <w:t xml:space="preserve">) x </w:t>
      </w:r>
      <w:r w:rsidRPr="00F3763D">
        <w:rPr>
          <w:rFonts w:ascii="Times New Roman" w:hAnsi="Times New Roman" w:cs="Times New Roman"/>
          <w:i/>
          <w:iCs/>
          <w:lang w:eastAsia="es-CO"/>
        </w:rPr>
        <w:sym w:font="Symbol" w:char="F044"/>
      </w:r>
      <w:r w:rsidRPr="00F3763D">
        <w:rPr>
          <w:rFonts w:ascii="Times New Roman" w:hAnsi="Times New Roman" w:cs="Times New Roman"/>
          <w:i/>
          <w:iCs/>
          <w:lang w:val="en-US" w:eastAsia="es-CO"/>
        </w:rPr>
        <w:t>qi / 2</w:t>
      </w:r>
    </w:p>
    <w:p w:rsidR="004E4427" w:rsidRPr="00F3763D" w:rsidRDefault="004E4427" w:rsidP="004E4427">
      <w:pPr>
        <w:spacing w:after="0" w:line="240" w:lineRule="auto"/>
        <w:jc w:val="both"/>
        <w:rPr>
          <w:rFonts w:ascii="Times New Roman" w:hAnsi="Times New Roman" w:cs="Times New Roman"/>
          <w:lang w:val="en-US" w:eastAsia="es-CO"/>
        </w:rPr>
      </w:pPr>
    </w:p>
    <w:p w:rsidR="004E4427" w:rsidRPr="00F3763D" w:rsidRDefault="004E4427" w:rsidP="004E4427">
      <w:pPr>
        <w:spacing w:after="0" w:line="240" w:lineRule="auto"/>
        <w:jc w:val="both"/>
        <w:rPr>
          <w:rFonts w:ascii="Times New Roman" w:hAnsi="Times New Roman" w:cs="Times New Roman"/>
          <w:lang w:val="en-US" w:eastAsia="es-CO"/>
        </w:rPr>
      </w:pPr>
      <w:r w:rsidRPr="00F3763D">
        <w:rPr>
          <w:rFonts w:ascii="Times New Roman" w:hAnsi="Times New Roman" w:cs="Times New Roman"/>
          <w:lang w:val="en-US" w:eastAsia="es-CO"/>
        </w:rPr>
        <w:t xml:space="preserve">In the equation </w:t>
      </w:r>
      <w:r w:rsidRPr="00F3763D">
        <w:rPr>
          <w:rFonts w:ascii="Times New Roman" w:hAnsi="Times New Roman" w:cs="Times New Roman"/>
          <w:lang w:eastAsia="es-CO"/>
        </w:rPr>
        <w:sym w:font="Symbol" w:char="F044"/>
      </w:r>
      <w:r w:rsidRPr="00F3763D">
        <w:rPr>
          <w:rFonts w:ascii="Times New Roman" w:hAnsi="Times New Roman" w:cs="Times New Roman"/>
          <w:lang w:val="en-US" w:eastAsia="es-CO"/>
        </w:rPr>
        <w:t>qi is t</w:t>
      </w:r>
      <w:r>
        <w:rPr>
          <w:rFonts w:ascii="Times New Roman" w:hAnsi="Times New Roman" w:cs="Times New Roman"/>
          <w:lang w:val="en-US" w:eastAsia="es-CO"/>
        </w:rPr>
        <w:t>he increase of electricity consumption</w:t>
      </w:r>
      <w:r w:rsidRPr="00F3763D">
        <w:rPr>
          <w:rFonts w:ascii="Times New Roman" w:hAnsi="Times New Roman" w:cs="Times New Roman"/>
          <w:lang w:val="en-US" w:eastAsia="es-CO"/>
        </w:rPr>
        <w:t xml:space="preserve"> in year i associated to the projects (</w:t>
      </w:r>
      <w:r w:rsidRPr="00F3763D">
        <w:rPr>
          <w:rFonts w:ascii="Times New Roman" w:hAnsi="Times New Roman" w:cs="Times New Roman"/>
          <w:lang w:eastAsia="es-CO"/>
        </w:rPr>
        <w:sym w:font="Symbol" w:char="F044"/>
      </w:r>
      <w:r w:rsidRPr="00F3763D">
        <w:rPr>
          <w:rFonts w:ascii="Times New Roman" w:hAnsi="Times New Roman" w:cs="Times New Roman"/>
          <w:lang w:val="en-US" w:eastAsia="es-CO"/>
        </w:rPr>
        <w:t>qi = Q</w:t>
      </w:r>
      <w:r w:rsidR="00FD1E90">
        <w:rPr>
          <w:rFonts w:ascii="Times New Roman" w:hAnsi="Times New Roman" w:cs="Times New Roman"/>
          <w:lang w:val="en-US" w:eastAsia="es-CO"/>
        </w:rPr>
        <w:t>m</w:t>
      </w:r>
      <w:r w:rsidR="00526CD4">
        <w:rPr>
          <w:rFonts w:ascii="Times New Roman" w:hAnsi="Times New Roman" w:cs="Times New Roman"/>
          <w:lang w:val="en-US" w:eastAsia="es-CO"/>
        </w:rPr>
        <w:t>i - Qi</w:t>
      </w:r>
      <w:r w:rsidRPr="00F3763D">
        <w:rPr>
          <w:rFonts w:ascii="Times New Roman" w:hAnsi="Times New Roman" w:cs="Times New Roman"/>
          <w:lang w:val="en-US" w:eastAsia="es-CO"/>
        </w:rPr>
        <w:t>), Pmi is calculated</w:t>
      </w:r>
      <w:r>
        <w:rPr>
          <w:rFonts w:ascii="Times New Roman" w:hAnsi="Times New Roman" w:cs="Times New Roman"/>
          <w:lang w:val="en-US" w:eastAsia="es-CO"/>
        </w:rPr>
        <w:t xml:space="preserve"> with P</w:t>
      </w:r>
      <w:r w:rsidR="00E03B2F">
        <w:rPr>
          <w:rFonts w:ascii="Times New Roman" w:hAnsi="Times New Roman" w:cs="Times New Roman"/>
          <w:lang w:val="en-US" w:eastAsia="es-CO"/>
        </w:rPr>
        <w:t>0</w:t>
      </w:r>
      <w:r>
        <w:rPr>
          <w:rFonts w:ascii="Times New Roman" w:hAnsi="Times New Roman" w:cs="Times New Roman"/>
          <w:lang w:val="en-US" w:eastAsia="es-CO"/>
        </w:rPr>
        <w:t>, E and the percentage Ri</w:t>
      </w:r>
      <w:r w:rsidRPr="00F3763D">
        <w:rPr>
          <w:rFonts w:ascii="Times New Roman" w:hAnsi="Times New Roman" w:cs="Times New Roman"/>
          <w:lang w:val="en-US" w:eastAsia="es-CO"/>
        </w:rPr>
        <w:t xml:space="preserve"> of additional electricity consumed</w:t>
      </w:r>
      <w:r>
        <w:rPr>
          <w:rFonts w:ascii="Times New Roman" w:hAnsi="Times New Roman" w:cs="Times New Roman"/>
          <w:lang w:val="en-US" w:eastAsia="es-CO"/>
        </w:rPr>
        <w:t xml:space="preserve"> attributable to the substations upgrade </w:t>
      </w:r>
      <w:r w:rsidR="00526CD4">
        <w:rPr>
          <w:rFonts w:ascii="Times New Roman" w:hAnsi="Times New Roman" w:cs="Times New Roman"/>
          <w:lang w:val="en-US" w:eastAsia="es-CO"/>
        </w:rPr>
        <w:t xml:space="preserve">as </w:t>
      </w:r>
      <w:r>
        <w:rPr>
          <w:rFonts w:ascii="Times New Roman" w:hAnsi="Times New Roman" w:cs="Times New Roman"/>
          <w:lang w:val="en-US" w:eastAsia="es-CO"/>
        </w:rPr>
        <w:t>Pmi = P</w:t>
      </w:r>
      <w:r w:rsidR="00526CD4">
        <w:rPr>
          <w:rFonts w:ascii="Times New Roman" w:hAnsi="Times New Roman" w:cs="Times New Roman"/>
          <w:lang w:val="en-US" w:eastAsia="es-CO"/>
        </w:rPr>
        <w:t>0 x (1</w:t>
      </w:r>
      <w:r>
        <w:rPr>
          <w:rFonts w:ascii="Times New Roman" w:hAnsi="Times New Roman" w:cs="Times New Roman"/>
          <w:lang w:val="en-US" w:eastAsia="es-CO"/>
        </w:rPr>
        <w:t xml:space="preserve"> - Ri</w:t>
      </w:r>
      <w:r w:rsidR="008B4B8C">
        <w:rPr>
          <w:rFonts w:ascii="Times New Roman" w:hAnsi="Times New Roman" w:cs="Times New Roman"/>
          <w:lang w:val="en-US" w:eastAsia="es-CO"/>
        </w:rPr>
        <w:t>/E</w:t>
      </w:r>
      <w:r w:rsidRPr="00F3763D">
        <w:rPr>
          <w:rFonts w:ascii="Times New Roman" w:hAnsi="Times New Roman" w:cs="Times New Roman"/>
          <w:lang w:val="en-US" w:eastAsia="es-CO"/>
        </w:rPr>
        <w:t xml:space="preserve">). </w:t>
      </w:r>
      <w:r w:rsidR="008B3D71" w:rsidRPr="00F3763D">
        <w:rPr>
          <w:rFonts w:ascii="Times New Roman" w:hAnsi="Times New Roman" w:cs="Times New Roman"/>
          <w:lang w:val="en-US" w:eastAsia="es-CO"/>
        </w:rPr>
        <w:t>Pi corresponds</w:t>
      </w:r>
      <w:r w:rsidRPr="00F3763D">
        <w:rPr>
          <w:rFonts w:ascii="Times New Roman" w:hAnsi="Times New Roman" w:cs="Times New Roman"/>
          <w:lang w:val="en-US" w:eastAsia="es-CO"/>
        </w:rPr>
        <w:t xml:space="preserve"> to the </w:t>
      </w:r>
      <w:r w:rsidR="00616222">
        <w:rPr>
          <w:rFonts w:ascii="Times New Roman" w:hAnsi="Times New Roman" w:cs="Times New Roman"/>
          <w:lang w:val="en-US" w:eastAsia="es-CO"/>
        </w:rPr>
        <w:t>“</w:t>
      </w:r>
      <w:r w:rsidRPr="00F3763D">
        <w:rPr>
          <w:rFonts w:ascii="Times New Roman" w:hAnsi="Times New Roman" w:cs="Times New Roman"/>
          <w:lang w:val="en-US" w:eastAsia="es-CO"/>
        </w:rPr>
        <w:t>cost effective tariff</w:t>
      </w:r>
      <w:r w:rsidR="00616222">
        <w:rPr>
          <w:rFonts w:ascii="Times New Roman" w:hAnsi="Times New Roman" w:cs="Times New Roman"/>
          <w:lang w:val="en-US" w:eastAsia="es-CO"/>
        </w:rPr>
        <w:t>”</w:t>
      </w:r>
      <w:r w:rsidRPr="00F3763D">
        <w:rPr>
          <w:rFonts w:ascii="Times New Roman" w:hAnsi="Times New Roman" w:cs="Times New Roman"/>
          <w:lang w:val="en-US" w:eastAsia="es-CO"/>
        </w:rPr>
        <w:t xml:space="preserve"> (</w:t>
      </w:r>
      <w:r w:rsidRPr="00F3763D">
        <w:rPr>
          <w:rFonts w:ascii="Times New Roman" w:eastAsia="MS Mincho" w:hAnsi="Times New Roman" w:cs="Times New Roman"/>
          <w:lang w:val="en-US" w:eastAsia="ja-JP"/>
        </w:rPr>
        <w:t>US$</w:t>
      </w:r>
      <w:r w:rsidR="00EE4C52">
        <w:rPr>
          <w:rFonts w:ascii="Times New Roman" w:hAnsi="Times New Roman" w:cs="Times New Roman"/>
          <w:lang w:val="en-US"/>
        </w:rPr>
        <w:t xml:space="preserve"> 162</w:t>
      </w:r>
      <w:r w:rsidR="00EE4C52">
        <w:rPr>
          <w:rFonts w:ascii="Times New Roman" w:eastAsia="MS Mincho" w:hAnsi="Times New Roman" w:cs="Times New Roman"/>
          <w:lang w:val="en-US" w:eastAsia="ja-JP"/>
        </w:rPr>
        <w:t>/M</w:t>
      </w:r>
      <w:r w:rsidRPr="00F3763D">
        <w:rPr>
          <w:rFonts w:ascii="Times New Roman" w:eastAsia="MS Mincho" w:hAnsi="Times New Roman" w:cs="Times New Roman"/>
          <w:lang w:val="en-US" w:eastAsia="ja-JP"/>
        </w:rPr>
        <w:t>Wh)</w:t>
      </w:r>
      <w:r w:rsidRPr="00F3763D">
        <w:rPr>
          <w:rFonts w:ascii="Times New Roman" w:hAnsi="Times New Roman" w:cs="Times New Roman"/>
          <w:lang w:val="en-US" w:eastAsia="es-CO"/>
        </w:rPr>
        <w:t>. It was applied a Price-Elasticity of -0.</w:t>
      </w:r>
      <w:r w:rsidR="008B4B8C">
        <w:rPr>
          <w:rFonts w:ascii="Times New Roman" w:hAnsi="Times New Roman" w:cs="Times New Roman"/>
          <w:lang w:val="en-US" w:eastAsia="es-CO"/>
        </w:rPr>
        <w:t>6</w:t>
      </w:r>
      <w:r w:rsidRPr="00F3763D">
        <w:rPr>
          <w:rFonts w:ascii="Times New Roman" w:hAnsi="Times New Roman" w:cs="Times New Roman"/>
          <w:lang w:val="en-US" w:eastAsia="es-CO"/>
        </w:rPr>
        <w:t>, according typical estimations of similar electricity markets in Latin America</w:t>
      </w:r>
      <w:r w:rsidRPr="00F3763D">
        <w:rPr>
          <w:rStyle w:val="FootnoteReference"/>
          <w:rFonts w:ascii="Times New Roman" w:hAnsi="Times New Roman" w:cs="Times New Roman"/>
          <w:lang w:eastAsia="es-CO"/>
        </w:rPr>
        <w:footnoteReference w:id="5"/>
      </w:r>
      <w:r>
        <w:rPr>
          <w:rFonts w:ascii="Times New Roman" w:hAnsi="Times New Roman" w:cs="Times New Roman"/>
          <w:lang w:val="en-US" w:eastAsia="es-CO"/>
        </w:rPr>
        <w:t xml:space="preserve"> and Ri</w:t>
      </w:r>
      <w:r w:rsidRPr="00F3763D">
        <w:rPr>
          <w:rFonts w:ascii="Times New Roman" w:hAnsi="Times New Roman" w:cs="Times New Roman"/>
          <w:lang w:val="en-US" w:eastAsia="es-CO"/>
        </w:rPr>
        <w:t xml:space="preserve"> (</w:t>
      </w:r>
      <w:r>
        <w:rPr>
          <w:rFonts w:ascii="Times New Roman" w:hAnsi="Times New Roman" w:cs="Times New Roman"/>
          <w:lang w:val="en-US" w:eastAsia="es-CO"/>
        </w:rPr>
        <w:t>Ri</w:t>
      </w:r>
      <w:r w:rsidRPr="00F3763D">
        <w:rPr>
          <w:rFonts w:ascii="Times New Roman" w:hAnsi="Times New Roman" w:cs="Times New Roman"/>
          <w:lang w:val="en-US" w:eastAsia="es-CO"/>
        </w:rPr>
        <w:t xml:space="preserve"> = </w:t>
      </w:r>
      <w:r w:rsidRPr="00F3763D">
        <w:rPr>
          <w:rFonts w:ascii="Times New Roman" w:hAnsi="Times New Roman" w:cs="Times New Roman"/>
          <w:lang w:eastAsia="es-CO"/>
        </w:rPr>
        <w:sym w:font="Symbol" w:char="F044"/>
      </w:r>
      <w:r w:rsidRPr="00F3763D">
        <w:rPr>
          <w:rFonts w:ascii="Times New Roman" w:hAnsi="Times New Roman" w:cs="Times New Roman"/>
          <w:lang w:val="en-US" w:eastAsia="es-CO"/>
        </w:rPr>
        <w:t>qi/Qi) was estimated from demand forecasts and distribution &amp; transmission capacities.</w:t>
      </w:r>
    </w:p>
    <w:p w:rsidR="004E4427" w:rsidRDefault="004E4427" w:rsidP="00192984">
      <w:pPr>
        <w:spacing w:after="0" w:line="240" w:lineRule="auto"/>
        <w:jc w:val="both"/>
        <w:rPr>
          <w:rFonts w:ascii="Times New Roman" w:hAnsi="Times New Roman" w:cs="Times New Roman"/>
          <w:lang w:val="en-US" w:eastAsia="es-CO"/>
        </w:rPr>
      </w:pPr>
    </w:p>
    <w:p w:rsidR="00AA5F43" w:rsidRDefault="00AA5F43">
      <w:pPr>
        <w:spacing w:after="0" w:line="240" w:lineRule="auto"/>
        <w:rPr>
          <w:rFonts w:ascii="Times New Roman" w:hAnsi="Times New Roman" w:cs="Times New Roman"/>
          <w:lang w:val="en-US" w:eastAsia="es-CO"/>
        </w:rPr>
      </w:pPr>
      <w:r>
        <w:rPr>
          <w:rFonts w:ascii="Times New Roman" w:hAnsi="Times New Roman" w:cs="Times New Roman"/>
          <w:lang w:val="en-US" w:eastAsia="es-CO"/>
        </w:rPr>
        <w:br w:type="page"/>
      </w:r>
    </w:p>
    <w:p w:rsidR="00AA5F43" w:rsidRDefault="00AA5F43" w:rsidP="00192984">
      <w:pPr>
        <w:spacing w:after="0" w:line="240" w:lineRule="auto"/>
        <w:jc w:val="both"/>
        <w:rPr>
          <w:rFonts w:ascii="Times New Roman" w:hAnsi="Times New Roman" w:cs="Times New Roman"/>
          <w:lang w:val="en-US" w:eastAsia="es-CO"/>
        </w:rPr>
      </w:pPr>
    </w:p>
    <w:p w:rsidR="00C128EB" w:rsidRPr="00F3763D" w:rsidRDefault="00C128EB" w:rsidP="00192984">
      <w:pPr>
        <w:spacing w:after="0" w:line="240" w:lineRule="auto"/>
        <w:jc w:val="both"/>
        <w:rPr>
          <w:rFonts w:ascii="Times New Roman" w:hAnsi="Times New Roman" w:cs="Times New Roman"/>
          <w:lang w:val="en-US" w:eastAsia="es-CO"/>
        </w:rPr>
      </w:pPr>
      <w:r w:rsidRPr="00F3763D">
        <w:rPr>
          <w:rFonts w:ascii="Times New Roman" w:hAnsi="Times New Roman" w:cs="Times New Roman"/>
          <w:lang w:val="en-US" w:eastAsia="es-CO"/>
        </w:rPr>
        <w:t>Demand forecasts of power distributed in each substation were obtained from historical peak demand in 2012 (in MVA) and applying future demand increase estimated by EBS for each substation (2.4% per year for substation</w:t>
      </w:r>
      <w:r>
        <w:rPr>
          <w:rFonts w:ascii="Times New Roman" w:hAnsi="Times New Roman" w:cs="Times New Roman"/>
          <w:lang w:val="en-US" w:eastAsia="es-CO"/>
        </w:rPr>
        <w:t>s</w:t>
      </w:r>
      <w:r w:rsidRPr="00F3763D">
        <w:rPr>
          <w:rFonts w:ascii="Times New Roman" w:hAnsi="Times New Roman" w:cs="Times New Roman"/>
          <w:lang w:val="en-US" w:eastAsia="es-CO"/>
        </w:rPr>
        <w:t xml:space="preserve"> C and Q and 3.4% per year for substations D, O, N and E</w:t>
      </w:r>
      <w:r>
        <w:rPr>
          <w:rFonts w:ascii="Times New Roman" w:hAnsi="Times New Roman" w:cs="Times New Roman"/>
          <w:lang w:val="en-US" w:eastAsia="es-CO"/>
        </w:rPr>
        <w:t xml:space="preserve">, see ANNEX </w:t>
      </w:r>
      <w:r w:rsidR="00590C0B">
        <w:rPr>
          <w:rFonts w:ascii="Times New Roman" w:hAnsi="Times New Roman" w:cs="Times New Roman"/>
          <w:lang w:val="en-US" w:eastAsia="es-CO"/>
        </w:rPr>
        <w:t>6</w:t>
      </w:r>
      <w:r w:rsidRPr="00F3763D">
        <w:rPr>
          <w:rFonts w:ascii="Times New Roman" w:hAnsi="Times New Roman" w:cs="Times New Roman"/>
          <w:lang w:val="en-US" w:eastAsia="es-CO"/>
        </w:rPr>
        <w:t>).</w:t>
      </w:r>
      <w:r w:rsidR="00C8580C">
        <w:rPr>
          <w:rFonts w:ascii="Times New Roman" w:hAnsi="Times New Roman" w:cs="Times New Roman"/>
          <w:lang w:val="en-US" w:eastAsia="es-CO"/>
        </w:rPr>
        <w:t xml:space="preserve"> </w:t>
      </w:r>
      <w:r w:rsidRPr="00F3763D">
        <w:rPr>
          <w:rFonts w:ascii="Times New Roman" w:hAnsi="Times New Roman" w:cs="Times New Roman"/>
          <w:lang w:val="en-US" w:eastAsia="es-CO"/>
        </w:rPr>
        <w:t xml:space="preserve">Energy demand forecasts in MWh/year in each substation was obtained from peak MVA forecasts by applying 0.9 as Power Factor, 0.71 as EPAR annual </w:t>
      </w:r>
      <w:r>
        <w:rPr>
          <w:rFonts w:ascii="Times New Roman" w:hAnsi="Times New Roman" w:cs="Times New Roman"/>
          <w:lang w:val="en-US" w:eastAsia="es-CO"/>
        </w:rPr>
        <w:t xml:space="preserve">average Load Factor (see ANNEX </w:t>
      </w:r>
      <w:r w:rsidR="00590C0B">
        <w:rPr>
          <w:rFonts w:ascii="Times New Roman" w:hAnsi="Times New Roman" w:cs="Times New Roman"/>
          <w:lang w:val="en-US" w:eastAsia="es-CO"/>
        </w:rPr>
        <w:t>6</w:t>
      </w:r>
      <w:r w:rsidRPr="00F3763D">
        <w:rPr>
          <w:rFonts w:ascii="Times New Roman" w:hAnsi="Times New Roman" w:cs="Times New Roman"/>
          <w:lang w:val="en-US" w:eastAsia="es-CO"/>
        </w:rPr>
        <w:t>) and 0.9 as Peak Load Diversity Factor. Electricity consumption of final users in MWh/per year was obtained considering 8</w:t>
      </w:r>
      <w:r w:rsidR="00EE4C52">
        <w:rPr>
          <w:rFonts w:ascii="Times New Roman" w:hAnsi="Times New Roman" w:cs="Times New Roman"/>
          <w:lang w:val="en-US" w:eastAsia="es-CO"/>
        </w:rPr>
        <w:t>.2</w:t>
      </w:r>
      <w:r w:rsidRPr="00F3763D">
        <w:rPr>
          <w:rFonts w:ascii="Times New Roman" w:hAnsi="Times New Roman" w:cs="Times New Roman"/>
          <w:lang w:val="en-US" w:eastAsia="es-CO"/>
        </w:rPr>
        <w:t>% as Loss Factor</w:t>
      </w:r>
      <w:r w:rsidR="00EE4C52">
        <w:rPr>
          <w:rFonts w:ascii="Times New Roman" w:hAnsi="Times New Roman" w:cs="Times New Roman"/>
          <w:lang w:val="en-US" w:eastAsia="es-CO"/>
        </w:rPr>
        <w:t>, as informed by EBS</w:t>
      </w:r>
      <w:r w:rsidRPr="00F3763D">
        <w:rPr>
          <w:rFonts w:ascii="Times New Roman" w:hAnsi="Times New Roman" w:cs="Times New Roman"/>
          <w:lang w:val="en-US" w:eastAsia="es-CO"/>
        </w:rPr>
        <w:t>.</w:t>
      </w:r>
    </w:p>
    <w:p w:rsidR="00C128EB" w:rsidRPr="00594C4D" w:rsidRDefault="00C128EB" w:rsidP="00594C4D">
      <w:pPr>
        <w:pStyle w:val="Heading1"/>
        <w:rPr>
          <w:rFonts w:ascii="Times New Roman" w:hAnsi="Times New Roman" w:cs="Times New Roman"/>
          <w:color w:val="000000"/>
          <w:sz w:val="22"/>
          <w:szCs w:val="22"/>
          <w:lang w:val="en-US"/>
        </w:rPr>
      </w:pPr>
      <w:bookmarkStart w:id="6" w:name="_Toc362245666"/>
      <w:r w:rsidRPr="00594C4D">
        <w:rPr>
          <w:rFonts w:ascii="Times New Roman" w:hAnsi="Times New Roman" w:cs="Times New Roman"/>
          <w:color w:val="000000"/>
          <w:sz w:val="22"/>
          <w:szCs w:val="22"/>
          <w:lang w:val="en-US"/>
        </w:rPr>
        <w:t>d.</w:t>
      </w:r>
      <w:r w:rsidRPr="00594C4D">
        <w:rPr>
          <w:rFonts w:ascii="Times New Roman" w:hAnsi="Times New Roman" w:cs="Times New Roman"/>
          <w:color w:val="000000"/>
          <w:sz w:val="22"/>
          <w:szCs w:val="22"/>
          <w:lang w:val="en-US"/>
        </w:rPr>
        <w:tab/>
        <w:t>Economic benefits associated to reduction in O&amp;M costs</w:t>
      </w:r>
      <w:bookmarkEnd w:id="6"/>
    </w:p>
    <w:p w:rsidR="00C128EB" w:rsidRPr="00F72F62" w:rsidRDefault="00C128EB" w:rsidP="00D85701">
      <w:pPr>
        <w:pStyle w:val="NoSpacing"/>
        <w:jc w:val="both"/>
        <w:rPr>
          <w:rFonts w:ascii="Times New Roman" w:hAnsi="Times New Roman" w:cs="Times New Roman"/>
          <w:lang w:val="en-US"/>
        </w:rPr>
      </w:pPr>
    </w:p>
    <w:p w:rsidR="00207AB4" w:rsidRDefault="00207AB4" w:rsidP="00D85701">
      <w:pPr>
        <w:pStyle w:val="NoSpacing"/>
        <w:jc w:val="both"/>
        <w:rPr>
          <w:rFonts w:ascii="Times New Roman" w:hAnsi="Times New Roman" w:cs="Times New Roman"/>
          <w:lang w:val="en-US"/>
        </w:rPr>
      </w:pPr>
    </w:p>
    <w:p w:rsidR="00C128EB" w:rsidRPr="00F72F62" w:rsidRDefault="00C128EB" w:rsidP="00D85701">
      <w:pPr>
        <w:pStyle w:val="NoSpacing"/>
        <w:jc w:val="both"/>
        <w:rPr>
          <w:rFonts w:ascii="Times New Roman" w:hAnsi="Times New Roman" w:cs="Times New Roman"/>
          <w:lang w:val="en-US"/>
        </w:rPr>
      </w:pPr>
      <w:r w:rsidRPr="00F72F62">
        <w:rPr>
          <w:rFonts w:ascii="Times New Roman" w:hAnsi="Times New Roman" w:cs="Times New Roman"/>
          <w:lang w:val="en-US"/>
        </w:rPr>
        <w:t xml:space="preserve">Today, the power supply of substations C and D implies significant Operation and Maintenance costs that will be reduced with the upgrade projects. EBS has estimated reductions of 720 men-hours of specialized labor per substation per year associated to these projects. With US$ </w:t>
      </w:r>
      <w:r w:rsidR="00EC138D">
        <w:rPr>
          <w:rFonts w:ascii="Times New Roman" w:hAnsi="Times New Roman" w:cs="Times New Roman"/>
          <w:lang w:val="en-US"/>
        </w:rPr>
        <w:t>18.5/ men-</w:t>
      </w:r>
      <w:r w:rsidRPr="00F72F62">
        <w:rPr>
          <w:rFonts w:ascii="Times New Roman" w:hAnsi="Times New Roman" w:cs="Times New Roman"/>
          <w:lang w:val="en-US"/>
        </w:rPr>
        <w:t>month basic salary and additional worker benefits this will imply annual savings of US</w:t>
      </w:r>
      <w:r w:rsidR="00EC138D" w:rsidRPr="00F72F62">
        <w:rPr>
          <w:rFonts w:ascii="Times New Roman" w:hAnsi="Times New Roman" w:cs="Times New Roman"/>
          <w:lang w:val="en-US"/>
        </w:rPr>
        <w:t>$</w:t>
      </w:r>
      <w:r w:rsidR="00EC138D">
        <w:rPr>
          <w:rFonts w:ascii="Times New Roman" w:hAnsi="Times New Roman" w:cs="Times New Roman"/>
          <w:lang w:val="en-US"/>
        </w:rPr>
        <w:t>13,320</w:t>
      </w:r>
      <w:r w:rsidRPr="00F72F62">
        <w:rPr>
          <w:rFonts w:ascii="Times New Roman" w:hAnsi="Times New Roman" w:cs="Times New Roman"/>
          <w:lang w:val="en-US"/>
        </w:rPr>
        <w:t xml:space="preserve"> in O&amp;M costs in each substation.</w:t>
      </w:r>
    </w:p>
    <w:p w:rsidR="00C128EB" w:rsidRPr="00F72F62" w:rsidRDefault="00C128EB" w:rsidP="00D85701">
      <w:pPr>
        <w:pStyle w:val="NoSpacing"/>
        <w:jc w:val="both"/>
        <w:rPr>
          <w:rFonts w:ascii="Times New Roman" w:hAnsi="Times New Roman" w:cs="Times New Roman"/>
          <w:lang w:val="en-US"/>
        </w:rPr>
      </w:pPr>
    </w:p>
    <w:p w:rsidR="00C128EB" w:rsidRPr="00F72F62" w:rsidRDefault="00C128EB" w:rsidP="00D85701">
      <w:pPr>
        <w:pStyle w:val="NoSpacing"/>
        <w:jc w:val="both"/>
        <w:rPr>
          <w:rFonts w:ascii="Times New Roman" w:hAnsi="Times New Roman" w:cs="Times New Roman"/>
          <w:lang w:val="en-US"/>
        </w:rPr>
      </w:pPr>
    </w:p>
    <w:p w:rsidR="00C128EB" w:rsidRDefault="00C128EB" w:rsidP="00CC4A3D">
      <w:pPr>
        <w:pStyle w:val="NoSpacing"/>
        <w:jc w:val="both"/>
        <w:rPr>
          <w:rFonts w:ascii="Times New Roman" w:hAnsi="Times New Roman" w:cs="Times New Roman"/>
          <w:lang w:val="en-US"/>
        </w:rPr>
      </w:pPr>
    </w:p>
    <w:p w:rsidR="00C128EB" w:rsidRPr="00207AB4" w:rsidRDefault="00C128EB" w:rsidP="00207AB4">
      <w:pPr>
        <w:pStyle w:val="Heading1"/>
        <w:rPr>
          <w:rFonts w:ascii="Times New Roman" w:hAnsi="Times New Roman" w:cs="Times New Roman"/>
          <w:color w:val="000000" w:themeColor="text1"/>
          <w:sz w:val="22"/>
          <w:szCs w:val="22"/>
          <w:lang w:val="en-US"/>
        </w:rPr>
      </w:pPr>
      <w:r>
        <w:rPr>
          <w:lang w:val="en-US"/>
        </w:rPr>
        <w:br w:type="page"/>
      </w:r>
      <w:bookmarkStart w:id="7" w:name="_Toc362245667"/>
      <w:r w:rsidRPr="00207AB4">
        <w:rPr>
          <w:rFonts w:ascii="Times New Roman" w:hAnsi="Times New Roman" w:cs="Times New Roman"/>
          <w:color w:val="000000" w:themeColor="text1"/>
          <w:sz w:val="22"/>
          <w:szCs w:val="22"/>
          <w:lang w:val="en-US"/>
        </w:rPr>
        <w:lastRenderedPageBreak/>
        <w:t xml:space="preserve">III. </w:t>
      </w:r>
      <w:r w:rsidRPr="00207AB4">
        <w:rPr>
          <w:rFonts w:ascii="Times New Roman" w:hAnsi="Times New Roman" w:cs="Times New Roman"/>
          <w:color w:val="000000" w:themeColor="text1"/>
          <w:sz w:val="22"/>
          <w:szCs w:val="22"/>
          <w:lang w:val="en-US"/>
        </w:rPr>
        <w:tab/>
        <w:t>Economic Benefits</w:t>
      </w:r>
      <w:bookmarkEnd w:id="7"/>
    </w:p>
    <w:p w:rsidR="00C128EB" w:rsidRDefault="00C128EB" w:rsidP="00CC4A3D">
      <w:pPr>
        <w:pStyle w:val="NoSpacing"/>
        <w:jc w:val="both"/>
        <w:rPr>
          <w:rFonts w:ascii="Times New Roman" w:hAnsi="Times New Roman" w:cs="Times New Roman"/>
          <w:lang w:val="en-US"/>
        </w:rPr>
      </w:pPr>
    </w:p>
    <w:p w:rsidR="00C128EB" w:rsidRDefault="00C128EB" w:rsidP="00CC4A3D">
      <w:pPr>
        <w:pStyle w:val="NoSpacing"/>
        <w:jc w:val="both"/>
        <w:rPr>
          <w:rFonts w:ascii="Times New Roman" w:hAnsi="Times New Roman" w:cs="Times New Roman"/>
          <w:lang w:val="en-US"/>
        </w:rPr>
      </w:pPr>
    </w:p>
    <w:p w:rsidR="00C128EB" w:rsidRPr="00D62DCA" w:rsidRDefault="00C128EB" w:rsidP="00D62DCA">
      <w:pPr>
        <w:pStyle w:val="NoSpacing"/>
        <w:jc w:val="both"/>
        <w:rPr>
          <w:rFonts w:ascii="Times New Roman" w:hAnsi="Times New Roman" w:cs="Times New Roman"/>
          <w:lang w:val="en-US"/>
        </w:rPr>
      </w:pPr>
      <w:r w:rsidRPr="00D62DCA">
        <w:rPr>
          <w:rFonts w:ascii="Times New Roman" w:hAnsi="Times New Roman" w:cs="Times New Roman"/>
          <w:lang w:val="en-US"/>
        </w:rPr>
        <w:t xml:space="preserve">Next table summarizes annual benefits estimated for each project and for the Strategic Short Term Investment Program in EPAR Electricity System (see ANNEX </w:t>
      </w:r>
      <w:r w:rsidR="00590C0B">
        <w:rPr>
          <w:rFonts w:ascii="Times New Roman" w:hAnsi="Times New Roman" w:cs="Times New Roman"/>
          <w:lang w:val="en-US"/>
        </w:rPr>
        <w:t>7</w:t>
      </w:r>
      <w:r w:rsidRPr="00D62DCA">
        <w:rPr>
          <w:rFonts w:ascii="Times New Roman" w:hAnsi="Times New Roman" w:cs="Times New Roman"/>
          <w:lang w:val="en-US"/>
        </w:rPr>
        <w:t xml:space="preserve"> for details about benefit calculations).</w:t>
      </w:r>
    </w:p>
    <w:p w:rsidR="00C128EB" w:rsidRDefault="00C128EB" w:rsidP="001318BF">
      <w:pPr>
        <w:pStyle w:val="NoSpacing"/>
        <w:rPr>
          <w:rFonts w:ascii="Times New Roman" w:hAnsi="Times New Roman" w:cs="Times New Roman"/>
          <w:lang w:val="en-US"/>
        </w:rPr>
      </w:pPr>
    </w:p>
    <w:p w:rsidR="00C128EB" w:rsidRDefault="00C128EB" w:rsidP="001318BF">
      <w:pPr>
        <w:pStyle w:val="NoSpacing"/>
        <w:rPr>
          <w:rFonts w:ascii="Times New Roman" w:hAnsi="Times New Roman" w:cs="Times New Roman"/>
          <w:b/>
          <w:bCs/>
          <w:lang w:val="en-US"/>
        </w:rPr>
      </w:pPr>
      <w:r>
        <w:rPr>
          <w:rFonts w:ascii="Times New Roman" w:hAnsi="Times New Roman" w:cs="Times New Roman"/>
          <w:b/>
          <w:bCs/>
          <w:lang w:val="en-US"/>
        </w:rPr>
        <w:t xml:space="preserve"> </w:t>
      </w:r>
    </w:p>
    <w:p w:rsidR="00C128EB" w:rsidRDefault="00C128EB" w:rsidP="001318BF">
      <w:pPr>
        <w:pStyle w:val="NoSpacing"/>
        <w:jc w:val="center"/>
        <w:rPr>
          <w:rFonts w:ascii="Times New Roman" w:hAnsi="Times New Roman" w:cs="Times New Roman"/>
          <w:b/>
          <w:bCs/>
          <w:sz w:val="18"/>
          <w:szCs w:val="18"/>
          <w:lang w:val="en-US"/>
        </w:rPr>
      </w:pPr>
      <w:r w:rsidRPr="001318BF">
        <w:rPr>
          <w:rFonts w:ascii="Times New Roman" w:hAnsi="Times New Roman" w:cs="Times New Roman"/>
          <w:b/>
          <w:bCs/>
          <w:sz w:val="18"/>
          <w:szCs w:val="18"/>
          <w:lang w:val="en-US"/>
        </w:rPr>
        <w:t>PROGRAM BENEFITS (US$ K)</w:t>
      </w:r>
    </w:p>
    <w:p w:rsidR="007D2E80" w:rsidRDefault="007D2E80" w:rsidP="001318BF">
      <w:pPr>
        <w:pStyle w:val="NoSpacing"/>
        <w:jc w:val="center"/>
        <w:rPr>
          <w:rFonts w:ascii="Times New Roman" w:hAnsi="Times New Roman" w:cs="Times New Roman"/>
          <w:b/>
          <w:bCs/>
          <w:sz w:val="18"/>
          <w:szCs w:val="18"/>
          <w:lang w:val="en-US"/>
        </w:rPr>
      </w:pPr>
    </w:p>
    <w:p w:rsidR="007D2E80" w:rsidRDefault="007D2E80" w:rsidP="001318BF">
      <w:pPr>
        <w:pStyle w:val="NoSpacing"/>
        <w:jc w:val="center"/>
        <w:rPr>
          <w:rFonts w:ascii="Times New Roman" w:hAnsi="Times New Roman" w:cs="Times New Roman"/>
          <w:b/>
          <w:bCs/>
          <w:sz w:val="18"/>
          <w:szCs w:val="18"/>
          <w:lang w:val="en-US"/>
        </w:rPr>
      </w:pPr>
    </w:p>
    <w:p w:rsidR="007D2E80" w:rsidRDefault="007D2E80" w:rsidP="001318BF">
      <w:pPr>
        <w:pStyle w:val="NoSpacing"/>
        <w:jc w:val="center"/>
        <w:rPr>
          <w:rFonts w:ascii="Times New Roman" w:hAnsi="Times New Roman" w:cs="Times New Roman"/>
          <w:b/>
          <w:bCs/>
          <w:sz w:val="18"/>
          <w:szCs w:val="18"/>
          <w:lang w:val="en-US"/>
        </w:rPr>
      </w:pPr>
      <w:r w:rsidRPr="00FE5968">
        <w:rPr>
          <w:noProof/>
          <w:szCs w:val="18"/>
          <w:lang w:val="en-US"/>
        </w:rPr>
        <w:drawing>
          <wp:inline distT="0" distB="0" distL="0" distR="0" wp14:anchorId="6882B467" wp14:editId="794FCC46">
            <wp:extent cx="5612130" cy="1870710"/>
            <wp:effectExtent l="0" t="0" r="0" b="0"/>
            <wp:docPr id="4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5612130" cy="1870710"/>
                    </a:xfrm>
                    <a:prstGeom prst="rect">
                      <a:avLst/>
                    </a:prstGeom>
                    <a:noFill/>
                    <a:ln w="9525">
                      <a:noFill/>
                      <a:miter lim="800000"/>
                      <a:headEnd/>
                      <a:tailEnd/>
                    </a:ln>
                  </pic:spPr>
                </pic:pic>
              </a:graphicData>
            </a:graphic>
          </wp:inline>
        </w:drawing>
      </w:r>
    </w:p>
    <w:p w:rsidR="007D2E80" w:rsidRDefault="007D2E80" w:rsidP="001318BF">
      <w:pPr>
        <w:pStyle w:val="NoSpacing"/>
        <w:jc w:val="center"/>
        <w:rPr>
          <w:rFonts w:ascii="Times New Roman" w:hAnsi="Times New Roman" w:cs="Times New Roman"/>
          <w:b/>
          <w:bCs/>
          <w:sz w:val="18"/>
          <w:szCs w:val="18"/>
          <w:lang w:val="en-US"/>
        </w:rPr>
      </w:pPr>
    </w:p>
    <w:p w:rsidR="007D2E80" w:rsidRDefault="007D2E80" w:rsidP="001318BF">
      <w:pPr>
        <w:pStyle w:val="NoSpacing"/>
        <w:jc w:val="center"/>
        <w:rPr>
          <w:rFonts w:ascii="Times New Roman" w:hAnsi="Times New Roman" w:cs="Times New Roman"/>
          <w:b/>
          <w:bCs/>
          <w:sz w:val="18"/>
          <w:szCs w:val="18"/>
          <w:lang w:val="en-US"/>
        </w:rPr>
      </w:pPr>
    </w:p>
    <w:p w:rsidR="00E6166A" w:rsidRDefault="00E6166A" w:rsidP="001318BF">
      <w:pPr>
        <w:pStyle w:val="NoSpacing"/>
        <w:jc w:val="center"/>
        <w:rPr>
          <w:rFonts w:ascii="Times New Roman" w:hAnsi="Times New Roman" w:cs="Times New Roman"/>
          <w:b/>
          <w:bCs/>
          <w:sz w:val="18"/>
          <w:szCs w:val="18"/>
          <w:lang w:val="en-US"/>
        </w:rPr>
      </w:pPr>
    </w:p>
    <w:p w:rsidR="00E6166A" w:rsidRDefault="00E6166A" w:rsidP="001318BF">
      <w:pPr>
        <w:pStyle w:val="NoSpacing"/>
        <w:jc w:val="center"/>
        <w:rPr>
          <w:rFonts w:ascii="Times New Roman" w:hAnsi="Times New Roman" w:cs="Times New Roman"/>
          <w:b/>
          <w:bCs/>
          <w:sz w:val="18"/>
          <w:szCs w:val="18"/>
          <w:lang w:val="en-US"/>
        </w:rPr>
      </w:pPr>
    </w:p>
    <w:p w:rsidR="008B3D71" w:rsidRDefault="008B3D71" w:rsidP="001318BF">
      <w:pPr>
        <w:pStyle w:val="NoSpacing"/>
        <w:jc w:val="center"/>
        <w:rPr>
          <w:rFonts w:ascii="Times New Roman" w:hAnsi="Times New Roman" w:cs="Times New Roman"/>
          <w:b/>
          <w:bCs/>
          <w:sz w:val="18"/>
          <w:szCs w:val="18"/>
          <w:lang w:val="en-US"/>
        </w:rPr>
      </w:pPr>
    </w:p>
    <w:p w:rsidR="008B3D71" w:rsidRDefault="008B3D71" w:rsidP="001318BF">
      <w:pPr>
        <w:pStyle w:val="NoSpacing"/>
        <w:jc w:val="center"/>
        <w:rPr>
          <w:rFonts w:ascii="Times New Roman" w:hAnsi="Times New Roman" w:cs="Times New Roman"/>
          <w:b/>
          <w:bCs/>
          <w:sz w:val="18"/>
          <w:szCs w:val="18"/>
          <w:lang w:val="en-US"/>
        </w:rPr>
      </w:pPr>
    </w:p>
    <w:p w:rsidR="00C720B9" w:rsidRDefault="00C720B9" w:rsidP="001318BF">
      <w:pPr>
        <w:pStyle w:val="NoSpacing"/>
        <w:jc w:val="center"/>
        <w:rPr>
          <w:rFonts w:ascii="Times New Roman" w:hAnsi="Times New Roman" w:cs="Times New Roman"/>
          <w:b/>
          <w:bCs/>
          <w:sz w:val="18"/>
          <w:szCs w:val="18"/>
          <w:lang w:val="en-US"/>
        </w:rPr>
      </w:pPr>
    </w:p>
    <w:p w:rsidR="00C720B9" w:rsidRDefault="00C720B9" w:rsidP="001318BF">
      <w:pPr>
        <w:pStyle w:val="NoSpacing"/>
        <w:jc w:val="center"/>
        <w:rPr>
          <w:rFonts w:ascii="Times New Roman" w:hAnsi="Times New Roman" w:cs="Times New Roman"/>
          <w:b/>
          <w:bCs/>
          <w:sz w:val="18"/>
          <w:szCs w:val="18"/>
          <w:lang w:val="en-US"/>
        </w:rPr>
      </w:pPr>
    </w:p>
    <w:p w:rsidR="00C128EB" w:rsidRDefault="00C128EB" w:rsidP="001318BF">
      <w:pPr>
        <w:pStyle w:val="NoSpacing"/>
        <w:jc w:val="center"/>
        <w:rPr>
          <w:rFonts w:ascii="Times New Roman" w:hAnsi="Times New Roman" w:cs="Times New Roman"/>
          <w:b/>
          <w:bCs/>
          <w:sz w:val="18"/>
          <w:szCs w:val="18"/>
          <w:lang w:val="en-US"/>
        </w:rPr>
      </w:pPr>
    </w:p>
    <w:p w:rsidR="00C128EB" w:rsidRPr="001318BF" w:rsidRDefault="00C128EB" w:rsidP="001318BF">
      <w:pPr>
        <w:pStyle w:val="NoSpacing"/>
        <w:jc w:val="center"/>
        <w:rPr>
          <w:rFonts w:ascii="Times New Roman" w:hAnsi="Times New Roman" w:cs="Times New Roman"/>
          <w:b/>
          <w:bCs/>
          <w:sz w:val="18"/>
          <w:szCs w:val="18"/>
          <w:lang w:val="en-US"/>
        </w:rPr>
      </w:pPr>
    </w:p>
    <w:p w:rsidR="00C128EB" w:rsidRDefault="00C128EB" w:rsidP="001318BF">
      <w:pPr>
        <w:pStyle w:val="NoSpacing"/>
        <w:rPr>
          <w:rFonts w:ascii="Times New Roman" w:hAnsi="Times New Roman" w:cs="Times New Roman"/>
          <w:b/>
          <w:bCs/>
          <w:lang w:val="en-US"/>
        </w:rPr>
      </w:pPr>
    </w:p>
    <w:p w:rsidR="00C128EB" w:rsidRDefault="00C128EB" w:rsidP="001318BF">
      <w:pPr>
        <w:pStyle w:val="NoSpacing"/>
        <w:jc w:val="center"/>
        <w:rPr>
          <w:rFonts w:ascii="Times New Roman" w:hAnsi="Times New Roman" w:cs="Times New Roman"/>
          <w:b/>
          <w:bCs/>
          <w:lang w:val="en-US"/>
        </w:rPr>
      </w:pPr>
    </w:p>
    <w:p w:rsidR="00C128EB" w:rsidRPr="00F72F62" w:rsidRDefault="00C128EB" w:rsidP="001318BF">
      <w:pPr>
        <w:pStyle w:val="NoSpacing"/>
        <w:rPr>
          <w:rFonts w:ascii="Times New Roman" w:hAnsi="Times New Roman" w:cs="Times New Roman"/>
          <w:b/>
          <w:bCs/>
          <w:lang w:val="en-US"/>
        </w:rPr>
      </w:pPr>
    </w:p>
    <w:p w:rsidR="00C128EB" w:rsidRDefault="00C128EB" w:rsidP="00D8527E">
      <w:pPr>
        <w:pStyle w:val="NoSpacing"/>
        <w:jc w:val="both"/>
        <w:rPr>
          <w:rFonts w:ascii="Arial" w:hAnsi="Arial" w:cs="Arial"/>
          <w:b/>
          <w:bCs/>
          <w:lang w:val="en-US"/>
        </w:rPr>
      </w:pPr>
    </w:p>
    <w:p w:rsidR="00C128EB" w:rsidRDefault="00C128EB" w:rsidP="00D8527E">
      <w:pPr>
        <w:pStyle w:val="NoSpacing"/>
        <w:jc w:val="both"/>
        <w:rPr>
          <w:rFonts w:ascii="Arial" w:hAnsi="Arial" w:cs="Arial"/>
          <w:b/>
          <w:bCs/>
          <w:lang w:val="en-US"/>
        </w:rPr>
      </w:pPr>
    </w:p>
    <w:p w:rsidR="00C128EB" w:rsidRPr="00F72F62" w:rsidRDefault="00C128EB" w:rsidP="009245E9">
      <w:pPr>
        <w:pStyle w:val="NoSpacing"/>
        <w:jc w:val="both"/>
        <w:rPr>
          <w:rFonts w:ascii="Times New Roman" w:hAnsi="Times New Roman" w:cs="Times New Roman"/>
          <w:lang w:val="en-US"/>
        </w:rPr>
      </w:pPr>
    </w:p>
    <w:p w:rsidR="00C128EB" w:rsidRDefault="00C128EB" w:rsidP="00D85701">
      <w:pPr>
        <w:pStyle w:val="NoSpacing"/>
        <w:jc w:val="both"/>
        <w:rPr>
          <w:rFonts w:ascii="Arial" w:hAnsi="Arial" w:cs="Arial"/>
          <w:b/>
          <w:bCs/>
          <w:lang w:val="en-US"/>
        </w:rPr>
      </w:pPr>
    </w:p>
    <w:p w:rsidR="00C128EB" w:rsidRDefault="00C128EB">
      <w:pPr>
        <w:rPr>
          <w:rFonts w:ascii="Times New Roman" w:hAnsi="Times New Roman" w:cs="Times New Roman"/>
          <w:lang w:val="en-US"/>
        </w:rPr>
      </w:pPr>
      <w:r>
        <w:rPr>
          <w:rFonts w:ascii="Times New Roman" w:hAnsi="Times New Roman" w:cs="Times New Roman"/>
          <w:lang w:val="en-US"/>
        </w:rPr>
        <w:br w:type="page"/>
      </w:r>
    </w:p>
    <w:p w:rsidR="00C128EB" w:rsidRPr="00594C4D" w:rsidRDefault="00C128EB" w:rsidP="00594C4D">
      <w:pPr>
        <w:pStyle w:val="Heading1"/>
        <w:rPr>
          <w:rFonts w:ascii="Times New Roman" w:hAnsi="Times New Roman" w:cs="Times New Roman"/>
          <w:color w:val="000000"/>
          <w:sz w:val="22"/>
          <w:szCs w:val="22"/>
          <w:lang w:val="en-US"/>
        </w:rPr>
      </w:pPr>
      <w:bookmarkStart w:id="8" w:name="_Toc362245668"/>
      <w:r w:rsidRPr="00594C4D">
        <w:rPr>
          <w:rFonts w:ascii="Times New Roman" w:hAnsi="Times New Roman" w:cs="Times New Roman"/>
          <w:color w:val="000000"/>
          <w:sz w:val="22"/>
          <w:szCs w:val="22"/>
          <w:lang w:val="en-US"/>
        </w:rPr>
        <w:lastRenderedPageBreak/>
        <w:t>IV.</w:t>
      </w:r>
      <w:r w:rsidRPr="00594C4D">
        <w:rPr>
          <w:rFonts w:ascii="Times New Roman" w:hAnsi="Times New Roman" w:cs="Times New Roman"/>
          <w:color w:val="000000"/>
          <w:sz w:val="22"/>
          <w:szCs w:val="22"/>
          <w:lang w:val="en-US"/>
        </w:rPr>
        <w:tab/>
        <w:t xml:space="preserve"> Economic Costs</w:t>
      </w:r>
      <w:bookmarkEnd w:id="8"/>
    </w:p>
    <w:p w:rsidR="00C128EB" w:rsidRDefault="00C128EB" w:rsidP="00D85701">
      <w:pPr>
        <w:pStyle w:val="NoSpacing"/>
        <w:jc w:val="both"/>
        <w:rPr>
          <w:rFonts w:ascii="Arial" w:hAnsi="Arial" w:cs="Arial"/>
          <w:b/>
          <w:bCs/>
          <w:lang w:val="en-US"/>
        </w:rPr>
      </w:pPr>
    </w:p>
    <w:p w:rsidR="00C128EB" w:rsidRDefault="00C128EB" w:rsidP="00E46E64">
      <w:pPr>
        <w:pStyle w:val="NoSpacing"/>
        <w:jc w:val="both"/>
        <w:rPr>
          <w:rFonts w:ascii="Times New Roman" w:hAnsi="Times New Roman" w:cs="Times New Roman"/>
          <w:lang w:val="en-US"/>
        </w:rPr>
      </w:pPr>
    </w:p>
    <w:p w:rsidR="00C128EB" w:rsidRDefault="00C128EB" w:rsidP="00E46E64">
      <w:pPr>
        <w:pStyle w:val="NoSpacing"/>
        <w:jc w:val="both"/>
        <w:rPr>
          <w:rFonts w:ascii="Times New Roman" w:hAnsi="Times New Roman" w:cs="Times New Roman"/>
          <w:lang w:val="en-US"/>
        </w:rPr>
      </w:pPr>
      <w:r w:rsidRPr="00E46E64">
        <w:rPr>
          <w:rFonts w:ascii="Times New Roman" w:hAnsi="Times New Roman" w:cs="Times New Roman"/>
          <w:lang w:val="en-US"/>
        </w:rPr>
        <w:t>Next table summarizes the investment costs</w:t>
      </w:r>
      <w:r>
        <w:rPr>
          <w:rFonts w:ascii="Times New Roman" w:hAnsi="Times New Roman" w:cs="Times New Roman"/>
          <w:lang w:val="en-US"/>
        </w:rPr>
        <w:t xml:space="preserve"> in the three projects included in the Strategic Short Term Investment Program in EPAR Electricity System.</w:t>
      </w:r>
    </w:p>
    <w:p w:rsidR="00C128EB" w:rsidRDefault="00C128EB" w:rsidP="00E46E64">
      <w:pPr>
        <w:pStyle w:val="NoSpacing"/>
        <w:jc w:val="both"/>
        <w:rPr>
          <w:rFonts w:ascii="Times New Roman" w:hAnsi="Times New Roman" w:cs="Times New Roman"/>
          <w:lang w:val="en-US"/>
        </w:rPr>
      </w:pPr>
    </w:p>
    <w:p w:rsidR="00C128EB" w:rsidRPr="00E46E64" w:rsidRDefault="00C128EB" w:rsidP="00E46E64">
      <w:pPr>
        <w:pStyle w:val="NoSpacing"/>
        <w:jc w:val="center"/>
        <w:rPr>
          <w:rFonts w:ascii="Times New Roman" w:hAnsi="Times New Roman" w:cs="Times New Roman"/>
          <w:b/>
          <w:bCs/>
          <w:lang w:val="en-US"/>
        </w:rPr>
      </w:pPr>
      <w:r>
        <w:rPr>
          <w:rFonts w:ascii="Times New Roman" w:hAnsi="Times New Roman" w:cs="Times New Roman"/>
          <w:b/>
          <w:bCs/>
          <w:lang w:val="en-US"/>
        </w:rPr>
        <w:t>INVESTMENT COSTS (US$</w:t>
      </w:r>
      <w:r w:rsidRPr="00E46E64">
        <w:rPr>
          <w:rFonts w:ascii="Times New Roman" w:hAnsi="Times New Roman" w:cs="Times New Roman"/>
          <w:b/>
          <w:bCs/>
          <w:lang w:val="en-US"/>
        </w:rPr>
        <w:t>)</w:t>
      </w:r>
    </w:p>
    <w:p w:rsidR="00C128EB" w:rsidRDefault="00C128EB" w:rsidP="00E46E64">
      <w:pPr>
        <w:pStyle w:val="NoSpacing"/>
        <w:jc w:val="center"/>
        <w:rPr>
          <w:rFonts w:ascii="Times New Roman" w:hAnsi="Times New Roman" w:cs="Times New Roman"/>
          <w:lang w:val="en-US"/>
        </w:rPr>
      </w:pPr>
    </w:p>
    <w:p w:rsidR="00C128EB" w:rsidRPr="00466728" w:rsidRDefault="00C128EB" w:rsidP="00E46E64">
      <w:pPr>
        <w:pStyle w:val="NoSpacing"/>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0E0DEA">
        <w:rPr>
          <w:rFonts w:ascii="Times New Roman" w:hAnsi="Times New Roman" w:cs="Times New Roman"/>
          <w:lang w:val="en-US"/>
        </w:rPr>
        <w:t>SCADA Extension</w:t>
      </w:r>
      <w:r>
        <w:rPr>
          <w:rFonts w:ascii="Times New Roman" w:hAnsi="Times New Roman" w:cs="Times New Roman"/>
          <w:lang w:val="en-US"/>
        </w:rPr>
        <w:t xml:space="preserve"> ........................</w:t>
      </w:r>
      <w:r w:rsidRPr="00466728">
        <w:rPr>
          <w:rFonts w:ascii="Times New Roman" w:hAnsi="Times New Roman" w:cs="Times New Roman"/>
          <w:lang w:val="en-US"/>
        </w:rPr>
        <w:t xml:space="preserve"> $ 6'000.000</w:t>
      </w:r>
    </w:p>
    <w:p w:rsidR="00C128EB" w:rsidRPr="00E46E64" w:rsidRDefault="00C128EB" w:rsidP="00E46E64">
      <w:pPr>
        <w:pStyle w:val="NoSpacing"/>
        <w:rPr>
          <w:rFonts w:ascii="Times New Roman" w:hAnsi="Times New Roman" w:cs="Times New Roman"/>
          <w:lang w:val="en-US"/>
        </w:rPr>
      </w:pPr>
      <w:r w:rsidRPr="00466728">
        <w:rPr>
          <w:rFonts w:ascii="Times New Roman" w:hAnsi="Times New Roman" w:cs="Times New Roman"/>
          <w:lang w:val="en-US"/>
        </w:rPr>
        <w:tab/>
      </w:r>
      <w:r w:rsidRPr="00466728">
        <w:rPr>
          <w:rFonts w:ascii="Times New Roman" w:hAnsi="Times New Roman" w:cs="Times New Roman"/>
          <w:lang w:val="en-US"/>
        </w:rPr>
        <w:tab/>
      </w:r>
      <w:r w:rsidRPr="00466728">
        <w:rPr>
          <w:rFonts w:ascii="Times New Roman" w:hAnsi="Times New Roman" w:cs="Times New Roman"/>
          <w:lang w:val="en-US"/>
        </w:rPr>
        <w:tab/>
      </w:r>
      <w:r w:rsidRPr="00E46E64">
        <w:rPr>
          <w:rFonts w:ascii="Times New Roman" w:hAnsi="Times New Roman" w:cs="Times New Roman"/>
          <w:lang w:val="en-US"/>
        </w:rPr>
        <w:t>Upgrade of Substation C</w:t>
      </w:r>
      <w:r>
        <w:rPr>
          <w:rFonts w:ascii="Times New Roman" w:hAnsi="Times New Roman" w:cs="Times New Roman"/>
          <w:lang w:val="en-US"/>
        </w:rPr>
        <w:t xml:space="preserve"> ..............  $ 4'626.000</w:t>
      </w:r>
    </w:p>
    <w:p w:rsidR="00C128EB" w:rsidRPr="00466728" w:rsidRDefault="00C128EB" w:rsidP="00E46E64">
      <w:pPr>
        <w:pStyle w:val="NoSpacing"/>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Upgrade of Substation D ..............  </w:t>
      </w:r>
      <w:r w:rsidRPr="00466728">
        <w:rPr>
          <w:rFonts w:ascii="Times New Roman" w:hAnsi="Times New Roman" w:cs="Times New Roman"/>
          <w:lang w:val="en-US"/>
        </w:rPr>
        <w:t>$ 2'260.000</w:t>
      </w:r>
    </w:p>
    <w:p w:rsidR="00C128EB" w:rsidRPr="00466728" w:rsidRDefault="00C128EB" w:rsidP="00E46E64">
      <w:pPr>
        <w:pStyle w:val="NoSpacing"/>
        <w:rPr>
          <w:rFonts w:ascii="Times New Roman" w:hAnsi="Times New Roman" w:cs="Times New Roman"/>
          <w:lang w:val="en-US"/>
        </w:rPr>
      </w:pPr>
      <w:r w:rsidRPr="00466728">
        <w:rPr>
          <w:rFonts w:ascii="Times New Roman" w:hAnsi="Times New Roman" w:cs="Times New Roman"/>
          <w:lang w:val="en-US"/>
        </w:rPr>
        <w:tab/>
      </w:r>
      <w:r w:rsidRPr="00466728">
        <w:rPr>
          <w:rFonts w:ascii="Times New Roman" w:hAnsi="Times New Roman" w:cs="Times New Roman"/>
          <w:lang w:val="en-US"/>
        </w:rPr>
        <w:tab/>
      </w:r>
      <w:r w:rsidRPr="00466728">
        <w:rPr>
          <w:rFonts w:ascii="Times New Roman" w:hAnsi="Times New Roman" w:cs="Times New Roman"/>
          <w:lang w:val="en-US"/>
        </w:rPr>
        <w:tab/>
      </w:r>
    </w:p>
    <w:p w:rsidR="00C128EB" w:rsidRPr="00E46E64" w:rsidRDefault="00C128EB" w:rsidP="00E46E64">
      <w:pPr>
        <w:pStyle w:val="NoSpacing"/>
        <w:rPr>
          <w:rFonts w:ascii="Times New Roman" w:hAnsi="Times New Roman" w:cs="Times New Roman"/>
          <w:lang w:val="en-US"/>
        </w:rPr>
      </w:pPr>
      <w:r w:rsidRPr="00466728">
        <w:rPr>
          <w:rFonts w:ascii="Times New Roman" w:hAnsi="Times New Roman" w:cs="Times New Roman"/>
          <w:lang w:val="en-US"/>
        </w:rPr>
        <w:tab/>
      </w:r>
      <w:r w:rsidRPr="00466728">
        <w:rPr>
          <w:rFonts w:ascii="Times New Roman" w:hAnsi="Times New Roman" w:cs="Times New Roman"/>
          <w:lang w:val="en-US"/>
        </w:rPr>
        <w:tab/>
      </w:r>
      <w:r w:rsidRPr="00466728">
        <w:rPr>
          <w:rFonts w:ascii="Times New Roman" w:hAnsi="Times New Roman" w:cs="Times New Roman"/>
          <w:lang w:val="en-US"/>
        </w:rPr>
        <w:tab/>
        <w:t xml:space="preserve">Total ............................................. </w:t>
      </w:r>
      <w:r>
        <w:rPr>
          <w:rFonts w:ascii="Times New Roman" w:hAnsi="Times New Roman" w:cs="Times New Roman"/>
          <w:lang w:val="en-US"/>
        </w:rPr>
        <w:t>$ 12'886.000</w:t>
      </w:r>
    </w:p>
    <w:p w:rsidR="00C128EB" w:rsidRDefault="00C128EB" w:rsidP="00E46E64">
      <w:pPr>
        <w:jc w:val="both"/>
        <w:rPr>
          <w:rFonts w:ascii="Times New Roman" w:hAnsi="Times New Roman" w:cs="Times New Roman"/>
          <w:lang w:val="en-US"/>
        </w:rPr>
      </w:pPr>
    </w:p>
    <w:p w:rsidR="00C128EB" w:rsidRDefault="00C128EB" w:rsidP="00E46E64">
      <w:pPr>
        <w:jc w:val="both"/>
        <w:rPr>
          <w:rFonts w:ascii="Times New Roman" w:hAnsi="Times New Roman" w:cs="Times New Roman"/>
          <w:lang w:val="en-US"/>
        </w:rPr>
      </w:pPr>
      <w:r>
        <w:rPr>
          <w:rFonts w:ascii="Times New Roman" w:hAnsi="Times New Roman" w:cs="Times New Roman"/>
          <w:lang w:val="en-US"/>
        </w:rPr>
        <w:t xml:space="preserve">The upgrade of the Substations C and D will reduce O&amp;M costs, which are counted as benefits. The O&amp;M </w:t>
      </w:r>
      <w:r w:rsidR="008B3D71">
        <w:rPr>
          <w:rFonts w:ascii="Times New Roman" w:hAnsi="Times New Roman" w:cs="Times New Roman"/>
          <w:lang w:val="en-US"/>
        </w:rPr>
        <w:t>costs of the SCADA Extension were</w:t>
      </w:r>
      <w:r>
        <w:rPr>
          <w:rFonts w:ascii="Times New Roman" w:hAnsi="Times New Roman" w:cs="Times New Roman"/>
          <w:lang w:val="en-US"/>
        </w:rPr>
        <w:t xml:space="preserve"> estimated in US$ 120.000/year. Also, </w:t>
      </w:r>
      <w:r w:rsidR="008B3D71">
        <w:rPr>
          <w:rFonts w:ascii="Times New Roman" w:hAnsi="Times New Roman" w:cs="Times New Roman"/>
          <w:lang w:val="en-US"/>
        </w:rPr>
        <w:t>a total generation, transmission and distribution cost of the additional energy supplied by these projects was</w:t>
      </w:r>
      <w:r>
        <w:rPr>
          <w:rFonts w:ascii="Times New Roman" w:hAnsi="Times New Roman" w:cs="Times New Roman"/>
          <w:lang w:val="en-US"/>
        </w:rPr>
        <w:t xml:space="preserve"> estimated equal to the "cost effective tariff" of US$ 16</w:t>
      </w:r>
      <w:r w:rsidR="00E75177">
        <w:rPr>
          <w:rFonts w:ascii="Times New Roman" w:hAnsi="Times New Roman" w:cs="Times New Roman"/>
          <w:lang w:val="en-US"/>
        </w:rPr>
        <w:t>2/</w:t>
      </w:r>
      <w:r w:rsidR="00EE4C52">
        <w:rPr>
          <w:rFonts w:ascii="Times New Roman" w:hAnsi="Times New Roman" w:cs="Times New Roman"/>
          <w:lang w:val="en-US"/>
        </w:rPr>
        <w:t>M</w:t>
      </w:r>
      <w:r>
        <w:rPr>
          <w:rFonts w:ascii="Times New Roman" w:hAnsi="Times New Roman" w:cs="Times New Roman"/>
          <w:lang w:val="en-US"/>
        </w:rPr>
        <w:t>Wh</w:t>
      </w:r>
      <w:r w:rsidR="00AE4341">
        <w:rPr>
          <w:rStyle w:val="FootnoteReference"/>
          <w:rFonts w:ascii="Times New Roman" w:hAnsi="Times New Roman" w:cs="Times New Roman"/>
          <w:lang w:val="en-US"/>
        </w:rPr>
        <w:footnoteReference w:id="6"/>
      </w:r>
      <w:r>
        <w:rPr>
          <w:rFonts w:ascii="Times New Roman" w:hAnsi="Times New Roman" w:cs="Times New Roman"/>
          <w:lang w:val="en-US"/>
        </w:rPr>
        <w:t>.</w:t>
      </w:r>
    </w:p>
    <w:p w:rsidR="00C128EB" w:rsidRDefault="00C128EB" w:rsidP="00E46E64">
      <w:pPr>
        <w:jc w:val="both"/>
        <w:rPr>
          <w:rFonts w:ascii="Times New Roman" w:hAnsi="Times New Roman" w:cs="Times New Roman"/>
          <w:lang w:val="en-US"/>
        </w:rPr>
      </w:pPr>
      <w:r>
        <w:rPr>
          <w:rFonts w:ascii="Times New Roman" w:hAnsi="Times New Roman" w:cs="Times New Roman"/>
          <w:lang w:val="en-US"/>
        </w:rPr>
        <w:t>Next table summarizes total Annual costs estimations</w:t>
      </w:r>
      <w:r w:rsidRPr="000E0DEA">
        <w:rPr>
          <w:rFonts w:ascii="Times New Roman" w:hAnsi="Times New Roman" w:cs="Times New Roman"/>
          <w:lang w:val="en-US"/>
        </w:rPr>
        <w:t xml:space="preserve"> </w:t>
      </w:r>
      <w:r>
        <w:rPr>
          <w:rFonts w:ascii="Times New Roman" w:hAnsi="Times New Roman" w:cs="Times New Roman"/>
          <w:lang w:val="en-US"/>
        </w:rPr>
        <w:t>for the Program.</w:t>
      </w:r>
    </w:p>
    <w:p w:rsidR="00C128EB" w:rsidRPr="007D2E80" w:rsidRDefault="00C128EB" w:rsidP="000E0DEA">
      <w:pPr>
        <w:jc w:val="center"/>
        <w:rPr>
          <w:rFonts w:ascii="Times New Roman" w:hAnsi="Times New Roman" w:cs="Times New Roman"/>
          <w:b/>
          <w:bCs/>
          <w:sz w:val="18"/>
          <w:szCs w:val="18"/>
          <w:lang w:val="en-US"/>
        </w:rPr>
      </w:pPr>
      <w:r w:rsidRPr="007D2E80">
        <w:rPr>
          <w:rFonts w:ascii="Times New Roman" w:hAnsi="Times New Roman" w:cs="Times New Roman"/>
          <w:b/>
          <w:bCs/>
          <w:sz w:val="18"/>
          <w:szCs w:val="18"/>
          <w:lang w:val="en-US"/>
        </w:rPr>
        <w:t>PROGRAM COSTS (US$ K)</w:t>
      </w:r>
    </w:p>
    <w:p w:rsidR="007D2E80" w:rsidRDefault="007D2E80" w:rsidP="000E0DEA">
      <w:pPr>
        <w:jc w:val="center"/>
        <w:rPr>
          <w:rFonts w:ascii="Times New Roman" w:hAnsi="Times New Roman" w:cs="Times New Roman"/>
          <w:b/>
          <w:bCs/>
          <w:lang w:val="en-US"/>
        </w:rPr>
      </w:pPr>
      <w:r w:rsidRPr="007D2E80">
        <w:rPr>
          <w:noProof/>
          <w:lang w:val="en-US"/>
        </w:rPr>
        <w:drawing>
          <wp:inline distT="0" distB="0" distL="0" distR="0" wp14:anchorId="05AB9E87" wp14:editId="23ED5BDD">
            <wp:extent cx="5612130" cy="1300210"/>
            <wp:effectExtent l="0" t="0" r="0" b="0"/>
            <wp:docPr id="4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5612130" cy="1300210"/>
                    </a:xfrm>
                    <a:prstGeom prst="rect">
                      <a:avLst/>
                    </a:prstGeom>
                    <a:noFill/>
                    <a:ln w="9525">
                      <a:noFill/>
                      <a:miter lim="800000"/>
                      <a:headEnd/>
                      <a:tailEnd/>
                    </a:ln>
                  </pic:spPr>
                </pic:pic>
              </a:graphicData>
            </a:graphic>
          </wp:inline>
        </w:drawing>
      </w:r>
    </w:p>
    <w:p w:rsidR="00E6166A" w:rsidRDefault="00E6166A" w:rsidP="000E0DEA">
      <w:pPr>
        <w:jc w:val="center"/>
        <w:rPr>
          <w:rFonts w:ascii="Times New Roman" w:hAnsi="Times New Roman" w:cs="Times New Roman"/>
          <w:b/>
          <w:bCs/>
          <w:lang w:val="en-US"/>
        </w:rPr>
      </w:pPr>
    </w:p>
    <w:p w:rsidR="00C720B9" w:rsidRPr="000E0DEA" w:rsidRDefault="00C720B9" w:rsidP="000E0DEA">
      <w:pPr>
        <w:jc w:val="center"/>
        <w:rPr>
          <w:rFonts w:ascii="Times New Roman" w:hAnsi="Times New Roman" w:cs="Times New Roman"/>
          <w:b/>
          <w:bCs/>
          <w:lang w:val="en-US"/>
        </w:rPr>
      </w:pPr>
    </w:p>
    <w:p w:rsidR="00C128EB" w:rsidRDefault="00C128EB" w:rsidP="00E46E64">
      <w:pPr>
        <w:jc w:val="both"/>
        <w:rPr>
          <w:rFonts w:ascii="Times New Roman" w:hAnsi="Times New Roman" w:cs="Times New Roman"/>
          <w:lang w:val="en-US"/>
        </w:rPr>
      </w:pPr>
    </w:p>
    <w:p w:rsidR="00C128EB" w:rsidRPr="00E46E64" w:rsidRDefault="00C128EB" w:rsidP="00E46E64">
      <w:pPr>
        <w:jc w:val="both"/>
        <w:rPr>
          <w:rFonts w:ascii="Times New Roman" w:hAnsi="Times New Roman" w:cs="Times New Roman"/>
          <w:lang w:val="en-US"/>
        </w:rPr>
      </w:pPr>
    </w:p>
    <w:p w:rsidR="00C128EB" w:rsidRDefault="00C128EB">
      <w:pPr>
        <w:rPr>
          <w:rFonts w:ascii="Times New Roman" w:hAnsi="Times New Roman" w:cs="Times New Roman"/>
          <w:b/>
          <w:bCs/>
          <w:lang w:val="en-US"/>
        </w:rPr>
      </w:pPr>
      <w:r>
        <w:rPr>
          <w:rFonts w:ascii="Times New Roman" w:hAnsi="Times New Roman" w:cs="Times New Roman"/>
          <w:b/>
          <w:bCs/>
          <w:lang w:val="en-US"/>
        </w:rPr>
        <w:br w:type="page"/>
      </w:r>
    </w:p>
    <w:p w:rsidR="00C128EB" w:rsidRPr="00594C4D" w:rsidRDefault="00C128EB" w:rsidP="00594C4D">
      <w:pPr>
        <w:pStyle w:val="Heading1"/>
        <w:rPr>
          <w:rFonts w:ascii="Times New Roman" w:hAnsi="Times New Roman" w:cs="Times New Roman"/>
          <w:color w:val="000000"/>
          <w:sz w:val="22"/>
          <w:szCs w:val="22"/>
          <w:lang w:val="en-US"/>
        </w:rPr>
      </w:pPr>
      <w:bookmarkStart w:id="9" w:name="_Toc362245669"/>
      <w:r w:rsidRPr="00594C4D">
        <w:rPr>
          <w:rFonts w:ascii="Times New Roman" w:hAnsi="Times New Roman" w:cs="Times New Roman"/>
          <w:color w:val="000000"/>
          <w:sz w:val="22"/>
          <w:szCs w:val="22"/>
          <w:lang w:val="en-US"/>
        </w:rPr>
        <w:lastRenderedPageBreak/>
        <w:t xml:space="preserve">V. </w:t>
      </w:r>
      <w:r w:rsidRPr="00594C4D">
        <w:rPr>
          <w:rFonts w:ascii="Times New Roman" w:hAnsi="Times New Roman" w:cs="Times New Roman"/>
          <w:color w:val="000000"/>
          <w:sz w:val="22"/>
          <w:szCs w:val="22"/>
          <w:lang w:val="en-US"/>
        </w:rPr>
        <w:tab/>
        <w:t>Economic Return</w:t>
      </w:r>
      <w:bookmarkEnd w:id="9"/>
    </w:p>
    <w:p w:rsidR="00C128EB" w:rsidRDefault="00C128EB">
      <w:pPr>
        <w:rPr>
          <w:rFonts w:ascii="Times New Roman" w:hAnsi="Times New Roman" w:cs="Times New Roman"/>
          <w:b/>
          <w:bCs/>
          <w:lang w:val="en-US"/>
        </w:rPr>
      </w:pPr>
    </w:p>
    <w:p w:rsidR="00C128EB" w:rsidRPr="0008292D" w:rsidRDefault="00C128EB" w:rsidP="0008292D">
      <w:pPr>
        <w:jc w:val="both"/>
        <w:rPr>
          <w:rFonts w:ascii="Times New Roman" w:hAnsi="Times New Roman" w:cs="Times New Roman"/>
          <w:lang w:val="en-US"/>
        </w:rPr>
      </w:pPr>
      <w:r w:rsidRPr="0008292D">
        <w:rPr>
          <w:rFonts w:ascii="Times New Roman" w:hAnsi="Times New Roman" w:cs="Times New Roman"/>
          <w:lang w:val="en-US"/>
        </w:rPr>
        <w:t xml:space="preserve">Next table contains the itinerary of Benefits and Costs associated to the </w:t>
      </w:r>
      <w:r w:rsidRPr="00BE29F0">
        <w:rPr>
          <w:rFonts w:ascii="Times New Roman" w:hAnsi="Times New Roman" w:cs="Times New Roman"/>
          <w:lang w:val="en-US"/>
        </w:rPr>
        <w:t>Strategic Short Term Investment Program in EPAR Electricity System</w:t>
      </w:r>
      <w:r w:rsidRPr="0008292D">
        <w:rPr>
          <w:rFonts w:ascii="Times New Roman" w:hAnsi="Times New Roman" w:cs="Times New Roman"/>
          <w:lang w:val="en-US"/>
        </w:rPr>
        <w:t>. The econo</w:t>
      </w:r>
      <w:r>
        <w:rPr>
          <w:rFonts w:ascii="Times New Roman" w:hAnsi="Times New Roman" w:cs="Times New Roman"/>
          <w:lang w:val="en-US"/>
        </w:rPr>
        <w:t>mic rate of return (ERR) estimate</w:t>
      </w:r>
      <w:r w:rsidR="007575AF">
        <w:rPr>
          <w:rFonts w:ascii="Times New Roman" w:hAnsi="Times New Roman" w:cs="Times New Roman"/>
          <w:lang w:val="en-US"/>
        </w:rPr>
        <w:t xml:space="preserve">d for the entire program is </w:t>
      </w:r>
      <w:r w:rsidR="007D2E80">
        <w:rPr>
          <w:rFonts w:ascii="Times New Roman" w:hAnsi="Times New Roman" w:cs="Times New Roman"/>
          <w:lang w:val="en-US"/>
        </w:rPr>
        <w:t>19.2</w:t>
      </w:r>
      <w:r w:rsidRPr="0008292D">
        <w:rPr>
          <w:rFonts w:ascii="Times New Roman" w:hAnsi="Times New Roman" w:cs="Times New Roman"/>
          <w:lang w:val="en-US"/>
        </w:rPr>
        <w:t>% and the present value of its net benefits (</w:t>
      </w:r>
      <w:r w:rsidR="007575AF">
        <w:rPr>
          <w:rFonts w:ascii="Times New Roman" w:hAnsi="Times New Roman" w:cs="Times New Roman"/>
          <w:lang w:val="en-US"/>
        </w:rPr>
        <w:t xml:space="preserve">at 12% discount rate) is USD </w:t>
      </w:r>
      <w:r w:rsidR="007D2E80">
        <w:rPr>
          <w:rFonts w:ascii="Times New Roman" w:hAnsi="Times New Roman" w:cs="Times New Roman"/>
          <w:lang w:val="en-US"/>
        </w:rPr>
        <w:t>8.12</w:t>
      </w:r>
      <w:r>
        <w:rPr>
          <w:rFonts w:ascii="Times New Roman" w:hAnsi="Times New Roman" w:cs="Times New Roman"/>
          <w:lang w:val="en-US"/>
        </w:rPr>
        <w:t xml:space="preserve"> million</w:t>
      </w:r>
      <w:r w:rsidRPr="0008292D">
        <w:rPr>
          <w:rFonts w:ascii="Times New Roman" w:hAnsi="Times New Roman" w:cs="Times New Roman"/>
          <w:lang w:val="en-US"/>
        </w:rPr>
        <w:t xml:space="preserve">.  </w:t>
      </w:r>
    </w:p>
    <w:p w:rsidR="00C128EB" w:rsidRDefault="00C128EB" w:rsidP="00E70B5B">
      <w:pPr>
        <w:jc w:val="both"/>
        <w:rPr>
          <w:rFonts w:ascii="Times New Roman" w:hAnsi="Times New Roman" w:cs="Times New Roman"/>
          <w:lang w:val="en-US"/>
        </w:rPr>
      </w:pPr>
      <w:r>
        <w:rPr>
          <w:rFonts w:ascii="Times New Roman" w:hAnsi="Times New Roman" w:cs="Times New Roman"/>
          <w:lang w:val="en-US"/>
        </w:rPr>
        <w:t>The economic rate of return estimate</w:t>
      </w:r>
      <w:r w:rsidR="008B3D71">
        <w:rPr>
          <w:rFonts w:ascii="Times New Roman" w:hAnsi="Times New Roman" w:cs="Times New Roman"/>
          <w:lang w:val="en-US"/>
        </w:rPr>
        <w:t>d for the SCADA extension is 15.8</w:t>
      </w:r>
      <w:r>
        <w:rPr>
          <w:rFonts w:ascii="Times New Roman" w:hAnsi="Times New Roman" w:cs="Times New Roman"/>
          <w:lang w:val="en-US"/>
        </w:rPr>
        <w:t>% and</w:t>
      </w:r>
      <w:r w:rsidR="008B3D71">
        <w:rPr>
          <w:rFonts w:ascii="Times New Roman" w:hAnsi="Times New Roman" w:cs="Times New Roman"/>
          <w:lang w:val="en-US"/>
        </w:rPr>
        <w:t xml:space="preserve"> its net present value is USD 1.50</w:t>
      </w:r>
      <w:r>
        <w:rPr>
          <w:rFonts w:ascii="Times New Roman" w:hAnsi="Times New Roman" w:cs="Times New Roman"/>
          <w:lang w:val="en-US"/>
        </w:rPr>
        <w:t xml:space="preserve"> million; benefits evaluated for this project were the expected economic savings associated to the reduction of energy shortages in Paramaribo and it were not considered other project benefits as</w:t>
      </w:r>
      <w:r w:rsidRPr="00E70B5B">
        <w:rPr>
          <w:rFonts w:ascii="Times New Roman" w:hAnsi="Times New Roman" w:cs="Times New Roman"/>
          <w:lang w:val="en-US"/>
        </w:rPr>
        <w:t xml:space="preserve"> </w:t>
      </w:r>
      <w:r>
        <w:rPr>
          <w:rFonts w:ascii="Times New Roman" w:hAnsi="Times New Roman" w:cs="Times New Roman"/>
          <w:lang w:val="en-US"/>
        </w:rPr>
        <w:t>increasing</w:t>
      </w:r>
      <w:r w:rsidRPr="00C87469">
        <w:rPr>
          <w:rFonts w:ascii="Times New Roman" w:hAnsi="Times New Roman" w:cs="Times New Roman"/>
          <w:lang w:val="en-US"/>
        </w:rPr>
        <w:t xml:space="preserve"> customer satisfaction</w:t>
      </w:r>
      <w:r>
        <w:rPr>
          <w:rFonts w:ascii="Times New Roman" w:hAnsi="Times New Roman" w:cs="Times New Roman"/>
          <w:lang w:val="en-US"/>
        </w:rPr>
        <w:t xml:space="preserve"> by m</w:t>
      </w:r>
      <w:r w:rsidRPr="00C87469">
        <w:rPr>
          <w:rFonts w:ascii="Times New Roman" w:hAnsi="Times New Roman" w:cs="Times New Roman"/>
          <w:lang w:val="en-US"/>
        </w:rPr>
        <w:t>eeting the mandated power quality</w:t>
      </w:r>
      <w:r>
        <w:rPr>
          <w:rFonts w:ascii="Times New Roman" w:hAnsi="Times New Roman" w:cs="Times New Roman"/>
          <w:lang w:val="en-US"/>
        </w:rPr>
        <w:t xml:space="preserve"> and </w:t>
      </w:r>
      <w:r w:rsidRPr="00C87469">
        <w:rPr>
          <w:rFonts w:ascii="Times New Roman" w:hAnsi="Times New Roman" w:cs="Times New Roman"/>
          <w:lang w:val="en-US"/>
        </w:rPr>
        <w:t>cost reductions and increased</w:t>
      </w:r>
      <w:r>
        <w:rPr>
          <w:rFonts w:ascii="Times New Roman" w:hAnsi="Times New Roman" w:cs="Times New Roman"/>
          <w:lang w:val="en-US"/>
        </w:rPr>
        <w:t xml:space="preserve"> EBS</w:t>
      </w:r>
      <w:r w:rsidRPr="00C87469">
        <w:rPr>
          <w:rFonts w:ascii="Times New Roman" w:hAnsi="Times New Roman" w:cs="Times New Roman"/>
          <w:lang w:val="en-US"/>
        </w:rPr>
        <w:t xml:space="preserve"> revenue</w:t>
      </w:r>
      <w:r>
        <w:rPr>
          <w:rFonts w:ascii="Times New Roman" w:hAnsi="Times New Roman" w:cs="Times New Roman"/>
          <w:lang w:val="en-US"/>
        </w:rPr>
        <w:t>s due to improvements in r</w:t>
      </w:r>
      <w:r w:rsidRPr="00C87469">
        <w:rPr>
          <w:rFonts w:ascii="Times New Roman" w:hAnsi="Times New Roman" w:cs="Times New Roman"/>
          <w:lang w:val="en-US"/>
        </w:rPr>
        <w:t>eal time s</w:t>
      </w:r>
      <w:r>
        <w:rPr>
          <w:rFonts w:ascii="Times New Roman" w:hAnsi="Times New Roman" w:cs="Times New Roman"/>
          <w:lang w:val="en-US"/>
        </w:rPr>
        <w:t>trategic decision making</w:t>
      </w:r>
      <w:r w:rsidRPr="00C87469">
        <w:rPr>
          <w:rFonts w:ascii="Times New Roman" w:hAnsi="Times New Roman" w:cs="Times New Roman"/>
          <w:lang w:val="en-US"/>
        </w:rPr>
        <w:t>.</w:t>
      </w:r>
    </w:p>
    <w:p w:rsidR="00C128EB" w:rsidRDefault="00C128EB" w:rsidP="00E70B5B">
      <w:pPr>
        <w:jc w:val="both"/>
        <w:rPr>
          <w:rFonts w:ascii="Times New Roman" w:hAnsi="Times New Roman" w:cs="Times New Roman"/>
          <w:lang w:val="en-US"/>
        </w:rPr>
      </w:pPr>
      <w:r>
        <w:rPr>
          <w:rFonts w:ascii="Times New Roman" w:hAnsi="Times New Roman" w:cs="Times New Roman"/>
          <w:lang w:val="en-US"/>
        </w:rPr>
        <w:t xml:space="preserve">The economic rate of returns estimated for the upgrade of substations C and D are </w:t>
      </w:r>
      <w:r w:rsidR="007D2E80">
        <w:rPr>
          <w:rFonts w:ascii="Times New Roman" w:hAnsi="Times New Roman" w:cs="Times New Roman"/>
          <w:lang w:val="en-US"/>
        </w:rPr>
        <w:t>21.6</w:t>
      </w:r>
      <w:r>
        <w:rPr>
          <w:rFonts w:ascii="Times New Roman" w:hAnsi="Times New Roman" w:cs="Times New Roman"/>
          <w:lang w:val="en-US"/>
        </w:rPr>
        <w:t xml:space="preserve">% and </w:t>
      </w:r>
      <w:r w:rsidR="007D2E80">
        <w:rPr>
          <w:rFonts w:ascii="Times New Roman" w:hAnsi="Times New Roman" w:cs="Times New Roman"/>
          <w:lang w:val="en-US"/>
        </w:rPr>
        <w:t>20</w:t>
      </w:r>
      <w:r w:rsidR="00FD1E90">
        <w:rPr>
          <w:rFonts w:ascii="Times New Roman" w:hAnsi="Times New Roman" w:cs="Times New Roman"/>
          <w:lang w:val="en-US"/>
        </w:rPr>
        <w:t>.8</w:t>
      </w:r>
      <w:r>
        <w:rPr>
          <w:rFonts w:ascii="Times New Roman" w:hAnsi="Times New Roman" w:cs="Times New Roman"/>
          <w:lang w:val="en-US"/>
        </w:rPr>
        <w:t xml:space="preserve">%, respectively, and their net present values are USD </w:t>
      </w:r>
      <w:r w:rsidR="007D2E80">
        <w:rPr>
          <w:rFonts w:ascii="Times New Roman" w:hAnsi="Times New Roman" w:cs="Times New Roman"/>
          <w:lang w:val="en-US"/>
        </w:rPr>
        <w:t>3.58</w:t>
      </w:r>
      <w:r>
        <w:rPr>
          <w:rFonts w:ascii="Times New Roman" w:hAnsi="Times New Roman" w:cs="Times New Roman"/>
          <w:lang w:val="en-US"/>
        </w:rPr>
        <w:t xml:space="preserve"> million and USD </w:t>
      </w:r>
      <w:r w:rsidR="007D2E80">
        <w:rPr>
          <w:rFonts w:ascii="Times New Roman" w:hAnsi="Times New Roman" w:cs="Times New Roman"/>
          <w:lang w:val="en-US"/>
        </w:rPr>
        <w:t>3.03</w:t>
      </w:r>
      <w:r>
        <w:rPr>
          <w:rFonts w:ascii="Times New Roman" w:hAnsi="Times New Roman" w:cs="Times New Roman"/>
          <w:lang w:val="en-US"/>
        </w:rPr>
        <w:t xml:space="preserve"> million, respectively. </w:t>
      </w:r>
    </w:p>
    <w:p w:rsidR="00C128EB" w:rsidRDefault="00C128EB" w:rsidP="00C21FD7">
      <w:pPr>
        <w:jc w:val="center"/>
        <w:rPr>
          <w:rFonts w:ascii="Times New Roman" w:hAnsi="Times New Roman" w:cs="Times New Roman"/>
          <w:b/>
          <w:bCs/>
          <w:sz w:val="18"/>
          <w:szCs w:val="18"/>
          <w:lang w:val="en-US"/>
        </w:rPr>
      </w:pPr>
      <w:r w:rsidRPr="00C21FD7">
        <w:rPr>
          <w:rFonts w:ascii="Times New Roman" w:hAnsi="Times New Roman" w:cs="Times New Roman"/>
          <w:b/>
          <w:bCs/>
          <w:sz w:val="18"/>
          <w:szCs w:val="18"/>
          <w:lang w:val="en-US"/>
        </w:rPr>
        <w:t>PROGRAM ECONOMIC RETURN (US$ K)</w:t>
      </w:r>
    </w:p>
    <w:p w:rsidR="00E6166A" w:rsidRDefault="007D2E80" w:rsidP="00C21FD7">
      <w:pPr>
        <w:jc w:val="center"/>
        <w:rPr>
          <w:rFonts w:ascii="Times New Roman" w:hAnsi="Times New Roman" w:cs="Times New Roman"/>
          <w:b/>
          <w:bCs/>
          <w:sz w:val="18"/>
          <w:szCs w:val="18"/>
          <w:lang w:val="en-US"/>
        </w:rPr>
      </w:pPr>
      <w:r w:rsidRPr="00FE5968">
        <w:rPr>
          <w:noProof/>
          <w:szCs w:val="18"/>
          <w:lang w:val="en-US"/>
        </w:rPr>
        <w:drawing>
          <wp:inline distT="0" distB="0" distL="0" distR="0" wp14:anchorId="2C438FD4" wp14:editId="36F17F80">
            <wp:extent cx="5612130" cy="1513853"/>
            <wp:effectExtent l="0" t="0" r="0" b="0"/>
            <wp:docPr id="4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5612130" cy="1513853"/>
                    </a:xfrm>
                    <a:prstGeom prst="rect">
                      <a:avLst/>
                    </a:prstGeom>
                    <a:noFill/>
                    <a:ln w="9525">
                      <a:noFill/>
                      <a:miter lim="800000"/>
                      <a:headEnd/>
                      <a:tailEnd/>
                    </a:ln>
                  </pic:spPr>
                </pic:pic>
              </a:graphicData>
            </a:graphic>
          </wp:inline>
        </w:drawing>
      </w:r>
    </w:p>
    <w:p w:rsidR="00E6166A" w:rsidRDefault="00E6166A" w:rsidP="00C21FD7">
      <w:pPr>
        <w:jc w:val="center"/>
        <w:rPr>
          <w:rFonts w:ascii="Times New Roman" w:hAnsi="Times New Roman" w:cs="Times New Roman"/>
          <w:b/>
          <w:bCs/>
          <w:sz w:val="18"/>
          <w:szCs w:val="18"/>
          <w:lang w:val="en-US"/>
        </w:rPr>
      </w:pPr>
    </w:p>
    <w:p w:rsidR="008B3D71" w:rsidRDefault="008B3D71" w:rsidP="00C21FD7">
      <w:pPr>
        <w:jc w:val="center"/>
        <w:rPr>
          <w:rFonts w:ascii="Times New Roman" w:hAnsi="Times New Roman" w:cs="Times New Roman"/>
          <w:b/>
          <w:bCs/>
          <w:sz w:val="18"/>
          <w:szCs w:val="18"/>
          <w:lang w:val="en-US"/>
        </w:rPr>
      </w:pPr>
    </w:p>
    <w:p w:rsidR="00C128EB" w:rsidRDefault="00C128EB" w:rsidP="00C21FD7">
      <w:pPr>
        <w:jc w:val="center"/>
        <w:rPr>
          <w:rFonts w:ascii="Times New Roman" w:hAnsi="Times New Roman" w:cs="Times New Roman"/>
          <w:b/>
          <w:bCs/>
          <w:sz w:val="18"/>
          <w:szCs w:val="18"/>
          <w:lang w:val="en-US"/>
        </w:rPr>
      </w:pPr>
    </w:p>
    <w:p w:rsidR="00C128EB" w:rsidRDefault="00C128EB" w:rsidP="00C21FD7">
      <w:pPr>
        <w:jc w:val="center"/>
        <w:rPr>
          <w:rFonts w:ascii="Times New Roman" w:hAnsi="Times New Roman" w:cs="Times New Roman"/>
          <w:b/>
          <w:bCs/>
          <w:sz w:val="18"/>
          <w:szCs w:val="18"/>
          <w:lang w:val="en-US"/>
        </w:rPr>
      </w:pPr>
    </w:p>
    <w:p w:rsidR="00C128EB" w:rsidRPr="00C21FD7" w:rsidRDefault="00C128EB" w:rsidP="00C21FD7">
      <w:pPr>
        <w:jc w:val="center"/>
        <w:rPr>
          <w:rFonts w:ascii="Times New Roman" w:hAnsi="Times New Roman" w:cs="Times New Roman"/>
          <w:b/>
          <w:bCs/>
          <w:sz w:val="18"/>
          <w:szCs w:val="18"/>
          <w:lang w:val="en-US"/>
        </w:rPr>
      </w:pPr>
    </w:p>
    <w:p w:rsidR="00C128EB" w:rsidRPr="00737445" w:rsidRDefault="00C128EB" w:rsidP="00737445">
      <w:pPr>
        <w:pStyle w:val="Heading1"/>
        <w:rPr>
          <w:rFonts w:ascii="Times New Roman" w:hAnsi="Times New Roman" w:cs="Times New Roman"/>
          <w:color w:val="auto"/>
          <w:sz w:val="22"/>
          <w:szCs w:val="22"/>
          <w:lang w:val="en-US"/>
        </w:rPr>
      </w:pPr>
      <w:r w:rsidRPr="00C21FD7">
        <w:rPr>
          <w:lang w:val="en-US"/>
        </w:rPr>
        <w:t xml:space="preserve"> </w:t>
      </w:r>
      <w:r w:rsidRPr="00BE29F0">
        <w:rPr>
          <w:lang w:val="en-US"/>
        </w:rPr>
        <w:br w:type="page"/>
      </w:r>
      <w:bookmarkStart w:id="10" w:name="_Toc362245670"/>
      <w:r w:rsidRPr="00737445">
        <w:rPr>
          <w:rFonts w:ascii="Times New Roman" w:hAnsi="Times New Roman" w:cs="Times New Roman"/>
          <w:color w:val="auto"/>
          <w:sz w:val="22"/>
          <w:szCs w:val="22"/>
          <w:lang w:val="en-US"/>
        </w:rPr>
        <w:lastRenderedPageBreak/>
        <w:t xml:space="preserve">VI. </w:t>
      </w:r>
      <w:r w:rsidRPr="00737445">
        <w:rPr>
          <w:rFonts w:ascii="Times New Roman" w:hAnsi="Times New Roman" w:cs="Times New Roman"/>
          <w:color w:val="auto"/>
          <w:sz w:val="22"/>
          <w:szCs w:val="22"/>
          <w:lang w:val="en-US"/>
        </w:rPr>
        <w:tab/>
        <w:t>Sensitivity analysis</w:t>
      </w:r>
      <w:bookmarkEnd w:id="10"/>
    </w:p>
    <w:p w:rsidR="00C128EB" w:rsidRDefault="00C128EB" w:rsidP="0008292D">
      <w:pPr>
        <w:rPr>
          <w:lang w:val="en-US"/>
        </w:rPr>
      </w:pPr>
    </w:p>
    <w:p w:rsidR="00C128EB" w:rsidRDefault="00C128EB" w:rsidP="00E70B5B">
      <w:pPr>
        <w:jc w:val="both"/>
        <w:rPr>
          <w:rFonts w:ascii="Times New Roman" w:hAnsi="Times New Roman" w:cs="Times New Roman"/>
          <w:lang w:val="en-US"/>
        </w:rPr>
      </w:pPr>
      <w:r>
        <w:rPr>
          <w:rFonts w:ascii="Times New Roman" w:hAnsi="Times New Roman" w:cs="Times New Roman"/>
          <w:lang w:val="en-US"/>
        </w:rPr>
        <w:t>A</w:t>
      </w:r>
      <w:r w:rsidRPr="00E70B5B">
        <w:rPr>
          <w:rFonts w:ascii="Times New Roman" w:hAnsi="Times New Roman" w:cs="Times New Roman"/>
          <w:lang w:val="en-US"/>
        </w:rPr>
        <w:t xml:space="preserve"> sensitivity analysis of the Cost - Benefit evaluation to </w:t>
      </w:r>
      <w:r>
        <w:rPr>
          <w:rFonts w:ascii="Times New Roman" w:hAnsi="Times New Roman" w:cs="Times New Roman"/>
          <w:lang w:val="en-US"/>
        </w:rPr>
        <w:t>variations in the following main parameters included in the analysis was done</w:t>
      </w:r>
      <w:r w:rsidRPr="00E70B5B">
        <w:rPr>
          <w:rFonts w:ascii="Times New Roman" w:hAnsi="Times New Roman" w:cs="Times New Roman"/>
          <w:lang w:val="en-US"/>
        </w:rPr>
        <w:t xml:space="preserve">: a) </w:t>
      </w:r>
      <w:r>
        <w:rPr>
          <w:rFonts w:ascii="Times New Roman" w:hAnsi="Times New Roman" w:cs="Times New Roman"/>
          <w:lang w:val="en-US"/>
        </w:rPr>
        <w:t>investment costs, b) average tariff to final consumers,</w:t>
      </w:r>
      <w:r w:rsidRPr="00E70B5B">
        <w:rPr>
          <w:rFonts w:ascii="Times New Roman" w:hAnsi="Times New Roman" w:cs="Times New Roman"/>
          <w:lang w:val="en-US"/>
        </w:rPr>
        <w:t xml:space="preserve"> </w:t>
      </w:r>
      <w:r>
        <w:rPr>
          <w:rFonts w:ascii="Times New Roman" w:hAnsi="Times New Roman" w:cs="Times New Roman"/>
          <w:lang w:val="en-US"/>
        </w:rPr>
        <w:t>c) unitary economic cost of electricity interruptions, d) demand forecasts, f</w:t>
      </w:r>
      <w:r w:rsidRPr="00E70B5B">
        <w:rPr>
          <w:rFonts w:ascii="Times New Roman" w:hAnsi="Times New Roman" w:cs="Times New Roman"/>
          <w:lang w:val="en-US"/>
        </w:rPr>
        <w:t xml:space="preserve">) </w:t>
      </w:r>
      <w:r>
        <w:rPr>
          <w:rFonts w:ascii="Times New Roman" w:hAnsi="Times New Roman" w:cs="Times New Roman"/>
          <w:lang w:val="en-US"/>
        </w:rPr>
        <w:t>actual transmission and distribution capacities estimated for substations C and D, and g) estimated shortages reduction associated to the SCADA extension.</w:t>
      </w:r>
      <w:r w:rsidRPr="00E70B5B">
        <w:rPr>
          <w:rFonts w:ascii="Times New Roman" w:hAnsi="Times New Roman" w:cs="Times New Roman"/>
          <w:lang w:val="en-US"/>
        </w:rPr>
        <w:t xml:space="preserve"> Next table contai</w:t>
      </w:r>
      <w:r>
        <w:rPr>
          <w:rFonts w:ascii="Times New Roman" w:hAnsi="Times New Roman" w:cs="Times New Roman"/>
          <w:lang w:val="en-US"/>
        </w:rPr>
        <w:t>ns the results obtained</w:t>
      </w:r>
      <w:r w:rsidRPr="00E70B5B">
        <w:rPr>
          <w:rFonts w:ascii="Times New Roman" w:hAnsi="Times New Roman" w:cs="Times New Roman"/>
          <w:lang w:val="en-US"/>
        </w:rPr>
        <w:t>.</w:t>
      </w:r>
    </w:p>
    <w:p w:rsidR="00BE2066" w:rsidRDefault="00BE2066" w:rsidP="00E70B5B">
      <w:pPr>
        <w:jc w:val="both"/>
        <w:rPr>
          <w:rFonts w:ascii="Times New Roman" w:hAnsi="Times New Roman" w:cs="Times New Roman"/>
          <w:lang w:val="en-US"/>
        </w:rPr>
      </w:pPr>
      <w:r w:rsidRPr="00BE2066">
        <w:rPr>
          <w:noProof/>
          <w:lang w:val="en-US"/>
        </w:rPr>
        <w:drawing>
          <wp:inline distT="0" distB="0" distL="0" distR="0" wp14:anchorId="5D58C20A" wp14:editId="3118E3BC">
            <wp:extent cx="5612130" cy="5847389"/>
            <wp:effectExtent l="19050" t="0" r="0" b="0"/>
            <wp:docPr id="4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5612130" cy="5847389"/>
                    </a:xfrm>
                    <a:prstGeom prst="rect">
                      <a:avLst/>
                    </a:prstGeom>
                    <a:noFill/>
                    <a:ln w="9525">
                      <a:noFill/>
                      <a:miter lim="800000"/>
                      <a:headEnd/>
                      <a:tailEnd/>
                    </a:ln>
                  </pic:spPr>
                </pic:pic>
              </a:graphicData>
            </a:graphic>
          </wp:inline>
        </w:drawing>
      </w:r>
    </w:p>
    <w:p w:rsidR="007575AF" w:rsidRDefault="007575AF" w:rsidP="007575AF">
      <w:pPr>
        <w:jc w:val="center"/>
        <w:rPr>
          <w:rFonts w:ascii="Times New Roman" w:hAnsi="Times New Roman" w:cs="Times New Roman"/>
          <w:lang w:val="en-US"/>
        </w:rPr>
      </w:pPr>
    </w:p>
    <w:p w:rsidR="00C128EB" w:rsidRDefault="007575AF" w:rsidP="00E70B5B">
      <w:pPr>
        <w:jc w:val="both"/>
        <w:rPr>
          <w:rFonts w:ascii="Times New Roman" w:hAnsi="Times New Roman" w:cs="Times New Roman"/>
          <w:lang w:val="en-US"/>
        </w:rPr>
      </w:pPr>
      <w:r>
        <w:rPr>
          <w:rFonts w:ascii="Times New Roman" w:hAnsi="Times New Roman" w:cs="Times New Roman"/>
          <w:lang w:val="en-US"/>
        </w:rPr>
        <w:lastRenderedPageBreak/>
        <w:t>R</w:t>
      </w:r>
      <w:r w:rsidR="00C128EB">
        <w:rPr>
          <w:rFonts w:ascii="Times New Roman" w:hAnsi="Times New Roman" w:cs="Times New Roman"/>
          <w:lang w:val="en-US"/>
        </w:rPr>
        <w:t>esults obtained</w:t>
      </w:r>
      <w:r w:rsidR="00C128EB" w:rsidRPr="00E70B5B">
        <w:rPr>
          <w:rFonts w:ascii="Times New Roman" w:hAnsi="Times New Roman" w:cs="Times New Roman"/>
          <w:lang w:val="en-US"/>
        </w:rPr>
        <w:t xml:space="preserve"> indicates that </w:t>
      </w:r>
      <w:r w:rsidR="00C128EB">
        <w:rPr>
          <w:rFonts w:ascii="Times New Roman" w:hAnsi="Times New Roman" w:cs="Times New Roman"/>
          <w:lang w:val="en-US"/>
        </w:rPr>
        <w:t xml:space="preserve">+ 15% and -15% variations in main parameters intervening in the economic evaluation imply always results higher than 12% for the economic rate of return for the entire program. Most significant parameters affecting the economical evaluation are demand forecasts and current estimated transmission and distribution capacities of substation C and D: a 15% variation in </w:t>
      </w:r>
      <w:r>
        <w:rPr>
          <w:rFonts w:ascii="Times New Roman" w:hAnsi="Times New Roman" w:cs="Times New Roman"/>
          <w:lang w:val="en-US"/>
        </w:rPr>
        <w:t>those estimations reduces to 13.</w:t>
      </w:r>
      <w:r w:rsidR="00BE2066">
        <w:rPr>
          <w:rFonts w:ascii="Times New Roman" w:hAnsi="Times New Roman" w:cs="Times New Roman"/>
          <w:lang w:val="en-US"/>
        </w:rPr>
        <w:t>5</w:t>
      </w:r>
      <w:r>
        <w:rPr>
          <w:rFonts w:ascii="Times New Roman" w:hAnsi="Times New Roman" w:cs="Times New Roman"/>
          <w:lang w:val="en-US"/>
        </w:rPr>
        <w:t>% and 14.</w:t>
      </w:r>
      <w:r w:rsidR="00BE2066">
        <w:rPr>
          <w:rFonts w:ascii="Times New Roman" w:hAnsi="Times New Roman" w:cs="Times New Roman"/>
          <w:lang w:val="en-US"/>
        </w:rPr>
        <w:t>8</w:t>
      </w:r>
      <w:r w:rsidR="00C128EB">
        <w:rPr>
          <w:rFonts w:ascii="Times New Roman" w:hAnsi="Times New Roman" w:cs="Times New Roman"/>
          <w:lang w:val="en-US"/>
        </w:rPr>
        <w:t>%, respectively, total program's economic return. The economic rate of return of the</w:t>
      </w:r>
      <w:r>
        <w:rPr>
          <w:rFonts w:ascii="Times New Roman" w:hAnsi="Times New Roman" w:cs="Times New Roman"/>
          <w:lang w:val="en-US"/>
        </w:rPr>
        <w:t xml:space="preserve"> SCADA extension and the</w:t>
      </w:r>
      <w:r w:rsidR="00C128EB">
        <w:rPr>
          <w:rFonts w:ascii="Times New Roman" w:hAnsi="Times New Roman" w:cs="Times New Roman"/>
          <w:lang w:val="en-US"/>
        </w:rPr>
        <w:t xml:space="preserve"> upgrade of substations C and D resulted always higher than 12%. </w:t>
      </w:r>
    </w:p>
    <w:p w:rsidR="00C128EB" w:rsidRPr="00594C4D" w:rsidRDefault="00C128EB" w:rsidP="00594C4D">
      <w:pPr>
        <w:pStyle w:val="Heading1"/>
        <w:rPr>
          <w:rFonts w:ascii="Times New Roman" w:hAnsi="Times New Roman" w:cs="Times New Roman"/>
          <w:color w:val="000000"/>
          <w:sz w:val="22"/>
          <w:szCs w:val="22"/>
          <w:lang w:val="en-US"/>
        </w:rPr>
      </w:pPr>
      <w:bookmarkStart w:id="11" w:name="_Toc362245671"/>
      <w:r w:rsidRPr="00594C4D">
        <w:rPr>
          <w:rFonts w:ascii="Times New Roman" w:hAnsi="Times New Roman" w:cs="Times New Roman"/>
          <w:color w:val="000000"/>
          <w:sz w:val="22"/>
          <w:szCs w:val="22"/>
          <w:lang w:val="en-US"/>
        </w:rPr>
        <w:t xml:space="preserve">VII. </w:t>
      </w:r>
      <w:r w:rsidRPr="00594C4D">
        <w:rPr>
          <w:rFonts w:ascii="Times New Roman" w:hAnsi="Times New Roman" w:cs="Times New Roman"/>
          <w:color w:val="000000"/>
          <w:sz w:val="22"/>
          <w:szCs w:val="22"/>
          <w:lang w:val="en-US"/>
        </w:rPr>
        <w:tab/>
        <w:t>Conclusions</w:t>
      </w:r>
      <w:bookmarkEnd w:id="11"/>
    </w:p>
    <w:p w:rsidR="00C128EB" w:rsidRPr="00E46E64" w:rsidRDefault="00C128EB" w:rsidP="00D85701">
      <w:pPr>
        <w:pStyle w:val="NoSpacing"/>
        <w:jc w:val="both"/>
        <w:rPr>
          <w:rFonts w:ascii="Arial" w:hAnsi="Arial" w:cs="Arial"/>
          <w:b/>
          <w:bCs/>
          <w:lang w:val="en-US"/>
        </w:rPr>
      </w:pPr>
    </w:p>
    <w:p w:rsidR="00C128EB" w:rsidRDefault="00C128EB" w:rsidP="00D85701">
      <w:pPr>
        <w:pStyle w:val="NoSpacing"/>
        <w:jc w:val="both"/>
        <w:rPr>
          <w:rFonts w:ascii="Arial" w:hAnsi="Arial" w:cs="Arial"/>
          <w:b/>
          <w:bCs/>
          <w:lang w:val="en-US"/>
        </w:rPr>
      </w:pPr>
    </w:p>
    <w:p w:rsidR="00C128EB" w:rsidRPr="00A25877" w:rsidRDefault="00C128EB" w:rsidP="00E70B5B">
      <w:pPr>
        <w:rPr>
          <w:rFonts w:ascii="Times New Roman" w:hAnsi="Times New Roman" w:cs="Times New Roman"/>
          <w:lang w:val="en-US"/>
        </w:rPr>
      </w:pPr>
      <w:r w:rsidRPr="00A25877">
        <w:rPr>
          <w:rFonts w:ascii="Times New Roman" w:hAnsi="Times New Roman" w:cs="Times New Roman"/>
          <w:lang w:val="en-US"/>
        </w:rPr>
        <w:t>T</w:t>
      </w:r>
      <w:r w:rsidR="00A25877">
        <w:rPr>
          <w:rFonts w:ascii="Times New Roman" w:hAnsi="Times New Roman" w:cs="Times New Roman"/>
          <w:lang w:val="en-US"/>
        </w:rPr>
        <w:t>he following conclusions are</w:t>
      </w:r>
      <w:r w:rsidRPr="00A25877">
        <w:rPr>
          <w:rFonts w:ascii="Times New Roman" w:hAnsi="Times New Roman" w:cs="Times New Roman"/>
          <w:lang w:val="en-US"/>
        </w:rPr>
        <w:t xml:space="preserve"> obtained for this report.</w:t>
      </w:r>
    </w:p>
    <w:p w:rsidR="00737445" w:rsidRPr="00A25877" w:rsidRDefault="00E45618" w:rsidP="00A25877">
      <w:pPr>
        <w:numPr>
          <w:ilvl w:val="0"/>
          <w:numId w:val="23"/>
        </w:numPr>
        <w:jc w:val="both"/>
        <w:rPr>
          <w:rFonts w:ascii="Times New Roman" w:hAnsi="Times New Roman" w:cs="Times New Roman"/>
          <w:lang w:val="en-US"/>
        </w:rPr>
      </w:pPr>
      <w:r w:rsidRPr="00A25877">
        <w:rPr>
          <w:rFonts w:ascii="Times New Roman" w:hAnsi="Times New Roman" w:cs="Times New Roman"/>
          <w:lang w:val="en-US"/>
        </w:rPr>
        <w:t xml:space="preserve">SAIDI and SAIFI historical indexes in EPAR system </w:t>
      </w:r>
      <w:r w:rsidR="00737445" w:rsidRPr="00A25877">
        <w:rPr>
          <w:rFonts w:ascii="Times New Roman" w:hAnsi="Times New Roman" w:cs="Times New Roman"/>
          <w:lang w:val="en-US"/>
        </w:rPr>
        <w:t xml:space="preserve">show </w:t>
      </w:r>
      <w:r w:rsidR="00B56DDE">
        <w:rPr>
          <w:rFonts w:ascii="Times New Roman" w:hAnsi="Times New Roman" w:cs="Times New Roman"/>
          <w:lang w:val="en-US"/>
        </w:rPr>
        <w:t>the occurrence of</w:t>
      </w:r>
      <w:r w:rsidRPr="00A25877">
        <w:rPr>
          <w:rFonts w:ascii="Times New Roman" w:hAnsi="Times New Roman" w:cs="Times New Roman"/>
          <w:lang w:val="en-US"/>
        </w:rPr>
        <w:t xml:space="preserve"> signi</w:t>
      </w:r>
      <w:r w:rsidR="00737445" w:rsidRPr="00A25877">
        <w:rPr>
          <w:rFonts w:ascii="Times New Roman" w:hAnsi="Times New Roman" w:cs="Times New Roman"/>
          <w:lang w:val="en-US"/>
        </w:rPr>
        <w:t xml:space="preserve">ficant service interruptions </w:t>
      </w:r>
      <w:r w:rsidRPr="00A25877">
        <w:rPr>
          <w:rFonts w:ascii="Times New Roman" w:hAnsi="Times New Roman" w:cs="Times New Roman"/>
          <w:lang w:val="en-US"/>
        </w:rPr>
        <w:t xml:space="preserve">implying economic costs for the Surinamese economy. Total average annual interruptions per </w:t>
      </w:r>
      <w:r w:rsidR="00B56DDE">
        <w:rPr>
          <w:rFonts w:ascii="Times New Roman" w:hAnsi="Times New Roman" w:cs="Times New Roman"/>
          <w:lang w:val="en-US"/>
        </w:rPr>
        <w:t>costumer were 81.4/year and 2.6</w:t>
      </w:r>
      <w:r w:rsidRPr="00A25877">
        <w:rPr>
          <w:rFonts w:ascii="Times New Roman" w:hAnsi="Times New Roman" w:cs="Times New Roman"/>
          <w:lang w:val="en-US"/>
        </w:rPr>
        <w:t xml:space="preserve"> Hours/interruption during last three years</w:t>
      </w:r>
      <w:r w:rsidR="00737445" w:rsidRPr="00A25877">
        <w:rPr>
          <w:rFonts w:ascii="Times New Roman" w:hAnsi="Times New Roman" w:cs="Times New Roman"/>
          <w:lang w:val="en-US"/>
        </w:rPr>
        <w:t xml:space="preserve"> and it</w:t>
      </w:r>
      <w:r w:rsidRPr="00A25877">
        <w:rPr>
          <w:rFonts w:ascii="Times New Roman" w:hAnsi="Times New Roman" w:cs="Times New Roman"/>
          <w:lang w:val="en-US"/>
        </w:rPr>
        <w:t xml:space="preserve"> is expected that with the new investments in a SCADA system total duration of the interruptions</w:t>
      </w:r>
      <w:r w:rsidR="00B56DDE" w:rsidRPr="00A25877">
        <w:rPr>
          <w:rFonts w:ascii="Times New Roman" w:hAnsi="Times New Roman" w:cs="Times New Roman"/>
          <w:lang w:val="en-US"/>
        </w:rPr>
        <w:t xml:space="preserve"> will be </w:t>
      </w:r>
      <w:r w:rsidR="00B56DDE">
        <w:rPr>
          <w:rFonts w:ascii="Times New Roman" w:hAnsi="Times New Roman" w:cs="Times New Roman"/>
          <w:lang w:val="en-US"/>
        </w:rPr>
        <w:t>reduced in around 8%.</w:t>
      </w:r>
    </w:p>
    <w:p w:rsidR="00737445" w:rsidRPr="00A25877" w:rsidRDefault="0038517A" w:rsidP="00A25877">
      <w:pPr>
        <w:numPr>
          <w:ilvl w:val="0"/>
          <w:numId w:val="23"/>
        </w:numPr>
        <w:jc w:val="both"/>
        <w:rPr>
          <w:rFonts w:ascii="Times New Roman" w:hAnsi="Times New Roman" w:cs="Times New Roman"/>
          <w:lang w:val="en-US"/>
        </w:rPr>
      </w:pPr>
      <w:r w:rsidRPr="00A25877">
        <w:rPr>
          <w:rFonts w:ascii="Times New Roman" w:hAnsi="Times New Roman" w:cs="Times New Roman"/>
          <w:lang w:val="en-US"/>
        </w:rPr>
        <w:t>The SCADA extension project</w:t>
      </w:r>
      <w:r w:rsidR="00A25877">
        <w:rPr>
          <w:rFonts w:ascii="Times New Roman" w:hAnsi="Times New Roman" w:cs="Times New Roman"/>
          <w:lang w:val="en-US"/>
        </w:rPr>
        <w:t xml:space="preserve"> represent USD</w:t>
      </w:r>
      <w:r w:rsidRPr="00A25877">
        <w:rPr>
          <w:rFonts w:ascii="Times New Roman" w:hAnsi="Times New Roman" w:cs="Times New Roman"/>
          <w:lang w:val="en-US"/>
        </w:rPr>
        <w:t xml:space="preserve"> 6 million of investment costs</w:t>
      </w:r>
      <w:r w:rsidR="00A25877">
        <w:rPr>
          <w:rFonts w:ascii="Times New Roman" w:hAnsi="Times New Roman" w:cs="Times New Roman"/>
          <w:lang w:val="en-US"/>
        </w:rPr>
        <w:t xml:space="preserve">, </w:t>
      </w:r>
      <w:r w:rsidRPr="00A25877">
        <w:rPr>
          <w:rFonts w:ascii="Times New Roman" w:hAnsi="Times New Roman" w:cs="Times New Roman"/>
          <w:lang w:val="en-US"/>
        </w:rPr>
        <w:t xml:space="preserve">its expected </w:t>
      </w:r>
      <w:r w:rsidR="007575AF">
        <w:rPr>
          <w:rFonts w:ascii="Times New Roman" w:hAnsi="Times New Roman" w:cs="Times New Roman"/>
          <w:lang w:val="en-US"/>
        </w:rPr>
        <w:t>economic rate of return is 15.8</w:t>
      </w:r>
      <w:r w:rsidR="00737445" w:rsidRPr="00A25877">
        <w:rPr>
          <w:rFonts w:ascii="Times New Roman" w:hAnsi="Times New Roman" w:cs="Times New Roman"/>
          <w:lang w:val="en-US"/>
        </w:rPr>
        <w:t>% and</w:t>
      </w:r>
      <w:r w:rsidR="007575AF">
        <w:rPr>
          <w:rFonts w:ascii="Times New Roman" w:hAnsi="Times New Roman" w:cs="Times New Roman"/>
          <w:lang w:val="en-US"/>
        </w:rPr>
        <w:t xml:space="preserve"> its net present value is USD 1.5</w:t>
      </w:r>
      <w:r w:rsidR="00737445" w:rsidRPr="00A25877">
        <w:rPr>
          <w:rFonts w:ascii="Times New Roman" w:hAnsi="Times New Roman" w:cs="Times New Roman"/>
          <w:lang w:val="en-US"/>
        </w:rPr>
        <w:t xml:space="preserve"> million of benefits related to reduction of energy shortages in Paramaribo</w:t>
      </w:r>
      <w:r w:rsidRPr="00A25877">
        <w:rPr>
          <w:rFonts w:ascii="Times New Roman" w:hAnsi="Times New Roman" w:cs="Times New Roman"/>
          <w:lang w:val="en-US"/>
        </w:rPr>
        <w:t>. Ot</w:t>
      </w:r>
      <w:r w:rsidR="00737445" w:rsidRPr="00A25877">
        <w:rPr>
          <w:rFonts w:ascii="Times New Roman" w:hAnsi="Times New Roman" w:cs="Times New Roman"/>
          <w:lang w:val="en-US"/>
        </w:rPr>
        <w:t>her project benefits</w:t>
      </w:r>
      <w:r w:rsidRPr="00A25877">
        <w:rPr>
          <w:rFonts w:ascii="Times New Roman" w:hAnsi="Times New Roman" w:cs="Times New Roman"/>
          <w:lang w:val="en-US"/>
        </w:rPr>
        <w:t xml:space="preserve"> were not quantified,</w:t>
      </w:r>
      <w:r w:rsidR="00B56DDE">
        <w:rPr>
          <w:rFonts w:ascii="Times New Roman" w:hAnsi="Times New Roman" w:cs="Times New Roman"/>
          <w:lang w:val="en-US"/>
        </w:rPr>
        <w:t xml:space="preserve"> as increases in</w:t>
      </w:r>
      <w:r w:rsidR="00737445" w:rsidRPr="00A25877">
        <w:rPr>
          <w:rFonts w:ascii="Times New Roman" w:hAnsi="Times New Roman" w:cs="Times New Roman"/>
          <w:lang w:val="en-US"/>
        </w:rPr>
        <w:t xml:space="preserve"> customer satisfaction by meeting the mandated power quality and cost reductions due to improvements in real time strategic decision making.</w:t>
      </w:r>
    </w:p>
    <w:p w:rsidR="00737445" w:rsidRPr="00A25877" w:rsidRDefault="00E45618" w:rsidP="00A25877">
      <w:pPr>
        <w:pStyle w:val="ListParagraph"/>
        <w:numPr>
          <w:ilvl w:val="0"/>
          <w:numId w:val="23"/>
        </w:numPr>
        <w:jc w:val="both"/>
        <w:rPr>
          <w:rFonts w:ascii="Times New Roman" w:hAnsi="Times New Roman" w:cs="Times New Roman"/>
          <w:lang w:val="en-US"/>
        </w:rPr>
      </w:pPr>
      <w:r w:rsidRPr="00A25877">
        <w:rPr>
          <w:rFonts w:ascii="Times New Roman" w:hAnsi="Times New Roman" w:cs="Times New Roman"/>
          <w:lang w:val="en-US"/>
        </w:rPr>
        <w:t xml:space="preserve">Several components of the EPAR power system are today insufficient to support a reliable </w:t>
      </w:r>
      <w:r w:rsidR="0038517A" w:rsidRPr="00A25877">
        <w:rPr>
          <w:rFonts w:ascii="Times New Roman" w:hAnsi="Times New Roman" w:cs="Times New Roman"/>
          <w:lang w:val="en-US"/>
        </w:rPr>
        <w:t>power supply</w:t>
      </w:r>
      <w:r w:rsidR="00737445" w:rsidRPr="00A25877">
        <w:rPr>
          <w:rFonts w:ascii="Times New Roman" w:hAnsi="Times New Roman" w:cs="Times New Roman"/>
          <w:lang w:val="en-US"/>
        </w:rPr>
        <w:t xml:space="preserve"> and</w:t>
      </w:r>
      <w:r w:rsidR="00737445" w:rsidRPr="00A25877">
        <w:rPr>
          <w:rFonts w:ascii="Times New Roman" w:hAnsi="Times New Roman" w:cs="Times New Roman"/>
          <w:color w:val="000000"/>
          <w:lang w:val="en-US"/>
        </w:rPr>
        <w:t xml:space="preserve"> it has been identified load increases in the Northern and Sou</w:t>
      </w:r>
      <w:r w:rsidR="0038517A" w:rsidRPr="00A25877">
        <w:rPr>
          <w:rFonts w:ascii="Times New Roman" w:hAnsi="Times New Roman" w:cs="Times New Roman"/>
          <w:color w:val="000000"/>
          <w:lang w:val="en-US"/>
        </w:rPr>
        <w:t xml:space="preserve">thern sectors of Paramaribo were </w:t>
      </w:r>
      <w:r w:rsidR="00737445" w:rsidRPr="00A25877">
        <w:rPr>
          <w:rFonts w:ascii="Times New Roman" w:hAnsi="Times New Roman" w:cs="Times New Roman"/>
          <w:color w:val="000000"/>
          <w:lang w:val="en-US"/>
        </w:rPr>
        <w:t xml:space="preserve">current transmission and distribution capacities of Substations C and D are imposing limitations to the operations of the power grid. </w:t>
      </w:r>
      <w:r w:rsidR="0038517A" w:rsidRPr="00A25877">
        <w:rPr>
          <w:rFonts w:ascii="Times New Roman" w:hAnsi="Times New Roman" w:cs="Times New Roman"/>
          <w:lang w:val="en-US"/>
        </w:rPr>
        <w:t>The upgrade of such substations will imply investments</w:t>
      </w:r>
      <w:r w:rsidR="00947902">
        <w:rPr>
          <w:rFonts w:ascii="Times New Roman" w:hAnsi="Times New Roman" w:cs="Times New Roman"/>
          <w:lang w:val="en-US"/>
        </w:rPr>
        <w:t xml:space="preserve"> costs of USD</w:t>
      </w:r>
      <w:r w:rsidR="0038517A" w:rsidRPr="00A25877">
        <w:rPr>
          <w:rFonts w:ascii="Times New Roman" w:hAnsi="Times New Roman" w:cs="Times New Roman"/>
          <w:lang w:val="en-US"/>
        </w:rPr>
        <w:t xml:space="preserve"> 4.63 mill</w:t>
      </w:r>
      <w:r w:rsidR="00947902">
        <w:rPr>
          <w:rFonts w:ascii="Times New Roman" w:hAnsi="Times New Roman" w:cs="Times New Roman"/>
          <w:lang w:val="en-US"/>
        </w:rPr>
        <w:t>ion and USD</w:t>
      </w:r>
      <w:r w:rsidR="0038517A" w:rsidRPr="00A25877">
        <w:rPr>
          <w:rFonts w:ascii="Times New Roman" w:hAnsi="Times New Roman" w:cs="Times New Roman"/>
          <w:lang w:val="en-US"/>
        </w:rPr>
        <w:t xml:space="preserve"> 2.26 million, respectively. </w:t>
      </w:r>
      <w:r w:rsidR="00737445" w:rsidRPr="00A25877">
        <w:rPr>
          <w:rFonts w:ascii="Times New Roman" w:hAnsi="Times New Roman" w:cs="Times New Roman"/>
          <w:lang w:val="en-US"/>
        </w:rPr>
        <w:t>The economic rate of returns estimated for the upgrade of substations C and D are 2</w:t>
      </w:r>
      <w:r w:rsidR="00BE2066">
        <w:rPr>
          <w:rFonts w:ascii="Times New Roman" w:hAnsi="Times New Roman" w:cs="Times New Roman"/>
          <w:lang w:val="en-US"/>
        </w:rPr>
        <w:t>1</w:t>
      </w:r>
      <w:r w:rsidR="00737445" w:rsidRPr="00A25877">
        <w:rPr>
          <w:rFonts w:ascii="Times New Roman" w:hAnsi="Times New Roman" w:cs="Times New Roman"/>
          <w:lang w:val="en-US"/>
        </w:rPr>
        <w:t>.</w:t>
      </w:r>
      <w:r w:rsidR="00703B88">
        <w:rPr>
          <w:rFonts w:ascii="Times New Roman" w:hAnsi="Times New Roman" w:cs="Times New Roman"/>
          <w:lang w:val="en-US"/>
        </w:rPr>
        <w:t>6</w:t>
      </w:r>
      <w:r w:rsidR="00737445" w:rsidRPr="00A25877">
        <w:rPr>
          <w:rFonts w:ascii="Times New Roman" w:hAnsi="Times New Roman" w:cs="Times New Roman"/>
          <w:lang w:val="en-US"/>
        </w:rPr>
        <w:t xml:space="preserve">% and </w:t>
      </w:r>
      <w:r w:rsidR="00BE2066">
        <w:rPr>
          <w:rFonts w:ascii="Times New Roman" w:hAnsi="Times New Roman" w:cs="Times New Roman"/>
          <w:lang w:val="en-US"/>
        </w:rPr>
        <w:t>20.8</w:t>
      </w:r>
      <w:r w:rsidR="0038517A" w:rsidRPr="00A25877">
        <w:rPr>
          <w:rFonts w:ascii="Times New Roman" w:hAnsi="Times New Roman" w:cs="Times New Roman"/>
          <w:lang w:val="en-US"/>
        </w:rPr>
        <w:t xml:space="preserve">%, respectively, and their net </w:t>
      </w:r>
      <w:r w:rsidR="00737445" w:rsidRPr="00A25877">
        <w:rPr>
          <w:rFonts w:ascii="Times New Roman" w:hAnsi="Times New Roman" w:cs="Times New Roman"/>
          <w:lang w:val="en-US"/>
        </w:rPr>
        <w:t xml:space="preserve">present values are USD </w:t>
      </w:r>
      <w:r w:rsidR="00BE2066">
        <w:rPr>
          <w:rFonts w:ascii="Times New Roman" w:hAnsi="Times New Roman" w:cs="Times New Roman"/>
          <w:lang w:val="en-US"/>
        </w:rPr>
        <w:t>3.58</w:t>
      </w:r>
      <w:r w:rsidR="00737445" w:rsidRPr="00A25877">
        <w:rPr>
          <w:rFonts w:ascii="Times New Roman" w:hAnsi="Times New Roman" w:cs="Times New Roman"/>
          <w:lang w:val="en-US"/>
        </w:rPr>
        <w:t xml:space="preserve"> million and USD </w:t>
      </w:r>
      <w:r w:rsidR="00BE2066">
        <w:rPr>
          <w:rFonts w:ascii="Times New Roman" w:hAnsi="Times New Roman" w:cs="Times New Roman"/>
          <w:lang w:val="en-US"/>
        </w:rPr>
        <w:t>3.03</w:t>
      </w:r>
      <w:r w:rsidR="00737445" w:rsidRPr="00A25877">
        <w:rPr>
          <w:rFonts w:ascii="Times New Roman" w:hAnsi="Times New Roman" w:cs="Times New Roman"/>
          <w:lang w:val="en-US"/>
        </w:rPr>
        <w:t xml:space="preserve"> million, respectively. </w:t>
      </w:r>
      <w:r w:rsidR="00947902">
        <w:rPr>
          <w:rFonts w:ascii="Times New Roman" w:hAnsi="Times New Roman" w:cs="Times New Roman"/>
          <w:lang w:val="en-US"/>
        </w:rPr>
        <w:t>Net b</w:t>
      </w:r>
      <w:r w:rsidR="0038517A" w:rsidRPr="00A25877">
        <w:rPr>
          <w:rFonts w:ascii="Times New Roman" w:hAnsi="Times New Roman" w:cs="Times New Roman"/>
          <w:lang w:val="en-US"/>
        </w:rPr>
        <w:t xml:space="preserve">enefits estimated for these projects were the </w:t>
      </w:r>
      <w:r w:rsidR="00A25877" w:rsidRPr="00A25877">
        <w:rPr>
          <w:rFonts w:ascii="Times New Roman" w:hAnsi="Times New Roman" w:cs="Times New Roman"/>
          <w:lang w:val="en-US"/>
        </w:rPr>
        <w:t>consumers’</w:t>
      </w:r>
      <w:r w:rsidR="0038517A" w:rsidRPr="00A25877">
        <w:rPr>
          <w:rFonts w:ascii="Times New Roman" w:hAnsi="Times New Roman" w:cs="Times New Roman"/>
          <w:lang w:val="en-US"/>
        </w:rPr>
        <w:t xml:space="preserve"> surplus </w:t>
      </w:r>
      <w:r w:rsidR="00A25877" w:rsidRPr="00A25877">
        <w:rPr>
          <w:rFonts w:ascii="Times New Roman" w:hAnsi="Times New Roman" w:cs="Times New Roman"/>
          <w:lang w:val="en-US"/>
        </w:rPr>
        <w:t>associated to the additional electricity supplied and the reduction in O&amp;M costs in those substations.</w:t>
      </w:r>
    </w:p>
    <w:p w:rsidR="00737445" w:rsidRPr="00A25877" w:rsidRDefault="0038517A" w:rsidP="00A25877">
      <w:pPr>
        <w:numPr>
          <w:ilvl w:val="0"/>
          <w:numId w:val="23"/>
        </w:numPr>
        <w:jc w:val="both"/>
        <w:rPr>
          <w:rFonts w:ascii="Times New Roman" w:hAnsi="Times New Roman" w:cs="Times New Roman"/>
          <w:lang w:val="en-US"/>
        </w:rPr>
      </w:pPr>
      <w:r w:rsidRPr="00A25877">
        <w:rPr>
          <w:rFonts w:ascii="Times New Roman" w:hAnsi="Times New Roman" w:cs="Times New Roman"/>
          <w:lang w:val="en-US"/>
        </w:rPr>
        <w:t>Total investment cost of the entire program is</w:t>
      </w:r>
      <w:r w:rsidR="00A25877">
        <w:rPr>
          <w:rFonts w:ascii="Times New Roman" w:hAnsi="Times New Roman" w:cs="Times New Roman"/>
          <w:lang w:val="en-US"/>
        </w:rPr>
        <w:t xml:space="preserve"> USD</w:t>
      </w:r>
      <w:r w:rsidRPr="00A25877">
        <w:rPr>
          <w:rFonts w:ascii="Times New Roman" w:hAnsi="Times New Roman" w:cs="Times New Roman"/>
          <w:lang w:val="en-US"/>
        </w:rPr>
        <w:t xml:space="preserve"> 12.89 million, its </w:t>
      </w:r>
      <w:r w:rsidR="007575AF">
        <w:rPr>
          <w:rFonts w:ascii="Times New Roman" w:hAnsi="Times New Roman" w:cs="Times New Roman"/>
          <w:lang w:val="en-US"/>
        </w:rPr>
        <w:t>economic rate of return is 1</w:t>
      </w:r>
      <w:r w:rsidR="00BE2066">
        <w:rPr>
          <w:rFonts w:ascii="Times New Roman" w:hAnsi="Times New Roman" w:cs="Times New Roman"/>
          <w:lang w:val="en-US"/>
        </w:rPr>
        <w:t>9.2</w:t>
      </w:r>
      <w:r w:rsidR="00737445" w:rsidRPr="00A25877">
        <w:rPr>
          <w:rFonts w:ascii="Times New Roman" w:hAnsi="Times New Roman" w:cs="Times New Roman"/>
          <w:lang w:val="en-US"/>
        </w:rPr>
        <w:t xml:space="preserve">% and the present value of its net benefits (at 12% discount rate) is USD </w:t>
      </w:r>
      <w:r w:rsidR="00BE2066">
        <w:rPr>
          <w:rFonts w:ascii="Times New Roman" w:hAnsi="Times New Roman" w:cs="Times New Roman"/>
          <w:lang w:val="en-US"/>
        </w:rPr>
        <w:t>8.12</w:t>
      </w:r>
      <w:r w:rsidR="00737445" w:rsidRPr="00A25877">
        <w:rPr>
          <w:rFonts w:ascii="Times New Roman" w:hAnsi="Times New Roman" w:cs="Times New Roman"/>
          <w:lang w:val="en-US"/>
        </w:rPr>
        <w:t xml:space="preserve"> million.  </w:t>
      </w:r>
      <w:r w:rsidR="00A25877" w:rsidRPr="00A25877">
        <w:rPr>
          <w:rFonts w:ascii="Times New Roman" w:hAnsi="Times New Roman" w:cs="Times New Roman"/>
          <w:lang w:val="en-US"/>
        </w:rPr>
        <w:t>Results obtained indicates that + 15% and -15% variations in main parameters intervening in the economic evaluation imply always results higher than 12% for the economic rate of return for the entire program</w:t>
      </w:r>
      <w:r w:rsidR="00BE2066">
        <w:rPr>
          <w:rFonts w:ascii="Times New Roman" w:hAnsi="Times New Roman" w:cs="Times New Roman"/>
          <w:lang w:val="en-US"/>
        </w:rPr>
        <w:t xml:space="preserve"> and for each project</w:t>
      </w:r>
      <w:r w:rsidR="00A25877" w:rsidRPr="00A25877">
        <w:rPr>
          <w:rFonts w:ascii="Times New Roman" w:hAnsi="Times New Roman" w:cs="Times New Roman"/>
          <w:lang w:val="en-US"/>
        </w:rPr>
        <w:t>.</w:t>
      </w:r>
    </w:p>
    <w:p w:rsidR="00C128EB" w:rsidRPr="00A25877" w:rsidRDefault="00A25877" w:rsidP="00997399">
      <w:pPr>
        <w:pStyle w:val="NoSpacing"/>
        <w:jc w:val="both"/>
        <w:rPr>
          <w:rFonts w:ascii="Times New Roman" w:hAnsi="Times New Roman" w:cs="Times New Roman"/>
          <w:b/>
          <w:bCs/>
          <w:u w:val="single"/>
          <w:lang w:val="en-US"/>
        </w:rPr>
      </w:pPr>
      <w:r w:rsidRPr="00A25877">
        <w:rPr>
          <w:rFonts w:ascii="Times New Roman" w:hAnsi="Times New Roman" w:cs="Times New Roman"/>
          <w:b/>
          <w:bCs/>
          <w:u w:val="single"/>
          <w:lang w:val="en-US"/>
        </w:rPr>
        <w:br w:type="page"/>
      </w:r>
    </w:p>
    <w:p w:rsidR="00C128EB" w:rsidRPr="00E820DC" w:rsidRDefault="00C128EB" w:rsidP="00EB4BCC">
      <w:pPr>
        <w:jc w:val="center"/>
        <w:rPr>
          <w:rFonts w:ascii="Times New Roman" w:hAnsi="Times New Roman" w:cs="Times New Roman"/>
          <w:b/>
          <w:bCs/>
          <w:lang w:val="en-US"/>
        </w:rPr>
      </w:pPr>
      <w:r>
        <w:rPr>
          <w:rFonts w:ascii="Times New Roman" w:hAnsi="Times New Roman" w:cs="Times New Roman"/>
          <w:b/>
          <w:bCs/>
          <w:lang w:val="en-US"/>
        </w:rPr>
        <w:lastRenderedPageBreak/>
        <w:t>ANNEX 1</w:t>
      </w:r>
    </w:p>
    <w:p w:rsidR="00C128EB" w:rsidRPr="00E820DC" w:rsidRDefault="00C128EB" w:rsidP="00EB4BCC">
      <w:pPr>
        <w:jc w:val="center"/>
        <w:rPr>
          <w:rFonts w:ascii="Times New Roman" w:hAnsi="Times New Roman" w:cs="Times New Roman"/>
          <w:b/>
          <w:bCs/>
          <w:lang w:val="en-US"/>
        </w:rPr>
      </w:pPr>
      <w:r w:rsidRPr="00E820DC">
        <w:rPr>
          <w:rFonts w:ascii="Times New Roman" w:hAnsi="Times New Roman" w:cs="Times New Roman"/>
          <w:b/>
          <w:bCs/>
          <w:lang w:val="en-US"/>
        </w:rPr>
        <w:t>EPAR: SAIFI &amp; SAIDI INDEXES</w:t>
      </w:r>
    </w:p>
    <w:p w:rsidR="00C128EB" w:rsidRDefault="00EC138D" w:rsidP="00EB4BCC">
      <w:pPr>
        <w:jc w:val="center"/>
        <w:rPr>
          <w:b/>
          <w:bCs/>
          <w:lang w:val="en-US"/>
        </w:rPr>
      </w:pPr>
      <w:r>
        <w:rPr>
          <w:noProof/>
          <w:lang w:val="en-US"/>
        </w:rPr>
        <w:drawing>
          <wp:inline distT="0" distB="0" distL="0" distR="0">
            <wp:extent cx="5486400" cy="1371600"/>
            <wp:effectExtent l="19050" t="0" r="0" b="0"/>
            <wp:docPr id="1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0"/>
                    <a:srcRect/>
                    <a:stretch>
                      <a:fillRect/>
                    </a:stretch>
                  </pic:blipFill>
                  <pic:spPr bwMode="auto">
                    <a:xfrm>
                      <a:off x="0" y="0"/>
                      <a:ext cx="5486400" cy="1371600"/>
                    </a:xfrm>
                    <a:prstGeom prst="rect">
                      <a:avLst/>
                    </a:prstGeom>
                    <a:noFill/>
                    <a:ln w="9525">
                      <a:noFill/>
                      <a:miter lim="800000"/>
                      <a:headEnd/>
                      <a:tailEnd/>
                    </a:ln>
                  </pic:spPr>
                </pic:pic>
              </a:graphicData>
            </a:graphic>
          </wp:inline>
        </w:drawing>
      </w:r>
    </w:p>
    <w:p w:rsidR="00C128EB" w:rsidRPr="00E820DC" w:rsidRDefault="00C128EB" w:rsidP="00EB4BCC">
      <w:pPr>
        <w:pStyle w:val="NormalWeb"/>
        <w:jc w:val="both"/>
        <w:rPr>
          <w:sz w:val="20"/>
          <w:szCs w:val="20"/>
          <w:lang w:val="en-US"/>
        </w:rPr>
      </w:pPr>
      <w:r w:rsidRPr="00975A7F">
        <w:rPr>
          <w:sz w:val="20"/>
          <w:szCs w:val="20"/>
          <w:lang w:val="en-US"/>
        </w:rPr>
        <w:t>Next graphs summarizes the results of th</w:t>
      </w:r>
      <w:r>
        <w:rPr>
          <w:sz w:val="20"/>
          <w:szCs w:val="20"/>
          <w:lang w:val="en-US"/>
        </w:rPr>
        <w:t>e analysis of 8% potential reduction of SAIDI index in EPAR system.</w:t>
      </w:r>
    </w:p>
    <w:p w:rsidR="00C128EB" w:rsidRDefault="00EC138D" w:rsidP="00EB4BCC">
      <w:pPr>
        <w:pStyle w:val="NormalWeb"/>
        <w:jc w:val="center"/>
      </w:pPr>
      <w:r>
        <w:rPr>
          <w:noProof/>
          <w:lang w:val="en-US" w:eastAsia="en-US"/>
        </w:rPr>
        <w:drawing>
          <wp:inline distT="0" distB="0" distL="0" distR="0">
            <wp:extent cx="2620645" cy="1494155"/>
            <wp:effectExtent l="0" t="0" r="8255" b="0"/>
            <wp:docPr id="1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1"/>
                    <a:srcRect/>
                    <a:stretch>
                      <a:fillRect/>
                    </a:stretch>
                  </pic:blipFill>
                  <pic:spPr bwMode="auto">
                    <a:xfrm>
                      <a:off x="0" y="0"/>
                      <a:ext cx="2620645" cy="1494155"/>
                    </a:xfrm>
                    <a:prstGeom prst="rect">
                      <a:avLst/>
                    </a:prstGeom>
                    <a:noFill/>
                    <a:ln w="9525">
                      <a:noFill/>
                      <a:miter lim="800000"/>
                      <a:headEnd/>
                      <a:tailEnd/>
                    </a:ln>
                  </pic:spPr>
                </pic:pic>
              </a:graphicData>
            </a:graphic>
          </wp:inline>
        </w:drawing>
      </w:r>
    </w:p>
    <w:p w:rsidR="00C128EB" w:rsidRPr="000C3635" w:rsidRDefault="00EC138D" w:rsidP="00EB4BCC">
      <w:pPr>
        <w:pStyle w:val="NormalWeb"/>
        <w:jc w:val="center"/>
        <w:rPr>
          <w:lang w:val="en-US"/>
        </w:rPr>
      </w:pPr>
      <w:r>
        <w:rPr>
          <w:noProof/>
          <w:lang w:val="en-US" w:eastAsia="en-US"/>
        </w:rPr>
        <w:drawing>
          <wp:inline distT="0" distB="0" distL="0" distR="0">
            <wp:extent cx="1972310" cy="1391920"/>
            <wp:effectExtent l="1905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2"/>
                    <a:srcRect/>
                    <a:stretch>
                      <a:fillRect/>
                    </a:stretch>
                  </pic:blipFill>
                  <pic:spPr bwMode="auto">
                    <a:xfrm>
                      <a:off x="0" y="0"/>
                      <a:ext cx="1972310" cy="1391920"/>
                    </a:xfrm>
                    <a:prstGeom prst="rect">
                      <a:avLst/>
                    </a:prstGeom>
                    <a:noFill/>
                    <a:ln w="9525">
                      <a:noFill/>
                      <a:miter lim="800000"/>
                      <a:headEnd/>
                      <a:tailEnd/>
                    </a:ln>
                  </pic:spPr>
                </pic:pic>
              </a:graphicData>
            </a:graphic>
          </wp:inline>
        </w:drawing>
      </w:r>
      <w:r w:rsidR="00C128EB" w:rsidRPr="000C3635">
        <w:rPr>
          <w:lang w:val="en-US"/>
        </w:rPr>
        <w:t xml:space="preserve">        </w:t>
      </w:r>
      <w:r>
        <w:rPr>
          <w:noProof/>
          <w:lang w:val="en-US" w:eastAsia="en-US"/>
        </w:rPr>
        <w:drawing>
          <wp:inline distT="0" distB="0" distL="0" distR="0">
            <wp:extent cx="2251710" cy="1391920"/>
            <wp:effectExtent l="19050" t="0" r="0" b="0"/>
            <wp:docPr id="1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3"/>
                    <a:srcRect/>
                    <a:stretch>
                      <a:fillRect/>
                    </a:stretch>
                  </pic:blipFill>
                  <pic:spPr bwMode="auto">
                    <a:xfrm>
                      <a:off x="0" y="0"/>
                      <a:ext cx="2251710" cy="1391920"/>
                    </a:xfrm>
                    <a:prstGeom prst="rect">
                      <a:avLst/>
                    </a:prstGeom>
                    <a:noFill/>
                    <a:ln w="9525">
                      <a:noFill/>
                      <a:miter lim="800000"/>
                      <a:headEnd/>
                      <a:tailEnd/>
                    </a:ln>
                  </pic:spPr>
                </pic:pic>
              </a:graphicData>
            </a:graphic>
          </wp:inline>
        </w:drawing>
      </w:r>
    </w:p>
    <w:p w:rsidR="00C128EB" w:rsidRPr="000C3635" w:rsidRDefault="00C128EB" w:rsidP="00EB4BCC">
      <w:pPr>
        <w:pStyle w:val="NormalWeb"/>
        <w:jc w:val="both"/>
        <w:rPr>
          <w:sz w:val="16"/>
          <w:szCs w:val="16"/>
          <w:lang w:val="en-US"/>
        </w:rPr>
      </w:pPr>
      <w:r w:rsidRPr="000C3635">
        <w:rPr>
          <w:lang w:val="en-US"/>
        </w:rPr>
        <w:t xml:space="preserve">                              </w:t>
      </w:r>
      <w:r w:rsidRPr="000C3635">
        <w:rPr>
          <w:lang w:val="en-US"/>
        </w:rPr>
        <w:tab/>
      </w:r>
      <w:r w:rsidRPr="000C3635">
        <w:rPr>
          <w:sz w:val="16"/>
          <w:szCs w:val="16"/>
          <w:lang w:val="en-US"/>
        </w:rPr>
        <w:t>TOTAL: 14.5                                                                  TOTAL: 15.5</w:t>
      </w:r>
    </w:p>
    <w:p w:rsidR="00C128EB" w:rsidRPr="00E820DC" w:rsidRDefault="00C128EB" w:rsidP="00EB4BCC">
      <w:pPr>
        <w:jc w:val="center"/>
        <w:rPr>
          <w:b/>
          <w:bCs/>
          <w:lang w:val="en-US"/>
        </w:rPr>
      </w:pPr>
    </w:p>
    <w:p w:rsidR="00C128EB" w:rsidRDefault="00C128EB" w:rsidP="00EB4BCC">
      <w:pPr>
        <w:jc w:val="center"/>
        <w:rPr>
          <w:rFonts w:ascii="Arial" w:hAnsi="Arial" w:cs="Arial"/>
          <w:lang w:val="en-US"/>
        </w:rPr>
      </w:pPr>
    </w:p>
    <w:p w:rsidR="00C128EB" w:rsidRPr="008E4464" w:rsidRDefault="00C128EB" w:rsidP="008E4464">
      <w:pPr>
        <w:jc w:val="center"/>
        <w:rPr>
          <w:rFonts w:ascii="Times New Roman" w:hAnsi="Times New Roman" w:cs="Times New Roman"/>
          <w:b/>
          <w:bCs/>
          <w:lang w:val="en-US"/>
        </w:rPr>
      </w:pPr>
      <w:r>
        <w:rPr>
          <w:rFonts w:ascii="Arial" w:hAnsi="Arial" w:cs="Arial"/>
          <w:lang w:val="en-US"/>
        </w:rPr>
        <w:br w:type="page"/>
      </w:r>
      <w:r w:rsidRPr="008E4464">
        <w:rPr>
          <w:rFonts w:ascii="Times New Roman" w:hAnsi="Times New Roman" w:cs="Times New Roman"/>
          <w:b/>
          <w:bCs/>
          <w:lang w:val="en-US"/>
        </w:rPr>
        <w:lastRenderedPageBreak/>
        <w:t>ANNEX 2</w:t>
      </w:r>
    </w:p>
    <w:p w:rsidR="00C128EB" w:rsidRPr="008E4464" w:rsidRDefault="00C128EB" w:rsidP="00EB4BCC">
      <w:pPr>
        <w:jc w:val="center"/>
        <w:rPr>
          <w:rFonts w:ascii="Times New Roman" w:hAnsi="Times New Roman" w:cs="Times New Roman"/>
          <w:b/>
          <w:bCs/>
          <w:lang w:val="en-US"/>
        </w:rPr>
      </w:pPr>
      <w:r w:rsidRPr="008E4464">
        <w:rPr>
          <w:rFonts w:ascii="Times New Roman" w:hAnsi="Times New Roman" w:cs="Times New Roman"/>
          <w:b/>
          <w:bCs/>
          <w:lang w:val="en-US"/>
        </w:rPr>
        <w:t>EPAR: DEMAND FORECASTS</w:t>
      </w:r>
    </w:p>
    <w:p w:rsidR="008E4464" w:rsidRPr="00E820DC" w:rsidRDefault="008E4464" w:rsidP="00EB4BCC">
      <w:pPr>
        <w:jc w:val="center"/>
        <w:rPr>
          <w:rFonts w:ascii="Times New Roman" w:hAnsi="Times New Roman" w:cs="Times New Roman"/>
          <w:b/>
          <w:bCs/>
          <w:lang w:val="en-US"/>
        </w:rPr>
      </w:pPr>
    </w:p>
    <w:p w:rsidR="00C128EB" w:rsidRPr="00C7561B" w:rsidRDefault="00C128EB" w:rsidP="00EB4BCC">
      <w:pPr>
        <w:pStyle w:val="Heading3"/>
        <w:rPr>
          <w:rFonts w:ascii="Times New Roman" w:hAnsi="Times New Roman" w:cs="Times New Roman"/>
          <w:color w:val="auto"/>
        </w:rPr>
      </w:pPr>
      <w:bookmarkStart w:id="12" w:name="_Toc330286968"/>
      <w:bookmarkStart w:id="13" w:name="_Toc362245672"/>
      <w:r>
        <w:rPr>
          <w:color w:val="auto"/>
        </w:rPr>
        <w:t>I.</w:t>
      </w:r>
      <w:r>
        <w:rPr>
          <w:color w:val="auto"/>
        </w:rPr>
        <w:tab/>
      </w:r>
      <w:r w:rsidRPr="00C7561B">
        <w:rPr>
          <w:rFonts w:ascii="Times New Roman" w:hAnsi="Times New Roman" w:cs="Times New Roman"/>
          <w:color w:val="auto"/>
        </w:rPr>
        <w:t xml:space="preserve">Historical electricity </w:t>
      </w:r>
      <w:bookmarkEnd w:id="12"/>
      <w:r>
        <w:rPr>
          <w:rFonts w:ascii="Times New Roman" w:hAnsi="Times New Roman" w:cs="Times New Roman"/>
          <w:color w:val="auto"/>
        </w:rPr>
        <w:t>demand</w:t>
      </w:r>
      <w:bookmarkEnd w:id="13"/>
    </w:p>
    <w:p w:rsidR="00C128EB" w:rsidRPr="005C34D6" w:rsidRDefault="00C128EB" w:rsidP="00EB4BCC">
      <w:pPr>
        <w:pStyle w:val="NoSpacing"/>
        <w:rPr>
          <w:rFonts w:ascii="Times New Roman" w:hAnsi="Times New Roman" w:cs="Times New Roman"/>
          <w:lang w:val="en-US"/>
        </w:rPr>
      </w:pPr>
    </w:p>
    <w:p w:rsidR="00C128EB" w:rsidRPr="005C34D6" w:rsidRDefault="00C128EB" w:rsidP="00EB4BCC">
      <w:pPr>
        <w:pStyle w:val="NoSpacing"/>
        <w:jc w:val="both"/>
        <w:rPr>
          <w:rFonts w:ascii="Times New Roman" w:hAnsi="Times New Roman" w:cs="Times New Roman"/>
          <w:lang w:val="en-US"/>
        </w:rPr>
      </w:pPr>
      <w:r w:rsidRPr="005C34D6">
        <w:rPr>
          <w:rFonts w:ascii="Times New Roman" w:hAnsi="Times New Roman" w:cs="Times New Roman"/>
          <w:lang w:val="en-US"/>
        </w:rPr>
        <w:t>Next table shows the national growt</w:t>
      </w:r>
      <w:r w:rsidR="00212471">
        <w:rPr>
          <w:rFonts w:ascii="Times New Roman" w:hAnsi="Times New Roman" w:cs="Times New Roman"/>
          <w:lang w:val="en-US"/>
        </w:rPr>
        <w:t>h of the electricity demand in generation buses</w:t>
      </w:r>
      <w:r w:rsidRPr="005C34D6">
        <w:rPr>
          <w:rFonts w:ascii="Times New Roman" w:hAnsi="Times New Roman" w:cs="Times New Roman"/>
          <w:lang w:val="en-US"/>
        </w:rPr>
        <w:t xml:space="preserve"> for Suriname, starting from the year 2000.</w:t>
      </w:r>
    </w:p>
    <w:p w:rsidR="00C128EB" w:rsidRPr="005C34D6" w:rsidRDefault="00C128EB" w:rsidP="00EB4BCC">
      <w:pPr>
        <w:pStyle w:val="NoSpacing"/>
        <w:jc w:val="center"/>
        <w:rPr>
          <w:rFonts w:ascii="Times New Roman" w:hAnsi="Times New Roman" w:cs="Times New Roman"/>
          <w:b/>
          <w:bCs/>
          <w:lang w:val="en-US"/>
        </w:rPr>
      </w:pPr>
    </w:p>
    <w:p w:rsidR="00C128EB" w:rsidRPr="008B4B8C" w:rsidRDefault="00C128EB" w:rsidP="00EB4BCC">
      <w:pPr>
        <w:pStyle w:val="NoSpacing"/>
        <w:jc w:val="center"/>
        <w:rPr>
          <w:rFonts w:ascii="Times New Roman" w:hAnsi="Times New Roman" w:cs="Times New Roman"/>
          <w:b/>
          <w:bCs/>
          <w:sz w:val="18"/>
          <w:szCs w:val="18"/>
          <w:lang w:val="en-US"/>
        </w:rPr>
      </w:pPr>
      <w:r w:rsidRPr="009245E9">
        <w:rPr>
          <w:rFonts w:ascii="Times New Roman" w:hAnsi="Times New Roman" w:cs="Times New Roman"/>
          <w:b/>
          <w:bCs/>
          <w:sz w:val="18"/>
          <w:szCs w:val="18"/>
          <w:lang w:val="en-US"/>
        </w:rPr>
        <w:t>SURINA</w:t>
      </w:r>
      <w:r w:rsidRPr="008B4B8C">
        <w:rPr>
          <w:rFonts w:ascii="Times New Roman" w:hAnsi="Times New Roman" w:cs="Times New Roman"/>
          <w:b/>
          <w:bCs/>
          <w:sz w:val="18"/>
          <w:szCs w:val="18"/>
          <w:lang w:val="en-US"/>
        </w:rPr>
        <w:t>ME: HISTORICAL ELECTRICITY DEMAND</w:t>
      </w:r>
      <w:r w:rsidR="00212471" w:rsidRPr="008B4B8C">
        <w:rPr>
          <w:rFonts w:ascii="Times New Roman" w:hAnsi="Times New Roman" w:cs="Times New Roman"/>
          <w:b/>
          <w:bCs/>
          <w:sz w:val="18"/>
          <w:szCs w:val="18"/>
          <w:lang w:val="en-US"/>
        </w:rPr>
        <w:t xml:space="preserve"> (kWh)</w:t>
      </w:r>
    </w:p>
    <w:p w:rsidR="00C128EB" w:rsidRPr="008B4B8C" w:rsidRDefault="00C128EB" w:rsidP="00EB4BCC">
      <w:pPr>
        <w:pStyle w:val="NoSpacing"/>
        <w:jc w:val="center"/>
        <w:rPr>
          <w:rFonts w:ascii="Times New Roman" w:hAnsi="Times New Roman" w:cs="Times New Roman"/>
          <w:b/>
          <w:bCs/>
          <w:lang w:val="en-US"/>
        </w:rPr>
      </w:pPr>
    </w:p>
    <w:p w:rsidR="00212471" w:rsidRDefault="00212471" w:rsidP="00EB4BCC">
      <w:pPr>
        <w:pStyle w:val="NoSpacing"/>
        <w:jc w:val="center"/>
        <w:rPr>
          <w:rFonts w:ascii="Times New Roman" w:hAnsi="Times New Roman" w:cs="Times New Roman"/>
          <w:sz w:val="18"/>
          <w:szCs w:val="18"/>
          <w:lang w:val="en-US"/>
        </w:rPr>
      </w:pPr>
      <w:r w:rsidRPr="00212471">
        <w:rPr>
          <w:noProof/>
          <w:lang w:val="en-US"/>
        </w:rPr>
        <w:drawing>
          <wp:inline distT="0" distB="0" distL="0" distR="0">
            <wp:extent cx="2674057" cy="1690577"/>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2675262" cy="1691339"/>
                    </a:xfrm>
                    <a:prstGeom prst="rect">
                      <a:avLst/>
                    </a:prstGeom>
                    <a:noFill/>
                    <a:ln w="9525">
                      <a:noFill/>
                      <a:miter lim="800000"/>
                      <a:headEnd/>
                      <a:tailEnd/>
                    </a:ln>
                  </pic:spPr>
                </pic:pic>
              </a:graphicData>
            </a:graphic>
          </wp:inline>
        </w:drawing>
      </w:r>
    </w:p>
    <w:p w:rsidR="00C128EB" w:rsidRPr="005C34D6" w:rsidRDefault="00C128EB" w:rsidP="00EB4BCC">
      <w:pPr>
        <w:pStyle w:val="NoSpacing"/>
        <w:jc w:val="center"/>
        <w:rPr>
          <w:rFonts w:ascii="Times New Roman" w:hAnsi="Times New Roman" w:cs="Times New Roman"/>
          <w:sz w:val="18"/>
          <w:szCs w:val="18"/>
          <w:lang w:val="en-US"/>
        </w:rPr>
      </w:pPr>
      <w:r w:rsidRPr="005C34D6">
        <w:rPr>
          <w:rFonts w:ascii="Times New Roman" w:hAnsi="Times New Roman" w:cs="Times New Roman"/>
          <w:sz w:val="18"/>
          <w:szCs w:val="18"/>
          <w:lang w:val="en-US"/>
        </w:rPr>
        <w:t>Source: EBS</w:t>
      </w:r>
    </w:p>
    <w:p w:rsidR="00C128EB" w:rsidRPr="005C34D6" w:rsidRDefault="00C128EB" w:rsidP="00EB4BCC">
      <w:pPr>
        <w:pStyle w:val="NoSpacing"/>
        <w:jc w:val="center"/>
        <w:rPr>
          <w:rFonts w:ascii="Times New Roman" w:hAnsi="Times New Roman" w:cs="Times New Roman"/>
          <w:b/>
          <w:bCs/>
          <w:lang w:val="en-US"/>
        </w:rPr>
      </w:pPr>
    </w:p>
    <w:p w:rsidR="00C128EB" w:rsidRPr="00BF67CB" w:rsidRDefault="00C128EB" w:rsidP="00EB4BCC">
      <w:pPr>
        <w:pStyle w:val="NoSpacing"/>
        <w:jc w:val="both"/>
        <w:rPr>
          <w:rFonts w:ascii="Times New Roman" w:hAnsi="Times New Roman" w:cs="Times New Roman"/>
          <w:lang w:val="nl-NL"/>
        </w:rPr>
      </w:pPr>
      <w:r w:rsidRPr="005C34D6">
        <w:rPr>
          <w:rFonts w:ascii="Times New Roman" w:hAnsi="Times New Roman" w:cs="Times New Roman"/>
          <w:lang w:val="en-US"/>
        </w:rPr>
        <w:t>From table the average growt</w:t>
      </w:r>
      <w:r>
        <w:rPr>
          <w:rFonts w:ascii="Times New Roman" w:hAnsi="Times New Roman" w:cs="Times New Roman"/>
          <w:lang w:val="en-US"/>
        </w:rPr>
        <w:t>h of the electricity demand</w:t>
      </w:r>
      <w:r w:rsidRPr="005C34D6">
        <w:rPr>
          <w:rFonts w:ascii="Times New Roman" w:hAnsi="Times New Roman" w:cs="Times New Roman"/>
          <w:lang w:val="en-US"/>
        </w:rPr>
        <w:t xml:space="preserve"> over the past 11 years is 6.5%. Annual demand growth in EPAR area (6.6%) is higher than in the Districts (5.6%), being Nickerie demand growth the most significant (5.9%). The demand of Rosebel Goldmines is not included in the table.</w:t>
      </w:r>
    </w:p>
    <w:p w:rsidR="00C128EB" w:rsidRPr="00C7561B" w:rsidRDefault="00C128EB" w:rsidP="00EB4BCC">
      <w:pPr>
        <w:pStyle w:val="Heading3"/>
        <w:rPr>
          <w:rFonts w:ascii="Times New Roman" w:hAnsi="Times New Roman" w:cs="Times New Roman"/>
          <w:color w:val="auto"/>
          <w:lang w:val="nl-NL"/>
        </w:rPr>
      </w:pPr>
      <w:bookmarkStart w:id="14" w:name="_Toc330286969"/>
      <w:bookmarkStart w:id="15" w:name="_Toc362245673"/>
      <w:r>
        <w:rPr>
          <w:rFonts w:ascii="Times New Roman" w:hAnsi="Times New Roman" w:cs="Times New Roman"/>
          <w:color w:val="auto"/>
          <w:lang w:val="nl-NL"/>
        </w:rPr>
        <w:t>II.</w:t>
      </w:r>
      <w:r w:rsidRPr="00C7561B">
        <w:rPr>
          <w:rFonts w:ascii="Times New Roman" w:hAnsi="Times New Roman" w:cs="Times New Roman"/>
          <w:color w:val="auto"/>
          <w:lang w:val="nl-NL"/>
        </w:rPr>
        <w:tab/>
        <w:t>Energy demand forecasts</w:t>
      </w:r>
      <w:bookmarkEnd w:id="14"/>
      <w:bookmarkEnd w:id="15"/>
    </w:p>
    <w:p w:rsidR="00C128EB" w:rsidRPr="005D7C7E" w:rsidRDefault="00C128EB" w:rsidP="00EB4BCC">
      <w:pPr>
        <w:pStyle w:val="NoSpacing"/>
        <w:rPr>
          <w:lang w:val="nl-NL"/>
        </w:rPr>
      </w:pPr>
    </w:p>
    <w:p w:rsidR="00C128EB" w:rsidRPr="009245E9" w:rsidRDefault="00C128EB" w:rsidP="00EB4BCC">
      <w:pPr>
        <w:pStyle w:val="NoSpacing"/>
        <w:jc w:val="both"/>
        <w:rPr>
          <w:rFonts w:ascii="Times New Roman" w:hAnsi="Times New Roman" w:cs="Times New Roman"/>
          <w:lang w:val="nl-NL"/>
        </w:rPr>
      </w:pPr>
      <w:r w:rsidRPr="005C34D6">
        <w:rPr>
          <w:rFonts w:ascii="Times New Roman" w:hAnsi="Times New Roman" w:cs="Times New Roman"/>
          <w:lang w:val="nl-NL"/>
        </w:rPr>
        <w:t>Energy demand forecasts were estimated using future annual average growths similar to historical growth: 7.0% for Epar and Nickerie and 6.0% for the disctricts. It was considered that future Epar demand covers the specific loads of the refinery expansion and the governmental housing programs. However, the incremental demand of the gold industries (Rosebel and Newmont) were estimated separately.</w:t>
      </w:r>
      <w:r>
        <w:rPr>
          <w:rFonts w:ascii="Times New Roman" w:hAnsi="Times New Roman" w:cs="Times New Roman"/>
          <w:lang w:val="nl-NL"/>
        </w:rPr>
        <w:t xml:space="preserve"> </w:t>
      </w:r>
      <w:r w:rsidRPr="009245E9">
        <w:rPr>
          <w:rFonts w:ascii="Times New Roman" w:hAnsi="Times New Roman" w:cs="Times New Roman"/>
          <w:lang w:val="nl-NL"/>
        </w:rPr>
        <w:t>Next table summarizes the forecasted energy demand for each of the systems and for the gold mines (the demand for the gold industry was estimated with peak demand reaching 50 MW for Rosebel in 2017 and 70 MW for Newmont in 2019 and with 0.84 as load factor).</w:t>
      </w:r>
    </w:p>
    <w:p w:rsidR="00C128EB" w:rsidRDefault="00C128EB" w:rsidP="00EB4BCC">
      <w:pPr>
        <w:pStyle w:val="ParaText"/>
        <w:spacing w:before="0" w:after="0"/>
        <w:rPr>
          <w:sz w:val="22"/>
          <w:szCs w:val="22"/>
          <w:lang w:val="nl-NL"/>
        </w:rPr>
      </w:pPr>
    </w:p>
    <w:p w:rsidR="00C128EB" w:rsidRPr="009245E9" w:rsidRDefault="00C128EB" w:rsidP="00EB4BCC">
      <w:pPr>
        <w:pStyle w:val="ParaText"/>
        <w:spacing w:before="0" w:after="0"/>
        <w:jc w:val="center"/>
        <w:rPr>
          <w:b/>
          <w:bCs/>
          <w:sz w:val="18"/>
          <w:szCs w:val="18"/>
          <w:lang w:val="nl-NL"/>
        </w:rPr>
      </w:pPr>
      <w:r w:rsidRPr="009245E9">
        <w:rPr>
          <w:b/>
          <w:bCs/>
          <w:sz w:val="18"/>
          <w:szCs w:val="18"/>
          <w:lang w:val="nl-NL"/>
        </w:rPr>
        <w:t>ENERGY DEMAND FORECAST (GWH)</w:t>
      </w:r>
    </w:p>
    <w:p w:rsidR="00C128EB" w:rsidRDefault="00C128EB" w:rsidP="00EB4BCC">
      <w:pPr>
        <w:pStyle w:val="ParaText"/>
        <w:spacing w:before="0" w:after="0"/>
        <w:rPr>
          <w:sz w:val="22"/>
          <w:szCs w:val="22"/>
          <w:lang w:val="nl-NL"/>
        </w:rPr>
      </w:pPr>
    </w:p>
    <w:p w:rsidR="00C128EB" w:rsidRDefault="00EC138D" w:rsidP="00EB4BCC">
      <w:pPr>
        <w:pStyle w:val="ParaText"/>
        <w:spacing w:before="0" w:after="0"/>
        <w:rPr>
          <w:sz w:val="22"/>
          <w:szCs w:val="22"/>
          <w:lang w:val="nl-NL"/>
        </w:rPr>
      </w:pPr>
      <w:r>
        <w:rPr>
          <w:noProof/>
        </w:rPr>
        <w:drawing>
          <wp:inline distT="0" distB="0" distL="0" distR="0">
            <wp:extent cx="5684520" cy="1091565"/>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5684520" cy="1091565"/>
                    </a:xfrm>
                    <a:prstGeom prst="rect">
                      <a:avLst/>
                    </a:prstGeom>
                    <a:noFill/>
                    <a:ln w="9525">
                      <a:noFill/>
                      <a:miter lim="800000"/>
                      <a:headEnd/>
                      <a:tailEnd/>
                    </a:ln>
                  </pic:spPr>
                </pic:pic>
              </a:graphicData>
            </a:graphic>
          </wp:inline>
        </w:drawing>
      </w:r>
    </w:p>
    <w:p w:rsidR="00C128EB" w:rsidRPr="005C34D6" w:rsidRDefault="00C128EB" w:rsidP="00EB4BCC">
      <w:pPr>
        <w:pStyle w:val="NoSpacing"/>
        <w:jc w:val="center"/>
        <w:rPr>
          <w:rFonts w:ascii="Times New Roman" w:hAnsi="Times New Roman" w:cs="Times New Roman"/>
          <w:sz w:val="18"/>
          <w:szCs w:val="18"/>
          <w:lang w:val="en-US"/>
        </w:rPr>
      </w:pPr>
      <w:r w:rsidRPr="005C34D6">
        <w:rPr>
          <w:rFonts w:ascii="Times New Roman" w:hAnsi="Times New Roman" w:cs="Times New Roman"/>
          <w:sz w:val="18"/>
          <w:szCs w:val="18"/>
          <w:lang w:val="en-US"/>
        </w:rPr>
        <w:t>Source: EBS</w:t>
      </w:r>
    </w:p>
    <w:p w:rsidR="00C128EB" w:rsidRDefault="00C128EB" w:rsidP="00EB4BCC">
      <w:pPr>
        <w:pStyle w:val="ParaText"/>
        <w:spacing w:before="0" w:after="0"/>
        <w:jc w:val="center"/>
        <w:rPr>
          <w:sz w:val="22"/>
          <w:szCs w:val="22"/>
          <w:lang w:val="nl-NL"/>
        </w:rPr>
      </w:pPr>
    </w:p>
    <w:p w:rsidR="00EC138D" w:rsidRPr="00D85701" w:rsidRDefault="00EC138D" w:rsidP="00EB4BCC">
      <w:pPr>
        <w:pStyle w:val="NoSpacing"/>
        <w:jc w:val="both"/>
        <w:rPr>
          <w:rFonts w:ascii="Arial" w:hAnsi="Arial" w:cs="Arial"/>
          <w:lang w:val="en-US"/>
        </w:rPr>
      </w:pPr>
    </w:p>
    <w:p w:rsidR="00C128EB" w:rsidRPr="008E4464" w:rsidRDefault="00C128EB" w:rsidP="008E4464">
      <w:pPr>
        <w:jc w:val="center"/>
        <w:rPr>
          <w:rFonts w:ascii="Times New Roman" w:hAnsi="Times New Roman" w:cs="Times New Roman"/>
          <w:b/>
          <w:bCs/>
          <w:lang w:val="en-US"/>
        </w:rPr>
      </w:pPr>
      <w:r w:rsidRPr="008E4464">
        <w:rPr>
          <w:rFonts w:ascii="Times New Roman" w:hAnsi="Times New Roman" w:cs="Times New Roman"/>
          <w:b/>
          <w:bCs/>
          <w:lang w:val="en-US"/>
        </w:rPr>
        <w:t xml:space="preserve">ANNEX </w:t>
      </w:r>
      <w:r w:rsidR="00590C0B">
        <w:rPr>
          <w:rFonts w:ascii="Times New Roman" w:hAnsi="Times New Roman" w:cs="Times New Roman"/>
          <w:b/>
          <w:bCs/>
          <w:lang w:val="en-US"/>
        </w:rPr>
        <w:t>3</w:t>
      </w:r>
    </w:p>
    <w:p w:rsidR="00C128EB" w:rsidRDefault="00C128EB" w:rsidP="00997399">
      <w:pPr>
        <w:pStyle w:val="NoSpacing"/>
        <w:jc w:val="center"/>
        <w:rPr>
          <w:rFonts w:ascii="Times New Roman" w:hAnsi="Times New Roman" w:cs="Times New Roman"/>
          <w:b/>
          <w:bCs/>
          <w:lang w:val="en-US"/>
        </w:rPr>
      </w:pPr>
      <w:r w:rsidRPr="008E4464">
        <w:rPr>
          <w:rFonts w:ascii="Times New Roman" w:hAnsi="Times New Roman" w:cs="Times New Roman"/>
          <w:b/>
          <w:bCs/>
          <w:lang w:val="en-US"/>
        </w:rPr>
        <w:t>UPGRADE OF SUBSTATION C</w:t>
      </w:r>
    </w:p>
    <w:p w:rsidR="008E4464" w:rsidRPr="008E4464" w:rsidRDefault="008E4464" w:rsidP="00997399">
      <w:pPr>
        <w:pStyle w:val="NoSpacing"/>
        <w:jc w:val="center"/>
        <w:rPr>
          <w:rFonts w:ascii="Times New Roman" w:hAnsi="Times New Roman" w:cs="Times New Roman"/>
          <w:b/>
          <w:bCs/>
          <w:lang w:val="en-US"/>
        </w:rPr>
      </w:pPr>
    </w:p>
    <w:p w:rsidR="00C128EB" w:rsidRPr="00997399" w:rsidRDefault="00C128EB" w:rsidP="00997399">
      <w:pPr>
        <w:pStyle w:val="NoSpacing"/>
        <w:jc w:val="both"/>
        <w:rPr>
          <w:rFonts w:ascii="Times New Roman" w:hAnsi="Times New Roman" w:cs="Times New Roman"/>
          <w:lang w:val="en-US"/>
        </w:rPr>
      </w:pPr>
    </w:p>
    <w:p w:rsidR="00C128EB" w:rsidRPr="00997399" w:rsidRDefault="00C128EB" w:rsidP="00997399">
      <w:pPr>
        <w:pStyle w:val="NoSpacing"/>
        <w:numPr>
          <w:ilvl w:val="0"/>
          <w:numId w:val="10"/>
        </w:numPr>
        <w:rPr>
          <w:rFonts w:ascii="Times New Roman" w:hAnsi="Times New Roman" w:cs="Times New Roman"/>
          <w:u w:val="single"/>
          <w:lang w:val="en-US"/>
        </w:rPr>
      </w:pPr>
      <w:r w:rsidRPr="00997399">
        <w:rPr>
          <w:rFonts w:ascii="Times New Roman" w:hAnsi="Times New Roman" w:cs="Times New Roman"/>
          <w:u w:val="single"/>
          <w:lang w:val="en-US"/>
        </w:rPr>
        <w:t>Maximum power transfer capacity in substation C:</w:t>
      </w:r>
    </w:p>
    <w:p w:rsidR="00C128EB" w:rsidRPr="00997399" w:rsidRDefault="00C128EB" w:rsidP="00997399">
      <w:pPr>
        <w:pStyle w:val="NoSpacing"/>
        <w:rPr>
          <w:rFonts w:ascii="Times New Roman" w:hAnsi="Times New Roman" w:cs="Times New Roman"/>
          <w:lang w:val="en-US"/>
        </w:rPr>
      </w:pPr>
    </w:p>
    <w:p w:rsidR="00C128EB" w:rsidRPr="00997399" w:rsidRDefault="00C128EB" w:rsidP="00997399">
      <w:pPr>
        <w:pStyle w:val="NoSpacing"/>
        <w:numPr>
          <w:ilvl w:val="0"/>
          <w:numId w:val="19"/>
        </w:numPr>
        <w:rPr>
          <w:rFonts w:ascii="Times New Roman" w:hAnsi="Times New Roman" w:cs="Times New Roman"/>
          <w:lang w:val="en-US"/>
        </w:rPr>
      </w:pPr>
      <w:r w:rsidRPr="00997399">
        <w:rPr>
          <w:rFonts w:ascii="Times New Roman" w:hAnsi="Times New Roman" w:cs="Times New Roman"/>
          <w:lang w:val="en-US"/>
        </w:rPr>
        <w:t>Limiting factors for maximum power transfer capacity:</w:t>
      </w:r>
    </w:p>
    <w:p w:rsidR="00C128EB" w:rsidRDefault="00C128EB" w:rsidP="00997399">
      <w:pPr>
        <w:pStyle w:val="NoSpacing"/>
        <w:numPr>
          <w:ilvl w:val="0"/>
          <w:numId w:val="12"/>
        </w:numPr>
        <w:rPr>
          <w:rFonts w:ascii="Times New Roman" w:hAnsi="Times New Roman" w:cs="Times New Roman"/>
        </w:rPr>
      </w:pPr>
      <w:r>
        <w:rPr>
          <w:rFonts w:ascii="Times New Roman" w:hAnsi="Times New Roman" w:cs="Times New Roman"/>
        </w:rPr>
        <w:t>Transmission grid transport capacity</w:t>
      </w:r>
    </w:p>
    <w:p w:rsidR="00C128EB" w:rsidRDefault="00C128EB" w:rsidP="00997399">
      <w:pPr>
        <w:pStyle w:val="NoSpacing"/>
        <w:numPr>
          <w:ilvl w:val="0"/>
          <w:numId w:val="12"/>
        </w:numPr>
        <w:rPr>
          <w:rFonts w:ascii="Times New Roman" w:hAnsi="Times New Roman" w:cs="Times New Roman"/>
        </w:rPr>
      </w:pPr>
      <w:r>
        <w:rPr>
          <w:rFonts w:ascii="Times New Roman" w:hAnsi="Times New Roman" w:cs="Times New Roman"/>
        </w:rPr>
        <w:t>Substation transformer capacity</w:t>
      </w:r>
    </w:p>
    <w:p w:rsidR="00C128EB" w:rsidRDefault="00C128EB" w:rsidP="00997399">
      <w:pPr>
        <w:pStyle w:val="NoSpacing"/>
        <w:ind w:left="720"/>
        <w:rPr>
          <w:rFonts w:ascii="Times New Roman" w:hAnsi="Times New Roman" w:cs="Times New Roman"/>
        </w:rPr>
      </w:pPr>
    </w:p>
    <w:p w:rsidR="00C128EB" w:rsidRPr="00997399" w:rsidRDefault="00C128EB" w:rsidP="00997399">
      <w:pPr>
        <w:pStyle w:val="NoSpacing"/>
        <w:numPr>
          <w:ilvl w:val="0"/>
          <w:numId w:val="19"/>
        </w:numPr>
        <w:rPr>
          <w:rFonts w:ascii="Times New Roman" w:hAnsi="Times New Roman" w:cs="Times New Roman"/>
          <w:lang w:val="en-US"/>
        </w:rPr>
      </w:pPr>
      <w:r w:rsidRPr="00997399">
        <w:rPr>
          <w:rFonts w:ascii="Times New Roman" w:hAnsi="Times New Roman" w:cs="Times New Roman"/>
          <w:lang w:val="en-US"/>
        </w:rPr>
        <w:t>Short-circuit Current Rating (SCR) based on total active generation capacity.</w:t>
      </w:r>
    </w:p>
    <w:p w:rsidR="00C128EB" w:rsidRPr="00997399" w:rsidRDefault="00C128EB" w:rsidP="00997399">
      <w:pPr>
        <w:pStyle w:val="NoSpacing"/>
        <w:ind w:firstLine="720"/>
        <w:rPr>
          <w:rFonts w:ascii="Times New Roman" w:hAnsi="Times New Roman" w:cs="Times New Roman"/>
          <w:lang w:val="en-US"/>
        </w:rPr>
      </w:pPr>
    </w:p>
    <w:p w:rsidR="00C128EB" w:rsidRPr="001E6B61" w:rsidRDefault="00C128EB" w:rsidP="00997399">
      <w:pPr>
        <w:pStyle w:val="NoSpacing"/>
        <w:numPr>
          <w:ilvl w:val="0"/>
          <w:numId w:val="11"/>
        </w:numPr>
        <w:rPr>
          <w:rFonts w:ascii="Times New Roman" w:hAnsi="Times New Roman" w:cs="Times New Roman"/>
          <w:i/>
          <w:iCs/>
        </w:rPr>
      </w:pPr>
      <w:r w:rsidRPr="001E6B61">
        <w:rPr>
          <w:rFonts w:ascii="Times New Roman" w:hAnsi="Times New Roman" w:cs="Times New Roman"/>
          <w:i/>
          <w:iCs/>
        </w:rPr>
        <w:t>Without the upgrade project:</w:t>
      </w:r>
    </w:p>
    <w:p w:rsidR="00C128EB" w:rsidRPr="00997399" w:rsidRDefault="00C128EB" w:rsidP="00997399">
      <w:pPr>
        <w:pStyle w:val="NoSpacing"/>
        <w:numPr>
          <w:ilvl w:val="1"/>
          <w:numId w:val="10"/>
        </w:numPr>
        <w:rPr>
          <w:rFonts w:ascii="Times New Roman" w:hAnsi="Times New Roman" w:cs="Times New Roman"/>
          <w:lang w:val="en-US"/>
        </w:rPr>
      </w:pPr>
      <w:r w:rsidRPr="00997399">
        <w:rPr>
          <w:rFonts w:ascii="Times New Roman" w:hAnsi="Times New Roman" w:cs="Times New Roman"/>
          <w:lang w:val="en-US"/>
        </w:rPr>
        <w:t>Short-circuit Current Rating (SCR) of existing 33 kV switchgear has been exceeded;</w:t>
      </w:r>
    </w:p>
    <w:p w:rsidR="00C128EB" w:rsidRPr="00997399" w:rsidRDefault="00C128EB" w:rsidP="00997399">
      <w:pPr>
        <w:pStyle w:val="NoSpacing"/>
        <w:ind w:left="1440"/>
        <w:rPr>
          <w:rFonts w:ascii="Times New Roman" w:hAnsi="Times New Roman" w:cs="Times New Roman"/>
          <w:lang w:val="en-US"/>
        </w:rPr>
      </w:pPr>
      <w:r w:rsidRPr="00997399">
        <w:rPr>
          <w:rFonts w:ascii="Times New Roman" w:hAnsi="Times New Roman" w:cs="Times New Roman"/>
          <w:lang w:val="en-US"/>
        </w:rPr>
        <w:t xml:space="preserve">14 kA simulated short-circuit fault current compared to SCR of 8.7 kA for existing 33 kV switchgear.  </w:t>
      </w:r>
    </w:p>
    <w:p w:rsidR="00C128EB" w:rsidRPr="00997399" w:rsidRDefault="00C128EB" w:rsidP="00997399">
      <w:pPr>
        <w:pStyle w:val="NoSpacing"/>
        <w:numPr>
          <w:ilvl w:val="1"/>
          <w:numId w:val="10"/>
        </w:numPr>
        <w:rPr>
          <w:rFonts w:ascii="Times New Roman" w:hAnsi="Times New Roman" w:cs="Times New Roman"/>
          <w:lang w:val="en-US"/>
        </w:rPr>
      </w:pPr>
      <w:r w:rsidRPr="00997399">
        <w:rPr>
          <w:rFonts w:ascii="Times New Roman" w:hAnsi="Times New Roman" w:cs="Times New Roman"/>
          <w:lang w:val="en-US"/>
        </w:rPr>
        <w:t xml:space="preserve">Current power transfer level already in violation based on above. </w:t>
      </w:r>
    </w:p>
    <w:p w:rsidR="00C128EB" w:rsidRPr="00997399" w:rsidRDefault="00C128EB" w:rsidP="00997399">
      <w:pPr>
        <w:pStyle w:val="NoSpacing"/>
        <w:tabs>
          <w:tab w:val="left" w:pos="1095"/>
        </w:tabs>
        <w:rPr>
          <w:rFonts w:ascii="Times New Roman" w:hAnsi="Times New Roman" w:cs="Times New Roman"/>
          <w:lang w:val="en-US"/>
        </w:rPr>
      </w:pPr>
      <w:r w:rsidRPr="00997399">
        <w:rPr>
          <w:rFonts w:ascii="Times New Roman" w:hAnsi="Times New Roman" w:cs="Times New Roman"/>
          <w:lang w:val="en-US"/>
        </w:rPr>
        <w:tab/>
      </w:r>
    </w:p>
    <w:p w:rsidR="00C128EB" w:rsidRPr="001E6B61" w:rsidRDefault="00C128EB" w:rsidP="00997399">
      <w:pPr>
        <w:pStyle w:val="NoSpacing"/>
        <w:numPr>
          <w:ilvl w:val="0"/>
          <w:numId w:val="11"/>
        </w:numPr>
        <w:rPr>
          <w:rFonts w:ascii="Times New Roman" w:hAnsi="Times New Roman" w:cs="Times New Roman"/>
          <w:i/>
          <w:iCs/>
        </w:rPr>
      </w:pPr>
      <w:r w:rsidRPr="001E6B61">
        <w:rPr>
          <w:rFonts w:ascii="Times New Roman" w:hAnsi="Times New Roman" w:cs="Times New Roman"/>
          <w:i/>
          <w:iCs/>
        </w:rPr>
        <w:t>With the upgrade project:</w:t>
      </w:r>
    </w:p>
    <w:p w:rsidR="00C128EB" w:rsidRPr="00997399" w:rsidRDefault="00C128EB" w:rsidP="00997399">
      <w:pPr>
        <w:pStyle w:val="NoSpacing"/>
        <w:numPr>
          <w:ilvl w:val="1"/>
          <w:numId w:val="10"/>
        </w:numPr>
        <w:rPr>
          <w:rFonts w:ascii="Times New Roman" w:hAnsi="Times New Roman" w:cs="Times New Roman"/>
          <w:lang w:val="en-US"/>
        </w:rPr>
      </w:pPr>
      <w:r w:rsidRPr="00997399">
        <w:rPr>
          <w:rFonts w:ascii="Times New Roman" w:hAnsi="Times New Roman" w:cs="Times New Roman"/>
          <w:lang w:val="en-US"/>
        </w:rPr>
        <w:t>Short-circuit Current Rating (SCR) for new 33 kV switchgear determined to be 25 kA;</w:t>
      </w:r>
    </w:p>
    <w:p w:rsidR="00C128EB" w:rsidRPr="00997399" w:rsidRDefault="00C128EB" w:rsidP="00997399">
      <w:pPr>
        <w:pStyle w:val="NoSpacing"/>
        <w:ind w:left="1440"/>
        <w:rPr>
          <w:rFonts w:ascii="Times New Roman" w:hAnsi="Times New Roman" w:cs="Times New Roman"/>
          <w:lang w:val="en-US"/>
        </w:rPr>
      </w:pPr>
      <w:r w:rsidRPr="00997399">
        <w:rPr>
          <w:rFonts w:ascii="Times New Roman" w:hAnsi="Times New Roman" w:cs="Times New Roman"/>
          <w:lang w:val="en-US"/>
        </w:rPr>
        <w:t>Sufficient SCR based on planned generation capacity expansion.</w:t>
      </w:r>
    </w:p>
    <w:p w:rsidR="00C128EB" w:rsidRPr="00997399" w:rsidRDefault="00C128EB" w:rsidP="00997399">
      <w:pPr>
        <w:pStyle w:val="NoSpacing"/>
        <w:numPr>
          <w:ilvl w:val="1"/>
          <w:numId w:val="10"/>
        </w:numPr>
        <w:rPr>
          <w:rFonts w:ascii="Times New Roman" w:hAnsi="Times New Roman" w:cs="Times New Roman"/>
          <w:lang w:val="en-US"/>
        </w:rPr>
      </w:pPr>
      <w:r w:rsidRPr="00997399">
        <w:rPr>
          <w:rFonts w:ascii="Times New Roman" w:hAnsi="Times New Roman" w:cs="Times New Roman"/>
          <w:lang w:val="en-US"/>
        </w:rPr>
        <w:t>Maximum power transfer capacity set by total planned substation transformer capacity of 50 MVA.</w:t>
      </w:r>
    </w:p>
    <w:p w:rsidR="00C128EB" w:rsidRPr="00997399" w:rsidRDefault="00C128EB" w:rsidP="00997399">
      <w:pPr>
        <w:pStyle w:val="NoSpacing"/>
        <w:rPr>
          <w:rFonts w:ascii="Times New Roman" w:hAnsi="Times New Roman" w:cs="Times New Roman"/>
          <w:lang w:val="en-US"/>
        </w:rPr>
      </w:pPr>
    </w:p>
    <w:p w:rsidR="00C128EB" w:rsidRPr="00997399" w:rsidRDefault="00C128EB" w:rsidP="00997399">
      <w:pPr>
        <w:pStyle w:val="NoSpacing"/>
        <w:numPr>
          <w:ilvl w:val="0"/>
          <w:numId w:val="10"/>
        </w:numPr>
        <w:rPr>
          <w:rFonts w:ascii="Times New Roman" w:hAnsi="Times New Roman" w:cs="Times New Roman"/>
          <w:u w:val="single"/>
          <w:lang w:val="en-US"/>
        </w:rPr>
      </w:pPr>
      <w:r w:rsidRPr="00997399">
        <w:rPr>
          <w:rFonts w:ascii="Times New Roman" w:hAnsi="Times New Roman" w:cs="Times New Roman"/>
          <w:u w:val="single"/>
          <w:lang w:val="en-US"/>
        </w:rPr>
        <w:t>Additional 33/ 12.6/ 6.3 kV distribution capacity to be installed:</w:t>
      </w:r>
    </w:p>
    <w:p w:rsidR="00C128EB" w:rsidRPr="00997399" w:rsidRDefault="00C128EB" w:rsidP="00997399">
      <w:pPr>
        <w:pStyle w:val="NoSpacing"/>
        <w:rPr>
          <w:rFonts w:ascii="Times New Roman" w:hAnsi="Times New Roman" w:cs="Times New Roman"/>
          <w:lang w:val="en-US"/>
        </w:rPr>
      </w:pPr>
    </w:p>
    <w:p w:rsidR="00C128EB" w:rsidRPr="00997399" w:rsidRDefault="00C128EB" w:rsidP="00997399">
      <w:pPr>
        <w:pStyle w:val="NoSpacing"/>
        <w:ind w:left="720"/>
        <w:rPr>
          <w:rFonts w:ascii="Times New Roman" w:hAnsi="Times New Roman" w:cs="Times New Roman"/>
          <w:i/>
          <w:iCs/>
          <w:lang w:val="en-US"/>
        </w:rPr>
      </w:pPr>
      <w:r w:rsidRPr="00997399">
        <w:rPr>
          <w:rFonts w:ascii="Times New Roman" w:hAnsi="Times New Roman" w:cs="Times New Roman"/>
          <w:i/>
          <w:iCs/>
          <w:lang w:val="en-US"/>
        </w:rPr>
        <w:t>Distribution capacity without the upgrade project (existing distribution capacity):</w:t>
      </w:r>
    </w:p>
    <w:p w:rsidR="00C128EB" w:rsidRPr="00997399" w:rsidRDefault="00C128EB" w:rsidP="00997399">
      <w:pPr>
        <w:pStyle w:val="NoSpacing"/>
        <w:numPr>
          <w:ilvl w:val="0"/>
          <w:numId w:val="13"/>
        </w:numPr>
        <w:jc w:val="both"/>
        <w:rPr>
          <w:rFonts w:ascii="Times New Roman" w:hAnsi="Times New Roman" w:cs="Times New Roman"/>
          <w:lang w:val="en-US"/>
        </w:rPr>
      </w:pPr>
      <w:r w:rsidRPr="00997399">
        <w:rPr>
          <w:rFonts w:ascii="Times New Roman" w:hAnsi="Times New Roman" w:cs="Times New Roman"/>
          <w:lang w:val="en-US"/>
        </w:rPr>
        <w:t>3 x 7 MVA for 12.6 kV distribution voltage level.</w:t>
      </w:r>
    </w:p>
    <w:p w:rsidR="00C128EB" w:rsidRPr="00997399" w:rsidRDefault="00C128EB" w:rsidP="00997399">
      <w:pPr>
        <w:pStyle w:val="NoSpacing"/>
        <w:numPr>
          <w:ilvl w:val="0"/>
          <w:numId w:val="13"/>
        </w:numPr>
        <w:jc w:val="both"/>
        <w:rPr>
          <w:rFonts w:ascii="Times New Roman" w:hAnsi="Times New Roman" w:cs="Times New Roman"/>
          <w:lang w:val="en-US"/>
        </w:rPr>
      </w:pPr>
      <w:r w:rsidRPr="00997399">
        <w:rPr>
          <w:rFonts w:ascii="Times New Roman" w:hAnsi="Times New Roman" w:cs="Times New Roman"/>
          <w:lang w:val="en-US"/>
        </w:rPr>
        <w:t>1 x 7 MVA for 6.3 kV distribution voltage level.</w:t>
      </w:r>
    </w:p>
    <w:p w:rsidR="00C128EB" w:rsidRDefault="00C128EB" w:rsidP="00997399">
      <w:pPr>
        <w:pStyle w:val="NoSpacing"/>
        <w:ind w:left="1440"/>
        <w:jc w:val="both"/>
        <w:rPr>
          <w:rFonts w:ascii="Times New Roman" w:hAnsi="Times New Roman" w:cs="Times New Roman"/>
          <w:b/>
          <w:bCs/>
          <w:lang w:val="en-US"/>
        </w:rPr>
      </w:pPr>
    </w:p>
    <w:p w:rsidR="00C128EB" w:rsidRPr="00997399" w:rsidRDefault="00C128EB" w:rsidP="00997399">
      <w:pPr>
        <w:pStyle w:val="NoSpacing"/>
        <w:ind w:left="1440"/>
        <w:jc w:val="both"/>
        <w:rPr>
          <w:rFonts w:ascii="Times New Roman" w:hAnsi="Times New Roman" w:cs="Times New Roman"/>
          <w:b/>
          <w:bCs/>
          <w:lang w:val="en-US"/>
        </w:rPr>
      </w:pPr>
      <w:r w:rsidRPr="00997399">
        <w:rPr>
          <w:rFonts w:ascii="Times New Roman" w:hAnsi="Times New Roman" w:cs="Times New Roman"/>
          <w:b/>
          <w:bCs/>
          <w:lang w:val="en-US"/>
        </w:rPr>
        <w:t>Total existing capacity: 28 MVA</w:t>
      </w:r>
    </w:p>
    <w:p w:rsidR="00C128EB" w:rsidRDefault="00C128EB" w:rsidP="00997399">
      <w:pPr>
        <w:pStyle w:val="NoSpacing"/>
        <w:ind w:left="720"/>
        <w:rPr>
          <w:rFonts w:ascii="Times New Roman" w:hAnsi="Times New Roman" w:cs="Times New Roman"/>
          <w:i/>
          <w:iCs/>
          <w:lang w:val="en-US"/>
        </w:rPr>
      </w:pPr>
    </w:p>
    <w:p w:rsidR="00C128EB" w:rsidRPr="00997399" w:rsidRDefault="00C128EB" w:rsidP="00997399">
      <w:pPr>
        <w:pStyle w:val="NoSpacing"/>
        <w:ind w:left="720"/>
        <w:rPr>
          <w:rFonts w:ascii="Times New Roman" w:hAnsi="Times New Roman" w:cs="Times New Roman"/>
          <w:i/>
          <w:iCs/>
          <w:lang w:val="en-US"/>
        </w:rPr>
      </w:pPr>
      <w:r w:rsidRPr="00997399">
        <w:rPr>
          <w:rFonts w:ascii="Times New Roman" w:hAnsi="Times New Roman" w:cs="Times New Roman"/>
          <w:i/>
          <w:iCs/>
          <w:lang w:val="en-US"/>
        </w:rPr>
        <w:t>Distribution capacity after implementation of the upgrade project:</w:t>
      </w:r>
    </w:p>
    <w:p w:rsidR="00C128EB" w:rsidRPr="00997399" w:rsidRDefault="00C128EB" w:rsidP="00997399">
      <w:pPr>
        <w:pStyle w:val="NoSpacing"/>
        <w:numPr>
          <w:ilvl w:val="0"/>
          <w:numId w:val="13"/>
        </w:numPr>
        <w:jc w:val="both"/>
        <w:rPr>
          <w:rFonts w:ascii="Times New Roman" w:hAnsi="Times New Roman" w:cs="Times New Roman"/>
          <w:lang w:val="en-US"/>
        </w:rPr>
      </w:pPr>
      <w:r w:rsidRPr="00997399">
        <w:rPr>
          <w:rFonts w:ascii="Times New Roman" w:hAnsi="Times New Roman" w:cs="Times New Roman"/>
          <w:lang w:val="en-US"/>
        </w:rPr>
        <w:t>1 x 25 MVA for 12.6 kV distribution voltage level. (second 25 MVA for 12.6 kV will be added at later stage)</w:t>
      </w:r>
    </w:p>
    <w:p w:rsidR="00C128EB" w:rsidRPr="00997399" w:rsidRDefault="00C128EB" w:rsidP="00997399">
      <w:pPr>
        <w:pStyle w:val="NoSpacing"/>
        <w:numPr>
          <w:ilvl w:val="0"/>
          <w:numId w:val="13"/>
        </w:numPr>
        <w:jc w:val="both"/>
        <w:rPr>
          <w:rFonts w:ascii="Times New Roman" w:hAnsi="Times New Roman" w:cs="Times New Roman"/>
          <w:lang w:val="en-US"/>
        </w:rPr>
      </w:pPr>
      <w:r w:rsidRPr="00997399">
        <w:rPr>
          <w:rFonts w:ascii="Times New Roman" w:hAnsi="Times New Roman" w:cs="Times New Roman"/>
          <w:lang w:val="en-US"/>
        </w:rPr>
        <w:t>1 x 25 MVA for 6.3 kV distribution voltage level.</w:t>
      </w:r>
    </w:p>
    <w:p w:rsidR="00C128EB" w:rsidRDefault="00C128EB" w:rsidP="00997399">
      <w:pPr>
        <w:pStyle w:val="NoSpacing"/>
        <w:ind w:left="1440"/>
        <w:jc w:val="both"/>
        <w:rPr>
          <w:rFonts w:ascii="Times New Roman" w:hAnsi="Times New Roman" w:cs="Times New Roman"/>
          <w:b/>
          <w:bCs/>
          <w:lang w:val="en-US"/>
        </w:rPr>
      </w:pPr>
    </w:p>
    <w:p w:rsidR="00C128EB" w:rsidRPr="00997399" w:rsidRDefault="00C128EB" w:rsidP="00997399">
      <w:pPr>
        <w:pStyle w:val="NoSpacing"/>
        <w:ind w:left="1440"/>
        <w:jc w:val="both"/>
        <w:rPr>
          <w:rFonts w:ascii="Times New Roman" w:hAnsi="Times New Roman" w:cs="Times New Roman"/>
          <w:b/>
          <w:bCs/>
          <w:lang w:val="en-US"/>
        </w:rPr>
      </w:pPr>
      <w:r w:rsidRPr="00997399">
        <w:rPr>
          <w:rFonts w:ascii="Times New Roman" w:hAnsi="Times New Roman" w:cs="Times New Roman"/>
          <w:b/>
          <w:bCs/>
          <w:lang w:val="en-US"/>
        </w:rPr>
        <w:t>Total planned capacity: 50 MVA (75 MVA at later stage)</w:t>
      </w:r>
    </w:p>
    <w:p w:rsidR="00C128EB" w:rsidRDefault="00C128EB">
      <w:pPr>
        <w:rPr>
          <w:rFonts w:ascii="Times New Roman" w:hAnsi="Times New Roman" w:cs="Times New Roman"/>
          <w:lang w:val="en-US"/>
        </w:rPr>
      </w:pPr>
      <w:r>
        <w:rPr>
          <w:rFonts w:ascii="Times New Roman" w:hAnsi="Times New Roman" w:cs="Times New Roman"/>
          <w:lang w:val="en-US"/>
        </w:rPr>
        <w:br w:type="page"/>
      </w:r>
    </w:p>
    <w:p w:rsidR="00C128EB" w:rsidRPr="00997399" w:rsidRDefault="00C128EB" w:rsidP="00997399">
      <w:pPr>
        <w:pStyle w:val="NoSpacing"/>
        <w:jc w:val="both"/>
        <w:rPr>
          <w:rFonts w:ascii="Times New Roman" w:hAnsi="Times New Roman" w:cs="Times New Roman"/>
          <w:lang w:val="en-US"/>
        </w:rPr>
      </w:pPr>
    </w:p>
    <w:p w:rsidR="00C128EB" w:rsidRPr="001E6B61" w:rsidRDefault="00C128EB" w:rsidP="00997399">
      <w:pPr>
        <w:pStyle w:val="NoSpacing"/>
        <w:numPr>
          <w:ilvl w:val="0"/>
          <w:numId w:val="14"/>
        </w:numPr>
        <w:jc w:val="both"/>
        <w:rPr>
          <w:rFonts w:ascii="Times New Roman" w:hAnsi="Times New Roman" w:cs="Times New Roman"/>
          <w:u w:val="single"/>
        </w:rPr>
      </w:pPr>
      <w:r w:rsidRPr="001E6B61">
        <w:rPr>
          <w:rFonts w:ascii="Times New Roman" w:hAnsi="Times New Roman" w:cs="Times New Roman"/>
          <w:u w:val="single"/>
        </w:rPr>
        <w:t>Peak demand:</w:t>
      </w:r>
    </w:p>
    <w:p w:rsidR="00C128EB" w:rsidRDefault="00C128EB" w:rsidP="00997399">
      <w:pPr>
        <w:pStyle w:val="NoSpacing"/>
        <w:ind w:left="720"/>
        <w:jc w:val="both"/>
        <w:rPr>
          <w:rFonts w:ascii="Times New Roman" w:hAnsi="Times New Roman" w:cs="Times New Roman"/>
        </w:rPr>
      </w:pPr>
    </w:p>
    <w:p w:rsidR="00C128EB" w:rsidRPr="00E360D0" w:rsidRDefault="00C128EB" w:rsidP="00997399">
      <w:pPr>
        <w:pStyle w:val="NoSpacing"/>
        <w:ind w:left="720"/>
        <w:jc w:val="both"/>
        <w:rPr>
          <w:rFonts w:ascii="Times New Roman" w:hAnsi="Times New Roman" w:cs="Times New Roman"/>
          <w:b/>
          <w:bCs/>
        </w:rPr>
      </w:pPr>
      <w:r w:rsidRPr="00E360D0">
        <w:rPr>
          <w:rFonts w:ascii="Times New Roman" w:hAnsi="Times New Roman" w:cs="Times New Roman"/>
          <w:b/>
          <w:bCs/>
        </w:rPr>
        <w:t>Note:</w:t>
      </w:r>
    </w:p>
    <w:p w:rsidR="00C128EB" w:rsidRPr="00997399" w:rsidRDefault="00C128EB" w:rsidP="00997399">
      <w:pPr>
        <w:pStyle w:val="NoSpacing"/>
        <w:ind w:left="720"/>
        <w:jc w:val="both"/>
        <w:rPr>
          <w:rFonts w:ascii="Times New Roman" w:hAnsi="Times New Roman" w:cs="Times New Roman"/>
          <w:lang w:val="en-US"/>
        </w:rPr>
      </w:pPr>
      <w:r w:rsidRPr="00997399">
        <w:rPr>
          <w:rFonts w:ascii="Times New Roman" w:hAnsi="Times New Roman" w:cs="Times New Roman"/>
          <w:lang w:val="en-US"/>
        </w:rPr>
        <w:t>Peak demand data not available for September 2012, December 2012 and February 2013.</w:t>
      </w: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r w:rsidRPr="00997399">
        <w:rPr>
          <w:rFonts w:ascii="Times New Roman" w:hAnsi="Times New Roman" w:cs="Times New Roman"/>
          <w:lang w:val="en-US"/>
        </w:rPr>
        <w:t>Substation C:</w:t>
      </w:r>
    </w:p>
    <w:p w:rsidR="00C128EB" w:rsidRPr="00997399" w:rsidRDefault="00EC138D" w:rsidP="00997399">
      <w:pPr>
        <w:pStyle w:val="NoSpacing"/>
        <w:ind w:left="720"/>
        <w:jc w:val="both"/>
        <w:rPr>
          <w:rFonts w:ascii="Times New Roman" w:hAnsi="Times New Roman" w:cs="Times New Roman"/>
          <w:lang w:val="en-US"/>
        </w:rPr>
      </w:pPr>
      <w:r>
        <w:rPr>
          <w:noProof/>
          <w:lang w:val="en-US"/>
        </w:rPr>
        <w:drawing>
          <wp:anchor distT="0" distB="0" distL="114300" distR="114300" simplePos="0" relativeHeight="251656704" behindDoc="1" locked="0" layoutInCell="1" allowOverlap="1">
            <wp:simplePos x="0" y="0"/>
            <wp:positionH relativeFrom="column">
              <wp:posOffset>476250</wp:posOffset>
            </wp:positionH>
            <wp:positionV relativeFrom="paragraph">
              <wp:posOffset>69850</wp:posOffset>
            </wp:positionV>
            <wp:extent cx="4386580" cy="2943225"/>
            <wp:effectExtent l="19050" t="0" r="0" b="0"/>
            <wp:wrapNone/>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4386580" cy="2943225"/>
                    </a:xfrm>
                    <a:prstGeom prst="rect">
                      <a:avLst/>
                    </a:prstGeom>
                    <a:noFill/>
                  </pic:spPr>
                </pic:pic>
              </a:graphicData>
            </a:graphic>
          </wp:anchor>
        </w:drawing>
      </w: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r w:rsidRPr="00997399">
        <w:rPr>
          <w:rFonts w:ascii="Times New Roman" w:hAnsi="Times New Roman" w:cs="Times New Roman"/>
          <w:lang w:val="en-US"/>
        </w:rPr>
        <w:t>Substation Q:</w:t>
      </w:r>
    </w:p>
    <w:p w:rsidR="00C128EB" w:rsidRPr="00997399" w:rsidRDefault="00EC138D" w:rsidP="00997399">
      <w:pPr>
        <w:pStyle w:val="NoSpacing"/>
        <w:ind w:left="720"/>
        <w:jc w:val="both"/>
        <w:rPr>
          <w:rFonts w:ascii="Times New Roman" w:hAnsi="Times New Roman" w:cs="Times New Roman"/>
          <w:lang w:val="en-US"/>
        </w:rPr>
      </w:pPr>
      <w:r>
        <w:rPr>
          <w:noProof/>
          <w:lang w:val="en-US"/>
        </w:rPr>
        <w:drawing>
          <wp:anchor distT="0" distB="0" distL="114300" distR="114300" simplePos="0" relativeHeight="251657728" behindDoc="1" locked="0" layoutInCell="1" allowOverlap="1">
            <wp:simplePos x="0" y="0"/>
            <wp:positionH relativeFrom="column">
              <wp:posOffset>476250</wp:posOffset>
            </wp:positionH>
            <wp:positionV relativeFrom="paragraph">
              <wp:posOffset>39370</wp:posOffset>
            </wp:positionV>
            <wp:extent cx="4391025" cy="3000375"/>
            <wp:effectExtent l="19050" t="0" r="9525" b="0"/>
            <wp:wrapNone/>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4391025" cy="3000375"/>
                    </a:xfrm>
                    <a:prstGeom prst="rect">
                      <a:avLst/>
                    </a:prstGeom>
                    <a:noFill/>
                  </pic:spPr>
                </pic:pic>
              </a:graphicData>
            </a:graphic>
          </wp:anchor>
        </w:drawing>
      </w: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Default="00C128EB" w:rsidP="00997399">
      <w:pPr>
        <w:pStyle w:val="NoSpacing"/>
        <w:ind w:left="720"/>
        <w:jc w:val="both"/>
        <w:rPr>
          <w:rFonts w:ascii="Times New Roman" w:hAnsi="Times New Roman" w:cs="Times New Roman"/>
          <w:lang w:val="en-US"/>
        </w:rPr>
      </w:pPr>
    </w:p>
    <w:p w:rsidR="008E4464" w:rsidRDefault="008E4464"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r w:rsidRPr="00997399">
        <w:rPr>
          <w:rFonts w:ascii="Times New Roman" w:hAnsi="Times New Roman" w:cs="Times New Roman"/>
          <w:lang w:val="en-US"/>
        </w:rPr>
        <w:t>Future expansion of transmission grid with:</w:t>
      </w:r>
    </w:p>
    <w:p w:rsidR="00C128EB" w:rsidRPr="00997399" w:rsidRDefault="00C128EB" w:rsidP="00997399">
      <w:pPr>
        <w:pStyle w:val="NoSpacing"/>
        <w:numPr>
          <w:ilvl w:val="0"/>
          <w:numId w:val="15"/>
        </w:numPr>
        <w:jc w:val="both"/>
        <w:rPr>
          <w:rFonts w:ascii="Times New Roman" w:hAnsi="Times New Roman" w:cs="Times New Roman"/>
          <w:lang w:val="en-US"/>
        </w:rPr>
      </w:pPr>
      <w:r w:rsidRPr="00997399">
        <w:rPr>
          <w:rFonts w:ascii="Times New Roman" w:hAnsi="Times New Roman" w:cs="Times New Roman"/>
          <w:lang w:val="en-US"/>
        </w:rPr>
        <w:lastRenderedPageBreak/>
        <w:t>Substation Ringweg (25 MVA 33/ 12.6 kV substation transformer)</w:t>
      </w:r>
    </w:p>
    <w:p w:rsidR="00C128EB" w:rsidRPr="00997399" w:rsidRDefault="00C128EB" w:rsidP="00997399">
      <w:pPr>
        <w:pStyle w:val="NoSpacing"/>
        <w:numPr>
          <w:ilvl w:val="0"/>
          <w:numId w:val="15"/>
        </w:numPr>
        <w:jc w:val="both"/>
        <w:rPr>
          <w:rFonts w:ascii="Times New Roman" w:hAnsi="Times New Roman" w:cs="Times New Roman"/>
          <w:lang w:val="en-US"/>
        </w:rPr>
      </w:pPr>
      <w:r w:rsidRPr="00997399">
        <w:rPr>
          <w:rFonts w:ascii="Times New Roman" w:hAnsi="Times New Roman" w:cs="Times New Roman"/>
          <w:lang w:val="en-US"/>
        </w:rPr>
        <w:t>Substation Torarica (25 MVA 33/ 6.3 kV substation transformer)</w:t>
      </w:r>
    </w:p>
    <w:p w:rsidR="00C128EB" w:rsidRPr="00997399" w:rsidRDefault="00C128EB" w:rsidP="00997399">
      <w:pPr>
        <w:pStyle w:val="NoSpacing"/>
        <w:jc w:val="both"/>
        <w:rPr>
          <w:rFonts w:ascii="Times New Roman" w:hAnsi="Times New Roman" w:cs="Times New Roman"/>
          <w:lang w:val="en-US"/>
        </w:rPr>
      </w:pPr>
    </w:p>
    <w:p w:rsidR="00C128EB" w:rsidRPr="00E70AF4" w:rsidRDefault="00C128EB" w:rsidP="00997399">
      <w:pPr>
        <w:pStyle w:val="NoSpacing"/>
        <w:numPr>
          <w:ilvl w:val="0"/>
          <w:numId w:val="14"/>
        </w:numPr>
        <w:jc w:val="both"/>
        <w:rPr>
          <w:rFonts w:ascii="Times New Roman" w:hAnsi="Times New Roman" w:cs="Times New Roman"/>
          <w:u w:val="single"/>
        </w:rPr>
      </w:pPr>
      <w:r w:rsidRPr="00E70AF4">
        <w:rPr>
          <w:rFonts w:ascii="Times New Roman" w:hAnsi="Times New Roman" w:cs="Times New Roman"/>
          <w:u w:val="single"/>
        </w:rPr>
        <w:t>Characterization of electricity demand:</w:t>
      </w: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b/>
          <w:bCs/>
        </w:rPr>
      </w:pPr>
      <w:r w:rsidRPr="00E53A83">
        <w:rPr>
          <w:rFonts w:ascii="Times New Roman" w:hAnsi="Times New Roman" w:cs="Times New Roman"/>
          <w:b/>
          <w:bCs/>
        </w:rPr>
        <w:t>Note:</w:t>
      </w:r>
    </w:p>
    <w:p w:rsidR="00C128EB" w:rsidRPr="00997399" w:rsidRDefault="00C128EB" w:rsidP="00997399">
      <w:pPr>
        <w:pStyle w:val="NoSpacing"/>
        <w:ind w:left="720"/>
        <w:jc w:val="both"/>
        <w:rPr>
          <w:rFonts w:ascii="Times New Roman" w:hAnsi="Times New Roman" w:cs="Times New Roman"/>
          <w:lang w:val="en-US"/>
        </w:rPr>
      </w:pPr>
      <w:r w:rsidRPr="00997399">
        <w:rPr>
          <w:rFonts w:ascii="Times New Roman" w:hAnsi="Times New Roman" w:cs="Times New Roman"/>
          <w:lang w:val="en-US"/>
        </w:rPr>
        <w:t>The data presented is from April 2013 and is for the total EPAR-system (excluding Rosebel Gold Mines (RGM)).</w:t>
      </w:r>
    </w:p>
    <w:p w:rsidR="00C128EB" w:rsidRPr="00997399" w:rsidRDefault="00C128EB" w:rsidP="00997399">
      <w:pPr>
        <w:pStyle w:val="NoSpacing"/>
        <w:ind w:left="720"/>
        <w:jc w:val="both"/>
        <w:rPr>
          <w:rFonts w:ascii="Times New Roman" w:hAnsi="Times New Roman" w:cs="Times New Roman"/>
          <w:lang w:val="en-US"/>
        </w:rPr>
      </w:pPr>
    </w:p>
    <w:p w:rsidR="00C128EB" w:rsidRDefault="00EC138D" w:rsidP="00997399">
      <w:pPr>
        <w:pStyle w:val="NoSpacing"/>
        <w:ind w:left="720"/>
        <w:jc w:val="both"/>
        <w:rPr>
          <w:rFonts w:ascii="Times New Roman" w:hAnsi="Times New Roman" w:cs="Times New Roman"/>
        </w:rPr>
      </w:pPr>
      <w:r>
        <w:rPr>
          <w:rFonts w:ascii="Times New Roman" w:hAnsi="Times New Roman" w:cs="Times New Roman"/>
          <w:noProof/>
          <w:lang w:val="en-US"/>
        </w:rPr>
        <w:drawing>
          <wp:inline distT="0" distB="0" distL="0" distR="0">
            <wp:extent cx="2169795" cy="1371600"/>
            <wp:effectExtent l="19050" t="0" r="1905"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l="3497"/>
                    <a:stretch>
                      <a:fillRect/>
                    </a:stretch>
                  </pic:blipFill>
                  <pic:spPr bwMode="auto">
                    <a:xfrm>
                      <a:off x="0" y="0"/>
                      <a:ext cx="2169795" cy="1371600"/>
                    </a:xfrm>
                    <a:prstGeom prst="rect">
                      <a:avLst/>
                    </a:prstGeom>
                    <a:noFill/>
                    <a:ln w="9525">
                      <a:noFill/>
                      <a:miter lim="800000"/>
                      <a:headEnd/>
                      <a:tailEnd/>
                    </a:ln>
                  </pic:spPr>
                </pic:pic>
              </a:graphicData>
            </a:graphic>
          </wp:inline>
        </w:drawing>
      </w:r>
      <w:r w:rsidR="00C128EB">
        <w:rPr>
          <w:rFonts w:ascii="Times New Roman" w:hAnsi="Times New Roman" w:cs="Times New Roman"/>
        </w:rPr>
        <w:t xml:space="preserve">      </w:t>
      </w:r>
      <w:r>
        <w:rPr>
          <w:rFonts w:ascii="Times New Roman" w:hAnsi="Times New Roman" w:cs="Times New Roman"/>
          <w:noProof/>
          <w:lang w:val="en-US"/>
        </w:rPr>
        <w:drawing>
          <wp:inline distT="0" distB="0" distL="0" distR="0">
            <wp:extent cx="2265680" cy="1439545"/>
            <wp:effectExtent l="19050" t="0" r="127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srcRect l="1057"/>
                    <a:stretch>
                      <a:fillRect/>
                    </a:stretch>
                  </pic:blipFill>
                  <pic:spPr bwMode="auto">
                    <a:xfrm>
                      <a:off x="0" y="0"/>
                      <a:ext cx="2265680" cy="1439545"/>
                    </a:xfrm>
                    <a:prstGeom prst="rect">
                      <a:avLst/>
                    </a:prstGeom>
                    <a:noFill/>
                    <a:ln w="9525">
                      <a:noFill/>
                      <a:miter lim="800000"/>
                      <a:headEnd/>
                      <a:tailEnd/>
                    </a:ln>
                  </pic:spPr>
                </pic:pic>
              </a:graphicData>
            </a:graphic>
          </wp:inline>
        </w:drawing>
      </w:r>
    </w:p>
    <w:p w:rsidR="00C128EB" w:rsidRDefault="00C128EB" w:rsidP="00997399">
      <w:pPr>
        <w:pStyle w:val="NoSpacing"/>
        <w:ind w:left="720"/>
        <w:jc w:val="both"/>
        <w:rPr>
          <w:rFonts w:ascii="Times New Roman" w:hAnsi="Times New Roman" w:cs="Times New Roman"/>
        </w:rPr>
      </w:pPr>
    </w:p>
    <w:p w:rsidR="00C128EB" w:rsidRPr="00997399" w:rsidRDefault="00C128EB" w:rsidP="00997399">
      <w:pPr>
        <w:pStyle w:val="NoSpacing"/>
        <w:numPr>
          <w:ilvl w:val="0"/>
          <w:numId w:val="18"/>
        </w:numPr>
        <w:jc w:val="both"/>
        <w:rPr>
          <w:rFonts w:ascii="Times New Roman" w:hAnsi="Times New Roman" w:cs="Times New Roman"/>
          <w:lang w:val="en-US"/>
        </w:rPr>
      </w:pPr>
      <w:r w:rsidRPr="00997399">
        <w:rPr>
          <w:rFonts w:ascii="Times New Roman" w:hAnsi="Times New Roman" w:cs="Times New Roman"/>
          <w:lang w:val="en-US"/>
        </w:rPr>
        <w:t>Average tariff: between 0.05 USD and 0.07 USD</w:t>
      </w:r>
    </w:p>
    <w:p w:rsidR="00C128EB" w:rsidRPr="00997399" w:rsidRDefault="00C128EB" w:rsidP="00997399">
      <w:pPr>
        <w:pStyle w:val="NoSpacing"/>
        <w:jc w:val="both"/>
        <w:rPr>
          <w:rFonts w:ascii="Times New Roman" w:hAnsi="Times New Roman" w:cs="Times New Roman"/>
          <w:lang w:val="en-US"/>
        </w:rPr>
      </w:pPr>
    </w:p>
    <w:p w:rsidR="00C128EB" w:rsidRPr="00997399" w:rsidRDefault="00C128EB" w:rsidP="00997399">
      <w:pPr>
        <w:pStyle w:val="NoSpacing"/>
        <w:numPr>
          <w:ilvl w:val="0"/>
          <w:numId w:val="14"/>
        </w:numPr>
        <w:jc w:val="both"/>
        <w:rPr>
          <w:rFonts w:ascii="Times New Roman" w:hAnsi="Times New Roman" w:cs="Times New Roman"/>
          <w:u w:val="single"/>
          <w:lang w:val="en-US"/>
        </w:rPr>
      </w:pPr>
      <w:r w:rsidRPr="00997399">
        <w:rPr>
          <w:rFonts w:ascii="Times New Roman" w:hAnsi="Times New Roman" w:cs="Times New Roman"/>
          <w:u w:val="single"/>
          <w:lang w:val="en-US"/>
        </w:rPr>
        <w:t>Characterization of electricity distribution losses:</w:t>
      </w: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r w:rsidRPr="00997399">
        <w:rPr>
          <w:rFonts w:ascii="Times New Roman" w:hAnsi="Times New Roman" w:cs="Times New Roman"/>
          <w:lang w:val="en-US"/>
        </w:rPr>
        <w:t>Substation C and Substation Q:</w:t>
      </w:r>
    </w:p>
    <w:p w:rsidR="00C128EB" w:rsidRDefault="00C128EB" w:rsidP="00997399">
      <w:pPr>
        <w:pStyle w:val="NoSpacing"/>
        <w:numPr>
          <w:ilvl w:val="1"/>
          <w:numId w:val="10"/>
        </w:numPr>
        <w:jc w:val="both"/>
        <w:rPr>
          <w:rFonts w:ascii="Times New Roman" w:hAnsi="Times New Roman" w:cs="Times New Roman"/>
        </w:rPr>
      </w:pPr>
      <w:r>
        <w:rPr>
          <w:rFonts w:ascii="Times New Roman" w:hAnsi="Times New Roman" w:cs="Times New Roman"/>
        </w:rPr>
        <w:t>8 % of technical losses</w:t>
      </w:r>
    </w:p>
    <w:p w:rsidR="00C128EB" w:rsidRDefault="00C128EB" w:rsidP="00997399">
      <w:pPr>
        <w:pStyle w:val="NoSpacing"/>
        <w:numPr>
          <w:ilvl w:val="1"/>
          <w:numId w:val="10"/>
        </w:numPr>
        <w:jc w:val="both"/>
        <w:rPr>
          <w:rFonts w:ascii="Times New Roman" w:hAnsi="Times New Roman" w:cs="Times New Roman"/>
        </w:rPr>
      </w:pPr>
      <w:r>
        <w:rPr>
          <w:rFonts w:ascii="Times New Roman" w:hAnsi="Times New Roman" w:cs="Times New Roman"/>
        </w:rPr>
        <w:t>&lt; 1 % of non-technical losses</w:t>
      </w:r>
    </w:p>
    <w:p w:rsidR="00C128EB" w:rsidRPr="005962B1" w:rsidRDefault="00C128EB" w:rsidP="00997399">
      <w:pPr>
        <w:pStyle w:val="NoSpacing"/>
        <w:numPr>
          <w:ilvl w:val="0"/>
          <w:numId w:val="16"/>
        </w:numPr>
        <w:jc w:val="both"/>
        <w:rPr>
          <w:rFonts w:ascii="Times New Roman" w:hAnsi="Times New Roman" w:cs="Times New Roman"/>
          <w:u w:val="single"/>
        </w:rPr>
      </w:pPr>
      <w:r w:rsidRPr="005962B1">
        <w:rPr>
          <w:rFonts w:ascii="Times New Roman" w:hAnsi="Times New Roman" w:cs="Times New Roman"/>
          <w:u w:val="single"/>
        </w:rPr>
        <w:t>Project investment cost:</w:t>
      </w:r>
    </w:p>
    <w:p w:rsidR="00C128EB" w:rsidRDefault="00C128EB" w:rsidP="00997399">
      <w:pPr>
        <w:pStyle w:val="NoSpacing"/>
        <w:jc w:val="both"/>
        <w:rPr>
          <w:rFonts w:ascii="Times New Roman" w:hAnsi="Times New Roman" w:cs="Times New Roman"/>
        </w:rPr>
      </w:pPr>
    </w:p>
    <w:p w:rsidR="00C128EB" w:rsidRPr="00997399" w:rsidRDefault="00C128EB" w:rsidP="00997399">
      <w:pPr>
        <w:pStyle w:val="NoSpacing"/>
        <w:ind w:left="720"/>
        <w:jc w:val="both"/>
        <w:rPr>
          <w:rFonts w:ascii="Times New Roman" w:hAnsi="Times New Roman" w:cs="Times New Roman"/>
          <w:lang w:val="en-US"/>
        </w:rPr>
      </w:pPr>
      <w:r w:rsidRPr="00997399">
        <w:rPr>
          <w:rFonts w:ascii="Times New Roman" w:hAnsi="Times New Roman" w:cs="Times New Roman"/>
          <w:lang w:val="en-US"/>
        </w:rPr>
        <w:t>Upgrade substation C (SSC):</w:t>
      </w:r>
      <w:r w:rsidRPr="00997399">
        <w:rPr>
          <w:rFonts w:ascii="Times New Roman" w:hAnsi="Times New Roman" w:cs="Times New Roman"/>
          <w:lang w:val="en-US"/>
        </w:rPr>
        <w:tab/>
      </w:r>
      <w:r w:rsidRPr="00997399">
        <w:rPr>
          <w:rFonts w:ascii="Times New Roman" w:hAnsi="Times New Roman" w:cs="Times New Roman"/>
          <w:lang w:val="en-US"/>
        </w:rPr>
        <w:tab/>
        <w:t>USD 4.626.000</w:t>
      </w: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numPr>
          <w:ilvl w:val="0"/>
          <w:numId w:val="17"/>
        </w:numPr>
        <w:jc w:val="both"/>
        <w:rPr>
          <w:rFonts w:ascii="Times New Roman" w:hAnsi="Times New Roman" w:cs="Times New Roman"/>
          <w:u w:val="single"/>
          <w:lang w:val="en-US"/>
        </w:rPr>
      </w:pPr>
      <w:r w:rsidRPr="00997399">
        <w:rPr>
          <w:rFonts w:ascii="Times New Roman" w:hAnsi="Times New Roman" w:cs="Times New Roman"/>
          <w:u w:val="single"/>
          <w:lang w:val="en-US"/>
        </w:rPr>
        <w:t>Annual Operation &amp; Maintenance cost of substation C:</w:t>
      </w:r>
    </w:p>
    <w:p w:rsidR="00C128EB" w:rsidRPr="00997399" w:rsidRDefault="00C128EB" w:rsidP="00997399">
      <w:pPr>
        <w:pStyle w:val="NoSpacing"/>
        <w:ind w:left="720"/>
        <w:jc w:val="both"/>
        <w:rPr>
          <w:rFonts w:ascii="Times New Roman" w:hAnsi="Times New Roman" w:cs="Times New Roman"/>
          <w:lang w:val="en-US"/>
        </w:rPr>
      </w:pPr>
    </w:p>
    <w:p w:rsidR="00C128EB" w:rsidRDefault="00C128EB" w:rsidP="00997399">
      <w:pPr>
        <w:pStyle w:val="NoSpacing"/>
        <w:numPr>
          <w:ilvl w:val="0"/>
          <w:numId w:val="11"/>
        </w:numPr>
        <w:rPr>
          <w:rFonts w:ascii="Times New Roman" w:hAnsi="Times New Roman" w:cs="Times New Roman"/>
          <w:i/>
          <w:iCs/>
        </w:rPr>
      </w:pPr>
      <w:r w:rsidRPr="001E6B61">
        <w:rPr>
          <w:rFonts w:ascii="Times New Roman" w:hAnsi="Times New Roman" w:cs="Times New Roman"/>
          <w:i/>
          <w:iCs/>
        </w:rPr>
        <w:t>Without the upgrade project:</w:t>
      </w:r>
    </w:p>
    <w:p w:rsidR="00C128EB" w:rsidRDefault="00C128EB" w:rsidP="00997399">
      <w:pPr>
        <w:pStyle w:val="NoSpacing"/>
        <w:ind w:left="1080"/>
        <w:rPr>
          <w:rFonts w:ascii="Times New Roman" w:hAnsi="Times New Roman" w:cs="Times New Roman"/>
        </w:rPr>
      </w:pPr>
      <w:r>
        <w:rPr>
          <w:rFonts w:ascii="Times New Roman" w:hAnsi="Times New Roman" w:cs="Times New Roman"/>
        </w:rPr>
        <w:t>Personnel: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832 man hours/ year</w:t>
      </w:r>
    </w:p>
    <w:p w:rsidR="00C128EB" w:rsidRDefault="00C128EB" w:rsidP="00997399">
      <w:pPr>
        <w:pStyle w:val="NoSpacing"/>
        <w:ind w:left="1080"/>
        <w:rPr>
          <w:rFonts w:ascii="Times New Roman" w:hAnsi="Times New Roman" w:cs="Times New Roman"/>
        </w:rPr>
      </w:pPr>
      <w:r>
        <w:rPr>
          <w:rFonts w:ascii="Times New Roman" w:hAnsi="Times New Roman" w:cs="Times New Roman"/>
        </w:rPr>
        <w:t>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208 hours/ year</w:t>
      </w:r>
    </w:p>
    <w:p w:rsidR="00C128EB" w:rsidRDefault="00C128EB" w:rsidP="00997399">
      <w:pPr>
        <w:pStyle w:val="NoSpacing"/>
        <w:ind w:left="1080"/>
        <w:rPr>
          <w:rFonts w:ascii="Times New Roman" w:hAnsi="Times New Roman" w:cs="Times New Roman"/>
        </w:rPr>
      </w:pPr>
    </w:p>
    <w:p w:rsidR="00C128EB" w:rsidRPr="002642DB" w:rsidRDefault="00C128EB" w:rsidP="00997399">
      <w:pPr>
        <w:pStyle w:val="NoSpacing"/>
        <w:ind w:left="1080"/>
        <w:rPr>
          <w:rFonts w:ascii="Times New Roman" w:hAnsi="Times New Roman" w:cs="Times New Roman"/>
        </w:rPr>
      </w:pPr>
      <w:r>
        <w:rPr>
          <w:rFonts w:ascii="Times New Roman" w:hAnsi="Times New Roman" w:cs="Times New Roman"/>
        </w:rPr>
        <w:t>Maintenance: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720 man hours/ year</w:t>
      </w:r>
    </w:p>
    <w:p w:rsidR="00C128EB" w:rsidRDefault="00C128EB" w:rsidP="00997399">
      <w:pPr>
        <w:pStyle w:val="NoSpacing"/>
        <w:jc w:val="both"/>
        <w:rPr>
          <w:rFonts w:ascii="Times New Roman" w:hAnsi="Times New Roman" w:cs="Times New Roman"/>
        </w:rPr>
      </w:pPr>
    </w:p>
    <w:p w:rsidR="00C128EB" w:rsidRDefault="00C128EB" w:rsidP="00997399">
      <w:pPr>
        <w:pStyle w:val="NoSpacing"/>
        <w:numPr>
          <w:ilvl w:val="0"/>
          <w:numId w:val="11"/>
        </w:numPr>
        <w:rPr>
          <w:rFonts w:ascii="Times New Roman" w:hAnsi="Times New Roman" w:cs="Times New Roman"/>
          <w:i/>
          <w:iCs/>
        </w:rPr>
      </w:pPr>
      <w:r w:rsidRPr="001E6B61">
        <w:rPr>
          <w:rFonts w:ascii="Times New Roman" w:hAnsi="Times New Roman" w:cs="Times New Roman"/>
          <w:i/>
          <w:iCs/>
        </w:rPr>
        <w:t>With</w:t>
      </w:r>
      <w:r>
        <w:rPr>
          <w:rFonts w:ascii="Times New Roman" w:hAnsi="Times New Roman" w:cs="Times New Roman"/>
          <w:i/>
          <w:iCs/>
        </w:rPr>
        <w:t xml:space="preserve"> </w:t>
      </w:r>
      <w:r w:rsidRPr="001E6B61">
        <w:rPr>
          <w:rFonts w:ascii="Times New Roman" w:hAnsi="Times New Roman" w:cs="Times New Roman"/>
          <w:i/>
          <w:iCs/>
        </w:rPr>
        <w:t>the upgrade project:</w:t>
      </w:r>
    </w:p>
    <w:p w:rsidR="00C128EB" w:rsidRDefault="00C128EB" w:rsidP="00997399">
      <w:pPr>
        <w:pStyle w:val="NoSpacing"/>
        <w:ind w:left="1080"/>
        <w:rPr>
          <w:rFonts w:ascii="Times New Roman" w:hAnsi="Times New Roman" w:cs="Times New Roman"/>
        </w:rPr>
      </w:pPr>
      <w:r>
        <w:rPr>
          <w:rFonts w:ascii="Times New Roman" w:hAnsi="Times New Roman" w:cs="Times New Roman"/>
        </w:rPr>
        <w:t>Personnel: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832 man hours/ year</w:t>
      </w:r>
    </w:p>
    <w:p w:rsidR="00C128EB" w:rsidRDefault="00C128EB" w:rsidP="00997399">
      <w:pPr>
        <w:pStyle w:val="NoSpacing"/>
        <w:ind w:left="1080"/>
        <w:rPr>
          <w:rFonts w:ascii="Times New Roman" w:hAnsi="Times New Roman" w:cs="Times New Roman"/>
        </w:rPr>
      </w:pPr>
      <w:r>
        <w:rPr>
          <w:rFonts w:ascii="Times New Roman" w:hAnsi="Times New Roman" w:cs="Times New Roman"/>
        </w:rPr>
        <w:t>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208 hours/ year</w:t>
      </w:r>
    </w:p>
    <w:p w:rsidR="00C128EB" w:rsidRDefault="00C128EB" w:rsidP="00997399">
      <w:pPr>
        <w:pStyle w:val="NoSpacing"/>
        <w:jc w:val="both"/>
        <w:rPr>
          <w:rFonts w:ascii="Times New Roman" w:hAnsi="Times New Roman" w:cs="Times New Roman"/>
        </w:rPr>
      </w:pPr>
    </w:p>
    <w:p w:rsidR="00C128EB" w:rsidRDefault="00C128EB" w:rsidP="00997399">
      <w:pPr>
        <w:pStyle w:val="NoSpacing"/>
        <w:jc w:val="both"/>
        <w:rPr>
          <w:rFonts w:ascii="Times New Roman" w:hAnsi="Times New Roman" w:cs="Times New Roman"/>
        </w:rPr>
      </w:pPr>
    </w:p>
    <w:p w:rsidR="00C128EB" w:rsidRPr="00997399" w:rsidRDefault="00C128EB" w:rsidP="00997399">
      <w:pPr>
        <w:jc w:val="center"/>
        <w:rPr>
          <w:rFonts w:ascii="Times New Roman" w:hAnsi="Times New Roman" w:cs="Times New Roman"/>
          <w:b/>
          <w:bCs/>
        </w:rPr>
      </w:pPr>
      <w:r w:rsidRPr="00997399">
        <w:rPr>
          <w:rFonts w:ascii="Times New Roman" w:hAnsi="Times New Roman" w:cs="Times New Roman"/>
          <w:b/>
          <w:bCs/>
        </w:rPr>
        <w:br w:type="page"/>
      </w:r>
    </w:p>
    <w:p w:rsidR="00C128EB" w:rsidRDefault="00C128EB" w:rsidP="00997399">
      <w:pPr>
        <w:pStyle w:val="NoSpacing"/>
        <w:jc w:val="center"/>
        <w:rPr>
          <w:rFonts w:ascii="Times New Roman" w:hAnsi="Times New Roman" w:cs="Times New Roman"/>
          <w:b/>
          <w:bCs/>
          <w:lang w:val="en-US"/>
        </w:rPr>
      </w:pPr>
      <w:r>
        <w:rPr>
          <w:rFonts w:ascii="Times New Roman" w:hAnsi="Times New Roman" w:cs="Times New Roman"/>
          <w:b/>
          <w:bCs/>
          <w:lang w:val="en-US"/>
        </w:rPr>
        <w:lastRenderedPageBreak/>
        <w:t xml:space="preserve">ANNEX </w:t>
      </w:r>
      <w:r w:rsidR="00590C0B">
        <w:rPr>
          <w:rFonts w:ascii="Times New Roman" w:hAnsi="Times New Roman" w:cs="Times New Roman"/>
          <w:b/>
          <w:bCs/>
          <w:lang w:val="en-US"/>
        </w:rPr>
        <w:t>4</w:t>
      </w:r>
    </w:p>
    <w:p w:rsidR="00C128EB" w:rsidRDefault="00C128EB" w:rsidP="00997399">
      <w:pPr>
        <w:pStyle w:val="NoSpacing"/>
        <w:jc w:val="center"/>
        <w:rPr>
          <w:rFonts w:ascii="Times New Roman" w:hAnsi="Times New Roman" w:cs="Times New Roman"/>
          <w:b/>
          <w:bCs/>
          <w:lang w:val="en-US"/>
        </w:rPr>
      </w:pPr>
    </w:p>
    <w:p w:rsidR="00C128EB" w:rsidRPr="00997399" w:rsidRDefault="00C128EB" w:rsidP="00997399">
      <w:pPr>
        <w:pStyle w:val="NoSpacing"/>
        <w:jc w:val="center"/>
        <w:rPr>
          <w:rFonts w:ascii="Times New Roman" w:hAnsi="Times New Roman" w:cs="Times New Roman"/>
          <w:b/>
          <w:bCs/>
          <w:lang w:val="en-US"/>
        </w:rPr>
      </w:pPr>
      <w:r>
        <w:rPr>
          <w:rFonts w:ascii="Times New Roman" w:hAnsi="Times New Roman" w:cs="Times New Roman"/>
          <w:b/>
          <w:bCs/>
          <w:lang w:val="en-US"/>
        </w:rPr>
        <w:t xml:space="preserve">UPGRADE OF SUBSTATION </w:t>
      </w:r>
      <w:r w:rsidRPr="00997399">
        <w:rPr>
          <w:rFonts w:ascii="Times New Roman" w:hAnsi="Times New Roman" w:cs="Times New Roman"/>
          <w:b/>
          <w:bCs/>
          <w:lang w:val="en-US"/>
        </w:rPr>
        <w:t>D</w:t>
      </w:r>
    </w:p>
    <w:p w:rsidR="00C128EB" w:rsidRPr="00997399" w:rsidRDefault="00C128EB" w:rsidP="00997399">
      <w:pPr>
        <w:pStyle w:val="NoSpacing"/>
        <w:jc w:val="both"/>
        <w:rPr>
          <w:rFonts w:ascii="Times New Roman" w:hAnsi="Times New Roman" w:cs="Times New Roman"/>
          <w:lang w:val="en-US"/>
        </w:rPr>
      </w:pPr>
    </w:p>
    <w:p w:rsidR="00C128EB" w:rsidRPr="00997399" w:rsidRDefault="00C128EB" w:rsidP="00997399">
      <w:pPr>
        <w:pStyle w:val="NoSpacing"/>
        <w:numPr>
          <w:ilvl w:val="0"/>
          <w:numId w:val="10"/>
        </w:numPr>
        <w:rPr>
          <w:rFonts w:ascii="Times New Roman" w:hAnsi="Times New Roman" w:cs="Times New Roman"/>
          <w:u w:val="single"/>
          <w:lang w:val="en-US"/>
        </w:rPr>
      </w:pPr>
      <w:r w:rsidRPr="00997399">
        <w:rPr>
          <w:rFonts w:ascii="Times New Roman" w:hAnsi="Times New Roman" w:cs="Times New Roman"/>
          <w:u w:val="single"/>
          <w:lang w:val="en-US"/>
        </w:rPr>
        <w:t>Maximum power transfer capacity substation D:</w:t>
      </w:r>
    </w:p>
    <w:p w:rsidR="00C128EB" w:rsidRPr="00997399" w:rsidRDefault="00C128EB" w:rsidP="00997399">
      <w:pPr>
        <w:pStyle w:val="NoSpacing"/>
        <w:rPr>
          <w:rFonts w:ascii="Times New Roman" w:hAnsi="Times New Roman" w:cs="Times New Roman"/>
          <w:lang w:val="en-US"/>
        </w:rPr>
      </w:pPr>
    </w:p>
    <w:p w:rsidR="00C128EB" w:rsidRPr="00997399" w:rsidRDefault="00C128EB" w:rsidP="00997399">
      <w:pPr>
        <w:pStyle w:val="NoSpacing"/>
        <w:numPr>
          <w:ilvl w:val="0"/>
          <w:numId w:val="20"/>
        </w:numPr>
        <w:rPr>
          <w:rFonts w:ascii="Times New Roman" w:hAnsi="Times New Roman" w:cs="Times New Roman"/>
          <w:lang w:val="en-US"/>
        </w:rPr>
      </w:pPr>
      <w:r w:rsidRPr="00997399">
        <w:rPr>
          <w:rFonts w:ascii="Times New Roman" w:hAnsi="Times New Roman" w:cs="Times New Roman"/>
          <w:lang w:val="en-US"/>
        </w:rPr>
        <w:t>Limiting factors for maximum power transfer capacity:</w:t>
      </w:r>
    </w:p>
    <w:p w:rsidR="00C128EB" w:rsidRDefault="00C128EB" w:rsidP="00997399">
      <w:pPr>
        <w:pStyle w:val="NoSpacing"/>
        <w:numPr>
          <w:ilvl w:val="0"/>
          <w:numId w:val="12"/>
        </w:numPr>
        <w:rPr>
          <w:rFonts w:ascii="Times New Roman" w:hAnsi="Times New Roman" w:cs="Times New Roman"/>
        </w:rPr>
      </w:pPr>
      <w:r>
        <w:rPr>
          <w:rFonts w:ascii="Times New Roman" w:hAnsi="Times New Roman" w:cs="Times New Roman"/>
        </w:rPr>
        <w:t>Transmission grid transport capacity</w:t>
      </w:r>
    </w:p>
    <w:p w:rsidR="00C128EB" w:rsidRDefault="00C128EB" w:rsidP="00997399">
      <w:pPr>
        <w:pStyle w:val="NoSpacing"/>
        <w:numPr>
          <w:ilvl w:val="0"/>
          <w:numId w:val="12"/>
        </w:numPr>
        <w:rPr>
          <w:rFonts w:ascii="Times New Roman" w:hAnsi="Times New Roman" w:cs="Times New Roman"/>
        </w:rPr>
      </w:pPr>
      <w:r>
        <w:rPr>
          <w:rFonts w:ascii="Times New Roman" w:hAnsi="Times New Roman" w:cs="Times New Roman"/>
        </w:rPr>
        <w:t>Substation transformer capacity</w:t>
      </w:r>
    </w:p>
    <w:p w:rsidR="00C128EB" w:rsidRDefault="00C128EB" w:rsidP="00997399">
      <w:pPr>
        <w:pStyle w:val="NoSpacing"/>
        <w:ind w:left="720"/>
        <w:rPr>
          <w:rFonts w:ascii="Times New Roman" w:hAnsi="Times New Roman" w:cs="Times New Roman"/>
        </w:rPr>
      </w:pPr>
    </w:p>
    <w:p w:rsidR="00C128EB" w:rsidRPr="00997399" w:rsidRDefault="00C128EB" w:rsidP="00997399">
      <w:pPr>
        <w:pStyle w:val="NoSpacing"/>
        <w:numPr>
          <w:ilvl w:val="0"/>
          <w:numId w:val="20"/>
        </w:numPr>
        <w:rPr>
          <w:rFonts w:ascii="Times New Roman" w:hAnsi="Times New Roman" w:cs="Times New Roman"/>
          <w:lang w:val="en-US"/>
        </w:rPr>
      </w:pPr>
      <w:r w:rsidRPr="00997399">
        <w:rPr>
          <w:rFonts w:ascii="Times New Roman" w:hAnsi="Times New Roman" w:cs="Times New Roman"/>
          <w:lang w:val="en-US"/>
        </w:rPr>
        <w:t>Short-circuit Current Rating (SCR) based on total active generation capacity.</w:t>
      </w:r>
    </w:p>
    <w:p w:rsidR="00C128EB" w:rsidRPr="00997399" w:rsidRDefault="00C128EB" w:rsidP="00997399">
      <w:pPr>
        <w:pStyle w:val="NoSpacing"/>
        <w:ind w:firstLine="720"/>
        <w:rPr>
          <w:rFonts w:ascii="Times New Roman" w:hAnsi="Times New Roman" w:cs="Times New Roman"/>
          <w:lang w:val="en-US"/>
        </w:rPr>
      </w:pPr>
    </w:p>
    <w:p w:rsidR="00C128EB" w:rsidRPr="001E6B61" w:rsidRDefault="00C128EB" w:rsidP="00997399">
      <w:pPr>
        <w:pStyle w:val="NoSpacing"/>
        <w:numPr>
          <w:ilvl w:val="0"/>
          <w:numId w:val="11"/>
        </w:numPr>
        <w:rPr>
          <w:rFonts w:ascii="Times New Roman" w:hAnsi="Times New Roman" w:cs="Times New Roman"/>
          <w:i/>
          <w:iCs/>
        </w:rPr>
      </w:pPr>
      <w:r w:rsidRPr="001E6B61">
        <w:rPr>
          <w:rFonts w:ascii="Times New Roman" w:hAnsi="Times New Roman" w:cs="Times New Roman"/>
          <w:i/>
          <w:iCs/>
        </w:rPr>
        <w:t>Without the upgrade project:</w:t>
      </w:r>
    </w:p>
    <w:p w:rsidR="00C128EB" w:rsidRPr="00997399" w:rsidRDefault="00C128EB" w:rsidP="00997399">
      <w:pPr>
        <w:pStyle w:val="NoSpacing"/>
        <w:numPr>
          <w:ilvl w:val="1"/>
          <w:numId w:val="10"/>
        </w:numPr>
        <w:rPr>
          <w:rFonts w:ascii="Times New Roman" w:hAnsi="Times New Roman" w:cs="Times New Roman"/>
          <w:lang w:val="en-US"/>
        </w:rPr>
      </w:pPr>
      <w:r w:rsidRPr="00997399">
        <w:rPr>
          <w:rFonts w:ascii="Times New Roman" w:hAnsi="Times New Roman" w:cs="Times New Roman"/>
          <w:lang w:val="en-US"/>
        </w:rPr>
        <w:t>Short-circuit Current Rating (SCR) of existing 33 kV switchgear has been exceeded;</w:t>
      </w:r>
    </w:p>
    <w:p w:rsidR="00C128EB" w:rsidRPr="00997399" w:rsidRDefault="00C128EB" w:rsidP="00997399">
      <w:pPr>
        <w:pStyle w:val="NoSpacing"/>
        <w:ind w:left="1440"/>
        <w:rPr>
          <w:rFonts w:ascii="Times New Roman" w:hAnsi="Times New Roman" w:cs="Times New Roman"/>
          <w:lang w:val="en-US"/>
        </w:rPr>
      </w:pPr>
      <w:r w:rsidRPr="00997399">
        <w:rPr>
          <w:rFonts w:ascii="Times New Roman" w:hAnsi="Times New Roman" w:cs="Times New Roman"/>
          <w:lang w:val="en-US"/>
        </w:rPr>
        <w:t xml:space="preserve">21 kA simulated short-circuit fault current compared to SCR of 8.7 kA for existing 33 kV switchgear.  </w:t>
      </w:r>
    </w:p>
    <w:p w:rsidR="00C128EB" w:rsidRPr="00997399" w:rsidRDefault="00C128EB" w:rsidP="00997399">
      <w:pPr>
        <w:pStyle w:val="NoSpacing"/>
        <w:numPr>
          <w:ilvl w:val="1"/>
          <w:numId w:val="10"/>
        </w:numPr>
        <w:rPr>
          <w:rFonts w:ascii="Times New Roman" w:hAnsi="Times New Roman" w:cs="Times New Roman"/>
          <w:lang w:val="en-US"/>
        </w:rPr>
      </w:pPr>
      <w:r w:rsidRPr="00997399">
        <w:rPr>
          <w:rFonts w:ascii="Times New Roman" w:hAnsi="Times New Roman" w:cs="Times New Roman"/>
          <w:lang w:val="en-US"/>
        </w:rPr>
        <w:t xml:space="preserve">Current power transfer level already in violation based on above. </w:t>
      </w:r>
    </w:p>
    <w:p w:rsidR="00C128EB" w:rsidRPr="00997399" w:rsidRDefault="00C128EB" w:rsidP="00997399">
      <w:pPr>
        <w:pStyle w:val="NoSpacing"/>
        <w:rPr>
          <w:rFonts w:ascii="Times New Roman" w:hAnsi="Times New Roman" w:cs="Times New Roman"/>
          <w:lang w:val="en-US"/>
        </w:rPr>
      </w:pPr>
    </w:p>
    <w:p w:rsidR="00C128EB" w:rsidRPr="001E6B61" w:rsidRDefault="00C128EB" w:rsidP="00997399">
      <w:pPr>
        <w:pStyle w:val="NoSpacing"/>
        <w:numPr>
          <w:ilvl w:val="0"/>
          <w:numId w:val="11"/>
        </w:numPr>
        <w:rPr>
          <w:rFonts w:ascii="Times New Roman" w:hAnsi="Times New Roman" w:cs="Times New Roman"/>
          <w:i/>
          <w:iCs/>
        </w:rPr>
      </w:pPr>
      <w:r w:rsidRPr="001E6B61">
        <w:rPr>
          <w:rFonts w:ascii="Times New Roman" w:hAnsi="Times New Roman" w:cs="Times New Roman"/>
          <w:i/>
          <w:iCs/>
        </w:rPr>
        <w:t>With the upgrade project:</w:t>
      </w:r>
    </w:p>
    <w:p w:rsidR="00C128EB" w:rsidRPr="00997399" w:rsidRDefault="00C128EB" w:rsidP="00997399">
      <w:pPr>
        <w:pStyle w:val="NoSpacing"/>
        <w:numPr>
          <w:ilvl w:val="1"/>
          <w:numId w:val="10"/>
        </w:numPr>
        <w:rPr>
          <w:rFonts w:ascii="Times New Roman" w:hAnsi="Times New Roman" w:cs="Times New Roman"/>
          <w:lang w:val="en-US"/>
        </w:rPr>
      </w:pPr>
      <w:r w:rsidRPr="00997399">
        <w:rPr>
          <w:rFonts w:ascii="Times New Roman" w:hAnsi="Times New Roman" w:cs="Times New Roman"/>
          <w:lang w:val="en-US"/>
        </w:rPr>
        <w:t>Short-circuit Current Rating (SCR) for new 33 kV switchgear determined to be 25 kA;</w:t>
      </w:r>
    </w:p>
    <w:p w:rsidR="00C128EB" w:rsidRPr="00997399" w:rsidRDefault="00C128EB" w:rsidP="00997399">
      <w:pPr>
        <w:pStyle w:val="NoSpacing"/>
        <w:ind w:left="1440"/>
        <w:rPr>
          <w:rFonts w:ascii="Times New Roman" w:hAnsi="Times New Roman" w:cs="Times New Roman"/>
          <w:lang w:val="en-US"/>
        </w:rPr>
      </w:pPr>
      <w:r w:rsidRPr="00997399">
        <w:rPr>
          <w:rFonts w:ascii="Times New Roman" w:hAnsi="Times New Roman" w:cs="Times New Roman"/>
          <w:lang w:val="en-US"/>
        </w:rPr>
        <w:t>Sufficient SCR based on planned generation capacity expansion.</w:t>
      </w:r>
    </w:p>
    <w:p w:rsidR="00C128EB" w:rsidRPr="00997399" w:rsidRDefault="00C128EB" w:rsidP="00997399">
      <w:pPr>
        <w:pStyle w:val="NoSpacing"/>
        <w:numPr>
          <w:ilvl w:val="1"/>
          <w:numId w:val="10"/>
        </w:numPr>
        <w:rPr>
          <w:rFonts w:ascii="Times New Roman" w:hAnsi="Times New Roman" w:cs="Times New Roman"/>
          <w:lang w:val="en-US"/>
        </w:rPr>
      </w:pPr>
      <w:r w:rsidRPr="00997399">
        <w:rPr>
          <w:rFonts w:ascii="Times New Roman" w:hAnsi="Times New Roman" w:cs="Times New Roman"/>
          <w:lang w:val="en-US"/>
        </w:rPr>
        <w:t>Maximum power transfer capacity set by total planned substation transformer capacity of 75 MVA.</w:t>
      </w:r>
    </w:p>
    <w:p w:rsidR="00C128EB" w:rsidRPr="00997399" w:rsidRDefault="00C128EB" w:rsidP="00997399">
      <w:pPr>
        <w:pStyle w:val="NoSpacing"/>
        <w:rPr>
          <w:rFonts w:ascii="Times New Roman" w:hAnsi="Times New Roman" w:cs="Times New Roman"/>
          <w:lang w:val="en-US"/>
        </w:rPr>
      </w:pPr>
    </w:p>
    <w:p w:rsidR="00C128EB" w:rsidRPr="00997399" w:rsidRDefault="00C128EB" w:rsidP="00997399">
      <w:pPr>
        <w:pStyle w:val="NoSpacing"/>
        <w:numPr>
          <w:ilvl w:val="0"/>
          <w:numId w:val="10"/>
        </w:numPr>
        <w:rPr>
          <w:rFonts w:ascii="Times New Roman" w:hAnsi="Times New Roman" w:cs="Times New Roman"/>
          <w:u w:val="single"/>
          <w:lang w:val="en-US"/>
        </w:rPr>
      </w:pPr>
      <w:r w:rsidRPr="00997399">
        <w:rPr>
          <w:rFonts w:ascii="Times New Roman" w:hAnsi="Times New Roman" w:cs="Times New Roman"/>
          <w:u w:val="single"/>
          <w:lang w:val="en-US"/>
        </w:rPr>
        <w:t>Additional 33/ 12.6/ 6.3 kV distribution capacity to be installed:</w:t>
      </w:r>
    </w:p>
    <w:p w:rsidR="00C128EB" w:rsidRPr="00997399" w:rsidRDefault="00C128EB" w:rsidP="00997399">
      <w:pPr>
        <w:pStyle w:val="NoSpacing"/>
        <w:rPr>
          <w:rFonts w:ascii="Times New Roman" w:hAnsi="Times New Roman" w:cs="Times New Roman"/>
          <w:lang w:val="en-US"/>
        </w:rPr>
      </w:pPr>
    </w:p>
    <w:p w:rsidR="00C128EB" w:rsidRDefault="00C128EB" w:rsidP="00997399">
      <w:pPr>
        <w:pStyle w:val="NoSpacing"/>
        <w:ind w:left="720"/>
        <w:rPr>
          <w:rFonts w:ascii="Times New Roman" w:hAnsi="Times New Roman" w:cs="Times New Roman"/>
          <w:i/>
          <w:iCs/>
          <w:lang w:val="en-US"/>
        </w:rPr>
      </w:pPr>
      <w:r w:rsidRPr="00997399">
        <w:rPr>
          <w:rFonts w:ascii="Times New Roman" w:hAnsi="Times New Roman" w:cs="Times New Roman"/>
          <w:i/>
          <w:iCs/>
          <w:lang w:val="en-US"/>
        </w:rPr>
        <w:t>Distribution capacity without the upgrade project (existing distribution capacity):</w:t>
      </w:r>
    </w:p>
    <w:p w:rsidR="00EE4C52" w:rsidRPr="00997399" w:rsidRDefault="00EE4C52" w:rsidP="00997399">
      <w:pPr>
        <w:pStyle w:val="NoSpacing"/>
        <w:ind w:left="720"/>
        <w:rPr>
          <w:rFonts w:ascii="Times New Roman" w:hAnsi="Times New Roman" w:cs="Times New Roman"/>
          <w:i/>
          <w:iCs/>
          <w:lang w:val="en-US"/>
        </w:rPr>
      </w:pPr>
    </w:p>
    <w:p w:rsidR="00EE4C52" w:rsidRDefault="00EE4C52" w:rsidP="00EE4C52">
      <w:pPr>
        <w:pStyle w:val="NoSpacing"/>
        <w:ind w:left="1440"/>
        <w:jc w:val="center"/>
        <w:rPr>
          <w:rFonts w:ascii="Times New Roman" w:hAnsi="Times New Roman" w:cs="Times New Roman"/>
          <w:lang w:val="en-US"/>
        </w:rPr>
      </w:pPr>
      <w:r w:rsidRPr="00EE4C52">
        <w:rPr>
          <w:rFonts w:ascii="Times New Roman" w:hAnsi="Times New Roman" w:cs="Times New Roman"/>
          <w:noProof/>
          <w:lang w:val="en-US"/>
        </w:rPr>
        <w:drawing>
          <wp:inline distT="0" distB="0" distL="0" distR="0">
            <wp:extent cx="3183255" cy="767715"/>
            <wp:effectExtent l="0" t="0" r="0" b="0"/>
            <wp:docPr id="38"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srcRect/>
                    <a:stretch>
                      <a:fillRect/>
                    </a:stretch>
                  </pic:blipFill>
                  <pic:spPr bwMode="auto">
                    <a:xfrm>
                      <a:off x="0" y="0"/>
                      <a:ext cx="3183255" cy="767715"/>
                    </a:xfrm>
                    <a:prstGeom prst="rect">
                      <a:avLst/>
                    </a:prstGeom>
                    <a:noFill/>
                    <a:ln w="9525">
                      <a:noFill/>
                      <a:miter lim="800000"/>
                      <a:headEnd/>
                      <a:tailEnd/>
                    </a:ln>
                  </pic:spPr>
                </pic:pic>
              </a:graphicData>
            </a:graphic>
          </wp:inline>
        </w:drawing>
      </w:r>
    </w:p>
    <w:p w:rsidR="00C128EB" w:rsidRDefault="00C128EB" w:rsidP="00997399">
      <w:pPr>
        <w:pStyle w:val="NoSpacing"/>
        <w:ind w:left="1440"/>
        <w:jc w:val="both"/>
        <w:rPr>
          <w:rFonts w:ascii="Times New Roman" w:hAnsi="Times New Roman" w:cs="Times New Roman"/>
          <w:b/>
          <w:bCs/>
          <w:lang w:val="en-US"/>
        </w:rPr>
      </w:pPr>
    </w:p>
    <w:p w:rsidR="00C128EB" w:rsidRPr="00997399" w:rsidRDefault="00C128EB" w:rsidP="00997399">
      <w:pPr>
        <w:pStyle w:val="NoSpacing"/>
        <w:ind w:left="1440"/>
        <w:jc w:val="both"/>
        <w:rPr>
          <w:rFonts w:ascii="Times New Roman" w:hAnsi="Times New Roman" w:cs="Times New Roman"/>
          <w:b/>
          <w:bCs/>
          <w:lang w:val="en-US"/>
        </w:rPr>
      </w:pPr>
      <w:r w:rsidRPr="00997399">
        <w:rPr>
          <w:rFonts w:ascii="Times New Roman" w:hAnsi="Times New Roman" w:cs="Times New Roman"/>
          <w:b/>
          <w:bCs/>
          <w:lang w:val="en-US"/>
        </w:rPr>
        <w:t xml:space="preserve">Total existing </w:t>
      </w:r>
      <w:r w:rsidR="00EE4C52" w:rsidRPr="00EE4C52">
        <w:rPr>
          <w:rFonts w:ascii="Times New Roman" w:hAnsi="Times New Roman" w:cs="Times New Roman"/>
          <w:b/>
          <w:bCs/>
          <w:u w:val="single"/>
          <w:lang w:val="en-US"/>
        </w:rPr>
        <w:t>operative</w:t>
      </w:r>
      <w:r w:rsidR="00EE4C52">
        <w:rPr>
          <w:rFonts w:ascii="Times New Roman" w:hAnsi="Times New Roman" w:cs="Times New Roman"/>
          <w:b/>
          <w:bCs/>
          <w:lang w:val="en-US"/>
        </w:rPr>
        <w:t xml:space="preserve"> </w:t>
      </w:r>
      <w:r w:rsidRPr="00997399">
        <w:rPr>
          <w:rFonts w:ascii="Times New Roman" w:hAnsi="Times New Roman" w:cs="Times New Roman"/>
          <w:b/>
          <w:bCs/>
          <w:lang w:val="en-US"/>
        </w:rPr>
        <w:t>capacity: 40 MVA</w:t>
      </w:r>
    </w:p>
    <w:p w:rsidR="00C128EB" w:rsidRPr="00997399" w:rsidRDefault="00C128EB" w:rsidP="00997399">
      <w:pPr>
        <w:pStyle w:val="NoSpacing"/>
        <w:jc w:val="both"/>
        <w:rPr>
          <w:rFonts w:ascii="Times New Roman" w:hAnsi="Times New Roman" w:cs="Times New Roman"/>
          <w:lang w:val="en-US"/>
        </w:rPr>
      </w:pPr>
    </w:p>
    <w:p w:rsidR="00C128EB" w:rsidRDefault="00C128EB" w:rsidP="00997399">
      <w:pPr>
        <w:pStyle w:val="NoSpacing"/>
        <w:ind w:left="720"/>
        <w:rPr>
          <w:rFonts w:ascii="Times New Roman" w:hAnsi="Times New Roman" w:cs="Times New Roman"/>
          <w:i/>
          <w:iCs/>
          <w:lang w:val="en-US"/>
        </w:rPr>
      </w:pPr>
      <w:r w:rsidRPr="00997399">
        <w:rPr>
          <w:rFonts w:ascii="Times New Roman" w:hAnsi="Times New Roman" w:cs="Times New Roman"/>
          <w:i/>
          <w:iCs/>
          <w:lang w:val="en-US"/>
        </w:rPr>
        <w:t>Distribution capacity after implementation of the upgrade project:</w:t>
      </w:r>
    </w:p>
    <w:p w:rsidR="00EE4C52" w:rsidRDefault="00EE4C52" w:rsidP="00EE4C52">
      <w:pPr>
        <w:pStyle w:val="NoSpacing"/>
        <w:ind w:left="720"/>
        <w:jc w:val="center"/>
        <w:rPr>
          <w:rFonts w:ascii="Times New Roman" w:hAnsi="Times New Roman" w:cs="Times New Roman"/>
          <w:i/>
          <w:iCs/>
          <w:lang w:val="en-US"/>
        </w:rPr>
      </w:pPr>
      <w:r w:rsidRPr="00EE4C52">
        <w:rPr>
          <w:rFonts w:ascii="Times New Roman" w:hAnsi="Times New Roman" w:cs="Times New Roman"/>
          <w:i/>
          <w:iCs/>
          <w:noProof/>
          <w:lang w:val="en-US"/>
        </w:rPr>
        <w:drawing>
          <wp:inline distT="0" distB="0" distL="0" distR="0">
            <wp:extent cx="3183255" cy="767715"/>
            <wp:effectExtent l="0" t="0" r="0" b="0"/>
            <wp:docPr id="40"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srcRect/>
                    <a:stretch>
                      <a:fillRect/>
                    </a:stretch>
                  </pic:blipFill>
                  <pic:spPr bwMode="auto">
                    <a:xfrm>
                      <a:off x="0" y="0"/>
                      <a:ext cx="3183255" cy="767715"/>
                    </a:xfrm>
                    <a:prstGeom prst="rect">
                      <a:avLst/>
                    </a:prstGeom>
                    <a:noFill/>
                    <a:ln w="9525">
                      <a:noFill/>
                      <a:miter lim="800000"/>
                      <a:headEnd/>
                      <a:tailEnd/>
                    </a:ln>
                  </pic:spPr>
                </pic:pic>
              </a:graphicData>
            </a:graphic>
          </wp:inline>
        </w:drawing>
      </w:r>
    </w:p>
    <w:p w:rsidR="00EE4C52" w:rsidRPr="00997399" w:rsidRDefault="00EE4C52" w:rsidP="00997399">
      <w:pPr>
        <w:pStyle w:val="NoSpacing"/>
        <w:ind w:left="720"/>
        <w:rPr>
          <w:rFonts w:ascii="Times New Roman" w:hAnsi="Times New Roman" w:cs="Times New Roman"/>
          <w:i/>
          <w:iCs/>
          <w:lang w:val="en-US"/>
        </w:rPr>
      </w:pPr>
    </w:p>
    <w:p w:rsidR="00C128EB" w:rsidRPr="00EE4C52" w:rsidRDefault="00C128EB" w:rsidP="00997399">
      <w:pPr>
        <w:pStyle w:val="NoSpacing"/>
        <w:ind w:left="1440"/>
        <w:jc w:val="both"/>
        <w:rPr>
          <w:rFonts w:ascii="Times New Roman" w:hAnsi="Times New Roman" w:cs="Times New Roman"/>
          <w:b/>
          <w:bCs/>
          <w:lang w:val="en-US"/>
        </w:rPr>
      </w:pPr>
      <w:r w:rsidRPr="00EE4C52">
        <w:rPr>
          <w:rFonts w:ascii="Times New Roman" w:hAnsi="Times New Roman" w:cs="Times New Roman"/>
          <w:b/>
          <w:bCs/>
          <w:lang w:val="en-US"/>
        </w:rPr>
        <w:t xml:space="preserve">Total </w:t>
      </w:r>
      <w:r w:rsidR="00EE4C52" w:rsidRPr="00EE4C52">
        <w:rPr>
          <w:rFonts w:ascii="Times New Roman" w:hAnsi="Times New Roman" w:cs="Times New Roman"/>
          <w:b/>
          <w:bCs/>
          <w:u w:val="single"/>
          <w:lang w:val="en-US"/>
        </w:rPr>
        <w:t>future operative</w:t>
      </w:r>
      <w:r w:rsidRPr="00EE4C52">
        <w:rPr>
          <w:rFonts w:ascii="Times New Roman" w:hAnsi="Times New Roman" w:cs="Times New Roman"/>
          <w:b/>
          <w:bCs/>
          <w:lang w:val="en-US"/>
        </w:rPr>
        <w:t xml:space="preserve"> capacity: 75 MVA</w:t>
      </w:r>
    </w:p>
    <w:p w:rsidR="00C128EB" w:rsidRPr="00EE4C52" w:rsidRDefault="00C128EB" w:rsidP="008E4464">
      <w:pPr>
        <w:rPr>
          <w:rFonts w:ascii="Times New Roman" w:hAnsi="Times New Roman" w:cs="Times New Roman"/>
          <w:lang w:val="en-US"/>
        </w:rPr>
      </w:pPr>
      <w:r w:rsidRPr="00EE4C52">
        <w:rPr>
          <w:rFonts w:ascii="Times New Roman" w:hAnsi="Times New Roman" w:cs="Times New Roman"/>
          <w:lang w:val="en-US"/>
        </w:rPr>
        <w:br w:type="page"/>
      </w:r>
    </w:p>
    <w:p w:rsidR="00C128EB" w:rsidRPr="001E6B61" w:rsidRDefault="00C128EB" w:rsidP="00997399">
      <w:pPr>
        <w:pStyle w:val="NoSpacing"/>
        <w:numPr>
          <w:ilvl w:val="0"/>
          <w:numId w:val="14"/>
        </w:numPr>
        <w:jc w:val="both"/>
        <w:rPr>
          <w:rFonts w:ascii="Times New Roman" w:hAnsi="Times New Roman" w:cs="Times New Roman"/>
          <w:u w:val="single"/>
        </w:rPr>
      </w:pPr>
      <w:r>
        <w:rPr>
          <w:rFonts w:ascii="Times New Roman" w:hAnsi="Times New Roman" w:cs="Times New Roman"/>
          <w:u w:val="single"/>
        </w:rPr>
        <w:lastRenderedPageBreak/>
        <w:t>P</w:t>
      </w:r>
      <w:r w:rsidRPr="001E6B61">
        <w:rPr>
          <w:rFonts w:ascii="Times New Roman" w:hAnsi="Times New Roman" w:cs="Times New Roman"/>
          <w:u w:val="single"/>
        </w:rPr>
        <w:t>eak demand:</w:t>
      </w:r>
    </w:p>
    <w:p w:rsidR="00C128EB" w:rsidRDefault="00C128EB" w:rsidP="00997399">
      <w:pPr>
        <w:pStyle w:val="NoSpacing"/>
        <w:ind w:left="720"/>
        <w:jc w:val="both"/>
        <w:rPr>
          <w:rFonts w:ascii="Times New Roman" w:hAnsi="Times New Roman" w:cs="Times New Roman"/>
        </w:rPr>
      </w:pPr>
    </w:p>
    <w:p w:rsidR="00C128EB" w:rsidRPr="00E360D0" w:rsidRDefault="00C128EB" w:rsidP="00997399">
      <w:pPr>
        <w:pStyle w:val="NoSpacing"/>
        <w:ind w:left="720"/>
        <w:jc w:val="both"/>
        <w:rPr>
          <w:rFonts w:ascii="Times New Roman" w:hAnsi="Times New Roman" w:cs="Times New Roman"/>
          <w:b/>
          <w:bCs/>
        </w:rPr>
      </w:pPr>
      <w:r w:rsidRPr="00E360D0">
        <w:rPr>
          <w:rFonts w:ascii="Times New Roman" w:hAnsi="Times New Roman" w:cs="Times New Roman"/>
          <w:b/>
          <w:bCs/>
        </w:rPr>
        <w:t>Note:</w:t>
      </w:r>
    </w:p>
    <w:p w:rsidR="00C128EB" w:rsidRPr="00997399" w:rsidRDefault="00C128EB" w:rsidP="00997399">
      <w:pPr>
        <w:pStyle w:val="NoSpacing"/>
        <w:ind w:left="720"/>
        <w:jc w:val="both"/>
        <w:rPr>
          <w:rFonts w:ascii="Times New Roman" w:hAnsi="Times New Roman" w:cs="Times New Roman"/>
          <w:lang w:val="en-US"/>
        </w:rPr>
      </w:pPr>
      <w:r w:rsidRPr="00997399">
        <w:rPr>
          <w:rFonts w:ascii="Times New Roman" w:hAnsi="Times New Roman" w:cs="Times New Roman"/>
          <w:lang w:val="en-US"/>
        </w:rPr>
        <w:t>Peak demand data not available for September 2012, December 2012 and February 2013.</w:t>
      </w: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Default="00C128EB" w:rsidP="00997399">
      <w:pPr>
        <w:pStyle w:val="NoSpacing"/>
        <w:ind w:left="720"/>
        <w:jc w:val="both"/>
        <w:rPr>
          <w:rFonts w:ascii="Times New Roman" w:hAnsi="Times New Roman" w:cs="Times New Roman"/>
        </w:rPr>
      </w:pPr>
      <w:r>
        <w:rPr>
          <w:rFonts w:ascii="Times New Roman" w:hAnsi="Times New Roman" w:cs="Times New Roman"/>
        </w:rPr>
        <w:t>Substation O:</w:t>
      </w:r>
    </w:p>
    <w:p w:rsidR="00C128EB" w:rsidRDefault="00EC138D" w:rsidP="00997399">
      <w:pPr>
        <w:pStyle w:val="NoSpacing"/>
        <w:ind w:left="720"/>
        <w:jc w:val="both"/>
        <w:rPr>
          <w:rFonts w:ascii="Times New Roman" w:hAnsi="Times New Roman" w:cs="Times New Roman"/>
        </w:rPr>
      </w:pPr>
      <w:r>
        <w:rPr>
          <w:noProof/>
          <w:lang w:val="en-US"/>
        </w:rPr>
        <w:drawing>
          <wp:anchor distT="0" distB="0" distL="114300" distR="114300" simplePos="0" relativeHeight="251658752" behindDoc="1" locked="0" layoutInCell="1" allowOverlap="1">
            <wp:simplePos x="0" y="0"/>
            <wp:positionH relativeFrom="column">
              <wp:posOffset>476250</wp:posOffset>
            </wp:positionH>
            <wp:positionV relativeFrom="paragraph">
              <wp:posOffset>69850</wp:posOffset>
            </wp:positionV>
            <wp:extent cx="4724400" cy="3105150"/>
            <wp:effectExtent l="19050" t="0" r="0" b="0"/>
            <wp:wrapNone/>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srcRect/>
                    <a:stretch>
                      <a:fillRect/>
                    </a:stretch>
                  </pic:blipFill>
                  <pic:spPr bwMode="auto">
                    <a:xfrm>
                      <a:off x="0" y="0"/>
                      <a:ext cx="4724400" cy="3105150"/>
                    </a:xfrm>
                    <a:prstGeom prst="rect">
                      <a:avLst/>
                    </a:prstGeom>
                    <a:noFill/>
                  </pic:spPr>
                </pic:pic>
              </a:graphicData>
            </a:graphic>
          </wp:anchor>
        </w:drawing>
      </w: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r>
        <w:rPr>
          <w:rFonts w:ascii="Times New Roman" w:hAnsi="Times New Roman" w:cs="Times New Roman"/>
        </w:rPr>
        <w:t>Substation N:</w:t>
      </w:r>
    </w:p>
    <w:p w:rsidR="008E4464" w:rsidRDefault="008E4464" w:rsidP="00997399">
      <w:pPr>
        <w:pStyle w:val="NoSpacing"/>
        <w:ind w:left="720"/>
        <w:jc w:val="both"/>
        <w:rPr>
          <w:rFonts w:ascii="Times New Roman" w:hAnsi="Times New Roman" w:cs="Times New Roman"/>
        </w:rPr>
      </w:pPr>
    </w:p>
    <w:p w:rsidR="00C128EB" w:rsidRDefault="00EC138D" w:rsidP="00997399">
      <w:pPr>
        <w:pStyle w:val="NoSpacing"/>
        <w:ind w:left="720"/>
        <w:jc w:val="both"/>
        <w:rPr>
          <w:rFonts w:ascii="Times New Roman" w:hAnsi="Times New Roman" w:cs="Times New Roman"/>
        </w:rPr>
      </w:pPr>
      <w:r>
        <w:rPr>
          <w:rFonts w:ascii="Times New Roman" w:hAnsi="Times New Roman" w:cs="Times New Roman"/>
          <w:noProof/>
          <w:lang w:val="en-US"/>
        </w:rPr>
        <w:drawing>
          <wp:inline distT="0" distB="0" distL="0" distR="0">
            <wp:extent cx="3971290" cy="2708910"/>
            <wp:effectExtent l="1905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srcRect/>
                    <a:stretch>
                      <a:fillRect/>
                    </a:stretch>
                  </pic:blipFill>
                  <pic:spPr bwMode="auto">
                    <a:xfrm>
                      <a:off x="0" y="0"/>
                      <a:ext cx="3971290" cy="2708910"/>
                    </a:xfrm>
                    <a:prstGeom prst="rect">
                      <a:avLst/>
                    </a:prstGeom>
                    <a:noFill/>
                    <a:ln w="9525">
                      <a:noFill/>
                      <a:miter lim="800000"/>
                      <a:headEnd/>
                      <a:tailEnd/>
                    </a:ln>
                  </pic:spPr>
                </pic:pic>
              </a:graphicData>
            </a:graphic>
          </wp:inline>
        </w:drawing>
      </w: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EE4C52" w:rsidRDefault="00EE4C52"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r>
        <w:rPr>
          <w:rFonts w:ascii="Times New Roman" w:hAnsi="Times New Roman" w:cs="Times New Roman"/>
        </w:rPr>
        <w:lastRenderedPageBreak/>
        <w:t>Substation E:</w:t>
      </w:r>
    </w:p>
    <w:p w:rsidR="00C128EB" w:rsidRDefault="00EC138D" w:rsidP="00997399">
      <w:pPr>
        <w:pStyle w:val="NoSpacing"/>
        <w:ind w:left="720"/>
        <w:jc w:val="both"/>
        <w:rPr>
          <w:rFonts w:ascii="Times New Roman" w:hAnsi="Times New Roman" w:cs="Times New Roman"/>
        </w:rPr>
      </w:pPr>
      <w:r>
        <w:rPr>
          <w:rFonts w:ascii="Times New Roman" w:hAnsi="Times New Roman" w:cs="Times New Roman"/>
          <w:noProof/>
          <w:lang w:val="en-US"/>
        </w:rPr>
        <w:drawing>
          <wp:inline distT="0" distB="0" distL="0" distR="0">
            <wp:extent cx="4504055" cy="3118485"/>
            <wp:effectExtent l="1905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srcRect/>
                    <a:stretch>
                      <a:fillRect/>
                    </a:stretch>
                  </pic:blipFill>
                  <pic:spPr bwMode="auto">
                    <a:xfrm>
                      <a:off x="0" y="0"/>
                      <a:ext cx="4504055" cy="3118485"/>
                    </a:xfrm>
                    <a:prstGeom prst="rect">
                      <a:avLst/>
                    </a:prstGeom>
                    <a:noFill/>
                    <a:ln w="9525">
                      <a:noFill/>
                      <a:miter lim="800000"/>
                      <a:headEnd/>
                      <a:tailEnd/>
                    </a:ln>
                  </pic:spPr>
                </pic:pic>
              </a:graphicData>
            </a:graphic>
          </wp:inline>
        </w:drawing>
      </w: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r>
        <w:rPr>
          <w:rFonts w:ascii="Times New Roman" w:hAnsi="Times New Roman" w:cs="Times New Roman"/>
        </w:rPr>
        <w:t>Substation D:</w:t>
      </w:r>
    </w:p>
    <w:p w:rsidR="00C128EB" w:rsidRDefault="00C128EB" w:rsidP="00997399">
      <w:pPr>
        <w:pStyle w:val="NoSpacing"/>
        <w:ind w:left="720"/>
        <w:jc w:val="both"/>
        <w:rPr>
          <w:rFonts w:ascii="Times New Roman" w:hAnsi="Times New Roman" w:cs="Times New Roman"/>
        </w:rPr>
      </w:pPr>
    </w:p>
    <w:p w:rsidR="00C128EB" w:rsidRDefault="00EC138D" w:rsidP="00997399">
      <w:pPr>
        <w:pStyle w:val="NoSpacing"/>
        <w:ind w:left="720"/>
        <w:jc w:val="both"/>
        <w:rPr>
          <w:rFonts w:ascii="Times New Roman" w:hAnsi="Times New Roman" w:cs="Times New Roman"/>
        </w:rPr>
      </w:pPr>
      <w:r>
        <w:rPr>
          <w:noProof/>
          <w:lang w:val="en-US"/>
        </w:rPr>
        <w:drawing>
          <wp:anchor distT="0" distB="0" distL="114300" distR="114300" simplePos="0" relativeHeight="251659776" behindDoc="1" locked="0" layoutInCell="1" allowOverlap="1">
            <wp:simplePos x="0" y="0"/>
            <wp:positionH relativeFrom="column">
              <wp:posOffset>476250</wp:posOffset>
            </wp:positionH>
            <wp:positionV relativeFrom="paragraph">
              <wp:posOffset>5080</wp:posOffset>
            </wp:positionV>
            <wp:extent cx="4667250" cy="3200400"/>
            <wp:effectExtent l="19050" t="0" r="0" b="0"/>
            <wp:wrapNone/>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srcRect/>
                    <a:stretch>
                      <a:fillRect/>
                    </a:stretch>
                  </pic:blipFill>
                  <pic:spPr bwMode="auto">
                    <a:xfrm>
                      <a:off x="0" y="0"/>
                      <a:ext cx="4667250" cy="3200400"/>
                    </a:xfrm>
                    <a:prstGeom prst="rect">
                      <a:avLst/>
                    </a:prstGeom>
                    <a:noFill/>
                  </pic:spPr>
                </pic:pic>
              </a:graphicData>
            </a:graphic>
          </wp:anchor>
        </w:drawing>
      </w: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u w:val="single"/>
        </w:rPr>
      </w:pPr>
    </w:p>
    <w:p w:rsidR="00C128EB" w:rsidRDefault="00C128EB" w:rsidP="00997399">
      <w:pPr>
        <w:pStyle w:val="NoSpacing"/>
        <w:ind w:left="720"/>
        <w:jc w:val="both"/>
        <w:rPr>
          <w:rFonts w:ascii="Times New Roman" w:hAnsi="Times New Roman" w:cs="Times New Roman"/>
          <w:u w:val="single"/>
        </w:rPr>
      </w:pPr>
    </w:p>
    <w:p w:rsidR="00C128EB" w:rsidRDefault="00C128EB" w:rsidP="00997399">
      <w:pPr>
        <w:pStyle w:val="NoSpacing"/>
        <w:ind w:left="720"/>
        <w:jc w:val="both"/>
        <w:rPr>
          <w:rFonts w:ascii="Times New Roman" w:hAnsi="Times New Roman" w:cs="Times New Roman"/>
          <w:u w:val="single"/>
        </w:rPr>
      </w:pPr>
    </w:p>
    <w:p w:rsidR="00C128EB" w:rsidRDefault="00C128EB" w:rsidP="00997399">
      <w:pPr>
        <w:pStyle w:val="NoSpacing"/>
        <w:ind w:left="720"/>
        <w:jc w:val="both"/>
        <w:rPr>
          <w:rFonts w:ascii="Times New Roman" w:hAnsi="Times New Roman" w:cs="Times New Roman"/>
          <w:u w:val="single"/>
        </w:rPr>
      </w:pPr>
    </w:p>
    <w:p w:rsidR="00C128EB" w:rsidRDefault="00C128EB" w:rsidP="00997399">
      <w:pPr>
        <w:pStyle w:val="NoSpacing"/>
        <w:ind w:left="720"/>
        <w:jc w:val="both"/>
        <w:rPr>
          <w:rFonts w:ascii="Times New Roman" w:hAnsi="Times New Roman" w:cs="Times New Roman"/>
          <w:u w:val="single"/>
        </w:rPr>
      </w:pPr>
    </w:p>
    <w:p w:rsidR="00C128EB" w:rsidRDefault="00C128EB" w:rsidP="00997399">
      <w:pPr>
        <w:pStyle w:val="NoSpacing"/>
        <w:ind w:left="720"/>
        <w:jc w:val="both"/>
        <w:rPr>
          <w:rFonts w:ascii="Times New Roman" w:hAnsi="Times New Roman" w:cs="Times New Roman"/>
          <w:u w:val="single"/>
        </w:rPr>
      </w:pPr>
    </w:p>
    <w:p w:rsidR="00C128EB" w:rsidRDefault="00C128EB" w:rsidP="00997399">
      <w:pPr>
        <w:pStyle w:val="NoSpacing"/>
        <w:ind w:left="720"/>
        <w:jc w:val="both"/>
        <w:rPr>
          <w:rFonts w:ascii="Times New Roman" w:hAnsi="Times New Roman" w:cs="Times New Roman"/>
          <w:u w:val="single"/>
        </w:rPr>
      </w:pPr>
    </w:p>
    <w:p w:rsidR="00C128EB" w:rsidRDefault="00C128EB" w:rsidP="00997399">
      <w:pPr>
        <w:pStyle w:val="NoSpacing"/>
        <w:ind w:left="720"/>
        <w:jc w:val="both"/>
        <w:rPr>
          <w:rFonts w:ascii="Times New Roman" w:hAnsi="Times New Roman" w:cs="Times New Roman"/>
          <w:u w:val="single"/>
        </w:rPr>
      </w:pPr>
    </w:p>
    <w:p w:rsidR="00C128EB" w:rsidRDefault="00C128EB" w:rsidP="00997399">
      <w:pPr>
        <w:pStyle w:val="NoSpacing"/>
        <w:ind w:left="720"/>
        <w:jc w:val="both"/>
        <w:rPr>
          <w:rFonts w:ascii="Times New Roman" w:hAnsi="Times New Roman" w:cs="Times New Roman"/>
          <w:u w:val="single"/>
        </w:rPr>
      </w:pPr>
    </w:p>
    <w:p w:rsidR="00C128EB" w:rsidRDefault="00C128EB" w:rsidP="00997399">
      <w:pPr>
        <w:pStyle w:val="NoSpacing"/>
        <w:ind w:left="720"/>
        <w:jc w:val="both"/>
        <w:rPr>
          <w:rFonts w:ascii="Times New Roman" w:hAnsi="Times New Roman" w:cs="Times New Roman"/>
          <w:u w:val="single"/>
        </w:rPr>
      </w:pPr>
    </w:p>
    <w:p w:rsidR="00C128EB" w:rsidRDefault="00C128EB" w:rsidP="00997399">
      <w:pPr>
        <w:pStyle w:val="NoSpacing"/>
        <w:ind w:left="720"/>
        <w:jc w:val="both"/>
        <w:rPr>
          <w:rFonts w:ascii="Times New Roman" w:hAnsi="Times New Roman" w:cs="Times New Roman"/>
          <w:u w:val="single"/>
        </w:rPr>
      </w:pPr>
    </w:p>
    <w:p w:rsidR="00C128EB" w:rsidRDefault="00C128EB" w:rsidP="00997399">
      <w:pPr>
        <w:pStyle w:val="NoSpacing"/>
        <w:ind w:left="720"/>
        <w:jc w:val="both"/>
        <w:rPr>
          <w:rFonts w:ascii="Times New Roman" w:hAnsi="Times New Roman" w:cs="Times New Roman"/>
          <w:u w:val="single"/>
        </w:rPr>
      </w:pPr>
    </w:p>
    <w:p w:rsidR="00C128EB" w:rsidRDefault="00C128EB" w:rsidP="00997399">
      <w:pPr>
        <w:pStyle w:val="NoSpacing"/>
        <w:ind w:left="720"/>
        <w:jc w:val="both"/>
        <w:rPr>
          <w:rFonts w:ascii="Times New Roman" w:hAnsi="Times New Roman" w:cs="Times New Roman"/>
          <w:u w:val="single"/>
        </w:rPr>
      </w:pPr>
    </w:p>
    <w:p w:rsidR="008E4464" w:rsidRDefault="008E4464" w:rsidP="00997399">
      <w:pPr>
        <w:pStyle w:val="NoSpacing"/>
        <w:ind w:left="720"/>
        <w:jc w:val="both"/>
        <w:rPr>
          <w:rFonts w:ascii="Times New Roman" w:hAnsi="Times New Roman" w:cs="Times New Roman"/>
          <w:u w:val="single"/>
        </w:rPr>
      </w:pPr>
    </w:p>
    <w:p w:rsidR="008E4464" w:rsidRDefault="008E4464" w:rsidP="00997399">
      <w:pPr>
        <w:pStyle w:val="NoSpacing"/>
        <w:ind w:left="720"/>
        <w:jc w:val="both"/>
        <w:rPr>
          <w:rFonts w:ascii="Times New Roman" w:hAnsi="Times New Roman" w:cs="Times New Roman"/>
          <w:u w:val="single"/>
        </w:rPr>
      </w:pPr>
    </w:p>
    <w:p w:rsidR="008E4464" w:rsidRDefault="008E4464" w:rsidP="00997399">
      <w:pPr>
        <w:pStyle w:val="NoSpacing"/>
        <w:ind w:left="720"/>
        <w:jc w:val="both"/>
        <w:rPr>
          <w:rFonts w:ascii="Times New Roman" w:hAnsi="Times New Roman" w:cs="Times New Roman"/>
          <w:u w:val="single"/>
        </w:rPr>
      </w:pPr>
    </w:p>
    <w:p w:rsidR="008E4464" w:rsidRDefault="008E4464" w:rsidP="00997399">
      <w:pPr>
        <w:pStyle w:val="NoSpacing"/>
        <w:ind w:left="720"/>
        <w:jc w:val="both"/>
        <w:rPr>
          <w:rFonts w:ascii="Times New Roman" w:hAnsi="Times New Roman" w:cs="Times New Roman"/>
          <w:u w:val="single"/>
        </w:rPr>
      </w:pPr>
    </w:p>
    <w:p w:rsidR="008E4464" w:rsidRDefault="008E4464" w:rsidP="00997399">
      <w:pPr>
        <w:pStyle w:val="NoSpacing"/>
        <w:ind w:left="720"/>
        <w:jc w:val="both"/>
        <w:rPr>
          <w:rFonts w:ascii="Times New Roman" w:hAnsi="Times New Roman" w:cs="Times New Roman"/>
          <w:u w:val="single"/>
        </w:rPr>
      </w:pPr>
    </w:p>
    <w:p w:rsidR="008E4464" w:rsidRDefault="008E4464" w:rsidP="00997399">
      <w:pPr>
        <w:pStyle w:val="NoSpacing"/>
        <w:ind w:left="720"/>
        <w:jc w:val="both"/>
        <w:rPr>
          <w:rFonts w:ascii="Times New Roman" w:hAnsi="Times New Roman" w:cs="Times New Roman"/>
          <w:u w:val="single"/>
        </w:rPr>
      </w:pPr>
    </w:p>
    <w:p w:rsidR="00C128EB" w:rsidRPr="00E70AF4" w:rsidRDefault="00C128EB" w:rsidP="00997399">
      <w:pPr>
        <w:pStyle w:val="NoSpacing"/>
        <w:numPr>
          <w:ilvl w:val="0"/>
          <w:numId w:val="14"/>
        </w:numPr>
        <w:jc w:val="both"/>
        <w:rPr>
          <w:rFonts w:ascii="Times New Roman" w:hAnsi="Times New Roman" w:cs="Times New Roman"/>
          <w:u w:val="single"/>
        </w:rPr>
      </w:pPr>
      <w:r w:rsidRPr="00E70AF4">
        <w:rPr>
          <w:rFonts w:ascii="Times New Roman" w:hAnsi="Times New Roman" w:cs="Times New Roman"/>
          <w:u w:val="single"/>
        </w:rPr>
        <w:t>Characterization of electricity demand:</w:t>
      </w:r>
    </w:p>
    <w:p w:rsidR="00C128EB" w:rsidRDefault="00C128EB" w:rsidP="00997399">
      <w:pPr>
        <w:pStyle w:val="NoSpacing"/>
        <w:ind w:left="720"/>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b/>
          <w:bCs/>
        </w:rPr>
      </w:pPr>
      <w:r w:rsidRPr="00E53A83">
        <w:rPr>
          <w:rFonts w:ascii="Times New Roman" w:hAnsi="Times New Roman" w:cs="Times New Roman"/>
          <w:b/>
          <w:bCs/>
        </w:rPr>
        <w:t>Note:</w:t>
      </w:r>
    </w:p>
    <w:p w:rsidR="00C128EB" w:rsidRPr="00997399" w:rsidRDefault="00C128EB" w:rsidP="00997399">
      <w:pPr>
        <w:pStyle w:val="NoSpacing"/>
        <w:ind w:left="720"/>
        <w:jc w:val="both"/>
        <w:rPr>
          <w:rFonts w:ascii="Times New Roman" w:hAnsi="Times New Roman" w:cs="Times New Roman"/>
          <w:lang w:val="en-US"/>
        </w:rPr>
      </w:pPr>
      <w:r w:rsidRPr="00997399">
        <w:rPr>
          <w:rFonts w:ascii="Times New Roman" w:hAnsi="Times New Roman" w:cs="Times New Roman"/>
          <w:lang w:val="en-US"/>
        </w:rPr>
        <w:t>The data presented is from April 2013 and is for the total EPAR-system (excluding Rosebel Gold Mines (RGM)).</w:t>
      </w:r>
    </w:p>
    <w:p w:rsidR="00C128EB" w:rsidRDefault="00EC138D" w:rsidP="00997399">
      <w:pPr>
        <w:pStyle w:val="NoSpacing"/>
        <w:ind w:left="720"/>
        <w:jc w:val="both"/>
        <w:rPr>
          <w:rFonts w:ascii="Times New Roman" w:hAnsi="Times New Roman" w:cs="Times New Roman"/>
        </w:rPr>
      </w:pPr>
      <w:r>
        <w:rPr>
          <w:rFonts w:ascii="Times New Roman" w:hAnsi="Times New Roman" w:cs="Times New Roman"/>
          <w:noProof/>
          <w:lang w:val="en-US"/>
        </w:rPr>
        <w:drawing>
          <wp:inline distT="0" distB="0" distL="0" distR="0">
            <wp:extent cx="2245360" cy="1446530"/>
            <wp:effectExtent l="19050" t="0" r="254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l="3497"/>
                    <a:stretch>
                      <a:fillRect/>
                    </a:stretch>
                  </pic:blipFill>
                  <pic:spPr bwMode="auto">
                    <a:xfrm>
                      <a:off x="0" y="0"/>
                      <a:ext cx="2245360" cy="1446530"/>
                    </a:xfrm>
                    <a:prstGeom prst="rect">
                      <a:avLst/>
                    </a:prstGeom>
                    <a:noFill/>
                    <a:ln w="9525">
                      <a:noFill/>
                      <a:miter lim="800000"/>
                      <a:headEnd/>
                      <a:tailEnd/>
                    </a:ln>
                  </pic:spPr>
                </pic:pic>
              </a:graphicData>
            </a:graphic>
          </wp:inline>
        </w:drawing>
      </w:r>
      <w:r>
        <w:rPr>
          <w:rFonts w:ascii="Times New Roman" w:hAnsi="Times New Roman" w:cs="Times New Roman"/>
          <w:noProof/>
          <w:lang w:val="en-US"/>
        </w:rPr>
        <w:drawing>
          <wp:inline distT="0" distB="0" distL="0" distR="0">
            <wp:extent cx="2211070" cy="139192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l="1057"/>
                    <a:stretch>
                      <a:fillRect/>
                    </a:stretch>
                  </pic:blipFill>
                  <pic:spPr bwMode="auto">
                    <a:xfrm>
                      <a:off x="0" y="0"/>
                      <a:ext cx="2211070" cy="1391920"/>
                    </a:xfrm>
                    <a:prstGeom prst="rect">
                      <a:avLst/>
                    </a:prstGeom>
                    <a:noFill/>
                    <a:ln w="9525">
                      <a:noFill/>
                      <a:miter lim="800000"/>
                      <a:headEnd/>
                      <a:tailEnd/>
                    </a:ln>
                  </pic:spPr>
                </pic:pic>
              </a:graphicData>
            </a:graphic>
          </wp:inline>
        </w:drawing>
      </w:r>
    </w:p>
    <w:p w:rsidR="00C128EB" w:rsidRDefault="00C128EB" w:rsidP="00997399">
      <w:pPr>
        <w:pStyle w:val="NoSpacing"/>
        <w:ind w:left="720"/>
        <w:jc w:val="both"/>
        <w:rPr>
          <w:rFonts w:ascii="Times New Roman" w:hAnsi="Times New Roman" w:cs="Times New Roman"/>
        </w:rPr>
      </w:pPr>
    </w:p>
    <w:p w:rsidR="00C128EB" w:rsidRPr="00997399" w:rsidRDefault="00C128EB" w:rsidP="00997399">
      <w:pPr>
        <w:pStyle w:val="NoSpacing"/>
        <w:numPr>
          <w:ilvl w:val="0"/>
          <w:numId w:val="18"/>
        </w:numPr>
        <w:jc w:val="both"/>
        <w:rPr>
          <w:rFonts w:ascii="Times New Roman" w:hAnsi="Times New Roman" w:cs="Times New Roman"/>
          <w:lang w:val="en-US"/>
        </w:rPr>
      </w:pPr>
      <w:r w:rsidRPr="00997399">
        <w:rPr>
          <w:rFonts w:ascii="Times New Roman" w:hAnsi="Times New Roman" w:cs="Times New Roman"/>
          <w:lang w:val="en-US"/>
        </w:rPr>
        <w:t>Average tariff: between 0.05 USD and 0.07 USD</w:t>
      </w:r>
    </w:p>
    <w:p w:rsidR="00C128EB" w:rsidRPr="00997399" w:rsidRDefault="00C128EB" w:rsidP="00997399">
      <w:pPr>
        <w:pStyle w:val="NoSpacing"/>
        <w:jc w:val="both"/>
        <w:rPr>
          <w:rFonts w:ascii="Times New Roman" w:hAnsi="Times New Roman" w:cs="Times New Roman"/>
          <w:lang w:val="en-US"/>
        </w:rPr>
      </w:pPr>
    </w:p>
    <w:p w:rsidR="00C128EB" w:rsidRPr="00997399" w:rsidRDefault="00C128EB" w:rsidP="00997399">
      <w:pPr>
        <w:pStyle w:val="NoSpacing"/>
        <w:numPr>
          <w:ilvl w:val="0"/>
          <w:numId w:val="14"/>
        </w:numPr>
        <w:jc w:val="both"/>
        <w:rPr>
          <w:rFonts w:ascii="Times New Roman" w:hAnsi="Times New Roman" w:cs="Times New Roman"/>
          <w:u w:val="single"/>
          <w:lang w:val="en-US"/>
        </w:rPr>
      </w:pPr>
      <w:r w:rsidRPr="00997399">
        <w:rPr>
          <w:rFonts w:ascii="Times New Roman" w:hAnsi="Times New Roman" w:cs="Times New Roman"/>
          <w:u w:val="single"/>
          <w:lang w:val="en-US"/>
        </w:rPr>
        <w:t>Characterization of electricity distribution losses:</w:t>
      </w: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r w:rsidRPr="00997399">
        <w:rPr>
          <w:rFonts w:ascii="Times New Roman" w:hAnsi="Times New Roman" w:cs="Times New Roman"/>
          <w:lang w:val="en-US"/>
        </w:rPr>
        <w:t>Substation O, Substation N, Substation E and Substation D:</w:t>
      </w:r>
    </w:p>
    <w:p w:rsidR="00C128EB" w:rsidRDefault="00C128EB" w:rsidP="00997399">
      <w:pPr>
        <w:pStyle w:val="NoSpacing"/>
        <w:numPr>
          <w:ilvl w:val="1"/>
          <w:numId w:val="10"/>
        </w:numPr>
        <w:jc w:val="both"/>
        <w:rPr>
          <w:rFonts w:ascii="Times New Roman" w:hAnsi="Times New Roman" w:cs="Times New Roman"/>
        </w:rPr>
      </w:pPr>
      <w:r>
        <w:rPr>
          <w:rFonts w:ascii="Times New Roman" w:hAnsi="Times New Roman" w:cs="Times New Roman"/>
        </w:rPr>
        <w:t>8 % of technical losses</w:t>
      </w:r>
    </w:p>
    <w:p w:rsidR="00C128EB" w:rsidRDefault="00C128EB" w:rsidP="00997399">
      <w:pPr>
        <w:pStyle w:val="NoSpacing"/>
        <w:numPr>
          <w:ilvl w:val="1"/>
          <w:numId w:val="10"/>
        </w:numPr>
        <w:jc w:val="both"/>
        <w:rPr>
          <w:rFonts w:ascii="Times New Roman" w:hAnsi="Times New Roman" w:cs="Times New Roman"/>
        </w:rPr>
      </w:pPr>
      <w:r>
        <w:rPr>
          <w:rFonts w:ascii="Times New Roman" w:hAnsi="Times New Roman" w:cs="Times New Roman"/>
        </w:rPr>
        <w:t>&lt; 1 % of non-technical losses</w:t>
      </w:r>
    </w:p>
    <w:p w:rsidR="00C128EB" w:rsidRDefault="00C128EB" w:rsidP="00997399">
      <w:pPr>
        <w:pStyle w:val="NoSpacing"/>
        <w:jc w:val="both"/>
        <w:rPr>
          <w:rFonts w:ascii="Times New Roman" w:hAnsi="Times New Roman" w:cs="Times New Roman"/>
        </w:rPr>
      </w:pPr>
    </w:p>
    <w:p w:rsidR="00C128EB" w:rsidRPr="005962B1" w:rsidRDefault="00C128EB" w:rsidP="00997399">
      <w:pPr>
        <w:pStyle w:val="NoSpacing"/>
        <w:numPr>
          <w:ilvl w:val="0"/>
          <w:numId w:val="16"/>
        </w:numPr>
        <w:jc w:val="both"/>
        <w:rPr>
          <w:rFonts w:ascii="Times New Roman" w:hAnsi="Times New Roman" w:cs="Times New Roman"/>
          <w:u w:val="single"/>
        </w:rPr>
      </w:pPr>
      <w:r w:rsidRPr="005962B1">
        <w:rPr>
          <w:rFonts w:ascii="Times New Roman" w:hAnsi="Times New Roman" w:cs="Times New Roman"/>
          <w:u w:val="single"/>
        </w:rPr>
        <w:t>Project investment cost:</w:t>
      </w:r>
    </w:p>
    <w:p w:rsidR="00C128EB" w:rsidRDefault="00C128EB" w:rsidP="00997399">
      <w:pPr>
        <w:pStyle w:val="NoSpacing"/>
        <w:jc w:val="both"/>
        <w:rPr>
          <w:rFonts w:ascii="Times New Roman" w:hAnsi="Times New Roman" w:cs="Times New Roman"/>
        </w:rPr>
      </w:pPr>
    </w:p>
    <w:p w:rsidR="00C128EB" w:rsidRDefault="00C128EB" w:rsidP="00997399">
      <w:pPr>
        <w:pStyle w:val="NoSpacing"/>
        <w:ind w:left="720"/>
        <w:jc w:val="both"/>
        <w:rPr>
          <w:rFonts w:ascii="Times New Roman" w:hAnsi="Times New Roman" w:cs="Times New Roman"/>
          <w:lang w:val="en-US"/>
        </w:rPr>
      </w:pPr>
      <w:r w:rsidRPr="00997399">
        <w:rPr>
          <w:rFonts w:ascii="Times New Roman" w:hAnsi="Times New Roman" w:cs="Times New Roman"/>
          <w:lang w:val="en-US"/>
        </w:rPr>
        <w:t>Upgrade substation D (SSD):</w:t>
      </w:r>
      <w:r w:rsidRPr="00997399">
        <w:rPr>
          <w:rFonts w:ascii="Times New Roman" w:hAnsi="Times New Roman" w:cs="Times New Roman"/>
          <w:lang w:val="en-US"/>
        </w:rPr>
        <w:tab/>
      </w:r>
      <w:r w:rsidRPr="00997399">
        <w:rPr>
          <w:rFonts w:ascii="Times New Roman" w:hAnsi="Times New Roman" w:cs="Times New Roman"/>
          <w:lang w:val="en-US"/>
        </w:rPr>
        <w:tab/>
        <w:t>USD 2.260.000</w:t>
      </w:r>
    </w:p>
    <w:p w:rsidR="008E4464" w:rsidRPr="00997399" w:rsidRDefault="008E4464" w:rsidP="00997399">
      <w:pPr>
        <w:pStyle w:val="NoSpacing"/>
        <w:ind w:left="720"/>
        <w:jc w:val="both"/>
        <w:rPr>
          <w:rFonts w:ascii="Times New Roman" w:hAnsi="Times New Roman" w:cs="Times New Roman"/>
          <w:lang w:val="en-US"/>
        </w:rPr>
      </w:pPr>
    </w:p>
    <w:p w:rsidR="00C128EB" w:rsidRPr="00997399" w:rsidRDefault="00C128EB" w:rsidP="00997399">
      <w:pPr>
        <w:pStyle w:val="NoSpacing"/>
        <w:ind w:left="720"/>
        <w:jc w:val="both"/>
        <w:rPr>
          <w:rFonts w:ascii="Times New Roman" w:hAnsi="Times New Roman" w:cs="Times New Roman"/>
          <w:lang w:val="en-US"/>
        </w:rPr>
      </w:pPr>
    </w:p>
    <w:p w:rsidR="00C128EB" w:rsidRPr="00997399" w:rsidRDefault="00C128EB" w:rsidP="00997399">
      <w:pPr>
        <w:pStyle w:val="NoSpacing"/>
        <w:numPr>
          <w:ilvl w:val="0"/>
          <w:numId w:val="17"/>
        </w:numPr>
        <w:jc w:val="both"/>
        <w:rPr>
          <w:rFonts w:ascii="Times New Roman" w:hAnsi="Times New Roman" w:cs="Times New Roman"/>
          <w:u w:val="single"/>
          <w:lang w:val="en-US"/>
        </w:rPr>
      </w:pPr>
      <w:r w:rsidRPr="00997399">
        <w:rPr>
          <w:rFonts w:ascii="Times New Roman" w:hAnsi="Times New Roman" w:cs="Times New Roman"/>
          <w:u w:val="single"/>
          <w:lang w:val="en-US"/>
        </w:rPr>
        <w:t>Annual Operation &amp; Maintenance cost of substation D:</w:t>
      </w:r>
    </w:p>
    <w:p w:rsidR="00C128EB" w:rsidRPr="00997399" w:rsidRDefault="00C128EB" w:rsidP="00997399">
      <w:pPr>
        <w:pStyle w:val="NoSpacing"/>
        <w:ind w:left="720"/>
        <w:jc w:val="both"/>
        <w:rPr>
          <w:rFonts w:ascii="Times New Roman" w:hAnsi="Times New Roman" w:cs="Times New Roman"/>
          <w:lang w:val="en-US"/>
        </w:rPr>
      </w:pPr>
    </w:p>
    <w:p w:rsidR="00C128EB" w:rsidRDefault="00C128EB" w:rsidP="00997399">
      <w:pPr>
        <w:pStyle w:val="NoSpacing"/>
        <w:numPr>
          <w:ilvl w:val="0"/>
          <w:numId w:val="11"/>
        </w:numPr>
        <w:rPr>
          <w:rFonts w:ascii="Times New Roman" w:hAnsi="Times New Roman" w:cs="Times New Roman"/>
          <w:i/>
          <w:iCs/>
        </w:rPr>
      </w:pPr>
      <w:r w:rsidRPr="001E6B61">
        <w:rPr>
          <w:rFonts w:ascii="Times New Roman" w:hAnsi="Times New Roman" w:cs="Times New Roman"/>
          <w:i/>
          <w:iCs/>
        </w:rPr>
        <w:t>Without the upgrade project:</w:t>
      </w:r>
    </w:p>
    <w:p w:rsidR="00C128EB" w:rsidRDefault="00C128EB" w:rsidP="00997399">
      <w:pPr>
        <w:pStyle w:val="NoSpacing"/>
        <w:ind w:left="1080"/>
        <w:rPr>
          <w:rFonts w:ascii="Times New Roman" w:hAnsi="Times New Roman" w:cs="Times New Roman"/>
        </w:rPr>
      </w:pPr>
      <w:r>
        <w:rPr>
          <w:rFonts w:ascii="Times New Roman" w:hAnsi="Times New Roman" w:cs="Times New Roman"/>
        </w:rPr>
        <w:t>Personnel: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832 man hours/ year</w:t>
      </w:r>
    </w:p>
    <w:p w:rsidR="00C128EB" w:rsidRDefault="00C128EB" w:rsidP="00997399">
      <w:pPr>
        <w:pStyle w:val="NoSpacing"/>
        <w:ind w:left="1080"/>
        <w:rPr>
          <w:rFonts w:ascii="Times New Roman" w:hAnsi="Times New Roman" w:cs="Times New Roman"/>
        </w:rPr>
      </w:pPr>
      <w:r>
        <w:rPr>
          <w:rFonts w:ascii="Times New Roman" w:hAnsi="Times New Roman" w:cs="Times New Roman"/>
        </w:rPr>
        <w:t>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208 hours/ year</w:t>
      </w:r>
    </w:p>
    <w:p w:rsidR="00C128EB" w:rsidRDefault="00C128EB" w:rsidP="00997399">
      <w:pPr>
        <w:pStyle w:val="NoSpacing"/>
        <w:ind w:left="1080"/>
        <w:rPr>
          <w:rFonts w:ascii="Times New Roman" w:hAnsi="Times New Roman" w:cs="Times New Roman"/>
        </w:rPr>
      </w:pPr>
    </w:p>
    <w:p w:rsidR="00C128EB" w:rsidRPr="002642DB" w:rsidRDefault="00C128EB" w:rsidP="00997399">
      <w:pPr>
        <w:pStyle w:val="NoSpacing"/>
        <w:ind w:left="1080"/>
        <w:rPr>
          <w:rFonts w:ascii="Times New Roman" w:hAnsi="Times New Roman" w:cs="Times New Roman"/>
        </w:rPr>
      </w:pPr>
      <w:r>
        <w:rPr>
          <w:rFonts w:ascii="Times New Roman" w:hAnsi="Times New Roman" w:cs="Times New Roman"/>
        </w:rPr>
        <w:t>Maintenance: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720 man hours/ year</w:t>
      </w:r>
    </w:p>
    <w:p w:rsidR="00C128EB" w:rsidRDefault="00C128EB" w:rsidP="00997399">
      <w:pPr>
        <w:pStyle w:val="NoSpacing"/>
        <w:jc w:val="both"/>
        <w:rPr>
          <w:rFonts w:ascii="Times New Roman" w:hAnsi="Times New Roman" w:cs="Times New Roman"/>
        </w:rPr>
      </w:pPr>
    </w:p>
    <w:p w:rsidR="00C128EB" w:rsidRDefault="00C128EB" w:rsidP="00997399">
      <w:pPr>
        <w:pStyle w:val="NoSpacing"/>
        <w:numPr>
          <w:ilvl w:val="0"/>
          <w:numId w:val="11"/>
        </w:numPr>
        <w:rPr>
          <w:rFonts w:ascii="Times New Roman" w:hAnsi="Times New Roman" w:cs="Times New Roman"/>
          <w:i/>
          <w:iCs/>
        </w:rPr>
      </w:pPr>
      <w:r w:rsidRPr="001E6B61">
        <w:rPr>
          <w:rFonts w:ascii="Times New Roman" w:hAnsi="Times New Roman" w:cs="Times New Roman"/>
          <w:i/>
          <w:iCs/>
        </w:rPr>
        <w:t>With</w:t>
      </w:r>
      <w:r>
        <w:rPr>
          <w:rFonts w:ascii="Times New Roman" w:hAnsi="Times New Roman" w:cs="Times New Roman"/>
          <w:i/>
          <w:iCs/>
        </w:rPr>
        <w:t xml:space="preserve"> </w:t>
      </w:r>
      <w:r w:rsidRPr="001E6B61">
        <w:rPr>
          <w:rFonts w:ascii="Times New Roman" w:hAnsi="Times New Roman" w:cs="Times New Roman"/>
          <w:i/>
          <w:iCs/>
        </w:rPr>
        <w:t>the upgrade project:</w:t>
      </w:r>
    </w:p>
    <w:p w:rsidR="00C128EB" w:rsidRDefault="00C128EB" w:rsidP="00997399">
      <w:pPr>
        <w:pStyle w:val="NoSpacing"/>
        <w:ind w:left="1080"/>
        <w:rPr>
          <w:rFonts w:ascii="Times New Roman" w:hAnsi="Times New Roman" w:cs="Times New Roman"/>
        </w:rPr>
      </w:pPr>
      <w:r>
        <w:rPr>
          <w:rFonts w:ascii="Times New Roman" w:hAnsi="Times New Roman" w:cs="Times New Roman"/>
        </w:rPr>
        <w:t>Personnel: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832 man hours/ year</w:t>
      </w:r>
    </w:p>
    <w:p w:rsidR="00C128EB" w:rsidRDefault="00C128EB" w:rsidP="00997399">
      <w:pPr>
        <w:pStyle w:val="NoSpacing"/>
        <w:ind w:left="1080"/>
        <w:rPr>
          <w:rFonts w:ascii="Times New Roman" w:hAnsi="Times New Roman" w:cs="Times New Roman"/>
        </w:rPr>
      </w:pPr>
      <w:r>
        <w:rPr>
          <w:rFonts w:ascii="Times New Roman" w:hAnsi="Times New Roman" w:cs="Times New Roman"/>
        </w:rPr>
        <w:t>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208 hours/ year</w:t>
      </w:r>
    </w:p>
    <w:p w:rsidR="00C128EB" w:rsidRDefault="00C128EB" w:rsidP="00997399">
      <w:pPr>
        <w:pStyle w:val="NoSpacing"/>
        <w:jc w:val="both"/>
        <w:rPr>
          <w:rFonts w:ascii="Times New Roman" w:hAnsi="Times New Roman" w:cs="Times New Roman"/>
        </w:rPr>
      </w:pPr>
    </w:p>
    <w:p w:rsidR="00C128EB" w:rsidRDefault="00C128EB" w:rsidP="00997399">
      <w:pPr>
        <w:pStyle w:val="NoSpacing"/>
        <w:jc w:val="both"/>
        <w:rPr>
          <w:rFonts w:ascii="Times New Roman" w:hAnsi="Times New Roman" w:cs="Times New Roman"/>
        </w:rPr>
      </w:pPr>
    </w:p>
    <w:p w:rsidR="00C128EB" w:rsidRDefault="00C128EB" w:rsidP="00D9585F">
      <w:pPr>
        <w:jc w:val="center"/>
      </w:pPr>
    </w:p>
    <w:p w:rsidR="00590C0B" w:rsidRPr="00EC138D" w:rsidRDefault="00C128EB" w:rsidP="00590C0B">
      <w:pPr>
        <w:jc w:val="center"/>
        <w:rPr>
          <w:rFonts w:ascii="Times New Roman" w:hAnsi="Times New Roman" w:cs="Times New Roman"/>
          <w:b/>
          <w:lang w:val="en-US"/>
        </w:rPr>
      </w:pPr>
      <w:r>
        <w:br w:type="page"/>
      </w:r>
      <w:r w:rsidR="00590C0B" w:rsidRPr="00EC138D">
        <w:rPr>
          <w:rFonts w:ascii="Times New Roman" w:hAnsi="Times New Roman" w:cs="Times New Roman"/>
          <w:b/>
          <w:lang w:val="en-US"/>
        </w:rPr>
        <w:lastRenderedPageBreak/>
        <w:t xml:space="preserve">ANNEX </w:t>
      </w:r>
      <w:r w:rsidR="00590C0B">
        <w:rPr>
          <w:rFonts w:ascii="Times New Roman" w:hAnsi="Times New Roman" w:cs="Times New Roman"/>
          <w:b/>
          <w:lang w:val="en-US"/>
        </w:rPr>
        <w:t>5</w:t>
      </w:r>
    </w:p>
    <w:p w:rsidR="00590C0B" w:rsidRPr="00EC138D" w:rsidRDefault="00590C0B" w:rsidP="00590C0B">
      <w:pPr>
        <w:jc w:val="center"/>
        <w:rPr>
          <w:rFonts w:ascii="Times New Roman" w:hAnsi="Times New Roman" w:cs="Times New Roman"/>
          <w:b/>
          <w:lang w:val="en-US"/>
        </w:rPr>
      </w:pPr>
      <w:r w:rsidRPr="00EC138D">
        <w:rPr>
          <w:rFonts w:ascii="Times New Roman" w:hAnsi="Times New Roman" w:cs="Times New Roman"/>
          <w:b/>
          <w:lang w:val="en-US"/>
        </w:rPr>
        <w:t>ESTIMATION OF THE "COST EFFECTIVE TARIFF" IN EPAR SYSTEM</w:t>
      </w:r>
    </w:p>
    <w:p w:rsidR="00590C0B" w:rsidRDefault="00590C0B" w:rsidP="00590C0B">
      <w:pPr>
        <w:pStyle w:val="BodyTextIndent"/>
        <w:ind w:left="0" w:right="-331"/>
        <w:jc w:val="both"/>
        <w:rPr>
          <w:rFonts w:ascii="Times New Roman" w:hAnsi="Times New Roman" w:cs="Times New Roman"/>
        </w:rPr>
      </w:pPr>
    </w:p>
    <w:p w:rsidR="00590C0B" w:rsidRPr="00A1234B" w:rsidRDefault="00590C0B" w:rsidP="00590C0B">
      <w:pPr>
        <w:pStyle w:val="BodyTextIndent"/>
        <w:ind w:left="0" w:right="-331"/>
        <w:jc w:val="both"/>
        <w:rPr>
          <w:rFonts w:ascii="Times New Roman" w:hAnsi="Times New Roman" w:cs="Times New Roman"/>
        </w:rPr>
      </w:pPr>
      <w:r>
        <w:rPr>
          <w:rFonts w:ascii="Times New Roman" w:hAnsi="Times New Roman" w:cs="Times New Roman"/>
        </w:rPr>
        <w:t>A "Cost Effective Tariff" for final users in EPAR system was estimated</w:t>
      </w:r>
      <w:r w:rsidRPr="00A1234B">
        <w:rPr>
          <w:rFonts w:ascii="Times New Roman" w:hAnsi="Times New Roman" w:cs="Times New Roman"/>
        </w:rPr>
        <w:t xml:space="preserve"> </w:t>
      </w:r>
      <w:r>
        <w:rPr>
          <w:rFonts w:ascii="Times New Roman" w:hAnsi="Times New Roman" w:cs="Times New Roman"/>
        </w:rPr>
        <w:t xml:space="preserve">considering an average of 36% of hydroelectric energy supply (at USD 70/MWh representative of expected purchase prices) and the remaining 64%  with the unitary generation cost of Diesel motors with heat recovery using Heavy Fuel Oil, </w:t>
      </w:r>
      <w:r w:rsidRPr="00A1234B">
        <w:rPr>
          <w:rFonts w:ascii="Times New Roman" w:hAnsi="Times New Roman" w:cs="Times New Roman"/>
        </w:rPr>
        <w:t>on the basis of the following components:</w:t>
      </w:r>
    </w:p>
    <w:p w:rsidR="00590C0B" w:rsidRDefault="00590C0B" w:rsidP="00590C0B">
      <w:pPr>
        <w:pStyle w:val="BodyTextIndent"/>
        <w:tabs>
          <w:tab w:val="num" w:pos="1590"/>
          <w:tab w:val="num" w:pos="1875"/>
        </w:tabs>
        <w:spacing w:after="0" w:line="240" w:lineRule="auto"/>
        <w:ind w:left="0" w:right="-331"/>
        <w:jc w:val="both"/>
        <w:rPr>
          <w:rFonts w:ascii="Times New Roman" w:hAnsi="Times New Roman" w:cs="Times New Roman"/>
        </w:rPr>
      </w:pPr>
      <w:r>
        <w:rPr>
          <w:rFonts w:ascii="Times New Roman" w:hAnsi="Times New Roman" w:cs="Times New Roman"/>
        </w:rPr>
        <w:t xml:space="preserve">A.     Fixed Tariff, consisting of: i) </w:t>
      </w:r>
      <w:r w:rsidRPr="00A1234B">
        <w:rPr>
          <w:rFonts w:ascii="Times New Roman" w:hAnsi="Times New Roman" w:cs="Times New Roman"/>
        </w:rPr>
        <w:t>Fixed Operations &amp; Maintenance cost:</w:t>
      </w:r>
      <w:r>
        <w:rPr>
          <w:rFonts w:ascii="Times New Roman" w:hAnsi="Times New Roman" w:cs="Times New Roman"/>
        </w:rPr>
        <w:t xml:space="preserve"> USD 26.3/kW/year, and ii) </w:t>
      </w:r>
      <w:r w:rsidRPr="00A1234B">
        <w:rPr>
          <w:rFonts w:ascii="Times New Roman" w:hAnsi="Times New Roman" w:cs="Times New Roman"/>
        </w:rPr>
        <w:t>Investment cost: USD</w:t>
      </w:r>
      <w:r>
        <w:rPr>
          <w:rFonts w:ascii="Times New Roman" w:hAnsi="Times New Roman" w:cs="Times New Roman"/>
        </w:rPr>
        <w:t xml:space="preserve"> 1,200/kW</w:t>
      </w:r>
    </w:p>
    <w:p w:rsidR="00590C0B" w:rsidRPr="00A1234B" w:rsidRDefault="00590C0B" w:rsidP="00590C0B">
      <w:pPr>
        <w:pStyle w:val="BodyTextIndent"/>
        <w:tabs>
          <w:tab w:val="num" w:pos="1590"/>
          <w:tab w:val="num" w:pos="1875"/>
        </w:tabs>
        <w:spacing w:after="0" w:line="240" w:lineRule="auto"/>
        <w:ind w:left="0" w:right="-331"/>
        <w:jc w:val="both"/>
        <w:rPr>
          <w:rFonts w:ascii="Times New Roman" w:hAnsi="Times New Roman" w:cs="Times New Roman"/>
        </w:rPr>
      </w:pPr>
      <w:r>
        <w:rPr>
          <w:rFonts w:ascii="Times New Roman" w:hAnsi="Times New Roman" w:cs="Times New Roman"/>
        </w:rPr>
        <w:t>B</w:t>
      </w:r>
      <w:r w:rsidRPr="00A1234B">
        <w:rPr>
          <w:rFonts w:ascii="Times New Roman" w:hAnsi="Times New Roman" w:cs="Times New Roman"/>
        </w:rPr>
        <w:t>.    Variable Tariff, consisting of</w:t>
      </w:r>
      <w:r>
        <w:rPr>
          <w:rFonts w:ascii="Times New Roman" w:hAnsi="Times New Roman" w:cs="Times New Roman"/>
        </w:rPr>
        <w:t xml:space="preserve">: i) </w:t>
      </w:r>
      <w:r w:rsidRPr="00A1234B">
        <w:rPr>
          <w:rFonts w:ascii="Times New Roman" w:hAnsi="Times New Roman" w:cs="Times New Roman"/>
        </w:rPr>
        <w:t>Variable Operations &amp; Maintenance cost : USD 0.009/kW</w:t>
      </w:r>
      <w:r>
        <w:rPr>
          <w:rFonts w:ascii="Times New Roman" w:hAnsi="Times New Roman" w:cs="Times New Roman"/>
        </w:rPr>
        <w:t xml:space="preserve">h, ii) </w:t>
      </w:r>
      <w:r w:rsidRPr="00A1234B">
        <w:rPr>
          <w:rFonts w:ascii="Times New Roman" w:hAnsi="Times New Roman" w:cs="Times New Roman"/>
        </w:rPr>
        <w:t xml:space="preserve">Fuel </w:t>
      </w:r>
      <w:r>
        <w:rPr>
          <w:rFonts w:ascii="Times New Roman" w:hAnsi="Times New Roman" w:cs="Times New Roman"/>
        </w:rPr>
        <w:t xml:space="preserve">cost (HFO): 14.5 US$/MBTU, iii) Heat Rate of 7.195 BTU/KWH </w:t>
      </w:r>
      <w:r w:rsidRPr="00A1234B">
        <w:rPr>
          <w:rFonts w:ascii="Times New Roman" w:hAnsi="Times New Roman" w:cs="Times New Roman"/>
        </w:rPr>
        <w:t xml:space="preserve">; </w:t>
      </w:r>
      <w:r>
        <w:rPr>
          <w:rFonts w:ascii="Times New Roman" w:hAnsi="Times New Roman" w:cs="Times New Roman"/>
        </w:rPr>
        <w:t>iv) L</w:t>
      </w:r>
      <w:r w:rsidRPr="00A1234B">
        <w:rPr>
          <w:rFonts w:ascii="Times New Roman" w:hAnsi="Times New Roman" w:cs="Times New Roman"/>
        </w:rPr>
        <w:t>ubricants cost:</w:t>
      </w:r>
      <w:r>
        <w:rPr>
          <w:rFonts w:ascii="Times New Roman" w:hAnsi="Times New Roman" w:cs="Times New Roman"/>
        </w:rPr>
        <w:t>2.35/MWh</w:t>
      </w:r>
      <w:r w:rsidRPr="00A1234B">
        <w:rPr>
          <w:rFonts w:ascii="Times New Roman" w:hAnsi="Times New Roman" w:cs="Times New Roman"/>
        </w:rPr>
        <w:t xml:space="preserve"> </w:t>
      </w:r>
      <w:r>
        <w:rPr>
          <w:rFonts w:ascii="Times New Roman" w:hAnsi="Times New Roman" w:cs="Times New Roman"/>
        </w:rPr>
        <w:t>v) Variable Costs of US$ 9/MWH</w:t>
      </w:r>
      <w:r w:rsidRPr="00A1234B">
        <w:rPr>
          <w:rFonts w:ascii="Times New Roman" w:hAnsi="Times New Roman" w:cs="Times New Roman"/>
        </w:rPr>
        <w:t>.</w:t>
      </w:r>
    </w:p>
    <w:p w:rsidR="00590C0B" w:rsidRPr="00EC138D" w:rsidRDefault="00590C0B" w:rsidP="00590C0B">
      <w:pPr>
        <w:pStyle w:val="NoSpacing"/>
        <w:rPr>
          <w:lang w:val="en-US"/>
        </w:rPr>
      </w:pPr>
    </w:p>
    <w:p w:rsidR="00590C0B" w:rsidRPr="00EC138D" w:rsidRDefault="00590C0B" w:rsidP="00590C0B">
      <w:pPr>
        <w:jc w:val="both"/>
        <w:rPr>
          <w:rFonts w:ascii="Times New Roman" w:hAnsi="Times New Roman" w:cs="Times New Roman"/>
          <w:lang w:val="en-US"/>
        </w:rPr>
      </w:pPr>
      <w:r w:rsidRPr="00EC138D">
        <w:rPr>
          <w:rFonts w:ascii="Times New Roman" w:hAnsi="Times New Roman" w:cs="Times New Roman"/>
          <w:lang w:val="en-US"/>
        </w:rPr>
        <w:t xml:space="preserve">The generation cost was estimated in USD 141/MWh for EPAR system and the </w:t>
      </w:r>
      <w:r>
        <w:rPr>
          <w:rFonts w:ascii="Times New Roman" w:hAnsi="Times New Roman" w:cs="Times New Roman"/>
          <w:lang w:val="en-US"/>
        </w:rPr>
        <w:t>cost effective tariff in US$ 162</w:t>
      </w:r>
      <w:r w:rsidRPr="00EC138D">
        <w:rPr>
          <w:rFonts w:ascii="Times New Roman" w:hAnsi="Times New Roman" w:cs="Times New Roman"/>
          <w:lang w:val="en-US"/>
        </w:rPr>
        <w:t>/MWH, including a transmission and distribution tariff of USD 40/MWH based on the experience in other similar systems, as follows:</w:t>
      </w:r>
    </w:p>
    <w:p w:rsidR="00590C0B" w:rsidRDefault="00590C0B" w:rsidP="00590C0B">
      <w:pPr>
        <w:jc w:val="center"/>
        <w:rPr>
          <w:rFonts w:ascii="Times New Roman" w:hAnsi="Times New Roman" w:cs="Times New Roman"/>
        </w:rPr>
      </w:pPr>
      <w:r>
        <w:rPr>
          <w:rFonts w:ascii="Times New Roman" w:hAnsi="Times New Roman" w:cs="Times New Roman"/>
        </w:rPr>
        <w:t>COST EFFECTIVE TARIFF IN SURINAME</w:t>
      </w:r>
    </w:p>
    <w:p w:rsidR="00590C0B" w:rsidRDefault="00E16BEC" w:rsidP="00590C0B">
      <w:pPr>
        <w:jc w:val="center"/>
        <w:rPr>
          <w:rFonts w:ascii="Times New Roman" w:hAnsi="Times New Roman" w:cs="Times New Roman"/>
        </w:rPr>
      </w:pPr>
      <w:r>
        <w:rPr>
          <w:noProof/>
          <w:lang w:val="en-US"/>
        </w:rPr>
        <w:drawing>
          <wp:inline distT="0" distB="0" distL="0" distR="0">
            <wp:extent cx="4012565" cy="3439160"/>
            <wp:effectExtent l="19050" t="0" r="0" b="0"/>
            <wp:docPr id="3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5"/>
                    <a:srcRect/>
                    <a:stretch>
                      <a:fillRect/>
                    </a:stretch>
                  </pic:blipFill>
                  <pic:spPr bwMode="auto">
                    <a:xfrm>
                      <a:off x="0" y="0"/>
                      <a:ext cx="4012565" cy="3439160"/>
                    </a:xfrm>
                    <a:prstGeom prst="rect">
                      <a:avLst/>
                    </a:prstGeom>
                    <a:noFill/>
                    <a:ln w="9525">
                      <a:noFill/>
                      <a:miter lim="800000"/>
                      <a:headEnd/>
                      <a:tailEnd/>
                    </a:ln>
                  </pic:spPr>
                </pic:pic>
              </a:graphicData>
            </a:graphic>
          </wp:inline>
        </w:drawing>
      </w:r>
    </w:p>
    <w:p w:rsidR="00590C0B" w:rsidRDefault="00590C0B" w:rsidP="00590C0B"/>
    <w:p w:rsidR="00590C0B" w:rsidRDefault="00590C0B" w:rsidP="00590C0B">
      <w:pPr>
        <w:spacing w:after="0" w:line="240" w:lineRule="auto"/>
      </w:pPr>
      <w:r>
        <w:rPr>
          <w:rFonts w:ascii="Times New Roman" w:hAnsi="Times New Roman" w:cs="Times New Roman"/>
          <w:b/>
          <w:bCs/>
          <w:lang w:val="en-US"/>
        </w:rPr>
        <w:br w:type="page"/>
      </w:r>
    </w:p>
    <w:p w:rsidR="00C128EB" w:rsidRPr="00590C0B" w:rsidRDefault="008827A1" w:rsidP="00EC138D">
      <w:pPr>
        <w:jc w:val="center"/>
        <w:rPr>
          <w:rFonts w:ascii="Times New Roman" w:hAnsi="Times New Roman" w:cs="Times New Roman"/>
          <w:b/>
          <w:bCs/>
          <w:lang w:val="en-US"/>
        </w:rPr>
      </w:pPr>
      <w:r w:rsidRPr="008827A1">
        <w:rPr>
          <w:rFonts w:ascii="Times New Roman" w:hAnsi="Times New Roman" w:cs="Times New Roman"/>
          <w:b/>
          <w:bCs/>
          <w:lang w:val="en-US"/>
        </w:rPr>
        <w:lastRenderedPageBreak/>
        <w:t>ANNEX 6</w:t>
      </w:r>
    </w:p>
    <w:p w:rsidR="00C128EB" w:rsidRPr="00590C0B" w:rsidRDefault="008827A1" w:rsidP="00324C65">
      <w:pPr>
        <w:jc w:val="center"/>
        <w:rPr>
          <w:rFonts w:ascii="Times New Roman" w:hAnsi="Times New Roman" w:cs="Times New Roman"/>
          <w:b/>
          <w:bCs/>
          <w:lang w:val="en-US"/>
        </w:rPr>
      </w:pPr>
      <w:r w:rsidRPr="008827A1">
        <w:rPr>
          <w:rFonts w:ascii="Times New Roman" w:hAnsi="Times New Roman" w:cs="Times New Roman"/>
          <w:b/>
          <w:bCs/>
          <w:lang w:val="en-US"/>
        </w:rPr>
        <w:t>EPAR: POWER DEMAND IN 2011</w:t>
      </w:r>
    </w:p>
    <w:p w:rsidR="00C128EB" w:rsidRDefault="00EC138D" w:rsidP="00324C65">
      <w:pPr>
        <w:jc w:val="center"/>
      </w:pPr>
      <w:r>
        <w:rPr>
          <w:noProof/>
          <w:lang w:val="en-US"/>
        </w:rPr>
        <w:drawing>
          <wp:inline distT="0" distB="0" distL="0" distR="0">
            <wp:extent cx="5506720" cy="1726565"/>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srcRect/>
                    <a:stretch>
                      <a:fillRect/>
                    </a:stretch>
                  </pic:blipFill>
                  <pic:spPr bwMode="auto">
                    <a:xfrm>
                      <a:off x="0" y="0"/>
                      <a:ext cx="5506720" cy="1726565"/>
                    </a:xfrm>
                    <a:prstGeom prst="rect">
                      <a:avLst/>
                    </a:prstGeom>
                    <a:noFill/>
                    <a:ln w="9525">
                      <a:noFill/>
                      <a:miter lim="800000"/>
                      <a:headEnd/>
                      <a:tailEnd/>
                    </a:ln>
                  </pic:spPr>
                </pic:pic>
              </a:graphicData>
            </a:graphic>
          </wp:inline>
        </w:drawing>
      </w:r>
    </w:p>
    <w:p w:rsidR="00C128EB" w:rsidRPr="00E81B4C" w:rsidRDefault="00C128EB" w:rsidP="00324C65">
      <w:pPr>
        <w:jc w:val="center"/>
        <w:rPr>
          <w:rFonts w:ascii="Times New Roman" w:hAnsi="Times New Roman" w:cs="Times New Roman"/>
          <w:b/>
          <w:bCs/>
          <w:lang w:val="en-US"/>
        </w:rPr>
      </w:pPr>
      <w:r w:rsidRPr="00E81B4C">
        <w:rPr>
          <w:rFonts w:ascii="Times New Roman" w:hAnsi="Times New Roman" w:cs="Times New Roman"/>
          <w:b/>
          <w:bCs/>
          <w:lang w:val="en-US"/>
        </w:rPr>
        <w:t>EPAR: PEAK DEMAND FORECASTS BY SUBSTATION</w:t>
      </w:r>
    </w:p>
    <w:p w:rsidR="00C128EB" w:rsidRDefault="00EC138D" w:rsidP="00546ABB">
      <w:pPr>
        <w:jc w:val="center"/>
        <w:rPr>
          <w:rFonts w:ascii="Arial" w:hAnsi="Arial" w:cs="Arial"/>
          <w:lang w:val="en-US"/>
        </w:rPr>
      </w:pPr>
      <w:r>
        <w:rPr>
          <w:noProof/>
          <w:lang w:val="en-US"/>
        </w:rPr>
        <w:drawing>
          <wp:inline distT="0" distB="0" distL="0" distR="0">
            <wp:extent cx="3712210" cy="4674235"/>
            <wp:effectExtent l="19050" t="0" r="254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srcRect/>
                    <a:stretch>
                      <a:fillRect/>
                    </a:stretch>
                  </pic:blipFill>
                  <pic:spPr bwMode="auto">
                    <a:xfrm>
                      <a:off x="0" y="0"/>
                      <a:ext cx="3712210" cy="4674235"/>
                    </a:xfrm>
                    <a:prstGeom prst="rect">
                      <a:avLst/>
                    </a:prstGeom>
                    <a:noFill/>
                    <a:ln w="9525">
                      <a:noFill/>
                      <a:miter lim="800000"/>
                      <a:headEnd/>
                      <a:tailEnd/>
                    </a:ln>
                  </pic:spPr>
                </pic:pic>
              </a:graphicData>
            </a:graphic>
          </wp:inline>
        </w:drawing>
      </w:r>
    </w:p>
    <w:p w:rsidR="00C128EB" w:rsidRDefault="00C128EB">
      <w:pPr>
        <w:rPr>
          <w:rFonts w:ascii="Arial" w:hAnsi="Arial" w:cs="Arial"/>
          <w:lang w:val="en-US"/>
        </w:rPr>
      </w:pPr>
      <w:r>
        <w:rPr>
          <w:rFonts w:ascii="Arial" w:hAnsi="Arial" w:cs="Arial"/>
          <w:lang w:val="en-US"/>
        </w:rPr>
        <w:br w:type="page"/>
      </w:r>
    </w:p>
    <w:p w:rsidR="00C128EB" w:rsidRPr="001318BF" w:rsidRDefault="00C128EB" w:rsidP="00546ABB">
      <w:pPr>
        <w:jc w:val="center"/>
        <w:rPr>
          <w:rFonts w:ascii="Times New Roman" w:hAnsi="Times New Roman" w:cs="Times New Roman"/>
          <w:b/>
          <w:bCs/>
          <w:lang w:val="en-US"/>
        </w:rPr>
      </w:pPr>
      <w:r w:rsidRPr="001318BF">
        <w:rPr>
          <w:rFonts w:ascii="Times New Roman" w:hAnsi="Times New Roman" w:cs="Times New Roman"/>
          <w:b/>
          <w:bCs/>
          <w:lang w:val="en-US"/>
        </w:rPr>
        <w:lastRenderedPageBreak/>
        <w:t xml:space="preserve">ANNEX </w:t>
      </w:r>
      <w:r w:rsidR="00EC138D">
        <w:rPr>
          <w:rFonts w:ascii="Times New Roman" w:hAnsi="Times New Roman" w:cs="Times New Roman"/>
          <w:b/>
          <w:bCs/>
          <w:lang w:val="en-US"/>
        </w:rPr>
        <w:t>7</w:t>
      </w:r>
    </w:p>
    <w:p w:rsidR="00C128EB" w:rsidRDefault="00C128EB" w:rsidP="00546ABB">
      <w:pPr>
        <w:jc w:val="center"/>
        <w:rPr>
          <w:rFonts w:ascii="Times New Roman" w:hAnsi="Times New Roman" w:cs="Times New Roman"/>
          <w:b/>
          <w:bCs/>
          <w:lang w:val="en-US"/>
        </w:rPr>
      </w:pPr>
      <w:r w:rsidRPr="001318BF">
        <w:rPr>
          <w:rFonts w:ascii="Times New Roman" w:hAnsi="Times New Roman" w:cs="Times New Roman"/>
          <w:b/>
          <w:bCs/>
          <w:lang w:val="en-US"/>
        </w:rPr>
        <w:t>ECONOMIC BENEFITS</w:t>
      </w:r>
    </w:p>
    <w:p w:rsidR="00C128EB" w:rsidRPr="001318BF" w:rsidRDefault="00C128EB" w:rsidP="00546ABB">
      <w:pPr>
        <w:jc w:val="center"/>
        <w:rPr>
          <w:rFonts w:ascii="Times New Roman" w:hAnsi="Times New Roman" w:cs="Times New Roman"/>
          <w:b/>
          <w:bCs/>
          <w:lang w:val="en-US"/>
        </w:rPr>
      </w:pPr>
    </w:p>
    <w:p w:rsidR="00C128EB" w:rsidRPr="00F3763D" w:rsidRDefault="00C128EB" w:rsidP="001318BF">
      <w:pPr>
        <w:pStyle w:val="NoSpacing"/>
        <w:jc w:val="both"/>
        <w:rPr>
          <w:rFonts w:ascii="Times New Roman" w:hAnsi="Times New Roman" w:cs="Times New Roman"/>
          <w:lang w:val="en-US"/>
        </w:rPr>
      </w:pPr>
      <w:r w:rsidRPr="00F3763D">
        <w:rPr>
          <w:rFonts w:ascii="Times New Roman" w:hAnsi="Times New Roman" w:cs="Times New Roman"/>
          <w:lang w:val="en-US"/>
        </w:rPr>
        <w:t xml:space="preserve">Next table summarizes </w:t>
      </w:r>
      <w:r>
        <w:rPr>
          <w:rFonts w:ascii="Times New Roman" w:hAnsi="Times New Roman" w:cs="Times New Roman"/>
          <w:lang w:val="en-US"/>
        </w:rPr>
        <w:t>interrupted energy</w:t>
      </w:r>
      <w:r w:rsidRPr="00F3763D">
        <w:rPr>
          <w:rFonts w:ascii="Times New Roman" w:hAnsi="Times New Roman" w:cs="Times New Roman"/>
          <w:lang w:val="en-US"/>
        </w:rPr>
        <w:t xml:space="preserve"> benefits estimated</w:t>
      </w:r>
      <w:r>
        <w:rPr>
          <w:rFonts w:ascii="Times New Roman" w:hAnsi="Times New Roman" w:cs="Times New Roman"/>
          <w:lang w:val="en-US"/>
        </w:rPr>
        <w:t xml:space="preserve"> for</w:t>
      </w:r>
      <w:r w:rsidRPr="00F3763D">
        <w:rPr>
          <w:rFonts w:ascii="Times New Roman" w:hAnsi="Times New Roman" w:cs="Times New Roman"/>
          <w:lang w:val="en-US"/>
        </w:rPr>
        <w:t xml:space="preserve"> </w:t>
      </w:r>
      <w:r>
        <w:rPr>
          <w:rFonts w:ascii="Times New Roman" w:hAnsi="Times New Roman" w:cs="Times New Roman"/>
          <w:lang w:val="en-US"/>
        </w:rPr>
        <w:t xml:space="preserve">the SCADA extension project </w:t>
      </w:r>
      <w:r w:rsidRPr="00F3763D">
        <w:rPr>
          <w:rFonts w:ascii="Times New Roman" w:hAnsi="Times New Roman" w:cs="Times New Roman"/>
          <w:lang w:val="en-US"/>
        </w:rPr>
        <w:t xml:space="preserve">during its </w:t>
      </w:r>
      <w:r>
        <w:rPr>
          <w:rFonts w:ascii="Times New Roman" w:hAnsi="Times New Roman" w:cs="Times New Roman"/>
          <w:lang w:val="en-US"/>
        </w:rPr>
        <w:t>15 years of estimated useful</w:t>
      </w:r>
      <w:r w:rsidRPr="00F3763D">
        <w:rPr>
          <w:rFonts w:ascii="Times New Roman" w:hAnsi="Times New Roman" w:cs="Times New Roman"/>
          <w:lang w:val="en-US"/>
        </w:rPr>
        <w:t xml:space="preserve"> life.</w:t>
      </w:r>
    </w:p>
    <w:p w:rsidR="00C128EB" w:rsidRDefault="00C128EB" w:rsidP="001318BF">
      <w:pPr>
        <w:pStyle w:val="NoSpacing"/>
        <w:jc w:val="both"/>
        <w:rPr>
          <w:rFonts w:ascii="Arial" w:hAnsi="Arial" w:cs="Arial"/>
          <w:b/>
          <w:bCs/>
          <w:lang w:val="en-US"/>
        </w:rPr>
      </w:pPr>
    </w:p>
    <w:p w:rsidR="00C128EB" w:rsidRPr="00A04095" w:rsidRDefault="00C128EB" w:rsidP="001318BF">
      <w:pPr>
        <w:pStyle w:val="NoSpacing"/>
        <w:jc w:val="center"/>
        <w:rPr>
          <w:rFonts w:ascii="Times New Roman" w:hAnsi="Times New Roman" w:cs="Times New Roman"/>
          <w:b/>
          <w:bCs/>
          <w:sz w:val="18"/>
          <w:szCs w:val="18"/>
          <w:lang w:val="en-US"/>
        </w:rPr>
      </w:pPr>
      <w:r w:rsidRPr="00A04095">
        <w:rPr>
          <w:rFonts w:ascii="Times New Roman" w:hAnsi="Times New Roman" w:cs="Times New Roman"/>
          <w:b/>
          <w:bCs/>
          <w:sz w:val="18"/>
          <w:szCs w:val="18"/>
          <w:lang w:val="en-US"/>
        </w:rPr>
        <w:t>SCADA PROJECT: BENEFITS ASSOCIATED TO NON SERVED ENERGY</w:t>
      </w:r>
    </w:p>
    <w:p w:rsidR="00C128EB" w:rsidRPr="00A04095" w:rsidRDefault="00C128EB" w:rsidP="001318BF">
      <w:pPr>
        <w:pStyle w:val="NoSpacing"/>
        <w:jc w:val="center"/>
        <w:rPr>
          <w:rFonts w:ascii="Times New Roman" w:hAnsi="Times New Roman" w:cs="Times New Roman"/>
          <w:b/>
          <w:bCs/>
          <w:sz w:val="18"/>
          <w:szCs w:val="18"/>
          <w:lang w:val="en-US"/>
        </w:rPr>
      </w:pPr>
    </w:p>
    <w:p w:rsidR="00C128EB" w:rsidRDefault="002D2EBE" w:rsidP="001318BF">
      <w:pPr>
        <w:pStyle w:val="NoSpacing"/>
        <w:jc w:val="center"/>
        <w:rPr>
          <w:rFonts w:ascii="Times New Roman" w:hAnsi="Times New Roman" w:cs="Times New Roman"/>
          <w:b/>
          <w:bCs/>
          <w:lang w:val="en-US"/>
        </w:rPr>
      </w:pPr>
      <w:r w:rsidRPr="002D2EBE">
        <w:rPr>
          <w:noProof/>
          <w:lang w:val="en-US"/>
        </w:rPr>
        <w:drawing>
          <wp:inline distT="0" distB="0" distL="0" distR="0">
            <wp:extent cx="5612130" cy="1313861"/>
            <wp:effectExtent l="0" t="0" r="0" b="0"/>
            <wp:docPr id="4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srcRect/>
                    <a:stretch>
                      <a:fillRect/>
                    </a:stretch>
                  </pic:blipFill>
                  <pic:spPr bwMode="auto">
                    <a:xfrm>
                      <a:off x="0" y="0"/>
                      <a:ext cx="5612130" cy="1313861"/>
                    </a:xfrm>
                    <a:prstGeom prst="rect">
                      <a:avLst/>
                    </a:prstGeom>
                    <a:noFill/>
                    <a:ln w="9525">
                      <a:noFill/>
                      <a:miter lim="800000"/>
                      <a:headEnd/>
                      <a:tailEnd/>
                    </a:ln>
                  </pic:spPr>
                </pic:pic>
              </a:graphicData>
            </a:graphic>
          </wp:inline>
        </w:drawing>
      </w:r>
    </w:p>
    <w:p w:rsidR="00C128EB" w:rsidRDefault="00C128EB" w:rsidP="001318BF">
      <w:pPr>
        <w:pStyle w:val="NoSpacing"/>
        <w:jc w:val="center"/>
        <w:rPr>
          <w:rFonts w:ascii="Times New Roman" w:hAnsi="Times New Roman" w:cs="Times New Roman"/>
          <w:b/>
          <w:bCs/>
          <w:lang w:val="en-US"/>
        </w:rPr>
      </w:pPr>
    </w:p>
    <w:p w:rsidR="00C128EB" w:rsidRPr="00F3763D" w:rsidRDefault="00C128EB" w:rsidP="001318BF">
      <w:pPr>
        <w:pStyle w:val="NoSpacing"/>
        <w:jc w:val="both"/>
        <w:rPr>
          <w:rFonts w:ascii="Times New Roman" w:hAnsi="Times New Roman" w:cs="Times New Roman"/>
          <w:lang w:val="en-US"/>
        </w:rPr>
      </w:pPr>
      <w:r w:rsidRPr="00F3763D">
        <w:rPr>
          <w:rFonts w:ascii="Times New Roman" w:hAnsi="Times New Roman" w:cs="Times New Roman"/>
          <w:lang w:val="en-US"/>
        </w:rPr>
        <w:t xml:space="preserve">Next table summarizes energy consumption benefits estimated for each project during its </w:t>
      </w:r>
      <w:r>
        <w:rPr>
          <w:rFonts w:ascii="Times New Roman" w:hAnsi="Times New Roman" w:cs="Times New Roman"/>
          <w:lang w:val="en-US"/>
        </w:rPr>
        <w:t>25 years of estimated useful</w:t>
      </w:r>
      <w:r w:rsidRPr="00F3763D">
        <w:rPr>
          <w:rFonts w:ascii="Times New Roman" w:hAnsi="Times New Roman" w:cs="Times New Roman"/>
          <w:lang w:val="en-US"/>
        </w:rPr>
        <w:t xml:space="preserve"> life.</w:t>
      </w:r>
    </w:p>
    <w:p w:rsidR="00C128EB" w:rsidRPr="00F72F62" w:rsidRDefault="00C128EB" w:rsidP="001318BF">
      <w:pPr>
        <w:pStyle w:val="NoSpacing"/>
        <w:jc w:val="both"/>
        <w:rPr>
          <w:rFonts w:ascii="Times New Roman" w:hAnsi="Times New Roman" w:cs="Times New Roman"/>
          <w:lang w:val="en-US"/>
        </w:rPr>
      </w:pPr>
    </w:p>
    <w:p w:rsidR="00C128EB" w:rsidRPr="00A04095" w:rsidRDefault="00C128EB" w:rsidP="001318BF">
      <w:pPr>
        <w:pStyle w:val="NoSpacing"/>
        <w:jc w:val="center"/>
        <w:rPr>
          <w:rFonts w:ascii="Times New Roman" w:hAnsi="Times New Roman" w:cs="Times New Roman"/>
          <w:b/>
          <w:bCs/>
          <w:sz w:val="18"/>
          <w:szCs w:val="18"/>
          <w:lang w:val="en-US"/>
        </w:rPr>
      </w:pPr>
      <w:r w:rsidRPr="00A04095">
        <w:rPr>
          <w:rFonts w:ascii="Times New Roman" w:hAnsi="Times New Roman" w:cs="Times New Roman"/>
          <w:b/>
          <w:bCs/>
          <w:sz w:val="18"/>
          <w:szCs w:val="18"/>
          <w:lang w:val="en-US"/>
        </w:rPr>
        <w:t>UPGRADE OF SUBSTATION C: ENERGY CONSUMPTION BENEFITS</w:t>
      </w:r>
    </w:p>
    <w:p w:rsidR="00C128EB" w:rsidRPr="00A04095" w:rsidRDefault="00C128EB" w:rsidP="001318BF">
      <w:pPr>
        <w:pStyle w:val="NoSpacing"/>
        <w:jc w:val="center"/>
        <w:rPr>
          <w:rFonts w:ascii="Times New Roman" w:hAnsi="Times New Roman" w:cs="Times New Roman"/>
          <w:b/>
          <w:bCs/>
          <w:sz w:val="18"/>
          <w:szCs w:val="18"/>
          <w:lang w:val="en-US"/>
        </w:rPr>
      </w:pPr>
    </w:p>
    <w:p w:rsidR="00C128EB" w:rsidRPr="00F72F62" w:rsidRDefault="00EC138D" w:rsidP="001318BF">
      <w:pPr>
        <w:pStyle w:val="NoSpacing"/>
        <w:jc w:val="center"/>
        <w:rPr>
          <w:rFonts w:ascii="Times New Roman" w:hAnsi="Times New Roman" w:cs="Times New Roman"/>
          <w:b/>
          <w:bCs/>
          <w:lang w:val="en-US"/>
        </w:rPr>
      </w:pPr>
      <w:r>
        <w:rPr>
          <w:rFonts w:ascii="Times New Roman" w:hAnsi="Times New Roman" w:cs="Times New Roman"/>
          <w:noProof/>
          <w:lang w:val="en-US"/>
        </w:rPr>
        <w:drawing>
          <wp:inline distT="0" distB="0" distL="0" distR="0">
            <wp:extent cx="5547995" cy="1207770"/>
            <wp:effectExtent l="0" t="0" r="0" b="0"/>
            <wp:docPr id="2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9"/>
                    <a:srcRect/>
                    <a:stretch>
                      <a:fillRect/>
                    </a:stretch>
                  </pic:blipFill>
                  <pic:spPr bwMode="auto">
                    <a:xfrm>
                      <a:off x="0" y="0"/>
                      <a:ext cx="5547995" cy="1207770"/>
                    </a:xfrm>
                    <a:prstGeom prst="rect">
                      <a:avLst/>
                    </a:prstGeom>
                    <a:noFill/>
                    <a:ln w="9525">
                      <a:noFill/>
                      <a:miter lim="800000"/>
                      <a:headEnd/>
                      <a:tailEnd/>
                    </a:ln>
                  </pic:spPr>
                </pic:pic>
              </a:graphicData>
            </a:graphic>
          </wp:inline>
        </w:drawing>
      </w:r>
    </w:p>
    <w:p w:rsidR="00C128EB" w:rsidRPr="00F72F62" w:rsidRDefault="00C128EB" w:rsidP="001318BF">
      <w:pPr>
        <w:pStyle w:val="NoSpacing"/>
        <w:jc w:val="center"/>
        <w:rPr>
          <w:rFonts w:ascii="Times New Roman" w:hAnsi="Times New Roman" w:cs="Times New Roman"/>
          <w:b/>
          <w:bCs/>
          <w:lang w:val="en-US"/>
        </w:rPr>
      </w:pPr>
    </w:p>
    <w:p w:rsidR="00C128EB" w:rsidRPr="00A04095" w:rsidRDefault="00C128EB" w:rsidP="001318BF">
      <w:pPr>
        <w:pStyle w:val="NoSpacing"/>
        <w:jc w:val="center"/>
        <w:rPr>
          <w:rFonts w:ascii="Times New Roman" w:hAnsi="Times New Roman" w:cs="Times New Roman"/>
          <w:b/>
          <w:bCs/>
          <w:sz w:val="18"/>
          <w:szCs w:val="18"/>
          <w:lang w:val="en-US"/>
        </w:rPr>
      </w:pPr>
      <w:r w:rsidRPr="00A04095">
        <w:rPr>
          <w:rFonts w:ascii="Times New Roman" w:hAnsi="Times New Roman" w:cs="Times New Roman"/>
          <w:b/>
          <w:bCs/>
          <w:sz w:val="18"/>
          <w:szCs w:val="18"/>
          <w:lang w:val="en-US"/>
        </w:rPr>
        <w:t>UPGRADE OF SUBSTATION D: ENERGY CONSUMPTION BENEFITS</w:t>
      </w:r>
    </w:p>
    <w:p w:rsidR="00C128EB" w:rsidRPr="00A04095" w:rsidRDefault="00C128EB" w:rsidP="001318BF">
      <w:pPr>
        <w:pStyle w:val="NoSpacing"/>
        <w:jc w:val="center"/>
        <w:rPr>
          <w:rFonts w:ascii="Times New Roman" w:hAnsi="Times New Roman" w:cs="Times New Roman"/>
          <w:b/>
          <w:bCs/>
          <w:sz w:val="18"/>
          <w:szCs w:val="18"/>
          <w:lang w:val="en-US"/>
        </w:rPr>
      </w:pPr>
    </w:p>
    <w:p w:rsidR="00C128EB" w:rsidRPr="00F72F62" w:rsidRDefault="00EC138D" w:rsidP="001318BF">
      <w:pPr>
        <w:pStyle w:val="NoSpacing"/>
        <w:jc w:val="center"/>
        <w:rPr>
          <w:rFonts w:ascii="Times New Roman" w:hAnsi="Times New Roman" w:cs="Times New Roman"/>
          <w:b/>
          <w:bCs/>
          <w:lang w:val="en-US"/>
        </w:rPr>
      </w:pPr>
      <w:r>
        <w:rPr>
          <w:rFonts w:ascii="Times New Roman" w:hAnsi="Times New Roman" w:cs="Times New Roman"/>
          <w:noProof/>
          <w:lang w:val="en-US"/>
        </w:rPr>
        <w:drawing>
          <wp:inline distT="0" distB="0" distL="0" distR="0">
            <wp:extent cx="5561330" cy="109156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srcRect/>
                    <a:stretch>
                      <a:fillRect/>
                    </a:stretch>
                  </pic:blipFill>
                  <pic:spPr bwMode="auto">
                    <a:xfrm>
                      <a:off x="0" y="0"/>
                      <a:ext cx="5561330" cy="1091565"/>
                    </a:xfrm>
                    <a:prstGeom prst="rect">
                      <a:avLst/>
                    </a:prstGeom>
                    <a:noFill/>
                    <a:ln w="9525">
                      <a:noFill/>
                      <a:miter lim="800000"/>
                      <a:headEnd/>
                      <a:tailEnd/>
                    </a:ln>
                  </pic:spPr>
                </pic:pic>
              </a:graphicData>
            </a:graphic>
          </wp:inline>
        </w:drawing>
      </w:r>
    </w:p>
    <w:p w:rsidR="00C128EB" w:rsidRDefault="00C128EB" w:rsidP="001318BF">
      <w:pPr>
        <w:pStyle w:val="NoSpacing"/>
        <w:jc w:val="both"/>
        <w:rPr>
          <w:rFonts w:ascii="Times New Roman" w:hAnsi="Times New Roman" w:cs="Times New Roman"/>
          <w:lang w:val="en-US"/>
        </w:rPr>
      </w:pPr>
    </w:p>
    <w:p w:rsidR="00C128EB" w:rsidRDefault="00C128EB" w:rsidP="001318BF">
      <w:pPr>
        <w:pStyle w:val="NoSpacing"/>
        <w:jc w:val="both"/>
        <w:rPr>
          <w:rFonts w:ascii="Times New Roman" w:hAnsi="Times New Roman" w:cs="Times New Roman"/>
          <w:lang w:val="en-US"/>
        </w:rPr>
      </w:pPr>
    </w:p>
    <w:p w:rsidR="00C128EB" w:rsidRPr="00F72F62" w:rsidRDefault="00C128EB" w:rsidP="001318BF">
      <w:pPr>
        <w:pStyle w:val="NoSpacing"/>
        <w:jc w:val="both"/>
        <w:rPr>
          <w:rFonts w:ascii="Times New Roman" w:hAnsi="Times New Roman" w:cs="Times New Roman"/>
          <w:lang w:val="en-US"/>
        </w:rPr>
      </w:pPr>
      <w:r w:rsidRPr="00D8527E">
        <w:rPr>
          <w:rFonts w:ascii="Times New Roman" w:hAnsi="Times New Roman" w:cs="Times New Roman"/>
          <w:lang w:val="en-US"/>
        </w:rPr>
        <w:t>Economic benefits associated</w:t>
      </w:r>
      <w:r>
        <w:rPr>
          <w:rFonts w:ascii="Times New Roman" w:hAnsi="Times New Roman" w:cs="Times New Roman"/>
          <w:lang w:val="en-US"/>
        </w:rPr>
        <w:t xml:space="preserve"> to the upgrade of substations C and D due</w:t>
      </w:r>
      <w:r w:rsidRPr="00D8527E">
        <w:rPr>
          <w:rFonts w:ascii="Times New Roman" w:hAnsi="Times New Roman" w:cs="Times New Roman"/>
          <w:lang w:val="en-US"/>
        </w:rPr>
        <w:t xml:space="preserve"> to reduction in O&amp;M costs</w:t>
      </w:r>
      <w:r>
        <w:rPr>
          <w:rFonts w:ascii="Times New Roman" w:hAnsi="Times New Roman" w:cs="Times New Roman"/>
          <w:lang w:val="en-US"/>
        </w:rPr>
        <w:t xml:space="preserve"> were estimated in </w:t>
      </w:r>
      <w:r w:rsidRPr="00F72F62">
        <w:rPr>
          <w:rFonts w:ascii="Times New Roman" w:hAnsi="Times New Roman" w:cs="Times New Roman"/>
          <w:lang w:val="en-US"/>
        </w:rPr>
        <w:t>US$ 34,000</w:t>
      </w:r>
      <w:r>
        <w:rPr>
          <w:rFonts w:ascii="Times New Roman" w:hAnsi="Times New Roman" w:cs="Times New Roman"/>
          <w:lang w:val="en-US"/>
        </w:rPr>
        <w:t>/year for</w:t>
      </w:r>
      <w:r w:rsidRPr="00F72F62">
        <w:rPr>
          <w:rFonts w:ascii="Times New Roman" w:hAnsi="Times New Roman" w:cs="Times New Roman"/>
          <w:lang w:val="en-US"/>
        </w:rPr>
        <w:t xml:space="preserve"> each substation.</w:t>
      </w:r>
    </w:p>
    <w:p w:rsidR="00C128EB" w:rsidRDefault="00C128EB" w:rsidP="00EC138D">
      <w:pPr>
        <w:rPr>
          <w:rFonts w:ascii="Arial" w:hAnsi="Arial" w:cs="Arial"/>
          <w:lang w:val="en-US"/>
        </w:rPr>
      </w:pPr>
    </w:p>
    <w:sectPr w:rsidR="00C128EB" w:rsidSect="008E4464">
      <w:footerReference w:type="default" r:id="rId41"/>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8D" w:rsidRDefault="0082458D" w:rsidP="00D66E6F">
      <w:pPr>
        <w:spacing w:after="0" w:line="240" w:lineRule="auto"/>
      </w:pPr>
      <w:r>
        <w:separator/>
      </w:r>
    </w:p>
  </w:endnote>
  <w:endnote w:type="continuationSeparator" w:id="0">
    <w:p w:rsidR="0082458D" w:rsidRDefault="0082458D" w:rsidP="00D6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90" w:rsidRDefault="00FE5968">
    <w:pPr>
      <w:pStyle w:val="Footer"/>
      <w:jc w:val="center"/>
    </w:pPr>
    <w:r>
      <w:fldChar w:fldCharType="begin"/>
    </w:r>
    <w:r>
      <w:instrText xml:space="preserve"> PAGE   \* MERGEFORMAT </w:instrText>
    </w:r>
    <w:r>
      <w:fldChar w:fldCharType="separate"/>
    </w:r>
    <w:r>
      <w:rPr>
        <w:noProof/>
      </w:rPr>
      <w:t>1</w:t>
    </w:r>
    <w:r>
      <w:rPr>
        <w:noProof/>
      </w:rPr>
      <w:fldChar w:fldCharType="end"/>
    </w:r>
  </w:p>
  <w:p w:rsidR="00FD1E90" w:rsidRDefault="00FD1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8D" w:rsidRDefault="0082458D" w:rsidP="00D66E6F">
      <w:pPr>
        <w:spacing w:after="0" w:line="240" w:lineRule="auto"/>
      </w:pPr>
      <w:r>
        <w:separator/>
      </w:r>
    </w:p>
  </w:footnote>
  <w:footnote w:type="continuationSeparator" w:id="0">
    <w:p w:rsidR="0082458D" w:rsidRDefault="0082458D" w:rsidP="00D66E6F">
      <w:pPr>
        <w:spacing w:after="0" w:line="240" w:lineRule="auto"/>
      </w:pPr>
      <w:r>
        <w:continuationSeparator/>
      </w:r>
    </w:p>
  </w:footnote>
  <w:footnote w:id="1">
    <w:p w:rsidR="00FD1E90" w:rsidRPr="00E75177" w:rsidRDefault="00FD1E90" w:rsidP="00E75177">
      <w:pPr>
        <w:jc w:val="both"/>
        <w:rPr>
          <w:rFonts w:ascii="Times New Roman" w:hAnsi="Times New Roman" w:cs="Times New Roman"/>
          <w:sz w:val="18"/>
          <w:szCs w:val="18"/>
          <w:lang w:val="en-US"/>
        </w:rPr>
      </w:pPr>
      <w:r w:rsidRPr="008827A1">
        <w:rPr>
          <w:rStyle w:val="FootnoteReference"/>
          <w:rFonts w:ascii="Times New Roman" w:hAnsi="Times New Roman" w:cs="Times New Roman"/>
          <w:sz w:val="18"/>
          <w:szCs w:val="18"/>
        </w:rPr>
        <w:footnoteRef/>
      </w:r>
      <w:r w:rsidRPr="008827A1">
        <w:rPr>
          <w:rFonts w:ascii="Times New Roman" w:hAnsi="Times New Roman" w:cs="Times New Roman"/>
          <w:sz w:val="18"/>
          <w:szCs w:val="18"/>
          <w:lang w:val="en-US"/>
        </w:rPr>
        <w:t xml:space="preserve"> Energy rationing cost, also called “failure cost”, is the cost per kilowatt-hour paid (or economic benefit lost), on average, by the users when energy is not available and henceforth, it needs to be generated with emergency units or is not consumed, representing economic costs for final users. For reductions in electricity consumptions an alternative definition is the price at which potential users would be willing to pay for non-available energy. Reference values of such cost vary greatly in </w:t>
      </w:r>
      <w:smartTag w:uri="urn:schemas-microsoft-com:office:smarttags" w:element="place">
        <w:r w:rsidRPr="008827A1">
          <w:rPr>
            <w:rFonts w:ascii="Times New Roman" w:hAnsi="Times New Roman" w:cs="Times New Roman"/>
            <w:sz w:val="18"/>
            <w:szCs w:val="18"/>
            <w:lang w:val="en-US"/>
          </w:rPr>
          <w:t>Latin America</w:t>
        </w:r>
      </w:smartTag>
      <w:r w:rsidRPr="008827A1">
        <w:rPr>
          <w:rFonts w:ascii="Times New Roman" w:hAnsi="Times New Roman" w:cs="Times New Roman"/>
          <w:sz w:val="18"/>
          <w:szCs w:val="18"/>
          <w:lang w:val="en-US"/>
        </w:rPr>
        <w:t xml:space="preserve">, mainly due to market, methodological, and regulatory differences. Its calculation varies across the region, but on average such calculation reflects an increasing variable cost that is added to supply a given level of demand. For such reason, some countries have different rationing costs for each segment of demand (residences, commercial, industrial), and others according to the percentage of demand affected by the shortage (eg. 5%, 10%, above 20%); other countries use single values (like Brazil, calculated using the generating costs of an hydro emergency unit and valuing the water in reservoirs). </w:t>
      </w:r>
      <w:smartTag w:uri="urn:schemas-microsoft-com:office:smarttags" w:element="country-region">
        <w:smartTag w:uri="urn:schemas-microsoft-com:office:smarttags" w:element="place">
          <w:r w:rsidRPr="008827A1">
            <w:rPr>
              <w:rFonts w:ascii="Times New Roman" w:hAnsi="Times New Roman" w:cs="Times New Roman"/>
              <w:sz w:val="18"/>
              <w:szCs w:val="18"/>
              <w:lang w:val="en-US"/>
            </w:rPr>
            <w:t>Suriname</w:t>
          </w:r>
        </w:smartTag>
      </w:smartTag>
      <w:r w:rsidRPr="008827A1">
        <w:rPr>
          <w:rFonts w:ascii="Times New Roman" w:hAnsi="Times New Roman" w:cs="Times New Roman"/>
          <w:sz w:val="18"/>
          <w:szCs w:val="18"/>
          <w:lang w:val="en-US"/>
        </w:rPr>
        <w:t xml:space="preserve"> does not count with a specific calculation of rationing cost. This st</w:t>
      </w:r>
      <w:r>
        <w:rPr>
          <w:rFonts w:ascii="Times New Roman" w:hAnsi="Times New Roman" w:cs="Times New Roman"/>
          <w:sz w:val="18"/>
          <w:szCs w:val="18"/>
          <w:lang w:val="en-US"/>
        </w:rPr>
        <w:t>udy uses US$500/MWh as Failure C</w:t>
      </w:r>
      <w:r w:rsidRPr="008827A1">
        <w:rPr>
          <w:rFonts w:ascii="Times New Roman" w:hAnsi="Times New Roman" w:cs="Times New Roman"/>
          <w:sz w:val="18"/>
          <w:szCs w:val="18"/>
          <w:lang w:val="en-US"/>
        </w:rPr>
        <w:t>ost for a 100% demand failure in order to use one value in the middle range of some of its Latin American benchmark peers and considering that the shortages reduced by the extension of the SCADA system will be associated to 100% of demand temporary reductions in specific sectors of the city. For instance, Chile failure cost is about US$552/MWh for failures greater than 20% of demand while for the same demand perc</w:t>
      </w:r>
      <w:r>
        <w:rPr>
          <w:rFonts w:ascii="Times New Roman" w:hAnsi="Times New Roman" w:cs="Times New Roman"/>
          <w:sz w:val="18"/>
          <w:szCs w:val="18"/>
          <w:lang w:val="en-US"/>
        </w:rPr>
        <w:t>entage, Uruguay uses US$2000/MWh</w:t>
      </w:r>
      <w:r w:rsidRPr="008827A1">
        <w:rPr>
          <w:rFonts w:ascii="Times New Roman" w:hAnsi="Times New Roman" w:cs="Times New Roman"/>
          <w:sz w:val="18"/>
          <w:szCs w:val="18"/>
          <w:lang w:val="en-US"/>
        </w:rPr>
        <w:t>; Colombia uses US$455/MWh for residential segment up until 1877 US$/MWh for medium industrial and commercial segment; Peru uses US$746/MWh, Dominican Republic uses US$167.8/MWh, and Brasil US$270/MWh. However, the latest two values are basically related to the cost of temporary high capacity backup power sources, situation that would not be the case of the electricity consumption reductions (or partial costly local backup power based on liquid fuels) originated by low reliability power supply as it would be the case in Paramaribo without the extension of the SCADA system.</w:t>
      </w:r>
    </w:p>
    <w:p w:rsidR="00FD1E90" w:rsidRPr="00E75177" w:rsidRDefault="00FD1E90">
      <w:pPr>
        <w:pStyle w:val="FootnoteText"/>
        <w:rPr>
          <w:lang w:val="en-US"/>
        </w:rPr>
      </w:pPr>
    </w:p>
  </w:footnote>
  <w:footnote w:id="2">
    <w:p w:rsidR="00FD1E90" w:rsidRPr="00783BF7" w:rsidRDefault="00FD1E90">
      <w:pPr>
        <w:pStyle w:val="FootnoteText"/>
        <w:rPr>
          <w:lang w:val="en-US"/>
        </w:rPr>
      </w:pPr>
    </w:p>
  </w:footnote>
  <w:footnote w:id="3">
    <w:p w:rsidR="00FD1E90" w:rsidRPr="00783BF7" w:rsidRDefault="00FD1E90" w:rsidP="00783BF7">
      <w:pPr>
        <w:pStyle w:val="FootnoteText"/>
        <w:jc w:val="both"/>
        <w:rPr>
          <w:rFonts w:ascii="Times New Roman" w:hAnsi="Times New Roman" w:cs="Times New Roman"/>
          <w:sz w:val="18"/>
          <w:szCs w:val="18"/>
          <w:lang w:val="en-US"/>
        </w:rPr>
      </w:pPr>
      <w:r w:rsidRPr="00783BF7">
        <w:rPr>
          <w:rStyle w:val="FootnoteReference"/>
          <w:rFonts w:ascii="Times New Roman" w:hAnsi="Times New Roman" w:cs="Times New Roman"/>
          <w:sz w:val="18"/>
          <w:szCs w:val="18"/>
        </w:rPr>
        <w:footnoteRef/>
      </w:r>
      <w:r w:rsidRPr="00783BF7">
        <w:rPr>
          <w:rFonts w:ascii="Times New Roman" w:hAnsi="Times New Roman" w:cs="Times New Roman"/>
          <w:sz w:val="18"/>
          <w:szCs w:val="18"/>
          <w:lang w:val="en-US"/>
        </w:rPr>
        <w:t xml:space="preserve"> Residential consumption represents 48% in the influence areas of substations C and D. And for other sectors (Commercial, Industrial, etc.) benefits were estimated equal to the "Cost Effective Tariff", without consumer's surplus.</w:t>
      </w:r>
    </w:p>
  </w:footnote>
  <w:footnote w:id="4">
    <w:p w:rsidR="00FD1E90" w:rsidRPr="00A83988" w:rsidRDefault="00FD1E90" w:rsidP="00A83988">
      <w:pPr>
        <w:pStyle w:val="FootnoteText"/>
        <w:jc w:val="both"/>
        <w:rPr>
          <w:rFonts w:ascii="Times New Roman" w:hAnsi="Times New Roman" w:cs="Times New Roman"/>
          <w:sz w:val="18"/>
          <w:szCs w:val="18"/>
          <w:lang w:val="en-US"/>
        </w:rPr>
      </w:pPr>
      <w:r w:rsidRPr="00A83988">
        <w:rPr>
          <w:rStyle w:val="FootnoteReference"/>
          <w:rFonts w:ascii="Times New Roman" w:hAnsi="Times New Roman" w:cs="Times New Roman"/>
          <w:lang w:val="en-US"/>
        </w:rPr>
        <w:footnoteRef/>
      </w:r>
      <w:r w:rsidRPr="00A83988">
        <w:rPr>
          <w:rFonts w:ascii="Times New Roman" w:hAnsi="Times New Roman" w:cs="Times New Roman"/>
          <w:lang w:val="en-US"/>
        </w:rPr>
        <w:t xml:space="preserve"> </w:t>
      </w:r>
      <w:r w:rsidRPr="00A83988">
        <w:rPr>
          <w:rFonts w:ascii="Times New Roman" w:hAnsi="Times New Roman" w:cs="Times New Roman"/>
          <w:sz w:val="18"/>
          <w:szCs w:val="18"/>
          <w:lang w:val="en-US"/>
        </w:rPr>
        <w:t xml:space="preserve">This assumption will imply that future electricity </w:t>
      </w:r>
      <w:r>
        <w:rPr>
          <w:rFonts w:ascii="Times New Roman" w:hAnsi="Times New Roman" w:cs="Times New Roman"/>
          <w:sz w:val="18"/>
          <w:szCs w:val="18"/>
          <w:lang w:val="en-US"/>
        </w:rPr>
        <w:t>consumption per capita</w:t>
      </w:r>
      <w:r w:rsidRPr="00A83988">
        <w:rPr>
          <w:rFonts w:ascii="Times New Roman" w:hAnsi="Times New Roman" w:cs="Times New Roman"/>
          <w:sz w:val="18"/>
          <w:szCs w:val="18"/>
          <w:lang w:val="en-US"/>
        </w:rPr>
        <w:t xml:space="preserve"> in Suriname will</w:t>
      </w:r>
      <w:r>
        <w:rPr>
          <w:rFonts w:ascii="Times New Roman" w:hAnsi="Times New Roman" w:cs="Times New Roman"/>
          <w:sz w:val="18"/>
          <w:szCs w:val="18"/>
          <w:lang w:val="en-US"/>
        </w:rPr>
        <w:t xml:space="preserve"> remain similar to </w:t>
      </w:r>
      <w:r w:rsidRPr="00A83988">
        <w:rPr>
          <w:rFonts w:ascii="Times New Roman" w:hAnsi="Times New Roman" w:cs="Times New Roman"/>
          <w:sz w:val="18"/>
          <w:szCs w:val="18"/>
          <w:lang w:val="en-US"/>
        </w:rPr>
        <w:t>its current valu</w:t>
      </w:r>
      <w:r>
        <w:rPr>
          <w:rFonts w:ascii="Times New Roman" w:hAnsi="Times New Roman" w:cs="Times New Roman"/>
          <w:sz w:val="18"/>
          <w:szCs w:val="18"/>
          <w:lang w:val="en-US"/>
        </w:rPr>
        <w:t>e of around 2.230 kWh per capita</w:t>
      </w:r>
      <w:r w:rsidRPr="00A83988">
        <w:rPr>
          <w:rFonts w:ascii="Times New Roman" w:hAnsi="Times New Roman" w:cs="Times New Roman"/>
          <w:sz w:val="18"/>
          <w:szCs w:val="18"/>
          <w:lang w:val="en-US"/>
        </w:rPr>
        <w:t xml:space="preserve">/year. However, in case of </w:t>
      </w:r>
      <w:r>
        <w:rPr>
          <w:rFonts w:ascii="Times New Roman" w:hAnsi="Times New Roman" w:cs="Times New Roman"/>
          <w:sz w:val="18"/>
          <w:szCs w:val="18"/>
          <w:lang w:val="en-US"/>
        </w:rPr>
        <w:t xml:space="preserve">a significant </w:t>
      </w:r>
      <w:r w:rsidRPr="00A83988">
        <w:rPr>
          <w:rFonts w:ascii="Times New Roman" w:hAnsi="Times New Roman" w:cs="Times New Roman"/>
          <w:sz w:val="18"/>
          <w:szCs w:val="18"/>
          <w:lang w:val="en-US"/>
        </w:rPr>
        <w:t>tariff</w:t>
      </w:r>
      <w:r>
        <w:rPr>
          <w:rFonts w:ascii="Times New Roman" w:hAnsi="Times New Roman" w:cs="Times New Roman"/>
          <w:sz w:val="18"/>
          <w:szCs w:val="18"/>
          <w:lang w:val="en-US"/>
        </w:rPr>
        <w:t xml:space="preserve"> readjustment to levels similar t</w:t>
      </w:r>
      <w:r w:rsidRPr="00A83988">
        <w:rPr>
          <w:rFonts w:ascii="Times New Roman" w:hAnsi="Times New Roman" w:cs="Times New Roman"/>
          <w:sz w:val="18"/>
          <w:szCs w:val="18"/>
          <w:lang w:val="en-US"/>
        </w:rPr>
        <w:t>o the “</w:t>
      </w:r>
      <w:r>
        <w:rPr>
          <w:rFonts w:ascii="Times New Roman" w:hAnsi="Times New Roman" w:cs="Times New Roman"/>
          <w:sz w:val="18"/>
          <w:szCs w:val="18"/>
          <w:lang w:val="en-US"/>
        </w:rPr>
        <w:t>cost</w:t>
      </w:r>
      <w:r w:rsidRPr="00A83988">
        <w:rPr>
          <w:rFonts w:ascii="Times New Roman" w:hAnsi="Times New Roman" w:cs="Times New Roman"/>
          <w:sz w:val="18"/>
          <w:szCs w:val="18"/>
          <w:lang w:val="en-US"/>
        </w:rPr>
        <w:t xml:space="preserve"> effective tariff”</w:t>
      </w:r>
      <w:r>
        <w:rPr>
          <w:rFonts w:ascii="Times New Roman" w:hAnsi="Times New Roman" w:cs="Times New Roman"/>
          <w:sz w:val="18"/>
          <w:szCs w:val="18"/>
          <w:lang w:val="en-US"/>
        </w:rPr>
        <w:t xml:space="preserve"> (implying increases of around 130%), this consumption most probably will be reduced significantly (for e</w:t>
      </w:r>
      <w:r w:rsidRPr="00A83988">
        <w:rPr>
          <w:rFonts w:ascii="Times New Roman" w:hAnsi="Times New Roman" w:cs="Times New Roman"/>
          <w:sz w:val="18"/>
          <w:szCs w:val="18"/>
          <w:lang w:val="en-US"/>
        </w:rPr>
        <w:t xml:space="preserve">xample other similar </w:t>
      </w:r>
      <w:r>
        <w:rPr>
          <w:rFonts w:ascii="Times New Roman" w:hAnsi="Times New Roman" w:cs="Times New Roman"/>
          <w:sz w:val="18"/>
          <w:szCs w:val="18"/>
          <w:lang w:val="en-US"/>
        </w:rPr>
        <w:t>economies with higher electricity tariffs</w:t>
      </w:r>
      <w:r w:rsidRPr="00A83988">
        <w:rPr>
          <w:rFonts w:ascii="Times New Roman" w:hAnsi="Times New Roman" w:cs="Times New Roman"/>
          <w:sz w:val="18"/>
          <w:szCs w:val="18"/>
          <w:lang w:val="en-US"/>
        </w:rPr>
        <w:t xml:space="preserve"> have lower per</w:t>
      </w:r>
      <w:r>
        <w:rPr>
          <w:rFonts w:ascii="Times New Roman" w:hAnsi="Times New Roman" w:cs="Times New Roman"/>
          <w:sz w:val="18"/>
          <w:szCs w:val="18"/>
          <w:lang w:val="en-US"/>
        </w:rPr>
        <w:t xml:space="preserve"> </w:t>
      </w:r>
      <w:r w:rsidRPr="00A83988">
        <w:rPr>
          <w:rFonts w:ascii="Times New Roman" w:hAnsi="Times New Roman" w:cs="Times New Roman"/>
          <w:sz w:val="18"/>
          <w:szCs w:val="18"/>
          <w:lang w:val="en-US"/>
        </w:rPr>
        <w:t xml:space="preserve">capita </w:t>
      </w:r>
      <w:r>
        <w:rPr>
          <w:rFonts w:ascii="Times New Roman" w:hAnsi="Times New Roman" w:cs="Times New Roman"/>
          <w:sz w:val="18"/>
          <w:szCs w:val="18"/>
          <w:lang w:val="en-US"/>
        </w:rPr>
        <w:t xml:space="preserve">electricity </w:t>
      </w:r>
      <w:r w:rsidRPr="00A83988">
        <w:rPr>
          <w:rFonts w:ascii="Times New Roman" w:hAnsi="Times New Roman" w:cs="Times New Roman"/>
          <w:sz w:val="18"/>
          <w:szCs w:val="18"/>
          <w:lang w:val="en-US"/>
        </w:rPr>
        <w:t>consumption, as Honduras, 669</w:t>
      </w:r>
      <w:r w:rsidRPr="00C8580C">
        <w:rPr>
          <w:rFonts w:ascii="Times New Roman" w:hAnsi="Times New Roman" w:cs="Times New Roman"/>
          <w:sz w:val="18"/>
          <w:szCs w:val="18"/>
          <w:lang w:val="en-US"/>
        </w:rPr>
        <w:t xml:space="preserve"> </w:t>
      </w:r>
      <w:r>
        <w:rPr>
          <w:rFonts w:ascii="Times New Roman" w:hAnsi="Times New Roman" w:cs="Times New Roman"/>
          <w:sz w:val="18"/>
          <w:szCs w:val="18"/>
          <w:lang w:val="en-US"/>
        </w:rPr>
        <w:t>kWh per capita</w:t>
      </w:r>
      <w:r w:rsidRPr="00A83988">
        <w:rPr>
          <w:rFonts w:ascii="Times New Roman" w:hAnsi="Times New Roman" w:cs="Times New Roman"/>
          <w:sz w:val="18"/>
          <w:szCs w:val="18"/>
          <w:lang w:val="en-US"/>
        </w:rPr>
        <w:t>/year, Guatemala 559</w:t>
      </w:r>
      <w:r w:rsidRPr="00C8580C">
        <w:rPr>
          <w:rFonts w:ascii="Times New Roman" w:hAnsi="Times New Roman" w:cs="Times New Roman"/>
          <w:sz w:val="18"/>
          <w:szCs w:val="18"/>
          <w:lang w:val="en-US"/>
        </w:rPr>
        <w:t xml:space="preserve"> </w:t>
      </w:r>
      <w:r>
        <w:rPr>
          <w:rFonts w:ascii="Times New Roman" w:hAnsi="Times New Roman" w:cs="Times New Roman"/>
          <w:sz w:val="18"/>
          <w:szCs w:val="18"/>
          <w:lang w:val="en-US"/>
        </w:rPr>
        <w:t>kWh per capita</w:t>
      </w:r>
      <w:r w:rsidRPr="00A83988">
        <w:rPr>
          <w:rFonts w:ascii="Times New Roman" w:hAnsi="Times New Roman" w:cs="Times New Roman"/>
          <w:sz w:val="18"/>
          <w:szCs w:val="18"/>
          <w:lang w:val="en-US"/>
        </w:rPr>
        <w:t>/year, Bolivia 603</w:t>
      </w:r>
      <w:r w:rsidRPr="00C8580C">
        <w:rPr>
          <w:rFonts w:ascii="Times New Roman" w:hAnsi="Times New Roman" w:cs="Times New Roman"/>
          <w:sz w:val="18"/>
          <w:szCs w:val="18"/>
          <w:lang w:val="en-US"/>
        </w:rPr>
        <w:t xml:space="preserve"> </w:t>
      </w:r>
      <w:r>
        <w:rPr>
          <w:rFonts w:ascii="Times New Roman" w:hAnsi="Times New Roman" w:cs="Times New Roman"/>
          <w:sz w:val="18"/>
          <w:szCs w:val="18"/>
          <w:lang w:val="en-US"/>
        </w:rPr>
        <w:t>kWh per capita</w:t>
      </w:r>
      <w:r w:rsidRPr="00A83988">
        <w:rPr>
          <w:rFonts w:ascii="Times New Roman" w:hAnsi="Times New Roman" w:cs="Times New Roman"/>
          <w:sz w:val="18"/>
          <w:szCs w:val="18"/>
          <w:lang w:val="en-US"/>
        </w:rPr>
        <w:t>/year, etc.)</w:t>
      </w:r>
    </w:p>
  </w:footnote>
  <w:footnote w:id="5">
    <w:p w:rsidR="00FD1E90" w:rsidRPr="00DE12EA" w:rsidRDefault="00FD1E90" w:rsidP="004E4427">
      <w:pPr>
        <w:pStyle w:val="NoSpacing"/>
        <w:jc w:val="both"/>
        <w:rPr>
          <w:rFonts w:ascii="Times New Roman" w:hAnsi="Times New Roman" w:cs="Times New Roman"/>
          <w:sz w:val="18"/>
          <w:szCs w:val="18"/>
          <w:lang w:val="en-US"/>
        </w:rPr>
      </w:pPr>
      <w:r w:rsidRPr="00A977FA">
        <w:rPr>
          <w:rStyle w:val="FootnoteReference"/>
          <w:rFonts w:ascii="Times New Roman" w:hAnsi="Times New Roman" w:cs="Times New Roman"/>
          <w:sz w:val="18"/>
          <w:szCs w:val="18"/>
        </w:rPr>
        <w:footnoteRef/>
      </w:r>
      <w:r w:rsidRPr="00192984">
        <w:rPr>
          <w:rFonts w:ascii="Times New Roman" w:hAnsi="Times New Roman" w:cs="Times New Roman"/>
          <w:sz w:val="18"/>
          <w:szCs w:val="18"/>
          <w:lang w:val="en-US"/>
        </w:rPr>
        <w:t xml:space="preserve"> Price elasticity of electricity demand is a measure used in economics to show the responsiveness, or </w:t>
      </w:r>
      <w:hyperlink r:id="rId1" w:tooltip="Elasticity (economics)" w:history="1">
        <w:r w:rsidRPr="00877976">
          <w:rPr>
            <w:rStyle w:val="Hyperlink"/>
            <w:rFonts w:ascii="Times New Roman" w:hAnsi="Times New Roman" w:cs="Times New Roman"/>
            <w:color w:val="000000"/>
            <w:sz w:val="18"/>
            <w:szCs w:val="18"/>
            <w:lang w:val="en-US"/>
          </w:rPr>
          <w:t>elasticity</w:t>
        </w:r>
      </w:hyperlink>
      <w:r w:rsidRPr="00877976">
        <w:rPr>
          <w:rFonts w:ascii="Times New Roman" w:hAnsi="Times New Roman" w:cs="Times New Roman"/>
          <w:color w:val="000000"/>
          <w:sz w:val="18"/>
          <w:szCs w:val="18"/>
          <w:lang w:val="en-US"/>
        </w:rPr>
        <w:t>, of th</w:t>
      </w:r>
      <w:r w:rsidRPr="00192984">
        <w:rPr>
          <w:rFonts w:ascii="Times New Roman" w:hAnsi="Times New Roman" w:cs="Times New Roman"/>
          <w:sz w:val="18"/>
          <w:szCs w:val="18"/>
          <w:lang w:val="en-US"/>
        </w:rPr>
        <w:t>e quantity demanded of electricity to a change in its price. More precisely, it gives the percentage change in quantity demanded in response to a one percent change in price (holding constant all the other determinants of demand, such as income). Another indicator is Income elasticity of demand which relates percentage change of demand related to percent income variation. Both indicators permit the modeling of the behavior of the consumers to price and income variations permitting the estimation of the economic value of the consumed electricity. This situation has been empirically and theoretical supported in several Latin American countries. Suriname do</w:t>
      </w:r>
      <w:r>
        <w:rPr>
          <w:rFonts w:ascii="Times New Roman" w:hAnsi="Times New Roman" w:cs="Times New Roman"/>
          <w:sz w:val="18"/>
          <w:szCs w:val="18"/>
          <w:lang w:val="en-US"/>
        </w:rPr>
        <w:t>es</w:t>
      </w:r>
      <w:r w:rsidRPr="00192984">
        <w:rPr>
          <w:rFonts w:ascii="Times New Roman" w:hAnsi="Times New Roman" w:cs="Times New Roman"/>
          <w:sz w:val="18"/>
          <w:szCs w:val="18"/>
          <w:lang w:val="en-US"/>
        </w:rPr>
        <w:t xml:space="preserve"> not count with specific studies at this respect, for this reason in this study it was applied the experience in other Latin American countries. In Chile, recent studies indicates that the price elasticity of residential demand is -0.27 for one year and -0.39 for longer terms. Westley estimated it in -0.5 for Paraguay (1984) and in -0.45 for Costa Rica (1989) and Berndt &amp; Samaniego in -0.47 for México (1984). In summary, available studies indicate</w:t>
      </w:r>
      <w:r>
        <w:rPr>
          <w:rFonts w:ascii="Times New Roman" w:hAnsi="Times New Roman" w:cs="Times New Roman"/>
          <w:sz w:val="18"/>
          <w:szCs w:val="18"/>
          <w:lang w:val="en-US"/>
        </w:rPr>
        <w:t xml:space="preserve"> that</w:t>
      </w:r>
      <w:r w:rsidRPr="00192984">
        <w:rPr>
          <w:rFonts w:ascii="Times New Roman" w:hAnsi="Times New Roman" w:cs="Times New Roman"/>
          <w:sz w:val="18"/>
          <w:szCs w:val="18"/>
          <w:lang w:val="en-US"/>
        </w:rPr>
        <w:t xml:space="preserve"> long term price elasticity of residential demand is in the order of -0.4 to -0.5.   Based on such experiences, for the study</w:t>
      </w:r>
      <w:r>
        <w:rPr>
          <w:rFonts w:ascii="Times New Roman" w:hAnsi="Times New Roman" w:cs="Times New Roman"/>
          <w:sz w:val="18"/>
          <w:szCs w:val="18"/>
          <w:lang w:val="en-US"/>
        </w:rPr>
        <w:t xml:space="preserve"> it</w:t>
      </w:r>
      <w:r w:rsidRPr="00192984">
        <w:rPr>
          <w:rFonts w:ascii="Times New Roman" w:hAnsi="Times New Roman" w:cs="Times New Roman"/>
          <w:sz w:val="18"/>
          <w:szCs w:val="18"/>
          <w:lang w:val="en-US"/>
        </w:rPr>
        <w:t xml:space="preserve"> was adopted -0.</w:t>
      </w:r>
      <w:r>
        <w:rPr>
          <w:rFonts w:ascii="Times New Roman" w:hAnsi="Times New Roman" w:cs="Times New Roman"/>
          <w:sz w:val="18"/>
          <w:szCs w:val="18"/>
          <w:lang w:val="en-US"/>
        </w:rPr>
        <w:t>6</w:t>
      </w:r>
      <w:r w:rsidRPr="00192984">
        <w:rPr>
          <w:rFonts w:ascii="Times New Roman" w:hAnsi="Times New Roman" w:cs="Times New Roman"/>
          <w:sz w:val="18"/>
          <w:szCs w:val="18"/>
          <w:lang w:val="en-US"/>
        </w:rPr>
        <w:t xml:space="preserve"> as </w:t>
      </w:r>
      <w:r>
        <w:rPr>
          <w:rFonts w:ascii="Times New Roman" w:hAnsi="Times New Roman" w:cs="Times New Roman"/>
          <w:sz w:val="18"/>
          <w:szCs w:val="18"/>
          <w:lang w:val="en-US"/>
        </w:rPr>
        <w:t>a conservative</w:t>
      </w:r>
      <w:r w:rsidRPr="00192984">
        <w:rPr>
          <w:rFonts w:ascii="Times New Roman" w:hAnsi="Times New Roman" w:cs="Times New Roman"/>
          <w:sz w:val="18"/>
          <w:szCs w:val="18"/>
          <w:lang w:val="en-US"/>
        </w:rPr>
        <w:t xml:space="preserve"> average price elasticity of electricity demand</w:t>
      </w:r>
      <w:r>
        <w:rPr>
          <w:rFonts w:ascii="Times New Roman" w:hAnsi="Times New Roman" w:cs="Times New Roman"/>
          <w:sz w:val="18"/>
          <w:szCs w:val="18"/>
          <w:lang w:val="en-US"/>
        </w:rPr>
        <w:t xml:space="preserve"> for residential sector in EPAR system of Suriname</w:t>
      </w:r>
      <w:r w:rsidRPr="00192984">
        <w:rPr>
          <w:rFonts w:ascii="Times New Roman" w:hAnsi="Times New Roman" w:cs="Times New Roman"/>
          <w:sz w:val="18"/>
          <w:szCs w:val="18"/>
          <w:lang w:val="en-US"/>
        </w:rPr>
        <w:t xml:space="preserve">. </w:t>
      </w:r>
    </w:p>
  </w:footnote>
  <w:footnote w:id="6">
    <w:p w:rsidR="00FD1E90" w:rsidRPr="008B4B8C" w:rsidRDefault="00FD1E90" w:rsidP="00AE4341">
      <w:pPr>
        <w:pStyle w:val="FootnoteText"/>
        <w:jc w:val="both"/>
        <w:rPr>
          <w:sz w:val="18"/>
          <w:szCs w:val="18"/>
          <w:lang w:val="en-US"/>
        </w:rPr>
      </w:pPr>
      <w:r w:rsidRPr="00AE4341">
        <w:rPr>
          <w:rStyle w:val="FootnoteReference"/>
          <w:sz w:val="18"/>
          <w:szCs w:val="18"/>
        </w:rPr>
        <w:footnoteRef/>
      </w:r>
      <w:r w:rsidRPr="008B4B8C">
        <w:rPr>
          <w:sz w:val="18"/>
          <w:szCs w:val="18"/>
          <w:lang w:val="en-US"/>
        </w:rPr>
        <w:t xml:space="preserve"> </w:t>
      </w:r>
      <w:r>
        <w:rPr>
          <w:rFonts w:ascii="Times New Roman" w:hAnsi="Times New Roman" w:cs="Times New Roman"/>
          <w:sz w:val="18"/>
          <w:szCs w:val="18"/>
          <w:lang w:val="en-US"/>
        </w:rPr>
        <w:t xml:space="preserve"> This is assumed equal to the average tariff received by EBS of US$ 70/MWh plus the average subsidy received by the users of US$ 92/MWh. In this way, net energy benefits estimated for the upgrade of substations C and D correspond to the consumer´s surplus.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A4A"/>
    <w:multiLevelType w:val="hybridMultilevel"/>
    <w:tmpl w:val="CCC06CAA"/>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76135EA"/>
    <w:multiLevelType w:val="hybridMultilevel"/>
    <w:tmpl w:val="4588F7C8"/>
    <w:lvl w:ilvl="0" w:tplc="D6760DE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AB5789A"/>
    <w:multiLevelType w:val="hybridMultilevel"/>
    <w:tmpl w:val="99F61F6E"/>
    <w:lvl w:ilvl="0" w:tplc="04090001">
      <w:start w:val="1"/>
      <w:numFmt w:val="bullet"/>
      <w:lvlText w:val=""/>
      <w:lvlJc w:val="left"/>
      <w:pPr>
        <w:ind w:left="720" w:hanging="360"/>
      </w:pPr>
      <w:rPr>
        <w:rFonts w:ascii="Symbol" w:hAnsi="Symbol" w:cs="Symbol" w:hint="default"/>
      </w:rPr>
    </w:lvl>
    <w:lvl w:ilvl="1" w:tplc="0409000B">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73874EC"/>
    <w:multiLevelType w:val="hybridMultilevel"/>
    <w:tmpl w:val="C720952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91C7078"/>
    <w:multiLevelType w:val="hybridMultilevel"/>
    <w:tmpl w:val="EE1E92EC"/>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B6063AF"/>
    <w:multiLevelType w:val="hybridMultilevel"/>
    <w:tmpl w:val="F788E6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1F85F8E"/>
    <w:multiLevelType w:val="hybridMultilevel"/>
    <w:tmpl w:val="2C58818E"/>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22037E7C"/>
    <w:multiLevelType w:val="hybridMultilevel"/>
    <w:tmpl w:val="6C2AFA06"/>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2802072C"/>
    <w:multiLevelType w:val="hybridMultilevel"/>
    <w:tmpl w:val="9138A956"/>
    <w:lvl w:ilvl="0" w:tplc="EE32B858">
      <w:start w:val="3"/>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F296CEA"/>
    <w:multiLevelType w:val="hybridMultilevel"/>
    <w:tmpl w:val="28E07B88"/>
    <w:lvl w:ilvl="0" w:tplc="EE32B858">
      <w:start w:val="3"/>
      <w:numFmt w:val="bullet"/>
      <w:lvlText w:val="-"/>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0">
    <w:nsid w:val="348C1CDC"/>
    <w:multiLevelType w:val="hybridMultilevel"/>
    <w:tmpl w:val="B148A1DC"/>
    <w:lvl w:ilvl="0" w:tplc="EFAE8F14">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1">
    <w:nsid w:val="3BD50E7F"/>
    <w:multiLevelType w:val="hybridMultilevel"/>
    <w:tmpl w:val="94B67A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28A75F6"/>
    <w:multiLevelType w:val="hybridMultilevel"/>
    <w:tmpl w:val="2C2E6834"/>
    <w:lvl w:ilvl="0" w:tplc="11381880">
      <w:start w:val="14"/>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3">
    <w:nsid w:val="4ABE1FDF"/>
    <w:multiLevelType w:val="hybridMultilevel"/>
    <w:tmpl w:val="D2DCC540"/>
    <w:lvl w:ilvl="0" w:tplc="0409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4D3D53DE"/>
    <w:multiLevelType w:val="hybridMultilevel"/>
    <w:tmpl w:val="4254002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4F70357E"/>
    <w:multiLevelType w:val="hybridMultilevel"/>
    <w:tmpl w:val="CEDEAF1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nsid w:val="51BF5271"/>
    <w:multiLevelType w:val="hybridMultilevel"/>
    <w:tmpl w:val="A052F7AE"/>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7">
    <w:nsid w:val="585C0761"/>
    <w:multiLevelType w:val="hybridMultilevel"/>
    <w:tmpl w:val="96EC7C4C"/>
    <w:lvl w:ilvl="0" w:tplc="E620E7FE">
      <w:start w:val="1"/>
      <w:numFmt w:val="decimal"/>
      <w:lvlText w:val="%1."/>
      <w:lvlJc w:val="left"/>
      <w:pPr>
        <w:tabs>
          <w:tab w:val="num" w:pos="720"/>
        </w:tabs>
        <w:ind w:left="720" w:hanging="360"/>
      </w:pPr>
    </w:lvl>
    <w:lvl w:ilvl="1" w:tplc="819A9186">
      <w:start w:val="1"/>
      <w:numFmt w:val="decimal"/>
      <w:lvlText w:val="%2."/>
      <w:lvlJc w:val="left"/>
      <w:pPr>
        <w:tabs>
          <w:tab w:val="num" w:pos="1440"/>
        </w:tabs>
        <w:ind w:left="1440" w:hanging="360"/>
      </w:pPr>
    </w:lvl>
    <w:lvl w:ilvl="2" w:tplc="4258A0EA">
      <w:start w:val="1"/>
      <w:numFmt w:val="decimal"/>
      <w:lvlText w:val="%3."/>
      <w:lvlJc w:val="left"/>
      <w:pPr>
        <w:tabs>
          <w:tab w:val="num" w:pos="2160"/>
        </w:tabs>
        <w:ind w:left="2160" w:hanging="360"/>
      </w:pPr>
    </w:lvl>
    <w:lvl w:ilvl="3" w:tplc="D0F4DABC">
      <w:start w:val="1"/>
      <w:numFmt w:val="decimal"/>
      <w:lvlText w:val="%4."/>
      <w:lvlJc w:val="left"/>
      <w:pPr>
        <w:tabs>
          <w:tab w:val="num" w:pos="2880"/>
        </w:tabs>
        <w:ind w:left="2880" w:hanging="360"/>
      </w:pPr>
    </w:lvl>
    <w:lvl w:ilvl="4" w:tplc="196CC1A4">
      <w:start w:val="1"/>
      <w:numFmt w:val="decimal"/>
      <w:lvlText w:val="%5."/>
      <w:lvlJc w:val="left"/>
      <w:pPr>
        <w:tabs>
          <w:tab w:val="num" w:pos="3600"/>
        </w:tabs>
        <w:ind w:left="3600" w:hanging="360"/>
      </w:pPr>
    </w:lvl>
    <w:lvl w:ilvl="5" w:tplc="3BFE04BC">
      <w:start w:val="1"/>
      <w:numFmt w:val="decimal"/>
      <w:lvlText w:val="%6."/>
      <w:lvlJc w:val="left"/>
      <w:pPr>
        <w:tabs>
          <w:tab w:val="num" w:pos="4320"/>
        </w:tabs>
        <w:ind w:left="4320" w:hanging="360"/>
      </w:pPr>
    </w:lvl>
    <w:lvl w:ilvl="6" w:tplc="DCD2EB8A">
      <w:start w:val="1"/>
      <w:numFmt w:val="decimal"/>
      <w:lvlText w:val="%7."/>
      <w:lvlJc w:val="left"/>
      <w:pPr>
        <w:tabs>
          <w:tab w:val="num" w:pos="5040"/>
        </w:tabs>
        <w:ind w:left="5040" w:hanging="360"/>
      </w:pPr>
    </w:lvl>
    <w:lvl w:ilvl="7" w:tplc="D48A5CE4">
      <w:start w:val="1"/>
      <w:numFmt w:val="decimal"/>
      <w:lvlText w:val="%8."/>
      <w:lvlJc w:val="left"/>
      <w:pPr>
        <w:tabs>
          <w:tab w:val="num" w:pos="5760"/>
        </w:tabs>
        <w:ind w:left="5760" w:hanging="360"/>
      </w:pPr>
    </w:lvl>
    <w:lvl w:ilvl="8" w:tplc="EF9A6B5A">
      <w:start w:val="1"/>
      <w:numFmt w:val="decimal"/>
      <w:lvlText w:val="%9."/>
      <w:lvlJc w:val="left"/>
      <w:pPr>
        <w:tabs>
          <w:tab w:val="num" w:pos="6480"/>
        </w:tabs>
        <w:ind w:left="6480" w:hanging="360"/>
      </w:pPr>
    </w:lvl>
  </w:abstractNum>
  <w:abstractNum w:abstractNumId="18">
    <w:nsid w:val="6355076B"/>
    <w:multiLevelType w:val="hybridMultilevel"/>
    <w:tmpl w:val="93F0EF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91A5238"/>
    <w:multiLevelType w:val="hybridMultilevel"/>
    <w:tmpl w:val="748A6536"/>
    <w:lvl w:ilvl="0" w:tplc="E7E03C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BB14491"/>
    <w:multiLevelType w:val="hybridMultilevel"/>
    <w:tmpl w:val="84BCA476"/>
    <w:lvl w:ilvl="0" w:tplc="04090009">
      <w:start w:val="1"/>
      <w:numFmt w:val="bullet"/>
      <w:lvlText w:val=""/>
      <w:lvlJc w:val="left"/>
      <w:pPr>
        <w:ind w:left="1080" w:hanging="360"/>
      </w:pPr>
      <w:rPr>
        <w:rFonts w:ascii="Wingdings" w:hAnsi="Wingdings" w:cs="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6C839D0"/>
    <w:multiLevelType w:val="hybridMultilevel"/>
    <w:tmpl w:val="5DC23A88"/>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7EE02690"/>
    <w:multiLevelType w:val="hybridMultilevel"/>
    <w:tmpl w:val="2C1A3F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17"/>
  </w:num>
  <w:num w:numId="3">
    <w:abstractNumId w:val="15"/>
  </w:num>
  <w:num w:numId="4">
    <w:abstractNumId w:val="10"/>
  </w:num>
  <w:num w:numId="5">
    <w:abstractNumId w:val="6"/>
  </w:num>
  <w:num w:numId="6">
    <w:abstractNumId w:val="4"/>
  </w:num>
  <w:num w:numId="7">
    <w:abstractNumId w:val="21"/>
  </w:num>
  <w:num w:numId="8">
    <w:abstractNumId w:val="9"/>
  </w:num>
  <w:num w:numId="9">
    <w:abstractNumId w:val="13"/>
  </w:num>
  <w:num w:numId="10">
    <w:abstractNumId w:val="2"/>
  </w:num>
  <w:num w:numId="11">
    <w:abstractNumId w:val="20"/>
  </w:num>
  <w:num w:numId="12">
    <w:abstractNumId w:val="12"/>
  </w:num>
  <w:num w:numId="13">
    <w:abstractNumId w:val="14"/>
  </w:num>
  <w:num w:numId="14">
    <w:abstractNumId w:val="18"/>
  </w:num>
  <w:num w:numId="15">
    <w:abstractNumId w:val="19"/>
  </w:num>
  <w:num w:numId="16">
    <w:abstractNumId w:val="11"/>
  </w:num>
  <w:num w:numId="17">
    <w:abstractNumId w:val="22"/>
  </w:num>
  <w:num w:numId="18">
    <w:abstractNumId w:val="7"/>
  </w:num>
  <w:num w:numId="19">
    <w:abstractNumId w:val="16"/>
  </w:num>
  <w:num w:numId="20">
    <w:abstractNumId w:val="0"/>
  </w:num>
  <w:num w:numId="21">
    <w:abstractNumId w:val="3"/>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trackRevisions/>
  <w:doNotTrackFormatting/>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11"/>
    <w:rsid w:val="0008292D"/>
    <w:rsid w:val="00086BD2"/>
    <w:rsid w:val="00094304"/>
    <w:rsid w:val="000B7539"/>
    <w:rsid w:val="000C3635"/>
    <w:rsid w:val="000D0DA5"/>
    <w:rsid w:val="000E0DEA"/>
    <w:rsid w:val="000F012E"/>
    <w:rsid w:val="00120F2F"/>
    <w:rsid w:val="001318BF"/>
    <w:rsid w:val="0013471E"/>
    <w:rsid w:val="00145186"/>
    <w:rsid w:val="00192984"/>
    <w:rsid w:val="00195CA1"/>
    <w:rsid w:val="00197258"/>
    <w:rsid w:val="001E6B61"/>
    <w:rsid w:val="00207AB4"/>
    <w:rsid w:val="00212471"/>
    <w:rsid w:val="00231363"/>
    <w:rsid w:val="00235EAC"/>
    <w:rsid w:val="0023674D"/>
    <w:rsid w:val="002479B4"/>
    <w:rsid w:val="00255783"/>
    <w:rsid w:val="002642DB"/>
    <w:rsid w:val="0026554C"/>
    <w:rsid w:val="00273543"/>
    <w:rsid w:val="002B02BE"/>
    <w:rsid w:val="002B6D54"/>
    <w:rsid w:val="002D2E46"/>
    <w:rsid w:val="002D2EBE"/>
    <w:rsid w:val="00313AA1"/>
    <w:rsid w:val="00317B45"/>
    <w:rsid w:val="00324C65"/>
    <w:rsid w:val="00353397"/>
    <w:rsid w:val="00356738"/>
    <w:rsid w:val="00372E26"/>
    <w:rsid w:val="0038517A"/>
    <w:rsid w:val="00392F77"/>
    <w:rsid w:val="003A1C02"/>
    <w:rsid w:val="003B6916"/>
    <w:rsid w:val="003C2DF1"/>
    <w:rsid w:val="003C43BB"/>
    <w:rsid w:val="003F4570"/>
    <w:rsid w:val="004149B7"/>
    <w:rsid w:val="00433F7C"/>
    <w:rsid w:val="0044786D"/>
    <w:rsid w:val="00463471"/>
    <w:rsid w:val="00466728"/>
    <w:rsid w:val="00473857"/>
    <w:rsid w:val="004909A5"/>
    <w:rsid w:val="00490B79"/>
    <w:rsid w:val="00492897"/>
    <w:rsid w:val="004C64AF"/>
    <w:rsid w:val="004E4427"/>
    <w:rsid w:val="004F650E"/>
    <w:rsid w:val="0050784C"/>
    <w:rsid w:val="005242C0"/>
    <w:rsid w:val="00526CD4"/>
    <w:rsid w:val="0053121E"/>
    <w:rsid w:val="00533566"/>
    <w:rsid w:val="005336C8"/>
    <w:rsid w:val="00546ABB"/>
    <w:rsid w:val="00565E14"/>
    <w:rsid w:val="00572984"/>
    <w:rsid w:val="00590C0B"/>
    <w:rsid w:val="00594C4D"/>
    <w:rsid w:val="005962B1"/>
    <w:rsid w:val="005B7DB9"/>
    <w:rsid w:val="005C34D6"/>
    <w:rsid w:val="005D7C7E"/>
    <w:rsid w:val="005F0C7A"/>
    <w:rsid w:val="00616222"/>
    <w:rsid w:val="0063519D"/>
    <w:rsid w:val="00640265"/>
    <w:rsid w:val="006967CC"/>
    <w:rsid w:val="006B1646"/>
    <w:rsid w:val="006D75F2"/>
    <w:rsid w:val="006D767D"/>
    <w:rsid w:val="006F0329"/>
    <w:rsid w:val="00703A89"/>
    <w:rsid w:val="00703B88"/>
    <w:rsid w:val="00720DA0"/>
    <w:rsid w:val="00737445"/>
    <w:rsid w:val="007575AF"/>
    <w:rsid w:val="00767437"/>
    <w:rsid w:val="00783BF7"/>
    <w:rsid w:val="007A145A"/>
    <w:rsid w:val="007B4F9F"/>
    <w:rsid w:val="007C5768"/>
    <w:rsid w:val="007D0D07"/>
    <w:rsid w:val="007D2E80"/>
    <w:rsid w:val="007E5FB3"/>
    <w:rsid w:val="007F127D"/>
    <w:rsid w:val="008075F8"/>
    <w:rsid w:val="00816DCF"/>
    <w:rsid w:val="00817F47"/>
    <w:rsid w:val="00823AE7"/>
    <w:rsid w:val="0082458D"/>
    <w:rsid w:val="00835E67"/>
    <w:rsid w:val="00843002"/>
    <w:rsid w:val="00851C5C"/>
    <w:rsid w:val="008535DC"/>
    <w:rsid w:val="0085723B"/>
    <w:rsid w:val="00862A16"/>
    <w:rsid w:val="00867FD6"/>
    <w:rsid w:val="00877976"/>
    <w:rsid w:val="008827A1"/>
    <w:rsid w:val="00885911"/>
    <w:rsid w:val="0088676A"/>
    <w:rsid w:val="00892C14"/>
    <w:rsid w:val="00896679"/>
    <w:rsid w:val="008A7949"/>
    <w:rsid w:val="008B2804"/>
    <w:rsid w:val="008B3D71"/>
    <w:rsid w:val="008B4B8C"/>
    <w:rsid w:val="008C6ABD"/>
    <w:rsid w:val="008E4464"/>
    <w:rsid w:val="008F5565"/>
    <w:rsid w:val="009245E9"/>
    <w:rsid w:val="00925B19"/>
    <w:rsid w:val="00931A0F"/>
    <w:rsid w:val="009320FF"/>
    <w:rsid w:val="009334A2"/>
    <w:rsid w:val="00947902"/>
    <w:rsid w:val="00953697"/>
    <w:rsid w:val="00964F93"/>
    <w:rsid w:val="0097425B"/>
    <w:rsid w:val="00975A7F"/>
    <w:rsid w:val="00984007"/>
    <w:rsid w:val="00986F54"/>
    <w:rsid w:val="00997399"/>
    <w:rsid w:val="009C189B"/>
    <w:rsid w:val="009D141B"/>
    <w:rsid w:val="009E61B0"/>
    <w:rsid w:val="009F0618"/>
    <w:rsid w:val="009F15DB"/>
    <w:rsid w:val="009F3DAD"/>
    <w:rsid w:val="00A04095"/>
    <w:rsid w:val="00A13658"/>
    <w:rsid w:val="00A23ACD"/>
    <w:rsid w:val="00A25877"/>
    <w:rsid w:val="00A44503"/>
    <w:rsid w:val="00A47176"/>
    <w:rsid w:val="00A47598"/>
    <w:rsid w:val="00A5368B"/>
    <w:rsid w:val="00A55673"/>
    <w:rsid w:val="00A63723"/>
    <w:rsid w:val="00A64BDE"/>
    <w:rsid w:val="00A65314"/>
    <w:rsid w:val="00A717DB"/>
    <w:rsid w:val="00A71EDA"/>
    <w:rsid w:val="00A83988"/>
    <w:rsid w:val="00A87BC8"/>
    <w:rsid w:val="00A94ECD"/>
    <w:rsid w:val="00A977FA"/>
    <w:rsid w:val="00AA5F43"/>
    <w:rsid w:val="00AA6C72"/>
    <w:rsid w:val="00AE4341"/>
    <w:rsid w:val="00AF4191"/>
    <w:rsid w:val="00B33AAA"/>
    <w:rsid w:val="00B50209"/>
    <w:rsid w:val="00B5106E"/>
    <w:rsid w:val="00B56DDE"/>
    <w:rsid w:val="00B7216E"/>
    <w:rsid w:val="00B90B2F"/>
    <w:rsid w:val="00B93690"/>
    <w:rsid w:val="00B95AA2"/>
    <w:rsid w:val="00BC545F"/>
    <w:rsid w:val="00BC54D1"/>
    <w:rsid w:val="00BE2066"/>
    <w:rsid w:val="00BE29F0"/>
    <w:rsid w:val="00BF03FB"/>
    <w:rsid w:val="00BF67CB"/>
    <w:rsid w:val="00C0587E"/>
    <w:rsid w:val="00C073E3"/>
    <w:rsid w:val="00C128EB"/>
    <w:rsid w:val="00C167EC"/>
    <w:rsid w:val="00C20D8E"/>
    <w:rsid w:val="00C21FD7"/>
    <w:rsid w:val="00C34E75"/>
    <w:rsid w:val="00C720B9"/>
    <w:rsid w:val="00C7561B"/>
    <w:rsid w:val="00C8580C"/>
    <w:rsid w:val="00C87469"/>
    <w:rsid w:val="00CA3C9F"/>
    <w:rsid w:val="00CA43B1"/>
    <w:rsid w:val="00CA4E1F"/>
    <w:rsid w:val="00CC4A3D"/>
    <w:rsid w:val="00D05474"/>
    <w:rsid w:val="00D122EC"/>
    <w:rsid w:val="00D148CC"/>
    <w:rsid w:val="00D15719"/>
    <w:rsid w:val="00D24776"/>
    <w:rsid w:val="00D455CE"/>
    <w:rsid w:val="00D60A1C"/>
    <w:rsid w:val="00D6143D"/>
    <w:rsid w:val="00D62DCA"/>
    <w:rsid w:val="00D66E6F"/>
    <w:rsid w:val="00D7041A"/>
    <w:rsid w:val="00D704EA"/>
    <w:rsid w:val="00D8527E"/>
    <w:rsid w:val="00D85701"/>
    <w:rsid w:val="00D87956"/>
    <w:rsid w:val="00D9585F"/>
    <w:rsid w:val="00DE12EA"/>
    <w:rsid w:val="00DF18DC"/>
    <w:rsid w:val="00E03B2F"/>
    <w:rsid w:val="00E16BEC"/>
    <w:rsid w:val="00E360D0"/>
    <w:rsid w:val="00E45618"/>
    <w:rsid w:val="00E46E64"/>
    <w:rsid w:val="00E53A83"/>
    <w:rsid w:val="00E6166A"/>
    <w:rsid w:val="00E62348"/>
    <w:rsid w:val="00E70AF4"/>
    <w:rsid w:val="00E70B5B"/>
    <w:rsid w:val="00E75177"/>
    <w:rsid w:val="00E76AAA"/>
    <w:rsid w:val="00E81B4C"/>
    <w:rsid w:val="00E820DC"/>
    <w:rsid w:val="00E8624A"/>
    <w:rsid w:val="00EB35C7"/>
    <w:rsid w:val="00EB4BCC"/>
    <w:rsid w:val="00EC138D"/>
    <w:rsid w:val="00EC43CA"/>
    <w:rsid w:val="00EE3E0B"/>
    <w:rsid w:val="00EE4C52"/>
    <w:rsid w:val="00EF1C9C"/>
    <w:rsid w:val="00F160C2"/>
    <w:rsid w:val="00F3763D"/>
    <w:rsid w:val="00F41602"/>
    <w:rsid w:val="00F42D6D"/>
    <w:rsid w:val="00F447F1"/>
    <w:rsid w:val="00F46A40"/>
    <w:rsid w:val="00F50405"/>
    <w:rsid w:val="00F7196C"/>
    <w:rsid w:val="00F72F62"/>
    <w:rsid w:val="00F743E0"/>
    <w:rsid w:val="00FA528C"/>
    <w:rsid w:val="00FB7B35"/>
    <w:rsid w:val="00FC1945"/>
    <w:rsid w:val="00FD1E90"/>
    <w:rsid w:val="00FD33ED"/>
    <w:rsid w:val="00FE13D0"/>
    <w:rsid w:val="00FE28C7"/>
    <w:rsid w:val="00FE5968"/>
    <w:rsid w:val="00FF0BB7"/>
    <w:rsid w:val="00FF3D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587E"/>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145186"/>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5C34D6"/>
    <w:pPr>
      <w:keepNext/>
      <w:keepLines/>
      <w:spacing w:before="200" w:after="0"/>
      <w:outlineLvl w:val="2"/>
    </w:pPr>
    <w:rPr>
      <w:rFonts w:ascii="Cambria" w:eastAsia="Times New Roman" w:hAnsi="Cambria" w:cs="Cambria"/>
      <w:b/>
      <w:b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5186"/>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5C34D6"/>
    <w:rPr>
      <w:rFonts w:ascii="Cambria" w:hAnsi="Cambria" w:cs="Cambria"/>
      <w:b/>
      <w:bCs/>
      <w:color w:val="4F81BD"/>
      <w:lang w:val="en-US"/>
    </w:rPr>
  </w:style>
  <w:style w:type="paragraph" w:styleId="BalloonText">
    <w:name w:val="Balloon Text"/>
    <w:basedOn w:val="Normal"/>
    <w:link w:val="BalloonTextChar"/>
    <w:uiPriority w:val="99"/>
    <w:semiHidden/>
    <w:rsid w:val="00885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5911"/>
    <w:rPr>
      <w:rFonts w:ascii="Tahoma" w:hAnsi="Tahoma" w:cs="Tahoma"/>
      <w:sz w:val="16"/>
      <w:szCs w:val="16"/>
    </w:rPr>
  </w:style>
  <w:style w:type="paragraph" w:customStyle="1" w:styleId="ParaText">
    <w:name w:val="ParaText"/>
    <w:basedOn w:val="Normal"/>
    <w:uiPriority w:val="99"/>
    <w:rsid w:val="00885911"/>
    <w:pPr>
      <w:widowControl w:val="0"/>
      <w:spacing w:before="120" w:after="240" w:line="300" w:lineRule="auto"/>
      <w:jc w:val="both"/>
    </w:pPr>
    <w:rPr>
      <w:rFonts w:ascii="Times New Roman" w:eastAsia="Times New Roman" w:hAnsi="Times New Roman" w:cs="Times New Roman"/>
      <w:sz w:val="24"/>
      <w:szCs w:val="24"/>
      <w:lang w:val="en-US"/>
    </w:rPr>
  </w:style>
  <w:style w:type="paragraph" w:styleId="NoSpacing">
    <w:name w:val="No Spacing"/>
    <w:uiPriority w:val="1"/>
    <w:qFormat/>
    <w:rsid w:val="00885911"/>
    <w:rPr>
      <w:rFonts w:cs="Calibri"/>
      <w:sz w:val="22"/>
      <w:szCs w:val="22"/>
      <w:lang w:eastAsia="en-US"/>
    </w:rPr>
  </w:style>
  <w:style w:type="paragraph" w:styleId="FootnoteText">
    <w:name w:val="footnote text"/>
    <w:aliases w:val="fn,footnote,Footnote Text Char1 Char,Footnote Text Char Char Char,Footnote Text Char Char Char Char Char Char,ADB,Footnote Text Char Char Char Char Char Char Char,Footnote Text Char Char Char Char Char,single space,Geneva 9,Font: Geneva 9"/>
    <w:basedOn w:val="Normal"/>
    <w:link w:val="FootnoteTextChar"/>
    <w:uiPriority w:val="99"/>
    <w:semiHidden/>
    <w:rsid w:val="00D66E6F"/>
    <w:pPr>
      <w:spacing w:after="0" w:line="240" w:lineRule="auto"/>
    </w:pPr>
    <w:rPr>
      <w:sz w:val="20"/>
      <w:szCs w:val="20"/>
    </w:rPr>
  </w:style>
  <w:style w:type="character" w:customStyle="1" w:styleId="FootnoteTextChar">
    <w:name w:val="Footnote Text Char"/>
    <w:aliases w:val="fn Char,footnote Char,Footnote Text Char1 Char Char,Footnote Text Char Char Char Char,Footnote Text Char Char Char Char Char Char Char1,ADB Char,Footnote Text Char Char Char Char Char Char Char Char,single space Char,Geneva 9 Char"/>
    <w:basedOn w:val="DefaultParagraphFont"/>
    <w:link w:val="FootnoteText"/>
    <w:uiPriority w:val="99"/>
    <w:locked/>
    <w:rsid w:val="00D66E6F"/>
    <w:rPr>
      <w:sz w:val="20"/>
      <w:szCs w:val="20"/>
    </w:rPr>
  </w:style>
  <w:style w:type="character" w:styleId="FootnoteReference">
    <w:name w:val="footnote reference"/>
    <w:aliases w:val="Fußnotenzeichen DISS,16 Point,Superscript 6 Point,ftref,BVI fnr,Знак сноски 1,referencia nota al pie,FC"/>
    <w:basedOn w:val="DefaultParagraphFont"/>
    <w:uiPriority w:val="99"/>
    <w:semiHidden/>
    <w:rsid w:val="00D66E6F"/>
    <w:rPr>
      <w:vertAlign w:val="superscript"/>
    </w:rPr>
  </w:style>
  <w:style w:type="paragraph" w:styleId="NormalWeb">
    <w:name w:val="Normal (Web)"/>
    <w:basedOn w:val="Normal"/>
    <w:uiPriority w:val="99"/>
    <w:rsid w:val="003B691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yperlink">
    <w:name w:val="Hyperlink"/>
    <w:basedOn w:val="DefaultParagraphFont"/>
    <w:uiPriority w:val="99"/>
    <w:rsid w:val="00192984"/>
    <w:rPr>
      <w:color w:val="0000FF"/>
      <w:u w:val="single"/>
    </w:rPr>
  </w:style>
  <w:style w:type="paragraph" w:styleId="ListParagraph">
    <w:name w:val="List Paragraph"/>
    <w:basedOn w:val="Normal"/>
    <w:uiPriority w:val="99"/>
    <w:qFormat/>
    <w:rsid w:val="00192984"/>
    <w:pPr>
      <w:ind w:left="720"/>
    </w:pPr>
  </w:style>
  <w:style w:type="paragraph" w:styleId="TOCHeading">
    <w:name w:val="TOC Heading"/>
    <w:basedOn w:val="Heading1"/>
    <w:next w:val="Normal"/>
    <w:uiPriority w:val="99"/>
    <w:qFormat/>
    <w:rsid w:val="00594C4D"/>
    <w:pPr>
      <w:outlineLvl w:val="9"/>
    </w:pPr>
    <w:rPr>
      <w:lang w:val="es-ES"/>
    </w:rPr>
  </w:style>
  <w:style w:type="paragraph" w:styleId="TOC1">
    <w:name w:val="toc 1"/>
    <w:basedOn w:val="Normal"/>
    <w:next w:val="Normal"/>
    <w:autoRedefine/>
    <w:uiPriority w:val="99"/>
    <w:semiHidden/>
    <w:rsid w:val="00594C4D"/>
    <w:pPr>
      <w:spacing w:after="100"/>
    </w:pPr>
  </w:style>
  <w:style w:type="paragraph" w:styleId="TOC3">
    <w:name w:val="toc 3"/>
    <w:basedOn w:val="Normal"/>
    <w:next w:val="Normal"/>
    <w:autoRedefine/>
    <w:uiPriority w:val="99"/>
    <w:semiHidden/>
    <w:rsid w:val="00594C4D"/>
    <w:pPr>
      <w:spacing w:after="100"/>
      <w:ind w:left="440"/>
    </w:pPr>
  </w:style>
  <w:style w:type="paragraph" w:styleId="Header">
    <w:name w:val="header"/>
    <w:basedOn w:val="Normal"/>
    <w:link w:val="HeaderChar"/>
    <w:uiPriority w:val="99"/>
    <w:semiHidden/>
    <w:unhideWhenUsed/>
    <w:rsid w:val="008E4464"/>
    <w:pPr>
      <w:tabs>
        <w:tab w:val="center" w:pos="4419"/>
        <w:tab w:val="right" w:pos="8838"/>
      </w:tabs>
    </w:pPr>
  </w:style>
  <w:style w:type="character" w:customStyle="1" w:styleId="HeaderChar">
    <w:name w:val="Header Char"/>
    <w:basedOn w:val="DefaultParagraphFont"/>
    <w:link w:val="Header"/>
    <w:uiPriority w:val="99"/>
    <w:semiHidden/>
    <w:rsid w:val="008E4464"/>
    <w:rPr>
      <w:rFonts w:cs="Calibri"/>
      <w:sz w:val="22"/>
      <w:szCs w:val="22"/>
      <w:lang w:eastAsia="en-US"/>
    </w:rPr>
  </w:style>
  <w:style w:type="paragraph" w:styleId="Footer">
    <w:name w:val="footer"/>
    <w:basedOn w:val="Normal"/>
    <w:link w:val="FooterChar"/>
    <w:uiPriority w:val="99"/>
    <w:unhideWhenUsed/>
    <w:rsid w:val="008E4464"/>
    <w:pPr>
      <w:tabs>
        <w:tab w:val="center" w:pos="4419"/>
        <w:tab w:val="right" w:pos="8838"/>
      </w:tabs>
    </w:pPr>
  </w:style>
  <w:style w:type="character" w:customStyle="1" w:styleId="FooterChar">
    <w:name w:val="Footer Char"/>
    <w:basedOn w:val="DefaultParagraphFont"/>
    <w:link w:val="Footer"/>
    <w:uiPriority w:val="99"/>
    <w:rsid w:val="008E4464"/>
    <w:rPr>
      <w:rFonts w:cs="Calibri"/>
      <w:sz w:val="22"/>
      <w:szCs w:val="22"/>
      <w:lang w:eastAsia="en-US"/>
    </w:rPr>
  </w:style>
  <w:style w:type="character" w:styleId="CommentReference">
    <w:name w:val="annotation reference"/>
    <w:basedOn w:val="DefaultParagraphFont"/>
    <w:uiPriority w:val="99"/>
    <w:semiHidden/>
    <w:unhideWhenUsed/>
    <w:rsid w:val="00CA43B1"/>
    <w:rPr>
      <w:sz w:val="16"/>
      <w:szCs w:val="16"/>
    </w:rPr>
  </w:style>
  <w:style w:type="paragraph" w:styleId="CommentText">
    <w:name w:val="annotation text"/>
    <w:basedOn w:val="Normal"/>
    <w:link w:val="CommentTextChar"/>
    <w:uiPriority w:val="99"/>
    <w:semiHidden/>
    <w:unhideWhenUsed/>
    <w:rsid w:val="00CA43B1"/>
    <w:rPr>
      <w:sz w:val="20"/>
      <w:szCs w:val="20"/>
    </w:rPr>
  </w:style>
  <w:style w:type="character" w:customStyle="1" w:styleId="CommentTextChar">
    <w:name w:val="Comment Text Char"/>
    <w:basedOn w:val="DefaultParagraphFont"/>
    <w:link w:val="CommentText"/>
    <w:uiPriority w:val="99"/>
    <w:semiHidden/>
    <w:rsid w:val="00CA43B1"/>
    <w:rPr>
      <w:rFonts w:cs="Calibri"/>
      <w:lang w:eastAsia="en-US"/>
    </w:rPr>
  </w:style>
  <w:style w:type="paragraph" w:styleId="CommentSubject">
    <w:name w:val="annotation subject"/>
    <w:basedOn w:val="CommentText"/>
    <w:next w:val="CommentText"/>
    <w:link w:val="CommentSubjectChar"/>
    <w:uiPriority w:val="99"/>
    <w:semiHidden/>
    <w:unhideWhenUsed/>
    <w:rsid w:val="00CA43B1"/>
    <w:rPr>
      <w:b/>
      <w:bCs/>
    </w:rPr>
  </w:style>
  <w:style w:type="character" w:customStyle="1" w:styleId="CommentSubjectChar">
    <w:name w:val="Comment Subject Char"/>
    <w:basedOn w:val="CommentTextChar"/>
    <w:link w:val="CommentSubject"/>
    <w:uiPriority w:val="99"/>
    <w:semiHidden/>
    <w:rsid w:val="00CA43B1"/>
    <w:rPr>
      <w:rFonts w:cs="Calibri"/>
      <w:b/>
      <w:bCs/>
      <w:lang w:eastAsia="en-US"/>
    </w:rPr>
  </w:style>
  <w:style w:type="paragraph" w:styleId="BodyTextIndent">
    <w:name w:val="Body Text Indent"/>
    <w:basedOn w:val="Normal"/>
    <w:link w:val="BodyTextIndentChar"/>
    <w:uiPriority w:val="99"/>
    <w:semiHidden/>
    <w:unhideWhenUsed/>
    <w:rsid w:val="00EC138D"/>
    <w:pPr>
      <w:spacing w:after="120"/>
      <w:ind w:left="360"/>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semiHidden/>
    <w:rsid w:val="00EC138D"/>
    <w:rPr>
      <w:rFonts w:asciiTheme="minorHAnsi" w:eastAsiaTheme="minorHAnsi" w:hAnsiTheme="minorHAnsi" w:cstheme="minorBidi"/>
      <w:sz w:val="22"/>
      <w:szCs w:val="22"/>
      <w:lang w:val="en-US" w:eastAsia="en-US"/>
    </w:rPr>
  </w:style>
  <w:style w:type="paragraph" w:styleId="Revision">
    <w:name w:val="Revision"/>
    <w:hidden/>
    <w:uiPriority w:val="99"/>
    <w:semiHidden/>
    <w:rsid w:val="003F4570"/>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587E"/>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145186"/>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5C34D6"/>
    <w:pPr>
      <w:keepNext/>
      <w:keepLines/>
      <w:spacing w:before="200" w:after="0"/>
      <w:outlineLvl w:val="2"/>
    </w:pPr>
    <w:rPr>
      <w:rFonts w:ascii="Cambria" w:eastAsia="Times New Roman" w:hAnsi="Cambria" w:cs="Cambria"/>
      <w:b/>
      <w:b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5186"/>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5C34D6"/>
    <w:rPr>
      <w:rFonts w:ascii="Cambria" w:hAnsi="Cambria" w:cs="Cambria"/>
      <w:b/>
      <w:bCs/>
      <w:color w:val="4F81BD"/>
      <w:lang w:val="en-US"/>
    </w:rPr>
  </w:style>
  <w:style w:type="paragraph" w:styleId="BalloonText">
    <w:name w:val="Balloon Text"/>
    <w:basedOn w:val="Normal"/>
    <w:link w:val="BalloonTextChar"/>
    <w:uiPriority w:val="99"/>
    <w:semiHidden/>
    <w:rsid w:val="00885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5911"/>
    <w:rPr>
      <w:rFonts w:ascii="Tahoma" w:hAnsi="Tahoma" w:cs="Tahoma"/>
      <w:sz w:val="16"/>
      <w:szCs w:val="16"/>
    </w:rPr>
  </w:style>
  <w:style w:type="paragraph" w:customStyle="1" w:styleId="ParaText">
    <w:name w:val="ParaText"/>
    <w:basedOn w:val="Normal"/>
    <w:uiPriority w:val="99"/>
    <w:rsid w:val="00885911"/>
    <w:pPr>
      <w:widowControl w:val="0"/>
      <w:spacing w:before="120" w:after="240" w:line="300" w:lineRule="auto"/>
      <w:jc w:val="both"/>
    </w:pPr>
    <w:rPr>
      <w:rFonts w:ascii="Times New Roman" w:eastAsia="Times New Roman" w:hAnsi="Times New Roman" w:cs="Times New Roman"/>
      <w:sz w:val="24"/>
      <w:szCs w:val="24"/>
      <w:lang w:val="en-US"/>
    </w:rPr>
  </w:style>
  <w:style w:type="paragraph" w:styleId="NoSpacing">
    <w:name w:val="No Spacing"/>
    <w:uiPriority w:val="1"/>
    <w:qFormat/>
    <w:rsid w:val="00885911"/>
    <w:rPr>
      <w:rFonts w:cs="Calibri"/>
      <w:sz w:val="22"/>
      <w:szCs w:val="22"/>
      <w:lang w:eastAsia="en-US"/>
    </w:rPr>
  </w:style>
  <w:style w:type="paragraph" w:styleId="FootnoteText">
    <w:name w:val="footnote text"/>
    <w:aliases w:val="fn,footnote,Footnote Text Char1 Char,Footnote Text Char Char Char,Footnote Text Char Char Char Char Char Char,ADB,Footnote Text Char Char Char Char Char Char Char,Footnote Text Char Char Char Char Char,single space,Geneva 9,Font: Geneva 9"/>
    <w:basedOn w:val="Normal"/>
    <w:link w:val="FootnoteTextChar"/>
    <w:uiPriority w:val="99"/>
    <w:semiHidden/>
    <w:rsid w:val="00D66E6F"/>
    <w:pPr>
      <w:spacing w:after="0" w:line="240" w:lineRule="auto"/>
    </w:pPr>
    <w:rPr>
      <w:sz w:val="20"/>
      <w:szCs w:val="20"/>
    </w:rPr>
  </w:style>
  <w:style w:type="character" w:customStyle="1" w:styleId="FootnoteTextChar">
    <w:name w:val="Footnote Text Char"/>
    <w:aliases w:val="fn Char,footnote Char,Footnote Text Char1 Char Char,Footnote Text Char Char Char Char,Footnote Text Char Char Char Char Char Char Char1,ADB Char,Footnote Text Char Char Char Char Char Char Char Char,single space Char,Geneva 9 Char"/>
    <w:basedOn w:val="DefaultParagraphFont"/>
    <w:link w:val="FootnoteText"/>
    <w:uiPriority w:val="99"/>
    <w:locked/>
    <w:rsid w:val="00D66E6F"/>
    <w:rPr>
      <w:sz w:val="20"/>
      <w:szCs w:val="20"/>
    </w:rPr>
  </w:style>
  <w:style w:type="character" w:styleId="FootnoteReference">
    <w:name w:val="footnote reference"/>
    <w:aliases w:val="Fußnotenzeichen DISS,16 Point,Superscript 6 Point,ftref,BVI fnr,Знак сноски 1,referencia nota al pie,FC"/>
    <w:basedOn w:val="DefaultParagraphFont"/>
    <w:uiPriority w:val="99"/>
    <w:semiHidden/>
    <w:rsid w:val="00D66E6F"/>
    <w:rPr>
      <w:vertAlign w:val="superscript"/>
    </w:rPr>
  </w:style>
  <w:style w:type="paragraph" w:styleId="NormalWeb">
    <w:name w:val="Normal (Web)"/>
    <w:basedOn w:val="Normal"/>
    <w:uiPriority w:val="99"/>
    <w:rsid w:val="003B691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yperlink">
    <w:name w:val="Hyperlink"/>
    <w:basedOn w:val="DefaultParagraphFont"/>
    <w:uiPriority w:val="99"/>
    <w:rsid w:val="00192984"/>
    <w:rPr>
      <w:color w:val="0000FF"/>
      <w:u w:val="single"/>
    </w:rPr>
  </w:style>
  <w:style w:type="paragraph" w:styleId="ListParagraph">
    <w:name w:val="List Paragraph"/>
    <w:basedOn w:val="Normal"/>
    <w:uiPriority w:val="99"/>
    <w:qFormat/>
    <w:rsid w:val="00192984"/>
    <w:pPr>
      <w:ind w:left="720"/>
    </w:pPr>
  </w:style>
  <w:style w:type="paragraph" w:styleId="TOCHeading">
    <w:name w:val="TOC Heading"/>
    <w:basedOn w:val="Heading1"/>
    <w:next w:val="Normal"/>
    <w:uiPriority w:val="99"/>
    <w:qFormat/>
    <w:rsid w:val="00594C4D"/>
    <w:pPr>
      <w:outlineLvl w:val="9"/>
    </w:pPr>
    <w:rPr>
      <w:lang w:val="es-ES"/>
    </w:rPr>
  </w:style>
  <w:style w:type="paragraph" w:styleId="TOC1">
    <w:name w:val="toc 1"/>
    <w:basedOn w:val="Normal"/>
    <w:next w:val="Normal"/>
    <w:autoRedefine/>
    <w:uiPriority w:val="99"/>
    <w:semiHidden/>
    <w:rsid w:val="00594C4D"/>
    <w:pPr>
      <w:spacing w:after="100"/>
    </w:pPr>
  </w:style>
  <w:style w:type="paragraph" w:styleId="TOC3">
    <w:name w:val="toc 3"/>
    <w:basedOn w:val="Normal"/>
    <w:next w:val="Normal"/>
    <w:autoRedefine/>
    <w:uiPriority w:val="99"/>
    <w:semiHidden/>
    <w:rsid w:val="00594C4D"/>
    <w:pPr>
      <w:spacing w:after="100"/>
      <w:ind w:left="440"/>
    </w:pPr>
  </w:style>
  <w:style w:type="paragraph" w:styleId="Header">
    <w:name w:val="header"/>
    <w:basedOn w:val="Normal"/>
    <w:link w:val="HeaderChar"/>
    <w:uiPriority w:val="99"/>
    <w:semiHidden/>
    <w:unhideWhenUsed/>
    <w:rsid w:val="008E4464"/>
    <w:pPr>
      <w:tabs>
        <w:tab w:val="center" w:pos="4419"/>
        <w:tab w:val="right" w:pos="8838"/>
      </w:tabs>
    </w:pPr>
  </w:style>
  <w:style w:type="character" w:customStyle="1" w:styleId="HeaderChar">
    <w:name w:val="Header Char"/>
    <w:basedOn w:val="DefaultParagraphFont"/>
    <w:link w:val="Header"/>
    <w:uiPriority w:val="99"/>
    <w:semiHidden/>
    <w:rsid w:val="008E4464"/>
    <w:rPr>
      <w:rFonts w:cs="Calibri"/>
      <w:sz w:val="22"/>
      <w:szCs w:val="22"/>
      <w:lang w:eastAsia="en-US"/>
    </w:rPr>
  </w:style>
  <w:style w:type="paragraph" w:styleId="Footer">
    <w:name w:val="footer"/>
    <w:basedOn w:val="Normal"/>
    <w:link w:val="FooterChar"/>
    <w:uiPriority w:val="99"/>
    <w:unhideWhenUsed/>
    <w:rsid w:val="008E4464"/>
    <w:pPr>
      <w:tabs>
        <w:tab w:val="center" w:pos="4419"/>
        <w:tab w:val="right" w:pos="8838"/>
      </w:tabs>
    </w:pPr>
  </w:style>
  <w:style w:type="character" w:customStyle="1" w:styleId="FooterChar">
    <w:name w:val="Footer Char"/>
    <w:basedOn w:val="DefaultParagraphFont"/>
    <w:link w:val="Footer"/>
    <w:uiPriority w:val="99"/>
    <w:rsid w:val="008E4464"/>
    <w:rPr>
      <w:rFonts w:cs="Calibri"/>
      <w:sz w:val="22"/>
      <w:szCs w:val="22"/>
      <w:lang w:eastAsia="en-US"/>
    </w:rPr>
  </w:style>
  <w:style w:type="character" w:styleId="CommentReference">
    <w:name w:val="annotation reference"/>
    <w:basedOn w:val="DefaultParagraphFont"/>
    <w:uiPriority w:val="99"/>
    <w:semiHidden/>
    <w:unhideWhenUsed/>
    <w:rsid w:val="00CA43B1"/>
    <w:rPr>
      <w:sz w:val="16"/>
      <w:szCs w:val="16"/>
    </w:rPr>
  </w:style>
  <w:style w:type="paragraph" w:styleId="CommentText">
    <w:name w:val="annotation text"/>
    <w:basedOn w:val="Normal"/>
    <w:link w:val="CommentTextChar"/>
    <w:uiPriority w:val="99"/>
    <w:semiHidden/>
    <w:unhideWhenUsed/>
    <w:rsid w:val="00CA43B1"/>
    <w:rPr>
      <w:sz w:val="20"/>
      <w:szCs w:val="20"/>
    </w:rPr>
  </w:style>
  <w:style w:type="character" w:customStyle="1" w:styleId="CommentTextChar">
    <w:name w:val="Comment Text Char"/>
    <w:basedOn w:val="DefaultParagraphFont"/>
    <w:link w:val="CommentText"/>
    <w:uiPriority w:val="99"/>
    <w:semiHidden/>
    <w:rsid w:val="00CA43B1"/>
    <w:rPr>
      <w:rFonts w:cs="Calibri"/>
      <w:lang w:eastAsia="en-US"/>
    </w:rPr>
  </w:style>
  <w:style w:type="paragraph" w:styleId="CommentSubject">
    <w:name w:val="annotation subject"/>
    <w:basedOn w:val="CommentText"/>
    <w:next w:val="CommentText"/>
    <w:link w:val="CommentSubjectChar"/>
    <w:uiPriority w:val="99"/>
    <w:semiHidden/>
    <w:unhideWhenUsed/>
    <w:rsid w:val="00CA43B1"/>
    <w:rPr>
      <w:b/>
      <w:bCs/>
    </w:rPr>
  </w:style>
  <w:style w:type="character" w:customStyle="1" w:styleId="CommentSubjectChar">
    <w:name w:val="Comment Subject Char"/>
    <w:basedOn w:val="CommentTextChar"/>
    <w:link w:val="CommentSubject"/>
    <w:uiPriority w:val="99"/>
    <w:semiHidden/>
    <w:rsid w:val="00CA43B1"/>
    <w:rPr>
      <w:rFonts w:cs="Calibri"/>
      <w:b/>
      <w:bCs/>
      <w:lang w:eastAsia="en-US"/>
    </w:rPr>
  </w:style>
  <w:style w:type="paragraph" w:styleId="BodyTextIndent">
    <w:name w:val="Body Text Indent"/>
    <w:basedOn w:val="Normal"/>
    <w:link w:val="BodyTextIndentChar"/>
    <w:uiPriority w:val="99"/>
    <w:semiHidden/>
    <w:unhideWhenUsed/>
    <w:rsid w:val="00EC138D"/>
    <w:pPr>
      <w:spacing w:after="120"/>
      <w:ind w:left="360"/>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semiHidden/>
    <w:rsid w:val="00EC138D"/>
    <w:rPr>
      <w:rFonts w:asciiTheme="minorHAnsi" w:eastAsiaTheme="minorHAnsi" w:hAnsiTheme="minorHAnsi" w:cstheme="minorBidi"/>
      <w:sz w:val="22"/>
      <w:szCs w:val="22"/>
      <w:lang w:val="en-US" w:eastAsia="en-US"/>
    </w:rPr>
  </w:style>
  <w:style w:type="paragraph" w:styleId="Revision">
    <w:name w:val="Revision"/>
    <w:hidden/>
    <w:uiPriority w:val="99"/>
    <w:semiHidden/>
    <w:rsid w:val="003F4570"/>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984">
      <w:marLeft w:val="0"/>
      <w:marRight w:val="0"/>
      <w:marTop w:val="0"/>
      <w:marBottom w:val="0"/>
      <w:divBdr>
        <w:top w:val="none" w:sz="0" w:space="0" w:color="auto"/>
        <w:left w:val="none" w:sz="0" w:space="0" w:color="auto"/>
        <w:bottom w:val="none" w:sz="0" w:space="0" w:color="auto"/>
        <w:right w:val="none" w:sz="0" w:space="0" w:color="auto"/>
      </w:divBdr>
    </w:div>
    <w:div w:id="157187985">
      <w:marLeft w:val="0"/>
      <w:marRight w:val="0"/>
      <w:marTop w:val="0"/>
      <w:marBottom w:val="0"/>
      <w:divBdr>
        <w:top w:val="none" w:sz="0" w:space="0" w:color="auto"/>
        <w:left w:val="none" w:sz="0" w:space="0" w:color="auto"/>
        <w:bottom w:val="none" w:sz="0" w:space="0" w:color="auto"/>
        <w:right w:val="none" w:sz="0" w:space="0" w:color="auto"/>
      </w:divBdr>
    </w:div>
    <w:div w:id="157187987">
      <w:marLeft w:val="0"/>
      <w:marRight w:val="0"/>
      <w:marTop w:val="0"/>
      <w:marBottom w:val="0"/>
      <w:divBdr>
        <w:top w:val="none" w:sz="0" w:space="0" w:color="auto"/>
        <w:left w:val="none" w:sz="0" w:space="0" w:color="auto"/>
        <w:bottom w:val="none" w:sz="0" w:space="0" w:color="auto"/>
        <w:right w:val="none" w:sz="0" w:space="0" w:color="auto"/>
      </w:divBdr>
    </w:div>
    <w:div w:id="157187988">
      <w:marLeft w:val="0"/>
      <w:marRight w:val="0"/>
      <w:marTop w:val="0"/>
      <w:marBottom w:val="0"/>
      <w:divBdr>
        <w:top w:val="none" w:sz="0" w:space="0" w:color="auto"/>
        <w:left w:val="none" w:sz="0" w:space="0" w:color="auto"/>
        <w:bottom w:val="none" w:sz="0" w:space="0" w:color="auto"/>
        <w:right w:val="none" w:sz="0" w:space="0" w:color="auto"/>
      </w:divBdr>
    </w:div>
    <w:div w:id="157187989">
      <w:marLeft w:val="0"/>
      <w:marRight w:val="0"/>
      <w:marTop w:val="0"/>
      <w:marBottom w:val="0"/>
      <w:divBdr>
        <w:top w:val="none" w:sz="0" w:space="0" w:color="auto"/>
        <w:left w:val="none" w:sz="0" w:space="0" w:color="auto"/>
        <w:bottom w:val="none" w:sz="0" w:space="0" w:color="auto"/>
        <w:right w:val="none" w:sz="0" w:space="0" w:color="auto"/>
      </w:divBdr>
    </w:div>
    <w:div w:id="157187990">
      <w:marLeft w:val="0"/>
      <w:marRight w:val="0"/>
      <w:marTop w:val="0"/>
      <w:marBottom w:val="0"/>
      <w:divBdr>
        <w:top w:val="none" w:sz="0" w:space="0" w:color="auto"/>
        <w:left w:val="none" w:sz="0" w:space="0" w:color="auto"/>
        <w:bottom w:val="none" w:sz="0" w:space="0" w:color="auto"/>
        <w:right w:val="none" w:sz="0" w:space="0" w:color="auto"/>
      </w:divBdr>
    </w:div>
    <w:div w:id="157187991">
      <w:marLeft w:val="0"/>
      <w:marRight w:val="0"/>
      <w:marTop w:val="0"/>
      <w:marBottom w:val="0"/>
      <w:divBdr>
        <w:top w:val="none" w:sz="0" w:space="0" w:color="auto"/>
        <w:left w:val="none" w:sz="0" w:space="0" w:color="auto"/>
        <w:bottom w:val="none" w:sz="0" w:space="0" w:color="auto"/>
        <w:right w:val="none" w:sz="0" w:space="0" w:color="auto"/>
      </w:divBdr>
    </w:div>
    <w:div w:id="157187993">
      <w:marLeft w:val="0"/>
      <w:marRight w:val="0"/>
      <w:marTop w:val="0"/>
      <w:marBottom w:val="0"/>
      <w:divBdr>
        <w:top w:val="none" w:sz="0" w:space="0" w:color="auto"/>
        <w:left w:val="none" w:sz="0" w:space="0" w:color="auto"/>
        <w:bottom w:val="none" w:sz="0" w:space="0" w:color="auto"/>
        <w:right w:val="none" w:sz="0" w:space="0" w:color="auto"/>
      </w:divBdr>
    </w:div>
    <w:div w:id="157187994">
      <w:marLeft w:val="0"/>
      <w:marRight w:val="0"/>
      <w:marTop w:val="0"/>
      <w:marBottom w:val="0"/>
      <w:divBdr>
        <w:top w:val="none" w:sz="0" w:space="0" w:color="auto"/>
        <w:left w:val="none" w:sz="0" w:space="0" w:color="auto"/>
        <w:bottom w:val="none" w:sz="0" w:space="0" w:color="auto"/>
        <w:right w:val="none" w:sz="0" w:space="0" w:color="auto"/>
      </w:divBdr>
    </w:div>
    <w:div w:id="157187995">
      <w:marLeft w:val="0"/>
      <w:marRight w:val="0"/>
      <w:marTop w:val="0"/>
      <w:marBottom w:val="0"/>
      <w:divBdr>
        <w:top w:val="none" w:sz="0" w:space="0" w:color="auto"/>
        <w:left w:val="none" w:sz="0" w:space="0" w:color="auto"/>
        <w:bottom w:val="none" w:sz="0" w:space="0" w:color="auto"/>
        <w:right w:val="none" w:sz="0" w:space="0" w:color="auto"/>
      </w:divBdr>
    </w:div>
    <w:div w:id="157187996">
      <w:marLeft w:val="0"/>
      <w:marRight w:val="0"/>
      <w:marTop w:val="0"/>
      <w:marBottom w:val="0"/>
      <w:divBdr>
        <w:top w:val="none" w:sz="0" w:space="0" w:color="auto"/>
        <w:left w:val="none" w:sz="0" w:space="0" w:color="auto"/>
        <w:bottom w:val="none" w:sz="0" w:space="0" w:color="auto"/>
        <w:right w:val="none" w:sz="0" w:space="0" w:color="auto"/>
      </w:divBdr>
      <w:divsChild>
        <w:div w:id="157187982">
          <w:marLeft w:val="1886"/>
          <w:marRight w:val="0"/>
          <w:marTop w:val="0"/>
          <w:marBottom w:val="0"/>
          <w:divBdr>
            <w:top w:val="none" w:sz="0" w:space="0" w:color="auto"/>
            <w:left w:val="none" w:sz="0" w:space="0" w:color="auto"/>
            <w:bottom w:val="none" w:sz="0" w:space="0" w:color="auto"/>
            <w:right w:val="none" w:sz="0" w:space="0" w:color="auto"/>
          </w:divBdr>
        </w:div>
        <w:div w:id="157187983">
          <w:marLeft w:val="720"/>
          <w:marRight w:val="0"/>
          <w:marTop w:val="0"/>
          <w:marBottom w:val="0"/>
          <w:divBdr>
            <w:top w:val="none" w:sz="0" w:space="0" w:color="auto"/>
            <w:left w:val="none" w:sz="0" w:space="0" w:color="auto"/>
            <w:bottom w:val="none" w:sz="0" w:space="0" w:color="auto"/>
            <w:right w:val="none" w:sz="0" w:space="0" w:color="auto"/>
          </w:divBdr>
        </w:div>
        <w:div w:id="157187986">
          <w:marLeft w:val="1886"/>
          <w:marRight w:val="0"/>
          <w:marTop w:val="0"/>
          <w:marBottom w:val="0"/>
          <w:divBdr>
            <w:top w:val="none" w:sz="0" w:space="0" w:color="auto"/>
            <w:left w:val="none" w:sz="0" w:space="0" w:color="auto"/>
            <w:bottom w:val="none" w:sz="0" w:space="0" w:color="auto"/>
            <w:right w:val="none" w:sz="0" w:space="0" w:color="auto"/>
          </w:divBdr>
        </w:div>
        <w:div w:id="157187992">
          <w:marLeft w:val="1886"/>
          <w:marRight w:val="0"/>
          <w:marTop w:val="0"/>
          <w:marBottom w:val="0"/>
          <w:divBdr>
            <w:top w:val="none" w:sz="0" w:space="0" w:color="auto"/>
            <w:left w:val="none" w:sz="0" w:space="0" w:color="auto"/>
            <w:bottom w:val="none" w:sz="0" w:space="0" w:color="auto"/>
            <w:right w:val="none" w:sz="0" w:space="0" w:color="auto"/>
          </w:divBdr>
        </w:div>
        <w:div w:id="157187997">
          <w:marLeft w:val="720"/>
          <w:marRight w:val="0"/>
          <w:marTop w:val="0"/>
          <w:marBottom w:val="0"/>
          <w:divBdr>
            <w:top w:val="none" w:sz="0" w:space="0" w:color="auto"/>
            <w:left w:val="none" w:sz="0" w:space="0" w:color="auto"/>
            <w:bottom w:val="none" w:sz="0" w:space="0" w:color="auto"/>
            <w:right w:val="none" w:sz="0" w:space="0" w:color="auto"/>
          </w:divBdr>
        </w:div>
        <w:div w:id="157187998">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png"/><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png"/><Relationship Id="rId42" Type="http://schemas.openxmlformats.org/officeDocument/2006/relationships/fontTable" Target="fontTable.xml"/><Relationship Id="rId47"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png"/><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png"/><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png"/><Relationship Id="rId4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theme" Target="theme/theme1.xml"/><Relationship Id="rId48" Type="http://schemas.openxmlformats.org/officeDocument/2006/relationships/customXml" Target="../customXml/item6.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png"/><Relationship Id="rId38" Type="http://schemas.openxmlformats.org/officeDocument/2006/relationships/image" Target="media/image30.emf"/><Relationship Id="rId46" Type="http://schemas.openxmlformats.org/officeDocument/2006/relationships/customXml" Target="../customXml/item4.xml"/><Relationship Id="rId20" Type="http://schemas.openxmlformats.org/officeDocument/2006/relationships/image" Target="media/image12.emf"/><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Elasticity_(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EVALUATION TRACKING DOCUMENT</Project_x0020_Document_x0020_Type>
    <Business_x0020_Area xmlns="9c571b2f-e523-4ab2-ba2e-09e151a03ef4">a</Business_x0020_Area>
    <IDBDocs_x0020_Number xmlns="9c571b2f-e523-4ab2-ba2e-09e151a03ef4">38033882</IDBDocs_x0020_Number>
    <TaxCatchAll xmlns="9c571b2f-e523-4ab2-ba2e-09e151a03ef4">
      <Value>2</Value>
    </TaxCatchAll>
    <Phase xmlns="9c571b2f-e523-4ab2-ba2e-09e151a03ef4" xsi:nil="true"/>
    <SISCOR_x0020_Number xmlns="9c571b2f-e523-4ab2-ba2e-09e151a03ef4" xsi:nil="true"/>
    <Division_x0020_or_x0020_Unit xmlns="9c571b2f-e523-4ab2-ba2e-09e151a03ef4">INE/ENE</Division_x0020_or_x0020_Unit>
    <o5138a91267540169645e33d09c9ddc6 xmlns="9c571b2f-e523-4ab2-ba2e-09e151a03ef4">
      <Terms xmlns="http://schemas.microsoft.com/office/infopath/2007/PartnerControls"/>
    </o5138a91267540169645e33d09c9ddc6>
    <Approval_x0020_Number xmlns="9c571b2f-e523-4ab2-ba2e-09e151a03ef4" xsi:nil="true"/>
    <Document_x0020_Author xmlns="9c571b2f-e523-4ab2-ba2e-09e151a03ef4">INE-ENE</Document_x0020_Author>
    <e559ffcc31d34167856647188be35015 xmlns="9c571b2f-e523-4ab2-ba2e-09e151a03ef4">
      <Terms xmlns="http://schemas.microsoft.com/office/infopath/2007/PartnerControls"/>
    </e559ffcc31d34167856647188be35015>
    <Fiscal_x0020_Year_x0020_IDB xmlns="9c571b2f-e523-4ab2-ba2e-09e151a03ef4">2013</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fd0e48b6a66848a9885f717e5bbf40c4>
    <Project_x0020_Number xmlns="9c571b2f-e523-4ab2-ba2e-09e151a03ef4">SU-L1009</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Identifier>
    <Disclosure_x0020_Activity xmlns="9c571b2f-e523-4ab2-ba2e-09e151a03ef4">Loan Proposal</Disclosure_x0020_Activity>
    <Webtopic xmlns="9c571b2f-e523-4ab2-ba2e-09e151a03ef4">EN-ENG</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7DE5BE41164C7544A9A0CA6191816F40" ma:contentTypeVersion="0" ma:contentTypeDescription="A content type to manage public (operations) IDB documents" ma:contentTypeScope="" ma:versionID="3f5e14cbebee94e4d771f40cddd0e52a">
  <xsd:schema xmlns:xsd="http://www.w3.org/2001/XMLSchema" xmlns:xs="http://www.w3.org/2001/XMLSchema" xmlns:p="http://schemas.microsoft.com/office/2006/metadata/properties" xmlns:ns2="9c571b2f-e523-4ab2-ba2e-09e151a03ef4" targetNamespace="http://schemas.microsoft.com/office/2006/metadata/properties" ma:root="true" ma:fieldsID="bafd4bc984cf5f6aea22685423225c0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4445462-ea74-4a65-b2dc-4d24fbe905cc}" ma:internalName="TaxCatchAll" ma:showField="CatchAllData" ma:web="bf40e83c-993a-41d3-8d89-aa2461e367f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4445462-ea74-4a65-b2dc-4d24fbe905cc}" ma:internalName="TaxCatchAllLabel" ma:readOnly="true" ma:showField="CatchAllDataLabel" ma:web="bf40e83c-993a-41d3-8d89-aa2461e367f9">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638B0-93A0-4BC7-AB1D-6D43F2D34FA7}"/>
</file>

<file path=customXml/itemProps2.xml><?xml version="1.0" encoding="utf-8"?>
<ds:datastoreItem xmlns:ds="http://schemas.openxmlformats.org/officeDocument/2006/customXml" ds:itemID="{083285EF-6472-4131-8716-9FDFBABBF744}"/>
</file>

<file path=customXml/itemProps3.xml><?xml version="1.0" encoding="utf-8"?>
<ds:datastoreItem xmlns:ds="http://schemas.openxmlformats.org/officeDocument/2006/customXml" ds:itemID="{327D25AC-1744-4A68-B48A-A9C2F96F73DC}"/>
</file>

<file path=customXml/itemProps4.xml><?xml version="1.0" encoding="utf-8"?>
<ds:datastoreItem xmlns:ds="http://schemas.openxmlformats.org/officeDocument/2006/customXml" ds:itemID="{81A9198E-9571-4462-AE0C-10723295F78E}"/>
</file>

<file path=customXml/itemProps5.xml><?xml version="1.0" encoding="utf-8"?>
<ds:datastoreItem xmlns:ds="http://schemas.openxmlformats.org/officeDocument/2006/customXml" ds:itemID="{E3770CA1-01FD-4A4E-B386-BCD5D898E6EB}"/>
</file>

<file path=customXml/itemProps6.xml><?xml version="1.0" encoding="utf-8"?>
<ds:datastoreItem xmlns:ds="http://schemas.openxmlformats.org/officeDocument/2006/customXml" ds:itemID="{0F7D6F2E-0ED9-4F92-B528-6E999C03884D}"/>
</file>

<file path=docProps/app.xml><?xml version="1.0" encoding="utf-8"?>
<Properties xmlns="http://schemas.openxmlformats.org/officeDocument/2006/extended-properties" xmlns:vt="http://schemas.openxmlformats.org/officeDocument/2006/docPropsVTypes">
  <Template>Normal.dotm</Template>
  <TotalTime>0</TotalTime>
  <Pages>28</Pages>
  <Words>4418</Words>
  <Characters>25186</Characters>
  <Application>Microsoft Office Word</Application>
  <DocSecurity>4</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 OF THE INTER-AMERICAN DEVELOPMENT BANK</vt:lpstr>
      <vt:lpstr>DOCUMENT OF THE INTER-AMERICAN DEVELOPMENT BANK</vt:lpstr>
    </vt:vector>
  </TitlesOfParts>
  <Company/>
  <LinksUpToDate>false</LinksUpToDate>
  <CharactersWithSpaces>29545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SU-L1009 CBA Comp_ I and III</dc:title>
  <dc:creator>Owner</dc:creator>
  <cp:lastModifiedBy>Test</cp:lastModifiedBy>
  <cp:revision>2</cp:revision>
  <cp:lastPrinted>2013-08-02T17:24:00Z</cp:lastPrinted>
  <dcterms:created xsi:type="dcterms:W3CDTF">2013-09-03T17:30:00Z</dcterms:created>
  <dcterms:modified xsi:type="dcterms:W3CDTF">2013-09-03T17:30:00Z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0x01010046CF21643EE8D14686A648AA6DAD0892007DE5BE41164C7544A9A0CA6191816F40</vt:lpwstr>
  </property>
  <property fmtid="{D5CDD505-2E9C-101B-9397-08002B2CF9AE}" pid="3" name="TaxKeyword">
    <vt:lpwstr/>
  </property>
  <property fmtid="{D5CDD505-2E9C-101B-9397-08002B2CF9AE}" pid="4" name="Function Operations IDB">
    <vt:lpwstr>2;#Monitoring and Reporting|df3c2aa1-d63e-41aa-b1f5-bb15dee691ca</vt:lpwstr>
  </property>
  <property fmtid="{D5CDD505-2E9C-101B-9397-08002B2CF9AE}" pid="5" name="Sub_x002d_Sector">
    <vt:lpwstr/>
  </property>
  <property fmtid="{D5CDD505-2E9C-101B-9397-08002B2CF9AE}" pid="6" name="TaxKeywordTaxHTField">
    <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eries Operations IDB">
    <vt:lpwstr/>
  </property>
  <property fmtid="{D5CDD505-2E9C-101B-9397-08002B2CF9AE}" pid="16" name="Sub-Sector">
    <vt:lpwstr/>
  </property>
</Properties>
</file>