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E0" w:rsidRPr="00C0141A" w:rsidRDefault="00A47BE0" w:rsidP="00A47BE0">
      <w:pPr>
        <w:autoSpaceDE w:val="0"/>
        <w:autoSpaceDN w:val="0"/>
        <w:adjustRightInd w:val="0"/>
        <w:spacing w:after="0" w:line="360" w:lineRule="auto"/>
        <w:jc w:val="right"/>
        <w:rPr>
          <w:color w:val="000000"/>
          <w:sz w:val="23"/>
          <w:szCs w:val="23"/>
          <w:lang w:val="en-GB"/>
        </w:rPr>
      </w:pPr>
      <w:bookmarkStart w:id="0" w:name="Contents"/>
      <w:r w:rsidRPr="00C0141A">
        <w:rPr>
          <w:color w:val="000000"/>
          <w:sz w:val="23"/>
          <w:szCs w:val="23"/>
          <w:lang w:val="en-GB"/>
        </w:rPr>
        <w:t xml:space="preserve">CONFIDENTIAL </w:t>
      </w:r>
    </w:p>
    <w:p w:rsidR="00A47BE0" w:rsidRPr="00C0141A" w:rsidRDefault="00A47BE0" w:rsidP="00A47BE0">
      <w:pPr>
        <w:autoSpaceDE w:val="0"/>
        <w:autoSpaceDN w:val="0"/>
        <w:adjustRightInd w:val="0"/>
        <w:spacing w:after="0" w:line="360" w:lineRule="auto"/>
        <w:jc w:val="right"/>
        <w:rPr>
          <w:color w:val="000000"/>
          <w:sz w:val="19"/>
          <w:szCs w:val="19"/>
          <w:lang w:val="en-GB"/>
        </w:rPr>
      </w:pPr>
      <w:r w:rsidRPr="00C0141A">
        <w:rPr>
          <w:color w:val="000000"/>
          <w:sz w:val="19"/>
          <w:szCs w:val="19"/>
          <w:lang w:val="en-GB"/>
        </w:rPr>
        <w:t xml:space="preserve">INTERNAL USE </w:t>
      </w:r>
    </w:p>
    <w:p w:rsidR="00A47BE0" w:rsidRPr="00C0141A" w:rsidRDefault="00A47BE0" w:rsidP="00A47BE0">
      <w:pPr>
        <w:tabs>
          <w:tab w:val="left" w:pos="0"/>
        </w:tabs>
        <w:spacing w:after="0" w:line="360" w:lineRule="auto"/>
        <w:jc w:val="right"/>
        <w:outlineLvl w:val="2"/>
        <w:rPr>
          <w:smallCaps/>
          <w:sz w:val="19"/>
          <w:szCs w:val="19"/>
          <w:lang w:val="en-GB"/>
        </w:rPr>
      </w:pPr>
      <w:bookmarkStart w:id="1" w:name="_Toc365976343"/>
      <w:bookmarkStart w:id="2" w:name="_Toc365977151"/>
      <w:r w:rsidRPr="00C0141A">
        <w:rPr>
          <w:sz w:val="19"/>
          <w:szCs w:val="19"/>
          <w:lang w:val="en-GB"/>
        </w:rPr>
        <w:t>DISCLOSED OVER TIME</w:t>
      </w:r>
      <w:bookmarkEnd w:id="1"/>
      <w:bookmarkEnd w:id="2"/>
    </w:p>
    <w:p w:rsidR="00A47BE0" w:rsidRPr="00C0141A" w:rsidRDefault="00A47BE0" w:rsidP="00A47BE0">
      <w:pPr>
        <w:pStyle w:val="Title"/>
        <w:tabs>
          <w:tab w:val="clear" w:pos="1440"/>
          <w:tab w:val="clear" w:pos="3060"/>
        </w:tabs>
        <w:spacing w:line="360" w:lineRule="auto"/>
        <w:outlineLvl w:val="9"/>
        <w:rPr>
          <w:smallCaps/>
          <w:lang w:val="en-GB"/>
        </w:rPr>
      </w:pPr>
    </w:p>
    <w:p w:rsidR="00A47BE0" w:rsidRPr="00C0141A" w:rsidRDefault="00A47BE0" w:rsidP="00A47BE0">
      <w:pPr>
        <w:pStyle w:val="Title"/>
        <w:tabs>
          <w:tab w:val="clear" w:pos="1440"/>
          <w:tab w:val="clear" w:pos="3060"/>
        </w:tabs>
        <w:spacing w:line="360" w:lineRule="auto"/>
        <w:outlineLvl w:val="9"/>
        <w:rPr>
          <w:smallCaps/>
          <w:lang w:val="en-GB"/>
        </w:rPr>
      </w:pPr>
    </w:p>
    <w:p w:rsidR="00A47BE0" w:rsidRPr="00C0141A" w:rsidRDefault="00A47BE0" w:rsidP="00A47BE0">
      <w:pPr>
        <w:pStyle w:val="Title"/>
        <w:tabs>
          <w:tab w:val="clear" w:pos="1440"/>
          <w:tab w:val="clear" w:pos="3060"/>
        </w:tabs>
        <w:spacing w:line="360" w:lineRule="auto"/>
        <w:outlineLvl w:val="9"/>
        <w:rPr>
          <w:smallCaps/>
          <w:lang w:val="en-GB"/>
        </w:rPr>
      </w:pPr>
    </w:p>
    <w:p w:rsidR="00A47BE0" w:rsidRPr="00C0141A" w:rsidRDefault="00A47BE0" w:rsidP="00A47BE0">
      <w:pPr>
        <w:pStyle w:val="Title"/>
        <w:tabs>
          <w:tab w:val="clear" w:pos="1440"/>
          <w:tab w:val="clear" w:pos="3060"/>
        </w:tabs>
        <w:spacing w:line="360" w:lineRule="auto"/>
        <w:outlineLvl w:val="9"/>
        <w:rPr>
          <w:smallCaps/>
          <w:lang w:val="en-GB"/>
        </w:rPr>
      </w:pPr>
    </w:p>
    <w:p w:rsidR="00A47BE0" w:rsidRPr="00C0141A" w:rsidRDefault="00A47BE0" w:rsidP="00A47BE0">
      <w:pPr>
        <w:pStyle w:val="Title"/>
        <w:tabs>
          <w:tab w:val="clear" w:pos="1440"/>
          <w:tab w:val="clear" w:pos="3060"/>
        </w:tabs>
        <w:spacing w:line="360" w:lineRule="auto"/>
        <w:outlineLvl w:val="9"/>
        <w:rPr>
          <w:smallCaps/>
          <w:lang w:val="en-GB"/>
        </w:rPr>
      </w:pPr>
      <w:r w:rsidRPr="00C0141A">
        <w:rPr>
          <w:smallCaps/>
          <w:lang w:val="en-GB"/>
        </w:rPr>
        <w:t>Document of the Inter-American Development Bank</w:t>
      </w:r>
    </w:p>
    <w:p w:rsidR="00A47BE0" w:rsidRPr="00C0141A" w:rsidRDefault="00A47BE0" w:rsidP="00A47BE0">
      <w:pPr>
        <w:tabs>
          <w:tab w:val="left" w:pos="1440"/>
          <w:tab w:val="left" w:pos="3060"/>
        </w:tabs>
        <w:spacing w:after="0" w:line="360" w:lineRule="auto"/>
        <w:jc w:val="center"/>
        <w:outlineLvl w:val="0"/>
        <w:rPr>
          <w:lang w:val="en-GB"/>
        </w:rPr>
      </w:pPr>
    </w:p>
    <w:p w:rsidR="00A47BE0" w:rsidRPr="00C0141A" w:rsidRDefault="00A47BE0" w:rsidP="00A47BE0">
      <w:pPr>
        <w:tabs>
          <w:tab w:val="left" w:pos="1440"/>
          <w:tab w:val="left" w:pos="3060"/>
        </w:tabs>
        <w:spacing w:after="0" w:line="360" w:lineRule="auto"/>
        <w:jc w:val="center"/>
        <w:rPr>
          <w:lang w:val="en-GB"/>
        </w:rPr>
      </w:pPr>
    </w:p>
    <w:p w:rsidR="00A47BE0" w:rsidRPr="00C0141A" w:rsidRDefault="00A47BE0" w:rsidP="00A47BE0">
      <w:pPr>
        <w:tabs>
          <w:tab w:val="left" w:pos="1440"/>
          <w:tab w:val="left" w:pos="3060"/>
        </w:tabs>
        <w:spacing w:after="0" w:line="360" w:lineRule="auto"/>
        <w:jc w:val="center"/>
        <w:rPr>
          <w:lang w:val="en-GB"/>
        </w:rPr>
      </w:pPr>
    </w:p>
    <w:p w:rsidR="00A47BE0" w:rsidRPr="00C0141A" w:rsidRDefault="00A47BE0" w:rsidP="00A47BE0">
      <w:pPr>
        <w:tabs>
          <w:tab w:val="left" w:pos="1440"/>
          <w:tab w:val="left" w:pos="3060"/>
        </w:tabs>
        <w:spacing w:after="0" w:line="360" w:lineRule="auto"/>
        <w:jc w:val="center"/>
        <w:rPr>
          <w:lang w:val="en-GB"/>
        </w:rPr>
      </w:pPr>
    </w:p>
    <w:p w:rsidR="00A47BE0" w:rsidRPr="00C0141A" w:rsidRDefault="00A47BE0" w:rsidP="00A47BE0">
      <w:pPr>
        <w:tabs>
          <w:tab w:val="left" w:pos="1440"/>
          <w:tab w:val="left" w:pos="3060"/>
        </w:tabs>
        <w:spacing w:after="0" w:line="360" w:lineRule="auto"/>
        <w:jc w:val="center"/>
        <w:rPr>
          <w:b/>
          <w:smallCaps/>
          <w:lang w:val="en-GB"/>
        </w:rPr>
      </w:pPr>
      <w:r w:rsidRPr="00C0141A">
        <w:rPr>
          <w:b/>
          <w:smallCaps/>
          <w:lang w:val="en-GB"/>
        </w:rPr>
        <w:t>Suriname</w:t>
      </w:r>
    </w:p>
    <w:p w:rsidR="00A47BE0" w:rsidRPr="00C0141A" w:rsidRDefault="00A47BE0" w:rsidP="00A47BE0">
      <w:pPr>
        <w:tabs>
          <w:tab w:val="left" w:pos="1440"/>
          <w:tab w:val="left" w:pos="3060"/>
        </w:tabs>
        <w:spacing w:after="0" w:line="360" w:lineRule="auto"/>
        <w:jc w:val="center"/>
        <w:rPr>
          <w:smallCaps/>
          <w:lang w:val="en-GB"/>
        </w:rPr>
      </w:pPr>
    </w:p>
    <w:p w:rsidR="00A47BE0" w:rsidRPr="00C0141A" w:rsidRDefault="00A47BE0" w:rsidP="00A47BE0">
      <w:pPr>
        <w:tabs>
          <w:tab w:val="left" w:pos="1440"/>
          <w:tab w:val="left" w:pos="3060"/>
        </w:tabs>
        <w:spacing w:after="0" w:line="360" w:lineRule="auto"/>
        <w:jc w:val="center"/>
        <w:rPr>
          <w:smallCaps/>
          <w:lang w:val="en-GB"/>
        </w:rPr>
      </w:pPr>
    </w:p>
    <w:p w:rsidR="00A47BE0" w:rsidRPr="00C0141A" w:rsidRDefault="00A47BE0" w:rsidP="00A47BE0">
      <w:pPr>
        <w:tabs>
          <w:tab w:val="left" w:pos="1440"/>
          <w:tab w:val="left" w:pos="3060"/>
        </w:tabs>
        <w:spacing w:after="0" w:line="360" w:lineRule="auto"/>
        <w:jc w:val="center"/>
        <w:rPr>
          <w:smallCaps/>
          <w:lang w:val="en-GB"/>
        </w:rPr>
      </w:pPr>
    </w:p>
    <w:p w:rsidR="00A47BE0" w:rsidRPr="00C0141A" w:rsidRDefault="00A47BE0" w:rsidP="00A47BE0">
      <w:pPr>
        <w:tabs>
          <w:tab w:val="left" w:pos="1440"/>
          <w:tab w:val="left" w:pos="3060"/>
        </w:tabs>
        <w:spacing w:after="0" w:line="360" w:lineRule="auto"/>
        <w:jc w:val="center"/>
        <w:rPr>
          <w:smallCaps/>
          <w:lang w:val="en-GB"/>
        </w:rPr>
      </w:pPr>
    </w:p>
    <w:p w:rsidR="00A47BE0" w:rsidRPr="00C0141A" w:rsidRDefault="00A47BE0" w:rsidP="00A47BE0">
      <w:pPr>
        <w:tabs>
          <w:tab w:val="left" w:pos="1440"/>
          <w:tab w:val="left" w:pos="3060"/>
        </w:tabs>
        <w:spacing w:after="0" w:line="360" w:lineRule="auto"/>
        <w:jc w:val="center"/>
        <w:rPr>
          <w:b/>
          <w:smallCaps/>
          <w:lang w:val="en-GB"/>
        </w:rPr>
      </w:pPr>
      <w:r w:rsidRPr="00C0141A">
        <w:rPr>
          <w:b/>
          <w:smallCaps/>
          <w:lang w:val="en-GB"/>
        </w:rPr>
        <w:t>Support to Improve Sustainability of the Electricity Service</w:t>
      </w:r>
    </w:p>
    <w:p w:rsidR="00A47BE0" w:rsidRPr="00C0141A" w:rsidRDefault="00A47BE0" w:rsidP="00A47BE0">
      <w:pPr>
        <w:tabs>
          <w:tab w:val="left" w:pos="1440"/>
          <w:tab w:val="left" w:pos="3060"/>
        </w:tabs>
        <w:spacing w:after="0" w:line="360" w:lineRule="auto"/>
        <w:jc w:val="center"/>
        <w:rPr>
          <w:b/>
          <w:smallCaps/>
          <w:lang w:val="en-GB"/>
        </w:rPr>
      </w:pPr>
    </w:p>
    <w:p w:rsidR="00A47BE0" w:rsidRPr="00C0141A" w:rsidRDefault="00A47BE0" w:rsidP="00A47BE0">
      <w:pPr>
        <w:tabs>
          <w:tab w:val="left" w:pos="1440"/>
          <w:tab w:val="left" w:pos="3060"/>
        </w:tabs>
        <w:spacing w:after="0" w:line="360" w:lineRule="auto"/>
        <w:jc w:val="center"/>
        <w:rPr>
          <w:b/>
          <w:smallCaps/>
          <w:lang w:val="en-GB"/>
        </w:rPr>
      </w:pPr>
      <w:r w:rsidRPr="00C0141A">
        <w:rPr>
          <w:b/>
          <w:smallCaps/>
          <w:lang w:val="en-GB"/>
        </w:rPr>
        <w:t>Investment Loan</w:t>
      </w:r>
    </w:p>
    <w:p w:rsidR="00A47BE0" w:rsidRPr="00C0141A" w:rsidRDefault="00A47BE0" w:rsidP="00A47BE0">
      <w:pPr>
        <w:tabs>
          <w:tab w:val="left" w:pos="1440"/>
          <w:tab w:val="left" w:pos="3060"/>
        </w:tabs>
        <w:spacing w:after="0" w:line="360" w:lineRule="auto"/>
        <w:jc w:val="center"/>
        <w:rPr>
          <w:smallCaps/>
          <w:lang w:val="en-GB"/>
        </w:rPr>
      </w:pPr>
    </w:p>
    <w:p w:rsidR="00A47BE0" w:rsidRPr="00C0141A" w:rsidRDefault="00A47BE0" w:rsidP="00A47BE0">
      <w:pPr>
        <w:tabs>
          <w:tab w:val="left" w:pos="1440"/>
          <w:tab w:val="left" w:pos="3060"/>
        </w:tabs>
        <w:spacing w:after="0" w:line="360" w:lineRule="auto"/>
        <w:jc w:val="center"/>
        <w:rPr>
          <w:b/>
          <w:smallCaps/>
          <w:lang w:val="en-GB"/>
        </w:rPr>
      </w:pPr>
      <w:r w:rsidRPr="00C0141A">
        <w:rPr>
          <w:b/>
          <w:smallCaps/>
          <w:lang w:val="en-GB"/>
        </w:rPr>
        <w:t>(SU-L1009)</w:t>
      </w:r>
    </w:p>
    <w:p w:rsidR="00A47BE0" w:rsidRPr="00C0141A" w:rsidRDefault="00A47BE0" w:rsidP="00A47BE0">
      <w:pPr>
        <w:tabs>
          <w:tab w:val="left" w:pos="1440"/>
          <w:tab w:val="left" w:pos="3060"/>
        </w:tabs>
        <w:spacing w:after="0" w:line="360" w:lineRule="auto"/>
        <w:jc w:val="center"/>
        <w:rPr>
          <w:smallCaps/>
          <w:lang w:val="en-GB"/>
        </w:rPr>
      </w:pPr>
    </w:p>
    <w:p w:rsidR="00A47BE0" w:rsidRPr="00C0141A" w:rsidRDefault="00A47BE0" w:rsidP="00A47BE0">
      <w:pPr>
        <w:tabs>
          <w:tab w:val="left" w:pos="1440"/>
          <w:tab w:val="left" w:pos="3060"/>
        </w:tabs>
        <w:spacing w:after="0" w:line="360" w:lineRule="auto"/>
        <w:jc w:val="center"/>
        <w:rPr>
          <w:smallCaps/>
          <w:lang w:val="en-GB"/>
        </w:rPr>
      </w:pPr>
    </w:p>
    <w:p w:rsidR="00A47BE0" w:rsidRPr="00C0141A" w:rsidRDefault="00A47BE0" w:rsidP="00A47BE0">
      <w:pPr>
        <w:tabs>
          <w:tab w:val="left" w:pos="1440"/>
          <w:tab w:val="left" w:pos="3060"/>
        </w:tabs>
        <w:spacing w:after="0" w:line="360" w:lineRule="auto"/>
        <w:jc w:val="center"/>
        <w:rPr>
          <w:smallCaps/>
          <w:lang w:val="en-GB"/>
        </w:rPr>
      </w:pPr>
    </w:p>
    <w:p w:rsidR="00A47BE0" w:rsidRPr="00C0141A" w:rsidRDefault="00A47BE0" w:rsidP="00A47BE0">
      <w:pPr>
        <w:tabs>
          <w:tab w:val="left" w:pos="1440"/>
          <w:tab w:val="left" w:pos="3060"/>
        </w:tabs>
        <w:spacing w:after="0" w:line="360" w:lineRule="auto"/>
        <w:jc w:val="center"/>
        <w:outlineLvl w:val="0"/>
        <w:rPr>
          <w:b/>
          <w:smallCaps/>
          <w:lang w:val="en-GB"/>
        </w:rPr>
      </w:pPr>
      <w:bookmarkStart w:id="3" w:name="_Toc365976344"/>
      <w:bookmarkStart w:id="4" w:name="_Toc365977152"/>
      <w:r w:rsidRPr="00C0141A">
        <w:rPr>
          <w:b/>
          <w:smallCaps/>
          <w:lang w:val="en-GB"/>
        </w:rPr>
        <w:t>Monitoring and Evaluation Plan</w:t>
      </w:r>
      <w:bookmarkEnd w:id="3"/>
      <w:bookmarkEnd w:id="4"/>
    </w:p>
    <w:p w:rsidR="00A47BE0" w:rsidRPr="00C0141A" w:rsidRDefault="00A47BE0" w:rsidP="00A47BE0">
      <w:pPr>
        <w:tabs>
          <w:tab w:val="left" w:pos="1440"/>
          <w:tab w:val="left" w:pos="3060"/>
        </w:tabs>
        <w:spacing w:after="0" w:line="360" w:lineRule="auto"/>
        <w:jc w:val="center"/>
        <w:rPr>
          <w:lang w:val="en-GB"/>
        </w:rPr>
      </w:pPr>
    </w:p>
    <w:p w:rsidR="00A47BE0" w:rsidRPr="00C0141A" w:rsidRDefault="00A47BE0" w:rsidP="00A47BE0">
      <w:pPr>
        <w:tabs>
          <w:tab w:val="left" w:pos="1440"/>
          <w:tab w:val="left" w:pos="3060"/>
        </w:tabs>
        <w:spacing w:after="0" w:line="360" w:lineRule="auto"/>
        <w:jc w:val="center"/>
      </w:pPr>
    </w:p>
    <w:p w:rsidR="00A47BE0" w:rsidRPr="00C0141A" w:rsidRDefault="00A47BE0" w:rsidP="00A47BE0">
      <w:pPr>
        <w:tabs>
          <w:tab w:val="left" w:pos="1440"/>
          <w:tab w:val="left" w:pos="3060"/>
        </w:tabs>
        <w:spacing w:after="0" w:line="360" w:lineRule="auto"/>
        <w:jc w:val="center"/>
      </w:pPr>
    </w:p>
    <w:p w:rsidR="00A47BE0" w:rsidRPr="00C0141A" w:rsidRDefault="00A47BE0" w:rsidP="00A47BE0">
      <w:pPr>
        <w:tabs>
          <w:tab w:val="left" w:pos="1440"/>
          <w:tab w:val="left" w:pos="3060"/>
        </w:tabs>
        <w:spacing w:after="0" w:line="360" w:lineRule="auto"/>
        <w:jc w:val="center"/>
      </w:pPr>
    </w:p>
    <w:p w:rsidR="00A47BE0" w:rsidRPr="00C0141A" w:rsidRDefault="00A47BE0" w:rsidP="00A47BE0">
      <w:pPr>
        <w:pStyle w:val="BodyText"/>
        <w:pBdr>
          <w:top w:val="single" w:sz="4" w:space="1" w:color="auto"/>
          <w:left w:val="single" w:sz="4" w:space="4" w:color="auto"/>
          <w:bottom w:val="single" w:sz="4" w:space="1" w:color="auto"/>
          <w:right w:val="single" w:sz="4" w:space="4" w:color="auto"/>
        </w:pBdr>
        <w:tabs>
          <w:tab w:val="left" w:pos="1440"/>
        </w:tabs>
        <w:spacing w:line="360" w:lineRule="auto"/>
        <w:jc w:val="both"/>
      </w:pPr>
      <w:r w:rsidRPr="00C0141A">
        <w:lastRenderedPageBreak/>
        <w:t xml:space="preserve">This document was prepared by the project team consisting of: Alberto Elizalde (ENE/CVE); Team Leader and Alejandro Melandri (INE/ENE) Alternate Team Leader; Jesus Tejeda (ENE/CEC); Carlos Echeverria (INE/ENE); </w:t>
      </w:r>
      <w:r>
        <w:t xml:space="preserve">Raul Jimenez (INE/ENE); </w:t>
      </w:r>
      <w:r w:rsidRPr="00C0141A">
        <w:t xml:space="preserve">Wilkferg Vanegas (INE/ENE); Lourdes Sánchez (FMP/CSU); Shirley Gayle (FMP/CTT); Steven Hofwijks (CCB/CSU); </w:t>
      </w:r>
      <w:proofErr w:type="spellStart"/>
      <w:r w:rsidRPr="00C0141A">
        <w:t>Mónica</w:t>
      </w:r>
      <w:proofErr w:type="spellEnd"/>
      <w:r w:rsidRPr="00C0141A">
        <w:t xml:space="preserve"> Lugo (LEG/SGO); under the supervision of Leandro Alves, Energy Division Chief (INE/ENE) and Marco Nicola, Representative in Suriname (CCB/CSU).</w:t>
      </w:r>
    </w:p>
    <w:p w:rsidR="00A47BE0" w:rsidRPr="00C0141A" w:rsidRDefault="00A47BE0" w:rsidP="00A47BE0">
      <w:pPr>
        <w:pStyle w:val="Annex"/>
        <w:tabs>
          <w:tab w:val="left" w:pos="1440"/>
          <w:tab w:val="left" w:pos="3060"/>
        </w:tabs>
        <w:spacing w:line="360" w:lineRule="auto"/>
        <w:outlineLvl w:val="0"/>
        <w:rPr>
          <w:caps w:val="0"/>
        </w:rPr>
      </w:pPr>
    </w:p>
    <w:p w:rsidR="00A47BE0" w:rsidRPr="00C0141A" w:rsidRDefault="00A47BE0" w:rsidP="00A47BE0">
      <w:pPr>
        <w:pStyle w:val="Annex"/>
        <w:tabs>
          <w:tab w:val="left" w:pos="1440"/>
          <w:tab w:val="left" w:pos="3060"/>
        </w:tabs>
        <w:spacing w:line="360" w:lineRule="auto"/>
        <w:outlineLvl w:val="0"/>
        <w:rPr>
          <w:cap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1"/>
      </w:tblGrid>
      <w:tr w:rsidR="00A47BE0" w:rsidRPr="00C0141A" w:rsidTr="00177A31">
        <w:trPr>
          <w:trHeight w:val="770"/>
        </w:trPr>
        <w:tc>
          <w:tcPr>
            <w:tcW w:w="9561" w:type="dxa"/>
          </w:tcPr>
          <w:p w:rsidR="00A47BE0" w:rsidRPr="00C0141A" w:rsidRDefault="00A47BE0" w:rsidP="00177A31">
            <w:pPr>
              <w:pStyle w:val="Default"/>
              <w:spacing w:line="360" w:lineRule="auto"/>
              <w:jc w:val="both"/>
              <w:rPr>
                <w:sz w:val="22"/>
                <w:szCs w:val="22"/>
              </w:rPr>
            </w:pPr>
            <w:r w:rsidRPr="00C0141A">
              <w:rPr>
                <w:bCs/>
                <w:sz w:val="22"/>
                <w:szCs w:val="22"/>
              </w:rPr>
              <w:t xml:space="preserve">This document contains confidential information relating to one or more of the ten exceptions of the Access to Information Policy and will be initially treated as confidential. However, the document will be eligible for declassification and future disclosure. </w:t>
            </w:r>
          </w:p>
        </w:tc>
      </w:tr>
    </w:tbl>
    <w:p w:rsidR="00A47BE0" w:rsidRPr="00C0141A" w:rsidRDefault="00A47BE0" w:rsidP="00A47BE0">
      <w:pPr>
        <w:pStyle w:val="Newpage"/>
        <w:spacing w:before="0" w:line="360" w:lineRule="auto"/>
        <w:jc w:val="both"/>
        <w:rPr>
          <w:szCs w:val="24"/>
        </w:rPr>
        <w:sectPr w:rsidR="00A47BE0" w:rsidRPr="00C0141A" w:rsidSect="00FA7062">
          <w:headerReference w:type="default" r:id="rId9"/>
          <w:pgSz w:w="12240" w:h="15840"/>
          <w:pgMar w:top="1440" w:right="1440" w:bottom="1440" w:left="1440" w:header="720" w:footer="720" w:gutter="0"/>
          <w:cols w:space="720"/>
          <w:docGrid w:linePitch="360"/>
        </w:sectPr>
      </w:pPr>
    </w:p>
    <w:p w:rsidR="00A47BE0" w:rsidRDefault="00A47BE0" w:rsidP="00A47BE0"/>
    <w:p w:rsidR="00A47BE0" w:rsidRDefault="00A47BE0" w:rsidP="00A47BE0"/>
    <w:sdt>
      <w:sdtPr>
        <w:id w:val="-55626741"/>
        <w:docPartObj>
          <w:docPartGallery w:val="Table of Contents"/>
          <w:docPartUnique/>
        </w:docPartObj>
      </w:sdtPr>
      <w:sdtEndPr>
        <w:rPr>
          <w:b/>
          <w:bCs/>
          <w:noProof/>
        </w:rPr>
      </w:sdtEndPr>
      <w:sdtContent>
        <w:p w:rsidR="00A47BE0" w:rsidRDefault="00A47BE0" w:rsidP="00A47BE0">
          <w:pPr>
            <w:jc w:val="center"/>
            <w:rPr>
              <w:rFonts w:asciiTheme="minorHAnsi" w:eastAsiaTheme="minorEastAsia" w:hAnsiTheme="minorHAnsi" w:cstheme="minorBidi"/>
              <w:smallCaps/>
              <w:noProof/>
              <w:sz w:val="22"/>
            </w:rPr>
          </w:pPr>
          <w:r w:rsidRPr="00C665CC">
            <w:rPr>
              <w:b/>
            </w:rPr>
            <w:t>Table of Contents</w:t>
          </w:r>
          <w:r>
            <w:fldChar w:fldCharType="begin"/>
          </w:r>
          <w:r>
            <w:instrText xml:space="preserve"> TOC \o "1-3" \h \z \u </w:instrText>
          </w:r>
          <w:r>
            <w:fldChar w:fldCharType="separate"/>
          </w:r>
        </w:p>
        <w:p w:rsidR="00A47BE0" w:rsidRDefault="00A2364B" w:rsidP="00A47BE0">
          <w:pPr>
            <w:pStyle w:val="TOC1"/>
            <w:rPr>
              <w:rFonts w:asciiTheme="minorHAnsi" w:eastAsiaTheme="minorEastAsia" w:hAnsiTheme="minorHAnsi" w:cstheme="minorBidi"/>
              <w:smallCaps w:val="0"/>
              <w:noProof/>
              <w:sz w:val="22"/>
            </w:rPr>
          </w:pPr>
          <w:hyperlink w:anchor="_Toc365977154" w:history="1">
            <w:r w:rsidR="00A47BE0" w:rsidRPr="00EE1D79">
              <w:rPr>
                <w:rStyle w:val="Hyperlink"/>
                <w:b/>
                <w:bCs/>
                <w:noProof/>
              </w:rPr>
              <w:t>I.</w:t>
            </w:r>
            <w:r w:rsidR="00A47BE0">
              <w:rPr>
                <w:rFonts w:asciiTheme="minorHAnsi" w:eastAsiaTheme="minorEastAsia" w:hAnsiTheme="minorHAnsi" w:cstheme="minorBidi"/>
                <w:smallCaps w:val="0"/>
                <w:noProof/>
                <w:sz w:val="22"/>
              </w:rPr>
              <w:tab/>
            </w:r>
            <w:r w:rsidR="00A47BE0" w:rsidRPr="00EE1D79">
              <w:rPr>
                <w:rStyle w:val="Hyperlink"/>
                <w:b/>
                <w:bCs/>
                <w:noProof/>
              </w:rPr>
              <w:t>Introduction</w:t>
            </w:r>
            <w:r w:rsidR="00A47BE0">
              <w:rPr>
                <w:noProof/>
                <w:webHidden/>
              </w:rPr>
              <w:tab/>
            </w:r>
            <w:r w:rsidR="00A47BE0">
              <w:rPr>
                <w:noProof/>
                <w:webHidden/>
              </w:rPr>
              <w:fldChar w:fldCharType="begin"/>
            </w:r>
            <w:r w:rsidR="00A47BE0">
              <w:rPr>
                <w:noProof/>
                <w:webHidden/>
              </w:rPr>
              <w:instrText xml:space="preserve"> PAGEREF _Toc365977154 \h </w:instrText>
            </w:r>
            <w:r w:rsidR="00A47BE0">
              <w:rPr>
                <w:noProof/>
                <w:webHidden/>
              </w:rPr>
            </w:r>
            <w:r w:rsidR="00A47BE0">
              <w:rPr>
                <w:noProof/>
                <w:webHidden/>
              </w:rPr>
              <w:fldChar w:fldCharType="separate"/>
            </w:r>
            <w:r w:rsidR="00A47BE0">
              <w:rPr>
                <w:noProof/>
                <w:webHidden/>
              </w:rPr>
              <w:t>5</w:t>
            </w:r>
            <w:r w:rsidR="00A47BE0">
              <w:rPr>
                <w:noProof/>
                <w:webHidden/>
              </w:rPr>
              <w:fldChar w:fldCharType="end"/>
            </w:r>
          </w:hyperlink>
        </w:p>
        <w:p w:rsidR="00A47BE0" w:rsidRDefault="00A2364B" w:rsidP="00A47BE0">
          <w:pPr>
            <w:pStyle w:val="TOC1"/>
            <w:rPr>
              <w:rFonts w:asciiTheme="minorHAnsi" w:eastAsiaTheme="minorEastAsia" w:hAnsiTheme="minorHAnsi" w:cstheme="minorBidi"/>
              <w:smallCaps w:val="0"/>
              <w:noProof/>
              <w:sz w:val="22"/>
            </w:rPr>
          </w:pPr>
          <w:hyperlink w:anchor="_Toc365977155" w:history="1">
            <w:r w:rsidR="00A47BE0" w:rsidRPr="00EE1D79">
              <w:rPr>
                <w:rStyle w:val="Hyperlink"/>
                <w:b/>
                <w:bCs/>
                <w:noProof/>
              </w:rPr>
              <w:t>II.</w:t>
            </w:r>
            <w:r w:rsidR="00A47BE0">
              <w:rPr>
                <w:rFonts w:asciiTheme="minorHAnsi" w:eastAsiaTheme="minorEastAsia" w:hAnsiTheme="minorHAnsi" w:cstheme="minorBidi"/>
                <w:smallCaps w:val="0"/>
                <w:noProof/>
                <w:sz w:val="22"/>
              </w:rPr>
              <w:tab/>
            </w:r>
            <w:r w:rsidR="00A47BE0" w:rsidRPr="00EE1D79">
              <w:rPr>
                <w:rStyle w:val="Hyperlink"/>
                <w:b/>
                <w:bCs/>
                <w:noProof/>
              </w:rPr>
              <w:t>Monitoring</w:t>
            </w:r>
            <w:r w:rsidR="00A47BE0">
              <w:rPr>
                <w:noProof/>
                <w:webHidden/>
              </w:rPr>
              <w:tab/>
            </w:r>
            <w:r w:rsidR="00A47BE0">
              <w:rPr>
                <w:noProof/>
                <w:webHidden/>
              </w:rPr>
              <w:fldChar w:fldCharType="begin"/>
            </w:r>
            <w:r w:rsidR="00A47BE0">
              <w:rPr>
                <w:noProof/>
                <w:webHidden/>
              </w:rPr>
              <w:instrText xml:space="preserve"> PAGEREF _Toc365977155 \h </w:instrText>
            </w:r>
            <w:r w:rsidR="00A47BE0">
              <w:rPr>
                <w:noProof/>
                <w:webHidden/>
              </w:rPr>
            </w:r>
            <w:r w:rsidR="00A47BE0">
              <w:rPr>
                <w:noProof/>
                <w:webHidden/>
              </w:rPr>
              <w:fldChar w:fldCharType="separate"/>
            </w:r>
            <w:r w:rsidR="00A47BE0">
              <w:rPr>
                <w:noProof/>
                <w:webHidden/>
              </w:rPr>
              <w:t>6</w:t>
            </w:r>
            <w:r w:rsidR="00A47BE0">
              <w:rPr>
                <w:noProof/>
                <w:webHidden/>
              </w:rPr>
              <w:fldChar w:fldCharType="end"/>
            </w:r>
          </w:hyperlink>
        </w:p>
        <w:p w:rsidR="00A47BE0" w:rsidRDefault="00A2364B" w:rsidP="00A47BE0">
          <w:pPr>
            <w:pStyle w:val="TOC2"/>
            <w:rPr>
              <w:rFonts w:asciiTheme="minorHAnsi" w:eastAsiaTheme="minorEastAsia" w:hAnsiTheme="minorHAnsi" w:cstheme="minorBidi"/>
              <w:noProof/>
              <w:sz w:val="22"/>
            </w:rPr>
          </w:pPr>
          <w:hyperlink w:anchor="_Toc365977156" w:history="1">
            <w:r w:rsidR="00A47BE0" w:rsidRPr="00EE1D79">
              <w:rPr>
                <w:rStyle w:val="Hyperlink"/>
                <w:noProof/>
              </w:rPr>
              <w:t>a.</w:t>
            </w:r>
            <w:r w:rsidR="00A47BE0">
              <w:rPr>
                <w:rFonts w:asciiTheme="minorHAnsi" w:eastAsiaTheme="minorEastAsia" w:hAnsiTheme="minorHAnsi" w:cstheme="minorBidi"/>
                <w:noProof/>
                <w:sz w:val="22"/>
              </w:rPr>
              <w:tab/>
            </w:r>
            <w:r w:rsidR="00A47BE0" w:rsidRPr="00EE1D79">
              <w:rPr>
                <w:rStyle w:val="Hyperlink"/>
                <w:noProof/>
              </w:rPr>
              <w:t>Indicators</w:t>
            </w:r>
            <w:r w:rsidR="00A47BE0">
              <w:rPr>
                <w:noProof/>
                <w:webHidden/>
              </w:rPr>
              <w:tab/>
            </w:r>
            <w:r w:rsidR="00A47BE0">
              <w:rPr>
                <w:noProof/>
                <w:webHidden/>
              </w:rPr>
              <w:fldChar w:fldCharType="begin"/>
            </w:r>
            <w:r w:rsidR="00A47BE0">
              <w:rPr>
                <w:noProof/>
                <w:webHidden/>
              </w:rPr>
              <w:instrText xml:space="preserve"> PAGEREF _Toc365977156 \h </w:instrText>
            </w:r>
            <w:r w:rsidR="00A47BE0">
              <w:rPr>
                <w:noProof/>
                <w:webHidden/>
              </w:rPr>
            </w:r>
            <w:r w:rsidR="00A47BE0">
              <w:rPr>
                <w:noProof/>
                <w:webHidden/>
              </w:rPr>
              <w:fldChar w:fldCharType="separate"/>
            </w:r>
            <w:r w:rsidR="00A47BE0">
              <w:rPr>
                <w:noProof/>
                <w:webHidden/>
              </w:rPr>
              <w:t>6</w:t>
            </w:r>
            <w:r w:rsidR="00A47BE0">
              <w:rPr>
                <w:noProof/>
                <w:webHidden/>
              </w:rPr>
              <w:fldChar w:fldCharType="end"/>
            </w:r>
          </w:hyperlink>
        </w:p>
        <w:p w:rsidR="00A47BE0" w:rsidRDefault="00A2364B" w:rsidP="00A47BE0">
          <w:pPr>
            <w:pStyle w:val="TOC1"/>
            <w:rPr>
              <w:rFonts w:asciiTheme="minorHAnsi" w:eastAsiaTheme="minorEastAsia" w:hAnsiTheme="minorHAnsi" w:cstheme="minorBidi"/>
              <w:smallCaps w:val="0"/>
              <w:noProof/>
              <w:sz w:val="22"/>
            </w:rPr>
          </w:pPr>
          <w:hyperlink w:anchor="_Toc365977157" w:history="1">
            <w:r w:rsidR="00A47BE0" w:rsidRPr="00EE1D79">
              <w:rPr>
                <w:rStyle w:val="Hyperlink"/>
                <w:b/>
                <w:noProof/>
              </w:rPr>
              <w:t>Table 2. Monitoring work plan and budget</w:t>
            </w:r>
            <w:r w:rsidR="00A47BE0">
              <w:rPr>
                <w:noProof/>
                <w:webHidden/>
              </w:rPr>
              <w:tab/>
            </w:r>
            <w:r w:rsidR="00A47BE0">
              <w:rPr>
                <w:noProof/>
                <w:webHidden/>
              </w:rPr>
              <w:fldChar w:fldCharType="begin"/>
            </w:r>
            <w:r w:rsidR="00A47BE0">
              <w:rPr>
                <w:noProof/>
                <w:webHidden/>
              </w:rPr>
              <w:instrText xml:space="preserve"> PAGEREF _Toc365977157 \h </w:instrText>
            </w:r>
            <w:r w:rsidR="00A47BE0">
              <w:rPr>
                <w:noProof/>
                <w:webHidden/>
              </w:rPr>
            </w:r>
            <w:r w:rsidR="00A47BE0">
              <w:rPr>
                <w:noProof/>
                <w:webHidden/>
              </w:rPr>
              <w:fldChar w:fldCharType="separate"/>
            </w:r>
            <w:r w:rsidR="00A47BE0">
              <w:rPr>
                <w:noProof/>
                <w:webHidden/>
              </w:rPr>
              <w:t>10</w:t>
            </w:r>
            <w:r w:rsidR="00A47BE0">
              <w:rPr>
                <w:noProof/>
                <w:webHidden/>
              </w:rPr>
              <w:fldChar w:fldCharType="end"/>
            </w:r>
          </w:hyperlink>
        </w:p>
        <w:p w:rsidR="00A47BE0" w:rsidRDefault="00A2364B" w:rsidP="00A47BE0">
          <w:pPr>
            <w:pStyle w:val="TOC1"/>
            <w:rPr>
              <w:rFonts w:asciiTheme="minorHAnsi" w:eastAsiaTheme="minorEastAsia" w:hAnsiTheme="minorHAnsi" w:cstheme="minorBidi"/>
              <w:smallCaps w:val="0"/>
              <w:noProof/>
              <w:sz w:val="22"/>
            </w:rPr>
          </w:pPr>
          <w:hyperlink w:anchor="_Toc365977158" w:history="1">
            <w:r w:rsidR="00A47BE0" w:rsidRPr="00EE1D79">
              <w:rPr>
                <w:rStyle w:val="Hyperlink"/>
                <w:b/>
                <w:bCs/>
                <w:noProof/>
              </w:rPr>
              <w:t>III.</w:t>
            </w:r>
            <w:r w:rsidR="00A47BE0">
              <w:rPr>
                <w:rFonts w:asciiTheme="minorHAnsi" w:eastAsiaTheme="minorEastAsia" w:hAnsiTheme="minorHAnsi" w:cstheme="minorBidi"/>
                <w:smallCaps w:val="0"/>
                <w:noProof/>
                <w:sz w:val="22"/>
              </w:rPr>
              <w:tab/>
            </w:r>
            <w:r w:rsidR="00A47BE0" w:rsidRPr="00EE1D79">
              <w:rPr>
                <w:rStyle w:val="Hyperlink"/>
                <w:b/>
                <w:bCs/>
                <w:noProof/>
              </w:rPr>
              <w:t>Evaluation</w:t>
            </w:r>
            <w:r w:rsidR="00A47BE0">
              <w:rPr>
                <w:noProof/>
                <w:webHidden/>
              </w:rPr>
              <w:tab/>
            </w:r>
            <w:r w:rsidR="00A47BE0">
              <w:rPr>
                <w:noProof/>
                <w:webHidden/>
              </w:rPr>
              <w:fldChar w:fldCharType="begin"/>
            </w:r>
            <w:r w:rsidR="00A47BE0">
              <w:rPr>
                <w:noProof/>
                <w:webHidden/>
              </w:rPr>
              <w:instrText xml:space="preserve"> PAGEREF _Toc365977158 \h </w:instrText>
            </w:r>
            <w:r w:rsidR="00A47BE0">
              <w:rPr>
                <w:noProof/>
                <w:webHidden/>
              </w:rPr>
            </w:r>
            <w:r w:rsidR="00A47BE0">
              <w:rPr>
                <w:noProof/>
                <w:webHidden/>
              </w:rPr>
              <w:fldChar w:fldCharType="separate"/>
            </w:r>
            <w:r w:rsidR="00A47BE0">
              <w:rPr>
                <w:noProof/>
                <w:webHidden/>
              </w:rPr>
              <w:t>11</w:t>
            </w:r>
            <w:r w:rsidR="00A47BE0">
              <w:rPr>
                <w:noProof/>
                <w:webHidden/>
              </w:rPr>
              <w:fldChar w:fldCharType="end"/>
            </w:r>
          </w:hyperlink>
        </w:p>
        <w:p w:rsidR="00A47BE0" w:rsidRDefault="00A2364B" w:rsidP="00A47BE0">
          <w:pPr>
            <w:pStyle w:val="TOC2"/>
            <w:rPr>
              <w:rFonts w:asciiTheme="minorHAnsi" w:eastAsiaTheme="minorEastAsia" w:hAnsiTheme="minorHAnsi" w:cstheme="minorBidi"/>
              <w:noProof/>
              <w:sz w:val="22"/>
            </w:rPr>
          </w:pPr>
          <w:hyperlink w:anchor="_Toc365977159" w:history="1">
            <w:r w:rsidR="00A47BE0" w:rsidRPr="00EE1D79">
              <w:rPr>
                <w:rStyle w:val="Hyperlink"/>
                <w:noProof/>
              </w:rPr>
              <w:t>a.</w:t>
            </w:r>
            <w:r w:rsidR="00A47BE0">
              <w:rPr>
                <w:rFonts w:asciiTheme="minorHAnsi" w:eastAsiaTheme="minorEastAsia" w:hAnsiTheme="minorHAnsi" w:cstheme="minorBidi"/>
                <w:noProof/>
                <w:sz w:val="22"/>
              </w:rPr>
              <w:tab/>
            </w:r>
            <w:r w:rsidR="00A47BE0" w:rsidRPr="00EE1D79">
              <w:rPr>
                <w:rStyle w:val="Hyperlink"/>
                <w:noProof/>
              </w:rPr>
              <w:t>Main Evaluation Questions</w:t>
            </w:r>
            <w:r w:rsidR="00A47BE0">
              <w:rPr>
                <w:noProof/>
                <w:webHidden/>
              </w:rPr>
              <w:tab/>
            </w:r>
            <w:r w:rsidR="00A47BE0">
              <w:rPr>
                <w:noProof/>
                <w:webHidden/>
              </w:rPr>
              <w:fldChar w:fldCharType="begin"/>
            </w:r>
            <w:r w:rsidR="00A47BE0">
              <w:rPr>
                <w:noProof/>
                <w:webHidden/>
              </w:rPr>
              <w:instrText xml:space="preserve"> PAGEREF _Toc365977159 \h </w:instrText>
            </w:r>
            <w:r w:rsidR="00A47BE0">
              <w:rPr>
                <w:noProof/>
                <w:webHidden/>
              </w:rPr>
            </w:r>
            <w:r w:rsidR="00A47BE0">
              <w:rPr>
                <w:noProof/>
                <w:webHidden/>
              </w:rPr>
              <w:fldChar w:fldCharType="separate"/>
            </w:r>
            <w:r w:rsidR="00A47BE0">
              <w:rPr>
                <w:noProof/>
                <w:webHidden/>
              </w:rPr>
              <w:t>11</w:t>
            </w:r>
            <w:r w:rsidR="00A47BE0">
              <w:rPr>
                <w:noProof/>
                <w:webHidden/>
              </w:rPr>
              <w:fldChar w:fldCharType="end"/>
            </w:r>
          </w:hyperlink>
        </w:p>
        <w:p w:rsidR="00A47BE0" w:rsidRDefault="00A2364B" w:rsidP="00A47BE0">
          <w:pPr>
            <w:pStyle w:val="TOC2"/>
            <w:rPr>
              <w:rFonts w:asciiTheme="minorHAnsi" w:eastAsiaTheme="minorEastAsia" w:hAnsiTheme="minorHAnsi" w:cstheme="minorBidi"/>
              <w:noProof/>
              <w:sz w:val="22"/>
            </w:rPr>
          </w:pPr>
          <w:hyperlink w:anchor="_Toc365977160" w:history="1">
            <w:r w:rsidR="00A47BE0" w:rsidRPr="00EE1D79">
              <w:rPr>
                <w:rStyle w:val="Hyperlink"/>
                <w:noProof/>
              </w:rPr>
              <w:t>b.</w:t>
            </w:r>
            <w:r w:rsidR="00A47BE0">
              <w:rPr>
                <w:rFonts w:asciiTheme="minorHAnsi" w:eastAsiaTheme="minorEastAsia" w:hAnsiTheme="minorHAnsi" w:cstheme="minorBidi"/>
                <w:noProof/>
                <w:sz w:val="22"/>
              </w:rPr>
              <w:tab/>
            </w:r>
            <w:r w:rsidR="00A47BE0" w:rsidRPr="00EE1D79">
              <w:rPr>
                <w:rStyle w:val="Hyperlink"/>
                <w:noProof/>
              </w:rPr>
              <w:t>Existing Knowledge (previous evaluations, ex ante economic analysis)</w:t>
            </w:r>
            <w:r w:rsidR="00A47BE0">
              <w:rPr>
                <w:noProof/>
                <w:webHidden/>
              </w:rPr>
              <w:tab/>
            </w:r>
            <w:r w:rsidR="00A47BE0">
              <w:rPr>
                <w:noProof/>
                <w:webHidden/>
              </w:rPr>
              <w:fldChar w:fldCharType="begin"/>
            </w:r>
            <w:r w:rsidR="00A47BE0">
              <w:rPr>
                <w:noProof/>
                <w:webHidden/>
              </w:rPr>
              <w:instrText xml:space="preserve"> PAGEREF _Toc365977160 \h </w:instrText>
            </w:r>
            <w:r w:rsidR="00A47BE0">
              <w:rPr>
                <w:noProof/>
                <w:webHidden/>
              </w:rPr>
            </w:r>
            <w:r w:rsidR="00A47BE0">
              <w:rPr>
                <w:noProof/>
                <w:webHidden/>
              </w:rPr>
              <w:fldChar w:fldCharType="separate"/>
            </w:r>
            <w:r w:rsidR="00A47BE0">
              <w:rPr>
                <w:noProof/>
                <w:webHidden/>
              </w:rPr>
              <w:t>11</w:t>
            </w:r>
            <w:r w:rsidR="00A47BE0">
              <w:rPr>
                <w:noProof/>
                <w:webHidden/>
              </w:rPr>
              <w:fldChar w:fldCharType="end"/>
            </w:r>
          </w:hyperlink>
        </w:p>
        <w:p w:rsidR="00A47BE0" w:rsidRDefault="00A2364B" w:rsidP="00A47BE0">
          <w:pPr>
            <w:pStyle w:val="TOC2"/>
            <w:rPr>
              <w:rFonts w:asciiTheme="minorHAnsi" w:eastAsiaTheme="minorEastAsia" w:hAnsiTheme="minorHAnsi" w:cstheme="minorBidi"/>
              <w:noProof/>
              <w:sz w:val="22"/>
            </w:rPr>
          </w:pPr>
          <w:hyperlink w:anchor="_Toc365977161" w:history="1">
            <w:r w:rsidR="00A47BE0" w:rsidRPr="00EE1D79">
              <w:rPr>
                <w:rStyle w:val="Hyperlink"/>
                <w:noProof/>
              </w:rPr>
              <w:t>c.</w:t>
            </w:r>
            <w:r w:rsidR="00A47BE0">
              <w:rPr>
                <w:rFonts w:asciiTheme="minorHAnsi" w:eastAsiaTheme="minorEastAsia" w:hAnsiTheme="minorHAnsi" w:cstheme="minorBidi"/>
                <w:noProof/>
                <w:sz w:val="22"/>
              </w:rPr>
              <w:tab/>
            </w:r>
            <w:r w:rsidR="00A47BE0" w:rsidRPr="00EE1D79">
              <w:rPr>
                <w:rStyle w:val="Hyperlink"/>
                <w:noProof/>
              </w:rPr>
              <w:t>Key Outcome Indicators</w:t>
            </w:r>
            <w:r w:rsidR="00A47BE0">
              <w:rPr>
                <w:noProof/>
                <w:webHidden/>
              </w:rPr>
              <w:tab/>
            </w:r>
            <w:r w:rsidR="00A47BE0">
              <w:rPr>
                <w:noProof/>
                <w:webHidden/>
              </w:rPr>
              <w:fldChar w:fldCharType="begin"/>
            </w:r>
            <w:r w:rsidR="00A47BE0">
              <w:rPr>
                <w:noProof/>
                <w:webHidden/>
              </w:rPr>
              <w:instrText xml:space="preserve"> PAGEREF _Toc365977161 \h </w:instrText>
            </w:r>
            <w:r w:rsidR="00A47BE0">
              <w:rPr>
                <w:noProof/>
                <w:webHidden/>
              </w:rPr>
            </w:r>
            <w:r w:rsidR="00A47BE0">
              <w:rPr>
                <w:noProof/>
                <w:webHidden/>
              </w:rPr>
              <w:fldChar w:fldCharType="separate"/>
            </w:r>
            <w:r w:rsidR="00A47BE0">
              <w:rPr>
                <w:noProof/>
                <w:webHidden/>
              </w:rPr>
              <w:t>14</w:t>
            </w:r>
            <w:r w:rsidR="00A47BE0">
              <w:rPr>
                <w:noProof/>
                <w:webHidden/>
              </w:rPr>
              <w:fldChar w:fldCharType="end"/>
            </w:r>
          </w:hyperlink>
        </w:p>
        <w:p w:rsidR="00A47BE0" w:rsidRDefault="00A2364B" w:rsidP="00A47BE0">
          <w:pPr>
            <w:pStyle w:val="TOC2"/>
            <w:rPr>
              <w:rFonts w:asciiTheme="minorHAnsi" w:eastAsiaTheme="minorEastAsia" w:hAnsiTheme="minorHAnsi" w:cstheme="minorBidi"/>
              <w:noProof/>
              <w:sz w:val="22"/>
            </w:rPr>
          </w:pPr>
          <w:hyperlink w:anchor="_Toc365977162" w:history="1">
            <w:r w:rsidR="00A47BE0" w:rsidRPr="00EE1D79">
              <w:rPr>
                <w:rStyle w:val="Hyperlink"/>
                <w:noProof/>
              </w:rPr>
              <w:t>d.</w:t>
            </w:r>
            <w:r w:rsidR="00A47BE0">
              <w:rPr>
                <w:rFonts w:asciiTheme="minorHAnsi" w:eastAsiaTheme="minorEastAsia" w:hAnsiTheme="minorHAnsi" w:cstheme="minorBidi"/>
                <w:noProof/>
                <w:sz w:val="22"/>
              </w:rPr>
              <w:tab/>
            </w:r>
            <w:r w:rsidR="00A47BE0" w:rsidRPr="00EE1D79">
              <w:rPr>
                <w:rStyle w:val="Hyperlink"/>
                <w:noProof/>
              </w:rPr>
              <w:t>Evaluation Methodology</w:t>
            </w:r>
            <w:r w:rsidR="00A47BE0">
              <w:rPr>
                <w:noProof/>
                <w:webHidden/>
              </w:rPr>
              <w:tab/>
            </w:r>
            <w:r w:rsidR="00A47BE0">
              <w:rPr>
                <w:noProof/>
                <w:webHidden/>
              </w:rPr>
              <w:fldChar w:fldCharType="begin"/>
            </w:r>
            <w:r w:rsidR="00A47BE0">
              <w:rPr>
                <w:noProof/>
                <w:webHidden/>
              </w:rPr>
              <w:instrText xml:space="preserve"> PAGEREF _Toc365977162 \h </w:instrText>
            </w:r>
            <w:r w:rsidR="00A47BE0">
              <w:rPr>
                <w:noProof/>
                <w:webHidden/>
              </w:rPr>
            </w:r>
            <w:r w:rsidR="00A47BE0">
              <w:rPr>
                <w:noProof/>
                <w:webHidden/>
              </w:rPr>
              <w:fldChar w:fldCharType="separate"/>
            </w:r>
            <w:r w:rsidR="00A47BE0">
              <w:rPr>
                <w:noProof/>
                <w:webHidden/>
              </w:rPr>
              <w:t>15</w:t>
            </w:r>
            <w:r w:rsidR="00A47BE0">
              <w:rPr>
                <w:noProof/>
                <w:webHidden/>
              </w:rPr>
              <w:fldChar w:fldCharType="end"/>
            </w:r>
          </w:hyperlink>
        </w:p>
        <w:p w:rsidR="00A47BE0" w:rsidRDefault="00A47BE0" w:rsidP="00A47BE0">
          <w:r>
            <w:rPr>
              <w:b/>
              <w:bCs/>
              <w:noProof/>
            </w:rPr>
            <w:fldChar w:fldCharType="end"/>
          </w:r>
        </w:p>
      </w:sdtContent>
    </w:sdt>
    <w:p w:rsidR="00A47BE0" w:rsidRDefault="00A47BE0" w:rsidP="00A47BE0">
      <w:pPr>
        <w:pStyle w:val="TOC3"/>
      </w:pPr>
    </w:p>
    <w:p w:rsidR="00A47BE0" w:rsidRDefault="00A47BE0" w:rsidP="00A47BE0"/>
    <w:p w:rsidR="00A47BE0" w:rsidRPr="008902D6" w:rsidRDefault="00A47BE0" w:rsidP="00A47BE0">
      <w:pPr>
        <w:sectPr w:rsidR="00A47BE0" w:rsidRPr="008902D6" w:rsidSect="00FA7062">
          <w:pgSz w:w="12240" w:h="15840"/>
          <w:pgMar w:top="1440" w:right="1440" w:bottom="1440" w:left="1440" w:header="720" w:footer="720" w:gutter="0"/>
          <w:cols w:space="720"/>
          <w:docGrid w:linePitch="360"/>
        </w:sectPr>
      </w:pPr>
    </w:p>
    <w:p w:rsidR="00A47BE0" w:rsidRPr="00C0141A" w:rsidRDefault="00A47BE0" w:rsidP="00A47BE0">
      <w:pPr>
        <w:pStyle w:val="TOC3"/>
        <w:spacing w:line="360" w:lineRule="auto"/>
        <w:jc w:val="both"/>
        <w:rPr>
          <w:b/>
        </w:rPr>
      </w:pPr>
    </w:p>
    <w:p w:rsidR="00A47BE0" w:rsidRPr="00C0141A" w:rsidRDefault="00A47BE0" w:rsidP="00A47BE0">
      <w:pPr>
        <w:pStyle w:val="Title"/>
        <w:spacing w:line="360" w:lineRule="auto"/>
        <w:rPr>
          <w:b/>
        </w:rPr>
      </w:pPr>
      <w:bookmarkStart w:id="5" w:name="_Toc365976345"/>
      <w:bookmarkStart w:id="6" w:name="_Toc365977153"/>
      <w:r w:rsidRPr="00C0141A">
        <w:rPr>
          <w:b/>
        </w:rPr>
        <w:t>ABBREVIATIONS</w:t>
      </w:r>
      <w:bookmarkEnd w:id="5"/>
      <w:bookmarkEnd w:id="6"/>
    </w:p>
    <w:p w:rsidR="00A47BE0" w:rsidRPr="00C0141A" w:rsidRDefault="00A47BE0" w:rsidP="00A47BE0">
      <w:pPr>
        <w:pStyle w:val="Title"/>
        <w:spacing w:line="360" w:lineRule="auto"/>
        <w:jc w:val="left"/>
      </w:pPr>
    </w:p>
    <w:p w:rsidR="00A47BE0" w:rsidRPr="00C0141A" w:rsidRDefault="00A47BE0" w:rsidP="00A47BE0">
      <w:pPr>
        <w:pStyle w:val="Newpage"/>
        <w:spacing w:before="0" w:line="360" w:lineRule="auto"/>
        <w:jc w:val="both"/>
        <w:rPr>
          <w:b w:val="0"/>
          <w:szCs w:val="24"/>
        </w:rPr>
      </w:pPr>
      <w:r w:rsidRPr="00C0141A">
        <w:rPr>
          <w:b w:val="0"/>
          <w:szCs w:val="24"/>
        </w:rPr>
        <w:t>CBA</w:t>
      </w:r>
      <w:r w:rsidRPr="00C0141A">
        <w:rPr>
          <w:b w:val="0"/>
          <w:szCs w:val="24"/>
        </w:rPr>
        <w:tab/>
      </w:r>
      <w:r w:rsidRPr="00C0141A">
        <w:rPr>
          <w:b w:val="0"/>
          <w:szCs w:val="24"/>
        </w:rPr>
        <w:tab/>
        <w:t>Cost Benefit Analysis</w:t>
      </w:r>
    </w:p>
    <w:p w:rsidR="00A47BE0" w:rsidRPr="00C0141A" w:rsidRDefault="00A47BE0" w:rsidP="00A47BE0">
      <w:pPr>
        <w:pStyle w:val="Newpage"/>
        <w:spacing w:before="0" w:line="360" w:lineRule="auto"/>
        <w:jc w:val="both"/>
        <w:rPr>
          <w:b w:val="0"/>
          <w:szCs w:val="24"/>
        </w:rPr>
      </w:pPr>
      <w:r w:rsidRPr="00C0141A">
        <w:rPr>
          <w:b w:val="0"/>
          <w:szCs w:val="24"/>
        </w:rPr>
        <w:t>EA</w:t>
      </w:r>
      <w:r w:rsidRPr="00C0141A">
        <w:rPr>
          <w:b w:val="0"/>
          <w:szCs w:val="24"/>
        </w:rPr>
        <w:tab/>
      </w:r>
      <w:r w:rsidRPr="00C0141A">
        <w:rPr>
          <w:b w:val="0"/>
          <w:szCs w:val="24"/>
        </w:rPr>
        <w:tab/>
        <w:t>Executing Agency</w:t>
      </w:r>
    </w:p>
    <w:p w:rsidR="00A47BE0" w:rsidRPr="00C0141A" w:rsidRDefault="00A47BE0" w:rsidP="00A47BE0">
      <w:pPr>
        <w:pStyle w:val="Newpage"/>
        <w:spacing w:before="0" w:line="360" w:lineRule="auto"/>
        <w:jc w:val="both"/>
        <w:rPr>
          <w:b w:val="0"/>
          <w:szCs w:val="24"/>
        </w:rPr>
      </w:pPr>
      <w:r w:rsidRPr="00C0141A">
        <w:rPr>
          <w:b w:val="0"/>
          <w:szCs w:val="24"/>
        </w:rPr>
        <w:t>EBS</w:t>
      </w:r>
      <w:r w:rsidRPr="00C0141A">
        <w:rPr>
          <w:b w:val="0"/>
          <w:szCs w:val="24"/>
        </w:rPr>
        <w:tab/>
      </w:r>
      <w:r w:rsidRPr="00C0141A">
        <w:rPr>
          <w:b w:val="0"/>
          <w:szCs w:val="24"/>
        </w:rPr>
        <w:tab/>
      </w:r>
      <w:proofErr w:type="spellStart"/>
      <w:r w:rsidRPr="00C0141A">
        <w:rPr>
          <w:b w:val="0"/>
          <w:szCs w:val="24"/>
        </w:rPr>
        <w:t>Energiebedrijven</w:t>
      </w:r>
      <w:proofErr w:type="spellEnd"/>
      <w:r w:rsidRPr="00C0141A">
        <w:rPr>
          <w:b w:val="0"/>
          <w:szCs w:val="24"/>
        </w:rPr>
        <w:t xml:space="preserve"> Suriname</w:t>
      </w:r>
    </w:p>
    <w:p w:rsidR="00A47BE0" w:rsidRPr="00C0141A" w:rsidRDefault="00A47BE0" w:rsidP="00A47BE0">
      <w:pPr>
        <w:pStyle w:val="Newpage"/>
        <w:spacing w:before="0" w:line="360" w:lineRule="auto"/>
        <w:jc w:val="both"/>
        <w:rPr>
          <w:b w:val="0"/>
          <w:szCs w:val="24"/>
        </w:rPr>
      </w:pPr>
      <w:r w:rsidRPr="00C0141A">
        <w:rPr>
          <w:b w:val="0"/>
          <w:szCs w:val="24"/>
        </w:rPr>
        <w:t>EE</w:t>
      </w:r>
      <w:r w:rsidRPr="00C0141A">
        <w:rPr>
          <w:b w:val="0"/>
          <w:szCs w:val="24"/>
        </w:rPr>
        <w:tab/>
      </w:r>
      <w:r w:rsidRPr="00C0141A">
        <w:rPr>
          <w:b w:val="0"/>
          <w:szCs w:val="24"/>
        </w:rPr>
        <w:tab/>
        <w:t>Energy Efficiency</w:t>
      </w:r>
    </w:p>
    <w:p w:rsidR="00A47BE0" w:rsidRPr="00C0141A" w:rsidRDefault="00A47BE0" w:rsidP="00A47BE0">
      <w:pPr>
        <w:pStyle w:val="Newpage"/>
        <w:spacing w:before="0" w:line="360" w:lineRule="auto"/>
        <w:jc w:val="both"/>
        <w:rPr>
          <w:b w:val="0"/>
          <w:szCs w:val="24"/>
        </w:rPr>
      </w:pPr>
      <w:proofErr w:type="spellStart"/>
      <w:r w:rsidRPr="00C0141A">
        <w:rPr>
          <w:b w:val="0"/>
          <w:szCs w:val="24"/>
        </w:rPr>
        <w:t>GoS</w:t>
      </w:r>
      <w:proofErr w:type="spellEnd"/>
      <w:r w:rsidRPr="00C0141A">
        <w:rPr>
          <w:b w:val="0"/>
          <w:szCs w:val="24"/>
        </w:rPr>
        <w:tab/>
      </w:r>
      <w:r w:rsidRPr="00C0141A">
        <w:rPr>
          <w:b w:val="0"/>
          <w:szCs w:val="24"/>
        </w:rPr>
        <w:tab/>
        <w:t>Government of the Republic of Suriname</w:t>
      </w:r>
    </w:p>
    <w:p w:rsidR="00A47BE0" w:rsidRPr="00C0141A" w:rsidRDefault="00A47BE0" w:rsidP="00A47BE0">
      <w:pPr>
        <w:pStyle w:val="Newpage"/>
        <w:spacing w:before="0" w:line="360" w:lineRule="auto"/>
        <w:jc w:val="both"/>
        <w:rPr>
          <w:b w:val="0"/>
          <w:szCs w:val="24"/>
        </w:rPr>
      </w:pPr>
      <w:r w:rsidRPr="00C0141A">
        <w:rPr>
          <w:b w:val="0"/>
          <w:szCs w:val="24"/>
        </w:rPr>
        <w:t>IDB</w:t>
      </w:r>
      <w:r w:rsidRPr="00C0141A">
        <w:rPr>
          <w:b w:val="0"/>
          <w:szCs w:val="24"/>
        </w:rPr>
        <w:tab/>
      </w:r>
      <w:r w:rsidRPr="00C0141A">
        <w:rPr>
          <w:b w:val="0"/>
          <w:szCs w:val="24"/>
        </w:rPr>
        <w:tab/>
        <w:t>Inter-American Development Bank</w:t>
      </w:r>
    </w:p>
    <w:p w:rsidR="00A47BE0" w:rsidRPr="00C0141A" w:rsidRDefault="00A47BE0" w:rsidP="00A47BE0">
      <w:pPr>
        <w:pStyle w:val="Newpage"/>
        <w:spacing w:before="0" w:line="360" w:lineRule="auto"/>
        <w:jc w:val="both"/>
        <w:rPr>
          <w:b w:val="0"/>
          <w:szCs w:val="24"/>
        </w:rPr>
      </w:pPr>
      <w:r w:rsidRPr="00C0141A">
        <w:rPr>
          <w:b w:val="0"/>
          <w:szCs w:val="24"/>
        </w:rPr>
        <w:t>MF</w:t>
      </w:r>
      <w:r w:rsidRPr="00C0141A">
        <w:rPr>
          <w:b w:val="0"/>
          <w:szCs w:val="24"/>
        </w:rPr>
        <w:tab/>
      </w:r>
      <w:r w:rsidRPr="00C0141A">
        <w:rPr>
          <w:b w:val="0"/>
          <w:szCs w:val="24"/>
        </w:rPr>
        <w:tab/>
        <w:t>Ministry of Finance</w:t>
      </w:r>
    </w:p>
    <w:p w:rsidR="00A47BE0" w:rsidRPr="00C0141A" w:rsidRDefault="00A47BE0" w:rsidP="00A47BE0">
      <w:pPr>
        <w:pStyle w:val="Newpage"/>
        <w:spacing w:before="0" w:line="360" w:lineRule="auto"/>
        <w:jc w:val="both"/>
        <w:rPr>
          <w:b w:val="0"/>
          <w:szCs w:val="24"/>
        </w:rPr>
      </w:pPr>
      <w:r w:rsidRPr="00C0141A">
        <w:rPr>
          <w:b w:val="0"/>
          <w:szCs w:val="24"/>
        </w:rPr>
        <w:t>MNH</w:t>
      </w:r>
      <w:r w:rsidRPr="00C0141A">
        <w:rPr>
          <w:b w:val="0"/>
          <w:szCs w:val="24"/>
        </w:rPr>
        <w:tab/>
      </w:r>
      <w:r w:rsidRPr="00C0141A">
        <w:rPr>
          <w:b w:val="0"/>
          <w:szCs w:val="24"/>
        </w:rPr>
        <w:tab/>
        <w:t>Ministry of Natural Resources</w:t>
      </w:r>
    </w:p>
    <w:p w:rsidR="00A47BE0" w:rsidRPr="00C0141A" w:rsidRDefault="00A47BE0" w:rsidP="00A47BE0">
      <w:pPr>
        <w:pStyle w:val="Newpage"/>
        <w:spacing w:before="0" w:line="360" w:lineRule="auto"/>
        <w:jc w:val="both"/>
        <w:rPr>
          <w:b w:val="0"/>
          <w:szCs w:val="24"/>
        </w:rPr>
      </w:pPr>
      <w:r w:rsidRPr="00C0141A">
        <w:rPr>
          <w:b w:val="0"/>
          <w:szCs w:val="24"/>
        </w:rPr>
        <w:t>MW</w:t>
      </w:r>
      <w:r w:rsidRPr="00C0141A">
        <w:rPr>
          <w:b w:val="0"/>
          <w:szCs w:val="24"/>
        </w:rPr>
        <w:tab/>
      </w:r>
      <w:r w:rsidRPr="00C0141A">
        <w:rPr>
          <w:b w:val="0"/>
          <w:szCs w:val="24"/>
        </w:rPr>
        <w:tab/>
      </w:r>
      <w:proofErr w:type="spellStart"/>
      <w:r w:rsidRPr="00C0141A">
        <w:rPr>
          <w:b w:val="0"/>
          <w:szCs w:val="24"/>
        </w:rPr>
        <w:t>MegaWatt</w:t>
      </w:r>
      <w:proofErr w:type="spellEnd"/>
    </w:p>
    <w:p w:rsidR="00A47BE0" w:rsidRPr="00C0141A" w:rsidRDefault="00A47BE0" w:rsidP="00A47BE0">
      <w:pPr>
        <w:pStyle w:val="Newpage"/>
        <w:spacing w:before="0" w:line="360" w:lineRule="auto"/>
        <w:jc w:val="both"/>
        <w:rPr>
          <w:b w:val="0"/>
          <w:szCs w:val="24"/>
        </w:rPr>
      </w:pPr>
      <w:proofErr w:type="spellStart"/>
      <w:r w:rsidRPr="00C0141A">
        <w:rPr>
          <w:b w:val="0"/>
          <w:szCs w:val="24"/>
        </w:rPr>
        <w:t>MWh</w:t>
      </w:r>
      <w:proofErr w:type="spellEnd"/>
      <w:r w:rsidRPr="00C0141A">
        <w:rPr>
          <w:b w:val="0"/>
          <w:szCs w:val="24"/>
        </w:rPr>
        <w:tab/>
      </w:r>
      <w:r w:rsidRPr="00C0141A">
        <w:rPr>
          <w:b w:val="0"/>
          <w:szCs w:val="24"/>
        </w:rPr>
        <w:tab/>
      </w:r>
      <w:proofErr w:type="spellStart"/>
      <w:r w:rsidRPr="00C0141A">
        <w:rPr>
          <w:b w:val="0"/>
          <w:szCs w:val="24"/>
        </w:rPr>
        <w:t>MegaWatt</w:t>
      </w:r>
      <w:proofErr w:type="spellEnd"/>
      <w:r w:rsidRPr="00C0141A">
        <w:rPr>
          <w:b w:val="0"/>
          <w:szCs w:val="24"/>
        </w:rPr>
        <w:t xml:space="preserve"> hour</w:t>
      </w:r>
    </w:p>
    <w:p w:rsidR="00A47BE0" w:rsidRPr="00C0141A" w:rsidRDefault="00A47BE0" w:rsidP="00A47BE0">
      <w:pPr>
        <w:pStyle w:val="Newpage"/>
        <w:spacing w:before="0" w:line="360" w:lineRule="auto"/>
        <w:jc w:val="both"/>
        <w:rPr>
          <w:b w:val="0"/>
          <w:szCs w:val="24"/>
        </w:rPr>
      </w:pPr>
      <w:r w:rsidRPr="00C0141A">
        <w:rPr>
          <w:b w:val="0"/>
          <w:szCs w:val="24"/>
        </w:rPr>
        <w:t>PCR</w:t>
      </w:r>
      <w:r w:rsidRPr="00C0141A">
        <w:rPr>
          <w:b w:val="0"/>
          <w:szCs w:val="24"/>
        </w:rPr>
        <w:tab/>
      </w:r>
      <w:r w:rsidRPr="00C0141A">
        <w:rPr>
          <w:b w:val="0"/>
          <w:szCs w:val="24"/>
        </w:rPr>
        <w:tab/>
        <w:t>Project Completion Report</w:t>
      </w:r>
    </w:p>
    <w:p w:rsidR="00A47BE0" w:rsidRPr="00C0141A" w:rsidRDefault="00A47BE0" w:rsidP="00A47BE0">
      <w:pPr>
        <w:pStyle w:val="Newpage"/>
        <w:spacing w:before="0" w:line="360" w:lineRule="auto"/>
        <w:jc w:val="both"/>
        <w:rPr>
          <w:b w:val="0"/>
          <w:szCs w:val="24"/>
        </w:rPr>
      </w:pPr>
      <w:r w:rsidRPr="00C0141A">
        <w:rPr>
          <w:b w:val="0"/>
          <w:szCs w:val="24"/>
        </w:rPr>
        <w:t>PBP</w:t>
      </w:r>
      <w:r w:rsidRPr="00C0141A">
        <w:rPr>
          <w:b w:val="0"/>
          <w:szCs w:val="24"/>
        </w:rPr>
        <w:tab/>
      </w:r>
      <w:r w:rsidRPr="00C0141A">
        <w:rPr>
          <w:b w:val="0"/>
          <w:szCs w:val="24"/>
        </w:rPr>
        <w:tab/>
        <w:t>Policy-Based Programmatic</w:t>
      </w:r>
    </w:p>
    <w:p w:rsidR="00A47BE0" w:rsidRPr="00C0141A" w:rsidRDefault="00A47BE0" w:rsidP="00A47BE0">
      <w:pPr>
        <w:pStyle w:val="Newpage"/>
        <w:spacing w:before="0" w:line="360" w:lineRule="auto"/>
        <w:jc w:val="both"/>
        <w:rPr>
          <w:b w:val="0"/>
          <w:szCs w:val="24"/>
        </w:rPr>
      </w:pPr>
      <w:r w:rsidRPr="00C0141A">
        <w:rPr>
          <w:b w:val="0"/>
          <w:szCs w:val="24"/>
        </w:rPr>
        <w:t>PBL</w:t>
      </w:r>
      <w:r w:rsidRPr="00C0141A">
        <w:rPr>
          <w:b w:val="0"/>
          <w:szCs w:val="24"/>
        </w:rPr>
        <w:tab/>
      </w:r>
      <w:r w:rsidRPr="00C0141A">
        <w:rPr>
          <w:b w:val="0"/>
          <w:szCs w:val="24"/>
        </w:rPr>
        <w:tab/>
        <w:t>Policy-Based Loan</w:t>
      </w:r>
    </w:p>
    <w:p w:rsidR="00A47BE0" w:rsidRPr="00C0141A" w:rsidRDefault="00A47BE0" w:rsidP="00A47BE0">
      <w:pPr>
        <w:pStyle w:val="Newpage"/>
        <w:spacing w:before="0" w:line="360" w:lineRule="auto"/>
        <w:jc w:val="both"/>
        <w:rPr>
          <w:b w:val="0"/>
          <w:szCs w:val="24"/>
        </w:rPr>
      </w:pPr>
      <w:r w:rsidRPr="00C0141A">
        <w:rPr>
          <w:b w:val="0"/>
          <w:szCs w:val="24"/>
        </w:rPr>
        <w:t>RE</w:t>
      </w:r>
      <w:r w:rsidRPr="00C0141A">
        <w:rPr>
          <w:b w:val="0"/>
          <w:szCs w:val="24"/>
        </w:rPr>
        <w:tab/>
      </w:r>
      <w:r w:rsidRPr="00C0141A">
        <w:rPr>
          <w:b w:val="0"/>
          <w:szCs w:val="24"/>
        </w:rPr>
        <w:tab/>
        <w:t>Renewable Energy</w:t>
      </w:r>
    </w:p>
    <w:p w:rsidR="00A47BE0" w:rsidRPr="00C0141A" w:rsidRDefault="00A47BE0" w:rsidP="00A47BE0">
      <w:pPr>
        <w:pStyle w:val="Newpage"/>
        <w:spacing w:before="0" w:line="360" w:lineRule="auto"/>
        <w:jc w:val="both"/>
        <w:rPr>
          <w:b w:val="0"/>
          <w:szCs w:val="24"/>
        </w:rPr>
      </w:pPr>
    </w:p>
    <w:p w:rsidR="00A47BE0" w:rsidRPr="00C0141A" w:rsidRDefault="00A47BE0" w:rsidP="00A47BE0">
      <w:pPr>
        <w:pStyle w:val="Newpage"/>
        <w:spacing w:before="0" w:line="360" w:lineRule="auto"/>
        <w:jc w:val="both"/>
        <w:rPr>
          <w:b w:val="0"/>
          <w:szCs w:val="24"/>
        </w:rPr>
      </w:pPr>
    </w:p>
    <w:p w:rsidR="00A47BE0" w:rsidRPr="00C0141A" w:rsidRDefault="00A47BE0" w:rsidP="00A47BE0">
      <w:pPr>
        <w:pStyle w:val="Newpage"/>
        <w:spacing w:before="0" w:line="360" w:lineRule="auto"/>
        <w:jc w:val="both"/>
        <w:rPr>
          <w:b w:val="0"/>
          <w:szCs w:val="24"/>
        </w:rPr>
      </w:pPr>
    </w:p>
    <w:p w:rsidR="00A47BE0" w:rsidRPr="00C0141A" w:rsidRDefault="00A47BE0" w:rsidP="00A47BE0">
      <w:pPr>
        <w:pStyle w:val="Newpage"/>
        <w:spacing w:before="0" w:line="360" w:lineRule="auto"/>
        <w:jc w:val="both"/>
        <w:rPr>
          <w:b w:val="0"/>
          <w:szCs w:val="24"/>
        </w:rPr>
      </w:pPr>
    </w:p>
    <w:p w:rsidR="00A47BE0" w:rsidRPr="00C0141A" w:rsidRDefault="00A47BE0" w:rsidP="00A47BE0">
      <w:pPr>
        <w:pStyle w:val="Newpage"/>
        <w:spacing w:before="0" w:line="360" w:lineRule="auto"/>
        <w:jc w:val="both"/>
        <w:rPr>
          <w:b w:val="0"/>
          <w:szCs w:val="24"/>
        </w:rPr>
      </w:pPr>
    </w:p>
    <w:p w:rsidR="00A47BE0" w:rsidRPr="00C0141A" w:rsidRDefault="00A47BE0" w:rsidP="00A47BE0">
      <w:pPr>
        <w:pStyle w:val="Newpage"/>
        <w:spacing w:before="0" w:line="360" w:lineRule="auto"/>
        <w:jc w:val="both"/>
        <w:rPr>
          <w:szCs w:val="24"/>
        </w:rPr>
      </w:pPr>
    </w:p>
    <w:p w:rsidR="00A47BE0" w:rsidRPr="00C0141A" w:rsidRDefault="00A47BE0" w:rsidP="00A47BE0">
      <w:pPr>
        <w:pStyle w:val="Newpage"/>
        <w:spacing w:before="0" w:line="360" w:lineRule="auto"/>
        <w:jc w:val="both"/>
        <w:rPr>
          <w:szCs w:val="24"/>
        </w:rPr>
      </w:pPr>
    </w:p>
    <w:p w:rsidR="00A47BE0" w:rsidRPr="00C0141A" w:rsidRDefault="00A47BE0" w:rsidP="00A47BE0">
      <w:pPr>
        <w:pStyle w:val="Newpage"/>
        <w:spacing w:before="0" w:line="360" w:lineRule="auto"/>
        <w:jc w:val="both"/>
        <w:rPr>
          <w:szCs w:val="24"/>
        </w:rPr>
        <w:sectPr w:rsidR="00A47BE0" w:rsidRPr="00C0141A" w:rsidSect="00FA7062">
          <w:pgSz w:w="12240" w:h="15840"/>
          <w:pgMar w:top="1440" w:right="1440" w:bottom="1440" w:left="1440" w:header="720" w:footer="720" w:gutter="0"/>
          <w:cols w:space="720"/>
          <w:docGrid w:linePitch="360"/>
        </w:sectPr>
      </w:pPr>
    </w:p>
    <w:p w:rsidR="00A47BE0" w:rsidRPr="00C665CC" w:rsidRDefault="00A47BE0" w:rsidP="00A47BE0">
      <w:pPr>
        <w:pStyle w:val="Title"/>
        <w:numPr>
          <w:ilvl w:val="0"/>
          <w:numId w:val="15"/>
        </w:numPr>
        <w:spacing w:line="360" w:lineRule="auto"/>
        <w:jc w:val="left"/>
        <w:rPr>
          <w:rStyle w:val="Strong"/>
        </w:rPr>
      </w:pPr>
      <w:bookmarkStart w:id="7" w:name="_Toc323827268"/>
      <w:bookmarkStart w:id="8" w:name="_Toc365976346"/>
      <w:bookmarkStart w:id="9" w:name="_Toc365977154"/>
      <w:r w:rsidRPr="00C665CC">
        <w:rPr>
          <w:rStyle w:val="Strong"/>
        </w:rPr>
        <w:lastRenderedPageBreak/>
        <w:t>Introduction</w:t>
      </w:r>
      <w:bookmarkEnd w:id="7"/>
      <w:bookmarkEnd w:id="8"/>
      <w:bookmarkEnd w:id="9"/>
      <w:r w:rsidRPr="00C665CC">
        <w:rPr>
          <w:rStyle w:val="Strong"/>
        </w:rPr>
        <w:t xml:space="preserve"> </w:t>
      </w:r>
    </w:p>
    <w:p w:rsidR="00A47BE0" w:rsidRPr="00C0141A" w:rsidRDefault="00A47BE0" w:rsidP="00A47BE0">
      <w:pPr>
        <w:pStyle w:val="Title"/>
        <w:spacing w:line="360" w:lineRule="auto"/>
        <w:jc w:val="left"/>
      </w:pPr>
    </w:p>
    <w:p w:rsidR="00A47BE0" w:rsidRPr="00C0141A" w:rsidRDefault="00A47BE0" w:rsidP="00A47BE0">
      <w:pPr>
        <w:spacing w:after="0" w:line="360" w:lineRule="auto"/>
        <w:jc w:val="both"/>
        <w:rPr>
          <w:rFonts w:eastAsia="MS Mincho"/>
          <w:szCs w:val="24"/>
          <w:lang w:eastAsia="ja-JP"/>
        </w:rPr>
      </w:pPr>
      <w:bookmarkStart w:id="10" w:name="_Toc296958008"/>
      <w:r w:rsidRPr="00C0141A">
        <w:rPr>
          <w:rFonts w:eastAsia="MS Mincho"/>
          <w:szCs w:val="24"/>
          <w:lang w:eastAsia="ja-JP"/>
        </w:rPr>
        <w:t>The objective of the Project is to support the implementation of IT business support tools for EBS, to provide financial support for upgrading critical infrastructure, and to contribute to expand electricity coverage by grid extension and renewable energy systems in the Hinterlands.  The main components of this operation are: i) Improvement of EBS’ Operations; ii) Sustainable Rural Electrification; and iii) Critical Infrastructure.</w:t>
      </w:r>
    </w:p>
    <w:p w:rsidR="00A47BE0" w:rsidRPr="00C0141A" w:rsidRDefault="00A47BE0" w:rsidP="00A47BE0">
      <w:pPr>
        <w:spacing w:after="0" w:line="360" w:lineRule="auto"/>
        <w:jc w:val="both"/>
        <w:rPr>
          <w:rFonts w:eastAsia="MS Mincho"/>
          <w:szCs w:val="24"/>
          <w:lang w:eastAsia="ja-JP"/>
        </w:rPr>
      </w:pPr>
    </w:p>
    <w:p w:rsidR="00A47BE0" w:rsidRPr="00C0141A" w:rsidRDefault="00A47BE0" w:rsidP="00A47BE0">
      <w:pPr>
        <w:spacing w:after="0" w:line="360" w:lineRule="auto"/>
        <w:jc w:val="both"/>
        <w:rPr>
          <w:rFonts w:eastAsia="MS Mincho"/>
          <w:szCs w:val="24"/>
          <w:lang w:eastAsia="ja-JP"/>
        </w:rPr>
      </w:pPr>
      <w:r w:rsidRPr="00C0141A">
        <w:rPr>
          <w:rFonts w:eastAsia="MS Mincho"/>
          <w:szCs w:val="24"/>
          <w:lang w:eastAsia="ja-JP"/>
        </w:rPr>
        <w:t>The Project will contribute to the implementation of Sustainable Energy Framework for Suriname</w:t>
      </w:r>
      <w:r w:rsidRPr="00C0141A">
        <w:rPr>
          <w:rStyle w:val="FootnoteReference"/>
          <w:rFonts w:eastAsia="MS Mincho"/>
          <w:szCs w:val="24"/>
          <w:lang w:eastAsia="ja-JP"/>
        </w:rPr>
        <w:footnoteReference w:id="1"/>
      </w:r>
      <w:r w:rsidRPr="00C0141A">
        <w:rPr>
          <w:rFonts w:eastAsia="MS Mincho"/>
          <w:szCs w:val="24"/>
          <w:lang w:eastAsia="ja-JP"/>
        </w:rPr>
        <w:t xml:space="preserve"> (SEFS) by strengthening EBS’ operational procedures and corporate performance, as well as by improving the sustainability of rural electricity supply.  The specific objective is: to support the implementation of IT business support tools for EBS, to provide financial support for upgrading critical infrastructure, and to contribute to expand electricity coverage by grid extension and renewable energy systems in the Hinterlands.  The main components of this operation are: i) Improvement of EBS’ Operations; ii) Sustainable Rural Electrification; and iii) Critical Infrastructure. Components description as follow:</w:t>
      </w:r>
    </w:p>
    <w:p w:rsidR="00A47BE0" w:rsidRPr="00C0141A" w:rsidRDefault="00A47BE0" w:rsidP="00A47BE0">
      <w:pPr>
        <w:spacing w:after="0" w:line="360" w:lineRule="auto"/>
        <w:jc w:val="both"/>
        <w:rPr>
          <w:rFonts w:eastAsia="MS Mincho"/>
          <w:szCs w:val="24"/>
          <w:lang w:eastAsia="ja-JP"/>
        </w:rPr>
      </w:pPr>
    </w:p>
    <w:p w:rsidR="00A47BE0" w:rsidRPr="00C0141A" w:rsidRDefault="00A47BE0" w:rsidP="00A47BE0">
      <w:pPr>
        <w:pStyle w:val="ListParagraph"/>
        <w:numPr>
          <w:ilvl w:val="0"/>
          <w:numId w:val="24"/>
        </w:numPr>
        <w:spacing w:after="0" w:line="360" w:lineRule="auto"/>
        <w:jc w:val="both"/>
        <w:rPr>
          <w:rFonts w:eastAsia="MS Mincho"/>
          <w:szCs w:val="24"/>
          <w:lang w:eastAsia="ja-JP"/>
        </w:rPr>
      </w:pPr>
      <w:r w:rsidRPr="00C0141A">
        <w:rPr>
          <w:rFonts w:eastAsia="MS Mincho"/>
          <w:b/>
          <w:szCs w:val="24"/>
          <w:lang w:eastAsia="ja-JP"/>
        </w:rPr>
        <w:t>Component I. Improvement of EBS’ Operations.</w:t>
      </w:r>
      <w:r w:rsidRPr="00C0141A">
        <w:rPr>
          <w:rFonts w:eastAsia="MS Mincho"/>
          <w:szCs w:val="24"/>
          <w:lang w:eastAsia="ja-JP"/>
        </w:rPr>
        <w:t xml:space="preserve"> The specific objective of this component is to contribute to improve EBS’ performance by: (i) integrating Supervisory Control and Data Acquisition (SCADA) platforms for technical supervision and operation of the power system; and (ii) incorporating business information solutions by financing Information Technologies (IT) hardware and software, such as the Enterprise Resources Planning (ERP) and a Geographical Information System (GIS). </w:t>
      </w:r>
    </w:p>
    <w:p w:rsidR="00A47BE0" w:rsidRPr="00C0141A" w:rsidRDefault="00A47BE0" w:rsidP="00A47BE0">
      <w:pPr>
        <w:spacing w:after="0" w:line="360" w:lineRule="auto"/>
        <w:jc w:val="both"/>
        <w:rPr>
          <w:rFonts w:eastAsia="MS Mincho"/>
          <w:szCs w:val="24"/>
          <w:lang w:eastAsia="ja-JP"/>
        </w:rPr>
      </w:pPr>
    </w:p>
    <w:p w:rsidR="00A47BE0" w:rsidRPr="00C0141A" w:rsidRDefault="00A47BE0" w:rsidP="00A47BE0">
      <w:pPr>
        <w:pStyle w:val="ListParagraph"/>
        <w:numPr>
          <w:ilvl w:val="0"/>
          <w:numId w:val="24"/>
        </w:numPr>
        <w:spacing w:after="0" w:line="360" w:lineRule="auto"/>
        <w:jc w:val="both"/>
        <w:rPr>
          <w:rFonts w:eastAsia="MS Mincho"/>
          <w:szCs w:val="24"/>
          <w:lang w:eastAsia="ja-JP"/>
        </w:rPr>
      </w:pPr>
      <w:r w:rsidRPr="00C0141A">
        <w:rPr>
          <w:rFonts w:eastAsia="MS Mincho"/>
          <w:b/>
          <w:szCs w:val="24"/>
          <w:lang w:eastAsia="ja-JP"/>
        </w:rPr>
        <w:t>Component II. Sustainable Rural Electrification and Institutional Strengthening.</w:t>
      </w:r>
      <w:r w:rsidRPr="00C0141A">
        <w:rPr>
          <w:rFonts w:eastAsia="MS Mincho"/>
          <w:szCs w:val="24"/>
          <w:lang w:eastAsia="ja-JP"/>
        </w:rPr>
        <w:t xml:space="preserve"> The specific objective of this component is: (i) the integration of </w:t>
      </w:r>
      <w:proofErr w:type="spellStart"/>
      <w:r w:rsidRPr="00C0141A">
        <w:rPr>
          <w:rFonts w:eastAsia="MS Mincho"/>
          <w:szCs w:val="24"/>
          <w:lang w:eastAsia="ja-JP"/>
        </w:rPr>
        <w:t>Powakka</w:t>
      </w:r>
      <w:proofErr w:type="spellEnd"/>
      <w:r w:rsidRPr="00C0141A">
        <w:rPr>
          <w:rFonts w:eastAsia="MS Mincho"/>
          <w:szCs w:val="24"/>
          <w:lang w:eastAsia="ja-JP"/>
        </w:rPr>
        <w:t xml:space="preserve"> village and surrounding communities into the EPAR grid by rehabilitating and upgrading the transmission and distribution system and securing the sustainability of the investment; </w:t>
      </w:r>
      <w:r w:rsidRPr="00C0141A">
        <w:rPr>
          <w:rFonts w:eastAsia="MS Mincho"/>
          <w:szCs w:val="24"/>
          <w:lang w:eastAsia="ja-JP"/>
        </w:rPr>
        <w:lastRenderedPageBreak/>
        <w:t xml:space="preserve">and (ii) the installation of hybrid RE generation to local distribution systems to improve sustainability of electricity supply in </w:t>
      </w:r>
      <w:proofErr w:type="spellStart"/>
      <w:r w:rsidRPr="00C0141A">
        <w:rPr>
          <w:rFonts w:eastAsia="MS Mincho"/>
          <w:szCs w:val="24"/>
          <w:lang w:eastAsia="ja-JP"/>
        </w:rPr>
        <w:t>Atjoni</w:t>
      </w:r>
      <w:proofErr w:type="spellEnd"/>
      <w:r w:rsidRPr="00C0141A">
        <w:rPr>
          <w:rFonts w:eastAsia="MS Mincho"/>
          <w:szCs w:val="24"/>
          <w:lang w:eastAsia="ja-JP"/>
        </w:rPr>
        <w:t xml:space="preserve"> and nearby communities. </w:t>
      </w:r>
    </w:p>
    <w:p w:rsidR="00A47BE0" w:rsidRPr="00C0141A" w:rsidRDefault="00A47BE0" w:rsidP="00A47BE0">
      <w:pPr>
        <w:spacing w:after="0" w:line="360" w:lineRule="auto"/>
        <w:jc w:val="both"/>
        <w:rPr>
          <w:rFonts w:eastAsia="MS Mincho"/>
          <w:szCs w:val="24"/>
          <w:lang w:eastAsia="ja-JP"/>
        </w:rPr>
      </w:pPr>
    </w:p>
    <w:p w:rsidR="00A47BE0" w:rsidRPr="00C0141A" w:rsidRDefault="00A47BE0" w:rsidP="00A47BE0">
      <w:pPr>
        <w:pStyle w:val="ListParagraph"/>
        <w:numPr>
          <w:ilvl w:val="0"/>
          <w:numId w:val="24"/>
        </w:numPr>
        <w:spacing w:after="0" w:line="360" w:lineRule="auto"/>
        <w:jc w:val="both"/>
        <w:rPr>
          <w:rFonts w:eastAsia="MS Mincho"/>
          <w:szCs w:val="24"/>
          <w:lang w:eastAsia="ja-JP"/>
        </w:rPr>
      </w:pPr>
      <w:r w:rsidRPr="00C0141A">
        <w:rPr>
          <w:rFonts w:eastAsia="MS Mincho"/>
          <w:b/>
          <w:szCs w:val="24"/>
          <w:lang w:eastAsia="ja-JP"/>
        </w:rPr>
        <w:t>Component III. Critical Infrastructure.</w:t>
      </w:r>
      <w:r w:rsidRPr="00C0141A">
        <w:rPr>
          <w:rFonts w:eastAsia="MS Mincho"/>
          <w:szCs w:val="24"/>
          <w:lang w:eastAsia="ja-JP"/>
        </w:rPr>
        <w:t xml:space="preserve">  The specific objective of this component is to finance the rehabilitation and upgrade of critical infrastructure of EBS including retrofitting of the two existing 33/12/6-kV substations (S/S C and S/S D) in the EPAR system, supplying energy to the northern load center of the Capital Paramaribo.  Both substations were built in 1965.  </w:t>
      </w:r>
    </w:p>
    <w:bookmarkEnd w:id="10"/>
    <w:p w:rsidR="00A47BE0" w:rsidRPr="00C0141A" w:rsidRDefault="00A47BE0" w:rsidP="00A47BE0">
      <w:pPr>
        <w:spacing w:after="0" w:line="360" w:lineRule="auto"/>
        <w:jc w:val="both"/>
        <w:rPr>
          <w:lang w:eastAsia="ja-JP"/>
        </w:rPr>
      </w:pPr>
    </w:p>
    <w:p w:rsidR="00A47BE0" w:rsidRPr="00C0141A" w:rsidRDefault="00A47BE0" w:rsidP="00A47BE0">
      <w:pPr>
        <w:spacing w:after="0" w:line="360" w:lineRule="auto"/>
        <w:jc w:val="both"/>
        <w:rPr>
          <w:rFonts w:eastAsia="MS Mincho"/>
          <w:szCs w:val="24"/>
          <w:lang w:eastAsia="ja-JP"/>
        </w:rPr>
      </w:pPr>
      <w:r w:rsidRPr="00C0141A">
        <w:rPr>
          <w:lang w:eastAsia="ja-JP"/>
        </w:rPr>
        <w:t xml:space="preserve">This monitoring and evaluation (M&amp;E) plan presents: (i) monitoring indicators (ii) main indicators to follow-up on outcome achievements (described in </w:t>
      </w:r>
      <w:r w:rsidRPr="00193AA4">
        <w:rPr>
          <w:lang w:eastAsia="ja-JP"/>
        </w:rPr>
        <w:fldChar w:fldCharType="begin"/>
      </w:r>
      <w:r w:rsidRPr="00193AA4">
        <w:rPr>
          <w:lang w:eastAsia="ja-JP"/>
        </w:rPr>
        <w:instrText xml:space="preserve"> REF _Ref323827233 \h  \* MERGEFORMAT </w:instrText>
      </w:r>
      <w:r w:rsidRPr="00193AA4">
        <w:rPr>
          <w:lang w:eastAsia="ja-JP"/>
        </w:rPr>
      </w:r>
      <w:r w:rsidRPr="00193AA4">
        <w:rPr>
          <w:lang w:eastAsia="ja-JP"/>
        </w:rPr>
        <w:fldChar w:fldCharType="separate"/>
      </w:r>
      <w:r w:rsidRPr="00193AA4">
        <w:t xml:space="preserve">Table </w:t>
      </w:r>
      <w:r w:rsidRPr="00193AA4">
        <w:rPr>
          <w:noProof/>
        </w:rPr>
        <w:t>1</w:t>
      </w:r>
      <w:r w:rsidRPr="00193AA4">
        <w:t>: Impact and Outcome Indicators</w:t>
      </w:r>
      <w:r w:rsidRPr="00193AA4">
        <w:rPr>
          <w:lang w:eastAsia="ja-JP"/>
        </w:rPr>
        <w:fldChar w:fldCharType="end"/>
      </w:r>
      <w:r w:rsidRPr="00193AA4">
        <w:rPr>
          <w:lang w:eastAsia="ja-JP"/>
        </w:rPr>
        <w:t>), and (iii) the evaluation methodology chosen for assessing</w:t>
      </w:r>
      <w:r w:rsidRPr="00C0141A">
        <w:rPr>
          <w:lang w:eastAsia="ja-JP"/>
        </w:rPr>
        <w:t xml:space="preserve"> medium and long term impacts, an ex-post cost benefit analysis (CBA) for components I and II</w:t>
      </w:r>
      <w:r>
        <w:rPr>
          <w:lang w:eastAsia="ja-JP"/>
        </w:rPr>
        <w:t>I ?</w:t>
      </w:r>
      <w:r w:rsidRPr="00C0141A">
        <w:rPr>
          <w:lang w:eastAsia="ja-JP"/>
        </w:rPr>
        <w:t xml:space="preserve"> </w:t>
      </w:r>
      <w:proofErr w:type="gramStart"/>
      <w:r w:rsidRPr="00C0141A">
        <w:rPr>
          <w:lang w:eastAsia="ja-JP"/>
        </w:rPr>
        <w:t>and</w:t>
      </w:r>
      <w:proofErr w:type="gramEnd"/>
      <w:r w:rsidRPr="00C0141A">
        <w:rPr>
          <w:lang w:eastAsia="ja-JP"/>
        </w:rPr>
        <w:t>, and Impact evaluation for Compone</w:t>
      </w:r>
      <w:r>
        <w:rPr>
          <w:lang w:eastAsia="ja-JP"/>
        </w:rPr>
        <w:t>nt II ?.</w:t>
      </w:r>
      <w:r w:rsidRPr="00C0141A">
        <w:rPr>
          <w:lang w:eastAsia="ja-JP"/>
        </w:rPr>
        <w:t xml:space="preserve"> </w:t>
      </w:r>
    </w:p>
    <w:p w:rsidR="00A47BE0" w:rsidRPr="00C0141A" w:rsidRDefault="00A47BE0" w:rsidP="00A47BE0">
      <w:pPr>
        <w:pStyle w:val="ListParagraph"/>
        <w:spacing w:after="0" w:line="360" w:lineRule="auto"/>
        <w:jc w:val="both"/>
        <w:rPr>
          <w:lang w:eastAsia="ja-JP"/>
        </w:rPr>
      </w:pPr>
    </w:p>
    <w:p w:rsidR="00A47BE0" w:rsidRPr="00C665CC" w:rsidRDefault="00A47BE0" w:rsidP="00A47BE0">
      <w:pPr>
        <w:pStyle w:val="Title"/>
        <w:numPr>
          <w:ilvl w:val="0"/>
          <w:numId w:val="15"/>
        </w:numPr>
        <w:spacing w:line="360" w:lineRule="auto"/>
        <w:jc w:val="left"/>
        <w:rPr>
          <w:rStyle w:val="Strong"/>
        </w:rPr>
      </w:pPr>
      <w:bookmarkStart w:id="11" w:name="_Toc323827269"/>
      <w:bookmarkStart w:id="12" w:name="_Toc365976347"/>
      <w:bookmarkStart w:id="13" w:name="_Toc365977155"/>
      <w:r w:rsidRPr="00C665CC">
        <w:rPr>
          <w:rStyle w:val="Strong"/>
        </w:rPr>
        <w:t>Monitoring</w:t>
      </w:r>
      <w:bookmarkEnd w:id="11"/>
      <w:bookmarkEnd w:id="12"/>
      <w:bookmarkEnd w:id="13"/>
      <w:r w:rsidRPr="00C665CC">
        <w:rPr>
          <w:rStyle w:val="Strong"/>
        </w:rPr>
        <w:t xml:space="preserve"> </w:t>
      </w:r>
    </w:p>
    <w:p w:rsidR="00A47BE0" w:rsidRPr="00C0141A" w:rsidRDefault="00A47BE0" w:rsidP="00A47BE0">
      <w:pPr>
        <w:pStyle w:val="Title"/>
        <w:spacing w:line="360" w:lineRule="auto"/>
        <w:ind w:left="720"/>
        <w:jc w:val="left"/>
        <w:rPr>
          <w:b/>
        </w:rPr>
      </w:pPr>
    </w:p>
    <w:p w:rsidR="00A47BE0" w:rsidRDefault="00A47BE0" w:rsidP="00A47BE0">
      <w:pPr>
        <w:spacing w:after="0" w:line="360" w:lineRule="auto"/>
      </w:pPr>
      <w:bookmarkStart w:id="14" w:name="_Ref322096215"/>
      <w:bookmarkStart w:id="15" w:name="_Toc323827270"/>
      <w:r w:rsidRPr="00C0141A">
        <w:t>The purpose of this section is to describe the monitoring process.</w:t>
      </w:r>
    </w:p>
    <w:p w:rsidR="00A47BE0" w:rsidRPr="00C665CC" w:rsidRDefault="00A47BE0" w:rsidP="00A47BE0">
      <w:pPr>
        <w:pStyle w:val="Heading2"/>
        <w:numPr>
          <w:ilvl w:val="0"/>
          <w:numId w:val="43"/>
        </w:numPr>
        <w:spacing w:before="0" w:after="0" w:line="360" w:lineRule="auto"/>
        <w:rPr>
          <w:rStyle w:val="SubtleEmphasis"/>
        </w:rPr>
      </w:pPr>
      <w:bookmarkStart w:id="16" w:name="_Toc365976348"/>
      <w:bookmarkStart w:id="17" w:name="_Toc365977156"/>
      <w:r w:rsidRPr="00C665CC">
        <w:rPr>
          <w:rStyle w:val="SubtleEmphasis"/>
        </w:rPr>
        <w:t>Indicators</w:t>
      </w:r>
      <w:bookmarkEnd w:id="14"/>
      <w:bookmarkEnd w:id="15"/>
      <w:bookmarkEnd w:id="16"/>
      <w:bookmarkEnd w:id="17"/>
    </w:p>
    <w:p w:rsidR="00A47BE0" w:rsidRDefault="00A47BE0" w:rsidP="00A47BE0">
      <w:pPr>
        <w:spacing w:after="0" w:line="360" w:lineRule="auto"/>
        <w:jc w:val="both"/>
      </w:pPr>
    </w:p>
    <w:p w:rsidR="00A47BE0" w:rsidRPr="00C0141A" w:rsidRDefault="00A47BE0" w:rsidP="00A47BE0">
      <w:pPr>
        <w:spacing w:after="0" w:line="360" w:lineRule="auto"/>
        <w:jc w:val="both"/>
        <w:rPr>
          <w:b/>
        </w:rPr>
      </w:pPr>
      <w:r w:rsidRPr="00C0141A">
        <w:t>Outputs, outcomes and impacts indicators, as well as their sources of verification are detailed in the following table:</w:t>
      </w:r>
    </w:p>
    <w:p w:rsidR="00A47BE0" w:rsidRPr="00C0141A" w:rsidRDefault="00A47BE0" w:rsidP="00A47BE0">
      <w:pPr>
        <w:spacing w:after="0" w:line="360" w:lineRule="auto"/>
        <w:jc w:val="center"/>
        <w:rPr>
          <w:b/>
        </w:rPr>
      </w:pPr>
      <w:proofErr w:type="gramStart"/>
      <w:r w:rsidRPr="00C0141A">
        <w:rPr>
          <w:b/>
        </w:rPr>
        <w:t>Table 1.</w:t>
      </w:r>
      <w:proofErr w:type="gramEnd"/>
      <w:r w:rsidRPr="00C0141A">
        <w:rPr>
          <w:b/>
        </w:rPr>
        <w:t xml:space="preserve"> Project Output and Outcome Indicators</w:t>
      </w:r>
    </w:p>
    <w:tbl>
      <w:tblPr>
        <w:tblW w:w="10366" w:type="dxa"/>
        <w:tblInd w:w="93" w:type="dxa"/>
        <w:tblLook w:val="04A0" w:firstRow="1" w:lastRow="0" w:firstColumn="1" w:lastColumn="0" w:noHBand="0" w:noVBand="1"/>
      </w:tblPr>
      <w:tblGrid>
        <w:gridCol w:w="2312"/>
        <w:gridCol w:w="2310"/>
        <w:gridCol w:w="1036"/>
        <w:gridCol w:w="859"/>
        <w:gridCol w:w="886"/>
        <w:gridCol w:w="1432"/>
        <w:gridCol w:w="1531"/>
      </w:tblGrid>
      <w:tr w:rsidR="00A47BE0" w:rsidRPr="00C0141A" w:rsidTr="00177A31">
        <w:trPr>
          <w:trHeight w:val="471"/>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bookmarkStart w:id="18" w:name="_Ref322096084"/>
            <w:bookmarkStart w:id="19" w:name="_Toc323827271"/>
            <w:r w:rsidRPr="00C0141A">
              <w:rPr>
                <w:rFonts w:eastAsia="Times New Roman"/>
                <w:b/>
                <w:bCs/>
                <w:color w:val="000000"/>
                <w:sz w:val="18"/>
                <w:szCs w:val="18"/>
              </w:rPr>
              <w:t>Outcomes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Indicators</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Frequency</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Baseline</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End of project</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Means of verification</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Comments</w:t>
            </w:r>
          </w:p>
        </w:tc>
      </w:tr>
      <w:tr w:rsidR="00A47BE0" w:rsidRPr="00C0141A" w:rsidTr="00177A31">
        <w:trPr>
          <w:trHeight w:val="280"/>
        </w:trPr>
        <w:tc>
          <w:tcPr>
            <w:tcW w:w="10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b/>
                <w:bCs/>
                <w:color w:val="000000"/>
                <w:sz w:val="18"/>
                <w:szCs w:val="18"/>
              </w:rPr>
            </w:pPr>
            <w:r w:rsidRPr="00C0141A">
              <w:rPr>
                <w:rFonts w:eastAsia="Times New Roman"/>
                <w:b/>
                <w:bCs/>
                <w:color w:val="000000"/>
                <w:sz w:val="18"/>
                <w:szCs w:val="18"/>
              </w:rPr>
              <w:t xml:space="preserve">Component 1 – </w:t>
            </w:r>
            <w:r w:rsidRPr="00C0141A">
              <w:rPr>
                <w:rFonts w:eastAsia="Times New Roman"/>
                <w:color w:val="000000"/>
                <w:sz w:val="18"/>
                <w:szCs w:val="18"/>
              </w:rPr>
              <w:t xml:space="preserve"> </w:t>
            </w:r>
            <w:r w:rsidRPr="00C0141A">
              <w:rPr>
                <w:rFonts w:eastAsia="Times New Roman"/>
                <w:b/>
                <w:bCs/>
                <w:color w:val="000000"/>
                <w:sz w:val="18"/>
                <w:szCs w:val="18"/>
              </w:rPr>
              <w:t>Improvement of EBS’ Operations</w:t>
            </w:r>
          </w:p>
        </w:tc>
      </w:tr>
      <w:tr w:rsidR="00A47BE0" w:rsidRPr="00C0141A" w:rsidTr="00177A31">
        <w:trPr>
          <w:trHeight w:val="854"/>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Strengthening  in EBS's operational procedures and corporate performance</w:t>
            </w:r>
          </w:p>
        </w:tc>
        <w:tc>
          <w:tcPr>
            <w:tcW w:w="231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Operational GIS and SCADA systems effectively in use by EBS’ business units</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88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w:t>
            </w:r>
          </w:p>
        </w:tc>
        <w:tc>
          <w:tcPr>
            <w:tcW w:w="143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3A3103">
              <w:rPr>
                <w:color w:val="000000"/>
                <w:sz w:val="20"/>
              </w:rPr>
              <w:t>field visits</w:t>
            </w:r>
            <w:r>
              <w:rPr>
                <w:color w:val="000000"/>
                <w:sz w:val="20"/>
              </w:rPr>
              <w:t xml:space="preserve"> - EBS technical reports</w:t>
            </w:r>
          </w:p>
        </w:tc>
        <w:tc>
          <w:tcPr>
            <w:tcW w:w="153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w:t>
            </w:r>
          </w:p>
        </w:tc>
      </w:tr>
      <w:tr w:rsidR="00A47BE0" w:rsidRPr="00C0141A" w:rsidTr="00177A31">
        <w:trPr>
          <w:trHeight w:val="280"/>
        </w:trPr>
        <w:tc>
          <w:tcPr>
            <w:tcW w:w="10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b/>
                <w:bCs/>
                <w:color w:val="000000"/>
                <w:sz w:val="18"/>
                <w:szCs w:val="18"/>
              </w:rPr>
            </w:pPr>
            <w:r w:rsidRPr="00C0141A">
              <w:rPr>
                <w:rFonts w:eastAsia="Times New Roman"/>
                <w:b/>
                <w:bCs/>
                <w:color w:val="000000"/>
                <w:sz w:val="18"/>
                <w:szCs w:val="18"/>
              </w:rPr>
              <w:t xml:space="preserve">Component 2 – </w:t>
            </w:r>
            <w:r w:rsidRPr="00C0141A">
              <w:rPr>
                <w:rFonts w:eastAsia="Times New Roman"/>
                <w:color w:val="000000"/>
                <w:sz w:val="18"/>
                <w:szCs w:val="18"/>
              </w:rPr>
              <w:t xml:space="preserve"> </w:t>
            </w:r>
            <w:r w:rsidRPr="00C0141A">
              <w:rPr>
                <w:rFonts w:eastAsia="Times New Roman"/>
                <w:b/>
                <w:bCs/>
                <w:color w:val="000000"/>
                <w:sz w:val="18"/>
                <w:szCs w:val="18"/>
              </w:rPr>
              <w:t>Sustainable Rural Electrification</w:t>
            </w:r>
          </w:p>
        </w:tc>
      </w:tr>
      <w:tr w:rsidR="00A47BE0" w:rsidRPr="00C0141A" w:rsidTr="00177A31">
        <w:trPr>
          <w:trHeight w:val="854"/>
        </w:trPr>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Isolated communities with to secured and sustainable </w:t>
            </w:r>
            <w:r w:rsidRPr="00C0141A">
              <w:rPr>
                <w:rFonts w:eastAsia="Times New Roman"/>
                <w:color w:val="000000"/>
                <w:sz w:val="18"/>
                <w:szCs w:val="18"/>
              </w:rPr>
              <w:lastRenderedPageBreak/>
              <w:t xml:space="preserve">energy supply </w:t>
            </w:r>
          </w:p>
        </w:tc>
        <w:tc>
          <w:tcPr>
            <w:tcW w:w="2310"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lastRenderedPageBreak/>
              <w:t xml:space="preserve">Annual electricity sales by EBS in the targeted rural </w:t>
            </w:r>
            <w:r w:rsidRPr="00C0141A">
              <w:rPr>
                <w:rFonts w:eastAsia="Times New Roman"/>
                <w:color w:val="000000"/>
                <w:sz w:val="18"/>
                <w:szCs w:val="18"/>
              </w:rPr>
              <w:lastRenderedPageBreak/>
              <w:t xml:space="preserve">electrification areas (a) </w:t>
            </w:r>
            <w:proofErr w:type="spellStart"/>
            <w:r w:rsidRPr="00C0141A">
              <w:rPr>
                <w:rFonts w:eastAsia="Times New Roman"/>
                <w:color w:val="000000"/>
                <w:sz w:val="18"/>
                <w:szCs w:val="18"/>
              </w:rPr>
              <w:t>Powakka</w:t>
            </w:r>
            <w:proofErr w:type="spellEnd"/>
            <w:r w:rsidRPr="00C0141A">
              <w:rPr>
                <w:rFonts w:eastAsia="Times New Roman"/>
                <w:color w:val="000000"/>
                <w:sz w:val="18"/>
                <w:szCs w:val="18"/>
              </w:rPr>
              <w:t xml:space="preserve">, and (b) </w:t>
            </w:r>
            <w:proofErr w:type="spellStart"/>
            <w:r w:rsidRPr="00C0141A">
              <w:rPr>
                <w:rFonts w:eastAsia="Times New Roman"/>
                <w:color w:val="000000"/>
                <w:sz w:val="18"/>
                <w:szCs w:val="18"/>
              </w:rPr>
              <w:t>Atjoni</w:t>
            </w:r>
            <w:proofErr w:type="spellEnd"/>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lastRenderedPageBreak/>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(a) 521 </w:t>
            </w:r>
            <w:proofErr w:type="spellStart"/>
            <w:r w:rsidRPr="00C0141A">
              <w:rPr>
                <w:rFonts w:eastAsia="Times New Roman"/>
                <w:color w:val="000000"/>
                <w:sz w:val="18"/>
                <w:szCs w:val="18"/>
              </w:rPr>
              <w:t>MWh</w:t>
            </w:r>
            <w:proofErr w:type="spellEnd"/>
            <w:r w:rsidRPr="00C0141A">
              <w:rPr>
                <w:rFonts w:eastAsia="Times New Roman"/>
                <w:color w:val="000000"/>
                <w:sz w:val="18"/>
                <w:szCs w:val="18"/>
              </w:rPr>
              <w:t>/</w:t>
            </w:r>
            <w:proofErr w:type="spellStart"/>
            <w:r w:rsidRPr="00C0141A">
              <w:rPr>
                <w:rFonts w:eastAsia="Times New Roman"/>
                <w:color w:val="000000"/>
                <w:sz w:val="18"/>
                <w:szCs w:val="18"/>
              </w:rPr>
              <w:t>yr</w:t>
            </w:r>
            <w:proofErr w:type="spellEnd"/>
          </w:p>
        </w:tc>
        <w:tc>
          <w:tcPr>
            <w:tcW w:w="88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(a) 4,852 </w:t>
            </w:r>
            <w:proofErr w:type="spellStart"/>
            <w:r w:rsidRPr="00C0141A">
              <w:rPr>
                <w:rFonts w:eastAsia="Times New Roman"/>
                <w:color w:val="000000"/>
                <w:sz w:val="18"/>
                <w:szCs w:val="18"/>
              </w:rPr>
              <w:t>MWh</w:t>
            </w:r>
            <w:proofErr w:type="spellEnd"/>
            <w:r w:rsidRPr="00C0141A">
              <w:rPr>
                <w:rFonts w:eastAsia="Times New Roman"/>
                <w:color w:val="000000"/>
                <w:sz w:val="18"/>
                <w:szCs w:val="18"/>
              </w:rPr>
              <w:t>/</w:t>
            </w:r>
            <w:proofErr w:type="spellStart"/>
            <w:r w:rsidRPr="00C0141A">
              <w:rPr>
                <w:rFonts w:eastAsia="Times New Roman"/>
                <w:color w:val="000000"/>
                <w:sz w:val="18"/>
                <w:szCs w:val="18"/>
              </w:rPr>
              <w:t>yr</w:t>
            </w:r>
            <w:proofErr w:type="spellEnd"/>
            <w:r w:rsidRPr="00C0141A">
              <w:rPr>
                <w:rFonts w:eastAsia="Times New Roman"/>
                <w:color w:val="000000"/>
                <w:sz w:val="18"/>
                <w:szCs w:val="18"/>
              </w:rPr>
              <w:t>;</w:t>
            </w:r>
          </w:p>
        </w:tc>
        <w:tc>
          <w:tcPr>
            <w:tcW w:w="1432"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aggregated metering data; </w:t>
            </w:r>
            <w:r w:rsidRPr="00C0141A">
              <w:rPr>
                <w:rFonts w:eastAsia="Times New Roman"/>
                <w:color w:val="000000"/>
                <w:sz w:val="18"/>
                <w:szCs w:val="18"/>
              </w:rPr>
              <w:lastRenderedPageBreak/>
              <w:t>project reports;  final evaluation</w:t>
            </w: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lastRenderedPageBreak/>
              <w:t xml:space="preserve">Based on estimates </w:t>
            </w:r>
            <w:r w:rsidRPr="00C0141A">
              <w:rPr>
                <w:rFonts w:eastAsia="Times New Roman"/>
                <w:color w:val="000000"/>
                <w:sz w:val="18"/>
                <w:szCs w:val="18"/>
              </w:rPr>
              <w:lastRenderedPageBreak/>
              <w:t>provided by EBS</w:t>
            </w:r>
          </w:p>
        </w:tc>
      </w:tr>
      <w:tr w:rsidR="00A47BE0" w:rsidRPr="00C0141A" w:rsidTr="00177A31">
        <w:trPr>
          <w:trHeight w:val="854"/>
        </w:trPr>
        <w:tc>
          <w:tcPr>
            <w:tcW w:w="2312"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2310"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(b) 750 </w:t>
            </w:r>
            <w:proofErr w:type="spellStart"/>
            <w:r w:rsidRPr="00C0141A">
              <w:rPr>
                <w:rFonts w:eastAsia="Times New Roman"/>
                <w:color w:val="000000"/>
                <w:sz w:val="18"/>
                <w:szCs w:val="18"/>
              </w:rPr>
              <w:t>MWh</w:t>
            </w:r>
            <w:proofErr w:type="spellEnd"/>
            <w:r w:rsidRPr="00C0141A">
              <w:rPr>
                <w:rFonts w:eastAsia="Times New Roman"/>
                <w:color w:val="000000"/>
                <w:sz w:val="18"/>
                <w:szCs w:val="18"/>
              </w:rPr>
              <w:t>/</w:t>
            </w:r>
            <w:proofErr w:type="spellStart"/>
            <w:r w:rsidRPr="00C0141A">
              <w:rPr>
                <w:rFonts w:eastAsia="Times New Roman"/>
                <w:color w:val="000000"/>
                <w:sz w:val="18"/>
                <w:szCs w:val="18"/>
              </w:rPr>
              <w:t>yr</w:t>
            </w:r>
            <w:proofErr w:type="spellEnd"/>
          </w:p>
        </w:tc>
        <w:tc>
          <w:tcPr>
            <w:tcW w:w="88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(b) 1,500 </w:t>
            </w:r>
            <w:proofErr w:type="spellStart"/>
            <w:r w:rsidRPr="00C0141A">
              <w:rPr>
                <w:rFonts w:eastAsia="Times New Roman"/>
                <w:color w:val="000000"/>
                <w:sz w:val="18"/>
                <w:szCs w:val="18"/>
              </w:rPr>
              <w:t>MWh</w:t>
            </w:r>
            <w:proofErr w:type="spellEnd"/>
            <w:r w:rsidRPr="00C0141A">
              <w:rPr>
                <w:rFonts w:eastAsia="Times New Roman"/>
                <w:color w:val="000000"/>
                <w:sz w:val="18"/>
                <w:szCs w:val="18"/>
              </w:rPr>
              <w:t>/</w:t>
            </w:r>
            <w:proofErr w:type="spellStart"/>
            <w:r w:rsidRPr="00C0141A">
              <w:rPr>
                <w:rFonts w:eastAsia="Times New Roman"/>
                <w:color w:val="000000"/>
                <w:sz w:val="18"/>
                <w:szCs w:val="18"/>
              </w:rPr>
              <w:t>yr</w:t>
            </w:r>
            <w:proofErr w:type="spellEnd"/>
            <w:r w:rsidRPr="00C0141A">
              <w:rPr>
                <w:rFonts w:eastAsia="Times New Roman"/>
                <w:color w:val="000000"/>
                <w:sz w:val="18"/>
                <w:szCs w:val="18"/>
              </w:rPr>
              <w:t xml:space="preserve">  </w:t>
            </w:r>
          </w:p>
        </w:tc>
        <w:tc>
          <w:tcPr>
            <w:tcW w:w="1432"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1531"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r>
      <w:tr w:rsidR="00A47BE0" w:rsidRPr="00C0141A" w:rsidTr="00177A31">
        <w:trPr>
          <w:trHeight w:val="280"/>
        </w:trPr>
        <w:tc>
          <w:tcPr>
            <w:tcW w:w="10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b/>
                <w:bCs/>
                <w:color w:val="000000"/>
                <w:sz w:val="18"/>
                <w:szCs w:val="18"/>
              </w:rPr>
            </w:pPr>
            <w:r w:rsidRPr="00C0141A">
              <w:rPr>
                <w:rFonts w:eastAsia="Times New Roman"/>
                <w:b/>
                <w:bCs/>
                <w:color w:val="000000"/>
                <w:sz w:val="18"/>
                <w:szCs w:val="18"/>
              </w:rPr>
              <w:lastRenderedPageBreak/>
              <w:t xml:space="preserve">Component 3 – </w:t>
            </w:r>
            <w:r w:rsidRPr="00C0141A">
              <w:rPr>
                <w:rFonts w:eastAsia="Times New Roman"/>
                <w:color w:val="000000"/>
                <w:sz w:val="18"/>
                <w:szCs w:val="18"/>
              </w:rPr>
              <w:t xml:space="preserve"> </w:t>
            </w:r>
            <w:r w:rsidRPr="00C0141A">
              <w:rPr>
                <w:rFonts w:eastAsia="Times New Roman"/>
                <w:b/>
                <w:bCs/>
                <w:color w:val="000000"/>
                <w:sz w:val="18"/>
                <w:szCs w:val="18"/>
              </w:rPr>
              <w:t>Critical Infrastructure</w:t>
            </w:r>
          </w:p>
        </w:tc>
      </w:tr>
      <w:tr w:rsidR="00A47BE0" w:rsidRPr="00C0141A" w:rsidTr="00177A31">
        <w:trPr>
          <w:trHeight w:val="854"/>
        </w:trPr>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A more reliable energy supply system</w:t>
            </w:r>
          </w:p>
        </w:tc>
        <w:tc>
          <w:tcPr>
            <w:tcW w:w="231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System Average Interruption Frequency Index (SAIFI)</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Pr>
                <w:rFonts w:eastAsia="Times New Roman"/>
                <w:color w:val="000000"/>
                <w:sz w:val="18"/>
                <w:szCs w:val="18"/>
              </w:rPr>
              <w:t>6.8</w:t>
            </w:r>
          </w:p>
        </w:tc>
        <w:tc>
          <w:tcPr>
            <w:tcW w:w="88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Pr>
                <w:rFonts w:eastAsia="Times New Roman"/>
                <w:color w:val="000000"/>
                <w:sz w:val="18"/>
                <w:szCs w:val="18"/>
              </w:rPr>
              <w:t>6.8</w:t>
            </w:r>
          </w:p>
        </w:tc>
        <w:tc>
          <w:tcPr>
            <w:tcW w:w="143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EPAR operator (EBS) data and reports</w:t>
            </w:r>
          </w:p>
        </w:tc>
        <w:tc>
          <w:tcPr>
            <w:tcW w:w="153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EBS </w:t>
            </w:r>
          </w:p>
        </w:tc>
      </w:tr>
      <w:tr w:rsidR="00A47BE0" w:rsidRPr="00C0141A" w:rsidTr="00177A31">
        <w:trPr>
          <w:trHeight w:val="854"/>
        </w:trPr>
        <w:tc>
          <w:tcPr>
            <w:tcW w:w="2312"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231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System Average Interruption Duration Index (SAIDI)</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Pr>
                <w:rFonts w:eastAsia="Times New Roman"/>
                <w:color w:val="000000"/>
                <w:sz w:val="18"/>
                <w:szCs w:val="18"/>
              </w:rPr>
              <w:t>17.5</w:t>
            </w:r>
          </w:p>
        </w:tc>
        <w:tc>
          <w:tcPr>
            <w:tcW w:w="88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Pr>
                <w:rFonts w:eastAsia="Times New Roman"/>
                <w:color w:val="000000"/>
                <w:sz w:val="18"/>
                <w:szCs w:val="18"/>
              </w:rPr>
              <w:t>16.2</w:t>
            </w:r>
          </w:p>
        </w:tc>
        <w:tc>
          <w:tcPr>
            <w:tcW w:w="143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EPAR operator (EBS) data and reports</w:t>
            </w:r>
          </w:p>
        </w:tc>
        <w:tc>
          <w:tcPr>
            <w:tcW w:w="153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EBS</w:t>
            </w:r>
          </w:p>
        </w:tc>
      </w:tr>
    </w:tbl>
    <w:p w:rsidR="00A47BE0" w:rsidRPr="00C0141A" w:rsidRDefault="00A47BE0" w:rsidP="00A47BE0">
      <w:pPr>
        <w:pStyle w:val="Title"/>
        <w:spacing w:line="360" w:lineRule="auto"/>
        <w:ind w:left="720"/>
        <w:jc w:val="left"/>
        <w:rPr>
          <w:b/>
        </w:rPr>
      </w:pPr>
    </w:p>
    <w:tbl>
      <w:tblPr>
        <w:tblW w:w="10185" w:type="dxa"/>
        <w:tblInd w:w="93" w:type="dxa"/>
        <w:tblLayout w:type="fixed"/>
        <w:tblLook w:val="04A0" w:firstRow="1" w:lastRow="0" w:firstColumn="1" w:lastColumn="0" w:noHBand="0" w:noVBand="1"/>
      </w:tblPr>
      <w:tblGrid>
        <w:gridCol w:w="525"/>
        <w:gridCol w:w="3630"/>
        <w:gridCol w:w="990"/>
        <w:gridCol w:w="630"/>
        <w:gridCol w:w="540"/>
        <w:gridCol w:w="630"/>
        <w:gridCol w:w="540"/>
        <w:gridCol w:w="630"/>
        <w:gridCol w:w="712"/>
        <w:gridCol w:w="8"/>
        <w:gridCol w:w="576"/>
        <w:gridCol w:w="774"/>
      </w:tblGrid>
      <w:tr w:rsidR="00A47BE0" w:rsidRPr="00C0141A" w:rsidTr="00177A31">
        <w:trPr>
          <w:trHeight w:val="202"/>
        </w:trPr>
        <w:tc>
          <w:tcPr>
            <w:tcW w:w="4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Output Indicators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Base line</w:t>
            </w:r>
          </w:p>
        </w:tc>
        <w:tc>
          <w:tcPr>
            <w:tcW w:w="4266" w:type="dxa"/>
            <w:gridSpan w:val="8"/>
            <w:tcBorders>
              <w:top w:val="single" w:sz="4" w:space="0" w:color="auto"/>
              <w:left w:val="nil"/>
              <w:bottom w:val="single" w:sz="4" w:space="0" w:color="auto"/>
              <w:right w:val="single" w:sz="4" w:space="0" w:color="000000"/>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Year</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End of project</w:t>
            </w:r>
          </w:p>
        </w:tc>
      </w:tr>
      <w:tr w:rsidR="00A47BE0" w:rsidRPr="00C0141A" w:rsidTr="00177A31">
        <w:trPr>
          <w:trHeight w:val="255"/>
        </w:trPr>
        <w:tc>
          <w:tcPr>
            <w:tcW w:w="4155" w:type="dxa"/>
            <w:gridSpan w:val="2"/>
            <w:vMerge/>
            <w:tcBorders>
              <w:top w:val="single" w:sz="4" w:space="0" w:color="auto"/>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b/>
                <w:bCs/>
                <w:color w:val="000000"/>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b/>
                <w:bCs/>
                <w:color w:val="000000"/>
                <w:sz w:val="18"/>
                <w:szCs w:val="18"/>
              </w:rPr>
            </w:pP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2</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4</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5</w:t>
            </w:r>
          </w:p>
        </w:tc>
        <w:tc>
          <w:tcPr>
            <w:tcW w:w="720"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6</w:t>
            </w:r>
          </w:p>
        </w:tc>
        <w:tc>
          <w:tcPr>
            <w:tcW w:w="57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4</w:t>
            </w: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b/>
                <w:bCs/>
                <w:color w:val="000000"/>
                <w:sz w:val="18"/>
                <w:szCs w:val="18"/>
              </w:rPr>
            </w:pPr>
          </w:p>
        </w:tc>
      </w:tr>
      <w:tr w:rsidR="00A47BE0" w:rsidRPr="00C0141A" w:rsidTr="00177A31">
        <w:trPr>
          <w:trHeight w:val="202"/>
        </w:trPr>
        <w:tc>
          <w:tcPr>
            <w:tcW w:w="101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 xml:space="preserve">Component 1 – </w:t>
            </w:r>
            <w:r w:rsidRPr="00C0141A">
              <w:rPr>
                <w:rFonts w:eastAsia="Times New Roman"/>
                <w:color w:val="000000"/>
                <w:sz w:val="18"/>
                <w:szCs w:val="18"/>
              </w:rPr>
              <w:t xml:space="preserve"> </w:t>
            </w:r>
            <w:r w:rsidRPr="00C0141A">
              <w:rPr>
                <w:rFonts w:eastAsia="Times New Roman"/>
                <w:b/>
                <w:bCs/>
                <w:color w:val="000000"/>
                <w:sz w:val="18"/>
                <w:szCs w:val="18"/>
              </w:rPr>
              <w:t>Improvement of EBS’ Operations</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1.1</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Integrated SCADA system designed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1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84"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1.2</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Integrated SCADA system procured and implemented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1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84"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1.3</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Enterprise Resource Planning (ERP) system designed and specified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1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84"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1.4</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Geographical Information System (GIS) designed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1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84"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1.5</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Geographical Information System (GIS) procured and implemented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71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84"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274"/>
        </w:trPr>
        <w:tc>
          <w:tcPr>
            <w:tcW w:w="101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 xml:space="preserve">Component 2 – </w:t>
            </w:r>
            <w:r w:rsidRPr="00C0141A">
              <w:rPr>
                <w:rFonts w:eastAsia="Times New Roman"/>
                <w:color w:val="000000"/>
                <w:sz w:val="18"/>
                <w:szCs w:val="18"/>
              </w:rPr>
              <w:t xml:space="preserve"> </w:t>
            </w:r>
            <w:r w:rsidRPr="00C0141A">
              <w:rPr>
                <w:rFonts w:eastAsia="Times New Roman"/>
                <w:b/>
                <w:bCs/>
                <w:color w:val="000000"/>
                <w:sz w:val="18"/>
                <w:szCs w:val="18"/>
              </w:rPr>
              <w:t>Sustainable Rural Electrification</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2.1</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Substation </w:t>
            </w:r>
            <w:proofErr w:type="spellStart"/>
            <w:r w:rsidRPr="00C0141A">
              <w:rPr>
                <w:rFonts w:eastAsia="Times New Roman"/>
                <w:color w:val="000000"/>
                <w:sz w:val="18"/>
                <w:szCs w:val="18"/>
              </w:rPr>
              <w:t>Paranam</w:t>
            </w:r>
            <w:proofErr w:type="spellEnd"/>
            <w:r w:rsidRPr="00C0141A">
              <w:rPr>
                <w:rFonts w:eastAsia="Times New Roman"/>
                <w:color w:val="000000"/>
                <w:sz w:val="18"/>
                <w:szCs w:val="18"/>
              </w:rPr>
              <w:t xml:space="preserve"> (S/S P) upgraded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2.2</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Substation </w:t>
            </w:r>
            <w:proofErr w:type="spellStart"/>
            <w:r w:rsidRPr="00C0141A">
              <w:rPr>
                <w:rFonts w:eastAsia="Times New Roman"/>
                <w:color w:val="000000"/>
                <w:sz w:val="18"/>
                <w:szCs w:val="18"/>
              </w:rPr>
              <w:t>Powakka</w:t>
            </w:r>
            <w:proofErr w:type="spellEnd"/>
            <w:r w:rsidRPr="00C0141A">
              <w:rPr>
                <w:rFonts w:eastAsia="Times New Roman"/>
                <w:color w:val="000000"/>
                <w:sz w:val="18"/>
                <w:szCs w:val="18"/>
              </w:rPr>
              <w:t xml:space="preserve"> (S/S POW) procured and implemented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35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2.3</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Transmission and distribution systems in target area </w:t>
            </w:r>
            <w:proofErr w:type="spellStart"/>
            <w:r w:rsidRPr="00C0141A">
              <w:rPr>
                <w:rFonts w:eastAsia="Times New Roman"/>
                <w:color w:val="000000"/>
                <w:sz w:val="18"/>
                <w:szCs w:val="18"/>
              </w:rPr>
              <w:t>Powakka</w:t>
            </w:r>
            <w:proofErr w:type="spellEnd"/>
            <w:r w:rsidRPr="00C0141A">
              <w:rPr>
                <w:rFonts w:eastAsia="Times New Roman"/>
                <w:color w:val="000000"/>
                <w:sz w:val="18"/>
                <w:szCs w:val="18"/>
              </w:rPr>
              <w:t>-Ayo-</w:t>
            </w:r>
            <w:proofErr w:type="spellStart"/>
            <w:r w:rsidRPr="00C0141A">
              <w:rPr>
                <w:rFonts w:eastAsia="Times New Roman"/>
                <w:color w:val="000000"/>
                <w:sz w:val="18"/>
                <w:szCs w:val="18"/>
              </w:rPr>
              <w:t>Redi</w:t>
            </w:r>
            <w:proofErr w:type="spellEnd"/>
            <w:r w:rsidRPr="00C0141A">
              <w:rPr>
                <w:rFonts w:eastAsia="Times New Roman"/>
                <w:color w:val="000000"/>
                <w:sz w:val="18"/>
                <w:szCs w:val="18"/>
              </w:rPr>
              <w:t xml:space="preserve"> </w:t>
            </w:r>
            <w:proofErr w:type="spellStart"/>
            <w:r w:rsidRPr="00C0141A">
              <w:rPr>
                <w:rFonts w:eastAsia="Times New Roman"/>
                <w:color w:val="000000"/>
                <w:sz w:val="18"/>
                <w:szCs w:val="18"/>
              </w:rPr>
              <w:t>Doti-Casipoera</w:t>
            </w:r>
            <w:proofErr w:type="spellEnd"/>
            <w:r w:rsidRPr="00C0141A">
              <w:rPr>
                <w:rFonts w:eastAsia="Times New Roman"/>
                <w:color w:val="000000"/>
                <w:sz w:val="18"/>
                <w:szCs w:val="18"/>
              </w:rPr>
              <w:t xml:space="preserve"> procured and installed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720"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31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2.4</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Households in target area contracting 24/h electricity from EBS using prepaid meters</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FF"/>
                <w:sz w:val="18"/>
                <w:szCs w:val="18"/>
                <w:u w:val="single"/>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300</w:t>
            </w:r>
          </w:p>
        </w:tc>
        <w:tc>
          <w:tcPr>
            <w:tcW w:w="720"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Pr>
                <w:rFonts w:eastAsia="Times New Roman"/>
                <w:color w:val="000000"/>
                <w:sz w:val="18"/>
                <w:szCs w:val="18"/>
              </w:rPr>
              <w:t>1,000</w:t>
            </w:r>
          </w:p>
        </w:tc>
        <w:tc>
          <w:tcPr>
            <w:tcW w:w="57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497</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1,797</w:t>
            </w:r>
          </w:p>
        </w:tc>
      </w:tr>
      <w:tr w:rsidR="00A47BE0" w:rsidRPr="00C0141A" w:rsidTr="00177A31">
        <w:trPr>
          <w:trHeight w:val="34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2.5</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Substation </w:t>
            </w:r>
            <w:proofErr w:type="spellStart"/>
            <w:r w:rsidRPr="00C0141A">
              <w:rPr>
                <w:rFonts w:eastAsia="Times New Roman"/>
                <w:color w:val="000000"/>
                <w:sz w:val="18"/>
                <w:szCs w:val="18"/>
              </w:rPr>
              <w:t>Atjoni</w:t>
            </w:r>
            <w:proofErr w:type="spellEnd"/>
            <w:r w:rsidRPr="00C0141A">
              <w:rPr>
                <w:rFonts w:eastAsia="Times New Roman"/>
                <w:color w:val="000000"/>
                <w:sz w:val="18"/>
                <w:szCs w:val="18"/>
              </w:rPr>
              <w:t xml:space="preserve"> (S/S </w:t>
            </w:r>
            <w:proofErr w:type="spellStart"/>
            <w:r w:rsidRPr="00C0141A">
              <w:rPr>
                <w:rFonts w:eastAsia="Times New Roman"/>
                <w:color w:val="000000"/>
                <w:sz w:val="18"/>
                <w:szCs w:val="18"/>
              </w:rPr>
              <w:t>Atjoni</w:t>
            </w:r>
            <w:proofErr w:type="spellEnd"/>
            <w:r w:rsidRPr="00C0141A">
              <w:rPr>
                <w:rFonts w:eastAsia="Times New Roman"/>
                <w:color w:val="000000"/>
                <w:sz w:val="18"/>
                <w:szCs w:val="18"/>
              </w:rPr>
              <w:t>) habilitated for hybrid power supply by EBS</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2.6</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RET-based generating capacity procured and installed in </w:t>
            </w:r>
            <w:proofErr w:type="spellStart"/>
            <w:r w:rsidRPr="00C0141A">
              <w:rPr>
                <w:rFonts w:eastAsia="Times New Roman"/>
                <w:color w:val="000000"/>
                <w:sz w:val="18"/>
                <w:szCs w:val="18"/>
              </w:rPr>
              <w:t>Atjoni</w:t>
            </w:r>
            <w:proofErr w:type="spellEnd"/>
            <w:r w:rsidRPr="00C0141A">
              <w:rPr>
                <w:rFonts w:eastAsia="Times New Roman"/>
                <w:color w:val="000000"/>
                <w:sz w:val="18"/>
                <w:szCs w:val="18"/>
              </w:rPr>
              <w:t xml:space="preserve"> (kW)</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200</w:t>
            </w:r>
          </w:p>
        </w:tc>
        <w:tc>
          <w:tcPr>
            <w:tcW w:w="57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200</w:t>
            </w:r>
          </w:p>
        </w:tc>
      </w:tr>
      <w:tr w:rsidR="00A47BE0" w:rsidRPr="00C0141A" w:rsidTr="00177A31">
        <w:trPr>
          <w:trHeight w:val="31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2.7</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Households in target area contracting electricity 24/h from EBS using prepaid meters</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Pr>
                <w:rFonts w:eastAsia="Times New Roman"/>
                <w:color w:val="000000"/>
                <w:sz w:val="18"/>
                <w:szCs w:val="18"/>
              </w:rPr>
              <w:t>494</w:t>
            </w:r>
          </w:p>
        </w:tc>
        <w:tc>
          <w:tcPr>
            <w:tcW w:w="57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600</w:t>
            </w:r>
          </w:p>
        </w:tc>
      </w:tr>
      <w:tr w:rsidR="00A47BE0" w:rsidRPr="00C0141A" w:rsidTr="00177A31">
        <w:trPr>
          <w:trHeight w:val="274"/>
        </w:trPr>
        <w:tc>
          <w:tcPr>
            <w:tcW w:w="101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 xml:space="preserve">Component 3 – </w:t>
            </w:r>
            <w:r w:rsidRPr="00C0141A">
              <w:rPr>
                <w:rFonts w:eastAsia="Times New Roman"/>
                <w:color w:val="000000"/>
                <w:sz w:val="18"/>
                <w:szCs w:val="18"/>
              </w:rPr>
              <w:t xml:space="preserve"> </w:t>
            </w:r>
            <w:r w:rsidRPr="00C0141A">
              <w:rPr>
                <w:rFonts w:eastAsia="Times New Roman"/>
                <w:b/>
                <w:bCs/>
                <w:color w:val="000000"/>
                <w:sz w:val="18"/>
                <w:szCs w:val="18"/>
              </w:rPr>
              <w:t>Critical Infrastructure</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3.1</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Upgrade EBS Substation S/S C procured and </w:t>
            </w:r>
            <w:r w:rsidRPr="00C0141A">
              <w:rPr>
                <w:rFonts w:eastAsia="Times New Roman"/>
                <w:color w:val="000000"/>
                <w:sz w:val="18"/>
                <w:szCs w:val="18"/>
              </w:rPr>
              <w:lastRenderedPageBreak/>
              <w:t>commissioned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lastRenderedPageBreak/>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1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84"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r w:rsidR="00A47BE0" w:rsidRPr="00C0141A" w:rsidTr="00177A31">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lastRenderedPageBreak/>
              <w:t>3.2</w:t>
            </w:r>
          </w:p>
        </w:tc>
        <w:tc>
          <w:tcPr>
            <w:tcW w:w="3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Upgrade EBS Substation S/S D procured and commissioned</w:t>
            </w:r>
          </w:p>
        </w:tc>
        <w:tc>
          <w:tcPr>
            <w:tcW w:w="99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1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584"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774"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1</w:t>
            </w:r>
          </w:p>
        </w:tc>
      </w:tr>
    </w:tbl>
    <w:p w:rsidR="00A47BE0" w:rsidRPr="00C0141A" w:rsidRDefault="00A47BE0" w:rsidP="00A47BE0">
      <w:pPr>
        <w:pStyle w:val="Title"/>
        <w:spacing w:line="360" w:lineRule="auto"/>
        <w:ind w:left="720"/>
        <w:jc w:val="left"/>
        <w:rPr>
          <w:b/>
        </w:rPr>
      </w:pPr>
    </w:p>
    <w:p w:rsidR="00A47BE0" w:rsidRPr="00C665CC" w:rsidRDefault="00A47BE0" w:rsidP="00A47BE0">
      <w:pPr>
        <w:pStyle w:val="Chapter"/>
        <w:numPr>
          <w:ilvl w:val="0"/>
          <w:numId w:val="43"/>
        </w:numPr>
        <w:tabs>
          <w:tab w:val="clear" w:pos="1440"/>
        </w:tabs>
        <w:spacing w:before="0" w:after="0" w:line="360" w:lineRule="auto"/>
        <w:jc w:val="left"/>
        <w:rPr>
          <w:rStyle w:val="SubtleEmphasis"/>
        </w:rPr>
      </w:pPr>
      <w:bookmarkStart w:id="20" w:name="_Toc301166755"/>
      <w:r w:rsidRPr="00C665CC">
        <w:rPr>
          <w:rStyle w:val="SubtleEmphasis"/>
        </w:rPr>
        <w:t>Data Collection and Instruments</w:t>
      </w:r>
      <w:bookmarkEnd w:id="20"/>
      <w:r w:rsidRPr="00C665CC">
        <w:rPr>
          <w:rStyle w:val="SubtleEmphasis"/>
        </w:rPr>
        <w:t xml:space="preserve"> </w:t>
      </w:r>
    </w:p>
    <w:p w:rsidR="00A47BE0" w:rsidRDefault="00A47BE0" w:rsidP="00A47BE0">
      <w:pPr>
        <w:spacing w:after="0" w:line="360" w:lineRule="auto"/>
        <w:jc w:val="both"/>
        <w:rPr>
          <w:lang w:eastAsia="ja-JP"/>
        </w:rPr>
      </w:pPr>
    </w:p>
    <w:p w:rsidR="00A47BE0" w:rsidRDefault="00A47BE0" w:rsidP="00A47BE0">
      <w:pPr>
        <w:spacing w:after="0" w:line="360" w:lineRule="auto"/>
        <w:jc w:val="both"/>
        <w:rPr>
          <w:lang w:eastAsia="ja-JP"/>
        </w:rPr>
      </w:pPr>
      <w:r>
        <w:rPr>
          <w:lang w:eastAsia="ja-JP"/>
        </w:rPr>
        <w:t xml:space="preserve">EBS will be the </w:t>
      </w:r>
      <w:r>
        <w:t xml:space="preserve">Executing Agency (EA). EBS is </w:t>
      </w:r>
      <w:r w:rsidRPr="006F342C">
        <w:t>the sole concessionary responsible for transmission and distribution of electric energy in Suriname under the supervision of MNH</w:t>
      </w:r>
      <w:r>
        <w:t xml:space="preserve">. </w:t>
      </w:r>
      <w:r w:rsidRPr="00C0141A">
        <w:t xml:space="preserve"> </w:t>
      </w:r>
      <w:r w:rsidRPr="00C0141A">
        <w:rPr>
          <w:lang w:eastAsia="ja-JP"/>
        </w:rPr>
        <w:t xml:space="preserve">The EA will be responsible of reporting the results of the Project, using information collected with the support of an external consultant. The sources of information will be mainly the MNH’s administrative records of the Project, EBS </w:t>
      </w:r>
      <w:r>
        <w:rPr>
          <w:lang w:eastAsia="ja-JP"/>
        </w:rPr>
        <w:t xml:space="preserve">reports </w:t>
      </w:r>
      <w:r w:rsidRPr="00C0141A">
        <w:rPr>
          <w:lang w:eastAsia="ja-JP"/>
        </w:rPr>
        <w:t xml:space="preserve">and field inspections.    </w:t>
      </w:r>
    </w:p>
    <w:p w:rsidR="00A47BE0" w:rsidRPr="00C0141A" w:rsidRDefault="00A47BE0" w:rsidP="00A47BE0">
      <w:pPr>
        <w:spacing w:after="0" w:line="360" w:lineRule="auto"/>
        <w:jc w:val="both"/>
        <w:rPr>
          <w:lang w:eastAsia="ja-JP"/>
        </w:rPr>
      </w:pPr>
    </w:p>
    <w:p w:rsidR="00A47BE0" w:rsidRDefault="00A47BE0" w:rsidP="00A47BE0">
      <w:pPr>
        <w:spacing w:after="0" w:line="360" w:lineRule="auto"/>
        <w:jc w:val="both"/>
        <w:rPr>
          <w:lang w:eastAsia="ja-JP"/>
        </w:rPr>
      </w:pPr>
      <w:r w:rsidRPr="00C0141A">
        <w:rPr>
          <w:lang w:eastAsia="ja-JP"/>
        </w:rPr>
        <w:t xml:space="preserve">The </w:t>
      </w:r>
      <w:r>
        <w:rPr>
          <w:lang w:eastAsia="ja-JP"/>
        </w:rPr>
        <w:t xml:space="preserve">EA </w:t>
      </w:r>
      <w:r w:rsidRPr="00C0141A">
        <w:rPr>
          <w:lang w:eastAsia="ja-JP"/>
        </w:rPr>
        <w:t xml:space="preserve">shall collect through the supervision consulting firm or an individual consultants, store and retain all necessary information, technical and social performance reviews, indicators and parameters, including the technical reports, the mid-term review, and final evaluation, in order to assist: i) the Bank in the monitoring of the Project performance; and ii) the Bank’s Oversight Evaluation Office (OVE), if it so wishes, to evaluate the impact </w:t>
      </w:r>
      <w:r>
        <w:rPr>
          <w:lang w:eastAsia="ja-JP"/>
        </w:rPr>
        <w:t>of this operation</w:t>
      </w:r>
      <w:r w:rsidRPr="00C0141A">
        <w:rPr>
          <w:lang w:eastAsia="ja-JP"/>
        </w:rPr>
        <w:t>.</w:t>
      </w:r>
    </w:p>
    <w:p w:rsidR="00A47BE0" w:rsidRPr="00C0141A" w:rsidRDefault="00A47BE0" w:rsidP="00A47BE0">
      <w:pPr>
        <w:spacing w:after="0" w:line="360" w:lineRule="auto"/>
        <w:jc w:val="both"/>
        <w:rPr>
          <w:lang w:eastAsia="ja-JP"/>
        </w:rPr>
      </w:pPr>
    </w:p>
    <w:p w:rsidR="00A47BE0" w:rsidRPr="00C665CC" w:rsidRDefault="00A47BE0" w:rsidP="00A47BE0">
      <w:pPr>
        <w:pStyle w:val="Chapter"/>
        <w:numPr>
          <w:ilvl w:val="0"/>
          <w:numId w:val="43"/>
        </w:numPr>
        <w:tabs>
          <w:tab w:val="clear" w:pos="1440"/>
        </w:tabs>
        <w:spacing w:before="0" w:after="0" w:line="360" w:lineRule="auto"/>
        <w:jc w:val="left"/>
        <w:rPr>
          <w:rStyle w:val="SubtleEmphasis"/>
        </w:rPr>
      </w:pPr>
      <w:bookmarkStart w:id="21" w:name="_Toc301166756"/>
      <w:r w:rsidRPr="00C665CC">
        <w:rPr>
          <w:rStyle w:val="SubtleEmphasis"/>
        </w:rPr>
        <w:t>Reporting Monitoring Results</w:t>
      </w:r>
    </w:p>
    <w:bookmarkEnd w:id="21"/>
    <w:p w:rsidR="00A47BE0" w:rsidRPr="001C3331" w:rsidRDefault="00A47BE0" w:rsidP="00A47BE0">
      <w:pPr>
        <w:spacing w:after="0" w:line="360" w:lineRule="auto"/>
      </w:pPr>
    </w:p>
    <w:p w:rsidR="00A47BE0" w:rsidRDefault="00A47BE0" w:rsidP="00A47BE0">
      <w:pPr>
        <w:spacing w:after="0" w:line="360" w:lineRule="auto"/>
        <w:jc w:val="both"/>
        <w:rPr>
          <w:lang w:eastAsia="ja-JP"/>
        </w:rPr>
      </w:pPr>
      <w:r w:rsidRPr="00C0141A">
        <w:rPr>
          <w:lang w:eastAsia="ja-JP"/>
        </w:rPr>
        <w:t xml:space="preserve">The result matrix will be the basic instrument for monitoring the </w:t>
      </w:r>
      <w:r>
        <w:rPr>
          <w:lang w:eastAsia="ja-JP"/>
        </w:rPr>
        <w:t>Program’s</w:t>
      </w:r>
      <w:r w:rsidRPr="00C0141A">
        <w:rPr>
          <w:lang w:eastAsia="ja-JP"/>
        </w:rPr>
        <w:t xml:space="preserve"> outputs and outcomes according to the established indicators.  The Executing Agency will submit semi-annual reports following the requirements established in the</w:t>
      </w:r>
      <w:r>
        <w:rPr>
          <w:lang w:eastAsia="ja-JP"/>
        </w:rPr>
        <w:t xml:space="preserve"> Bank’s</w:t>
      </w:r>
      <w:r w:rsidRPr="00C0141A">
        <w:rPr>
          <w:lang w:eastAsia="ja-JP"/>
        </w:rPr>
        <w:t xml:space="preserve"> Progress Monitoring Report s</w:t>
      </w:r>
      <w:r>
        <w:rPr>
          <w:lang w:eastAsia="ja-JP"/>
        </w:rPr>
        <w:t>ystem (PMR)</w:t>
      </w:r>
      <w:r>
        <w:rPr>
          <w:rStyle w:val="FootnoteReference"/>
          <w:lang w:eastAsia="ja-JP"/>
        </w:rPr>
        <w:footnoteReference w:id="2"/>
      </w:r>
      <w:r>
        <w:rPr>
          <w:lang w:eastAsia="ja-JP"/>
        </w:rPr>
        <w:t xml:space="preserve">. </w:t>
      </w:r>
      <w:r w:rsidRPr="00C0141A">
        <w:rPr>
          <w:lang w:eastAsia="ja-JP"/>
        </w:rPr>
        <w:t xml:space="preserve">The semi-annual report will include (i) physical and </w:t>
      </w:r>
      <w:r>
        <w:rPr>
          <w:lang w:eastAsia="ja-JP"/>
        </w:rPr>
        <w:t>financial</w:t>
      </w:r>
      <w:r w:rsidRPr="00C0141A">
        <w:rPr>
          <w:lang w:eastAsia="ja-JP"/>
        </w:rPr>
        <w:t xml:space="preserve"> progress of the </w:t>
      </w:r>
      <w:r>
        <w:rPr>
          <w:lang w:eastAsia="ja-JP"/>
        </w:rPr>
        <w:t>Program</w:t>
      </w:r>
      <w:r w:rsidRPr="00C0141A">
        <w:rPr>
          <w:lang w:eastAsia="ja-JP"/>
        </w:rPr>
        <w:t xml:space="preserve">; </w:t>
      </w:r>
      <w:r>
        <w:rPr>
          <w:lang w:eastAsia="ja-JP"/>
        </w:rPr>
        <w:t xml:space="preserve">(ii) updated procurement; </w:t>
      </w:r>
      <w:r w:rsidRPr="00C0141A">
        <w:rPr>
          <w:lang w:eastAsia="ja-JP"/>
        </w:rPr>
        <w:t>(</w:t>
      </w:r>
      <w:r>
        <w:rPr>
          <w:lang w:eastAsia="ja-JP"/>
        </w:rPr>
        <w:t>i</w:t>
      </w:r>
      <w:r w:rsidRPr="00C0141A">
        <w:rPr>
          <w:lang w:eastAsia="ja-JP"/>
        </w:rPr>
        <w:t xml:space="preserve">ii) </w:t>
      </w:r>
      <w:r>
        <w:rPr>
          <w:lang w:eastAsia="ja-JP"/>
        </w:rPr>
        <w:t xml:space="preserve">monitoring of Program indicators; </w:t>
      </w:r>
      <w:proofErr w:type="gramStart"/>
      <w:r w:rsidRPr="00C0141A">
        <w:rPr>
          <w:lang w:eastAsia="ja-JP"/>
        </w:rPr>
        <w:t>(i</w:t>
      </w:r>
      <w:r>
        <w:rPr>
          <w:lang w:eastAsia="ja-JP"/>
        </w:rPr>
        <w:t>v</w:t>
      </w:r>
      <w:r w:rsidRPr="00C0141A">
        <w:rPr>
          <w:lang w:eastAsia="ja-JP"/>
        </w:rPr>
        <w:t>) disbursement</w:t>
      </w:r>
      <w:r>
        <w:rPr>
          <w:lang w:eastAsia="ja-JP"/>
        </w:rPr>
        <w:t>s</w:t>
      </w:r>
      <w:proofErr w:type="gramEnd"/>
      <w:r w:rsidRPr="00C0141A">
        <w:rPr>
          <w:lang w:eastAsia="ja-JP"/>
        </w:rPr>
        <w:t xml:space="preserve"> progress</w:t>
      </w:r>
      <w:r>
        <w:rPr>
          <w:lang w:eastAsia="ja-JP"/>
        </w:rPr>
        <w:t xml:space="preserve"> and projections;</w:t>
      </w:r>
      <w:r w:rsidRPr="00C0141A">
        <w:rPr>
          <w:lang w:eastAsia="ja-JP"/>
        </w:rPr>
        <w:t xml:space="preserve"> and (v) lessons learned, and any other information required to ensure the successful implementation of the Program. The semi-annual reports will </w:t>
      </w:r>
      <w:r>
        <w:rPr>
          <w:lang w:eastAsia="ja-JP"/>
        </w:rPr>
        <w:t>monitor</w:t>
      </w:r>
      <w:r w:rsidRPr="00C0141A">
        <w:rPr>
          <w:lang w:eastAsia="ja-JP"/>
        </w:rPr>
        <w:t xml:space="preserve"> risks</w:t>
      </w:r>
      <w:r>
        <w:rPr>
          <w:lang w:eastAsia="ja-JP"/>
        </w:rPr>
        <w:t xml:space="preserve"> identified</w:t>
      </w:r>
      <w:r w:rsidRPr="00C0141A">
        <w:rPr>
          <w:lang w:eastAsia="ja-JP"/>
        </w:rPr>
        <w:t>, as well as propose</w:t>
      </w:r>
      <w:r>
        <w:rPr>
          <w:lang w:eastAsia="ja-JP"/>
        </w:rPr>
        <w:t>d</w:t>
      </w:r>
      <w:r w:rsidRPr="00C0141A">
        <w:rPr>
          <w:lang w:eastAsia="ja-JP"/>
        </w:rPr>
        <w:t xml:space="preserve"> action</w:t>
      </w:r>
      <w:r>
        <w:rPr>
          <w:lang w:eastAsia="ja-JP"/>
        </w:rPr>
        <w:t>s</w:t>
      </w:r>
      <w:r w:rsidRPr="00C0141A">
        <w:rPr>
          <w:lang w:eastAsia="ja-JP"/>
        </w:rPr>
        <w:t xml:space="preserve"> </w:t>
      </w:r>
      <w:r>
        <w:rPr>
          <w:lang w:eastAsia="ja-JP"/>
        </w:rPr>
        <w:t>of</w:t>
      </w:r>
      <w:r w:rsidRPr="00C0141A">
        <w:rPr>
          <w:lang w:eastAsia="ja-JP"/>
        </w:rPr>
        <w:t xml:space="preserve"> mitigation measures </w:t>
      </w:r>
      <w:r>
        <w:rPr>
          <w:lang w:eastAsia="ja-JP"/>
        </w:rPr>
        <w:t>(see Risk Matrix of the Program)</w:t>
      </w:r>
      <w:r w:rsidRPr="00C0141A">
        <w:rPr>
          <w:lang w:eastAsia="ja-JP"/>
        </w:rPr>
        <w:t xml:space="preserve">. </w:t>
      </w:r>
    </w:p>
    <w:p w:rsidR="00A47BE0" w:rsidRDefault="00A47BE0" w:rsidP="00A47BE0">
      <w:pPr>
        <w:spacing w:after="0" w:line="360" w:lineRule="auto"/>
        <w:jc w:val="both"/>
        <w:rPr>
          <w:lang w:eastAsia="ja-JP"/>
        </w:rPr>
      </w:pPr>
    </w:p>
    <w:p w:rsidR="00A47BE0" w:rsidRPr="00C665CC" w:rsidRDefault="00A47BE0" w:rsidP="00A47BE0">
      <w:pPr>
        <w:pStyle w:val="Chapter"/>
        <w:numPr>
          <w:ilvl w:val="0"/>
          <w:numId w:val="43"/>
        </w:numPr>
        <w:tabs>
          <w:tab w:val="clear" w:pos="1440"/>
        </w:tabs>
        <w:spacing w:before="0" w:after="0" w:line="360" w:lineRule="auto"/>
        <w:jc w:val="left"/>
        <w:rPr>
          <w:rStyle w:val="SubtleEmphasis"/>
        </w:rPr>
      </w:pPr>
      <w:bookmarkStart w:id="22" w:name="_Toc301166757"/>
      <w:r w:rsidRPr="00C665CC">
        <w:rPr>
          <w:rStyle w:val="SubtleEmphasis"/>
        </w:rPr>
        <w:lastRenderedPageBreak/>
        <w:t>Monitoring Coordination Work Plan and Budget</w:t>
      </w:r>
      <w:bookmarkEnd w:id="22"/>
      <w:r w:rsidRPr="00C665CC">
        <w:rPr>
          <w:rStyle w:val="SubtleEmphasis"/>
        </w:rPr>
        <w:t xml:space="preserve"> </w:t>
      </w:r>
    </w:p>
    <w:p w:rsidR="00A47BE0" w:rsidRDefault="00A47BE0" w:rsidP="00A47BE0">
      <w:pPr>
        <w:spacing w:after="0" w:line="360" w:lineRule="auto"/>
        <w:jc w:val="both"/>
      </w:pPr>
      <w:r>
        <w:t>EBS</w:t>
      </w:r>
      <w:r w:rsidRPr="00C0141A">
        <w:t xml:space="preserve"> will be responsible for the fulfillment of technical, administrative and financial procedures related to the execution of the </w:t>
      </w:r>
      <w:r>
        <w:t>Program</w:t>
      </w:r>
      <w:r w:rsidRPr="00C0141A">
        <w:t>, as well as the planning, monitor</w:t>
      </w:r>
      <w:r>
        <w:t>ing, supervision and evaluation</w:t>
      </w:r>
      <w:r w:rsidRPr="00C0141A">
        <w:t xml:space="preserve">.  The EA will be responsible for, inter alia: (i) the technical execution of </w:t>
      </w:r>
      <w:r>
        <w:t>Program</w:t>
      </w:r>
      <w:r w:rsidRPr="00C0141A">
        <w:t xml:space="preserve"> activities; (ii) selecting and contracting of consultancies, procurements, and services; (iii) reviewing and approving consulting products; (iv) registering accounting information of </w:t>
      </w:r>
      <w:r>
        <w:t>Program</w:t>
      </w:r>
      <w:r w:rsidRPr="00C0141A">
        <w:t xml:space="preserve"> funds; (v) managing consulting contracts and processing payments for consulting services and procurement of goods; (vi) reporting periodically to the Bank on the technical and administrative activities of the </w:t>
      </w:r>
      <w:r>
        <w:t>Program</w:t>
      </w:r>
      <w:r w:rsidRPr="00C0141A">
        <w:t xml:space="preserve">; (vii) monitoring of </w:t>
      </w:r>
      <w:r>
        <w:t>Program</w:t>
      </w:r>
      <w:r w:rsidRPr="00C0141A">
        <w:t xml:space="preserve"> progress towards </w:t>
      </w:r>
      <w:r>
        <w:t xml:space="preserve">the achievement of </w:t>
      </w:r>
      <w:r w:rsidRPr="00C0141A">
        <w:t xml:space="preserve">outcomes and goals, and the identification of needs </w:t>
      </w:r>
      <w:r w:rsidRPr="004F7A2A">
        <w:t>for adaptive management</w:t>
      </w:r>
      <w:r w:rsidRPr="00C0141A">
        <w:t xml:space="preserve">; and (viii) </w:t>
      </w:r>
      <w:r>
        <w:t xml:space="preserve">the preparation of </w:t>
      </w:r>
      <w:r w:rsidRPr="00C0141A">
        <w:t xml:space="preserve">progress reports. </w:t>
      </w:r>
    </w:p>
    <w:p w:rsidR="00A47BE0" w:rsidRPr="00C0141A" w:rsidRDefault="00A47BE0" w:rsidP="00A47BE0">
      <w:pPr>
        <w:spacing w:after="0" w:line="360" w:lineRule="auto"/>
        <w:jc w:val="both"/>
      </w:pPr>
    </w:p>
    <w:p w:rsidR="00A47BE0" w:rsidRDefault="00A47BE0" w:rsidP="00A47BE0">
      <w:pPr>
        <w:spacing w:after="0" w:line="360" w:lineRule="auto"/>
        <w:jc w:val="both"/>
      </w:pPr>
      <w:r>
        <w:t>EBS</w:t>
      </w:r>
      <w:r w:rsidRPr="00C0141A">
        <w:t xml:space="preserve"> will be responsible for implementing the</w:t>
      </w:r>
      <w:r>
        <w:t xml:space="preserve"> Program Execution Unit (</w:t>
      </w:r>
      <w:r w:rsidRPr="00C0141A">
        <w:t>PEU</w:t>
      </w:r>
      <w:r>
        <w:t>)</w:t>
      </w:r>
      <w:r w:rsidRPr="00C0141A">
        <w:t xml:space="preserve">, composed of specialists to execute the </w:t>
      </w:r>
      <w:r>
        <w:t>Program</w:t>
      </w:r>
      <w:r w:rsidRPr="00C0141A">
        <w:t>: (i) Project Manager</w:t>
      </w:r>
      <w:r>
        <w:t xml:space="preserve"> (PM)</w:t>
      </w:r>
      <w:r w:rsidRPr="00C0141A">
        <w:t xml:space="preserve">; (ii) Procurement specialist; (iii) Financial Specialist; </w:t>
      </w:r>
      <w:proofErr w:type="gramStart"/>
      <w:r w:rsidRPr="00C0141A">
        <w:t>(iv) Electrical engineer</w:t>
      </w:r>
      <w:proofErr w:type="gramEnd"/>
      <w:r w:rsidRPr="00C0141A">
        <w:t xml:space="preserve">; and a (v) Social-environmental specialist.  Having this team in place will be a condition prior to the first disbursement of the financing. </w:t>
      </w:r>
    </w:p>
    <w:p w:rsidR="00A47BE0" w:rsidRPr="00C0141A" w:rsidRDefault="00A47BE0" w:rsidP="00A47BE0">
      <w:pPr>
        <w:spacing w:after="0" w:line="360" w:lineRule="auto"/>
        <w:jc w:val="both"/>
      </w:pPr>
    </w:p>
    <w:p w:rsidR="00A47BE0" w:rsidRDefault="00A47BE0" w:rsidP="00A47BE0">
      <w:pPr>
        <w:spacing w:after="0" w:line="360" w:lineRule="auto"/>
        <w:jc w:val="both"/>
      </w:pPr>
      <w:r w:rsidRPr="00C0141A">
        <w:t>The Project Manager will be responsible, among others, for the preparation of the Terms of Reference</w:t>
      </w:r>
      <w:r>
        <w:t xml:space="preserve"> (</w:t>
      </w:r>
      <w:proofErr w:type="spellStart"/>
      <w:r>
        <w:t>ToR</w:t>
      </w:r>
      <w:proofErr w:type="spellEnd"/>
      <w:r>
        <w:t>)</w:t>
      </w:r>
      <w:r w:rsidRPr="00C0141A">
        <w:t xml:space="preserve"> and support for the selection process of contracted consultancies, services and procured goods; review of products delivered by consultancy firms, budget administration, logistics, local support and coordination among the stakeholders.  The PM will also prepare the Annual Operation Plans (AOP) to assist the EA in the execution and supervision of the </w:t>
      </w:r>
      <w:r>
        <w:t>Program</w:t>
      </w:r>
      <w:r w:rsidRPr="00C0141A">
        <w:t xml:space="preserve">.  The PM will have responsibility for the delivery of the anticipated results outlined in the AOP.  The PM will coordinate with the </w:t>
      </w:r>
      <w:r>
        <w:t>Steering Committee (</w:t>
      </w:r>
      <w:r w:rsidRPr="00C0141A">
        <w:t>SC</w:t>
      </w:r>
      <w:r>
        <w:t>)</w:t>
      </w:r>
      <w:r w:rsidRPr="00C0141A">
        <w:t xml:space="preserve"> for the execution of Component II, and will report to the EA and the Bank for the entire </w:t>
      </w:r>
      <w:r>
        <w:t>Program</w:t>
      </w:r>
      <w:r w:rsidRPr="00C0141A">
        <w:t>.  IDB will provide technical and fiduciary support through INE/ENE and the IDB Country Office in Suriname.</w:t>
      </w:r>
    </w:p>
    <w:p w:rsidR="00A47BE0" w:rsidRDefault="00A47BE0" w:rsidP="00A47BE0">
      <w:pPr>
        <w:spacing w:after="0" w:line="360" w:lineRule="auto"/>
        <w:jc w:val="both"/>
      </w:pPr>
      <w:r w:rsidRPr="00C0141A">
        <w:t xml:space="preserve">The IDB will be monitoring the </w:t>
      </w:r>
      <w:r>
        <w:t>Program</w:t>
      </w:r>
      <w:r w:rsidRPr="00C0141A">
        <w:t xml:space="preserve"> both from INE/ENE and the IDB Country Office in Suriname, with ad-hoc visits to the EA and the Project sites.  The EA will also be responsible for the preparation of financial documentation needed for the annual financial audits of Project statements.</w:t>
      </w:r>
    </w:p>
    <w:p w:rsidR="00A47BE0" w:rsidRPr="00C0141A" w:rsidRDefault="00A47BE0" w:rsidP="00A47BE0">
      <w:pPr>
        <w:spacing w:after="0" w:line="360" w:lineRule="auto"/>
        <w:jc w:val="both"/>
      </w:pPr>
    </w:p>
    <w:p w:rsidR="00A47BE0" w:rsidRPr="00C0141A" w:rsidRDefault="00A47BE0" w:rsidP="00A47BE0">
      <w:pPr>
        <w:spacing w:after="0" w:line="360" w:lineRule="auto"/>
        <w:jc w:val="both"/>
      </w:pPr>
      <w:r w:rsidRPr="00C0141A">
        <w:lastRenderedPageBreak/>
        <w:t>The monitoring work plan and budget are described in</w:t>
      </w:r>
      <w:r>
        <w:t xml:space="preserve"> Table 2.</w:t>
      </w:r>
    </w:p>
    <w:p w:rsidR="00A47BE0" w:rsidRPr="00C0141A" w:rsidRDefault="00A47BE0" w:rsidP="00A47BE0">
      <w:pPr>
        <w:spacing w:after="0" w:line="360" w:lineRule="auto"/>
      </w:pPr>
    </w:p>
    <w:p w:rsidR="00A47BE0" w:rsidRPr="00C0141A" w:rsidRDefault="00A47BE0" w:rsidP="00A47BE0">
      <w:pPr>
        <w:spacing w:after="0" w:line="360" w:lineRule="auto"/>
      </w:pPr>
    </w:p>
    <w:p w:rsidR="00A47BE0" w:rsidRPr="00C0141A" w:rsidRDefault="00A47BE0" w:rsidP="00A47BE0">
      <w:pPr>
        <w:pStyle w:val="Title"/>
        <w:spacing w:line="360" w:lineRule="auto"/>
        <w:ind w:left="720"/>
        <w:jc w:val="left"/>
        <w:rPr>
          <w:b/>
        </w:rPr>
      </w:pPr>
    </w:p>
    <w:p w:rsidR="00A47BE0" w:rsidRPr="00C0141A" w:rsidRDefault="00A47BE0" w:rsidP="00A47BE0">
      <w:pPr>
        <w:spacing w:after="0" w:line="360" w:lineRule="auto"/>
        <w:jc w:val="center"/>
        <w:rPr>
          <w:rFonts w:eastAsia="Times New Roman"/>
          <w:b/>
          <w:bCs/>
          <w:color w:val="000000"/>
          <w:sz w:val="16"/>
          <w:szCs w:val="16"/>
        </w:rPr>
        <w:sectPr w:rsidR="00A47BE0" w:rsidRPr="00C0141A" w:rsidSect="001F7EB2">
          <w:pgSz w:w="12240" w:h="15840"/>
          <w:pgMar w:top="1440" w:right="1440" w:bottom="1440" w:left="1440" w:header="720" w:footer="720" w:gutter="0"/>
          <w:cols w:space="720"/>
          <w:docGrid w:linePitch="360"/>
        </w:sectPr>
      </w:pPr>
    </w:p>
    <w:p w:rsidR="00A47BE0" w:rsidRPr="00C0141A" w:rsidRDefault="00A47BE0" w:rsidP="00A47BE0">
      <w:pPr>
        <w:pStyle w:val="Title"/>
        <w:spacing w:line="360" w:lineRule="auto"/>
        <w:rPr>
          <w:b/>
        </w:rPr>
      </w:pPr>
      <w:bookmarkStart w:id="23" w:name="_Toc365976349"/>
      <w:bookmarkStart w:id="24" w:name="_Toc365977157"/>
      <w:proofErr w:type="gramStart"/>
      <w:r>
        <w:rPr>
          <w:b/>
        </w:rPr>
        <w:lastRenderedPageBreak/>
        <w:t>Table 2.</w:t>
      </w:r>
      <w:proofErr w:type="gramEnd"/>
      <w:r w:rsidRPr="00C0141A">
        <w:rPr>
          <w:b/>
        </w:rPr>
        <w:t xml:space="preserve"> Monitoring work plan and budget</w:t>
      </w:r>
      <w:bookmarkEnd w:id="23"/>
      <w:bookmarkEnd w:id="24"/>
    </w:p>
    <w:tbl>
      <w:tblPr>
        <w:tblpPr w:leftFromText="180" w:rightFromText="180" w:horzAnchor="margin" w:tblpY="692"/>
        <w:tblW w:w="13235" w:type="dxa"/>
        <w:tblLook w:val="04A0" w:firstRow="1" w:lastRow="0" w:firstColumn="1" w:lastColumn="0" w:noHBand="0" w:noVBand="1"/>
      </w:tblPr>
      <w:tblGrid>
        <w:gridCol w:w="4313"/>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59"/>
        <w:gridCol w:w="6"/>
        <w:gridCol w:w="1051"/>
        <w:gridCol w:w="6"/>
        <w:gridCol w:w="828"/>
        <w:gridCol w:w="6"/>
        <w:gridCol w:w="749"/>
        <w:gridCol w:w="14"/>
      </w:tblGrid>
      <w:tr w:rsidR="00A47BE0" w:rsidRPr="00C0141A" w:rsidTr="00177A31">
        <w:trPr>
          <w:gridAfter w:val="1"/>
          <w:wAfter w:w="14" w:type="dxa"/>
          <w:trHeight w:val="310"/>
        </w:trPr>
        <w:tc>
          <w:tcPr>
            <w:tcW w:w="431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Key Monitoring Activities by outputs and outcomes</w:t>
            </w:r>
          </w:p>
        </w:tc>
        <w:tc>
          <w:tcPr>
            <w:tcW w:w="1043" w:type="dxa"/>
            <w:gridSpan w:val="4"/>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Year 1</w:t>
            </w:r>
          </w:p>
        </w:tc>
        <w:tc>
          <w:tcPr>
            <w:tcW w:w="1043" w:type="dxa"/>
            <w:gridSpan w:val="4"/>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Year 2</w:t>
            </w:r>
          </w:p>
        </w:tc>
        <w:tc>
          <w:tcPr>
            <w:tcW w:w="1043" w:type="dxa"/>
            <w:gridSpan w:val="4"/>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Year 3</w:t>
            </w:r>
          </w:p>
        </w:tc>
        <w:tc>
          <w:tcPr>
            <w:tcW w:w="1043" w:type="dxa"/>
            <w:gridSpan w:val="4"/>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Year 4</w:t>
            </w:r>
          </w:p>
        </w:tc>
        <w:tc>
          <w:tcPr>
            <w:tcW w:w="1043" w:type="dxa"/>
            <w:gridSpan w:val="4"/>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Year 5</w:t>
            </w:r>
          </w:p>
        </w:tc>
        <w:tc>
          <w:tcPr>
            <w:tcW w:w="1042" w:type="dxa"/>
            <w:gridSpan w:val="4"/>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Year 6</w:t>
            </w:r>
          </w:p>
        </w:tc>
        <w:tc>
          <w:tcPr>
            <w:tcW w:w="1057" w:type="dxa"/>
            <w:gridSpan w:val="2"/>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Responsible</w:t>
            </w:r>
          </w:p>
        </w:tc>
        <w:tc>
          <w:tcPr>
            <w:tcW w:w="834" w:type="dxa"/>
            <w:gridSpan w:val="2"/>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Costs</w:t>
            </w:r>
          </w:p>
        </w:tc>
        <w:tc>
          <w:tcPr>
            <w:tcW w:w="755" w:type="dxa"/>
            <w:gridSpan w:val="2"/>
            <w:tcBorders>
              <w:top w:val="single" w:sz="4" w:space="0" w:color="auto"/>
              <w:left w:val="nil"/>
              <w:bottom w:val="single" w:sz="4" w:space="0" w:color="auto"/>
              <w:right w:val="single" w:sz="4" w:space="0" w:color="auto"/>
            </w:tcBorders>
            <w:shd w:val="clear" w:color="000000" w:fill="A6A6A6"/>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Source</w:t>
            </w:r>
          </w:p>
        </w:tc>
      </w:tr>
      <w:tr w:rsidR="00A47BE0" w:rsidRPr="00C0141A" w:rsidTr="00177A31">
        <w:trPr>
          <w:trHeight w:val="166"/>
        </w:trPr>
        <w:tc>
          <w:tcPr>
            <w:tcW w:w="4318" w:type="dxa"/>
            <w:tcBorders>
              <w:top w:val="nil"/>
              <w:left w:val="single" w:sz="4" w:space="0" w:color="auto"/>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xml:space="preserve">Component 1 – </w:t>
            </w:r>
            <w:r w:rsidRPr="00C0141A">
              <w:rPr>
                <w:rFonts w:eastAsia="Times New Roman"/>
                <w:color w:val="000000"/>
                <w:sz w:val="16"/>
                <w:szCs w:val="16"/>
              </w:rPr>
              <w:t xml:space="preserve"> </w:t>
            </w:r>
            <w:r w:rsidRPr="00C0141A">
              <w:rPr>
                <w:rFonts w:eastAsia="Times New Roman"/>
                <w:b/>
                <w:bCs/>
                <w:color w:val="000000"/>
                <w:sz w:val="16"/>
                <w:szCs w:val="16"/>
              </w:rPr>
              <w:t>Improvement of EBS’ Operations</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5"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1057"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834"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758" w:type="dxa"/>
            <w:gridSpan w:val="2"/>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r>
      <w:tr w:rsidR="00A47BE0" w:rsidRPr="00C0141A" w:rsidTr="00177A31">
        <w:trPr>
          <w:trHeight w:val="166"/>
        </w:trPr>
        <w:tc>
          <w:tcPr>
            <w:tcW w:w="4318" w:type="dxa"/>
            <w:tcBorders>
              <w:top w:val="nil"/>
              <w:left w:val="single" w:sz="4" w:space="0" w:color="auto"/>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Data collecting and reporting (semiannual monitoring reports)</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834"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r>
      <w:tr w:rsidR="00A47BE0" w:rsidRPr="00C0141A" w:rsidTr="00177A31">
        <w:trPr>
          <w:trHeight w:val="232"/>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Design of the Integrated SCADA system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val="restart"/>
            <w:tcBorders>
              <w:top w:val="nil"/>
              <w:left w:val="single" w:sz="4" w:space="0" w:color="auto"/>
              <w:bottom w:val="nil"/>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EBS</w:t>
            </w:r>
          </w:p>
        </w:tc>
        <w:tc>
          <w:tcPr>
            <w:tcW w:w="8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Pr>
                <w:rFonts w:eastAsia="Times New Roman"/>
                <w:color w:val="000000"/>
                <w:sz w:val="16"/>
                <w:szCs w:val="16"/>
              </w:rPr>
              <w:t>$2</w:t>
            </w:r>
            <w:r w:rsidRPr="00C0141A">
              <w:rPr>
                <w:rFonts w:eastAsia="Times New Roman"/>
                <w:color w:val="000000"/>
                <w:sz w:val="16"/>
                <w:szCs w:val="16"/>
              </w:rPr>
              <w:t xml:space="preserve">0,000 </w:t>
            </w:r>
          </w:p>
        </w:tc>
        <w:tc>
          <w:tcPr>
            <w:tcW w:w="758" w:type="dxa"/>
            <w:gridSpan w:val="2"/>
            <w:vMerge w:val="restart"/>
            <w:tcBorders>
              <w:top w:val="nil"/>
              <w:left w:val="single" w:sz="4" w:space="0" w:color="auto"/>
              <w:bottom w:val="nil"/>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Project</w:t>
            </w:r>
          </w:p>
        </w:tc>
      </w:tr>
      <w:tr w:rsidR="00A47BE0" w:rsidRPr="00C0141A" w:rsidTr="00177A31">
        <w:trPr>
          <w:trHeight w:val="232"/>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Implementation of the Integrated SCADA system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nil"/>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nil"/>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232"/>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Design  Geographical Information System (GIS)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nil"/>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nil"/>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232"/>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Implementation  of the Geographical Information System (GIS)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nil"/>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nil"/>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232"/>
        </w:trPr>
        <w:tc>
          <w:tcPr>
            <w:tcW w:w="4318" w:type="dxa"/>
            <w:tcBorders>
              <w:top w:val="nil"/>
              <w:left w:val="single" w:sz="4" w:space="0" w:color="auto"/>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proofErr w:type="spellStart"/>
            <w:r w:rsidRPr="00C0141A">
              <w:rPr>
                <w:rFonts w:eastAsia="Times New Roman"/>
                <w:b/>
                <w:bCs/>
                <w:color w:val="000000"/>
                <w:sz w:val="16"/>
                <w:szCs w:val="16"/>
                <w:lang w:val="es-ES"/>
              </w:rPr>
              <w:t>Component</w:t>
            </w:r>
            <w:proofErr w:type="spellEnd"/>
            <w:r w:rsidRPr="00C0141A">
              <w:rPr>
                <w:rFonts w:eastAsia="Times New Roman"/>
                <w:b/>
                <w:bCs/>
                <w:color w:val="000000"/>
                <w:sz w:val="16"/>
                <w:szCs w:val="16"/>
                <w:lang w:val="es-ES"/>
              </w:rPr>
              <w:t xml:space="preserve"> 2 –  </w:t>
            </w:r>
            <w:proofErr w:type="spellStart"/>
            <w:r w:rsidRPr="00C0141A">
              <w:rPr>
                <w:rFonts w:eastAsia="Times New Roman"/>
                <w:b/>
                <w:bCs/>
                <w:color w:val="000000"/>
                <w:sz w:val="16"/>
                <w:szCs w:val="16"/>
                <w:lang w:val="es-ES"/>
              </w:rPr>
              <w:t>Sustainable</w:t>
            </w:r>
            <w:proofErr w:type="spellEnd"/>
            <w:r w:rsidRPr="00C0141A">
              <w:rPr>
                <w:rFonts w:eastAsia="Times New Roman"/>
                <w:b/>
                <w:bCs/>
                <w:color w:val="000000"/>
                <w:sz w:val="16"/>
                <w:szCs w:val="16"/>
                <w:lang w:val="es-ES"/>
              </w:rPr>
              <w:t xml:space="preserve"> Rural </w:t>
            </w:r>
            <w:proofErr w:type="spellStart"/>
            <w:r w:rsidRPr="00C0141A">
              <w:rPr>
                <w:rFonts w:eastAsia="Times New Roman"/>
                <w:b/>
                <w:bCs/>
                <w:color w:val="000000"/>
                <w:sz w:val="16"/>
                <w:szCs w:val="16"/>
                <w:lang w:val="es-ES"/>
              </w:rPr>
              <w:t>Electrification</w:t>
            </w:r>
            <w:proofErr w:type="spellEnd"/>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5"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1057" w:type="dxa"/>
            <w:gridSpan w:val="2"/>
            <w:tcBorders>
              <w:top w:val="single" w:sz="4" w:space="0" w:color="auto"/>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834"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758" w:type="dxa"/>
            <w:gridSpan w:val="2"/>
            <w:tcBorders>
              <w:top w:val="single" w:sz="4" w:space="0" w:color="auto"/>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r>
      <w:tr w:rsidR="00A47BE0" w:rsidRPr="00C0141A" w:rsidTr="00177A31">
        <w:trPr>
          <w:trHeight w:val="199"/>
        </w:trPr>
        <w:tc>
          <w:tcPr>
            <w:tcW w:w="4318" w:type="dxa"/>
            <w:tcBorders>
              <w:top w:val="nil"/>
              <w:left w:val="single" w:sz="4" w:space="0" w:color="auto"/>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Data collecting and reporting (semiannual monitoring reports)</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834"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Upgrade of Substation </w:t>
            </w:r>
            <w:proofErr w:type="spellStart"/>
            <w:r w:rsidRPr="00C0141A">
              <w:rPr>
                <w:rFonts w:eastAsia="Times New Roman"/>
                <w:color w:val="000000"/>
                <w:sz w:val="16"/>
                <w:szCs w:val="16"/>
              </w:rPr>
              <w:t>Paranam</w:t>
            </w:r>
            <w:proofErr w:type="spellEnd"/>
            <w:r w:rsidRPr="00C0141A">
              <w:rPr>
                <w:rFonts w:eastAsia="Times New Roman"/>
                <w:color w:val="000000"/>
                <w:sz w:val="16"/>
                <w:szCs w:val="16"/>
              </w:rPr>
              <w:t xml:space="preserve"> (S/S P)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EBS</w:t>
            </w:r>
          </w:p>
        </w:tc>
        <w:tc>
          <w:tcPr>
            <w:tcW w:w="8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w:t>
            </w:r>
            <w:r>
              <w:rPr>
                <w:rFonts w:eastAsia="Times New Roman"/>
                <w:color w:val="000000"/>
                <w:sz w:val="16"/>
                <w:szCs w:val="16"/>
              </w:rPr>
              <w:t>2</w:t>
            </w:r>
            <w:r w:rsidRPr="00C0141A">
              <w:rPr>
                <w:rFonts w:eastAsia="Times New Roman"/>
                <w:color w:val="000000"/>
                <w:sz w:val="16"/>
                <w:szCs w:val="16"/>
              </w:rPr>
              <w:t xml:space="preserve">0,000 </w:t>
            </w:r>
          </w:p>
        </w:tc>
        <w:tc>
          <w:tcPr>
            <w:tcW w:w="7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Project</w:t>
            </w: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Implementation of </w:t>
            </w:r>
            <w:proofErr w:type="spellStart"/>
            <w:r w:rsidRPr="00C0141A">
              <w:rPr>
                <w:rFonts w:eastAsia="Times New Roman"/>
                <w:color w:val="000000"/>
                <w:sz w:val="16"/>
                <w:szCs w:val="16"/>
              </w:rPr>
              <w:t>Powakka</w:t>
            </w:r>
            <w:proofErr w:type="spellEnd"/>
            <w:r w:rsidRPr="00C0141A">
              <w:rPr>
                <w:rFonts w:eastAsia="Times New Roman"/>
                <w:color w:val="000000"/>
                <w:sz w:val="16"/>
                <w:szCs w:val="16"/>
              </w:rPr>
              <w:t xml:space="preserve">  Substation  (S/S POW)</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Installation of the Transmission and distribution systems in target area </w:t>
            </w:r>
            <w:proofErr w:type="spellStart"/>
            <w:r w:rsidRPr="00C0141A">
              <w:rPr>
                <w:rFonts w:eastAsia="Times New Roman"/>
                <w:color w:val="000000"/>
                <w:sz w:val="16"/>
                <w:szCs w:val="16"/>
              </w:rPr>
              <w:t>Powakka</w:t>
            </w:r>
            <w:proofErr w:type="spellEnd"/>
            <w:r w:rsidRPr="00C0141A">
              <w:rPr>
                <w:rFonts w:eastAsia="Times New Roman"/>
                <w:color w:val="000000"/>
                <w:sz w:val="16"/>
                <w:szCs w:val="16"/>
              </w:rPr>
              <w:t>-Ayo-</w:t>
            </w:r>
            <w:proofErr w:type="spellStart"/>
            <w:r w:rsidRPr="00C0141A">
              <w:rPr>
                <w:rFonts w:eastAsia="Times New Roman"/>
                <w:color w:val="000000"/>
                <w:sz w:val="16"/>
                <w:szCs w:val="16"/>
              </w:rPr>
              <w:t>Redi</w:t>
            </w:r>
            <w:proofErr w:type="spellEnd"/>
            <w:r w:rsidRPr="00C0141A">
              <w:rPr>
                <w:rFonts w:eastAsia="Times New Roman"/>
                <w:color w:val="000000"/>
                <w:sz w:val="16"/>
                <w:szCs w:val="16"/>
              </w:rPr>
              <w:t xml:space="preserve"> </w:t>
            </w:r>
            <w:proofErr w:type="spellStart"/>
            <w:r w:rsidRPr="00C0141A">
              <w:rPr>
                <w:rFonts w:eastAsia="Times New Roman"/>
                <w:color w:val="000000"/>
                <w:sz w:val="16"/>
                <w:szCs w:val="16"/>
              </w:rPr>
              <w:t>Doti-Casipoera</w:t>
            </w:r>
            <w:proofErr w:type="spellEnd"/>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Contracting 24/h electricity from EBS using prepaid meters by households in target area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Habilitation for hybrid power supply by EBS of the </w:t>
            </w:r>
            <w:proofErr w:type="spellStart"/>
            <w:r w:rsidRPr="00C0141A">
              <w:rPr>
                <w:rFonts w:eastAsia="Times New Roman"/>
                <w:color w:val="000000"/>
                <w:sz w:val="16"/>
                <w:szCs w:val="16"/>
              </w:rPr>
              <w:t>Atjoni</w:t>
            </w:r>
            <w:proofErr w:type="spellEnd"/>
            <w:r w:rsidRPr="00C0141A">
              <w:rPr>
                <w:rFonts w:eastAsia="Times New Roman"/>
                <w:color w:val="000000"/>
                <w:sz w:val="16"/>
                <w:szCs w:val="16"/>
              </w:rPr>
              <w:t xml:space="preserve"> Substation </w:t>
            </w:r>
            <w:proofErr w:type="spellStart"/>
            <w:r w:rsidRPr="00C0141A">
              <w:rPr>
                <w:rFonts w:eastAsia="Times New Roman"/>
                <w:color w:val="000000"/>
                <w:sz w:val="16"/>
                <w:szCs w:val="16"/>
              </w:rPr>
              <w:t>Atjoni</w:t>
            </w:r>
            <w:proofErr w:type="spellEnd"/>
            <w:r w:rsidRPr="00C0141A">
              <w:rPr>
                <w:rFonts w:eastAsia="Times New Roman"/>
                <w:color w:val="000000"/>
                <w:sz w:val="16"/>
                <w:szCs w:val="16"/>
              </w:rPr>
              <w:t xml:space="preserve"> (S/S </w:t>
            </w:r>
            <w:proofErr w:type="spellStart"/>
            <w:r w:rsidRPr="00C0141A">
              <w:rPr>
                <w:rFonts w:eastAsia="Times New Roman"/>
                <w:color w:val="000000"/>
                <w:sz w:val="16"/>
                <w:szCs w:val="16"/>
              </w:rPr>
              <w:t>Atjoni</w:t>
            </w:r>
            <w:proofErr w:type="spellEnd"/>
            <w:r w:rsidRPr="00C0141A">
              <w:rPr>
                <w:rFonts w:eastAsia="Times New Roman"/>
                <w:color w:val="000000"/>
                <w:sz w:val="16"/>
                <w:szCs w:val="16"/>
              </w:rPr>
              <w:t xml:space="preserve">)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Installation of RET-based generating capacity in </w:t>
            </w:r>
            <w:proofErr w:type="spellStart"/>
            <w:r w:rsidRPr="00C0141A">
              <w:rPr>
                <w:rFonts w:eastAsia="Times New Roman"/>
                <w:color w:val="000000"/>
                <w:sz w:val="16"/>
                <w:szCs w:val="16"/>
              </w:rPr>
              <w:t>Atjoni</w:t>
            </w:r>
            <w:proofErr w:type="spellEnd"/>
            <w:r w:rsidRPr="00C0141A">
              <w:rPr>
                <w:rFonts w:eastAsia="Times New Roman"/>
                <w:color w:val="000000"/>
                <w:sz w:val="16"/>
                <w:szCs w:val="16"/>
              </w:rPr>
              <w:t xml:space="preserve"> (kW)</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xml:space="preserve">Contracting 24/h electricity from EBS using prepaid meters by households in target area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304"/>
        </w:trPr>
        <w:tc>
          <w:tcPr>
            <w:tcW w:w="4318" w:type="dxa"/>
            <w:tcBorders>
              <w:top w:val="nil"/>
              <w:left w:val="single" w:sz="4" w:space="0" w:color="auto"/>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proofErr w:type="spellStart"/>
            <w:r w:rsidRPr="00C0141A">
              <w:rPr>
                <w:rFonts w:eastAsia="Times New Roman"/>
                <w:b/>
                <w:bCs/>
                <w:color w:val="000000"/>
                <w:sz w:val="16"/>
                <w:szCs w:val="16"/>
                <w:lang w:val="es-ES"/>
              </w:rPr>
              <w:t>Component</w:t>
            </w:r>
            <w:proofErr w:type="spellEnd"/>
            <w:r w:rsidRPr="00C0141A">
              <w:rPr>
                <w:rFonts w:eastAsia="Times New Roman"/>
                <w:b/>
                <w:bCs/>
                <w:color w:val="000000"/>
                <w:sz w:val="16"/>
                <w:szCs w:val="16"/>
                <w:lang w:val="es-ES"/>
              </w:rPr>
              <w:t xml:space="preserve"> 3 –  </w:t>
            </w:r>
            <w:proofErr w:type="spellStart"/>
            <w:r w:rsidRPr="00C0141A">
              <w:rPr>
                <w:rFonts w:eastAsia="Times New Roman"/>
                <w:b/>
                <w:bCs/>
                <w:color w:val="000000"/>
                <w:sz w:val="16"/>
                <w:szCs w:val="16"/>
                <w:lang w:val="es-ES"/>
              </w:rPr>
              <w:t>Critical</w:t>
            </w:r>
            <w:proofErr w:type="spellEnd"/>
            <w:r w:rsidRPr="00C0141A">
              <w:rPr>
                <w:rFonts w:eastAsia="Times New Roman"/>
                <w:b/>
                <w:bCs/>
                <w:color w:val="000000"/>
                <w:sz w:val="16"/>
                <w:szCs w:val="16"/>
                <w:lang w:val="es-ES"/>
              </w:rPr>
              <w:t xml:space="preserve"> </w:t>
            </w:r>
            <w:proofErr w:type="spellStart"/>
            <w:r w:rsidRPr="00C0141A">
              <w:rPr>
                <w:rFonts w:eastAsia="Times New Roman"/>
                <w:b/>
                <w:bCs/>
                <w:color w:val="000000"/>
                <w:sz w:val="16"/>
                <w:szCs w:val="16"/>
                <w:lang w:val="es-ES"/>
              </w:rPr>
              <w:t>Infrastructure</w:t>
            </w:r>
            <w:proofErr w:type="spellEnd"/>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5"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1057"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834"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758" w:type="dxa"/>
            <w:gridSpan w:val="2"/>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r>
      <w:tr w:rsidR="00A47BE0" w:rsidRPr="00C0141A" w:rsidTr="00177A31">
        <w:trPr>
          <w:trHeight w:val="199"/>
        </w:trPr>
        <w:tc>
          <w:tcPr>
            <w:tcW w:w="4318" w:type="dxa"/>
            <w:tcBorders>
              <w:top w:val="nil"/>
              <w:left w:val="single" w:sz="4" w:space="0" w:color="auto"/>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Data collecting and reporting (semiannual monitoring reports)</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834"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Upgrade EBS Substation S/S C procured and commissioned</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EBS</w:t>
            </w:r>
          </w:p>
        </w:tc>
        <w:tc>
          <w:tcPr>
            <w:tcW w:w="8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Pr>
                <w:rFonts w:eastAsia="Times New Roman"/>
                <w:color w:val="000000"/>
                <w:sz w:val="16"/>
                <w:szCs w:val="16"/>
              </w:rPr>
              <w:t>$2</w:t>
            </w:r>
            <w:r w:rsidRPr="00C0141A">
              <w:rPr>
                <w:rFonts w:eastAsia="Times New Roman"/>
                <w:color w:val="000000"/>
                <w:sz w:val="16"/>
                <w:szCs w:val="16"/>
              </w:rPr>
              <w:t xml:space="preserve">0,000 </w:t>
            </w:r>
          </w:p>
        </w:tc>
        <w:tc>
          <w:tcPr>
            <w:tcW w:w="7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Project</w:t>
            </w: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Upgrade EBS Substation S/S D procured and commissioned</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232"/>
        </w:trPr>
        <w:tc>
          <w:tcPr>
            <w:tcW w:w="4318" w:type="dxa"/>
            <w:tcBorders>
              <w:top w:val="nil"/>
              <w:left w:val="single" w:sz="4" w:space="0" w:color="auto"/>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proofErr w:type="spellStart"/>
            <w:r w:rsidRPr="00C0141A">
              <w:rPr>
                <w:rFonts w:eastAsia="Times New Roman"/>
                <w:b/>
                <w:bCs/>
                <w:color w:val="000000"/>
                <w:sz w:val="16"/>
                <w:szCs w:val="16"/>
                <w:lang w:val="es-ES"/>
              </w:rPr>
              <w:t>Outcomes</w:t>
            </w:r>
            <w:proofErr w:type="spellEnd"/>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1" w:type="dxa"/>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265"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1057"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834" w:type="dxa"/>
            <w:gridSpan w:val="2"/>
            <w:tcBorders>
              <w:top w:val="nil"/>
              <w:left w:val="nil"/>
              <w:bottom w:val="single" w:sz="4" w:space="0" w:color="auto"/>
              <w:right w:val="nil"/>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c>
          <w:tcPr>
            <w:tcW w:w="758" w:type="dxa"/>
            <w:gridSpan w:val="2"/>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r w:rsidRPr="00C0141A">
              <w:rPr>
                <w:rFonts w:eastAsia="Times New Roman"/>
                <w:b/>
                <w:bCs/>
                <w:color w:val="000000"/>
                <w:sz w:val="16"/>
                <w:szCs w:val="16"/>
              </w:rPr>
              <w:t> </w:t>
            </w:r>
          </w:p>
        </w:tc>
      </w:tr>
      <w:tr w:rsidR="00A47BE0" w:rsidRPr="00C0141A" w:rsidTr="00177A31">
        <w:trPr>
          <w:trHeight w:val="199"/>
        </w:trPr>
        <w:tc>
          <w:tcPr>
            <w:tcW w:w="4318" w:type="dxa"/>
            <w:tcBorders>
              <w:top w:val="nil"/>
              <w:left w:val="single" w:sz="4" w:space="0" w:color="auto"/>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xml:space="preserve">Data collecting and reporting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834" w:type="dxa"/>
            <w:gridSpan w:val="2"/>
            <w:tcBorders>
              <w:top w:val="nil"/>
              <w:left w:val="nil"/>
              <w:bottom w:val="single" w:sz="4" w:space="0" w:color="auto"/>
              <w:right w:val="nil"/>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Upgrade EBS Substation S/S C procured and commissioned</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EBS</w:t>
            </w:r>
          </w:p>
        </w:tc>
        <w:tc>
          <w:tcPr>
            <w:tcW w:w="8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Pr>
                <w:rFonts w:eastAsia="Times New Roman"/>
                <w:color w:val="000000"/>
                <w:sz w:val="16"/>
                <w:szCs w:val="16"/>
              </w:rPr>
              <w:t>$20</w:t>
            </w:r>
            <w:r w:rsidRPr="00C0141A">
              <w:rPr>
                <w:rFonts w:eastAsia="Times New Roman"/>
                <w:color w:val="000000"/>
                <w:sz w:val="16"/>
                <w:szCs w:val="16"/>
              </w:rPr>
              <w:t xml:space="preserve">,000 </w:t>
            </w:r>
          </w:p>
        </w:tc>
        <w:tc>
          <w:tcPr>
            <w:tcW w:w="7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Project</w:t>
            </w:r>
          </w:p>
        </w:tc>
      </w:tr>
      <w:tr w:rsidR="00A47BE0" w:rsidRPr="00C0141A" w:rsidTr="00177A31">
        <w:trPr>
          <w:trHeight w:val="199"/>
        </w:trPr>
        <w:tc>
          <w:tcPr>
            <w:tcW w:w="4318"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Upgrade EBS Substation S/S D procured and commissioned</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265" w:type="dxa"/>
            <w:gridSpan w:val="2"/>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i/>
                <w:iCs/>
                <w:color w:val="000000"/>
                <w:sz w:val="16"/>
                <w:szCs w:val="16"/>
              </w:rPr>
            </w:pPr>
            <w:r w:rsidRPr="00C0141A">
              <w:rPr>
                <w:rFonts w:eastAsia="Times New Roman"/>
                <w:i/>
                <w:iCs/>
                <w:color w:val="000000"/>
                <w:sz w:val="16"/>
                <w:szCs w:val="16"/>
              </w:rPr>
              <w:t> </w:t>
            </w:r>
          </w:p>
        </w:tc>
        <w:tc>
          <w:tcPr>
            <w:tcW w:w="1057" w:type="dxa"/>
            <w:gridSpan w:val="2"/>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834" w:type="dxa"/>
            <w:gridSpan w:val="2"/>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c>
          <w:tcPr>
            <w:tcW w:w="758" w:type="dxa"/>
            <w:gridSpan w:val="2"/>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6"/>
                <w:szCs w:val="16"/>
              </w:rPr>
            </w:pPr>
          </w:p>
        </w:tc>
      </w:tr>
      <w:tr w:rsidR="00A47BE0" w:rsidRPr="00C0141A" w:rsidTr="00177A31">
        <w:trPr>
          <w:trHeight w:val="232"/>
        </w:trPr>
        <w:tc>
          <w:tcPr>
            <w:tcW w:w="4318" w:type="dxa"/>
            <w:tcBorders>
              <w:top w:val="nil"/>
              <w:left w:val="single" w:sz="4" w:space="0" w:color="auto"/>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b/>
                <w:bCs/>
                <w:color w:val="000000"/>
                <w:sz w:val="16"/>
                <w:szCs w:val="16"/>
              </w:rPr>
            </w:pPr>
            <w:proofErr w:type="spellStart"/>
            <w:r w:rsidRPr="00C0141A">
              <w:rPr>
                <w:rFonts w:eastAsia="Times New Roman"/>
                <w:b/>
                <w:bCs/>
                <w:color w:val="000000"/>
                <w:sz w:val="16"/>
                <w:szCs w:val="16"/>
                <w:lang w:val="es-MX"/>
              </w:rPr>
              <w:t>Supervision</w:t>
            </w:r>
            <w:proofErr w:type="spellEnd"/>
            <w:r w:rsidRPr="00C0141A">
              <w:rPr>
                <w:rFonts w:eastAsia="Times New Roman"/>
                <w:b/>
                <w:bCs/>
                <w:color w:val="000000"/>
                <w:sz w:val="16"/>
                <w:szCs w:val="16"/>
                <w:lang w:val="es-MX"/>
              </w:rPr>
              <w:t xml:space="preserve"> </w:t>
            </w:r>
            <w:proofErr w:type="spellStart"/>
            <w:r w:rsidRPr="00C0141A">
              <w:rPr>
                <w:rFonts w:eastAsia="Times New Roman"/>
                <w:b/>
                <w:bCs/>
                <w:color w:val="000000"/>
                <w:sz w:val="16"/>
                <w:szCs w:val="16"/>
                <w:lang w:val="es-MX"/>
              </w:rPr>
              <w:t>visits</w:t>
            </w:r>
            <w:proofErr w:type="spellEnd"/>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1" w:type="dxa"/>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265" w:type="dxa"/>
            <w:gridSpan w:val="2"/>
            <w:tcBorders>
              <w:top w:val="nil"/>
              <w:left w:val="nil"/>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rPr>
                <w:rFonts w:eastAsia="Times New Roman"/>
                <w:color w:val="000000"/>
                <w:sz w:val="16"/>
                <w:szCs w:val="16"/>
              </w:rPr>
            </w:pPr>
            <w:r w:rsidRPr="00C0141A">
              <w:rPr>
                <w:rFonts w:eastAsia="Times New Roman"/>
                <w:color w:val="000000"/>
                <w:sz w:val="16"/>
                <w:szCs w:val="16"/>
              </w:rPr>
              <w:t> </w:t>
            </w:r>
          </w:p>
        </w:tc>
        <w:tc>
          <w:tcPr>
            <w:tcW w:w="1057" w:type="dxa"/>
            <w:gridSpan w:val="2"/>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IDB</w:t>
            </w:r>
          </w:p>
        </w:tc>
        <w:tc>
          <w:tcPr>
            <w:tcW w:w="834" w:type="dxa"/>
            <w:gridSpan w:val="2"/>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jc w:val="center"/>
              <w:rPr>
                <w:rFonts w:eastAsia="Times New Roman"/>
                <w:color w:val="000000"/>
                <w:sz w:val="16"/>
                <w:szCs w:val="16"/>
              </w:rPr>
            </w:pPr>
            <w:r>
              <w:rPr>
                <w:rFonts w:eastAsia="Times New Roman"/>
                <w:color w:val="000000"/>
                <w:sz w:val="16"/>
                <w:szCs w:val="16"/>
              </w:rPr>
              <w:t>$100</w:t>
            </w:r>
            <w:r w:rsidRPr="00C0141A">
              <w:rPr>
                <w:rFonts w:eastAsia="Times New Roman"/>
                <w:color w:val="000000"/>
                <w:sz w:val="16"/>
                <w:szCs w:val="16"/>
              </w:rPr>
              <w:t xml:space="preserve">,000 </w:t>
            </w:r>
          </w:p>
        </w:tc>
        <w:tc>
          <w:tcPr>
            <w:tcW w:w="758" w:type="dxa"/>
            <w:gridSpan w:val="2"/>
            <w:tcBorders>
              <w:top w:val="nil"/>
              <w:left w:val="nil"/>
              <w:bottom w:val="single" w:sz="4" w:space="0" w:color="auto"/>
              <w:right w:val="single" w:sz="4" w:space="0" w:color="auto"/>
            </w:tcBorders>
            <w:shd w:val="clear" w:color="000000" w:fill="F2F2F2"/>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IDB</w:t>
            </w:r>
          </w:p>
        </w:tc>
      </w:tr>
      <w:tr w:rsidR="00A47BE0" w:rsidRPr="00C0141A" w:rsidTr="00177A31">
        <w:trPr>
          <w:gridAfter w:val="1"/>
          <w:wAfter w:w="12" w:type="dxa"/>
          <w:trHeight w:val="232"/>
        </w:trPr>
        <w:tc>
          <w:tcPr>
            <w:tcW w:w="4318" w:type="dxa"/>
            <w:tcBorders>
              <w:top w:val="nil"/>
              <w:left w:val="single" w:sz="4" w:space="0" w:color="auto"/>
              <w:bottom w:val="single" w:sz="4" w:space="0" w:color="auto"/>
              <w:right w:val="single" w:sz="4" w:space="0" w:color="auto"/>
            </w:tcBorders>
            <w:shd w:val="clear" w:color="000000" w:fill="808080"/>
            <w:vAlign w:val="center"/>
            <w:hideMark/>
          </w:tcPr>
          <w:p w:rsidR="00A47BE0" w:rsidRPr="00C0141A" w:rsidRDefault="00A47BE0" w:rsidP="00177A31">
            <w:pPr>
              <w:spacing w:after="0" w:line="360" w:lineRule="auto"/>
              <w:jc w:val="center"/>
              <w:rPr>
                <w:rFonts w:eastAsia="Times New Roman"/>
                <w:color w:val="000000"/>
                <w:sz w:val="16"/>
                <w:szCs w:val="16"/>
              </w:rPr>
            </w:pPr>
            <w:r w:rsidRPr="00C0141A">
              <w:rPr>
                <w:rFonts w:eastAsia="Times New Roman"/>
                <w:color w:val="000000"/>
                <w:sz w:val="16"/>
                <w:szCs w:val="16"/>
              </w:rPr>
              <w:t>Total</w:t>
            </w:r>
          </w:p>
        </w:tc>
        <w:tc>
          <w:tcPr>
            <w:tcW w:w="8905" w:type="dxa"/>
            <w:gridSpan w:val="30"/>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6"/>
                <w:szCs w:val="16"/>
              </w:rPr>
            </w:pPr>
            <w:r w:rsidRPr="00C0141A">
              <w:rPr>
                <w:rFonts w:eastAsia="Times New Roman"/>
                <w:b/>
                <w:bCs/>
                <w:color w:val="000000"/>
                <w:sz w:val="16"/>
                <w:szCs w:val="16"/>
              </w:rPr>
              <w:t>$</w:t>
            </w:r>
            <w:r>
              <w:rPr>
                <w:rFonts w:eastAsia="Times New Roman"/>
                <w:b/>
                <w:bCs/>
                <w:color w:val="000000"/>
                <w:sz w:val="16"/>
                <w:szCs w:val="16"/>
              </w:rPr>
              <w:t>180,000</w:t>
            </w:r>
            <w:r w:rsidRPr="00C0141A">
              <w:rPr>
                <w:rFonts w:eastAsia="Times New Roman"/>
                <w:b/>
                <w:bCs/>
                <w:color w:val="000000"/>
                <w:sz w:val="16"/>
                <w:szCs w:val="16"/>
              </w:rPr>
              <w:t xml:space="preserve"> </w:t>
            </w:r>
          </w:p>
        </w:tc>
      </w:tr>
    </w:tbl>
    <w:p w:rsidR="00A47BE0" w:rsidRPr="00C0141A" w:rsidRDefault="00A47BE0" w:rsidP="00A47BE0">
      <w:pPr>
        <w:pStyle w:val="Title"/>
        <w:spacing w:line="360" w:lineRule="auto"/>
        <w:ind w:left="720"/>
        <w:jc w:val="left"/>
        <w:rPr>
          <w:b/>
        </w:rPr>
        <w:sectPr w:rsidR="00A47BE0" w:rsidRPr="00C0141A" w:rsidSect="00600CCA">
          <w:pgSz w:w="15840" w:h="12240" w:orient="landscape"/>
          <w:pgMar w:top="1440" w:right="1440" w:bottom="1440" w:left="1440" w:header="720" w:footer="720" w:gutter="0"/>
          <w:cols w:space="720"/>
          <w:docGrid w:linePitch="360"/>
        </w:sectPr>
      </w:pPr>
    </w:p>
    <w:p w:rsidR="00A47BE0" w:rsidRPr="00C665CC" w:rsidRDefault="00A47BE0" w:rsidP="00A47BE0">
      <w:pPr>
        <w:pStyle w:val="Title"/>
        <w:numPr>
          <w:ilvl w:val="0"/>
          <w:numId w:val="15"/>
        </w:numPr>
        <w:spacing w:line="360" w:lineRule="auto"/>
        <w:jc w:val="left"/>
        <w:rPr>
          <w:rStyle w:val="Strong"/>
        </w:rPr>
      </w:pPr>
      <w:bookmarkStart w:id="25" w:name="_Toc365976350"/>
      <w:bookmarkStart w:id="26" w:name="_Toc365977158"/>
      <w:r w:rsidRPr="00C665CC">
        <w:rPr>
          <w:rStyle w:val="Strong"/>
        </w:rPr>
        <w:lastRenderedPageBreak/>
        <w:t>Evaluation</w:t>
      </w:r>
      <w:bookmarkEnd w:id="18"/>
      <w:bookmarkEnd w:id="19"/>
      <w:bookmarkEnd w:id="25"/>
      <w:bookmarkEnd w:id="26"/>
      <w:r w:rsidRPr="00C665CC">
        <w:rPr>
          <w:rStyle w:val="Strong"/>
        </w:rPr>
        <w:t xml:space="preserve"> </w:t>
      </w:r>
    </w:p>
    <w:p w:rsidR="00A47BE0" w:rsidRPr="00C0141A" w:rsidRDefault="00A47BE0" w:rsidP="00A47BE0">
      <w:pPr>
        <w:pStyle w:val="Title"/>
        <w:spacing w:line="360" w:lineRule="auto"/>
        <w:ind w:left="720"/>
        <w:jc w:val="left"/>
        <w:rPr>
          <w:b/>
        </w:rPr>
      </w:pPr>
    </w:p>
    <w:p w:rsidR="00A47BE0" w:rsidRDefault="00A47BE0" w:rsidP="00A47BE0">
      <w:pPr>
        <w:spacing w:after="0" w:line="360" w:lineRule="auto"/>
        <w:jc w:val="both"/>
      </w:pPr>
      <w:r w:rsidRPr="00C0141A">
        <w:t>The purpose of this section is to detail the evaluation methodology, the result and impact indicators, the data collection process, the work plan and the budget and the implementation of the evaluation.</w:t>
      </w:r>
    </w:p>
    <w:p w:rsidR="00A47BE0" w:rsidRPr="00C0141A" w:rsidRDefault="00A47BE0" w:rsidP="00A47BE0">
      <w:pPr>
        <w:spacing w:after="0" w:line="360" w:lineRule="auto"/>
        <w:jc w:val="both"/>
      </w:pPr>
    </w:p>
    <w:p w:rsidR="00A47BE0" w:rsidRPr="00C665CC" w:rsidRDefault="00A47BE0" w:rsidP="00A47BE0">
      <w:pPr>
        <w:pStyle w:val="Heading2"/>
        <w:numPr>
          <w:ilvl w:val="0"/>
          <w:numId w:val="44"/>
        </w:numPr>
        <w:spacing w:before="0" w:after="0" w:line="360" w:lineRule="auto"/>
        <w:rPr>
          <w:rStyle w:val="SubtleEmphasis"/>
        </w:rPr>
      </w:pPr>
      <w:bookmarkStart w:id="27" w:name="_Toc323827272"/>
      <w:bookmarkStart w:id="28" w:name="_Toc365976351"/>
      <w:bookmarkStart w:id="29" w:name="_Toc365977159"/>
      <w:r w:rsidRPr="00C665CC">
        <w:rPr>
          <w:rStyle w:val="SubtleEmphasis"/>
        </w:rPr>
        <w:t>Main Evaluation Question</w:t>
      </w:r>
      <w:bookmarkEnd w:id="27"/>
      <w:r w:rsidRPr="00C665CC">
        <w:rPr>
          <w:rStyle w:val="SubtleEmphasis"/>
        </w:rPr>
        <w:t>s</w:t>
      </w:r>
      <w:bookmarkEnd w:id="28"/>
      <w:bookmarkEnd w:id="29"/>
    </w:p>
    <w:p w:rsidR="00A47BE0" w:rsidRDefault="00A47BE0" w:rsidP="00A47BE0">
      <w:pPr>
        <w:spacing w:after="0" w:line="360" w:lineRule="auto"/>
        <w:jc w:val="both"/>
        <w:rPr>
          <w:szCs w:val="20"/>
        </w:rPr>
      </w:pPr>
    </w:p>
    <w:p w:rsidR="00A47BE0" w:rsidRPr="00C0141A" w:rsidRDefault="00A47BE0" w:rsidP="00A47BE0">
      <w:pPr>
        <w:spacing w:after="0" w:line="360" w:lineRule="auto"/>
        <w:jc w:val="both"/>
      </w:pPr>
      <w:r w:rsidRPr="00C0141A">
        <w:rPr>
          <w:szCs w:val="20"/>
        </w:rPr>
        <w:t xml:space="preserve">The evaluation purpose is to assess the outcomes of the </w:t>
      </w:r>
      <w:r>
        <w:rPr>
          <w:szCs w:val="20"/>
        </w:rPr>
        <w:t>Program</w:t>
      </w:r>
      <w:r w:rsidRPr="00C0141A">
        <w:t xml:space="preserve">. The main evaluation questions are as follows: </w:t>
      </w:r>
    </w:p>
    <w:p w:rsidR="00A47BE0" w:rsidRPr="00C0141A" w:rsidRDefault="00A47BE0" w:rsidP="00A47BE0">
      <w:pPr>
        <w:spacing w:after="0" w:line="360" w:lineRule="auto"/>
        <w:jc w:val="right"/>
      </w:pPr>
    </w:p>
    <w:p w:rsidR="00A47BE0" w:rsidRPr="00C0141A" w:rsidRDefault="00A47BE0" w:rsidP="00A47BE0">
      <w:pPr>
        <w:pStyle w:val="ListParagraph"/>
        <w:numPr>
          <w:ilvl w:val="0"/>
          <w:numId w:val="14"/>
        </w:numPr>
        <w:spacing w:after="0" w:line="360" w:lineRule="auto"/>
        <w:jc w:val="both"/>
      </w:pPr>
      <w:r w:rsidRPr="00C0141A">
        <w:t xml:space="preserve">Has EBS strengthened its operational capacity procedures and corporate performance? </w:t>
      </w:r>
    </w:p>
    <w:p w:rsidR="00A47BE0" w:rsidRPr="00C0141A" w:rsidRDefault="00A47BE0" w:rsidP="00A47BE0">
      <w:pPr>
        <w:pStyle w:val="ListParagraph"/>
        <w:numPr>
          <w:ilvl w:val="0"/>
          <w:numId w:val="14"/>
        </w:numPr>
        <w:spacing w:after="0" w:line="360" w:lineRule="auto"/>
        <w:jc w:val="both"/>
      </w:pPr>
      <w:r w:rsidRPr="00C0141A">
        <w:t>Is secured and sustainable energy been supplied to the targeted isolated communities?</w:t>
      </w:r>
    </w:p>
    <w:p w:rsidR="00A47BE0" w:rsidRDefault="00A47BE0" w:rsidP="00A47BE0">
      <w:pPr>
        <w:pStyle w:val="ListParagraph"/>
        <w:numPr>
          <w:ilvl w:val="0"/>
          <w:numId w:val="14"/>
        </w:numPr>
        <w:spacing w:after="0" w:line="360" w:lineRule="auto"/>
        <w:jc w:val="both"/>
      </w:pPr>
      <w:r w:rsidRPr="00C0141A">
        <w:t>Have electricity supply disruption from transmission system failures been</w:t>
      </w:r>
      <w:r>
        <w:t xml:space="preserve"> maintained or</w:t>
      </w:r>
      <w:r w:rsidRPr="00C0141A">
        <w:t xml:space="preserve"> reduced?</w:t>
      </w:r>
    </w:p>
    <w:p w:rsidR="00A47BE0" w:rsidRPr="00C0141A" w:rsidRDefault="00A47BE0" w:rsidP="00A47BE0">
      <w:pPr>
        <w:pStyle w:val="ListParagraph"/>
        <w:spacing w:after="0" w:line="360" w:lineRule="auto"/>
        <w:jc w:val="both"/>
      </w:pPr>
    </w:p>
    <w:p w:rsidR="00A47BE0" w:rsidRPr="00C665CC" w:rsidRDefault="00A47BE0" w:rsidP="00A47BE0">
      <w:pPr>
        <w:pStyle w:val="Heading2"/>
        <w:numPr>
          <w:ilvl w:val="0"/>
          <w:numId w:val="44"/>
        </w:numPr>
        <w:spacing w:before="0" w:after="0" w:line="360" w:lineRule="auto"/>
        <w:rPr>
          <w:rStyle w:val="SubtleEmphasis"/>
        </w:rPr>
      </w:pPr>
      <w:bookmarkStart w:id="30" w:name="_Toc323827273"/>
      <w:bookmarkStart w:id="31" w:name="_Toc365976352"/>
      <w:bookmarkStart w:id="32" w:name="_Toc365977160"/>
      <w:r w:rsidRPr="00C665CC">
        <w:rPr>
          <w:rStyle w:val="SubtleEmphasis"/>
        </w:rPr>
        <w:t>Existing Knowledge (previous evaluations, ex ante economic analysis)</w:t>
      </w:r>
      <w:bookmarkEnd w:id="30"/>
      <w:bookmarkEnd w:id="31"/>
      <w:bookmarkEnd w:id="32"/>
      <w:r w:rsidRPr="00C665CC">
        <w:rPr>
          <w:rStyle w:val="SubtleEmphasis"/>
        </w:rPr>
        <w:t xml:space="preserve"> </w:t>
      </w:r>
    </w:p>
    <w:p w:rsidR="00A47BE0" w:rsidRPr="00C0141A" w:rsidRDefault="00A47BE0" w:rsidP="00A47BE0">
      <w:pPr>
        <w:spacing w:after="0" w:line="360" w:lineRule="auto"/>
        <w:jc w:val="both"/>
        <w:rPr>
          <w:szCs w:val="20"/>
        </w:rPr>
      </w:pPr>
    </w:p>
    <w:p w:rsidR="00A47BE0" w:rsidRPr="00C0141A" w:rsidRDefault="00A47BE0" w:rsidP="00A47BE0">
      <w:pPr>
        <w:spacing w:after="0" w:line="360" w:lineRule="auto"/>
        <w:jc w:val="both"/>
      </w:pPr>
      <w:r w:rsidRPr="00C0141A">
        <w:rPr>
          <w:szCs w:val="20"/>
        </w:rPr>
        <w:t>An ex ante Cost Benefit Analysis (CBA) was prepared for Components I</w:t>
      </w:r>
      <w:r>
        <w:rPr>
          <w:szCs w:val="20"/>
        </w:rPr>
        <w:t xml:space="preserve"> and III</w:t>
      </w:r>
      <w:r w:rsidRPr="00C0141A">
        <w:rPr>
          <w:szCs w:val="20"/>
        </w:rPr>
        <w:t xml:space="preserve"> and an ex ante Cost Effectiveness Analysis was carried out f</w:t>
      </w:r>
      <w:r>
        <w:rPr>
          <w:szCs w:val="20"/>
        </w:rPr>
        <w:t xml:space="preserve">or Component II. </w:t>
      </w:r>
      <w:r w:rsidRPr="00C0141A">
        <w:t>The main conclusions of the economic analyses are described below:</w:t>
      </w:r>
    </w:p>
    <w:p w:rsidR="00A47BE0" w:rsidRPr="00C0141A" w:rsidRDefault="00A47BE0" w:rsidP="00A47BE0">
      <w:pPr>
        <w:spacing w:after="0" w:line="360" w:lineRule="auto"/>
        <w:jc w:val="both"/>
      </w:pPr>
    </w:p>
    <w:p w:rsidR="00A47BE0" w:rsidRPr="001C3331" w:rsidRDefault="00A47BE0" w:rsidP="00A47BE0">
      <w:pPr>
        <w:spacing w:after="0" w:line="360" w:lineRule="auto"/>
        <w:jc w:val="both"/>
        <w:rPr>
          <w:b/>
          <w:szCs w:val="20"/>
        </w:rPr>
      </w:pPr>
      <w:r w:rsidRPr="001C3331">
        <w:rPr>
          <w:b/>
          <w:szCs w:val="20"/>
        </w:rPr>
        <w:t>Ex ante</w:t>
      </w:r>
      <w:r>
        <w:rPr>
          <w:b/>
          <w:szCs w:val="20"/>
        </w:rPr>
        <w:t xml:space="preserve"> Cost Benefit Analysis (CBA) - </w:t>
      </w:r>
      <w:r w:rsidRPr="001C3331">
        <w:rPr>
          <w:b/>
          <w:szCs w:val="20"/>
        </w:rPr>
        <w:t>Components I Improvement of EBS’ Operations and Component III - Improvement of EBS’ Operations and Critical Infrastructure</w:t>
      </w:r>
    </w:p>
    <w:p w:rsidR="00A47BE0" w:rsidRPr="00C0141A" w:rsidRDefault="00A47BE0" w:rsidP="00A47BE0">
      <w:pPr>
        <w:spacing w:after="0" w:line="360" w:lineRule="auto"/>
        <w:jc w:val="both"/>
        <w:rPr>
          <w:b/>
        </w:rPr>
      </w:pPr>
    </w:p>
    <w:p w:rsidR="00A47BE0" w:rsidRDefault="00A47BE0" w:rsidP="00A47BE0">
      <w:pPr>
        <w:pStyle w:val="ListParagraph"/>
        <w:numPr>
          <w:ilvl w:val="0"/>
          <w:numId w:val="23"/>
        </w:numPr>
        <w:spacing w:after="0" w:line="360" w:lineRule="auto"/>
        <w:jc w:val="both"/>
      </w:pPr>
      <w:r w:rsidRPr="00C0141A">
        <w:t>System Average Interruption Duration Index (SAIDI) and System Average Interruption Frequency Index (SAIFI) historical indexes in EPAR</w:t>
      </w:r>
      <w:r w:rsidRPr="00C0141A">
        <w:rPr>
          <w:rStyle w:val="FootnoteReference"/>
        </w:rPr>
        <w:footnoteReference w:id="3"/>
      </w:r>
      <w:r w:rsidRPr="00C0141A">
        <w:t xml:space="preserve"> system show the occurrence of significant service interruptions implying economic costs for the Surinamese economy. Total average annual interruptions per costumer were 81.4/year and 2.6 </w:t>
      </w:r>
      <w:r w:rsidRPr="00C0141A">
        <w:lastRenderedPageBreak/>
        <w:t>Hours/interruption during last three years and it is expected that with the new investments in a SCADA system total duration of the interruptions will be reduced in around 8%.</w:t>
      </w:r>
    </w:p>
    <w:p w:rsidR="00A47BE0" w:rsidRDefault="00A47BE0" w:rsidP="00A47BE0">
      <w:pPr>
        <w:pStyle w:val="ListParagraph"/>
        <w:numPr>
          <w:ilvl w:val="0"/>
          <w:numId w:val="23"/>
        </w:numPr>
        <w:spacing w:after="0" w:line="360" w:lineRule="auto"/>
        <w:jc w:val="both"/>
      </w:pPr>
      <w:r w:rsidRPr="00C0141A">
        <w:t>The SCADA extension project represent USD 6 million of investment costs, its expected economic rate of return is 15.8% and its net present value is USD 1.5 million of benefits related to reduction of energy shortages in Paramaribo. Other project benefits were not quantified, as increases in customer satisfaction by meeting the mandated power quality and cost reductions due to improvements in real time strategic decision making.</w:t>
      </w:r>
    </w:p>
    <w:p w:rsidR="00A47BE0" w:rsidRDefault="00A47BE0" w:rsidP="00A47BE0">
      <w:pPr>
        <w:pStyle w:val="ListParagraph"/>
        <w:spacing w:after="0" w:line="360" w:lineRule="auto"/>
        <w:jc w:val="both"/>
      </w:pPr>
    </w:p>
    <w:p w:rsidR="00A47BE0" w:rsidRDefault="00A47BE0" w:rsidP="00A47BE0">
      <w:pPr>
        <w:pStyle w:val="ListParagraph"/>
        <w:numPr>
          <w:ilvl w:val="0"/>
          <w:numId w:val="23"/>
        </w:numPr>
        <w:spacing w:after="0" w:line="360" w:lineRule="auto"/>
        <w:jc w:val="both"/>
      </w:pPr>
      <w:r w:rsidRPr="00C0141A">
        <w:t>Several components of the EPAR power system are today insufficient to support a reliable power supply and it has been identified load increases in the Northern and Southern sectors of Paramaribo were current transmission and distribution capacities of Substations C and D are imposing limitations to the operations of the power grid. The upgrade of such substations will imply investments costs of USD 4.63 million and USD 2.26 million, respectively. The economic rate of returns estimated for the upgrade of substations C and D are 21.6% and 20.8%, respectively, and their net present values are USD 3.58 million and USD 3.03 million, respectively. Net benefits estimated for these projects were the consumers’ surplus associated to the additional electricity supplied and the reduction in O&amp;M costs in those substations.</w:t>
      </w:r>
    </w:p>
    <w:p w:rsidR="00A47BE0" w:rsidRDefault="00A47BE0" w:rsidP="00A47BE0">
      <w:pPr>
        <w:pStyle w:val="ListParagraph"/>
      </w:pPr>
    </w:p>
    <w:p w:rsidR="00A47BE0" w:rsidRPr="00C0141A" w:rsidRDefault="00A47BE0" w:rsidP="00A47BE0">
      <w:pPr>
        <w:pStyle w:val="ListParagraph"/>
        <w:numPr>
          <w:ilvl w:val="0"/>
          <w:numId w:val="23"/>
        </w:numPr>
        <w:spacing w:after="0" w:line="360" w:lineRule="auto"/>
        <w:jc w:val="both"/>
      </w:pPr>
      <w:r w:rsidRPr="00C0141A">
        <w:t>Total investment cost of the entire program is USD 12.89 million, its economic rate of return is 19.2% and the present value of its net benefits (at 12% discount rate) is USD 8.12 million.  Results obtained indicates that + 15% and -15% variations in main parameters intervening in the economic evaluation imply always results higher than 12% for the economic rate of return for the entire program and for each project.</w:t>
      </w:r>
    </w:p>
    <w:p w:rsidR="00A47BE0" w:rsidRPr="00C0141A" w:rsidRDefault="00A47BE0" w:rsidP="00A47BE0">
      <w:pPr>
        <w:pStyle w:val="ListParagraph"/>
        <w:spacing w:after="0" w:line="360" w:lineRule="auto"/>
        <w:jc w:val="both"/>
      </w:pPr>
    </w:p>
    <w:p w:rsidR="00A47BE0" w:rsidRPr="00C0141A" w:rsidRDefault="00A47BE0" w:rsidP="00A47BE0">
      <w:pPr>
        <w:pStyle w:val="ListParagraph"/>
        <w:spacing w:after="0" w:line="360" w:lineRule="auto"/>
        <w:jc w:val="both"/>
      </w:pPr>
      <w:r w:rsidRPr="00C0141A">
        <w:t>Next table summarizes annual benefits estimated for each project and for the Strategic Short Term Investment Program in EPAR Electricity System:</w:t>
      </w:r>
    </w:p>
    <w:p w:rsidR="00A47BE0" w:rsidRPr="00C0141A" w:rsidRDefault="00A47BE0" w:rsidP="00A47BE0">
      <w:pPr>
        <w:spacing w:after="0" w:line="360" w:lineRule="auto"/>
        <w:jc w:val="both"/>
      </w:pPr>
      <w:r w:rsidRPr="00C0141A">
        <w:t xml:space="preserve"> </w:t>
      </w:r>
    </w:p>
    <w:p w:rsidR="00A47BE0" w:rsidRDefault="00A47BE0" w:rsidP="00A47BE0">
      <w:pPr>
        <w:spacing w:after="0" w:line="360" w:lineRule="auto"/>
        <w:jc w:val="both"/>
      </w:pPr>
    </w:p>
    <w:p w:rsidR="00A47BE0" w:rsidRDefault="00A47BE0" w:rsidP="00A47BE0">
      <w:pPr>
        <w:spacing w:after="0" w:line="360" w:lineRule="auto"/>
        <w:jc w:val="both"/>
      </w:pPr>
    </w:p>
    <w:p w:rsidR="00A47BE0" w:rsidRDefault="00A47BE0" w:rsidP="00A47BE0">
      <w:pPr>
        <w:spacing w:after="0" w:line="360" w:lineRule="auto"/>
        <w:jc w:val="both"/>
      </w:pPr>
    </w:p>
    <w:p w:rsidR="00A47BE0" w:rsidRDefault="00A47BE0" w:rsidP="00A47BE0">
      <w:pPr>
        <w:spacing w:after="0" w:line="360" w:lineRule="auto"/>
        <w:jc w:val="both"/>
      </w:pPr>
    </w:p>
    <w:p w:rsidR="00A47BE0" w:rsidRPr="00C0141A" w:rsidRDefault="00A47BE0" w:rsidP="00A47BE0">
      <w:pPr>
        <w:spacing w:after="0" w:line="360" w:lineRule="auto"/>
        <w:jc w:val="both"/>
      </w:pPr>
    </w:p>
    <w:p w:rsidR="00A47BE0" w:rsidRDefault="00A47BE0" w:rsidP="00A47BE0">
      <w:pPr>
        <w:spacing w:after="0" w:line="360" w:lineRule="auto"/>
        <w:jc w:val="center"/>
      </w:pPr>
      <w:r w:rsidRPr="00C0141A">
        <w:t>PROGRAM BENEFITS (US$ K)</w:t>
      </w:r>
    </w:p>
    <w:p w:rsidR="00A47BE0" w:rsidRPr="00C0141A" w:rsidRDefault="00A47BE0" w:rsidP="00A47BE0">
      <w:pPr>
        <w:spacing w:after="0" w:line="360" w:lineRule="auto"/>
        <w:jc w:val="center"/>
      </w:pPr>
    </w:p>
    <w:p w:rsidR="00A47BE0" w:rsidRPr="00C0141A" w:rsidRDefault="00A47BE0" w:rsidP="00A47BE0">
      <w:pPr>
        <w:pStyle w:val="ListParagraph"/>
        <w:spacing w:after="0" w:line="360" w:lineRule="auto"/>
        <w:jc w:val="both"/>
      </w:pPr>
      <w:r w:rsidRPr="00C0141A">
        <w:rPr>
          <w:noProof/>
          <w:szCs w:val="18"/>
        </w:rPr>
        <w:drawing>
          <wp:inline distT="0" distB="0" distL="0" distR="0" wp14:anchorId="575B1D42" wp14:editId="5D7E5BA5">
            <wp:extent cx="5612130" cy="1870710"/>
            <wp:effectExtent l="0" t="0" r="0" b="0"/>
            <wp:docPr id="4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612130" cy="1870710"/>
                    </a:xfrm>
                    <a:prstGeom prst="rect">
                      <a:avLst/>
                    </a:prstGeom>
                    <a:noFill/>
                    <a:ln w="9525">
                      <a:noFill/>
                      <a:miter lim="800000"/>
                      <a:headEnd/>
                      <a:tailEnd/>
                    </a:ln>
                  </pic:spPr>
                </pic:pic>
              </a:graphicData>
            </a:graphic>
          </wp:inline>
        </w:drawing>
      </w:r>
    </w:p>
    <w:p w:rsidR="00A47BE0" w:rsidRPr="00C0141A" w:rsidRDefault="00A47BE0" w:rsidP="00A47BE0">
      <w:pPr>
        <w:spacing w:after="0" w:line="360" w:lineRule="auto"/>
        <w:jc w:val="both"/>
      </w:pPr>
    </w:p>
    <w:p w:rsidR="00A47BE0" w:rsidRPr="00C0141A" w:rsidRDefault="00A47BE0" w:rsidP="00A47BE0">
      <w:pPr>
        <w:spacing w:after="0" w:line="360" w:lineRule="auto"/>
        <w:jc w:val="both"/>
      </w:pPr>
      <w:r w:rsidRPr="00C0141A">
        <w:rPr>
          <w:b/>
        </w:rPr>
        <w:t xml:space="preserve">Ex-ante </w:t>
      </w:r>
      <w:r>
        <w:rPr>
          <w:b/>
        </w:rPr>
        <w:t>C</w:t>
      </w:r>
      <w:r w:rsidRPr="00C0141A">
        <w:rPr>
          <w:b/>
        </w:rPr>
        <w:t>ost-</w:t>
      </w:r>
      <w:r w:rsidRPr="00AC769B">
        <w:rPr>
          <w:szCs w:val="20"/>
        </w:rPr>
        <w:t xml:space="preserve"> </w:t>
      </w:r>
      <w:r w:rsidRPr="00C0141A">
        <w:rPr>
          <w:szCs w:val="20"/>
        </w:rPr>
        <w:t xml:space="preserve">Effectiveness </w:t>
      </w:r>
      <w:r>
        <w:rPr>
          <w:b/>
        </w:rPr>
        <w:t>A</w:t>
      </w:r>
      <w:r w:rsidRPr="00C0141A">
        <w:rPr>
          <w:b/>
        </w:rPr>
        <w:t>nalysis - Component II</w:t>
      </w:r>
      <w:r w:rsidRPr="00C0141A">
        <w:t>.</w:t>
      </w:r>
    </w:p>
    <w:p w:rsidR="00A47BE0" w:rsidRPr="00C0141A" w:rsidRDefault="00A47BE0" w:rsidP="00A47BE0">
      <w:pPr>
        <w:spacing w:after="0" w:line="360" w:lineRule="auto"/>
        <w:jc w:val="both"/>
      </w:pPr>
    </w:p>
    <w:p w:rsidR="00A47BE0" w:rsidRPr="00C0141A" w:rsidRDefault="00A47BE0" w:rsidP="00A47BE0">
      <w:pPr>
        <w:pStyle w:val="ListParagraph"/>
        <w:numPr>
          <w:ilvl w:val="0"/>
          <w:numId w:val="27"/>
        </w:numPr>
        <w:spacing w:after="0" w:line="360" w:lineRule="auto"/>
        <w:jc w:val="both"/>
      </w:pPr>
      <w:r w:rsidRPr="00C0141A">
        <w:t xml:space="preserve">It is estimated that the main benefits of the </w:t>
      </w:r>
      <w:r>
        <w:t>Program</w:t>
      </w:r>
      <w:r w:rsidRPr="00C0141A">
        <w:t xml:space="preserve"> are derived from the substitution of the business-as-usual technology (stand-alone diesel) by more cost-effective alternatives: (i) integration of the </w:t>
      </w:r>
      <w:proofErr w:type="spellStart"/>
      <w:r w:rsidRPr="00C0141A">
        <w:t>Powakka</w:t>
      </w:r>
      <w:proofErr w:type="spellEnd"/>
      <w:r w:rsidRPr="00C0141A">
        <w:t xml:space="preserve"> area into the main EPAR grid; (ii) renewable energy-based electricity generation (PV panels with battery backup) in combination with diesel. </w:t>
      </w:r>
    </w:p>
    <w:p w:rsidR="00A47BE0" w:rsidRPr="00C0141A" w:rsidRDefault="00A47BE0" w:rsidP="00A47BE0">
      <w:pPr>
        <w:spacing w:after="0" w:line="360" w:lineRule="auto"/>
        <w:jc w:val="both"/>
      </w:pPr>
    </w:p>
    <w:p w:rsidR="00A47BE0" w:rsidRPr="00C0141A" w:rsidRDefault="00A47BE0" w:rsidP="00A47BE0">
      <w:pPr>
        <w:pStyle w:val="ListParagraph"/>
        <w:numPr>
          <w:ilvl w:val="0"/>
          <w:numId w:val="27"/>
        </w:numPr>
        <w:spacing w:after="0" w:line="360" w:lineRule="auto"/>
        <w:jc w:val="both"/>
      </w:pPr>
      <w:proofErr w:type="spellStart"/>
      <w:r w:rsidRPr="00C0141A">
        <w:t>Powakka</w:t>
      </w:r>
      <w:proofErr w:type="spellEnd"/>
      <w:r w:rsidRPr="00C0141A">
        <w:t xml:space="preserve"> project. Quantified in the ERR for the </w:t>
      </w:r>
      <w:proofErr w:type="spellStart"/>
      <w:r w:rsidRPr="00C0141A">
        <w:t>Powakka</w:t>
      </w:r>
      <w:proofErr w:type="spellEnd"/>
      <w:r w:rsidRPr="00C0141A">
        <w:t xml:space="preserve"> project are the monetary savings resulting from the difference between the costs of electricity generation under the business-as-usual scenario (stand-alone diesel @ USD 0.50 /kWh) and the marginal cost level of energy generation-transmission in the EPAR grid (@ USD 0.156/kWh). The resulting revenues are USD 0.344 per kWh.</w:t>
      </w:r>
    </w:p>
    <w:p w:rsidR="00A47BE0" w:rsidRPr="00C0141A" w:rsidRDefault="00A47BE0" w:rsidP="00A47BE0">
      <w:pPr>
        <w:pStyle w:val="ListParagraph"/>
        <w:spacing w:after="0" w:line="360" w:lineRule="auto"/>
      </w:pPr>
    </w:p>
    <w:p w:rsidR="00A47BE0" w:rsidRPr="00C0141A" w:rsidRDefault="00A47BE0" w:rsidP="00A47BE0">
      <w:pPr>
        <w:pStyle w:val="ListParagraph"/>
        <w:numPr>
          <w:ilvl w:val="0"/>
          <w:numId w:val="27"/>
        </w:numPr>
        <w:spacing w:after="0" w:line="360" w:lineRule="auto"/>
        <w:jc w:val="both"/>
      </w:pPr>
      <w:r w:rsidRPr="00C0141A">
        <w:t xml:space="preserve">The ERR of the </w:t>
      </w:r>
      <w:proofErr w:type="spellStart"/>
      <w:r w:rsidRPr="00C0141A">
        <w:t>Powakka</w:t>
      </w:r>
      <w:proofErr w:type="spellEnd"/>
      <w:r w:rsidRPr="00C0141A">
        <w:t xml:space="preserve"> project is 35.7% (NPV@12% of USD 16,140,079); for the </w:t>
      </w:r>
      <w:proofErr w:type="spellStart"/>
      <w:r w:rsidRPr="00C0141A">
        <w:t>Atjoni</w:t>
      </w:r>
      <w:proofErr w:type="spellEnd"/>
      <w:r w:rsidRPr="00C0141A">
        <w:t xml:space="preserve"> project, the ERR is 15.3% (NPV@12% of USD 438,827). The ERR of the combined projects is 31.7% for a scope of 20 years with a NPV (@12%) of USD 16,578,906. Several sensitivity analyses were carried out all of them yielding a positive ERR.</w:t>
      </w:r>
      <w:r w:rsidRPr="00C0141A">
        <w:rPr>
          <w:noProof/>
          <w:szCs w:val="18"/>
        </w:rPr>
        <w:t xml:space="preserve"> </w:t>
      </w:r>
    </w:p>
    <w:p w:rsidR="00A47BE0" w:rsidRPr="00C0141A" w:rsidRDefault="00A47BE0" w:rsidP="00A47BE0">
      <w:pPr>
        <w:pStyle w:val="ListParagraph"/>
        <w:spacing w:after="0" w:line="360" w:lineRule="auto"/>
      </w:pPr>
    </w:p>
    <w:p w:rsidR="00A47BE0" w:rsidRPr="00C0141A" w:rsidRDefault="00A47BE0" w:rsidP="00A47BE0">
      <w:pPr>
        <w:pStyle w:val="ListParagraph"/>
        <w:numPr>
          <w:ilvl w:val="0"/>
          <w:numId w:val="27"/>
        </w:numPr>
        <w:spacing w:after="0" w:line="360" w:lineRule="auto"/>
        <w:jc w:val="both"/>
      </w:pPr>
      <w:proofErr w:type="spellStart"/>
      <w:r w:rsidRPr="00C0141A">
        <w:lastRenderedPageBreak/>
        <w:t>Atjoni</w:t>
      </w:r>
      <w:proofErr w:type="spellEnd"/>
      <w:r w:rsidRPr="00C0141A">
        <w:t xml:space="preserve"> project.  The evaluation of the hybrid (diesel-PV) electricity generation project in </w:t>
      </w:r>
      <w:proofErr w:type="spellStart"/>
      <w:r w:rsidRPr="00C0141A">
        <w:t>Atjoni</w:t>
      </w:r>
      <w:proofErr w:type="spellEnd"/>
      <w:r w:rsidRPr="00C0141A">
        <w:t xml:space="preserve"> is based on a comparison of the </w:t>
      </w:r>
      <w:proofErr w:type="spellStart"/>
      <w:r w:rsidRPr="00C0141A">
        <w:t>levelized</w:t>
      </w:r>
      <w:proofErr w:type="spellEnd"/>
      <w:r w:rsidRPr="00C0141A">
        <w:t xml:space="preserve"> electricity costs (LCE) of the business-as-usual option (full diesel) and the PV system. Based on this evaluation, the ERR for the investment in the PV system is calculated by considering the annual revenues obtained from: (a) the diesel fuel replaced by PV-based generation (@ USD 0.47/kWh of electricity); and (b) the economic value of the electricity generated by the PV-system (@ USD 0.56/</w:t>
      </w:r>
      <w:proofErr w:type="gramStart"/>
      <w:r w:rsidRPr="00C0141A">
        <w:t>kWh )</w:t>
      </w:r>
      <w:proofErr w:type="gramEnd"/>
      <w:r w:rsidRPr="00C0141A">
        <w:t>.</w:t>
      </w:r>
    </w:p>
    <w:p w:rsidR="00A47BE0" w:rsidRPr="00C0141A" w:rsidRDefault="00A47BE0" w:rsidP="00A47BE0">
      <w:pPr>
        <w:pStyle w:val="ListParagraph"/>
        <w:spacing w:after="0" w:line="360" w:lineRule="auto"/>
      </w:pPr>
    </w:p>
    <w:p w:rsidR="00A47BE0" w:rsidRDefault="00A47BE0" w:rsidP="00A47BE0">
      <w:pPr>
        <w:pStyle w:val="ListParagraph"/>
        <w:numPr>
          <w:ilvl w:val="0"/>
          <w:numId w:val="27"/>
        </w:numPr>
        <w:spacing w:after="0" w:line="360" w:lineRule="auto"/>
        <w:jc w:val="both"/>
      </w:pPr>
      <w:r w:rsidRPr="00C0141A">
        <w:t xml:space="preserve">Non-quantified benefits. The benefits from the investments go beyond the direct financial and economic benefits for the State of Suriname and EBS. A more reliable and sufficient supply in the Hinterlands will have substantial impact in terms of quality of life, economic development and quality of basic services (clean water, health, education). These benefits are expected to be equal or greater than the cost for </w:t>
      </w:r>
      <w:proofErr w:type="spellStart"/>
      <w:r w:rsidRPr="00C0141A">
        <w:t>unserved</w:t>
      </w:r>
      <w:proofErr w:type="spellEnd"/>
      <w:r w:rsidRPr="00C0141A">
        <w:t xml:space="preserve"> energy.  Environmental benefits arise from the avoidance of CO2 emissions by thermal generators (diesel and heavy fuel oil). The value of carbon emission credits (VERs or CERs) may be used for rating these benefits. Indirect economic benefits occur by improving the financial position of EBS and the State, by reducing their costs of capital.</w:t>
      </w:r>
    </w:p>
    <w:p w:rsidR="00A47BE0" w:rsidRDefault="00A47BE0" w:rsidP="00A47BE0">
      <w:pPr>
        <w:pStyle w:val="ListParagraph"/>
        <w:spacing w:after="0" w:line="360" w:lineRule="auto"/>
      </w:pPr>
    </w:p>
    <w:p w:rsidR="00A47BE0" w:rsidRPr="00C665CC" w:rsidRDefault="00A47BE0" w:rsidP="00A47BE0">
      <w:pPr>
        <w:pStyle w:val="Heading2"/>
        <w:numPr>
          <w:ilvl w:val="0"/>
          <w:numId w:val="44"/>
        </w:numPr>
        <w:spacing w:before="0" w:after="0" w:line="360" w:lineRule="auto"/>
        <w:rPr>
          <w:rStyle w:val="SubtleEmphasis"/>
        </w:rPr>
      </w:pPr>
      <w:bookmarkStart w:id="33" w:name="_Toc323827274"/>
      <w:bookmarkStart w:id="34" w:name="_Toc365976353"/>
      <w:bookmarkStart w:id="35" w:name="_Toc365977161"/>
      <w:r w:rsidRPr="00C665CC">
        <w:rPr>
          <w:rStyle w:val="SubtleEmphasis"/>
        </w:rPr>
        <w:t>Key Outcome Indicators</w:t>
      </w:r>
      <w:bookmarkEnd w:id="33"/>
      <w:bookmarkEnd w:id="34"/>
      <w:bookmarkEnd w:id="35"/>
    </w:p>
    <w:p w:rsidR="00A47BE0" w:rsidRDefault="00A47BE0" w:rsidP="00A47BE0"/>
    <w:p w:rsidR="00A47BE0" w:rsidRPr="00C0141A" w:rsidRDefault="00A47BE0" w:rsidP="00A47BE0">
      <w:pPr>
        <w:spacing w:after="0" w:line="360" w:lineRule="auto"/>
        <w:jc w:val="both"/>
      </w:pPr>
      <w:r w:rsidRPr="00C0141A">
        <w:t>The key outcome indicators as well as their frequency of measurement and source are described in the table below. These key indicators will be assessed and presented to the IDB through annual monitoring reports.</w:t>
      </w:r>
    </w:p>
    <w:p w:rsidR="00A47BE0" w:rsidRPr="00C0141A" w:rsidRDefault="00A47BE0" w:rsidP="00A47BE0">
      <w:pPr>
        <w:spacing w:after="0" w:line="360" w:lineRule="auto"/>
        <w:jc w:val="both"/>
      </w:pPr>
    </w:p>
    <w:p w:rsidR="00A47BE0" w:rsidRPr="00C0141A" w:rsidRDefault="00A47BE0" w:rsidP="00A47BE0">
      <w:pPr>
        <w:pStyle w:val="Caption"/>
        <w:keepNext/>
        <w:spacing w:after="0" w:line="360" w:lineRule="auto"/>
        <w:jc w:val="center"/>
        <w:rPr>
          <w:b w:val="0"/>
          <w:u w:val="none"/>
        </w:rPr>
      </w:pPr>
      <w:bookmarkStart w:id="36" w:name="_Ref323827233"/>
      <w:r w:rsidRPr="00C0141A">
        <w:rPr>
          <w:b w:val="0"/>
          <w:u w:val="none"/>
        </w:rPr>
        <w:t>Table 2: Impact and Outcome Indicators</w:t>
      </w:r>
      <w:bookmarkEnd w:id="36"/>
    </w:p>
    <w:tbl>
      <w:tblPr>
        <w:tblW w:w="10330" w:type="dxa"/>
        <w:tblInd w:w="93" w:type="dxa"/>
        <w:tblLook w:val="04A0" w:firstRow="1" w:lastRow="0" w:firstColumn="1" w:lastColumn="0" w:noHBand="0" w:noVBand="1"/>
      </w:tblPr>
      <w:tblGrid>
        <w:gridCol w:w="2339"/>
        <w:gridCol w:w="2322"/>
        <w:gridCol w:w="1036"/>
        <w:gridCol w:w="861"/>
        <w:gridCol w:w="857"/>
        <w:gridCol w:w="1375"/>
        <w:gridCol w:w="1540"/>
      </w:tblGrid>
      <w:tr w:rsidR="00A47BE0" w:rsidRPr="00C0141A" w:rsidTr="00177A31">
        <w:trPr>
          <w:trHeight w:val="465"/>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Impacts</w:t>
            </w:r>
          </w:p>
        </w:tc>
        <w:tc>
          <w:tcPr>
            <w:tcW w:w="2322"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Impact Indicators</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Frequency</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Baseline</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End of project</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 xml:space="preserve">Means of verification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Comments</w:t>
            </w:r>
          </w:p>
        </w:tc>
      </w:tr>
      <w:tr w:rsidR="00A47BE0" w:rsidRPr="00C0141A" w:rsidTr="00177A31">
        <w:trPr>
          <w:trHeight w:val="465"/>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Increased in Electrification Coverage</w:t>
            </w:r>
          </w:p>
        </w:tc>
        <w:tc>
          <w:tcPr>
            <w:tcW w:w="232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Percentage of the population with access to electricity.</w:t>
            </w:r>
            <w:r w:rsidRPr="00C0141A">
              <w:rPr>
                <w:rFonts w:eastAsia="Times New Roman"/>
                <w:b/>
                <w:bCs/>
                <w:color w:val="000000"/>
                <w:sz w:val="18"/>
                <w:szCs w:val="18"/>
              </w:rPr>
              <w:t> </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85%</w:t>
            </w:r>
          </w:p>
        </w:tc>
        <w:tc>
          <w:tcPr>
            <w:tcW w:w="857"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90%</w:t>
            </w:r>
          </w:p>
        </w:tc>
        <w:tc>
          <w:tcPr>
            <w:tcW w:w="1375"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Sector statistics</w:t>
            </w:r>
          </w:p>
        </w:tc>
        <w:tc>
          <w:tcPr>
            <w:tcW w:w="1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Based on Country Strategy 2011-2015</w:t>
            </w:r>
          </w:p>
        </w:tc>
      </w:tr>
      <w:tr w:rsidR="00A47BE0" w:rsidRPr="00C0141A" w:rsidTr="00177A31">
        <w:trPr>
          <w:trHeight w:val="698"/>
        </w:trPr>
        <w:tc>
          <w:tcPr>
            <w:tcW w:w="2339" w:type="dxa"/>
            <w:vMerge w:val="restart"/>
            <w:tcBorders>
              <w:top w:val="nil"/>
              <w:left w:val="single" w:sz="4" w:space="0" w:color="auto"/>
              <w:bottom w:val="single" w:sz="4" w:space="0" w:color="000000"/>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Improvements in the  sustainability of rural </w:t>
            </w:r>
            <w:r w:rsidRPr="00C0141A">
              <w:rPr>
                <w:rFonts w:eastAsia="Times New Roman"/>
                <w:color w:val="000000"/>
                <w:sz w:val="18"/>
                <w:szCs w:val="18"/>
              </w:rPr>
              <w:lastRenderedPageBreak/>
              <w:t>electrification supply</w:t>
            </w:r>
          </w:p>
        </w:tc>
        <w:tc>
          <w:tcPr>
            <w:tcW w:w="232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lastRenderedPageBreak/>
              <w:t xml:space="preserve">Percentage of cost recovery for electricity supply in </w:t>
            </w:r>
            <w:r w:rsidRPr="00C0141A">
              <w:rPr>
                <w:rFonts w:eastAsia="Times New Roman"/>
                <w:color w:val="000000"/>
                <w:sz w:val="18"/>
                <w:szCs w:val="18"/>
              </w:rPr>
              <w:lastRenderedPageBreak/>
              <w:t>interior locations</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lastRenderedPageBreak/>
              <w:t>Yearly</w:t>
            </w:r>
          </w:p>
        </w:tc>
        <w:tc>
          <w:tcPr>
            <w:tcW w:w="8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857"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30%</w:t>
            </w:r>
          </w:p>
        </w:tc>
        <w:tc>
          <w:tcPr>
            <w:tcW w:w="1375"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Sector statistics</w:t>
            </w:r>
          </w:p>
        </w:tc>
        <w:tc>
          <w:tcPr>
            <w:tcW w:w="1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Based on Country Strategy 2011-</w:t>
            </w:r>
            <w:r w:rsidRPr="00C0141A">
              <w:rPr>
                <w:rFonts w:eastAsia="Times New Roman"/>
                <w:color w:val="000000"/>
                <w:sz w:val="18"/>
                <w:szCs w:val="18"/>
              </w:rPr>
              <w:lastRenderedPageBreak/>
              <w:t>2015</w:t>
            </w:r>
          </w:p>
        </w:tc>
      </w:tr>
      <w:tr w:rsidR="00A47BE0" w:rsidRPr="00C0141A" w:rsidTr="00177A31">
        <w:trPr>
          <w:trHeight w:val="465"/>
        </w:trPr>
        <w:tc>
          <w:tcPr>
            <w:tcW w:w="2339" w:type="dxa"/>
            <w:vMerge/>
            <w:tcBorders>
              <w:top w:val="nil"/>
              <w:left w:val="single" w:sz="4" w:space="0" w:color="auto"/>
              <w:bottom w:val="single" w:sz="4" w:space="0" w:color="000000"/>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2322"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Decrease in EBS Operational costs (US$/kWh).</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6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0.2</w:t>
            </w:r>
          </w:p>
        </w:tc>
        <w:tc>
          <w:tcPr>
            <w:tcW w:w="857"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0.11</w:t>
            </w:r>
          </w:p>
        </w:tc>
        <w:tc>
          <w:tcPr>
            <w:tcW w:w="1375"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Sector statistics</w:t>
            </w:r>
          </w:p>
        </w:tc>
        <w:tc>
          <w:tcPr>
            <w:tcW w:w="154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Based on Country Strategy 2011-2015</w:t>
            </w:r>
          </w:p>
        </w:tc>
      </w:tr>
    </w:tbl>
    <w:p w:rsidR="00A47BE0" w:rsidRPr="00C0141A" w:rsidRDefault="00A47BE0" w:rsidP="00A47BE0">
      <w:pPr>
        <w:pStyle w:val="Title"/>
        <w:spacing w:line="360" w:lineRule="auto"/>
        <w:ind w:left="720"/>
        <w:jc w:val="left"/>
        <w:rPr>
          <w:b/>
        </w:rPr>
      </w:pPr>
    </w:p>
    <w:tbl>
      <w:tblPr>
        <w:tblW w:w="10302" w:type="dxa"/>
        <w:tblInd w:w="93" w:type="dxa"/>
        <w:tblLook w:val="04A0" w:firstRow="1" w:lastRow="0" w:firstColumn="1" w:lastColumn="0" w:noHBand="0" w:noVBand="1"/>
      </w:tblPr>
      <w:tblGrid>
        <w:gridCol w:w="2312"/>
        <w:gridCol w:w="2310"/>
        <w:gridCol w:w="1036"/>
        <w:gridCol w:w="859"/>
        <w:gridCol w:w="886"/>
        <w:gridCol w:w="1368"/>
        <w:gridCol w:w="1531"/>
      </w:tblGrid>
      <w:tr w:rsidR="00A47BE0" w:rsidRPr="00C0141A" w:rsidTr="00177A31">
        <w:trPr>
          <w:trHeight w:val="471"/>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Outcomes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Indicators</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Frequency</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Baseline</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End of project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Means of verification</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b/>
                <w:bCs/>
                <w:color w:val="000000"/>
                <w:sz w:val="18"/>
                <w:szCs w:val="18"/>
              </w:rPr>
            </w:pPr>
            <w:r w:rsidRPr="00C0141A">
              <w:rPr>
                <w:rFonts w:eastAsia="Times New Roman"/>
                <w:b/>
                <w:bCs/>
                <w:color w:val="000000"/>
                <w:sz w:val="18"/>
                <w:szCs w:val="18"/>
              </w:rPr>
              <w:t>Comments</w:t>
            </w:r>
          </w:p>
        </w:tc>
      </w:tr>
      <w:tr w:rsidR="00A47BE0" w:rsidRPr="00C0141A" w:rsidTr="00177A31">
        <w:trPr>
          <w:trHeight w:val="280"/>
        </w:trPr>
        <w:tc>
          <w:tcPr>
            <w:tcW w:w="103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b/>
                <w:bCs/>
                <w:color w:val="000000"/>
                <w:sz w:val="18"/>
                <w:szCs w:val="18"/>
              </w:rPr>
            </w:pPr>
            <w:r w:rsidRPr="00C0141A">
              <w:rPr>
                <w:rFonts w:eastAsia="Times New Roman"/>
                <w:b/>
                <w:bCs/>
                <w:color w:val="000000"/>
                <w:sz w:val="18"/>
                <w:szCs w:val="18"/>
              </w:rPr>
              <w:t xml:space="preserve">Component 1 – </w:t>
            </w:r>
            <w:r w:rsidRPr="00C0141A">
              <w:rPr>
                <w:rFonts w:eastAsia="Times New Roman"/>
                <w:color w:val="000000"/>
                <w:sz w:val="18"/>
                <w:szCs w:val="18"/>
              </w:rPr>
              <w:t xml:space="preserve"> </w:t>
            </w:r>
            <w:r w:rsidRPr="00C0141A">
              <w:rPr>
                <w:rFonts w:eastAsia="Times New Roman"/>
                <w:b/>
                <w:bCs/>
                <w:color w:val="000000"/>
                <w:sz w:val="18"/>
                <w:szCs w:val="18"/>
              </w:rPr>
              <w:t>Improvement of EBS’ Operations</w:t>
            </w:r>
          </w:p>
        </w:tc>
      </w:tr>
      <w:tr w:rsidR="00A47BE0" w:rsidRPr="00C0141A" w:rsidTr="00177A31">
        <w:trPr>
          <w:trHeight w:val="854"/>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Strengthening  in EBS's operational procedures and corporate performance</w:t>
            </w:r>
          </w:p>
        </w:tc>
        <w:tc>
          <w:tcPr>
            <w:tcW w:w="2310"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Operational GIS and SCADA systems effectively in use by EBS’ business units</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0</w:t>
            </w:r>
          </w:p>
        </w:tc>
        <w:tc>
          <w:tcPr>
            <w:tcW w:w="88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2</w:t>
            </w:r>
          </w:p>
        </w:tc>
        <w:tc>
          <w:tcPr>
            <w:tcW w:w="1368"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847FD3">
              <w:rPr>
                <w:rFonts w:eastAsia="Times New Roman"/>
                <w:color w:val="000000"/>
                <w:sz w:val="18"/>
                <w:szCs w:val="18"/>
              </w:rPr>
              <w:t>field visits EBS technical reports</w:t>
            </w:r>
          </w:p>
        </w:tc>
        <w:tc>
          <w:tcPr>
            <w:tcW w:w="1531"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w:t>
            </w:r>
          </w:p>
        </w:tc>
      </w:tr>
      <w:tr w:rsidR="00A47BE0" w:rsidRPr="00C0141A" w:rsidTr="00177A31">
        <w:trPr>
          <w:trHeight w:val="280"/>
        </w:trPr>
        <w:tc>
          <w:tcPr>
            <w:tcW w:w="103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b/>
                <w:bCs/>
                <w:color w:val="000000"/>
                <w:sz w:val="18"/>
                <w:szCs w:val="18"/>
              </w:rPr>
            </w:pPr>
            <w:r w:rsidRPr="00C0141A">
              <w:rPr>
                <w:rFonts w:eastAsia="Times New Roman"/>
                <w:b/>
                <w:bCs/>
                <w:color w:val="000000"/>
                <w:sz w:val="18"/>
                <w:szCs w:val="18"/>
              </w:rPr>
              <w:t xml:space="preserve">Component 2 – </w:t>
            </w:r>
            <w:r w:rsidRPr="00C0141A">
              <w:rPr>
                <w:rFonts w:eastAsia="Times New Roman"/>
                <w:color w:val="000000"/>
                <w:sz w:val="18"/>
                <w:szCs w:val="18"/>
              </w:rPr>
              <w:t xml:space="preserve"> </w:t>
            </w:r>
            <w:r w:rsidRPr="00C0141A">
              <w:rPr>
                <w:rFonts w:eastAsia="Times New Roman"/>
                <w:b/>
                <w:bCs/>
                <w:color w:val="000000"/>
                <w:sz w:val="18"/>
                <w:szCs w:val="18"/>
              </w:rPr>
              <w:t>Sustainable Rural Electrification</w:t>
            </w:r>
          </w:p>
        </w:tc>
      </w:tr>
      <w:tr w:rsidR="00A47BE0" w:rsidRPr="00C0141A" w:rsidTr="00177A31">
        <w:trPr>
          <w:trHeight w:val="854"/>
        </w:trPr>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Isolated communities with to secured and sustainable energy supply </w:t>
            </w:r>
          </w:p>
        </w:tc>
        <w:tc>
          <w:tcPr>
            <w:tcW w:w="2310"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 xml:space="preserve">Annual electricity sales by EBS in the targeted rural electrification areas (a) </w:t>
            </w:r>
            <w:proofErr w:type="spellStart"/>
            <w:r w:rsidRPr="00C0141A">
              <w:rPr>
                <w:rFonts w:eastAsia="Times New Roman"/>
                <w:color w:val="000000"/>
                <w:sz w:val="18"/>
                <w:szCs w:val="18"/>
              </w:rPr>
              <w:t>Powakka</w:t>
            </w:r>
            <w:proofErr w:type="spellEnd"/>
            <w:r w:rsidRPr="00C0141A">
              <w:rPr>
                <w:rFonts w:eastAsia="Times New Roman"/>
                <w:color w:val="000000"/>
                <w:sz w:val="18"/>
                <w:szCs w:val="18"/>
              </w:rPr>
              <w:t xml:space="preserve">, and (b) </w:t>
            </w:r>
            <w:proofErr w:type="spellStart"/>
            <w:r w:rsidRPr="00C0141A">
              <w:rPr>
                <w:rFonts w:eastAsia="Times New Roman"/>
                <w:color w:val="000000"/>
                <w:sz w:val="18"/>
                <w:szCs w:val="18"/>
              </w:rPr>
              <w:t>Atjoni</w:t>
            </w:r>
            <w:proofErr w:type="spellEnd"/>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(a) 521 </w:t>
            </w:r>
            <w:proofErr w:type="spellStart"/>
            <w:r w:rsidRPr="00C0141A">
              <w:rPr>
                <w:rFonts w:eastAsia="Times New Roman"/>
                <w:color w:val="000000"/>
                <w:sz w:val="18"/>
                <w:szCs w:val="18"/>
              </w:rPr>
              <w:t>MWh</w:t>
            </w:r>
            <w:proofErr w:type="spellEnd"/>
            <w:r w:rsidRPr="00C0141A">
              <w:rPr>
                <w:rFonts w:eastAsia="Times New Roman"/>
                <w:color w:val="000000"/>
                <w:sz w:val="18"/>
                <w:szCs w:val="18"/>
              </w:rPr>
              <w:t>/</w:t>
            </w:r>
            <w:proofErr w:type="spellStart"/>
            <w:r w:rsidRPr="00C0141A">
              <w:rPr>
                <w:rFonts w:eastAsia="Times New Roman"/>
                <w:color w:val="000000"/>
                <w:sz w:val="18"/>
                <w:szCs w:val="18"/>
              </w:rPr>
              <w:t>yr</w:t>
            </w:r>
            <w:proofErr w:type="spellEnd"/>
          </w:p>
        </w:tc>
        <w:tc>
          <w:tcPr>
            <w:tcW w:w="88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(a) 4,852 </w:t>
            </w:r>
            <w:proofErr w:type="spellStart"/>
            <w:r w:rsidRPr="00C0141A">
              <w:rPr>
                <w:rFonts w:eastAsia="Times New Roman"/>
                <w:color w:val="000000"/>
                <w:sz w:val="18"/>
                <w:szCs w:val="18"/>
              </w:rPr>
              <w:t>MWh</w:t>
            </w:r>
            <w:proofErr w:type="spellEnd"/>
            <w:r w:rsidRPr="00C0141A">
              <w:rPr>
                <w:rFonts w:eastAsia="Times New Roman"/>
                <w:color w:val="000000"/>
                <w:sz w:val="18"/>
                <w:szCs w:val="18"/>
              </w:rPr>
              <w:t>/</w:t>
            </w:r>
            <w:proofErr w:type="spellStart"/>
            <w:r w:rsidRPr="00C0141A">
              <w:rPr>
                <w:rFonts w:eastAsia="Times New Roman"/>
                <w:color w:val="000000"/>
                <w:sz w:val="18"/>
                <w:szCs w:val="18"/>
              </w:rPr>
              <w:t>yr</w:t>
            </w:r>
            <w:proofErr w:type="spellEnd"/>
            <w:r w:rsidRPr="00C0141A">
              <w:rPr>
                <w:rFonts w:eastAsia="Times New Roman"/>
                <w:color w:val="000000"/>
                <w:sz w:val="18"/>
                <w:szCs w:val="18"/>
              </w:rPr>
              <w:t>;</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aggregated metering data; project reports;  final evaluation</w:t>
            </w: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Based on estimates provided by EBS</w:t>
            </w:r>
          </w:p>
        </w:tc>
      </w:tr>
      <w:tr w:rsidR="00A47BE0" w:rsidRPr="00C0141A" w:rsidTr="00177A31">
        <w:trPr>
          <w:trHeight w:val="854"/>
        </w:trPr>
        <w:tc>
          <w:tcPr>
            <w:tcW w:w="2312"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2310"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(b) 750 </w:t>
            </w:r>
            <w:proofErr w:type="spellStart"/>
            <w:r w:rsidRPr="00C0141A">
              <w:rPr>
                <w:rFonts w:eastAsia="Times New Roman"/>
                <w:color w:val="000000"/>
                <w:sz w:val="18"/>
                <w:szCs w:val="18"/>
              </w:rPr>
              <w:t>MWh</w:t>
            </w:r>
            <w:proofErr w:type="spellEnd"/>
            <w:r w:rsidRPr="00C0141A">
              <w:rPr>
                <w:rFonts w:eastAsia="Times New Roman"/>
                <w:color w:val="000000"/>
                <w:sz w:val="18"/>
                <w:szCs w:val="18"/>
              </w:rPr>
              <w:t>/</w:t>
            </w:r>
            <w:proofErr w:type="spellStart"/>
            <w:r w:rsidRPr="00C0141A">
              <w:rPr>
                <w:rFonts w:eastAsia="Times New Roman"/>
                <w:color w:val="000000"/>
                <w:sz w:val="18"/>
                <w:szCs w:val="18"/>
              </w:rPr>
              <w:t>yr</w:t>
            </w:r>
            <w:proofErr w:type="spellEnd"/>
          </w:p>
        </w:tc>
        <w:tc>
          <w:tcPr>
            <w:tcW w:w="88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 xml:space="preserve">(b) 1,500 </w:t>
            </w:r>
            <w:proofErr w:type="spellStart"/>
            <w:r w:rsidRPr="00C0141A">
              <w:rPr>
                <w:rFonts w:eastAsia="Times New Roman"/>
                <w:color w:val="000000"/>
                <w:sz w:val="18"/>
                <w:szCs w:val="18"/>
              </w:rPr>
              <w:t>MWh</w:t>
            </w:r>
            <w:proofErr w:type="spellEnd"/>
            <w:r w:rsidRPr="00C0141A">
              <w:rPr>
                <w:rFonts w:eastAsia="Times New Roman"/>
                <w:color w:val="000000"/>
                <w:sz w:val="18"/>
                <w:szCs w:val="18"/>
              </w:rPr>
              <w:t>/</w:t>
            </w:r>
            <w:proofErr w:type="spellStart"/>
            <w:r w:rsidRPr="00C0141A">
              <w:rPr>
                <w:rFonts w:eastAsia="Times New Roman"/>
                <w:color w:val="000000"/>
                <w:sz w:val="18"/>
                <w:szCs w:val="18"/>
              </w:rPr>
              <w:t>yr</w:t>
            </w:r>
            <w:proofErr w:type="spellEnd"/>
            <w:r w:rsidRPr="00C0141A">
              <w:rPr>
                <w:rFonts w:eastAsia="Times New Roman"/>
                <w:color w:val="000000"/>
                <w:sz w:val="18"/>
                <w:szCs w:val="18"/>
              </w:rPr>
              <w:t xml:space="preserve">  </w:t>
            </w:r>
          </w:p>
        </w:tc>
        <w:tc>
          <w:tcPr>
            <w:tcW w:w="1368"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1531"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r>
      <w:tr w:rsidR="00A47BE0" w:rsidRPr="00C0141A" w:rsidTr="00177A31">
        <w:trPr>
          <w:trHeight w:val="280"/>
        </w:trPr>
        <w:tc>
          <w:tcPr>
            <w:tcW w:w="103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b/>
                <w:bCs/>
                <w:color w:val="000000"/>
                <w:sz w:val="18"/>
                <w:szCs w:val="18"/>
              </w:rPr>
            </w:pPr>
            <w:r w:rsidRPr="00C0141A">
              <w:rPr>
                <w:rFonts w:eastAsia="Times New Roman"/>
                <w:b/>
                <w:bCs/>
                <w:color w:val="000000"/>
                <w:sz w:val="18"/>
                <w:szCs w:val="18"/>
              </w:rPr>
              <w:t xml:space="preserve">Component 3 – </w:t>
            </w:r>
            <w:r w:rsidRPr="00C0141A">
              <w:rPr>
                <w:rFonts w:eastAsia="Times New Roman"/>
                <w:color w:val="000000"/>
                <w:sz w:val="18"/>
                <w:szCs w:val="18"/>
              </w:rPr>
              <w:t xml:space="preserve"> </w:t>
            </w:r>
            <w:r w:rsidRPr="00C0141A">
              <w:rPr>
                <w:rFonts w:eastAsia="Times New Roman"/>
                <w:b/>
                <w:bCs/>
                <w:color w:val="000000"/>
                <w:sz w:val="18"/>
                <w:szCs w:val="18"/>
              </w:rPr>
              <w:t>Critical Infrastructure</w:t>
            </w:r>
          </w:p>
        </w:tc>
      </w:tr>
      <w:tr w:rsidR="00A47BE0" w:rsidRPr="00C0141A" w:rsidTr="00177A31">
        <w:trPr>
          <w:trHeight w:val="854"/>
        </w:trPr>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rPr>
                <w:rFonts w:eastAsia="Times New Roman"/>
                <w:color w:val="000000"/>
                <w:sz w:val="18"/>
                <w:szCs w:val="18"/>
              </w:rPr>
            </w:pPr>
            <w:r w:rsidRPr="00C0141A">
              <w:rPr>
                <w:rFonts w:eastAsia="Times New Roman"/>
                <w:color w:val="000000"/>
                <w:sz w:val="18"/>
                <w:szCs w:val="18"/>
              </w:rPr>
              <w:t>A more reliable energy supply system</w:t>
            </w:r>
          </w:p>
        </w:tc>
        <w:tc>
          <w:tcPr>
            <w:tcW w:w="2310" w:type="dxa"/>
            <w:tcBorders>
              <w:top w:val="nil"/>
              <w:left w:val="nil"/>
              <w:bottom w:val="single" w:sz="4" w:space="0" w:color="auto"/>
              <w:right w:val="single" w:sz="4" w:space="0" w:color="auto"/>
            </w:tcBorders>
            <w:shd w:val="clear" w:color="auto" w:fill="auto"/>
            <w:vAlign w:val="center"/>
            <w:hideMark/>
          </w:tcPr>
          <w:p w:rsidR="00A47BE0" w:rsidRPr="00847FD3" w:rsidRDefault="00A47BE0" w:rsidP="00177A31">
            <w:pPr>
              <w:spacing w:after="0" w:line="240" w:lineRule="auto"/>
              <w:rPr>
                <w:color w:val="000000"/>
                <w:sz w:val="18"/>
                <w:szCs w:val="18"/>
              </w:rPr>
            </w:pPr>
            <w:r w:rsidRPr="00847FD3">
              <w:rPr>
                <w:color w:val="000000"/>
                <w:sz w:val="18"/>
                <w:szCs w:val="18"/>
              </w:rPr>
              <w:t>System Average Interruption Frequency Index (SAIFI</w:t>
            </w:r>
            <w:r w:rsidRPr="00847FD3">
              <w:rPr>
                <w:rFonts w:eastAsia="Times New Roman"/>
                <w:color w:val="000000"/>
                <w:sz w:val="18"/>
                <w:szCs w:val="18"/>
              </w:rPr>
              <w:t>)</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3A3103" w:rsidRDefault="00A47BE0" w:rsidP="00177A31">
            <w:pPr>
              <w:spacing w:after="0" w:line="240" w:lineRule="auto"/>
              <w:jc w:val="center"/>
              <w:rPr>
                <w:color w:val="000000"/>
                <w:sz w:val="20"/>
              </w:rPr>
            </w:pPr>
            <w:r w:rsidRPr="003A3103">
              <w:rPr>
                <w:color w:val="000000"/>
                <w:sz w:val="20"/>
              </w:rPr>
              <w:t>6.8</w:t>
            </w:r>
          </w:p>
        </w:tc>
        <w:tc>
          <w:tcPr>
            <w:tcW w:w="886" w:type="dxa"/>
            <w:tcBorders>
              <w:top w:val="nil"/>
              <w:left w:val="nil"/>
              <w:bottom w:val="single" w:sz="4" w:space="0" w:color="auto"/>
              <w:right w:val="single" w:sz="4" w:space="0" w:color="auto"/>
            </w:tcBorders>
            <w:shd w:val="clear" w:color="auto" w:fill="auto"/>
            <w:vAlign w:val="center"/>
            <w:hideMark/>
          </w:tcPr>
          <w:p w:rsidR="00A47BE0" w:rsidRPr="003A3103" w:rsidRDefault="00A47BE0" w:rsidP="00177A31">
            <w:pPr>
              <w:spacing w:after="0" w:line="240" w:lineRule="auto"/>
              <w:jc w:val="center"/>
              <w:rPr>
                <w:color w:val="000000"/>
                <w:sz w:val="20"/>
              </w:rPr>
            </w:pPr>
            <w:r w:rsidRPr="003A3103">
              <w:rPr>
                <w:color w:val="000000"/>
                <w:sz w:val="20"/>
              </w:rPr>
              <w:t>6.8</w:t>
            </w:r>
          </w:p>
        </w:tc>
        <w:tc>
          <w:tcPr>
            <w:tcW w:w="1368" w:type="dxa"/>
            <w:tcBorders>
              <w:top w:val="nil"/>
              <w:left w:val="nil"/>
              <w:bottom w:val="single" w:sz="4" w:space="0" w:color="auto"/>
              <w:right w:val="single" w:sz="4" w:space="0" w:color="auto"/>
            </w:tcBorders>
            <w:shd w:val="clear" w:color="auto" w:fill="auto"/>
            <w:vAlign w:val="center"/>
            <w:hideMark/>
          </w:tcPr>
          <w:p w:rsidR="00A47BE0" w:rsidRPr="003A3103" w:rsidRDefault="00A47BE0" w:rsidP="00177A31">
            <w:pPr>
              <w:spacing w:after="0" w:line="240" w:lineRule="auto"/>
              <w:jc w:val="center"/>
              <w:rPr>
                <w:color w:val="000000"/>
                <w:sz w:val="20"/>
              </w:rPr>
            </w:pPr>
            <w:r w:rsidRPr="003A3103">
              <w:rPr>
                <w:color w:val="000000"/>
                <w:sz w:val="20"/>
              </w:rPr>
              <w:t>EPAR operator (EBS) data and reports</w:t>
            </w:r>
          </w:p>
        </w:tc>
        <w:tc>
          <w:tcPr>
            <w:tcW w:w="1531" w:type="dxa"/>
            <w:tcBorders>
              <w:top w:val="nil"/>
              <w:left w:val="nil"/>
              <w:bottom w:val="single" w:sz="4" w:space="0" w:color="auto"/>
              <w:right w:val="single" w:sz="4" w:space="0" w:color="auto"/>
            </w:tcBorders>
            <w:shd w:val="clear" w:color="auto" w:fill="auto"/>
            <w:vAlign w:val="center"/>
            <w:hideMark/>
          </w:tcPr>
          <w:p w:rsidR="00A47BE0" w:rsidRPr="003A3103" w:rsidRDefault="00A47BE0" w:rsidP="00177A31">
            <w:pPr>
              <w:spacing w:after="0" w:line="240" w:lineRule="auto"/>
              <w:jc w:val="center"/>
              <w:rPr>
                <w:color w:val="000000"/>
                <w:sz w:val="20"/>
              </w:rPr>
            </w:pPr>
            <w:r w:rsidRPr="003A3103">
              <w:rPr>
                <w:color w:val="000000"/>
                <w:sz w:val="20"/>
              </w:rPr>
              <w:t xml:space="preserve">EBS </w:t>
            </w:r>
          </w:p>
        </w:tc>
      </w:tr>
      <w:tr w:rsidR="00A47BE0" w:rsidRPr="00C0141A" w:rsidTr="00177A31">
        <w:trPr>
          <w:trHeight w:val="854"/>
        </w:trPr>
        <w:tc>
          <w:tcPr>
            <w:tcW w:w="2312" w:type="dxa"/>
            <w:vMerge/>
            <w:tcBorders>
              <w:top w:val="nil"/>
              <w:left w:val="single" w:sz="4" w:space="0" w:color="auto"/>
              <w:bottom w:val="single" w:sz="4" w:space="0" w:color="auto"/>
              <w:right w:val="single" w:sz="4" w:space="0" w:color="auto"/>
            </w:tcBorders>
            <w:vAlign w:val="center"/>
            <w:hideMark/>
          </w:tcPr>
          <w:p w:rsidR="00A47BE0" w:rsidRPr="00C0141A" w:rsidRDefault="00A47BE0" w:rsidP="00177A31">
            <w:pPr>
              <w:spacing w:after="0" w:line="360" w:lineRule="auto"/>
              <w:rPr>
                <w:rFonts w:eastAsia="Times New Roman"/>
                <w:color w:val="000000"/>
                <w:sz w:val="18"/>
                <w:szCs w:val="18"/>
              </w:rPr>
            </w:pPr>
          </w:p>
        </w:tc>
        <w:tc>
          <w:tcPr>
            <w:tcW w:w="2310" w:type="dxa"/>
            <w:tcBorders>
              <w:top w:val="nil"/>
              <w:left w:val="nil"/>
              <w:bottom w:val="single" w:sz="4" w:space="0" w:color="auto"/>
              <w:right w:val="single" w:sz="4" w:space="0" w:color="auto"/>
            </w:tcBorders>
            <w:shd w:val="clear" w:color="auto" w:fill="auto"/>
            <w:vAlign w:val="center"/>
            <w:hideMark/>
          </w:tcPr>
          <w:p w:rsidR="00A47BE0" w:rsidRPr="00847FD3" w:rsidRDefault="00A47BE0" w:rsidP="00177A31">
            <w:pPr>
              <w:spacing w:after="0" w:line="240" w:lineRule="auto"/>
              <w:rPr>
                <w:color w:val="000000"/>
                <w:sz w:val="18"/>
                <w:szCs w:val="18"/>
              </w:rPr>
            </w:pPr>
            <w:r w:rsidRPr="00847FD3">
              <w:rPr>
                <w:color w:val="000000"/>
                <w:sz w:val="18"/>
                <w:szCs w:val="18"/>
              </w:rPr>
              <w:t>System Average Interruption Duration Index (SAIDI</w:t>
            </w:r>
            <w:r w:rsidRPr="00847FD3">
              <w:rPr>
                <w:rFonts w:eastAsia="Times New Roman"/>
                <w:color w:val="000000"/>
                <w:sz w:val="18"/>
                <w:szCs w:val="18"/>
              </w:rPr>
              <w:t>)</w:t>
            </w:r>
          </w:p>
        </w:tc>
        <w:tc>
          <w:tcPr>
            <w:tcW w:w="1036" w:type="dxa"/>
            <w:tcBorders>
              <w:top w:val="nil"/>
              <w:left w:val="nil"/>
              <w:bottom w:val="single" w:sz="4" w:space="0" w:color="auto"/>
              <w:right w:val="single" w:sz="4" w:space="0" w:color="auto"/>
            </w:tcBorders>
            <w:shd w:val="clear" w:color="auto" w:fill="auto"/>
            <w:vAlign w:val="center"/>
            <w:hideMark/>
          </w:tcPr>
          <w:p w:rsidR="00A47BE0" w:rsidRPr="00C0141A" w:rsidRDefault="00A47BE0" w:rsidP="00177A31">
            <w:pPr>
              <w:spacing w:after="0" w:line="360" w:lineRule="auto"/>
              <w:jc w:val="center"/>
              <w:rPr>
                <w:rFonts w:eastAsia="Times New Roman"/>
                <w:color w:val="000000"/>
                <w:sz w:val="18"/>
                <w:szCs w:val="18"/>
              </w:rPr>
            </w:pPr>
            <w:r w:rsidRPr="00C0141A">
              <w:rPr>
                <w:rFonts w:eastAsia="Times New Roman"/>
                <w:color w:val="000000"/>
                <w:sz w:val="18"/>
                <w:szCs w:val="18"/>
              </w:rPr>
              <w:t>Yearly</w:t>
            </w:r>
          </w:p>
        </w:tc>
        <w:tc>
          <w:tcPr>
            <w:tcW w:w="859" w:type="dxa"/>
            <w:tcBorders>
              <w:top w:val="nil"/>
              <w:left w:val="nil"/>
              <w:bottom w:val="single" w:sz="4" w:space="0" w:color="auto"/>
              <w:right w:val="single" w:sz="4" w:space="0" w:color="auto"/>
            </w:tcBorders>
            <w:shd w:val="clear" w:color="auto" w:fill="auto"/>
            <w:vAlign w:val="center"/>
            <w:hideMark/>
          </w:tcPr>
          <w:p w:rsidR="00A47BE0" w:rsidRPr="003A3103" w:rsidRDefault="00A47BE0" w:rsidP="00177A31">
            <w:pPr>
              <w:spacing w:after="0" w:line="240" w:lineRule="auto"/>
              <w:jc w:val="center"/>
              <w:rPr>
                <w:color w:val="000000"/>
                <w:sz w:val="20"/>
              </w:rPr>
            </w:pPr>
            <w:r w:rsidRPr="003A3103">
              <w:rPr>
                <w:color w:val="000000"/>
                <w:sz w:val="20"/>
              </w:rPr>
              <w:t>17.5</w:t>
            </w:r>
          </w:p>
        </w:tc>
        <w:tc>
          <w:tcPr>
            <w:tcW w:w="886" w:type="dxa"/>
            <w:tcBorders>
              <w:top w:val="nil"/>
              <w:left w:val="nil"/>
              <w:bottom w:val="single" w:sz="4" w:space="0" w:color="auto"/>
              <w:right w:val="single" w:sz="4" w:space="0" w:color="auto"/>
            </w:tcBorders>
            <w:shd w:val="clear" w:color="auto" w:fill="auto"/>
            <w:vAlign w:val="center"/>
            <w:hideMark/>
          </w:tcPr>
          <w:p w:rsidR="00A47BE0" w:rsidRPr="003A3103" w:rsidRDefault="00A47BE0" w:rsidP="00177A31">
            <w:pPr>
              <w:spacing w:after="0" w:line="240" w:lineRule="auto"/>
              <w:jc w:val="center"/>
              <w:rPr>
                <w:color w:val="000000"/>
                <w:sz w:val="20"/>
              </w:rPr>
            </w:pPr>
            <w:r w:rsidRPr="003A3103">
              <w:rPr>
                <w:color w:val="000000"/>
                <w:sz w:val="20"/>
              </w:rPr>
              <w:t>16.2</w:t>
            </w:r>
          </w:p>
        </w:tc>
        <w:tc>
          <w:tcPr>
            <w:tcW w:w="1368" w:type="dxa"/>
            <w:tcBorders>
              <w:top w:val="nil"/>
              <w:left w:val="nil"/>
              <w:bottom w:val="single" w:sz="4" w:space="0" w:color="auto"/>
              <w:right w:val="single" w:sz="4" w:space="0" w:color="auto"/>
            </w:tcBorders>
            <w:shd w:val="clear" w:color="auto" w:fill="auto"/>
            <w:vAlign w:val="center"/>
            <w:hideMark/>
          </w:tcPr>
          <w:p w:rsidR="00A47BE0" w:rsidRPr="003A3103" w:rsidRDefault="00A47BE0" w:rsidP="00177A31">
            <w:pPr>
              <w:spacing w:after="0" w:line="240" w:lineRule="auto"/>
              <w:jc w:val="center"/>
              <w:rPr>
                <w:color w:val="000000"/>
                <w:sz w:val="20"/>
              </w:rPr>
            </w:pPr>
            <w:r w:rsidRPr="003A3103">
              <w:rPr>
                <w:color w:val="000000"/>
                <w:sz w:val="20"/>
              </w:rPr>
              <w:t>EPAR operator (EBS) data and reports</w:t>
            </w:r>
          </w:p>
        </w:tc>
        <w:tc>
          <w:tcPr>
            <w:tcW w:w="1531" w:type="dxa"/>
            <w:tcBorders>
              <w:top w:val="nil"/>
              <w:left w:val="nil"/>
              <w:bottom w:val="single" w:sz="4" w:space="0" w:color="auto"/>
              <w:right w:val="single" w:sz="4" w:space="0" w:color="auto"/>
            </w:tcBorders>
            <w:shd w:val="clear" w:color="auto" w:fill="auto"/>
            <w:vAlign w:val="center"/>
            <w:hideMark/>
          </w:tcPr>
          <w:p w:rsidR="00A47BE0" w:rsidRPr="003A3103" w:rsidRDefault="00A47BE0" w:rsidP="00177A31">
            <w:pPr>
              <w:spacing w:after="0" w:line="240" w:lineRule="auto"/>
              <w:jc w:val="center"/>
              <w:rPr>
                <w:color w:val="000000"/>
                <w:sz w:val="20"/>
              </w:rPr>
            </w:pPr>
            <w:r w:rsidRPr="003A3103">
              <w:rPr>
                <w:color w:val="000000"/>
                <w:sz w:val="20"/>
              </w:rPr>
              <w:t>EBS</w:t>
            </w:r>
          </w:p>
        </w:tc>
      </w:tr>
    </w:tbl>
    <w:p w:rsidR="00A47BE0" w:rsidRPr="00C0141A" w:rsidRDefault="00A47BE0" w:rsidP="00A47BE0">
      <w:pPr>
        <w:spacing w:after="0" w:line="360" w:lineRule="auto"/>
        <w:jc w:val="both"/>
      </w:pPr>
    </w:p>
    <w:p w:rsidR="00A47BE0" w:rsidRPr="00C665CC" w:rsidRDefault="00A47BE0" w:rsidP="00A47BE0">
      <w:pPr>
        <w:pStyle w:val="Heading2"/>
        <w:numPr>
          <w:ilvl w:val="0"/>
          <w:numId w:val="44"/>
        </w:numPr>
        <w:spacing w:before="0" w:after="0" w:line="360" w:lineRule="auto"/>
        <w:jc w:val="both"/>
        <w:rPr>
          <w:rStyle w:val="SubtleEmphasis"/>
        </w:rPr>
      </w:pPr>
      <w:bookmarkStart w:id="37" w:name="_Toc365977162"/>
      <w:r w:rsidRPr="00C665CC">
        <w:rPr>
          <w:rStyle w:val="SubtleEmphasis"/>
        </w:rPr>
        <w:t>Evaluation Methodology</w:t>
      </w:r>
      <w:bookmarkEnd w:id="37"/>
    </w:p>
    <w:p w:rsidR="00A47BE0" w:rsidRPr="008902D6" w:rsidRDefault="00A47BE0" w:rsidP="00A47BE0"/>
    <w:p w:rsidR="00A47BE0" w:rsidRPr="00C0141A" w:rsidRDefault="00A47BE0" w:rsidP="00A47BE0">
      <w:pPr>
        <w:spacing w:after="0" w:line="360" w:lineRule="auto"/>
        <w:jc w:val="both"/>
      </w:pPr>
      <w:r w:rsidRPr="00C0141A">
        <w:t>A Project Completion Report (PCR) funded by the IDB, will be prepared six months after the last phase of the Program has been fully disbursed and will be done through a before and after methodology. The PCR will evaluate results obtained by the Program and will include</w:t>
      </w:r>
      <w:r>
        <w:t xml:space="preserve"> the results from</w:t>
      </w:r>
      <w:r w:rsidRPr="00C0141A">
        <w:t xml:space="preserve"> </w:t>
      </w:r>
      <w:r w:rsidRPr="00C0141A">
        <w:rPr>
          <w:rFonts w:eastAsia="Times New Roman"/>
          <w:szCs w:val="20"/>
        </w:rPr>
        <w:t>an ex-post cost benefit analysis (CBA)</w:t>
      </w:r>
      <w:r>
        <w:rPr>
          <w:rFonts w:eastAsia="Times New Roman"/>
          <w:szCs w:val="20"/>
        </w:rPr>
        <w:t xml:space="preserve"> for components I and III, </w:t>
      </w:r>
      <w:r w:rsidRPr="006F75D3">
        <w:rPr>
          <w:rFonts w:eastAsia="Times New Roman"/>
          <w:szCs w:val="20"/>
        </w:rPr>
        <w:t xml:space="preserve">as well as impact evaluation for Component II. </w:t>
      </w:r>
      <w:r>
        <w:rPr>
          <w:rFonts w:eastAsia="Times New Roman"/>
          <w:szCs w:val="20"/>
        </w:rPr>
        <w:t xml:space="preserve"> </w:t>
      </w:r>
      <w:r w:rsidRPr="006F75D3">
        <w:rPr>
          <w:rFonts w:eastAsia="Times New Roman"/>
          <w:szCs w:val="20"/>
        </w:rPr>
        <w:t xml:space="preserve">This last one financed by the </w:t>
      </w:r>
      <w:r>
        <w:rPr>
          <w:rFonts w:eastAsia="Times New Roman"/>
          <w:szCs w:val="20"/>
        </w:rPr>
        <w:t>Program.</w:t>
      </w:r>
    </w:p>
    <w:p w:rsidR="00A47BE0" w:rsidRPr="00C0141A" w:rsidRDefault="00A47BE0" w:rsidP="00A47BE0">
      <w:pPr>
        <w:spacing w:after="0" w:line="360" w:lineRule="auto"/>
        <w:jc w:val="both"/>
      </w:pPr>
    </w:p>
    <w:p w:rsidR="00A47BE0" w:rsidRDefault="00A47BE0" w:rsidP="00A47BE0">
      <w:pPr>
        <w:spacing w:after="0" w:line="360" w:lineRule="auto"/>
        <w:jc w:val="both"/>
      </w:pPr>
      <w:r>
        <w:lastRenderedPageBreak/>
        <w:t xml:space="preserve">The PCR shall further assess the “likelihood of sustainability of outcomes at project termination”. The assessment will give special attention to the analysis of risks that are likely to affect the persistence of project outcomes. It will include both exogenous and endogenous risks. The following four dimensions or aspects of risks to sustainability will be addressed: (a) financial risks; (b) sociopolitical risks; (c) institutional framework and governance risks; and (d) environmental risks.  The PCR shall further consider the following issues affecting program implementation and the attainment of program results: (a) program preparation, country readiness, local implementation capacities; (ii) country ownership and </w:t>
      </w:r>
      <w:proofErr w:type="spellStart"/>
      <w:r>
        <w:t>drivenness</w:t>
      </w:r>
      <w:proofErr w:type="spellEnd"/>
      <w:r>
        <w:t>; (c) stakeholder involvement; (d) financial planning, including parallel financing commitments, due diligence and audits; (e) IDB supervision and backstopping; (f) program outcomes and sustainability; and (g) delays and effects thereof on project outcomes.</w:t>
      </w:r>
    </w:p>
    <w:p w:rsidR="00A47BE0" w:rsidRDefault="00A47BE0" w:rsidP="00A47BE0">
      <w:pPr>
        <w:spacing w:after="0" w:line="360" w:lineRule="auto"/>
        <w:jc w:val="both"/>
      </w:pPr>
    </w:p>
    <w:p w:rsidR="00A47BE0" w:rsidRPr="00C0141A" w:rsidRDefault="00A47BE0" w:rsidP="00A47BE0">
      <w:pPr>
        <w:spacing w:after="0" w:line="360" w:lineRule="auto"/>
        <w:jc w:val="both"/>
      </w:pPr>
      <w:r w:rsidRPr="00C0141A">
        <w:rPr>
          <w:szCs w:val="20"/>
        </w:rPr>
        <w:t>The</w:t>
      </w:r>
      <w:r>
        <w:rPr>
          <w:szCs w:val="20"/>
        </w:rPr>
        <w:t xml:space="preserve"> results and reports form the </w:t>
      </w:r>
      <w:r w:rsidRPr="00C0141A">
        <w:rPr>
          <w:szCs w:val="20"/>
        </w:rPr>
        <w:t xml:space="preserve">Project </w:t>
      </w:r>
      <w:r>
        <w:rPr>
          <w:szCs w:val="20"/>
        </w:rPr>
        <w:t>Completion Report (PCR)</w:t>
      </w:r>
      <w:proofErr w:type="gramStart"/>
      <w:r>
        <w:rPr>
          <w:szCs w:val="20"/>
        </w:rPr>
        <w:t>,</w:t>
      </w:r>
      <w:proofErr w:type="gramEnd"/>
      <w:r>
        <w:rPr>
          <w:szCs w:val="20"/>
        </w:rPr>
        <w:t xml:space="preserve"> </w:t>
      </w:r>
      <w:r w:rsidRPr="00C0141A">
        <w:rPr>
          <w:szCs w:val="20"/>
        </w:rPr>
        <w:t>CBA</w:t>
      </w:r>
      <w:r>
        <w:rPr>
          <w:szCs w:val="20"/>
        </w:rPr>
        <w:t xml:space="preserve"> Impact Evaluation </w:t>
      </w:r>
      <w:r w:rsidRPr="00C0141A">
        <w:rPr>
          <w:szCs w:val="20"/>
        </w:rPr>
        <w:t>will be pos</w:t>
      </w:r>
      <w:r>
        <w:rPr>
          <w:szCs w:val="20"/>
        </w:rPr>
        <w:t>t on the IDB website,</w:t>
      </w:r>
      <w:r w:rsidRPr="00C0141A">
        <w:rPr>
          <w:szCs w:val="20"/>
        </w:rPr>
        <w:t xml:space="preserve"> while progress reports will be post confidentially in IDBDOCSs.</w:t>
      </w:r>
    </w:p>
    <w:p w:rsidR="00A47BE0" w:rsidRPr="00C0141A" w:rsidRDefault="00A47BE0" w:rsidP="00A47BE0">
      <w:pPr>
        <w:spacing w:after="0" w:line="360" w:lineRule="auto"/>
        <w:jc w:val="both"/>
      </w:pPr>
    </w:p>
    <w:p w:rsidR="00A47BE0" w:rsidRPr="00C665CC" w:rsidRDefault="00A47BE0" w:rsidP="00A47BE0">
      <w:pPr>
        <w:pStyle w:val="ListParagraph"/>
        <w:numPr>
          <w:ilvl w:val="0"/>
          <w:numId w:val="42"/>
        </w:numPr>
        <w:spacing w:after="0" w:line="360" w:lineRule="auto"/>
        <w:jc w:val="both"/>
        <w:rPr>
          <w:rStyle w:val="Emphasis"/>
        </w:rPr>
      </w:pPr>
      <w:r w:rsidRPr="00C665CC">
        <w:rPr>
          <w:rStyle w:val="Emphasis"/>
        </w:rPr>
        <w:t>Component I and II ex post Cost Benefit Analysis description.</w:t>
      </w:r>
    </w:p>
    <w:p w:rsidR="00A47BE0" w:rsidRDefault="00A47BE0" w:rsidP="00A47BE0">
      <w:pPr>
        <w:spacing w:after="0" w:line="360" w:lineRule="auto"/>
        <w:jc w:val="both"/>
      </w:pPr>
    </w:p>
    <w:p w:rsidR="00A47BE0" w:rsidRPr="00C0141A" w:rsidRDefault="00A47BE0" w:rsidP="00A47BE0">
      <w:pPr>
        <w:spacing w:after="0" w:line="360" w:lineRule="auto"/>
        <w:jc w:val="both"/>
      </w:pPr>
      <w:r>
        <w:t>The ex post cost benefit analysis for component I and II will be prepared considering the following benefits:</w:t>
      </w:r>
    </w:p>
    <w:p w:rsidR="00A47BE0" w:rsidRPr="00C0141A" w:rsidRDefault="00A47BE0" w:rsidP="00A47BE0">
      <w:pPr>
        <w:spacing w:after="0" w:line="360" w:lineRule="auto"/>
        <w:jc w:val="both"/>
      </w:pPr>
    </w:p>
    <w:p w:rsidR="00A47BE0" w:rsidRDefault="00A47BE0" w:rsidP="00A47BE0">
      <w:pPr>
        <w:pStyle w:val="ListParagraph"/>
        <w:numPr>
          <w:ilvl w:val="0"/>
          <w:numId w:val="29"/>
        </w:numPr>
        <w:spacing w:after="0" w:line="360" w:lineRule="auto"/>
        <w:jc w:val="both"/>
        <w:rPr>
          <w:i/>
        </w:rPr>
      </w:pPr>
      <w:r w:rsidRPr="00CB1529">
        <w:rPr>
          <w:i/>
        </w:rPr>
        <w:t>Economic benefits associated to reduction of power service interruptions:</w:t>
      </w:r>
    </w:p>
    <w:p w:rsidR="00A47BE0" w:rsidRPr="00CB1529" w:rsidRDefault="00A47BE0" w:rsidP="00A47BE0">
      <w:pPr>
        <w:pStyle w:val="ListParagraph"/>
        <w:spacing w:after="0" w:line="360" w:lineRule="auto"/>
        <w:jc w:val="both"/>
        <w:rPr>
          <w:i/>
        </w:rPr>
      </w:pPr>
    </w:p>
    <w:p w:rsidR="00A47BE0" w:rsidRDefault="00A47BE0" w:rsidP="00A47BE0">
      <w:pPr>
        <w:pStyle w:val="ListParagraph"/>
        <w:spacing w:after="0" w:line="360" w:lineRule="auto"/>
        <w:jc w:val="both"/>
      </w:pPr>
      <w:r w:rsidRPr="00C0141A">
        <w:t xml:space="preserve">A quality SCADA solution is central to effective operation of a utility's most critical and costly distribution, transmission, and generation assets. Modern SCADA systems are already contributing and playing a key role at many utilities towards achieving: i) New levels in electric grid reliability – increased revenue, ii) Proactive problem detection and resolution – higher reliability, iii) Meeting the mandated power quality requirements – increased customer satisfaction, iv) Real time strategic decision making – cost reductions and increased revenue. EBS already has part of the EPAR transmission grid connected to a SCADA system and with the SCADA extension project it is planning is to connect the entire EPAR grid to this system. </w:t>
      </w:r>
    </w:p>
    <w:p w:rsidR="00A47BE0" w:rsidRDefault="00A47BE0" w:rsidP="00A47BE0">
      <w:pPr>
        <w:pStyle w:val="ListParagraph"/>
        <w:spacing w:after="0" w:line="360" w:lineRule="auto"/>
        <w:jc w:val="both"/>
      </w:pPr>
    </w:p>
    <w:p w:rsidR="00A47BE0" w:rsidRPr="00C0141A" w:rsidRDefault="00A47BE0" w:rsidP="00A47BE0">
      <w:pPr>
        <w:pStyle w:val="ListParagraph"/>
        <w:spacing w:after="0" w:line="360" w:lineRule="auto"/>
        <w:jc w:val="both"/>
      </w:pPr>
      <w:r w:rsidRPr="00C0141A">
        <w:t>Economic benefits of this project will be estimated with the expected reduction of interrupted energy associated to this project. This will be estimated through an analysis of the System Average Interruption Frequency Index (SAIFI) and the System Average Interruption Duration Index (SAIDI), which are commonly used as reliability indicators by electric power utilities. SAIFI is measured in units of interruptions per customer and SAIDI is the average outage duration for each customer served, and is usually measured in hours. Both are measured over the course of a year.  SAIDI and SAIFI indexes in EPAR system during 2010, 2011 and 2012 indicate that had occurred significant service interruptions of around 30-50 hours/month during three months of the year, implying economic costs for the Surinamese economy. Total average annual interruptions per costumer were 81.4/year and 2.57 Hours/inter</w:t>
      </w:r>
      <w:r>
        <w:t>ruption during last three years.</w:t>
      </w:r>
    </w:p>
    <w:p w:rsidR="00A47BE0" w:rsidRDefault="00A47BE0" w:rsidP="00A47BE0">
      <w:pPr>
        <w:spacing w:after="0" w:line="360" w:lineRule="auto"/>
        <w:jc w:val="both"/>
      </w:pPr>
    </w:p>
    <w:p w:rsidR="00A47BE0" w:rsidRDefault="00A47BE0" w:rsidP="00A47BE0">
      <w:pPr>
        <w:pStyle w:val="ListParagraph"/>
        <w:numPr>
          <w:ilvl w:val="0"/>
          <w:numId w:val="29"/>
        </w:numPr>
        <w:spacing w:after="0" w:line="360" w:lineRule="auto"/>
        <w:jc w:val="both"/>
        <w:rPr>
          <w:i/>
        </w:rPr>
      </w:pPr>
      <w:r w:rsidRPr="00CB1529">
        <w:rPr>
          <w:i/>
        </w:rPr>
        <w:t>Increases in transmission and distribution capacities</w:t>
      </w:r>
    </w:p>
    <w:p w:rsidR="00A47BE0" w:rsidRPr="00CB1529" w:rsidRDefault="00A47BE0" w:rsidP="00A47BE0">
      <w:pPr>
        <w:pStyle w:val="ListParagraph"/>
        <w:spacing w:after="0" w:line="360" w:lineRule="auto"/>
        <w:jc w:val="both"/>
        <w:rPr>
          <w:i/>
        </w:rPr>
      </w:pPr>
    </w:p>
    <w:p w:rsidR="00A47BE0" w:rsidRPr="00C0141A" w:rsidRDefault="00A47BE0" w:rsidP="00A47BE0">
      <w:pPr>
        <w:pStyle w:val="ListParagraph"/>
        <w:spacing w:after="0" w:line="360" w:lineRule="auto"/>
        <w:jc w:val="both"/>
      </w:pPr>
      <w:r w:rsidRPr="003870B9">
        <w:rPr>
          <w:u w:val="single"/>
        </w:rPr>
        <w:t>Upgrade of substation C.</w:t>
      </w:r>
      <w:r>
        <w:t xml:space="preserve"> </w:t>
      </w:r>
      <w:r w:rsidRPr="00C0141A">
        <w:t xml:space="preserve">Substation C receives power from substations T and A2 (which in turn are connected to the power plants). Basically it play a role of transmission and distribution of power to final users supplied from substations Q and C, through existing distribution transformers totaling an existing capacity of 28 MVA in such substations that will be expanded to 50 MVA with the project. </w:t>
      </w:r>
    </w:p>
    <w:p w:rsidR="00A47BE0" w:rsidRPr="00C0141A" w:rsidRDefault="00A47BE0" w:rsidP="00A47BE0">
      <w:pPr>
        <w:spacing w:after="0" w:line="360" w:lineRule="auto"/>
        <w:ind w:left="720"/>
        <w:jc w:val="both"/>
      </w:pPr>
    </w:p>
    <w:p w:rsidR="00A47BE0" w:rsidRDefault="00A47BE0" w:rsidP="00A47BE0">
      <w:pPr>
        <w:spacing w:after="0" w:line="360" w:lineRule="auto"/>
        <w:ind w:left="720"/>
        <w:jc w:val="both"/>
      </w:pPr>
      <w:r w:rsidRPr="00C0141A">
        <w:t xml:space="preserve">Currently, a fault in the 33 kV switchgear of substation C will imply a short circuit current of 14 kA, higher than its Short Circuit Rating (SRC) of 8.7 kA, implying out of regulations and </w:t>
      </w:r>
      <w:proofErr w:type="spellStart"/>
      <w:r w:rsidRPr="00C0141A">
        <w:t>non safe</w:t>
      </w:r>
      <w:proofErr w:type="spellEnd"/>
      <w:r w:rsidRPr="00C0141A">
        <w:t xml:space="preserve"> operations. To evaluate the upgrade of substation C </w:t>
      </w:r>
      <w:r>
        <w:t>it will be</w:t>
      </w:r>
      <w:r w:rsidRPr="00C0141A">
        <w:t xml:space="preserve"> estimated, through short circuit analysis, the transmission and distribution capacity in substations C and Q that will not violate the SCR of substation C. </w:t>
      </w:r>
    </w:p>
    <w:p w:rsidR="00A47BE0" w:rsidRPr="00C0141A" w:rsidRDefault="00A47BE0" w:rsidP="00A47BE0">
      <w:pPr>
        <w:spacing w:after="0" w:line="360" w:lineRule="auto"/>
        <w:ind w:left="720"/>
        <w:jc w:val="both"/>
      </w:pPr>
    </w:p>
    <w:p w:rsidR="00A47BE0" w:rsidRDefault="00A47BE0" w:rsidP="00A47BE0">
      <w:pPr>
        <w:spacing w:after="0" w:line="360" w:lineRule="auto"/>
        <w:ind w:left="720"/>
        <w:jc w:val="both"/>
      </w:pPr>
      <w:r w:rsidRPr="00C0141A">
        <w:t xml:space="preserve"> To evaluate this Project it </w:t>
      </w:r>
      <w:r>
        <w:t>will be</w:t>
      </w:r>
      <w:r w:rsidRPr="00C0141A">
        <w:t xml:space="preserve"> estimated that its operative capacity under the situation “without” its upgrade is 28 MW and "with" its upgrade 50 MW. This analysis </w:t>
      </w:r>
      <w:r>
        <w:t xml:space="preserve">will consider </w:t>
      </w:r>
      <w:r w:rsidRPr="00C0141A">
        <w:t xml:space="preserve">the additional 33/12.6 kV distribution capacity to be installed in this substation. </w:t>
      </w:r>
      <w:r>
        <w:t>T</w:t>
      </w:r>
      <w:r w:rsidRPr="00C0141A">
        <w:t xml:space="preserve">he basic information </w:t>
      </w:r>
      <w:r>
        <w:t xml:space="preserve">for the </w:t>
      </w:r>
      <w:r w:rsidRPr="00C0141A">
        <w:t>evaluation of this project</w:t>
      </w:r>
      <w:r>
        <w:t xml:space="preserve"> will be</w:t>
      </w:r>
      <w:r w:rsidRPr="00C0141A">
        <w:t xml:space="preserve">: i) Maximum transfer and </w:t>
      </w:r>
      <w:r w:rsidRPr="00C0141A">
        <w:lastRenderedPageBreak/>
        <w:t xml:space="preserve">distribution of power in substations C (and Q) “with” and “without” the upgrade project (related to permitted SCR under these two situations), ii) Peak demand statistics in substations Q and C, iii) Characterization of the electricity demand supplied from substations Q and C (% residential, % industrial, % commercial and % others and average tariffs for each sector), iv) Characterization of electricity distribution losses in substations C and Q (% of technical losses and % of </w:t>
      </w:r>
      <w:proofErr w:type="spellStart"/>
      <w:r w:rsidRPr="00C0141A">
        <w:t>non technical</w:t>
      </w:r>
      <w:proofErr w:type="spellEnd"/>
      <w:r w:rsidRPr="00C0141A">
        <w:t xml:space="preserve"> losses), v) Investment costs related to the upgrade of substation C, and vi) Annual Operation and Maintenance costs (men-hours per year) of substation C “with” and “without” the upgrade </w:t>
      </w:r>
    </w:p>
    <w:p w:rsidR="00A47BE0" w:rsidRDefault="00A47BE0" w:rsidP="00A47BE0">
      <w:pPr>
        <w:spacing w:after="0" w:line="360" w:lineRule="auto"/>
        <w:ind w:left="720"/>
        <w:jc w:val="both"/>
      </w:pPr>
    </w:p>
    <w:p w:rsidR="00A47BE0" w:rsidRDefault="00A47BE0" w:rsidP="00A47BE0">
      <w:pPr>
        <w:spacing w:after="0" w:line="360" w:lineRule="auto"/>
        <w:ind w:left="720"/>
        <w:jc w:val="both"/>
      </w:pPr>
      <w:r w:rsidRPr="003870B9">
        <w:rPr>
          <w:u w:val="single"/>
        </w:rPr>
        <w:t>Upgrade of substation D</w:t>
      </w:r>
      <w:r>
        <w:rPr>
          <w:u w:val="single"/>
        </w:rPr>
        <w:t xml:space="preserve">. </w:t>
      </w:r>
      <w:r w:rsidRPr="00C0141A">
        <w:t xml:space="preserve">Substation D receives power from substations R and J (which in turn are connected to the power plants). Basically it plays a role of transmission and distribution of power to final users supplied from substations O, N, E and D through distribution transformers totaling an existing capacity of 74 MVA in such substations. Operating those substations at that capacity, a fault in the 33 kV switchgear of substation D will imply a short circuit current of 14 kV, higher than its SRC of 8.7 kV, implying out of regulations and </w:t>
      </w:r>
      <w:proofErr w:type="spellStart"/>
      <w:r w:rsidRPr="00C0141A">
        <w:t>non safe</w:t>
      </w:r>
      <w:proofErr w:type="spellEnd"/>
      <w:r w:rsidRPr="00C0141A">
        <w:t xml:space="preserve"> operations. According EBS analysis, to maintain safe operations power distributed in those substations should be limited to 40 MVA. </w:t>
      </w:r>
    </w:p>
    <w:p w:rsidR="00A47BE0" w:rsidRPr="00C0141A" w:rsidRDefault="00A47BE0" w:rsidP="00A47BE0">
      <w:pPr>
        <w:spacing w:after="0" w:line="360" w:lineRule="auto"/>
        <w:ind w:left="720"/>
        <w:jc w:val="both"/>
      </w:pPr>
    </w:p>
    <w:p w:rsidR="00A47BE0" w:rsidRDefault="00A47BE0" w:rsidP="00A47BE0">
      <w:pPr>
        <w:spacing w:after="0" w:line="360" w:lineRule="auto"/>
        <w:ind w:left="720"/>
        <w:jc w:val="both"/>
      </w:pPr>
      <w:r w:rsidRPr="00C0141A">
        <w:t xml:space="preserve">To evaluate this Project it </w:t>
      </w:r>
      <w:r>
        <w:t xml:space="preserve">will be estimated </w:t>
      </w:r>
      <w:r w:rsidRPr="00C0141A">
        <w:t xml:space="preserve">that its operative capacity under the situation “without” its upgrade is 40 MW and "with" its upgrade 75 MW. </w:t>
      </w:r>
      <w:r>
        <w:t>T</w:t>
      </w:r>
      <w:r w:rsidRPr="00C0141A">
        <w:t xml:space="preserve">he basic information </w:t>
      </w:r>
      <w:r>
        <w:t xml:space="preserve">to be used for </w:t>
      </w:r>
      <w:r w:rsidRPr="00C0141A">
        <w:t>the evaluation of this project</w:t>
      </w:r>
      <w:r>
        <w:t xml:space="preserve"> is</w:t>
      </w:r>
      <w:r w:rsidRPr="00C0141A">
        <w:t xml:space="preserve">: i) </w:t>
      </w:r>
      <w:r>
        <w:t>m</w:t>
      </w:r>
      <w:r w:rsidRPr="00C0141A">
        <w:t>aximum transfer and distribution of power in substations D, O, N and E “with” and “without” the upgrade project (related to permitted SCR un</w:t>
      </w:r>
      <w:r>
        <w:t>der these two situations), ii) p</w:t>
      </w:r>
      <w:r w:rsidRPr="00C0141A">
        <w:t xml:space="preserve">eak demand statistics in substations D, O, N and E, iii) </w:t>
      </w:r>
      <w:r>
        <w:t>c</w:t>
      </w:r>
      <w:r w:rsidRPr="00C0141A">
        <w:t xml:space="preserve">haracterization of the electricity demand supplied from substations D, O, N and E (% residential, % industrial, % commercial and % others and average tariffs for each sector), iv) </w:t>
      </w:r>
      <w:r>
        <w:t>c</w:t>
      </w:r>
      <w:r w:rsidRPr="00C0141A">
        <w:t xml:space="preserve">haracterization of electricity distribution losses in substations D, O, N, E and D (% of technical losses and </w:t>
      </w:r>
      <w:r>
        <w:t xml:space="preserve">% of </w:t>
      </w:r>
      <w:proofErr w:type="spellStart"/>
      <w:r>
        <w:t>non technical</w:t>
      </w:r>
      <w:proofErr w:type="spellEnd"/>
      <w:r>
        <w:t xml:space="preserve"> losses), v) i</w:t>
      </w:r>
      <w:r w:rsidRPr="00C0141A">
        <w:t>nvestment costs related to the upgrade of substation D, and vi) Annual Operation and Maintenance costs (men-hours per year) of substations D “with” and “without” the upgrade</w:t>
      </w:r>
      <w:r>
        <w:t>.</w:t>
      </w:r>
    </w:p>
    <w:p w:rsidR="00A47BE0" w:rsidRDefault="00A47BE0" w:rsidP="00A47BE0">
      <w:pPr>
        <w:spacing w:after="0" w:line="360" w:lineRule="auto"/>
        <w:ind w:left="720"/>
        <w:jc w:val="both"/>
      </w:pPr>
    </w:p>
    <w:p w:rsidR="00A47BE0" w:rsidRPr="00AD55EA" w:rsidRDefault="00A47BE0" w:rsidP="00A47BE0">
      <w:pPr>
        <w:pStyle w:val="ListParagraph"/>
        <w:numPr>
          <w:ilvl w:val="0"/>
          <w:numId w:val="29"/>
        </w:numPr>
        <w:spacing w:after="0" w:line="360" w:lineRule="auto"/>
        <w:jc w:val="both"/>
        <w:rPr>
          <w:i/>
        </w:rPr>
      </w:pPr>
      <w:r w:rsidRPr="00AD55EA">
        <w:rPr>
          <w:i/>
        </w:rPr>
        <w:t>Economic benefits associated to electricity additional consumption</w:t>
      </w:r>
    </w:p>
    <w:p w:rsidR="00A47BE0" w:rsidRDefault="00A47BE0" w:rsidP="00A47BE0">
      <w:pPr>
        <w:spacing w:after="0" w:line="360" w:lineRule="auto"/>
        <w:ind w:left="720"/>
        <w:jc w:val="both"/>
      </w:pPr>
    </w:p>
    <w:p w:rsidR="00A47BE0" w:rsidRDefault="00A47BE0" w:rsidP="00A47BE0">
      <w:pPr>
        <w:spacing w:after="0" w:line="360" w:lineRule="auto"/>
        <w:ind w:left="720"/>
        <w:jc w:val="both"/>
      </w:pPr>
      <w:r w:rsidRPr="00C0141A">
        <w:t xml:space="preserve">The upgrade of substations C and D will permit an increment of electricity consumption in the Northern and Southern sectors of Paramaribo, given that without these projects EBS would have to restrict power supply up to the current transmission and distribution capacities determined for these two substations (to 28 MVA and 40 MVA, respectively). From the view point of the country, one of the economic benefits associated to these projects will consist in the increase of EBS power sales plus its associated consumer's surplus in the residential sector as permitted by the higher capacity of the upgraded substations (50 MVA and 75 MVA, respectively). </w:t>
      </w:r>
      <w:r>
        <w:t xml:space="preserve"> </w:t>
      </w:r>
      <w:r w:rsidRPr="00C0141A">
        <w:t>Main as</w:t>
      </w:r>
      <w:r>
        <w:t>sumption of the evaluation</w:t>
      </w:r>
      <w:r w:rsidRPr="00C0141A">
        <w:t xml:space="preserve"> </w:t>
      </w:r>
      <w:r>
        <w:t>will be</w:t>
      </w:r>
      <w:r w:rsidRPr="00C0141A">
        <w:t xml:space="preserve"> consideration of a referential "cost effective average tariff" of US$ 162/</w:t>
      </w:r>
      <w:proofErr w:type="spellStart"/>
      <w:r w:rsidRPr="00C0141A">
        <w:t>MWh</w:t>
      </w:r>
      <w:proofErr w:type="spellEnd"/>
      <w:r w:rsidRPr="00C0141A">
        <w:t xml:space="preserve"> to final cons</w:t>
      </w:r>
      <w:r>
        <w:t>umers in its area of influence.</w:t>
      </w:r>
      <w:r w:rsidRPr="00C0141A">
        <w:t xml:space="preserve"> </w:t>
      </w:r>
    </w:p>
    <w:p w:rsidR="00A47BE0" w:rsidRDefault="00A47BE0" w:rsidP="00A47BE0">
      <w:pPr>
        <w:spacing w:after="0" w:line="360" w:lineRule="auto"/>
        <w:ind w:left="720"/>
        <w:jc w:val="both"/>
      </w:pPr>
    </w:p>
    <w:p w:rsidR="00A47BE0" w:rsidRDefault="00A47BE0" w:rsidP="00A47BE0">
      <w:pPr>
        <w:spacing w:after="0" w:line="360" w:lineRule="auto"/>
        <w:ind w:left="720"/>
        <w:jc w:val="both"/>
      </w:pPr>
      <w:r>
        <w:t>Next figure illustrates the demand curve in a future time (t=i). From a user´s perspective, benefits associated to the increase of electricity consumption are estimated as its value according to the willingness to pay by the consumers (area FACG which includes consumer´s surplus given by area BAC), plus the subsidy received by the users (area BDEC).</w:t>
      </w:r>
    </w:p>
    <w:p w:rsidR="00A47BE0" w:rsidRDefault="00A47BE0" w:rsidP="00A47BE0">
      <w:pPr>
        <w:spacing w:after="0" w:line="360" w:lineRule="auto"/>
        <w:ind w:left="720"/>
        <w:jc w:val="both"/>
      </w:pPr>
    </w:p>
    <w:p w:rsidR="00A47BE0" w:rsidRDefault="00A47BE0" w:rsidP="00A47BE0">
      <w:pPr>
        <w:spacing w:after="0" w:line="360" w:lineRule="auto"/>
        <w:ind w:left="720"/>
        <w:jc w:val="both"/>
      </w:pPr>
      <w:r>
        <w:t>BENEFIT ESTIMATION OF ADDITIONAL RESIDENTIAL CONSUMPTION</w:t>
      </w:r>
    </w:p>
    <w:p w:rsidR="00A47BE0" w:rsidRDefault="00A47BE0" w:rsidP="00A47BE0">
      <w:pPr>
        <w:tabs>
          <w:tab w:val="left" w:pos="4549"/>
        </w:tabs>
        <w:spacing w:after="0" w:line="360" w:lineRule="auto"/>
        <w:ind w:left="720"/>
        <w:jc w:val="both"/>
      </w:pPr>
      <w:r>
        <w:tab/>
      </w:r>
    </w:p>
    <w:p w:rsidR="00A47BE0" w:rsidRDefault="00A47BE0" w:rsidP="00A47BE0">
      <w:pPr>
        <w:tabs>
          <w:tab w:val="left" w:pos="4549"/>
        </w:tabs>
        <w:spacing w:after="0" w:line="360" w:lineRule="auto"/>
        <w:ind w:left="720"/>
        <w:jc w:val="both"/>
      </w:pPr>
      <w:r w:rsidRPr="00682849">
        <w:rPr>
          <w:noProof/>
          <w:szCs w:val="18"/>
        </w:rPr>
        <w:drawing>
          <wp:inline distT="0" distB="0" distL="0" distR="0" wp14:anchorId="538EADA5" wp14:editId="23A87194">
            <wp:extent cx="5612130" cy="2044281"/>
            <wp:effectExtent l="0" t="0" r="0" b="0"/>
            <wp:docPr id="3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612130" cy="2044281"/>
                    </a:xfrm>
                    <a:prstGeom prst="rect">
                      <a:avLst/>
                    </a:prstGeom>
                    <a:noFill/>
                    <a:ln w="9525">
                      <a:noFill/>
                      <a:miter lim="800000"/>
                      <a:headEnd/>
                      <a:tailEnd/>
                    </a:ln>
                  </pic:spPr>
                </pic:pic>
              </a:graphicData>
            </a:graphic>
          </wp:inline>
        </w:drawing>
      </w:r>
    </w:p>
    <w:p w:rsidR="00A47BE0" w:rsidRPr="00C0141A" w:rsidRDefault="00A47BE0" w:rsidP="00A47BE0">
      <w:pPr>
        <w:spacing w:after="0" w:line="360" w:lineRule="auto"/>
        <w:ind w:left="720"/>
        <w:jc w:val="both"/>
      </w:pPr>
      <w:r w:rsidRPr="00682849">
        <w:rPr>
          <w:noProof/>
          <w:szCs w:val="18"/>
        </w:rPr>
        <w:lastRenderedPageBreak/>
        <w:drawing>
          <wp:inline distT="0" distB="0" distL="0" distR="0" wp14:anchorId="1019FE0E" wp14:editId="503416E8">
            <wp:extent cx="5612130" cy="2044281"/>
            <wp:effectExtent l="0" t="0" r="0" b="0"/>
            <wp:docPr id="3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612130" cy="2044281"/>
                    </a:xfrm>
                    <a:prstGeom prst="rect">
                      <a:avLst/>
                    </a:prstGeom>
                    <a:noFill/>
                    <a:ln w="9525">
                      <a:noFill/>
                      <a:miter lim="800000"/>
                      <a:headEnd/>
                      <a:tailEnd/>
                    </a:ln>
                  </pic:spPr>
                </pic:pic>
              </a:graphicData>
            </a:graphic>
          </wp:inline>
        </w:drawing>
      </w:r>
    </w:p>
    <w:p w:rsidR="00A47BE0" w:rsidRDefault="00A47BE0" w:rsidP="00A47BE0">
      <w:pPr>
        <w:spacing w:after="0" w:line="360" w:lineRule="auto"/>
        <w:ind w:left="720"/>
        <w:jc w:val="both"/>
      </w:pPr>
    </w:p>
    <w:p w:rsidR="00A47BE0" w:rsidRPr="00C0141A" w:rsidRDefault="00A47BE0" w:rsidP="00A47BE0">
      <w:pPr>
        <w:spacing w:after="0" w:line="360" w:lineRule="auto"/>
        <w:ind w:left="720"/>
        <w:jc w:val="both"/>
      </w:pPr>
      <w:r>
        <w:t xml:space="preserve">Consumer's surplus will be </w:t>
      </w:r>
      <w:r w:rsidRPr="00C0141A">
        <w:t>estimated from the definition of Price – Elasticity (</w:t>
      </w:r>
      <w:proofErr w:type="gramStart"/>
      <w:r w:rsidRPr="00C0141A">
        <w:t> )</w:t>
      </w:r>
      <w:proofErr w:type="gramEnd"/>
      <w:r w:rsidRPr="00C0141A">
        <w:t xml:space="preserve">: it follows that the derivative of Price p with respect to the quantity q at the point Pi and quantity Qi is given by: </w:t>
      </w:r>
    </w:p>
    <w:p w:rsidR="00A47BE0" w:rsidRPr="00F3763D" w:rsidRDefault="00A47BE0" w:rsidP="00A47BE0">
      <w:pPr>
        <w:spacing w:after="0" w:line="240" w:lineRule="auto"/>
        <w:jc w:val="both"/>
        <w:rPr>
          <w:i/>
          <w:iCs/>
          <w:lang w:eastAsia="es-CO"/>
        </w:rPr>
      </w:pPr>
      <w:r w:rsidRPr="00C0141A">
        <w:t xml:space="preserve">                                                         </w:t>
      </w:r>
      <w:r w:rsidRPr="00F3763D">
        <w:rPr>
          <w:i/>
          <w:iCs/>
          <w:lang w:eastAsia="es-CO"/>
        </w:rPr>
        <w:t xml:space="preserve">   </w:t>
      </w:r>
      <w:proofErr w:type="spellStart"/>
      <w:proofErr w:type="gramStart"/>
      <w:r w:rsidRPr="00F3763D">
        <w:rPr>
          <w:i/>
          <w:iCs/>
          <w:lang w:eastAsia="es-CO"/>
        </w:rPr>
        <w:t>dp</w:t>
      </w:r>
      <w:proofErr w:type="spellEnd"/>
      <w:r w:rsidRPr="00F3763D">
        <w:rPr>
          <w:i/>
          <w:iCs/>
          <w:lang w:eastAsia="es-CO"/>
        </w:rPr>
        <w:t>/</w:t>
      </w:r>
      <w:proofErr w:type="spellStart"/>
      <w:r w:rsidRPr="00F3763D">
        <w:rPr>
          <w:i/>
          <w:iCs/>
          <w:lang w:eastAsia="es-CO"/>
        </w:rPr>
        <w:t>dq</w:t>
      </w:r>
      <w:proofErr w:type="spellEnd"/>
      <w:proofErr w:type="gramEnd"/>
      <w:r w:rsidRPr="00F3763D">
        <w:rPr>
          <w:i/>
          <w:iCs/>
          <w:lang w:eastAsia="es-CO"/>
        </w:rPr>
        <w:t xml:space="preserve"> = Pi/Qi x 1/</w:t>
      </w:r>
      <w:r w:rsidRPr="00F3763D">
        <w:rPr>
          <w:i/>
          <w:iCs/>
          <w:lang w:val="es-ES" w:eastAsia="es-CO"/>
        </w:rPr>
        <w:sym w:font="Symbol" w:char="F045"/>
      </w:r>
    </w:p>
    <w:p w:rsidR="00A47BE0" w:rsidRPr="00F3763D" w:rsidRDefault="00A47BE0" w:rsidP="00A47BE0">
      <w:pPr>
        <w:spacing w:after="0" w:line="240" w:lineRule="auto"/>
        <w:jc w:val="both"/>
        <w:rPr>
          <w:lang w:eastAsia="es-CO"/>
        </w:rPr>
      </w:pPr>
    </w:p>
    <w:p w:rsidR="00A47BE0" w:rsidRPr="00F3763D" w:rsidRDefault="00A47BE0" w:rsidP="00A47BE0">
      <w:pPr>
        <w:spacing w:after="0" w:line="240" w:lineRule="auto"/>
        <w:ind w:firstLine="720"/>
        <w:jc w:val="both"/>
        <w:rPr>
          <w:lang w:eastAsia="es-CO"/>
        </w:rPr>
      </w:pPr>
      <w:r w:rsidRPr="00F3763D">
        <w:rPr>
          <w:lang w:eastAsia="es-CO"/>
        </w:rPr>
        <w:t xml:space="preserve">The price that a consumer is willing to pay for a quantity </w:t>
      </w:r>
      <w:r w:rsidRPr="00F3763D">
        <w:rPr>
          <w:i/>
          <w:iCs/>
          <w:lang w:eastAsia="es-CO"/>
        </w:rPr>
        <w:t xml:space="preserve">Qi - </w:t>
      </w:r>
      <w:r w:rsidRPr="00F3763D">
        <w:rPr>
          <w:i/>
          <w:iCs/>
          <w:lang w:eastAsia="es-CO"/>
        </w:rPr>
        <w:sym w:font="Symbol" w:char="F044"/>
      </w:r>
      <w:r w:rsidRPr="00F3763D">
        <w:rPr>
          <w:i/>
          <w:iCs/>
          <w:lang w:eastAsia="es-CO"/>
        </w:rPr>
        <w:t xml:space="preserve">q </w:t>
      </w:r>
      <w:r w:rsidRPr="00F3763D">
        <w:rPr>
          <w:lang w:eastAsia="es-CO"/>
        </w:rPr>
        <w:t>is given by:</w:t>
      </w:r>
    </w:p>
    <w:p w:rsidR="00A47BE0" w:rsidRPr="00F3763D" w:rsidRDefault="00A47BE0" w:rsidP="00A47BE0">
      <w:pPr>
        <w:spacing w:after="0" w:line="240" w:lineRule="auto"/>
        <w:ind w:left="2832"/>
        <w:jc w:val="both"/>
        <w:rPr>
          <w:i/>
          <w:iCs/>
          <w:lang w:eastAsia="es-CO"/>
        </w:rPr>
      </w:pPr>
      <w:r w:rsidRPr="00F3763D">
        <w:rPr>
          <w:i/>
          <w:iCs/>
          <w:lang w:eastAsia="es-CO"/>
        </w:rPr>
        <w:t xml:space="preserve">         </w:t>
      </w:r>
    </w:p>
    <w:p w:rsidR="00A47BE0" w:rsidRPr="00F3763D" w:rsidRDefault="00A47BE0" w:rsidP="00A47BE0">
      <w:pPr>
        <w:spacing w:after="0" w:line="240" w:lineRule="auto"/>
        <w:ind w:left="2832"/>
        <w:jc w:val="both"/>
        <w:rPr>
          <w:i/>
          <w:iCs/>
          <w:lang w:eastAsia="es-CO"/>
        </w:rPr>
      </w:pPr>
      <w:proofErr w:type="spellStart"/>
      <w:r w:rsidRPr="00F3763D">
        <w:rPr>
          <w:i/>
          <w:iCs/>
          <w:lang w:eastAsia="es-CO"/>
        </w:rPr>
        <w:t>Pmi</w:t>
      </w:r>
      <w:proofErr w:type="spellEnd"/>
      <w:r w:rsidRPr="00F3763D">
        <w:rPr>
          <w:i/>
          <w:iCs/>
          <w:lang w:eastAsia="es-CO"/>
        </w:rPr>
        <w:t xml:space="preserve"> = P</w:t>
      </w:r>
      <w:r>
        <w:rPr>
          <w:i/>
          <w:iCs/>
          <w:lang w:eastAsia="es-CO"/>
        </w:rPr>
        <w:t>0</w:t>
      </w:r>
      <w:r w:rsidRPr="00F3763D">
        <w:rPr>
          <w:i/>
          <w:iCs/>
          <w:lang w:eastAsia="es-CO"/>
        </w:rPr>
        <w:t xml:space="preserve"> – </w:t>
      </w:r>
      <w:proofErr w:type="spellStart"/>
      <w:r w:rsidRPr="00F3763D">
        <w:rPr>
          <w:i/>
          <w:iCs/>
          <w:lang w:eastAsia="es-CO"/>
        </w:rPr>
        <w:t>dp</w:t>
      </w:r>
      <w:proofErr w:type="spellEnd"/>
      <w:r w:rsidRPr="00F3763D">
        <w:rPr>
          <w:i/>
          <w:iCs/>
          <w:lang w:eastAsia="es-CO"/>
        </w:rPr>
        <w:t>/</w:t>
      </w:r>
      <w:proofErr w:type="spellStart"/>
      <w:r w:rsidRPr="00F3763D">
        <w:rPr>
          <w:i/>
          <w:iCs/>
          <w:lang w:eastAsia="es-CO"/>
        </w:rPr>
        <w:t>dq</w:t>
      </w:r>
      <w:proofErr w:type="spellEnd"/>
      <w:r w:rsidRPr="00F3763D">
        <w:rPr>
          <w:i/>
          <w:iCs/>
          <w:lang w:eastAsia="es-CO"/>
        </w:rPr>
        <w:t xml:space="preserve"> x </w:t>
      </w:r>
      <w:r w:rsidRPr="00F3763D">
        <w:rPr>
          <w:i/>
          <w:iCs/>
          <w:lang w:eastAsia="es-CO"/>
        </w:rPr>
        <w:sym w:font="Symbol" w:char="F044"/>
      </w:r>
      <w:r w:rsidRPr="00F3763D">
        <w:rPr>
          <w:i/>
          <w:iCs/>
          <w:lang w:eastAsia="es-CO"/>
        </w:rPr>
        <w:t>qi</w:t>
      </w:r>
    </w:p>
    <w:p w:rsidR="00A47BE0" w:rsidRPr="00F3763D" w:rsidRDefault="00A47BE0" w:rsidP="00A47BE0">
      <w:pPr>
        <w:spacing w:after="0" w:line="240" w:lineRule="auto"/>
        <w:jc w:val="both"/>
        <w:rPr>
          <w:i/>
          <w:iCs/>
          <w:lang w:eastAsia="es-CO"/>
        </w:rPr>
      </w:pPr>
    </w:p>
    <w:p w:rsidR="00A47BE0" w:rsidRPr="00F3763D" w:rsidRDefault="00A47BE0" w:rsidP="00A47BE0">
      <w:pPr>
        <w:spacing w:after="0" w:line="240" w:lineRule="auto"/>
        <w:ind w:firstLine="720"/>
        <w:jc w:val="both"/>
        <w:rPr>
          <w:lang w:eastAsia="es-CO"/>
        </w:rPr>
      </w:pPr>
      <w:r w:rsidRPr="00F3763D">
        <w:rPr>
          <w:lang w:eastAsia="es-CO"/>
        </w:rPr>
        <w:t xml:space="preserve">And the consumer’s surplus is calculated as: </w:t>
      </w:r>
    </w:p>
    <w:p w:rsidR="00A47BE0" w:rsidRPr="00F3763D" w:rsidRDefault="00A47BE0" w:rsidP="00A47BE0">
      <w:pPr>
        <w:spacing w:after="0" w:line="240" w:lineRule="auto"/>
        <w:jc w:val="both"/>
        <w:rPr>
          <w:lang w:eastAsia="es-CO"/>
        </w:rPr>
      </w:pPr>
    </w:p>
    <w:p w:rsidR="00A47BE0" w:rsidRPr="00F3763D" w:rsidRDefault="00A47BE0" w:rsidP="00A47BE0">
      <w:pPr>
        <w:spacing w:after="0" w:line="240" w:lineRule="auto"/>
        <w:jc w:val="both"/>
        <w:rPr>
          <w:i/>
          <w:iCs/>
          <w:lang w:eastAsia="es-CO"/>
        </w:rPr>
      </w:pPr>
      <w:r w:rsidRPr="00F3763D">
        <w:rPr>
          <w:lang w:eastAsia="es-CO"/>
        </w:rPr>
        <w:t xml:space="preserve">                                      Consumer’s surplus = (</w:t>
      </w:r>
      <w:proofErr w:type="spellStart"/>
      <w:r w:rsidRPr="00F3763D">
        <w:rPr>
          <w:i/>
          <w:iCs/>
          <w:lang w:eastAsia="es-CO"/>
        </w:rPr>
        <w:t>Pmi</w:t>
      </w:r>
      <w:proofErr w:type="spellEnd"/>
      <w:r w:rsidRPr="00F3763D">
        <w:rPr>
          <w:i/>
          <w:iCs/>
          <w:lang w:eastAsia="es-CO"/>
        </w:rPr>
        <w:t xml:space="preserve"> </w:t>
      </w:r>
      <w:r w:rsidRPr="00F3763D">
        <w:rPr>
          <w:lang w:eastAsia="es-CO"/>
        </w:rPr>
        <w:t xml:space="preserve">– </w:t>
      </w:r>
      <w:r w:rsidRPr="00F3763D">
        <w:rPr>
          <w:i/>
          <w:iCs/>
          <w:lang w:eastAsia="es-CO"/>
        </w:rPr>
        <w:t>P</w:t>
      </w:r>
      <w:r>
        <w:rPr>
          <w:i/>
          <w:iCs/>
          <w:lang w:eastAsia="es-CO"/>
        </w:rPr>
        <w:t>0</w:t>
      </w:r>
      <w:r w:rsidRPr="00F3763D">
        <w:rPr>
          <w:lang w:eastAsia="es-CO"/>
        </w:rPr>
        <w:t xml:space="preserve">) x </w:t>
      </w:r>
      <w:r w:rsidRPr="00F3763D">
        <w:rPr>
          <w:i/>
          <w:iCs/>
          <w:lang w:eastAsia="es-CO"/>
        </w:rPr>
        <w:sym w:font="Symbol" w:char="F044"/>
      </w:r>
      <w:r w:rsidRPr="00F3763D">
        <w:rPr>
          <w:i/>
          <w:iCs/>
          <w:lang w:eastAsia="es-CO"/>
        </w:rPr>
        <w:t>qi / 2</w:t>
      </w:r>
    </w:p>
    <w:p w:rsidR="00A47BE0" w:rsidRPr="00BF0BAC" w:rsidRDefault="00A47BE0" w:rsidP="00A47BE0">
      <w:pPr>
        <w:spacing w:after="0" w:line="360" w:lineRule="auto"/>
        <w:jc w:val="both"/>
      </w:pPr>
    </w:p>
    <w:p w:rsidR="00A47BE0" w:rsidRPr="00F3763D" w:rsidRDefault="00A47BE0" w:rsidP="00A47BE0">
      <w:pPr>
        <w:spacing w:after="0" w:line="360" w:lineRule="auto"/>
        <w:ind w:left="720"/>
        <w:jc w:val="both"/>
        <w:rPr>
          <w:lang w:eastAsia="es-CO"/>
        </w:rPr>
      </w:pPr>
      <w:r w:rsidRPr="00F3763D">
        <w:rPr>
          <w:lang w:eastAsia="es-CO"/>
        </w:rPr>
        <w:t xml:space="preserve">In the equation </w:t>
      </w:r>
      <w:r w:rsidRPr="00F3763D">
        <w:rPr>
          <w:lang w:eastAsia="es-CO"/>
        </w:rPr>
        <w:sym w:font="Symbol" w:char="F044"/>
      </w:r>
      <w:r w:rsidRPr="00F3763D">
        <w:rPr>
          <w:lang w:eastAsia="es-CO"/>
        </w:rPr>
        <w:t>qi is t</w:t>
      </w:r>
      <w:r>
        <w:rPr>
          <w:lang w:eastAsia="es-CO"/>
        </w:rPr>
        <w:t>he increase of electricity consumption</w:t>
      </w:r>
      <w:r w:rsidRPr="00F3763D">
        <w:rPr>
          <w:lang w:eastAsia="es-CO"/>
        </w:rPr>
        <w:t xml:space="preserve"> in year i associated to the projects (</w:t>
      </w:r>
      <w:r w:rsidRPr="00F3763D">
        <w:rPr>
          <w:lang w:eastAsia="es-CO"/>
        </w:rPr>
        <w:sym w:font="Symbol" w:char="F044"/>
      </w:r>
      <w:r w:rsidRPr="00F3763D">
        <w:rPr>
          <w:lang w:eastAsia="es-CO"/>
        </w:rPr>
        <w:t xml:space="preserve">qi = </w:t>
      </w:r>
      <w:proofErr w:type="spellStart"/>
      <w:r w:rsidRPr="00F3763D">
        <w:rPr>
          <w:lang w:eastAsia="es-CO"/>
        </w:rPr>
        <w:t>Q</w:t>
      </w:r>
      <w:r>
        <w:rPr>
          <w:lang w:eastAsia="es-CO"/>
        </w:rPr>
        <w:t>mi</w:t>
      </w:r>
      <w:proofErr w:type="spellEnd"/>
      <w:r>
        <w:rPr>
          <w:lang w:eastAsia="es-CO"/>
        </w:rPr>
        <w:t xml:space="preserve"> - Qi</w:t>
      </w:r>
      <w:r w:rsidRPr="00F3763D">
        <w:rPr>
          <w:lang w:eastAsia="es-CO"/>
        </w:rPr>
        <w:t xml:space="preserve">), </w:t>
      </w:r>
      <w:proofErr w:type="spellStart"/>
      <w:r w:rsidRPr="00F3763D">
        <w:rPr>
          <w:lang w:eastAsia="es-CO"/>
        </w:rPr>
        <w:t>Pmi</w:t>
      </w:r>
      <w:proofErr w:type="spellEnd"/>
      <w:r w:rsidRPr="00F3763D">
        <w:rPr>
          <w:lang w:eastAsia="es-CO"/>
        </w:rPr>
        <w:t xml:space="preserve"> is calculated</w:t>
      </w:r>
      <w:r>
        <w:rPr>
          <w:lang w:eastAsia="es-CO"/>
        </w:rPr>
        <w:t xml:space="preserve"> with P0, E and the percentage </w:t>
      </w:r>
      <w:proofErr w:type="spellStart"/>
      <w:proofErr w:type="gramStart"/>
      <w:r>
        <w:rPr>
          <w:lang w:eastAsia="es-CO"/>
        </w:rPr>
        <w:t>Ri</w:t>
      </w:r>
      <w:proofErr w:type="spellEnd"/>
      <w:proofErr w:type="gramEnd"/>
      <w:r w:rsidRPr="00F3763D">
        <w:rPr>
          <w:lang w:eastAsia="es-CO"/>
        </w:rPr>
        <w:t xml:space="preserve"> of additional electricity consumed</w:t>
      </w:r>
      <w:r>
        <w:rPr>
          <w:lang w:eastAsia="es-CO"/>
        </w:rPr>
        <w:t xml:space="preserve"> attributable to the substations upgrade as </w:t>
      </w:r>
      <w:proofErr w:type="spellStart"/>
      <w:r>
        <w:rPr>
          <w:lang w:eastAsia="es-CO"/>
        </w:rPr>
        <w:t>Pmi</w:t>
      </w:r>
      <w:proofErr w:type="spellEnd"/>
      <w:r>
        <w:rPr>
          <w:lang w:eastAsia="es-CO"/>
        </w:rPr>
        <w:t xml:space="preserve"> = P0 x (1 - </w:t>
      </w:r>
      <w:proofErr w:type="spellStart"/>
      <w:r>
        <w:rPr>
          <w:lang w:eastAsia="es-CO"/>
        </w:rPr>
        <w:t>Ri</w:t>
      </w:r>
      <w:proofErr w:type="spellEnd"/>
      <w:r>
        <w:rPr>
          <w:lang w:eastAsia="es-CO"/>
        </w:rPr>
        <w:t>/E</w:t>
      </w:r>
      <w:r w:rsidRPr="00F3763D">
        <w:rPr>
          <w:lang w:eastAsia="es-CO"/>
        </w:rPr>
        <w:t xml:space="preserve">). Pi corresponds to the </w:t>
      </w:r>
      <w:r>
        <w:rPr>
          <w:lang w:eastAsia="es-CO"/>
        </w:rPr>
        <w:t>“</w:t>
      </w:r>
      <w:r w:rsidRPr="00F3763D">
        <w:rPr>
          <w:lang w:eastAsia="es-CO"/>
        </w:rPr>
        <w:t>cost effective tariff</w:t>
      </w:r>
      <w:r>
        <w:rPr>
          <w:lang w:eastAsia="es-CO"/>
        </w:rPr>
        <w:t>”</w:t>
      </w:r>
      <w:r w:rsidRPr="00F3763D">
        <w:rPr>
          <w:lang w:eastAsia="es-CO"/>
        </w:rPr>
        <w:t xml:space="preserve"> (</w:t>
      </w:r>
      <w:r w:rsidRPr="00F3763D">
        <w:rPr>
          <w:rFonts w:eastAsia="MS Mincho"/>
          <w:lang w:eastAsia="ja-JP"/>
        </w:rPr>
        <w:t>US$</w:t>
      </w:r>
      <w:r>
        <w:t xml:space="preserve"> 162</w:t>
      </w:r>
      <w:r>
        <w:rPr>
          <w:rFonts w:eastAsia="MS Mincho"/>
          <w:lang w:eastAsia="ja-JP"/>
        </w:rPr>
        <w:t>/</w:t>
      </w:r>
      <w:proofErr w:type="spellStart"/>
      <w:r>
        <w:rPr>
          <w:rFonts w:eastAsia="MS Mincho"/>
          <w:lang w:eastAsia="ja-JP"/>
        </w:rPr>
        <w:t>M</w:t>
      </w:r>
      <w:r w:rsidRPr="00F3763D">
        <w:rPr>
          <w:rFonts w:eastAsia="MS Mincho"/>
          <w:lang w:eastAsia="ja-JP"/>
        </w:rPr>
        <w:t>Wh</w:t>
      </w:r>
      <w:proofErr w:type="spellEnd"/>
      <w:r w:rsidRPr="00F3763D">
        <w:rPr>
          <w:rFonts w:eastAsia="MS Mincho"/>
          <w:lang w:eastAsia="ja-JP"/>
        </w:rPr>
        <w:t>)</w:t>
      </w:r>
      <w:r w:rsidRPr="00F3763D">
        <w:rPr>
          <w:lang w:eastAsia="es-CO"/>
        </w:rPr>
        <w:t xml:space="preserve">. </w:t>
      </w:r>
      <w:r>
        <w:rPr>
          <w:lang w:eastAsia="es-CO"/>
        </w:rPr>
        <w:t xml:space="preserve"> It will </w:t>
      </w:r>
      <w:proofErr w:type="spellStart"/>
      <w:r>
        <w:rPr>
          <w:lang w:eastAsia="es-CO"/>
        </w:rPr>
        <w:t>ve</w:t>
      </w:r>
      <w:proofErr w:type="spellEnd"/>
      <w:r w:rsidRPr="00F3763D">
        <w:rPr>
          <w:lang w:eastAsia="es-CO"/>
        </w:rPr>
        <w:t xml:space="preserve"> applied a Price-Elasticity according typical estimations of similar electricity markets in Latin America</w:t>
      </w:r>
      <w:r>
        <w:rPr>
          <w:lang w:eastAsia="es-CO"/>
        </w:rPr>
        <w:t xml:space="preserve">, and </w:t>
      </w:r>
      <w:proofErr w:type="spellStart"/>
      <w:proofErr w:type="gramStart"/>
      <w:r>
        <w:rPr>
          <w:lang w:eastAsia="es-CO"/>
        </w:rPr>
        <w:t>Ri</w:t>
      </w:r>
      <w:proofErr w:type="spellEnd"/>
      <w:proofErr w:type="gramEnd"/>
      <w:r w:rsidRPr="00F3763D">
        <w:rPr>
          <w:lang w:eastAsia="es-CO"/>
        </w:rPr>
        <w:t xml:space="preserve"> (</w:t>
      </w:r>
      <w:proofErr w:type="spellStart"/>
      <w:r>
        <w:rPr>
          <w:lang w:eastAsia="es-CO"/>
        </w:rPr>
        <w:t>Ri</w:t>
      </w:r>
      <w:proofErr w:type="spellEnd"/>
      <w:r w:rsidRPr="00F3763D">
        <w:rPr>
          <w:lang w:eastAsia="es-CO"/>
        </w:rPr>
        <w:t xml:space="preserve"> = </w:t>
      </w:r>
      <w:r w:rsidRPr="00F3763D">
        <w:rPr>
          <w:lang w:eastAsia="es-CO"/>
        </w:rPr>
        <w:sym w:font="Symbol" w:char="F044"/>
      </w:r>
      <w:r w:rsidRPr="00F3763D">
        <w:rPr>
          <w:lang w:eastAsia="es-CO"/>
        </w:rPr>
        <w:t xml:space="preserve">qi/Qi) </w:t>
      </w:r>
      <w:r>
        <w:rPr>
          <w:lang w:eastAsia="es-CO"/>
        </w:rPr>
        <w:t>will be</w:t>
      </w:r>
      <w:r w:rsidRPr="00F3763D">
        <w:rPr>
          <w:lang w:eastAsia="es-CO"/>
        </w:rPr>
        <w:t xml:space="preserve"> estimated from demand forecasts and distribution &amp; transmission capacities.</w:t>
      </w:r>
    </w:p>
    <w:p w:rsidR="00A47BE0" w:rsidRPr="00C0141A" w:rsidRDefault="00A47BE0" w:rsidP="00A47BE0">
      <w:pPr>
        <w:spacing w:after="0" w:line="360" w:lineRule="auto"/>
        <w:ind w:left="720"/>
        <w:jc w:val="both"/>
      </w:pPr>
    </w:p>
    <w:p w:rsidR="00A47BE0" w:rsidRDefault="00A47BE0" w:rsidP="00A47BE0">
      <w:pPr>
        <w:spacing w:after="0" w:line="360" w:lineRule="auto"/>
        <w:ind w:left="720"/>
        <w:jc w:val="both"/>
      </w:pPr>
      <w:r w:rsidRPr="00C0141A">
        <w:t xml:space="preserve">Demand forecasts of power distributed in each substation </w:t>
      </w:r>
      <w:r>
        <w:t>will be</w:t>
      </w:r>
      <w:r w:rsidRPr="00C0141A">
        <w:t xml:space="preserve"> from historical peak demand in 2012 (in MVA) and applying future demand increase estimated by EBS for each substation. Energy demand forecasts in </w:t>
      </w:r>
      <w:proofErr w:type="spellStart"/>
      <w:r w:rsidRPr="00C0141A">
        <w:t>MWh</w:t>
      </w:r>
      <w:proofErr w:type="spellEnd"/>
      <w:r w:rsidRPr="00C0141A">
        <w:t xml:space="preserve">/year in each substation </w:t>
      </w:r>
      <w:r>
        <w:t>will be</w:t>
      </w:r>
      <w:r w:rsidRPr="00C0141A">
        <w:t xml:space="preserve"> obtained from peak MVA forecasts by applying 0.9 as Power Factor, 0.71 as EPAR </w:t>
      </w:r>
      <w:r>
        <w:lastRenderedPageBreak/>
        <w:t xml:space="preserve">annual average Load Factor </w:t>
      </w:r>
      <w:r w:rsidRPr="00C0141A">
        <w:t xml:space="preserve">and 0.9 as Peak Load Diversity Factor. Electricity consumption of final users in </w:t>
      </w:r>
      <w:proofErr w:type="spellStart"/>
      <w:r w:rsidRPr="00C0141A">
        <w:t>MWh</w:t>
      </w:r>
      <w:proofErr w:type="spellEnd"/>
      <w:r w:rsidRPr="00C0141A">
        <w:t xml:space="preserve">/per year </w:t>
      </w:r>
      <w:r>
        <w:t xml:space="preserve">will be </w:t>
      </w:r>
      <w:r w:rsidRPr="00C0141A">
        <w:t>obtained considering 8.2% as Loss Factor, as informed by EBS.</w:t>
      </w:r>
    </w:p>
    <w:p w:rsidR="00A47BE0" w:rsidRPr="00C0141A" w:rsidRDefault="00A47BE0" w:rsidP="00A47BE0">
      <w:pPr>
        <w:spacing w:after="0" w:line="360" w:lineRule="auto"/>
        <w:jc w:val="both"/>
      </w:pPr>
    </w:p>
    <w:p w:rsidR="00A47BE0" w:rsidRPr="00C0141A" w:rsidRDefault="00A47BE0" w:rsidP="00A47BE0">
      <w:pPr>
        <w:pStyle w:val="Heading2"/>
        <w:numPr>
          <w:ilvl w:val="0"/>
          <w:numId w:val="0"/>
        </w:numPr>
        <w:spacing w:before="0" w:after="0" w:line="360" w:lineRule="auto"/>
        <w:rPr>
          <w:rStyle w:val="SubtleEmphasis"/>
          <w:color w:val="auto"/>
        </w:rPr>
      </w:pPr>
      <w:bookmarkStart w:id="38" w:name="_Toc365976355"/>
      <w:bookmarkStart w:id="39" w:name="_Toc365977163"/>
      <w:r w:rsidRPr="00C0141A">
        <w:rPr>
          <w:rStyle w:val="SubtleEmphasis"/>
          <w:color w:val="auto"/>
        </w:rPr>
        <w:t>Data Collection and Instruments</w:t>
      </w:r>
      <w:bookmarkEnd w:id="38"/>
      <w:bookmarkEnd w:id="39"/>
    </w:p>
    <w:p w:rsidR="00A47BE0" w:rsidRPr="00C0141A" w:rsidRDefault="00A47BE0" w:rsidP="00A47BE0">
      <w:pPr>
        <w:spacing w:after="0" w:line="360" w:lineRule="auto"/>
      </w:pPr>
    </w:p>
    <w:p w:rsidR="00A47BE0" w:rsidRPr="00C0141A" w:rsidRDefault="00A47BE0" w:rsidP="00A47BE0">
      <w:pPr>
        <w:spacing w:after="0" w:line="360" w:lineRule="auto"/>
        <w:jc w:val="both"/>
      </w:pPr>
      <w:bookmarkStart w:id="40" w:name="_Toc296958012"/>
      <w:r w:rsidRPr="00C0141A">
        <w:t xml:space="preserve">The analysis proposed in this section will replicate the ex-ante cost benefit analysis presented in Economic Analysis prepared for the Program. The information to be used for the CBA will be updated from the </w:t>
      </w:r>
      <w:r>
        <w:t xml:space="preserve">semiannual </w:t>
      </w:r>
      <w:r w:rsidRPr="00C0141A">
        <w:t xml:space="preserve">reports prepared by the </w:t>
      </w:r>
      <w:r>
        <w:t>prepared by EBS</w:t>
      </w:r>
      <w:r w:rsidRPr="00C0141A">
        <w:t xml:space="preserve"> MF</w:t>
      </w:r>
      <w:r>
        <w:t xml:space="preserve"> and the midterm evaluation. The</w:t>
      </w:r>
      <w:r w:rsidRPr="00C0141A">
        <w:t xml:space="preserve"> IDB will prepare Terms of Reference (</w:t>
      </w:r>
      <w:proofErr w:type="spellStart"/>
      <w:r w:rsidRPr="00C0141A">
        <w:t>ToRS</w:t>
      </w:r>
      <w:proofErr w:type="spellEnd"/>
      <w:r w:rsidRPr="00C0141A">
        <w:t>) for the development of the ex-</w:t>
      </w:r>
      <w:proofErr w:type="gramStart"/>
      <w:r w:rsidRPr="00C0141A">
        <w:t>post  CBA</w:t>
      </w:r>
      <w:proofErr w:type="gramEnd"/>
      <w:r w:rsidRPr="00C0141A">
        <w:t xml:space="preserve"> and a check list with the basic information needed for the ex-post CBA to be included in the EBS and MNH reports. </w:t>
      </w:r>
    </w:p>
    <w:bookmarkEnd w:id="40"/>
    <w:p w:rsidR="00A47BE0" w:rsidRPr="00C0141A" w:rsidRDefault="00A47BE0" w:rsidP="00A47BE0">
      <w:pPr>
        <w:pStyle w:val="ListParagraph"/>
        <w:spacing w:after="0" w:line="360" w:lineRule="auto"/>
        <w:ind w:left="1080"/>
        <w:jc w:val="both"/>
        <w:rPr>
          <w:lang w:eastAsia="ja-JP"/>
        </w:rPr>
      </w:pPr>
    </w:p>
    <w:p w:rsidR="00A47BE0" w:rsidRDefault="00A47BE0" w:rsidP="00A47BE0">
      <w:pPr>
        <w:spacing w:after="0" w:line="360" w:lineRule="auto"/>
        <w:jc w:val="both"/>
      </w:pPr>
      <w:r w:rsidRPr="00C0141A">
        <w:rPr>
          <w:lang w:eastAsia="ja-JP"/>
        </w:rPr>
        <w:t xml:space="preserve">And independent consultant will be hired by the IDB </w:t>
      </w:r>
      <w:r>
        <w:rPr>
          <w:lang w:eastAsia="ja-JP"/>
        </w:rPr>
        <w:t>for the period from January 2019 to March 2019</w:t>
      </w:r>
      <w:r w:rsidRPr="00C0141A">
        <w:rPr>
          <w:lang w:eastAsia="ja-JP"/>
        </w:rPr>
        <w:t>, who will prepare the ex-post CBA.</w:t>
      </w:r>
      <w:r w:rsidRPr="00C0141A">
        <w:t xml:space="preserve">  </w:t>
      </w:r>
      <w:proofErr w:type="spellStart"/>
      <w:r w:rsidRPr="00C0141A">
        <w:t>ToRs</w:t>
      </w:r>
      <w:proofErr w:type="spellEnd"/>
      <w:r w:rsidRPr="00C0141A">
        <w:t xml:space="preserve"> for the ex-post CBA will be prepared at the end of the </w:t>
      </w:r>
      <w:r>
        <w:t xml:space="preserve">last year of the project. </w:t>
      </w:r>
      <w:proofErr w:type="spellStart"/>
      <w:r>
        <w:t>ToR</w:t>
      </w:r>
      <w:proofErr w:type="spellEnd"/>
      <w:r>
        <w:t xml:space="preserve"> reference for the ex post CBA will follow the requirements established for the </w:t>
      </w:r>
      <w:proofErr w:type="spellStart"/>
      <w:r>
        <w:t>ex ante</w:t>
      </w:r>
      <w:proofErr w:type="spellEnd"/>
      <w:r>
        <w:t xml:space="preserve"> CBA (see Annex I).</w:t>
      </w:r>
    </w:p>
    <w:p w:rsidR="00A47BE0" w:rsidRPr="00C0141A" w:rsidRDefault="00A47BE0" w:rsidP="00A47BE0">
      <w:pPr>
        <w:spacing w:after="0" w:line="360" w:lineRule="auto"/>
        <w:jc w:val="both"/>
        <w:rPr>
          <w:lang w:eastAsia="ja-JP"/>
        </w:rPr>
      </w:pPr>
    </w:p>
    <w:p w:rsidR="00A47BE0" w:rsidRPr="00C0141A" w:rsidRDefault="00A47BE0" w:rsidP="00A47BE0">
      <w:pPr>
        <w:spacing w:after="0" w:line="360" w:lineRule="auto"/>
        <w:sectPr w:rsidR="00A47BE0" w:rsidRPr="00C0141A" w:rsidSect="001F7EB2">
          <w:pgSz w:w="12240" w:h="15840"/>
          <w:pgMar w:top="1440" w:right="1440" w:bottom="1440" w:left="1440" w:header="720" w:footer="720" w:gutter="0"/>
          <w:cols w:space="720"/>
          <w:docGrid w:linePitch="360"/>
        </w:sectPr>
      </w:pPr>
    </w:p>
    <w:p w:rsidR="00A47BE0" w:rsidRPr="00C0141A" w:rsidRDefault="00A47BE0" w:rsidP="00A47BE0">
      <w:pPr>
        <w:pStyle w:val="Heading2"/>
        <w:numPr>
          <w:ilvl w:val="0"/>
          <w:numId w:val="0"/>
        </w:numPr>
        <w:spacing w:before="0" w:after="0" w:line="360" w:lineRule="auto"/>
        <w:rPr>
          <w:rStyle w:val="SubtleEmphasis"/>
          <w:color w:val="auto"/>
        </w:rPr>
      </w:pPr>
      <w:bookmarkStart w:id="41" w:name="_Ref322096577"/>
      <w:bookmarkStart w:id="42" w:name="_Toc323827278"/>
      <w:bookmarkStart w:id="43" w:name="_Toc365976356"/>
      <w:bookmarkStart w:id="44" w:name="_Toc365977164"/>
      <w:r w:rsidRPr="00C0141A">
        <w:rPr>
          <w:rStyle w:val="SubtleEmphasis"/>
          <w:color w:val="auto"/>
        </w:rPr>
        <w:lastRenderedPageBreak/>
        <w:t>Evaluation Coordination, Work Plan and Budget</w:t>
      </w:r>
      <w:bookmarkEnd w:id="41"/>
      <w:bookmarkEnd w:id="42"/>
      <w:bookmarkEnd w:id="43"/>
      <w:bookmarkEnd w:id="44"/>
      <w:r w:rsidRPr="00C0141A">
        <w:rPr>
          <w:rStyle w:val="SubtleEmphasis"/>
          <w:color w:val="auto"/>
        </w:rPr>
        <w:t xml:space="preserve"> </w:t>
      </w:r>
    </w:p>
    <w:p w:rsidR="00A47BE0" w:rsidRPr="00C0141A" w:rsidRDefault="00A47BE0" w:rsidP="00A47BE0">
      <w:pPr>
        <w:spacing w:after="0" w:line="360" w:lineRule="auto"/>
      </w:pPr>
    </w:p>
    <w:p w:rsidR="00A47BE0" w:rsidRPr="00C0141A" w:rsidRDefault="00A47BE0" w:rsidP="00A47BE0">
      <w:pPr>
        <w:spacing w:after="0" w:line="360" w:lineRule="auto"/>
        <w:jc w:val="both"/>
        <w:rPr>
          <w:rFonts w:eastAsia="Times New Roman"/>
          <w:szCs w:val="20"/>
        </w:rPr>
      </w:pPr>
      <w:r w:rsidRPr="00C0141A">
        <w:rPr>
          <w:rFonts w:eastAsia="Times New Roman"/>
          <w:szCs w:val="20"/>
        </w:rPr>
        <w:t>The total cost of the evaluation plan is US$140.000. The IDB will hire an independent</w:t>
      </w:r>
      <w:r>
        <w:rPr>
          <w:rFonts w:eastAsia="Times New Roman"/>
          <w:szCs w:val="20"/>
        </w:rPr>
        <w:t xml:space="preserve"> and experienced</w:t>
      </w:r>
      <w:r w:rsidRPr="00C0141A">
        <w:rPr>
          <w:rFonts w:eastAsia="Times New Roman"/>
          <w:szCs w:val="20"/>
        </w:rPr>
        <w:t xml:space="preserve"> consultant</w:t>
      </w:r>
      <w:r>
        <w:rPr>
          <w:rFonts w:eastAsia="Times New Roman"/>
          <w:szCs w:val="20"/>
        </w:rPr>
        <w:t xml:space="preserve"> or firm</w:t>
      </w:r>
      <w:r w:rsidRPr="00C0141A">
        <w:rPr>
          <w:rFonts w:eastAsia="Times New Roman"/>
          <w:szCs w:val="20"/>
        </w:rPr>
        <w:t xml:space="preserve"> for preparing the Project Completion Report (PCR) (ex-post cost benefit analysis), which will be validated by </w:t>
      </w:r>
      <w:r w:rsidRPr="00C0141A">
        <w:rPr>
          <w:szCs w:val="20"/>
        </w:rPr>
        <w:t>the</w:t>
      </w:r>
      <w:r w:rsidRPr="00C0141A">
        <w:rPr>
          <w:rFonts w:eastAsia="Times New Roman"/>
          <w:szCs w:val="20"/>
        </w:rPr>
        <w:t xml:space="preserve"> Executing Agency (EA)</w:t>
      </w:r>
      <w:r>
        <w:rPr>
          <w:rFonts w:eastAsia="Times New Roman"/>
          <w:szCs w:val="20"/>
        </w:rPr>
        <w:t>.</w:t>
      </w:r>
    </w:p>
    <w:p w:rsidR="00A47BE0" w:rsidRPr="00C0141A" w:rsidRDefault="00A47BE0" w:rsidP="00A47BE0">
      <w:pPr>
        <w:spacing w:after="0" w:line="360" w:lineRule="auto"/>
        <w:jc w:val="both"/>
        <w:rPr>
          <w:rFonts w:eastAsia="Times New Roman"/>
          <w:szCs w:val="20"/>
        </w:rPr>
      </w:pPr>
    </w:p>
    <w:tbl>
      <w:tblPr>
        <w:tblW w:w="13924" w:type="dxa"/>
        <w:tblInd w:w="-252" w:type="dxa"/>
        <w:tblLook w:val="04A0" w:firstRow="1" w:lastRow="0" w:firstColumn="1" w:lastColumn="0" w:noHBand="0" w:noVBand="1"/>
      </w:tblPr>
      <w:tblGrid>
        <w:gridCol w:w="3426"/>
        <w:gridCol w:w="640"/>
        <w:gridCol w:w="703"/>
        <w:gridCol w:w="640"/>
        <w:gridCol w:w="704"/>
        <w:gridCol w:w="641"/>
        <w:gridCol w:w="704"/>
        <w:gridCol w:w="641"/>
        <w:gridCol w:w="704"/>
        <w:gridCol w:w="641"/>
        <w:gridCol w:w="704"/>
        <w:gridCol w:w="1401"/>
        <w:gridCol w:w="1364"/>
        <w:gridCol w:w="1011"/>
      </w:tblGrid>
      <w:tr w:rsidR="00A47BE0" w:rsidRPr="00C0141A" w:rsidTr="00177A31">
        <w:trPr>
          <w:trHeight w:val="320"/>
        </w:trPr>
        <w:tc>
          <w:tcPr>
            <w:tcW w:w="342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proofErr w:type="spellStart"/>
            <w:r w:rsidRPr="00C0141A">
              <w:rPr>
                <w:rFonts w:eastAsia="Times New Roman"/>
                <w:b/>
                <w:bCs/>
                <w:color w:val="000000"/>
                <w:sz w:val="22"/>
                <w:lang w:val="es-AR"/>
              </w:rPr>
              <w:t>Activity</w:t>
            </w:r>
            <w:proofErr w:type="spellEnd"/>
          </w:p>
        </w:tc>
        <w:tc>
          <w:tcPr>
            <w:tcW w:w="1343"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2012</w:t>
            </w:r>
          </w:p>
        </w:tc>
        <w:tc>
          <w:tcPr>
            <w:tcW w:w="1344"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2013</w:t>
            </w:r>
          </w:p>
        </w:tc>
        <w:tc>
          <w:tcPr>
            <w:tcW w:w="134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2014</w:t>
            </w:r>
          </w:p>
        </w:tc>
        <w:tc>
          <w:tcPr>
            <w:tcW w:w="134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2015</w:t>
            </w:r>
          </w:p>
        </w:tc>
        <w:tc>
          <w:tcPr>
            <w:tcW w:w="134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2016</w:t>
            </w:r>
          </w:p>
        </w:tc>
        <w:tc>
          <w:tcPr>
            <w:tcW w:w="140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lang w:val="es-ES"/>
              </w:rPr>
              <w:t>Responsable</w:t>
            </w:r>
          </w:p>
        </w:tc>
        <w:tc>
          <w:tcPr>
            <w:tcW w:w="136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proofErr w:type="spellStart"/>
            <w:r w:rsidRPr="00C0141A">
              <w:rPr>
                <w:rFonts w:eastAsia="Times New Roman"/>
                <w:b/>
                <w:bCs/>
                <w:color w:val="000000"/>
                <w:sz w:val="22"/>
                <w:lang w:val="es-AR"/>
              </w:rPr>
              <w:t>Costs</w:t>
            </w:r>
            <w:proofErr w:type="spellEnd"/>
          </w:p>
        </w:tc>
        <w:tc>
          <w:tcPr>
            <w:tcW w:w="101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proofErr w:type="spellStart"/>
            <w:r w:rsidRPr="00C0141A">
              <w:rPr>
                <w:rFonts w:eastAsia="Times New Roman"/>
                <w:b/>
                <w:bCs/>
                <w:color w:val="000000"/>
                <w:sz w:val="22"/>
                <w:lang w:val="es-AR"/>
              </w:rPr>
              <w:t>Funding</w:t>
            </w:r>
            <w:proofErr w:type="spellEnd"/>
          </w:p>
        </w:tc>
      </w:tr>
      <w:tr w:rsidR="00A47BE0" w:rsidRPr="00C0141A" w:rsidTr="00177A31">
        <w:trPr>
          <w:trHeight w:val="320"/>
        </w:trPr>
        <w:tc>
          <w:tcPr>
            <w:tcW w:w="3426" w:type="dxa"/>
            <w:vMerge/>
            <w:tcBorders>
              <w:top w:val="single" w:sz="8" w:space="0" w:color="auto"/>
              <w:left w:val="single" w:sz="8" w:space="0" w:color="auto"/>
              <w:bottom w:val="single" w:sz="8" w:space="0" w:color="000000"/>
              <w:right w:val="single" w:sz="8" w:space="0" w:color="auto"/>
            </w:tcBorders>
            <w:vAlign w:val="center"/>
            <w:hideMark/>
          </w:tcPr>
          <w:p w:rsidR="00A47BE0" w:rsidRPr="00C0141A" w:rsidRDefault="00A47BE0" w:rsidP="00177A31">
            <w:pPr>
              <w:spacing w:after="0" w:line="360" w:lineRule="auto"/>
              <w:rPr>
                <w:rFonts w:eastAsia="Times New Roman"/>
                <w:b/>
                <w:bCs/>
                <w:color w:val="000000"/>
                <w:sz w:val="22"/>
              </w:rPr>
            </w:pPr>
          </w:p>
        </w:tc>
        <w:tc>
          <w:tcPr>
            <w:tcW w:w="640"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Jun</w:t>
            </w:r>
          </w:p>
        </w:tc>
        <w:tc>
          <w:tcPr>
            <w:tcW w:w="703"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Dec</w:t>
            </w:r>
          </w:p>
        </w:tc>
        <w:tc>
          <w:tcPr>
            <w:tcW w:w="640"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Jun</w:t>
            </w:r>
          </w:p>
        </w:tc>
        <w:tc>
          <w:tcPr>
            <w:tcW w:w="704"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Dec</w:t>
            </w:r>
          </w:p>
        </w:tc>
        <w:tc>
          <w:tcPr>
            <w:tcW w:w="641"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Jun</w:t>
            </w:r>
          </w:p>
        </w:tc>
        <w:tc>
          <w:tcPr>
            <w:tcW w:w="704"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Dec</w:t>
            </w:r>
          </w:p>
        </w:tc>
        <w:tc>
          <w:tcPr>
            <w:tcW w:w="641"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Jun</w:t>
            </w:r>
          </w:p>
        </w:tc>
        <w:tc>
          <w:tcPr>
            <w:tcW w:w="704"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Dec</w:t>
            </w:r>
          </w:p>
        </w:tc>
        <w:tc>
          <w:tcPr>
            <w:tcW w:w="641"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Jun</w:t>
            </w:r>
          </w:p>
        </w:tc>
        <w:tc>
          <w:tcPr>
            <w:tcW w:w="704" w:type="dxa"/>
            <w:tcBorders>
              <w:top w:val="nil"/>
              <w:left w:val="nil"/>
              <w:bottom w:val="single" w:sz="8" w:space="0" w:color="auto"/>
              <w:right w:val="single" w:sz="8" w:space="0" w:color="auto"/>
            </w:tcBorders>
            <w:shd w:val="clear" w:color="000000" w:fill="D9D9D9"/>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Dec</w:t>
            </w: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A47BE0" w:rsidRPr="00C0141A" w:rsidRDefault="00A47BE0" w:rsidP="00177A31">
            <w:pPr>
              <w:spacing w:after="0" w:line="360" w:lineRule="auto"/>
              <w:rPr>
                <w:rFonts w:eastAsia="Times New Roman"/>
                <w:b/>
                <w:bCs/>
                <w:color w:val="000000"/>
                <w:sz w:val="22"/>
              </w:rPr>
            </w:pPr>
          </w:p>
        </w:tc>
        <w:tc>
          <w:tcPr>
            <w:tcW w:w="1364" w:type="dxa"/>
            <w:vMerge/>
            <w:tcBorders>
              <w:top w:val="single" w:sz="8" w:space="0" w:color="auto"/>
              <w:left w:val="single" w:sz="8" w:space="0" w:color="auto"/>
              <w:bottom w:val="single" w:sz="8" w:space="0" w:color="000000"/>
              <w:right w:val="single" w:sz="8" w:space="0" w:color="auto"/>
            </w:tcBorders>
            <w:vAlign w:val="center"/>
            <w:hideMark/>
          </w:tcPr>
          <w:p w:rsidR="00A47BE0" w:rsidRPr="00C0141A" w:rsidRDefault="00A47BE0" w:rsidP="00177A31">
            <w:pPr>
              <w:spacing w:after="0" w:line="360" w:lineRule="auto"/>
              <w:rPr>
                <w:rFonts w:eastAsia="Times New Roman"/>
                <w:b/>
                <w:bCs/>
                <w:color w:val="000000"/>
                <w:sz w:val="22"/>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rsidR="00A47BE0" w:rsidRPr="00C0141A" w:rsidRDefault="00A47BE0" w:rsidP="00177A31">
            <w:pPr>
              <w:spacing w:after="0" w:line="360" w:lineRule="auto"/>
              <w:rPr>
                <w:rFonts w:eastAsia="Times New Roman"/>
                <w:b/>
                <w:bCs/>
                <w:color w:val="000000"/>
                <w:sz w:val="22"/>
              </w:rPr>
            </w:pPr>
          </w:p>
        </w:tc>
      </w:tr>
      <w:tr w:rsidR="00A47BE0" w:rsidRPr="00C0141A" w:rsidTr="00177A31">
        <w:trPr>
          <w:trHeight w:val="320"/>
        </w:trPr>
        <w:tc>
          <w:tcPr>
            <w:tcW w:w="3426" w:type="dxa"/>
            <w:tcBorders>
              <w:top w:val="nil"/>
              <w:left w:val="single" w:sz="8" w:space="0" w:color="auto"/>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Progress</w:t>
            </w:r>
            <w:r w:rsidRPr="00C0141A">
              <w:rPr>
                <w:rFonts w:eastAsia="Times New Roman"/>
                <w:color w:val="000000"/>
                <w:sz w:val="22"/>
                <w:lang w:val="es-ES_tradnl"/>
              </w:rPr>
              <w:t xml:space="preserve"> </w:t>
            </w:r>
            <w:proofErr w:type="spellStart"/>
            <w:r w:rsidRPr="00C0141A">
              <w:rPr>
                <w:rFonts w:eastAsia="Times New Roman"/>
                <w:color w:val="000000"/>
                <w:sz w:val="22"/>
                <w:lang w:val="es-ES_tradnl"/>
              </w:rPr>
              <w:t>Reports</w:t>
            </w:r>
            <w:proofErr w:type="spellEnd"/>
          </w:p>
        </w:tc>
        <w:tc>
          <w:tcPr>
            <w:tcW w:w="640"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3"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640"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4" w:type="dxa"/>
            <w:tcBorders>
              <w:top w:val="nil"/>
              <w:left w:val="nil"/>
              <w:bottom w:val="single" w:sz="8" w:space="0" w:color="auto"/>
              <w:right w:val="single" w:sz="8" w:space="0" w:color="auto"/>
            </w:tcBorders>
            <w:shd w:val="clear" w:color="000000" w:fill="92D050"/>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64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4" w:type="dxa"/>
            <w:tcBorders>
              <w:top w:val="nil"/>
              <w:left w:val="nil"/>
              <w:bottom w:val="single" w:sz="8" w:space="0" w:color="auto"/>
              <w:right w:val="single" w:sz="8" w:space="0" w:color="auto"/>
            </w:tcBorders>
            <w:shd w:val="clear" w:color="000000" w:fill="92D050"/>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64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64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140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center"/>
              <w:rPr>
                <w:rFonts w:eastAsia="Times New Roman"/>
                <w:color w:val="000000"/>
                <w:sz w:val="22"/>
              </w:rPr>
            </w:pPr>
            <w:r w:rsidRPr="00C0141A">
              <w:rPr>
                <w:rFonts w:eastAsia="Times New Roman"/>
                <w:color w:val="000000"/>
                <w:sz w:val="22"/>
              </w:rPr>
              <w:t>BID/</w:t>
            </w:r>
            <w:r>
              <w:rPr>
                <w:rFonts w:eastAsia="Times New Roman"/>
                <w:color w:val="000000"/>
                <w:sz w:val="22"/>
              </w:rPr>
              <w:t>EBS</w:t>
            </w:r>
          </w:p>
        </w:tc>
        <w:tc>
          <w:tcPr>
            <w:tcW w:w="136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right"/>
              <w:rPr>
                <w:rFonts w:eastAsia="Times New Roman"/>
                <w:color w:val="000000"/>
                <w:sz w:val="22"/>
              </w:rPr>
            </w:pPr>
            <w:r w:rsidRPr="00C0141A">
              <w:rPr>
                <w:rFonts w:eastAsia="Times New Roman"/>
                <w:color w:val="000000"/>
                <w:sz w:val="22"/>
              </w:rPr>
              <w:t xml:space="preserve">$100,000.00 </w:t>
            </w:r>
          </w:p>
        </w:tc>
        <w:tc>
          <w:tcPr>
            <w:tcW w:w="101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center"/>
              <w:rPr>
                <w:rFonts w:eastAsia="Times New Roman"/>
                <w:color w:val="000000"/>
                <w:sz w:val="22"/>
              </w:rPr>
            </w:pPr>
            <w:r>
              <w:rPr>
                <w:rFonts w:eastAsia="Times New Roman"/>
                <w:color w:val="000000"/>
                <w:sz w:val="22"/>
              </w:rPr>
              <w:t>EBS</w:t>
            </w:r>
          </w:p>
        </w:tc>
      </w:tr>
      <w:tr w:rsidR="00A47BE0" w:rsidRPr="00C0141A" w:rsidTr="00177A31">
        <w:trPr>
          <w:trHeight w:val="320"/>
        </w:trPr>
        <w:tc>
          <w:tcPr>
            <w:tcW w:w="3426" w:type="dxa"/>
            <w:tcBorders>
              <w:top w:val="nil"/>
              <w:left w:val="single" w:sz="8" w:space="0" w:color="auto"/>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Ex-post CBA</w:t>
            </w:r>
          </w:p>
        </w:tc>
        <w:tc>
          <w:tcPr>
            <w:tcW w:w="640"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703"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640"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64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64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641" w:type="dxa"/>
            <w:tcBorders>
              <w:top w:val="nil"/>
              <w:left w:val="nil"/>
              <w:bottom w:val="single" w:sz="8" w:space="0" w:color="auto"/>
              <w:right w:val="single" w:sz="8" w:space="0" w:color="auto"/>
            </w:tcBorders>
            <w:shd w:val="clear" w:color="000000" w:fill="92D050"/>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rPr>
              <w:t> </w:t>
            </w:r>
          </w:p>
        </w:tc>
        <w:tc>
          <w:tcPr>
            <w:tcW w:w="140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center"/>
              <w:rPr>
                <w:rFonts w:eastAsia="Times New Roman"/>
                <w:color w:val="000000"/>
                <w:sz w:val="22"/>
              </w:rPr>
            </w:pPr>
            <w:r w:rsidRPr="00C0141A">
              <w:rPr>
                <w:rFonts w:eastAsia="Times New Roman"/>
                <w:color w:val="000000"/>
                <w:sz w:val="22"/>
              </w:rPr>
              <w:t>BID</w:t>
            </w:r>
          </w:p>
        </w:tc>
        <w:tc>
          <w:tcPr>
            <w:tcW w:w="136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right"/>
              <w:rPr>
                <w:rFonts w:eastAsia="Times New Roman"/>
                <w:color w:val="000000"/>
                <w:sz w:val="22"/>
              </w:rPr>
            </w:pPr>
            <w:r w:rsidRPr="00C0141A">
              <w:rPr>
                <w:rFonts w:eastAsia="Times New Roman"/>
                <w:color w:val="000000"/>
                <w:sz w:val="22"/>
              </w:rPr>
              <w:t xml:space="preserve">$20,000.00 </w:t>
            </w:r>
          </w:p>
        </w:tc>
        <w:tc>
          <w:tcPr>
            <w:tcW w:w="101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center"/>
              <w:rPr>
                <w:rFonts w:eastAsia="Times New Roman"/>
                <w:color w:val="000000"/>
                <w:sz w:val="22"/>
              </w:rPr>
            </w:pPr>
            <w:r w:rsidRPr="00C0141A">
              <w:rPr>
                <w:rFonts w:eastAsia="Times New Roman"/>
                <w:color w:val="000000"/>
                <w:sz w:val="22"/>
              </w:rPr>
              <w:t>BID</w:t>
            </w:r>
          </w:p>
        </w:tc>
      </w:tr>
      <w:tr w:rsidR="00A47BE0" w:rsidRPr="00C0141A" w:rsidTr="00177A31">
        <w:trPr>
          <w:trHeight w:val="320"/>
        </w:trPr>
        <w:tc>
          <w:tcPr>
            <w:tcW w:w="3426" w:type="dxa"/>
            <w:tcBorders>
              <w:top w:val="nil"/>
              <w:left w:val="single" w:sz="8" w:space="0" w:color="auto"/>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xml:space="preserve">Project </w:t>
            </w:r>
            <w:r w:rsidRPr="00C0141A">
              <w:rPr>
                <w:rFonts w:eastAsia="Times New Roman"/>
                <w:color w:val="000000"/>
                <w:sz w:val="22"/>
              </w:rPr>
              <w:t>Completion</w:t>
            </w:r>
            <w:r w:rsidRPr="00C0141A">
              <w:rPr>
                <w:rFonts w:eastAsia="Times New Roman"/>
                <w:color w:val="000000"/>
                <w:sz w:val="22"/>
                <w:lang w:val="es-ES_tradnl"/>
              </w:rPr>
              <w:t xml:space="preserve"> </w:t>
            </w:r>
            <w:r w:rsidRPr="00C0141A">
              <w:rPr>
                <w:rFonts w:eastAsia="Times New Roman"/>
                <w:color w:val="000000"/>
                <w:sz w:val="22"/>
              </w:rPr>
              <w:t>Report</w:t>
            </w:r>
            <w:r w:rsidRPr="00C0141A">
              <w:rPr>
                <w:rFonts w:eastAsia="Times New Roman"/>
                <w:color w:val="000000"/>
                <w:sz w:val="22"/>
                <w:lang w:val="es-ES_tradnl"/>
              </w:rPr>
              <w:t xml:space="preserve"> (PCR) </w:t>
            </w:r>
          </w:p>
        </w:tc>
        <w:tc>
          <w:tcPr>
            <w:tcW w:w="640"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3"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640"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64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64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641" w:type="dxa"/>
            <w:tcBorders>
              <w:top w:val="nil"/>
              <w:left w:val="nil"/>
              <w:bottom w:val="single" w:sz="8" w:space="0" w:color="auto"/>
              <w:right w:val="single" w:sz="8" w:space="0" w:color="auto"/>
            </w:tcBorders>
            <w:shd w:val="clear" w:color="000000" w:fill="92D050"/>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70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color w:val="000000"/>
                <w:sz w:val="22"/>
              </w:rPr>
            </w:pPr>
            <w:r w:rsidRPr="00C0141A">
              <w:rPr>
                <w:rFonts w:eastAsia="Times New Roman"/>
                <w:color w:val="000000"/>
                <w:sz w:val="22"/>
                <w:lang w:val="es-ES_tradnl"/>
              </w:rPr>
              <w:t> </w:t>
            </w:r>
          </w:p>
        </w:tc>
        <w:tc>
          <w:tcPr>
            <w:tcW w:w="140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center"/>
              <w:rPr>
                <w:rFonts w:eastAsia="Times New Roman"/>
                <w:color w:val="000000"/>
                <w:sz w:val="22"/>
              </w:rPr>
            </w:pPr>
            <w:r w:rsidRPr="00C0141A">
              <w:rPr>
                <w:rFonts w:eastAsia="Times New Roman"/>
                <w:color w:val="000000"/>
                <w:sz w:val="22"/>
              </w:rPr>
              <w:t>BID</w:t>
            </w:r>
          </w:p>
        </w:tc>
        <w:tc>
          <w:tcPr>
            <w:tcW w:w="136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right"/>
              <w:rPr>
                <w:rFonts w:eastAsia="Times New Roman"/>
                <w:color w:val="000000"/>
                <w:sz w:val="22"/>
              </w:rPr>
            </w:pPr>
            <w:r w:rsidRPr="00C0141A">
              <w:rPr>
                <w:rFonts w:eastAsia="Times New Roman"/>
                <w:color w:val="000000"/>
                <w:sz w:val="22"/>
              </w:rPr>
              <w:t xml:space="preserve">$20,000.00 </w:t>
            </w:r>
          </w:p>
        </w:tc>
        <w:tc>
          <w:tcPr>
            <w:tcW w:w="101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center"/>
              <w:rPr>
                <w:rFonts w:eastAsia="Times New Roman"/>
                <w:color w:val="000000"/>
                <w:sz w:val="22"/>
              </w:rPr>
            </w:pPr>
            <w:r w:rsidRPr="00C0141A">
              <w:rPr>
                <w:rFonts w:eastAsia="Times New Roman"/>
                <w:color w:val="000000"/>
                <w:sz w:val="22"/>
              </w:rPr>
              <w:t>BID</w:t>
            </w:r>
          </w:p>
        </w:tc>
      </w:tr>
      <w:tr w:rsidR="00A47BE0" w:rsidRPr="00C0141A" w:rsidTr="00177A31">
        <w:trPr>
          <w:trHeight w:val="320"/>
        </w:trPr>
        <w:tc>
          <w:tcPr>
            <w:tcW w:w="3426" w:type="dxa"/>
            <w:tcBorders>
              <w:top w:val="nil"/>
              <w:left w:val="single" w:sz="8" w:space="0" w:color="auto"/>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rPr>
                <w:rFonts w:eastAsia="Times New Roman"/>
                <w:b/>
                <w:bCs/>
                <w:color w:val="000000"/>
                <w:sz w:val="22"/>
              </w:rPr>
            </w:pPr>
            <w:r w:rsidRPr="00C0141A">
              <w:rPr>
                <w:rFonts w:eastAsia="Times New Roman"/>
                <w:b/>
                <w:bCs/>
                <w:color w:val="000000"/>
                <w:sz w:val="22"/>
              </w:rPr>
              <w:t>Total</w:t>
            </w:r>
          </w:p>
        </w:tc>
        <w:tc>
          <w:tcPr>
            <w:tcW w:w="8123"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 </w:t>
            </w:r>
          </w:p>
        </w:tc>
        <w:tc>
          <w:tcPr>
            <w:tcW w:w="1364"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right"/>
              <w:rPr>
                <w:rFonts w:eastAsia="Times New Roman"/>
                <w:b/>
                <w:bCs/>
                <w:color w:val="000000"/>
                <w:sz w:val="22"/>
              </w:rPr>
            </w:pPr>
            <w:r w:rsidRPr="00C0141A">
              <w:rPr>
                <w:rFonts w:eastAsia="Times New Roman"/>
                <w:b/>
                <w:bCs/>
                <w:color w:val="000000"/>
                <w:sz w:val="22"/>
              </w:rPr>
              <w:t xml:space="preserve">$140,000.00 </w:t>
            </w:r>
          </w:p>
        </w:tc>
        <w:tc>
          <w:tcPr>
            <w:tcW w:w="1011" w:type="dxa"/>
            <w:tcBorders>
              <w:top w:val="nil"/>
              <w:left w:val="nil"/>
              <w:bottom w:val="single" w:sz="8" w:space="0" w:color="auto"/>
              <w:right w:val="single" w:sz="8" w:space="0" w:color="auto"/>
            </w:tcBorders>
            <w:shd w:val="clear" w:color="auto" w:fill="auto"/>
            <w:noWrap/>
            <w:vAlign w:val="center"/>
            <w:hideMark/>
          </w:tcPr>
          <w:p w:rsidR="00A47BE0" w:rsidRPr="00C0141A" w:rsidRDefault="00A47BE0" w:rsidP="00177A31">
            <w:pPr>
              <w:spacing w:after="0" w:line="360" w:lineRule="auto"/>
              <w:jc w:val="center"/>
              <w:rPr>
                <w:rFonts w:eastAsia="Times New Roman"/>
                <w:b/>
                <w:bCs/>
                <w:color w:val="000000"/>
                <w:sz w:val="22"/>
              </w:rPr>
            </w:pPr>
            <w:r w:rsidRPr="00C0141A">
              <w:rPr>
                <w:rFonts w:eastAsia="Times New Roman"/>
                <w:b/>
                <w:bCs/>
                <w:color w:val="000000"/>
                <w:sz w:val="22"/>
              </w:rPr>
              <w:t> </w:t>
            </w:r>
          </w:p>
        </w:tc>
      </w:tr>
    </w:tbl>
    <w:p w:rsidR="00A47BE0" w:rsidRPr="00C0141A" w:rsidRDefault="00A47BE0" w:rsidP="00A47BE0">
      <w:pPr>
        <w:spacing w:after="0" w:line="360" w:lineRule="auto"/>
        <w:jc w:val="both"/>
        <w:rPr>
          <w:rFonts w:eastAsia="Times New Roman"/>
          <w:szCs w:val="20"/>
        </w:rPr>
      </w:pPr>
    </w:p>
    <w:p w:rsidR="00A47BE0" w:rsidRPr="00C0141A" w:rsidRDefault="00A47BE0" w:rsidP="00A47BE0">
      <w:pPr>
        <w:spacing w:after="0" w:line="360" w:lineRule="auto"/>
        <w:jc w:val="both"/>
        <w:rPr>
          <w:szCs w:val="24"/>
        </w:rPr>
      </w:pPr>
      <w:r w:rsidRPr="00C0141A">
        <w:rPr>
          <w:szCs w:val="20"/>
        </w:rPr>
        <w:t>The borrower is responsible for</w:t>
      </w:r>
      <w:r w:rsidRPr="00C0141A">
        <w:rPr>
          <w:szCs w:val="24"/>
        </w:rPr>
        <w:t xml:space="preserve"> </w:t>
      </w:r>
      <w:r>
        <w:rPr>
          <w:szCs w:val="24"/>
        </w:rPr>
        <w:t>supporting</w:t>
      </w:r>
      <w:r w:rsidRPr="00C0141A">
        <w:rPr>
          <w:szCs w:val="24"/>
        </w:rPr>
        <w:t xml:space="preserve"> IDB team and consultant(s) in all the matters related with the </w:t>
      </w:r>
      <w:r>
        <w:rPr>
          <w:szCs w:val="24"/>
        </w:rPr>
        <w:t xml:space="preserve">Monitoring and </w:t>
      </w:r>
      <w:r w:rsidRPr="00C0141A">
        <w:rPr>
          <w:szCs w:val="24"/>
        </w:rPr>
        <w:t>Evaluation of this program.</w:t>
      </w:r>
    </w:p>
    <w:p w:rsidR="00A47BE0" w:rsidRPr="00C0141A" w:rsidRDefault="00A47BE0" w:rsidP="00A47BE0">
      <w:pPr>
        <w:spacing w:after="0" w:line="360" w:lineRule="auto"/>
        <w:jc w:val="both"/>
        <w:rPr>
          <w:szCs w:val="24"/>
        </w:rPr>
      </w:pPr>
    </w:p>
    <w:p w:rsidR="00A47BE0" w:rsidRDefault="00A47BE0" w:rsidP="00A47BE0">
      <w:pPr>
        <w:spacing w:after="0" w:line="360" w:lineRule="auto"/>
        <w:jc w:val="both"/>
        <w:rPr>
          <w:szCs w:val="24"/>
        </w:rPr>
      </w:pPr>
      <w:r w:rsidRPr="00C0141A">
        <w:rPr>
          <w:szCs w:val="24"/>
        </w:rPr>
        <w:t xml:space="preserve">The IDB Project Team will be </w:t>
      </w:r>
      <w:r>
        <w:rPr>
          <w:szCs w:val="24"/>
        </w:rPr>
        <w:t xml:space="preserve">based in IDB office located in </w:t>
      </w:r>
      <w:r w:rsidRPr="00C0141A">
        <w:rPr>
          <w:szCs w:val="24"/>
        </w:rPr>
        <w:t>Washington, DC (INE/ENE)</w:t>
      </w:r>
      <w:r>
        <w:rPr>
          <w:szCs w:val="24"/>
        </w:rPr>
        <w:t xml:space="preserve">, Country Office </w:t>
      </w:r>
      <w:proofErr w:type="spellStart"/>
      <w:r>
        <w:rPr>
          <w:szCs w:val="24"/>
        </w:rPr>
        <w:t>Surianme</w:t>
      </w:r>
      <w:proofErr w:type="spellEnd"/>
      <w:r>
        <w:rPr>
          <w:szCs w:val="24"/>
        </w:rPr>
        <w:t xml:space="preserve"> (CCB/CSU), </w:t>
      </w:r>
      <w:r w:rsidRPr="00C0141A">
        <w:rPr>
          <w:szCs w:val="24"/>
        </w:rPr>
        <w:t xml:space="preserve">and the Country Office in Suriname (CCB/CSU), which will be responsible for the follow-up of the Program.  </w:t>
      </w:r>
      <w:r>
        <w:rPr>
          <w:szCs w:val="24"/>
        </w:rPr>
        <w:t xml:space="preserve"> </w:t>
      </w:r>
    </w:p>
    <w:p w:rsidR="00A47BE0" w:rsidRDefault="00A47BE0" w:rsidP="00A47BE0">
      <w:pPr>
        <w:spacing w:after="0" w:line="360" w:lineRule="auto"/>
        <w:jc w:val="both"/>
        <w:rPr>
          <w:szCs w:val="24"/>
        </w:rPr>
      </w:pPr>
    </w:p>
    <w:p w:rsidR="00A47BE0" w:rsidRDefault="00A47BE0" w:rsidP="00A47BE0">
      <w:pPr>
        <w:spacing w:after="0" w:line="360" w:lineRule="auto"/>
        <w:jc w:val="both"/>
        <w:rPr>
          <w:szCs w:val="24"/>
        </w:rPr>
      </w:pPr>
    </w:p>
    <w:p w:rsidR="00A47BE0" w:rsidRDefault="00A47BE0" w:rsidP="00A47BE0">
      <w:pPr>
        <w:spacing w:after="0" w:line="360" w:lineRule="auto"/>
        <w:jc w:val="both"/>
        <w:rPr>
          <w:szCs w:val="24"/>
        </w:rPr>
      </w:pPr>
    </w:p>
    <w:bookmarkEnd w:id="0"/>
    <w:p w:rsidR="00A47BE0" w:rsidRDefault="00A47BE0" w:rsidP="00A47BE0">
      <w:pPr>
        <w:spacing w:after="0" w:line="360" w:lineRule="auto"/>
        <w:jc w:val="both"/>
        <w:rPr>
          <w:szCs w:val="24"/>
        </w:rPr>
      </w:pPr>
    </w:p>
    <w:p w:rsidR="00A47BE0" w:rsidRDefault="00A47BE0" w:rsidP="00A47BE0">
      <w:pPr>
        <w:spacing w:after="0" w:line="360" w:lineRule="auto"/>
        <w:jc w:val="both"/>
        <w:rPr>
          <w:szCs w:val="24"/>
        </w:rPr>
        <w:sectPr w:rsidR="00A47BE0" w:rsidSect="002C6B86">
          <w:headerReference w:type="default" r:id="rId13"/>
          <w:footerReference w:type="default" r:id="rId14"/>
          <w:pgSz w:w="15840" w:h="12240" w:orient="landscape"/>
          <w:pgMar w:top="1440" w:right="1440" w:bottom="1440" w:left="1440" w:header="720" w:footer="720" w:gutter="0"/>
          <w:cols w:space="720"/>
          <w:docGrid w:linePitch="360"/>
        </w:sectPr>
      </w:pPr>
    </w:p>
    <w:p w:rsidR="00A47BE0" w:rsidRDefault="00A47BE0" w:rsidP="00A47BE0">
      <w:pPr>
        <w:jc w:val="both"/>
        <w:rPr>
          <w:b/>
        </w:rPr>
      </w:pPr>
    </w:p>
    <w:p w:rsidR="00A47BE0" w:rsidRPr="00C665CC" w:rsidRDefault="00A47BE0" w:rsidP="00A47BE0">
      <w:pPr>
        <w:pStyle w:val="ListParagraph"/>
        <w:numPr>
          <w:ilvl w:val="0"/>
          <w:numId w:val="42"/>
        </w:numPr>
        <w:jc w:val="both"/>
        <w:rPr>
          <w:rStyle w:val="Emphasis"/>
        </w:rPr>
      </w:pPr>
      <w:r w:rsidRPr="00C665CC">
        <w:rPr>
          <w:rStyle w:val="Emphasis"/>
        </w:rPr>
        <w:t>Component II Impact Evaluation description.</w:t>
      </w:r>
    </w:p>
    <w:p w:rsidR="00A47BE0" w:rsidRDefault="00A47BE0" w:rsidP="00A47BE0">
      <w:pPr>
        <w:jc w:val="both"/>
      </w:pPr>
      <w:r w:rsidRPr="005C6F0B">
        <w:t>This section present</w:t>
      </w:r>
      <w:r>
        <w:t>s</w:t>
      </w:r>
      <w:r w:rsidRPr="005C6F0B">
        <w:t xml:space="preserve"> the basic aspects related to the methodology and implementation of </w:t>
      </w:r>
      <w:r>
        <w:t xml:space="preserve">the </w:t>
      </w:r>
      <w:r w:rsidRPr="005C6F0B">
        <w:t xml:space="preserve">impact evaluation of </w:t>
      </w:r>
      <w:r>
        <w:t>the Component II – SU-L1009 (Program Support to Improve Sustainability of the Electricity Services)</w:t>
      </w:r>
      <w:r w:rsidRPr="005C6F0B">
        <w:t xml:space="preserve">. We present the main hypotheses to be tested through the </w:t>
      </w:r>
      <w:r>
        <w:t>impact evaluation</w:t>
      </w:r>
      <w:r w:rsidRPr="005C6F0B">
        <w:t xml:space="preserve">, </w:t>
      </w:r>
      <w:r>
        <w:t xml:space="preserve">a brief review of relevant exiting </w:t>
      </w:r>
      <w:r w:rsidRPr="005C6F0B">
        <w:t>knowledge, the evaluation design (a comb</w:t>
      </w:r>
      <w:r>
        <w:t>ination of experimental methods and</w:t>
      </w:r>
      <w:r w:rsidRPr="005C6F0B">
        <w:t xml:space="preserve"> quasi-experimental), the sample design, and</w:t>
      </w:r>
      <w:r>
        <w:t xml:space="preserve"> a</w:t>
      </w:r>
      <w:r w:rsidRPr="005C6F0B">
        <w:t xml:space="preserve"> schedule evaluation</w:t>
      </w:r>
      <w:r>
        <w:rPr>
          <w:rStyle w:val="FootnoteReference"/>
        </w:rPr>
        <w:footnoteReference w:id="4"/>
      </w:r>
      <w:r w:rsidRPr="005C6F0B">
        <w:t>.</w:t>
      </w:r>
    </w:p>
    <w:p w:rsidR="00A47BE0" w:rsidRPr="002E1011" w:rsidRDefault="00A47BE0" w:rsidP="00A47BE0">
      <w:pPr>
        <w:pStyle w:val="ListParagraph"/>
        <w:numPr>
          <w:ilvl w:val="0"/>
          <w:numId w:val="30"/>
        </w:numPr>
        <w:jc w:val="both"/>
      </w:pPr>
      <w:r w:rsidRPr="002E1011">
        <w:t>Evaluation Questions</w:t>
      </w:r>
    </w:p>
    <w:p w:rsidR="00A47BE0" w:rsidRDefault="00A47BE0" w:rsidP="00A47BE0">
      <w:pPr>
        <w:jc w:val="both"/>
      </w:pPr>
      <w:r>
        <w:t xml:space="preserve">Component II will </w:t>
      </w:r>
      <w:r w:rsidRPr="005C6F0B">
        <w:t>improv</w:t>
      </w:r>
      <w:r>
        <w:t>e</w:t>
      </w:r>
      <w:r w:rsidRPr="005C6F0B">
        <w:t xml:space="preserve"> </w:t>
      </w:r>
      <w:r>
        <w:t xml:space="preserve">the quality of </w:t>
      </w:r>
      <w:r w:rsidRPr="005C6F0B">
        <w:t>access to electricity supply in rural areas</w:t>
      </w:r>
      <w:r>
        <w:t xml:space="preserve"> of the districts of Para and </w:t>
      </w:r>
      <w:proofErr w:type="spellStart"/>
      <w:r>
        <w:t>Sipaliwini</w:t>
      </w:r>
      <w:proofErr w:type="spellEnd"/>
      <w:r>
        <w:t>, Suriname</w:t>
      </w:r>
      <w:r w:rsidRPr="005C6F0B">
        <w:t>.</w:t>
      </w:r>
      <w:r>
        <w:t xml:space="preserve"> Specifically, Component II will rehabilitate and upgrade the transmission and distribution system, as well as provide new infrastructure for hybrid Renewable Energy (RE) generation. Component II will also connect two villages, </w:t>
      </w:r>
      <w:proofErr w:type="spellStart"/>
      <w:r>
        <w:t>Atjoni</w:t>
      </w:r>
      <w:proofErr w:type="spellEnd"/>
      <w:r>
        <w:t xml:space="preserve"> to a local grid and </w:t>
      </w:r>
      <w:proofErr w:type="spellStart"/>
      <w:r>
        <w:t>Powakka</w:t>
      </w:r>
      <w:proofErr w:type="spellEnd"/>
      <w:r>
        <w:t xml:space="preserve"> to the National System, providing 24hr electricity service. Around other 130 villages will benefit from the outputs of Component II.</w:t>
      </w:r>
    </w:p>
    <w:p w:rsidR="00A47BE0" w:rsidRPr="00776485" w:rsidRDefault="00A47BE0" w:rsidP="00A47BE0">
      <w:pPr>
        <w:jc w:val="both"/>
        <w:rPr>
          <w:lang w:val="en-GB"/>
        </w:rPr>
      </w:pPr>
      <w:r>
        <w:t xml:space="preserve">Presently targeted villages in the Hinterland (rural areas) receive energy through subsidized and costly thermal power, during 5-6 hours a day through off-grid diesel generator. </w:t>
      </w:r>
      <w:r>
        <w:rPr>
          <w:lang w:val="en-GB"/>
        </w:rPr>
        <w:t xml:space="preserve">The intervention is expected to provide better quality access to about 30 thousand people during 24 hours per day. In some cases the improvement will come from connecting the village to the national grid. In other cases, it will come from infrastructure improvements in the isolate electricity systems. All the households have already connection of an internal grid (within each village). </w:t>
      </w:r>
      <w:r w:rsidRPr="003959C5">
        <w:rPr>
          <w:lang w:val="en-GB"/>
        </w:rPr>
        <w:t xml:space="preserve">The </w:t>
      </w:r>
      <w:r>
        <w:rPr>
          <w:lang w:val="en-GB"/>
        </w:rPr>
        <w:t>intervention</w:t>
      </w:r>
      <w:r w:rsidRPr="003959C5">
        <w:rPr>
          <w:lang w:val="en-GB"/>
        </w:rPr>
        <w:t xml:space="preserve"> will </w:t>
      </w:r>
      <w:r>
        <w:rPr>
          <w:lang w:val="en-GB"/>
        </w:rPr>
        <w:t xml:space="preserve">provide a </w:t>
      </w:r>
      <w:r w:rsidRPr="003959C5">
        <w:rPr>
          <w:lang w:val="en-GB"/>
        </w:rPr>
        <w:t>better quality electricity 24/7</w:t>
      </w:r>
      <w:r>
        <w:rPr>
          <w:lang w:val="en-GB"/>
        </w:rPr>
        <w:t xml:space="preserve"> supply to each village</w:t>
      </w:r>
      <w:r w:rsidRPr="003959C5">
        <w:rPr>
          <w:lang w:val="en-GB"/>
        </w:rPr>
        <w:t xml:space="preserve">. </w:t>
      </w:r>
      <w:r w:rsidRPr="00776485">
        <w:rPr>
          <w:lang w:val="en-GB"/>
        </w:rPr>
        <w:t>The evaluation will measure the impacts of having improved access to modern sources of electricity.</w:t>
      </w:r>
    </w:p>
    <w:p w:rsidR="00A47BE0" w:rsidRDefault="00A47BE0" w:rsidP="00A47BE0">
      <w:pPr>
        <w:jc w:val="both"/>
        <w:rPr>
          <w:lang w:val="en-GB"/>
        </w:rPr>
      </w:pPr>
      <w:r w:rsidRPr="00776485">
        <w:rPr>
          <w:lang w:val="en-GB"/>
        </w:rPr>
        <w:t xml:space="preserve">The causal chain of the intervention is the following. </w:t>
      </w:r>
      <w:r>
        <w:rPr>
          <w:lang w:val="en-GB"/>
        </w:rPr>
        <w:t>Having access to better quality of electricity services may induce change in the behaviour within the household and at the village level. As an input for economic activities and as infrastructure for leisure and better quality of life, access to electricity could i</w:t>
      </w:r>
      <w:r w:rsidRPr="00815B91">
        <w:rPr>
          <w:lang w:val="en-GB"/>
        </w:rPr>
        <w:t>ncreasing income</w:t>
      </w:r>
      <w:r>
        <w:rPr>
          <w:lang w:val="en-GB"/>
        </w:rPr>
        <w:t>, contribute</w:t>
      </w:r>
      <w:r w:rsidRPr="00815B91">
        <w:rPr>
          <w:lang w:val="en-GB"/>
        </w:rPr>
        <w:t xml:space="preserve"> to better health</w:t>
      </w:r>
      <w:r>
        <w:rPr>
          <w:lang w:val="en-GB"/>
        </w:rPr>
        <w:t>, s</w:t>
      </w:r>
      <w:r w:rsidRPr="00815B91">
        <w:rPr>
          <w:lang w:val="en-GB"/>
        </w:rPr>
        <w:t>upport education</w:t>
      </w:r>
      <w:r>
        <w:rPr>
          <w:lang w:val="en-GB"/>
        </w:rPr>
        <w:t>, i</w:t>
      </w:r>
      <w:r w:rsidRPr="00815B91">
        <w:rPr>
          <w:lang w:val="en-GB"/>
        </w:rPr>
        <w:t>mprov</w:t>
      </w:r>
      <w:r>
        <w:rPr>
          <w:lang w:val="en-GB"/>
        </w:rPr>
        <w:t>e</w:t>
      </w:r>
      <w:r w:rsidRPr="00815B91">
        <w:rPr>
          <w:lang w:val="en-GB"/>
        </w:rPr>
        <w:t xml:space="preserve"> women’s quality of life</w:t>
      </w:r>
      <w:r>
        <w:rPr>
          <w:lang w:val="en-GB"/>
        </w:rPr>
        <w:t xml:space="preserve"> and reduce</w:t>
      </w:r>
      <w:r w:rsidRPr="00815B91">
        <w:rPr>
          <w:lang w:val="en-GB"/>
        </w:rPr>
        <w:t xml:space="preserve"> environmental harm</w:t>
      </w:r>
      <w:r>
        <w:rPr>
          <w:lang w:val="en-GB"/>
        </w:rPr>
        <w:t xml:space="preserve">. Besides, as part of the program the beneficiary communities will be invited to implement a Business Model (BM) for the sustainability of the service.  Based on the current cost of the energy and the economic capacity of the population, the BM will propose a tariff structure previously approved by Hinterland and sector authorities. Then, beneficiaries will face a new tariff structure that could change the pattern of energy consumption and expenditure in the household, which is an issue of greater interest in the literature for their public policy implications. </w:t>
      </w:r>
    </w:p>
    <w:p w:rsidR="00A47BE0" w:rsidRDefault="00A47BE0" w:rsidP="00A47BE0">
      <w:pPr>
        <w:jc w:val="both"/>
        <w:rPr>
          <w:lang w:val="en-GB"/>
        </w:rPr>
      </w:pPr>
      <w:r>
        <w:rPr>
          <w:lang w:val="en-GB"/>
        </w:rPr>
        <w:lastRenderedPageBreak/>
        <w:t>In the next paragraphs we explore some channels.</w:t>
      </w:r>
    </w:p>
    <w:p w:rsidR="00A47BE0" w:rsidRDefault="00A47BE0" w:rsidP="00A47BE0">
      <w:pPr>
        <w:jc w:val="both"/>
        <w:rPr>
          <w:lang w:val="en-GB"/>
        </w:rPr>
      </w:pPr>
      <w:r>
        <w:rPr>
          <w:lang w:val="en-GB"/>
        </w:rPr>
        <w:t xml:space="preserve">The access to better-quality electricity could trigger new economic activities or increase the potential of existing firms. </w:t>
      </w:r>
      <w:r w:rsidRPr="00815B91">
        <w:rPr>
          <w:lang w:val="en-GB"/>
        </w:rPr>
        <w:t>Electricity also induces changes in labour market supply by increasing labour market participation of women via the development of small home business</w:t>
      </w:r>
      <w:r>
        <w:rPr>
          <w:lang w:val="en-GB"/>
        </w:rPr>
        <w:t xml:space="preserve">es or more time devoted to income </w:t>
      </w:r>
      <w:r w:rsidRPr="00815B91">
        <w:rPr>
          <w:lang w:val="en-GB"/>
        </w:rPr>
        <w:t>generating activities due to the increase in work hours (</w:t>
      </w:r>
      <w:proofErr w:type="spellStart"/>
      <w:r w:rsidRPr="00815B91">
        <w:rPr>
          <w:lang w:val="en-GB"/>
        </w:rPr>
        <w:t>Dinkelman</w:t>
      </w:r>
      <w:proofErr w:type="spellEnd"/>
      <w:r w:rsidRPr="00815B91">
        <w:rPr>
          <w:lang w:val="en-GB"/>
        </w:rPr>
        <w:t>, 2011). Access to electricity allow</w:t>
      </w:r>
      <w:r>
        <w:rPr>
          <w:lang w:val="en-GB"/>
        </w:rPr>
        <w:t>s</w:t>
      </w:r>
      <w:r w:rsidRPr="00815B91">
        <w:rPr>
          <w:lang w:val="en-GB"/>
        </w:rPr>
        <w:t xml:space="preserve"> female household members to allocate less time to </w:t>
      </w:r>
      <w:r>
        <w:rPr>
          <w:lang w:val="en-GB"/>
        </w:rPr>
        <w:t>cooking and other time-</w:t>
      </w:r>
      <w:r w:rsidRPr="00815B91">
        <w:rPr>
          <w:lang w:val="en-GB"/>
        </w:rPr>
        <w:t>consuming activities such as laundry and cl</w:t>
      </w:r>
      <w:r>
        <w:rPr>
          <w:lang w:val="en-GB"/>
        </w:rPr>
        <w:t>eaning, which in turn can be re-</w:t>
      </w:r>
      <w:r w:rsidRPr="00815B91">
        <w:rPr>
          <w:lang w:val="en-GB"/>
        </w:rPr>
        <w:t>assigned to more productive uses.</w:t>
      </w:r>
    </w:p>
    <w:p w:rsidR="00A47BE0" w:rsidRPr="00815B91" w:rsidRDefault="00A47BE0" w:rsidP="00A47BE0">
      <w:pPr>
        <w:jc w:val="both"/>
        <w:rPr>
          <w:lang w:val="en-GB"/>
        </w:rPr>
      </w:pPr>
      <w:r w:rsidRPr="00815B91">
        <w:rPr>
          <w:lang w:val="en-GB"/>
        </w:rPr>
        <w:t xml:space="preserve">The benefits of </w:t>
      </w:r>
      <w:r>
        <w:rPr>
          <w:lang w:val="en-GB"/>
        </w:rPr>
        <w:t>access to modern source of energy o</w:t>
      </w:r>
      <w:r w:rsidRPr="00815B91">
        <w:rPr>
          <w:lang w:val="en-GB"/>
        </w:rPr>
        <w:t>n health derive from the fact that it directly contributes to a</w:t>
      </w:r>
      <w:r>
        <w:rPr>
          <w:lang w:val="en-GB"/>
        </w:rPr>
        <w:t xml:space="preserve"> </w:t>
      </w:r>
      <w:r w:rsidRPr="00815B91">
        <w:rPr>
          <w:lang w:val="en-GB"/>
        </w:rPr>
        <w:t>reduction of respiratory illness among the rural population, reducing both public and private healthcare</w:t>
      </w:r>
      <w:r>
        <w:rPr>
          <w:lang w:val="en-GB"/>
        </w:rPr>
        <w:t xml:space="preserve"> </w:t>
      </w:r>
      <w:r w:rsidRPr="00815B91">
        <w:rPr>
          <w:lang w:val="en-GB"/>
        </w:rPr>
        <w:t>costs. The avoidance of children’s burn injuries from kerosene lamps is a</w:t>
      </w:r>
      <w:r>
        <w:rPr>
          <w:lang w:val="en-GB"/>
        </w:rPr>
        <w:t xml:space="preserve">n additional </w:t>
      </w:r>
      <w:r w:rsidRPr="00815B91">
        <w:rPr>
          <w:lang w:val="en-GB"/>
        </w:rPr>
        <w:t>benefit of rural</w:t>
      </w:r>
      <w:r>
        <w:rPr>
          <w:lang w:val="en-GB"/>
        </w:rPr>
        <w:t xml:space="preserve"> </w:t>
      </w:r>
      <w:r w:rsidRPr="00815B91">
        <w:rPr>
          <w:lang w:val="en-GB"/>
        </w:rPr>
        <w:t>electrification (ADB, 2010). Presumably, better health practices are also fostered via access to television</w:t>
      </w:r>
      <w:r>
        <w:rPr>
          <w:lang w:val="en-GB"/>
        </w:rPr>
        <w:t xml:space="preserve"> </w:t>
      </w:r>
      <w:r w:rsidRPr="00815B91">
        <w:rPr>
          <w:lang w:val="en-GB"/>
        </w:rPr>
        <w:t>and children’s nutritional outcomes can be improved through improved knowledge and access to refrigeration. Also, a reduction in fertility is expected due to the access to better knowledge and changes</w:t>
      </w:r>
      <w:r>
        <w:rPr>
          <w:lang w:val="en-GB"/>
        </w:rPr>
        <w:t xml:space="preserve"> </w:t>
      </w:r>
      <w:r w:rsidRPr="00815B91">
        <w:rPr>
          <w:lang w:val="en-GB"/>
        </w:rPr>
        <w:t>in customs and practices regarding sexual behaviour (La Ferrara, Chong and Duryea, 2012).</w:t>
      </w:r>
      <w:r>
        <w:rPr>
          <w:rStyle w:val="FootnoteReference"/>
          <w:lang w:val="en-GB"/>
        </w:rPr>
        <w:footnoteReference w:id="5"/>
      </w:r>
    </w:p>
    <w:p w:rsidR="00A47BE0" w:rsidRPr="00815B91" w:rsidRDefault="00A47BE0" w:rsidP="00A47BE0">
      <w:pPr>
        <w:jc w:val="both"/>
        <w:rPr>
          <w:lang w:val="en-GB"/>
        </w:rPr>
      </w:pPr>
      <w:r w:rsidRPr="00815B91">
        <w:rPr>
          <w:lang w:val="en-GB"/>
        </w:rPr>
        <w:t>Electricity extends evening</w:t>
      </w:r>
      <w:r>
        <w:rPr>
          <w:lang w:val="en-GB"/>
        </w:rPr>
        <w:t xml:space="preserve"> </w:t>
      </w:r>
      <w:r w:rsidRPr="00815B91">
        <w:rPr>
          <w:lang w:val="en-GB"/>
        </w:rPr>
        <w:t>lighting hours, making it easier for children to study, do homework, or read. It is reasonable to assume</w:t>
      </w:r>
      <w:r>
        <w:rPr>
          <w:lang w:val="en-GB"/>
        </w:rPr>
        <w:t xml:space="preserve"> </w:t>
      </w:r>
      <w:r w:rsidRPr="00815B91">
        <w:rPr>
          <w:lang w:val="en-GB"/>
        </w:rPr>
        <w:t>that electrification gives children more flexibility in choosing when to do schoolwork. Similarly, it</w:t>
      </w:r>
      <w:r>
        <w:rPr>
          <w:lang w:val="en-GB"/>
        </w:rPr>
        <w:t xml:space="preserve"> </w:t>
      </w:r>
      <w:r w:rsidRPr="00815B91">
        <w:rPr>
          <w:lang w:val="en-GB"/>
        </w:rPr>
        <w:t>enables schools to be equipped with modern teaching equipment and information and communication</w:t>
      </w:r>
      <w:r>
        <w:rPr>
          <w:lang w:val="en-GB"/>
        </w:rPr>
        <w:t xml:space="preserve"> </w:t>
      </w:r>
      <w:r w:rsidRPr="00815B91">
        <w:rPr>
          <w:lang w:val="en-GB"/>
        </w:rPr>
        <w:t>technologies, especially access to the internet (Meier et al. 2010; ADB, 2010), which in turn may improve</w:t>
      </w:r>
      <w:r>
        <w:rPr>
          <w:lang w:val="en-GB"/>
        </w:rPr>
        <w:t xml:space="preserve"> </w:t>
      </w:r>
      <w:r w:rsidRPr="00815B91">
        <w:rPr>
          <w:lang w:val="en-GB"/>
        </w:rPr>
        <w:t>education.</w:t>
      </w:r>
    </w:p>
    <w:p w:rsidR="00A47BE0" w:rsidRDefault="00A47BE0" w:rsidP="00A47BE0">
      <w:pPr>
        <w:jc w:val="both"/>
        <w:rPr>
          <w:lang w:val="en-GB"/>
        </w:rPr>
      </w:pPr>
      <w:r w:rsidRPr="00815B91">
        <w:rPr>
          <w:lang w:val="en-GB"/>
        </w:rPr>
        <w:t>It is important to note that all the impacts are not necessarily positive. Access to electricity may</w:t>
      </w:r>
      <w:r>
        <w:rPr>
          <w:lang w:val="en-GB"/>
        </w:rPr>
        <w:t xml:space="preserve"> </w:t>
      </w:r>
      <w:r w:rsidRPr="00815B91">
        <w:rPr>
          <w:lang w:val="en-GB"/>
        </w:rPr>
        <w:t>also have some harmful effects. For instance, in the case of education, it is possible that access to</w:t>
      </w:r>
      <w:r>
        <w:rPr>
          <w:lang w:val="en-GB"/>
        </w:rPr>
        <w:t xml:space="preserve"> </w:t>
      </w:r>
      <w:r w:rsidRPr="00815B91">
        <w:rPr>
          <w:lang w:val="en-GB"/>
        </w:rPr>
        <w:t xml:space="preserve">electricity may induce a time allocation that favours substitution towards leisure. </w:t>
      </w:r>
      <w:r w:rsidRPr="007B1FAC">
        <w:rPr>
          <w:lang w:val="en-GB"/>
        </w:rPr>
        <w:t>New access to household electri</w:t>
      </w:r>
      <w:r>
        <w:rPr>
          <w:lang w:val="en-GB"/>
        </w:rPr>
        <w:t>fi</w:t>
      </w:r>
      <w:r w:rsidRPr="007B1FAC">
        <w:rPr>
          <w:lang w:val="en-GB"/>
        </w:rPr>
        <w:t>cation may change the nature of work in the home as well</w:t>
      </w:r>
      <w:r>
        <w:rPr>
          <w:lang w:val="en-GB"/>
        </w:rPr>
        <w:t xml:space="preserve"> </w:t>
      </w:r>
      <w:r w:rsidRPr="007B1FAC">
        <w:rPr>
          <w:lang w:val="en-GB"/>
        </w:rPr>
        <w:t>as the amount and type of work that can be done in the market. Providing new public</w:t>
      </w:r>
      <w:r>
        <w:rPr>
          <w:lang w:val="en-GB"/>
        </w:rPr>
        <w:t xml:space="preserve"> </w:t>
      </w:r>
      <w:r w:rsidRPr="007B1FAC">
        <w:rPr>
          <w:lang w:val="en-GB"/>
        </w:rPr>
        <w:t>infrastructure to a location may a</w:t>
      </w:r>
      <w:r>
        <w:rPr>
          <w:lang w:val="en-GB"/>
        </w:rPr>
        <w:t xml:space="preserve"> </w:t>
      </w:r>
      <w:r w:rsidRPr="007B1FAC">
        <w:rPr>
          <w:lang w:val="en-GB"/>
        </w:rPr>
        <w:t>e</w:t>
      </w:r>
      <w:r>
        <w:rPr>
          <w:lang w:val="en-GB"/>
        </w:rPr>
        <w:t>na</w:t>
      </w:r>
      <w:r w:rsidRPr="007B1FAC">
        <w:rPr>
          <w:lang w:val="en-GB"/>
        </w:rPr>
        <w:t>ct migration of employed and unemployed individuals.</w:t>
      </w:r>
      <w:r>
        <w:rPr>
          <w:lang w:val="en-GB"/>
        </w:rPr>
        <w:t xml:space="preserve"> </w:t>
      </w:r>
      <w:r w:rsidRPr="007B1FAC">
        <w:rPr>
          <w:lang w:val="en-GB"/>
        </w:rPr>
        <w:t>Outlining the form each of these changes may take is important for interpreting the empirical</w:t>
      </w:r>
      <w:r>
        <w:rPr>
          <w:lang w:val="en-GB"/>
        </w:rPr>
        <w:t xml:space="preserve"> </w:t>
      </w:r>
      <w:r w:rsidRPr="007B1FAC">
        <w:rPr>
          <w:lang w:val="en-GB"/>
        </w:rPr>
        <w:t>results in the paper.</w:t>
      </w:r>
      <w:r>
        <w:rPr>
          <w:lang w:val="en-GB"/>
        </w:rPr>
        <w:t xml:space="preserve"> </w:t>
      </w:r>
      <w:r w:rsidRPr="00815B91">
        <w:rPr>
          <w:lang w:val="en-GB"/>
        </w:rPr>
        <w:t>In many cases, the net</w:t>
      </w:r>
      <w:r>
        <w:rPr>
          <w:lang w:val="en-GB"/>
        </w:rPr>
        <w:t xml:space="preserve"> </w:t>
      </w:r>
      <w:r w:rsidRPr="00815B91">
        <w:rPr>
          <w:lang w:val="en-GB"/>
        </w:rPr>
        <w:t>effect of rural electrification is an empirical issue.</w:t>
      </w:r>
    </w:p>
    <w:p w:rsidR="00A47BE0" w:rsidRDefault="00A47BE0" w:rsidP="00A47BE0">
      <w:pPr>
        <w:jc w:val="both"/>
        <w:rPr>
          <w:lang w:val="en-GB"/>
        </w:rPr>
      </w:pPr>
      <w:r>
        <w:rPr>
          <w:lang w:val="en-GB"/>
        </w:rPr>
        <w:t>As it is designed, the program leaves the household with the decision of connecting themselves to the grid. Besides, t</w:t>
      </w:r>
      <w:r w:rsidRPr="00776485">
        <w:rPr>
          <w:lang w:val="en-GB"/>
        </w:rPr>
        <w:t>h</w:t>
      </w:r>
      <w:r>
        <w:rPr>
          <w:lang w:val="en-GB"/>
        </w:rPr>
        <w:t>e program a</w:t>
      </w:r>
      <w:r w:rsidRPr="00776485">
        <w:rPr>
          <w:lang w:val="en-GB"/>
        </w:rPr>
        <w:t>lso implies that the households</w:t>
      </w:r>
      <w:r>
        <w:rPr>
          <w:lang w:val="en-GB"/>
        </w:rPr>
        <w:t xml:space="preserve"> actually connected </w:t>
      </w:r>
      <w:r w:rsidRPr="00776485">
        <w:rPr>
          <w:lang w:val="en-GB"/>
        </w:rPr>
        <w:t>will be subject to a new tariff scheme for the electricity they consume.</w:t>
      </w:r>
      <w:r>
        <w:rPr>
          <w:lang w:val="en-GB"/>
        </w:rPr>
        <w:t xml:space="preserve"> In this context, it will be interesting to look at how the households respond in terms of connections (non-connection, illegal connection or formal connection), consumption and expenditure in electricity. </w:t>
      </w:r>
    </w:p>
    <w:p w:rsidR="00A47BE0" w:rsidRDefault="00A47BE0" w:rsidP="00A47BE0">
      <w:pPr>
        <w:jc w:val="both"/>
        <w:rPr>
          <w:lang w:val="en-GB"/>
        </w:rPr>
      </w:pPr>
      <w:r w:rsidRPr="0045509C">
        <w:rPr>
          <w:lang w:val="en-GB"/>
        </w:rPr>
        <w:lastRenderedPageBreak/>
        <w:t xml:space="preserve">Therefore, </w:t>
      </w:r>
      <w:r>
        <w:rPr>
          <w:lang w:val="en-GB"/>
        </w:rPr>
        <w:t>the two</w:t>
      </w:r>
      <w:r w:rsidRPr="0045509C">
        <w:rPr>
          <w:lang w:val="en-GB"/>
        </w:rPr>
        <w:t xml:space="preserve"> main</w:t>
      </w:r>
      <w:r>
        <w:rPr>
          <w:lang w:val="en-GB"/>
        </w:rPr>
        <w:t xml:space="preserve"> general</w:t>
      </w:r>
      <w:r w:rsidRPr="0045509C">
        <w:rPr>
          <w:lang w:val="en-GB"/>
        </w:rPr>
        <w:t xml:space="preserve"> hypotheses to be tested through the </w:t>
      </w:r>
      <w:r>
        <w:rPr>
          <w:lang w:val="en-GB"/>
        </w:rPr>
        <w:t>impact evaluation are</w:t>
      </w:r>
      <w:r w:rsidRPr="0045509C">
        <w:rPr>
          <w:lang w:val="en-GB"/>
        </w:rPr>
        <w:t>:</w:t>
      </w:r>
    </w:p>
    <w:p w:rsidR="00A47BE0" w:rsidRPr="002E619C" w:rsidRDefault="00A47BE0" w:rsidP="00A47BE0">
      <w:pPr>
        <w:pStyle w:val="ListParagraph"/>
        <w:numPr>
          <w:ilvl w:val="0"/>
          <w:numId w:val="32"/>
        </w:numPr>
        <w:jc w:val="both"/>
        <w:rPr>
          <w:lang w:val="en-GB"/>
        </w:rPr>
      </w:pPr>
      <w:r w:rsidRPr="002E619C">
        <w:rPr>
          <w:lang w:val="en-GB"/>
        </w:rPr>
        <w:t xml:space="preserve">What are the social benefits of having access to reliable modern energy? </w:t>
      </w:r>
    </w:p>
    <w:p w:rsidR="00A47BE0" w:rsidRDefault="00A47BE0" w:rsidP="00A47BE0">
      <w:pPr>
        <w:pStyle w:val="ListParagraph"/>
        <w:numPr>
          <w:ilvl w:val="0"/>
          <w:numId w:val="32"/>
        </w:numPr>
        <w:jc w:val="both"/>
        <w:rPr>
          <w:lang w:val="en-GB"/>
        </w:rPr>
      </w:pPr>
      <w:r w:rsidRPr="002E619C">
        <w:rPr>
          <w:lang w:val="en-GB"/>
        </w:rPr>
        <w:t xml:space="preserve">How does </w:t>
      </w:r>
      <w:r>
        <w:rPr>
          <w:lang w:val="en-GB"/>
        </w:rPr>
        <w:t>the program</w:t>
      </w:r>
      <w:r w:rsidRPr="002E619C">
        <w:rPr>
          <w:lang w:val="en-GB"/>
        </w:rPr>
        <w:t xml:space="preserve"> affect energy consumption</w:t>
      </w:r>
      <w:r>
        <w:rPr>
          <w:lang w:val="en-GB"/>
        </w:rPr>
        <w:t xml:space="preserve"> and e</w:t>
      </w:r>
      <w:r w:rsidRPr="002E619C">
        <w:rPr>
          <w:lang w:val="en-GB"/>
        </w:rPr>
        <w:t>xpenditure?</w:t>
      </w:r>
    </w:p>
    <w:p w:rsidR="00A47BE0" w:rsidRDefault="00A47BE0" w:rsidP="00A47BE0">
      <w:pPr>
        <w:jc w:val="both"/>
        <w:rPr>
          <w:lang w:val="en-GB"/>
        </w:rPr>
      </w:pPr>
      <w:r>
        <w:rPr>
          <w:lang w:val="en-GB"/>
        </w:rPr>
        <w:t>In particular, the evaluation will address:</w:t>
      </w:r>
    </w:p>
    <w:p w:rsidR="00A47BE0" w:rsidRDefault="00A47BE0" w:rsidP="00A47BE0">
      <w:pPr>
        <w:pStyle w:val="ListParagraph"/>
        <w:numPr>
          <w:ilvl w:val="0"/>
          <w:numId w:val="33"/>
        </w:numPr>
        <w:jc w:val="both"/>
        <w:rPr>
          <w:lang w:val="en-GB"/>
        </w:rPr>
      </w:pPr>
      <w:r>
        <w:rPr>
          <w:lang w:val="en-GB"/>
        </w:rPr>
        <w:t>I</w:t>
      </w:r>
      <w:r w:rsidRPr="00AF1FF7">
        <w:rPr>
          <w:lang w:val="en-GB"/>
        </w:rPr>
        <w:t>mprovements in health indicator</w:t>
      </w:r>
      <w:r>
        <w:rPr>
          <w:lang w:val="en-GB"/>
        </w:rPr>
        <w:t>s</w:t>
      </w:r>
      <w:r w:rsidRPr="00AF1FF7">
        <w:rPr>
          <w:lang w:val="en-GB"/>
        </w:rPr>
        <w:t xml:space="preserve"> related </w:t>
      </w:r>
      <w:r>
        <w:rPr>
          <w:lang w:val="en-GB"/>
        </w:rPr>
        <w:t>to</w:t>
      </w:r>
      <w:r w:rsidRPr="00AF1FF7">
        <w:rPr>
          <w:lang w:val="en-GB"/>
        </w:rPr>
        <w:t xml:space="preserve"> electricity access</w:t>
      </w:r>
      <w:r>
        <w:rPr>
          <w:lang w:val="en-GB"/>
        </w:rPr>
        <w:t>,</w:t>
      </w:r>
      <w:r w:rsidRPr="00AF1FF7">
        <w:rPr>
          <w:lang w:val="en-GB"/>
        </w:rPr>
        <w:t xml:space="preserve"> </w:t>
      </w:r>
      <w:r>
        <w:rPr>
          <w:lang w:val="en-GB"/>
        </w:rPr>
        <w:t>for example: diarrheal and respiratory illnesses</w:t>
      </w:r>
    </w:p>
    <w:p w:rsidR="00A47BE0" w:rsidRDefault="00A47BE0" w:rsidP="00A47BE0">
      <w:pPr>
        <w:pStyle w:val="ListParagraph"/>
        <w:numPr>
          <w:ilvl w:val="0"/>
          <w:numId w:val="33"/>
        </w:numPr>
        <w:jc w:val="both"/>
        <w:rPr>
          <w:lang w:val="en-GB"/>
        </w:rPr>
      </w:pPr>
      <w:r>
        <w:rPr>
          <w:lang w:val="en-GB"/>
        </w:rPr>
        <w:t>Changes in household incomes that could be attributed to the program. For example, when it is related to self-employment, crime reduction or better time allocation.</w:t>
      </w:r>
    </w:p>
    <w:p w:rsidR="00A47BE0" w:rsidRDefault="00A47BE0" w:rsidP="00A47BE0">
      <w:pPr>
        <w:pStyle w:val="ListParagraph"/>
        <w:numPr>
          <w:ilvl w:val="0"/>
          <w:numId w:val="33"/>
        </w:numPr>
        <w:jc w:val="both"/>
        <w:rPr>
          <w:lang w:val="en-GB"/>
        </w:rPr>
      </w:pPr>
      <w:r>
        <w:rPr>
          <w:lang w:val="en-GB"/>
        </w:rPr>
        <w:t>Changes in schooling rates and increase in hours dedicated to studying among children bellow 16 years old.</w:t>
      </w:r>
    </w:p>
    <w:p w:rsidR="00A47BE0" w:rsidRDefault="00A47BE0" w:rsidP="00A47BE0">
      <w:pPr>
        <w:pStyle w:val="ListParagraph"/>
        <w:numPr>
          <w:ilvl w:val="0"/>
          <w:numId w:val="33"/>
        </w:numPr>
        <w:jc w:val="both"/>
        <w:rPr>
          <w:lang w:val="en-GB"/>
        </w:rPr>
      </w:pPr>
      <w:r>
        <w:rPr>
          <w:lang w:val="en-GB"/>
        </w:rPr>
        <w:t xml:space="preserve">Changes in self-reported life satisfaction indicators </w:t>
      </w:r>
    </w:p>
    <w:p w:rsidR="00A47BE0" w:rsidRDefault="00A47BE0" w:rsidP="00A47BE0">
      <w:pPr>
        <w:pStyle w:val="ListParagraph"/>
        <w:numPr>
          <w:ilvl w:val="0"/>
          <w:numId w:val="33"/>
        </w:numPr>
        <w:jc w:val="both"/>
        <w:rPr>
          <w:lang w:val="en-GB"/>
        </w:rPr>
      </w:pPr>
      <w:r>
        <w:rPr>
          <w:lang w:val="en-GB"/>
        </w:rPr>
        <w:t>Changes in self-reported crime rates.</w:t>
      </w:r>
    </w:p>
    <w:p w:rsidR="00A47BE0" w:rsidRDefault="00A47BE0" w:rsidP="00A47BE0">
      <w:pPr>
        <w:pStyle w:val="ListParagraph"/>
        <w:numPr>
          <w:ilvl w:val="0"/>
          <w:numId w:val="33"/>
        </w:numPr>
        <w:jc w:val="both"/>
        <w:rPr>
          <w:lang w:val="en-GB"/>
        </w:rPr>
      </w:pPr>
      <w:r>
        <w:rPr>
          <w:lang w:val="en-GB"/>
        </w:rPr>
        <w:t>Changes in energy consumption (MW) and expenditure (US$ and percentage of total income) over time.</w:t>
      </w:r>
    </w:p>
    <w:p w:rsidR="00A47BE0" w:rsidRDefault="00A47BE0" w:rsidP="00A47BE0">
      <w:pPr>
        <w:jc w:val="both"/>
        <w:rPr>
          <w:lang w:val="en-GB"/>
        </w:rPr>
      </w:pPr>
      <w:r>
        <w:rPr>
          <w:lang w:val="en-GB"/>
        </w:rPr>
        <w:t xml:space="preserve">Since it is expected that the impact of the program could be different by gender, we will evaluate these questions differentiating by the gender of the household’s head. </w:t>
      </w:r>
    </w:p>
    <w:p w:rsidR="00A47BE0" w:rsidRDefault="00A47BE0" w:rsidP="00A47BE0">
      <w:pPr>
        <w:jc w:val="both"/>
        <w:rPr>
          <w:lang w:val="en-GB"/>
        </w:rPr>
      </w:pPr>
      <w:r>
        <w:rPr>
          <w:lang w:val="en-GB"/>
        </w:rPr>
        <w:t>Another relevant aspect in the energy field is related to the behaviour of the household in presence of the new infrastructure (transmission and distribution lines). To date, the government does not have plans to connect around 130 villages surrounding the new infrastructure. This context could be used to observe the response of these villages. A priori, each village could take three decisions: (a) not connect to the grid; (b) connect illegally to the grid; or (c) connect formally to the grid. The baseline and follow-ups will provide a characterization of the households by type of decision. This information could be used to design the program, encouraging formal connections.</w:t>
      </w:r>
    </w:p>
    <w:p w:rsidR="00A47BE0" w:rsidRDefault="00A47BE0" w:rsidP="00A47BE0">
      <w:pPr>
        <w:jc w:val="both"/>
        <w:rPr>
          <w:lang w:val="en-GB"/>
        </w:rPr>
      </w:pPr>
      <w:r>
        <w:rPr>
          <w:lang w:val="en-GB"/>
        </w:rPr>
        <w:t xml:space="preserve">It is important to emphasize that the setting of the program presents a valuable opportunity to analyse the dynamic of expenditure and consumption of energy in poor rural villages. Empirical evidence on this regard will inform public policy, for example, in the following areas:  (i) policies related to the pricing of electricity;(ii) willingness of the household living in highly </w:t>
      </w:r>
      <w:r w:rsidRPr="00602E9A">
        <w:rPr>
          <w:lang w:val="en-GB"/>
        </w:rPr>
        <w:t>subsidized</w:t>
      </w:r>
      <w:r>
        <w:rPr>
          <w:lang w:val="en-GB"/>
        </w:rPr>
        <w:t xml:space="preserve"> areas to pay; (iii) direct economic benefits obtained by the reduction or phase-out of fossil fuel in electricity supply. For these reasons, it is important to design a survey that captures energy consumption patterns of the 130 villages.</w:t>
      </w:r>
    </w:p>
    <w:p w:rsidR="00A47BE0" w:rsidRDefault="00A47BE0" w:rsidP="00A47BE0">
      <w:pPr>
        <w:pStyle w:val="ListParagraph"/>
        <w:jc w:val="both"/>
        <w:rPr>
          <w:b/>
        </w:rPr>
      </w:pPr>
    </w:p>
    <w:p w:rsidR="00A47BE0" w:rsidRPr="002E1011" w:rsidRDefault="00A47BE0" w:rsidP="00A47BE0">
      <w:pPr>
        <w:pStyle w:val="ListParagraph"/>
        <w:numPr>
          <w:ilvl w:val="0"/>
          <w:numId w:val="30"/>
        </w:numPr>
        <w:jc w:val="both"/>
      </w:pPr>
      <w:r w:rsidRPr="002E1011">
        <w:t>Literature Review</w:t>
      </w:r>
    </w:p>
    <w:p w:rsidR="00A47BE0" w:rsidRDefault="00A47BE0" w:rsidP="00A47BE0">
      <w:pPr>
        <w:jc w:val="both"/>
        <w:rPr>
          <w:lang w:val="en-GB"/>
        </w:rPr>
      </w:pPr>
      <w:r>
        <w:rPr>
          <w:lang w:val="en-GB"/>
        </w:rPr>
        <w:lastRenderedPageBreak/>
        <w:t>The empirical literature on impact evaluation of electrification programs is relatively recent. Some relevant papers include</w:t>
      </w:r>
      <w:r w:rsidRPr="00487559">
        <w:rPr>
          <w:lang w:val="en-GB"/>
        </w:rPr>
        <w:t xml:space="preserve"> </w:t>
      </w:r>
      <w:r>
        <w:rPr>
          <w:lang w:val="en-GB"/>
        </w:rPr>
        <w:t>Lipscomb et al. (2011)</w:t>
      </w:r>
      <w:r w:rsidRPr="00487559">
        <w:rPr>
          <w:lang w:val="en-GB"/>
        </w:rPr>
        <w:t xml:space="preserve">, </w:t>
      </w:r>
      <w:proofErr w:type="spellStart"/>
      <w:r w:rsidRPr="00487559">
        <w:rPr>
          <w:lang w:val="en-GB"/>
        </w:rPr>
        <w:t>Dinkelman</w:t>
      </w:r>
      <w:proofErr w:type="spellEnd"/>
      <w:r w:rsidRPr="00487559">
        <w:rPr>
          <w:lang w:val="en-GB"/>
        </w:rPr>
        <w:t xml:space="preserve"> (2011), Barnes and </w:t>
      </w:r>
      <w:proofErr w:type="spellStart"/>
      <w:r w:rsidRPr="00487559">
        <w:rPr>
          <w:lang w:val="en-GB"/>
        </w:rPr>
        <w:t>Sen</w:t>
      </w:r>
      <w:proofErr w:type="spellEnd"/>
      <w:r w:rsidRPr="00487559">
        <w:rPr>
          <w:lang w:val="en-GB"/>
        </w:rPr>
        <w:t xml:space="preserve"> (2004), Gonzalez‐</w:t>
      </w:r>
      <w:proofErr w:type="spellStart"/>
      <w:r w:rsidRPr="00487559">
        <w:rPr>
          <w:lang w:val="en-GB"/>
        </w:rPr>
        <w:t>Eiras</w:t>
      </w:r>
      <w:proofErr w:type="spellEnd"/>
      <w:r w:rsidRPr="00487559">
        <w:rPr>
          <w:lang w:val="en-GB"/>
        </w:rPr>
        <w:t xml:space="preserve"> and Rossi (2007), Torero (2009), </w:t>
      </w:r>
      <w:proofErr w:type="spellStart"/>
      <w:r w:rsidRPr="00487559">
        <w:rPr>
          <w:lang w:val="en-GB"/>
        </w:rPr>
        <w:t>Khandker</w:t>
      </w:r>
      <w:proofErr w:type="spellEnd"/>
      <w:r w:rsidRPr="00487559">
        <w:rPr>
          <w:lang w:val="en-GB"/>
        </w:rPr>
        <w:t xml:space="preserve"> et al. (2009), </w:t>
      </w:r>
      <w:proofErr w:type="spellStart"/>
      <w:r w:rsidRPr="00487559">
        <w:rPr>
          <w:lang w:val="en-GB"/>
        </w:rPr>
        <w:t>Khandker</w:t>
      </w:r>
      <w:proofErr w:type="spellEnd"/>
      <w:r w:rsidRPr="00487559">
        <w:rPr>
          <w:lang w:val="en-GB"/>
        </w:rPr>
        <w:t xml:space="preserve"> et al. (2012) and </w:t>
      </w:r>
      <w:proofErr w:type="spellStart"/>
      <w:r w:rsidRPr="00487559">
        <w:rPr>
          <w:lang w:val="en-GB"/>
        </w:rPr>
        <w:t>Rud</w:t>
      </w:r>
      <w:proofErr w:type="spellEnd"/>
      <w:r w:rsidRPr="00487559">
        <w:rPr>
          <w:lang w:val="en-GB"/>
        </w:rPr>
        <w:t xml:space="preserve"> (2010).</w:t>
      </w:r>
      <w:r>
        <w:rPr>
          <w:lang w:val="en-GB"/>
        </w:rPr>
        <w:t xml:space="preserve"> They perform quasi-experimental evaluations at the household level in order to analyse the </w:t>
      </w:r>
      <w:r w:rsidRPr="00F73642">
        <w:rPr>
          <w:lang w:val="en-GB"/>
        </w:rPr>
        <w:t xml:space="preserve">benefits of access to modern energy sources </w:t>
      </w:r>
      <w:r>
        <w:rPr>
          <w:lang w:val="en-GB"/>
        </w:rPr>
        <w:t xml:space="preserve">on the variables such as </w:t>
      </w:r>
      <w:r w:rsidRPr="00F73642">
        <w:rPr>
          <w:lang w:val="en-GB"/>
        </w:rPr>
        <w:t xml:space="preserve">income, employment rates, better savings, </w:t>
      </w:r>
      <w:proofErr w:type="gramStart"/>
      <w:r w:rsidRPr="00F73642">
        <w:rPr>
          <w:lang w:val="en-GB"/>
        </w:rPr>
        <w:t>participation</w:t>
      </w:r>
      <w:proofErr w:type="gramEnd"/>
      <w:r w:rsidRPr="00F73642">
        <w:rPr>
          <w:lang w:val="en-GB"/>
        </w:rPr>
        <w:t xml:space="preserve"> of women in labour markets, education</w:t>
      </w:r>
      <w:r>
        <w:rPr>
          <w:lang w:val="en-GB"/>
        </w:rPr>
        <w:t>,</w:t>
      </w:r>
      <w:r w:rsidRPr="00F73642">
        <w:rPr>
          <w:lang w:val="en-GB"/>
        </w:rPr>
        <w:t xml:space="preserve"> health, </w:t>
      </w:r>
      <w:r>
        <w:rPr>
          <w:lang w:val="en-GB"/>
        </w:rPr>
        <w:t xml:space="preserve">and time used, </w:t>
      </w:r>
      <w:r w:rsidRPr="00F73642">
        <w:rPr>
          <w:lang w:val="en-GB"/>
        </w:rPr>
        <w:t>among others</w:t>
      </w:r>
      <w:r>
        <w:rPr>
          <w:rStyle w:val="FootnoteReference"/>
          <w:lang w:val="en-GB"/>
        </w:rPr>
        <w:footnoteReference w:id="6"/>
      </w:r>
      <w:r w:rsidRPr="00F73642">
        <w:rPr>
          <w:lang w:val="en-GB"/>
        </w:rPr>
        <w:t>.</w:t>
      </w:r>
      <w:r>
        <w:rPr>
          <w:lang w:val="en-GB"/>
        </w:rPr>
        <w:t xml:space="preserve"> The last four are considered more</w:t>
      </w:r>
      <w:r w:rsidRPr="00487559">
        <w:rPr>
          <w:lang w:val="en-GB"/>
        </w:rPr>
        <w:t xml:space="preserve"> indirect impacts</w:t>
      </w:r>
      <w:r>
        <w:rPr>
          <w:lang w:val="en-GB"/>
        </w:rPr>
        <w:t xml:space="preserve"> of access to electricity and it is increasingly recognized that t</w:t>
      </w:r>
      <w:r w:rsidRPr="00487559">
        <w:rPr>
          <w:lang w:val="en-GB"/>
        </w:rPr>
        <w:t>hese direct and indirect benefits produce synergy in economic growth, poverty reduction, and human development (</w:t>
      </w:r>
      <w:proofErr w:type="spellStart"/>
      <w:r w:rsidRPr="00487559">
        <w:rPr>
          <w:lang w:val="en-GB"/>
        </w:rPr>
        <w:t>Barkat</w:t>
      </w:r>
      <w:proofErr w:type="spellEnd"/>
      <w:r w:rsidRPr="00487559">
        <w:rPr>
          <w:lang w:val="en-GB"/>
        </w:rPr>
        <w:t xml:space="preserve"> et al. 2002; </w:t>
      </w:r>
      <w:proofErr w:type="spellStart"/>
      <w:r w:rsidRPr="00487559">
        <w:rPr>
          <w:lang w:val="en-GB"/>
        </w:rPr>
        <w:t>Shamannay</w:t>
      </w:r>
      <w:proofErr w:type="spellEnd"/>
      <w:r w:rsidRPr="00487559">
        <w:rPr>
          <w:lang w:val="en-GB"/>
        </w:rPr>
        <w:t>, 1996; Barnes,</w:t>
      </w:r>
      <w:r>
        <w:rPr>
          <w:lang w:val="en-GB"/>
        </w:rPr>
        <w:t xml:space="preserve"> </w:t>
      </w:r>
      <w:r w:rsidRPr="00487559">
        <w:rPr>
          <w:lang w:val="en-GB"/>
        </w:rPr>
        <w:t>2005).</w:t>
      </w:r>
      <w:r w:rsidRPr="00F73642">
        <w:rPr>
          <w:lang w:val="en-GB"/>
        </w:rPr>
        <w:t xml:space="preserve"> </w:t>
      </w:r>
    </w:p>
    <w:p w:rsidR="00A47BE0" w:rsidRDefault="00A47BE0" w:rsidP="00A47BE0">
      <w:pPr>
        <w:jc w:val="both"/>
        <w:rPr>
          <w:lang w:val="en-GB"/>
        </w:rPr>
      </w:pPr>
      <w:r>
        <w:rPr>
          <w:lang w:val="en-GB"/>
        </w:rPr>
        <w:t xml:space="preserve">More recently, on-going evaluations </w:t>
      </w:r>
      <w:r w:rsidRPr="00487559">
        <w:rPr>
          <w:lang w:val="en-GB"/>
        </w:rPr>
        <w:t>incorporate randomized designs</w:t>
      </w:r>
      <w:r>
        <w:rPr>
          <w:lang w:val="en-GB"/>
        </w:rPr>
        <w:t xml:space="preserve"> in order to avoid the potential of a selection problem. These efforts include those of </w:t>
      </w:r>
      <w:r w:rsidRPr="00487559">
        <w:rPr>
          <w:lang w:val="en-GB"/>
        </w:rPr>
        <w:t>Torero (2009)</w:t>
      </w:r>
      <w:r>
        <w:rPr>
          <w:lang w:val="en-GB"/>
        </w:rPr>
        <w:t xml:space="preserve"> in Ethiopia, </w:t>
      </w:r>
      <w:r w:rsidRPr="00487559">
        <w:rPr>
          <w:lang w:val="en-GB"/>
        </w:rPr>
        <w:t>and Barron</w:t>
      </w:r>
      <w:r>
        <w:rPr>
          <w:lang w:val="en-GB"/>
        </w:rPr>
        <w:t xml:space="preserve"> &amp; Torero</w:t>
      </w:r>
      <w:r w:rsidRPr="00487559">
        <w:rPr>
          <w:lang w:val="en-GB"/>
        </w:rPr>
        <w:t xml:space="preserve"> (2012) in </w:t>
      </w:r>
      <w:r>
        <w:rPr>
          <w:lang w:val="en-GB"/>
        </w:rPr>
        <w:t>E</w:t>
      </w:r>
      <w:r w:rsidRPr="00487559">
        <w:rPr>
          <w:lang w:val="en-GB"/>
        </w:rPr>
        <w:t xml:space="preserve">l Salvador. To figure out the best policy instrument, the authors are assessing what drives the incentive to connect from the mainline of the town of each of the households and business. Their randomization instrument is a discount voucher to pay the last mile connection. This could be a useful proxy to get a sense of how much prices </w:t>
      </w:r>
      <w:r>
        <w:rPr>
          <w:lang w:val="en-GB"/>
        </w:rPr>
        <w:t>influence</w:t>
      </w:r>
      <w:r w:rsidRPr="00487559">
        <w:rPr>
          <w:lang w:val="en-GB"/>
        </w:rPr>
        <w:t xml:space="preserve"> the decision to connect.</w:t>
      </w:r>
    </w:p>
    <w:p w:rsidR="00A47BE0" w:rsidRDefault="00A47BE0" w:rsidP="00A47BE0">
      <w:pPr>
        <w:jc w:val="both"/>
        <w:rPr>
          <w:lang w:val="en-GB"/>
        </w:rPr>
      </w:pPr>
      <w:r>
        <w:rPr>
          <w:lang w:val="en-GB"/>
        </w:rPr>
        <w:t xml:space="preserve">In this context, the empirical evidence in Latin American and Caribbean Region is limited to few countries and it is mainly oriented to the case of new connections. To the best of our knowledge, there is no evidence on the impacts of an improvement in the quality of electricity service. This represents a contribution of the present evaluation, as it aims to evaluate the effect on the subject of </w:t>
      </w:r>
      <w:proofErr w:type="spellStart"/>
      <w:r>
        <w:rPr>
          <w:lang w:val="en-GB"/>
        </w:rPr>
        <w:t>reciving</w:t>
      </w:r>
      <w:proofErr w:type="spellEnd"/>
      <w:r>
        <w:rPr>
          <w:lang w:val="en-GB"/>
        </w:rPr>
        <w:t xml:space="preserve"> </w:t>
      </w:r>
      <w:proofErr w:type="gramStart"/>
      <w:r>
        <w:rPr>
          <w:lang w:val="en-GB"/>
        </w:rPr>
        <w:t>improved  quality</w:t>
      </w:r>
      <w:proofErr w:type="gramEnd"/>
      <w:r>
        <w:rPr>
          <w:lang w:val="en-GB"/>
        </w:rPr>
        <w:t xml:space="preserve"> of the electricity service. That is passing from having 6 hour per day to have 24 hour of electricity services.</w:t>
      </w:r>
      <w:r>
        <w:rPr>
          <w:rStyle w:val="FootnoteReference"/>
          <w:lang w:val="en-GB"/>
        </w:rPr>
        <w:footnoteReference w:id="7"/>
      </w:r>
    </w:p>
    <w:p w:rsidR="00A47BE0" w:rsidRPr="002E1011" w:rsidRDefault="00A47BE0" w:rsidP="00A47BE0">
      <w:pPr>
        <w:pStyle w:val="ListParagraph"/>
        <w:numPr>
          <w:ilvl w:val="0"/>
          <w:numId w:val="30"/>
        </w:numPr>
        <w:jc w:val="both"/>
        <w:rPr>
          <w:lang w:val="en-GB"/>
        </w:rPr>
      </w:pPr>
      <w:r w:rsidRPr="002E1011">
        <w:rPr>
          <w:lang w:val="en-GB"/>
        </w:rPr>
        <w:t xml:space="preserve">Main indicators  </w:t>
      </w:r>
    </w:p>
    <w:p w:rsidR="00A47BE0" w:rsidRDefault="00A47BE0" w:rsidP="00A47BE0">
      <w:pPr>
        <w:jc w:val="both"/>
        <w:rPr>
          <w:lang w:val="en-GB"/>
        </w:rPr>
      </w:pPr>
      <w:r w:rsidRPr="00773416">
        <w:rPr>
          <w:lang w:val="en-GB"/>
        </w:rPr>
        <w:t xml:space="preserve">The main indicator will be constructed on the basis of </w:t>
      </w:r>
      <w:r>
        <w:rPr>
          <w:lang w:val="en-GB"/>
        </w:rPr>
        <w:t>the double-</w:t>
      </w:r>
      <w:r w:rsidRPr="00773416">
        <w:rPr>
          <w:lang w:val="en-GB"/>
        </w:rPr>
        <w:t>differen</w:t>
      </w:r>
      <w:r>
        <w:rPr>
          <w:lang w:val="en-GB"/>
        </w:rPr>
        <w:t>ces</w:t>
      </w:r>
      <w:r w:rsidRPr="00773416">
        <w:rPr>
          <w:lang w:val="en-GB"/>
        </w:rPr>
        <w:t xml:space="preserve"> approach</w:t>
      </w:r>
      <w:r>
        <w:rPr>
          <w:lang w:val="en-GB"/>
        </w:rPr>
        <w:t>, as follows</w:t>
      </w:r>
      <w:r w:rsidRPr="00773416">
        <w:rPr>
          <w:lang w:val="en-GB"/>
        </w:rPr>
        <w:t>:</w:t>
      </w:r>
    </w:p>
    <w:p w:rsidR="00A47BE0" w:rsidRPr="00773416" w:rsidRDefault="00A47BE0" w:rsidP="00A47BE0">
      <w:pPr>
        <w:jc w:val="both"/>
        <w:rPr>
          <w:lang w:val="en-GB"/>
        </w:rPr>
      </w:pPr>
      <m:oMath>
        <m:r>
          <w:rPr>
            <w:rFonts w:ascii="Cambria Math" w:hAnsi="Cambria Math"/>
            <w:lang w:val="en-GB"/>
          </w:rPr>
          <w:lastRenderedPageBreak/>
          <m:t>effect=</m:t>
        </m:r>
        <m:d>
          <m:dPr>
            <m:ctrlPr>
              <w:rPr>
                <w:rFonts w:ascii="Cambria Math" w:hAnsi="Cambria Math"/>
                <w:i/>
                <w:lang w:val="en-GB"/>
              </w:rPr>
            </m:ctrlPr>
          </m:dPr>
          <m:e>
            <m:acc>
              <m:accPr>
                <m:chr m:val="̅"/>
                <m:ctrlPr>
                  <w:rPr>
                    <w:rFonts w:ascii="Cambria Math" w:hAnsi="Cambria Math"/>
                    <w:i/>
                    <w:lang w:val="en-GB"/>
                  </w:rPr>
                </m:ctrlPr>
              </m:accPr>
              <m:e>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fl</m:t>
                    </m:r>
                  </m:sub>
                  <m:sup>
                    <m:r>
                      <w:rPr>
                        <w:rFonts w:ascii="Cambria Math" w:hAnsi="Cambria Math"/>
                        <w:lang w:val="en-GB"/>
                      </w:rPr>
                      <m:t>tA</m:t>
                    </m:r>
                  </m:sup>
                </m:sSubSup>
              </m:e>
            </m:acc>
            <m:r>
              <w:rPr>
                <w:rFonts w:ascii="Cambria Math" w:hAnsi="Cambria Math"/>
                <w:lang w:val="en-GB"/>
              </w:rPr>
              <m:t>-</m:t>
            </m:r>
            <m:acc>
              <m:accPr>
                <m:chr m:val="̅"/>
                <m:ctrlPr>
                  <w:rPr>
                    <w:rFonts w:ascii="Cambria Math" w:hAnsi="Cambria Math"/>
                    <w:i/>
                    <w:lang w:val="en-GB"/>
                  </w:rPr>
                </m:ctrlPr>
              </m:accPr>
              <m:e>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bl</m:t>
                    </m:r>
                  </m:sub>
                  <m:sup>
                    <m:r>
                      <w:rPr>
                        <w:rFonts w:ascii="Cambria Math" w:hAnsi="Cambria Math"/>
                        <w:lang w:val="en-GB"/>
                      </w:rPr>
                      <m:t>tB</m:t>
                    </m:r>
                  </m:sup>
                </m:sSubSup>
              </m:e>
            </m:acc>
          </m:e>
        </m:d>
        <m:r>
          <w:rPr>
            <w:rFonts w:ascii="Cambria Math" w:hAnsi="Cambria Math"/>
            <w:lang w:val="en-GB"/>
          </w:rPr>
          <m:t>-(</m:t>
        </m:r>
        <m:acc>
          <m:accPr>
            <m:chr m:val="̅"/>
            <m:ctrlPr>
              <w:rPr>
                <w:rFonts w:ascii="Cambria Math" w:hAnsi="Cambria Math"/>
                <w:i/>
                <w:lang w:val="en-GB"/>
              </w:rPr>
            </m:ctrlPr>
          </m:accPr>
          <m:e>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fl</m:t>
                </m:r>
              </m:sub>
              <m:sup>
                <m:r>
                  <w:rPr>
                    <w:rFonts w:ascii="Cambria Math" w:hAnsi="Cambria Math"/>
                    <w:lang w:val="en-GB"/>
                  </w:rPr>
                  <m:t>cA</m:t>
                </m:r>
              </m:sup>
            </m:sSubSup>
          </m:e>
        </m:acc>
        <m:r>
          <w:rPr>
            <w:rFonts w:ascii="Cambria Math" w:hAnsi="Cambria Math"/>
            <w:lang w:val="en-GB"/>
          </w:rPr>
          <m:t>-</m:t>
        </m:r>
        <m:acc>
          <m:accPr>
            <m:chr m:val="̅"/>
            <m:ctrlPr>
              <w:rPr>
                <w:rFonts w:ascii="Cambria Math" w:hAnsi="Cambria Math"/>
                <w:i/>
                <w:lang w:val="en-GB"/>
              </w:rPr>
            </m:ctrlPr>
          </m:accPr>
          <m:e>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bl</m:t>
                </m:r>
              </m:sub>
              <m:sup>
                <m:r>
                  <w:rPr>
                    <w:rFonts w:ascii="Cambria Math" w:hAnsi="Cambria Math"/>
                    <w:lang w:val="en-GB"/>
                  </w:rPr>
                  <m:t>cB</m:t>
                </m:r>
              </m:sup>
            </m:sSubSup>
          </m:e>
        </m:acc>
        <m:r>
          <w:rPr>
            <w:rFonts w:ascii="Cambria Math" w:hAnsi="Cambria Math"/>
            <w:lang w:val="en-GB"/>
          </w:rPr>
          <m:t>)</m:t>
        </m:r>
      </m:oMath>
      <w:r>
        <w:rPr>
          <w:lang w:val="en-GB"/>
        </w:rPr>
        <w:t xml:space="preserve">. </w:t>
      </w:r>
    </w:p>
    <w:p w:rsidR="00A47BE0" w:rsidRDefault="00A47BE0" w:rsidP="00A47BE0">
      <w:pPr>
        <w:jc w:val="both"/>
        <w:rPr>
          <w:lang w:val="en-GB"/>
        </w:rPr>
      </w:pPr>
      <w:r>
        <w:rPr>
          <w:lang w:val="en-GB"/>
        </w:rPr>
        <w:t xml:space="preserve">Where Y represents the average indicator of interest (income, schooling, etc.) and the sub-indices t: treatment, c: control, A: after, B: before, </w:t>
      </w:r>
      <w:proofErr w:type="spellStart"/>
      <w:r w:rsidRPr="00762DA8">
        <w:rPr>
          <w:i/>
          <w:lang w:val="en-GB"/>
        </w:rPr>
        <w:t>fl</w:t>
      </w:r>
      <w:proofErr w:type="spellEnd"/>
      <w:r>
        <w:rPr>
          <w:lang w:val="en-GB"/>
        </w:rPr>
        <w:t xml:space="preserve">: follow-up, and </w:t>
      </w:r>
      <w:proofErr w:type="spellStart"/>
      <w:r w:rsidRPr="00762DA8">
        <w:rPr>
          <w:i/>
          <w:lang w:val="en-GB"/>
        </w:rPr>
        <w:t>bl</w:t>
      </w:r>
      <w:proofErr w:type="spellEnd"/>
      <w:r>
        <w:rPr>
          <w:lang w:val="en-GB"/>
        </w:rPr>
        <w:t xml:space="preserve">: baseline. The source of the information will be the database constructed by the Monitoring and Evaluation (M&amp;E) component that includes a baseline and follow-ups over the periods 2015 through 2020. The follow-up will be measured assuring </w:t>
      </w:r>
      <w:r w:rsidRPr="00762DA8">
        <w:rPr>
          <w:lang w:val="en-GB"/>
        </w:rPr>
        <w:t xml:space="preserve">that the treated villages will be exposed to the improvement in the electricity service at least for one </w:t>
      </w:r>
      <w:r>
        <w:rPr>
          <w:lang w:val="en-GB"/>
        </w:rPr>
        <w:t>year. The construction of the control group will be explained below.</w:t>
      </w:r>
    </w:p>
    <w:p w:rsidR="00A47BE0" w:rsidRPr="002E1011" w:rsidRDefault="00A47BE0" w:rsidP="00A47BE0">
      <w:pPr>
        <w:pStyle w:val="ListParagraph"/>
        <w:numPr>
          <w:ilvl w:val="0"/>
          <w:numId w:val="30"/>
        </w:numPr>
        <w:jc w:val="both"/>
        <w:rPr>
          <w:lang w:val="en-GB"/>
        </w:rPr>
      </w:pPr>
      <w:r w:rsidRPr="002E1011">
        <w:rPr>
          <w:lang w:val="en-GB"/>
        </w:rPr>
        <w:t>Methodology</w:t>
      </w:r>
    </w:p>
    <w:p w:rsidR="00A47BE0" w:rsidRDefault="00A47BE0" w:rsidP="00A47BE0">
      <w:pPr>
        <w:jc w:val="both"/>
        <w:rPr>
          <w:lang w:val="en-GB"/>
        </w:rPr>
      </w:pPr>
      <w:r>
        <w:rPr>
          <w:lang w:val="en-GB"/>
        </w:rPr>
        <w:t>The nature and context of the program and its execution limit the intervention to two villages out of around 130 potential villages’ beneficiaries. However, in the medium to long term, it is probable that those 130</w:t>
      </w:r>
      <w:r>
        <w:rPr>
          <w:rStyle w:val="FootnoteReference"/>
          <w:lang w:val="en-GB"/>
        </w:rPr>
        <w:footnoteReference w:id="8"/>
      </w:r>
      <w:r>
        <w:rPr>
          <w:lang w:val="en-GB"/>
        </w:rPr>
        <w:t xml:space="preserve"> villages will receive similar treatments</w:t>
      </w:r>
      <w:r>
        <w:rPr>
          <w:rStyle w:val="FootnoteReference"/>
          <w:lang w:val="en-GB"/>
        </w:rPr>
        <w:footnoteReference w:id="9"/>
      </w:r>
      <w:r>
        <w:rPr>
          <w:lang w:val="en-GB"/>
        </w:rPr>
        <w:t>. Suriname has no statistical information that would help improve public policy in infrastructure, particularly</w:t>
      </w:r>
      <w:r w:rsidRPr="00871640">
        <w:rPr>
          <w:lang w:val="en-GB"/>
        </w:rPr>
        <w:t xml:space="preserve"> </w:t>
      </w:r>
      <w:r>
        <w:rPr>
          <w:lang w:val="en-GB"/>
        </w:rPr>
        <w:t xml:space="preserve">in energy. This set-up represents an opportunity to generate a baseline that allows not only to evaluate the present intervention but also to inform public policy makers (infrastructure) in the future. </w:t>
      </w:r>
    </w:p>
    <w:p w:rsidR="00A47BE0" w:rsidRDefault="00A47BE0" w:rsidP="00A47BE0">
      <w:pPr>
        <w:jc w:val="both"/>
        <w:rPr>
          <w:lang w:val="en-GB"/>
        </w:rPr>
      </w:pPr>
      <w:r>
        <w:rPr>
          <w:lang w:val="en-GB"/>
        </w:rPr>
        <w:t xml:space="preserve">In general, the following methodologies rely on the analysis of a panel data at the household level over six years.  </w:t>
      </w:r>
    </w:p>
    <w:p w:rsidR="00A47BE0" w:rsidRPr="002E1011" w:rsidRDefault="00A47BE0" w:rsidP="00A47BE0">
      <w:pPr>
        <w:pStyle w:val="ListParagraph"/>
        <w:numPr>
          <w:ilvl w:val="0"/>
          <w:numId w:val="37"/>
        </w:numPr>
        <w:jc w:val="both"/>
        <w:rPr>
          <w:lang w:val="en-GB"/>
        </w:rPr>
      </w:pPr>
      <w:r w:rsidRPr="002E1011">
        <w:rPr>
          <w:lang w:val="en-GB"/>
        </w:rPr>
        <w:t>Double Differences + Two Stage Matching (</w:t>
      </w:r>
      <w:proofErr w:type="spellStart"/>
      <w:r w:rsidRPr="002E1011">
        <w:rPr>
          <w:lang w:val="en-GB"/>
        </w:rPr>
        <w:t>Powakka</w:t>
      </w:r>
      <w:proofErr w:type="spellEnd"/>
      <w:r w:rsidRPr="002E1011">
        <w:rPr>
          <w:lang w:val="en-GB"/>
        </w:rPr>
        <w:t xml:space="preserve"> &amp; </w:t>
      </w:r>
      <w:proofErr w:type="spellStart"/>
      <w:r w:rsidRPr="002E1011">
        <w:rPr>
          <w:lang w:val="en-GB"/>
        </w:rPr>
        <w:t>Atjoni</w:t>
      </w:r>
      <w:proofErr w:type="spellEnd"/>
      <w:r w:rsidRPr="002E1011">
        <w:rPr>
          <w:lang w:val="en-GB"/>
        </w:rPr>
        <w:t>)</w:t>
      </w:r>
    </w:p>
    <w:p w:rsidR="00A47BE0" w:rsidRDefault="00A47BE0" w:rsidP="00A47BE0">
      <w:pPr>
        <w:jc w:val="both"/>
        <w:rPr>
          <w:lang w:val="en-GB"/>
        </w:rPr>
      </w:pPr>
      <w:r w:rsidRPr="006D1D2C">
        <w:rPr>
          <w:lang w:val="en-GB"/>
        </w:rPr>
        <w:t xml:space="preserve">This </w:t>
      </w:r>
      <w:r>
        <w:rPr>
          <w:lang w:val="en-GB"/>
        </w:rPr>
        <w:t>strategy faces the limitation that the two villages were already selected by the Government of Suriname (GOS) in order to be connected to the grid. Besides observable characteristics for which we can control, there are probably potential non-observable factors that should be addressed in a qualitative analysis. This qualitative analysis would help to understand the direction of the bias, if any. Another limitation of the evaluation is that we only have two villages in a cluster-treatment.</w:t>
      </w:r>
      <w:r>
        <w:rPr>
          <w:rStyle w:val="FootnoteReference"/>
          <w:lang w:val="en-GB"/>
        </w:rPr>
        <w:footnoteReference w:id="10"/>
      </w:r>
    </w:p>
    <w:p w:rsidR="00A47BE0" w:rsidRDefault="00A47BE0" w:rsidP="00A47BE0">
      <w:pPr>
        <w:jc w:val="both"/>
        <w:rPr>
          <w:lang w:val="en-GB"/>
        </w:rPr>
      </w:pPr>
      <w:r>
        <w:rPr>
          <w:lang w:val="en-GB"/>
        </w:rPr>
        <w:t xml:space="preserve">In this context, the identification strategy relies on constructing a control group in two stages. First, based on information from the Census 2012, we match villages for </w:t>
      </w:r>
      <w:proofErr w:type="spellStart"/>
      <w:r>
        <w:rPr>
          <w:lang w:val="en-GB"/>
        </w:rPr>
        <w:t>Powakka</w:t>
      </w:r>
      <w:proofErr w:type="spellEnd"/>
      <w:r>
        <w:rPr>
          <w:lang w:val="en-GB"/>
        </w:rPr>
        <w:t xml:space="preserve"> and for </w:t>
      </w:r>
      <w:proofErr w:type="spellStart"/>
      <w:r>
        <w:rPr>
          <w:lang w:val="en-GB"/>
        </w:rPr>
        <w:t>Atjoni</w:t>
      </w:r>
      <w:proofErr w:type="spellEnd"/>
      <w:r>
        <w:rPr>
          <w:lang w:val="en-GB"/>
        </w:rPr>
        <w:t xml:space="preserve">. It is expected that this stage helps to clean the selection bias of the two villages (based on observables). Second, in each matched village, we find match households for </w:t>
      </w:r>
      <w:proofErr w:type="spellStart"/>
      <w:r>
        <w:rPr>
          <w:lang w:val="en-GB"/>
        </w:rPr>
        <w:t>Powakka</w:t>
      </w:r>
      <w:proofErr w:type="spellEnd"/>
      <w:r>
        <w:rPr>
          <w:lang w:val="en-GB"/>
        </w:rPr>
        <w:t xml:space="preserve"> and for </w:t>
      </w:r>
      <w:proofErr w:type="spellStart"/>
      <w:r>
        <w:rPr>
          <w:lang w:val="en-GB"/>
        </w:rPr>
        <w:lastRenderedPageBreak/>
        <w:t>Atjoni</w:t>
      </w:r>
      <w:proofErr w:type="spellEnd"/>
      <w:r>
        <w:rPr>
          <w:lang w:val="en-GB"/>
        </w:rPr>
        <w:t xml:space="preserve">. The peer villages come from the 130 remaining, non-treated, villages. The second stage will be performed based on information from the baseline. The control group will be constructed based on a matching that will take into account variables such as education, income, type of electricity connection, age and gender of the household head, ethnicity, and number of people in each household, among others. </w:t>
      </w:r>
    </w:p>
    <w:p w:rsidR="00A47BE0" w:rsidRPr="00F52B69" w:rsidRDefault="00A47BE0" w:rsidP="00A47BE0">
      <w:pPr>
        <w:jc w:val="both"/>
        <w:rPr>
          <w:lang w:val="en-GB"/>
        </w:rPr>
      </w:pPr>
      <w:r>
        <w:rPr>
          <w:lang w:val="en-GB"/>
        </w:rPr>
        <w:t>As a robustness check, c</w:t>
      </w:r>
      <w:r w:rsidRPr="00F52B69">
        <w:rPr>
          <w:lang w:val="en-GB"/>
        </w:rPr>
        <w:t>omplementary exercises to be performed are:</w:t>
      </w:r>
    </w:p>
    <w:p w:rsidR="00A47BE0" w:rsidRDefault="00A47BE0" w:rsidP="00A47BE0">
      <w:pPr>
        <w:pStyle w:val="ListParagraph"/>
        <w:numPr>
          <w:ilvl w:val="0"/>
          <w:numId w:val="38"/>
        </w:numPr>
        <w:jc w:val="both"/>
        <w:rPr>
          <w:b/>
          <w:lang w:val="en-GB"/>
        </w:rPr>
      </w:pPr>
      <w:r w:rsidRPr="00B4372E">
        <w:rPr>
          <w:lang w:val="en-GB"/>
        </w:rPr>
        <w:t>Before and after:</w:t>
      </w:r>
      <w:r>
        <w:rPr>
          <w:b/>
          <w:lang w:val="en-GB"/>
        </w:rPr>
        <w:t xml:space="preserve"> </w:t>
      </w:r>
      <w:r w:rsidRPr="00001DAB">
        <w:rPr>
          <w:b/>
          <w:lang w:val="en-GB"/>
        </w:rPr>
        <w:t xml:space="preserve"> </w:t>
      </w:r>
      <w:r w:rsidRPr="00BD22E1">
        <w:rPr>
          <w:lang w:val="en-GB"/>
        </w:rPr>
        <w:t xml:space="preserve">The estimation of this exercise could be compared with those of the double difference, </w:t>
      </w:r>
      <w:r>
        <w:rPr>
          <w:lang w:val="en-GB"/>
        </w:rPr>
        <w:t>taking</w:t>
      </w:r>
      <w:r w:rsidRPr="00BD22E1">
        <w:rPr>
          <w:lang w:val="en-GB"/>
        </w:rPr>
        <w:t xml:space="preserve"> into account the potential bias of confounding trends. However, this exercise will be informative about the methodological limitations of the different techniques without representing additional costs.</w:t>
      </w:r>
    </w:p>
    <w:p w:rsidR="00A47BE0" w:rsidRPr="00001DAB" w:rsidRDefault="00A47BE0" w:rsidP="00A47BE0">
      <w:pPr>
        <w:pStyle w:val="ListParagraph"/>
        <w:ind w:left="1485"/>
        <w:jc w:val="both"/>
        <w:rPr>
          <w:b/>
          <w:lang w:val="en-GB"/>
        </w:rPr>
      </w:pPr>
    </w:p>
    <w:p w:rsidR="00A47BE0" w:rsidRPr="00277950" w:rsidRDefault="00A47BE0" w:rsidP="00A47BE0">
      <w:pPr>
        <w:pStyle w:val="ListParagraph"/>
        <w:numPr>
          <w:ilvl w:val="0"/>
          <w:numId w:val="38"/>
        </w:numPr>
        <w:jc w:val="both"/>
        <w:rPr>
          <w:b/>
          <w:lang w:val="en-GB"/>
        </w:rPr>
      </w:pPr>
      <w:r w:rsidRPr="00B4372E">
        <w:rPr>
          <w:lang w:val="en-GB"/>
        </w:rPr>
        <w:t>Synthetic control:</w:t>
      </w:r>
      <w:r w:rsidRPr="005170DF">
        <w:rPr>
          <w:b/>
          <w:lang w:val="en-GB"/>
        </w:rPr>
        <w:t xml:space="preserve"> </w:t>
      </w:r>
      <w:r w:rsidRPr="005170DF">
        <w:rPr>
          <w:lang w:val="en-GB"/>
        </w:rPr>
        <w:t xml:space="preserve">Given that the proposed evaluation aims to raise a baseline over the 130 villages in the same geographic area, it is possible to construct both; a synthetic </w:t>
      </w:r>
      <w:proofErr w:type="spellStart"/>
      <w:r w:rsidRPr="005170DF">
        <w:rPr>
          <w:lang w:val="en-GB"/>
        </w:rPr>
        <w:t>Powakka</w:t>
      </w:r>
      <w:proofErr w:type="spellEnd"/>
      <w:r w:rsidRPr="005170DF">
        <w:rPr>
          <w:lang w:val="en-GB"/>
        </w:rPr>
        <w:t xml:space="preserve"> and a synthetic </w:t>
      </w:r>
      <w:proofErr w:type="spellStart"/>
      <w:r w:rsidRPr="005170DF">
        <w:rPr>
          <w:lang w:val="en-GB"/>
        </w:rPr>
        <w:t>Atjoni</w:t>
      </w:r>
      <w:proofErr w:type="spellEnd"/>
      <w:r w:rsidRPr="005170DF">
        <w:rPr>
          <w:lang w:val="en-GB"/>
        </w:rPr>
        <w:t xml:space="preserve"> with the non-treated villages. Under this methodology, it is not necessary to perform matching at household level. It is enough </w:t>
      </w:r>
      <w:r>
        <w:rPr>
          <w:lang w:val="en-GB"/>
        </w:rPr>
        <w:t xml:space="preserve">to </w:t>
      </w:r>
      <w:r w:rsidRPr="005170DF">
        <w:rPr>
          <w:lang w:val="en-GB"/>
        </w:rPr>
        <w:t>obtain data representative at</w:t>
      </w:r>
      <w:r>
        <w:rPr>
          <w:lang w:val="en-GB"/>
        </w:rPr>
        <w:t xml:space="preserve"> the</w:t>
      </w:r>
      <w:r w:rsidRPr="005170DF">
        <w:rPr>
          <w:lang w:val="en-GB"/>
        </w:rPr>
        <w:t xml:space="preserve"> village level. The villages to construct the synthetics will be those </w:t>
      </w:r>
      <w:r>
        <w:rPr>
          <w:lang w:val="en-GB"/>
        </w:rPr>
        <w:t xml:space="preserve">without </w:t>
      </w:r>
      <w:r w:rsidRPr="005170DF">
        <w:rPr>
          <w:lang w:val="en-GB"/>
        </w:rPr>
        <w:t>connect</w:t>
      </w:r>
      <w:r>
        <w:rPr>
          <w:lang w:val="en-GB"/>
        </w:rPr>
        <w:t xml:space="preserve">ion </w:t>
      </w:r>
      <w:r w:rsidRPr="005170DF">
        <w:rPr>
          <w:lang w:val="en-GB"/>
        </w:rPr>
        <w:t>to the grid after at least three years</w:t>
      </w:r>
      <w:r>
        <w:rPr>
          <w:lang w:val="en-GB"/>
        </w:rPr>
        <w:t>. This is</w:t>
      </w:r>
      <w:r w:rsidRPr="005170DF">
        <w:rPr>
          <w:lang w:val="en-GB"/>
        </w:rPr>
        <w:t xml:space="preserve"> in order to have enough elapse time to evaluate the impacts of</w:t>
      </w:r>
      <w:r>
        <w:rPr>
          <w:lang w:val="en-GB"/>
        </w:rPr>
        <w:t xml:space="preserve"> access to electricity services.</w:t>
      </w:r>
    </w:p>
    <w:p w:rsidR="00A47BE0" w:rsidRPr="00277950" w:rsidRDefault="00A47BE0" w:rsidP="00A47BE0">
      <w:pPr>
        <w:pStyle w:val="ListParagraph"/>
        <w:rPr>
          <w:b/>
          <w:lang w:val="en-GB"/>
        </w:rPr>
      </w:pPr>
    </w:p>
    <w:p w:rsidR="00A47BE0" w:rsidRPr="002E1011" w:rsidRDefault="00A47BE0" w:rsidP="00A47BE0">
      <w:pPr>
        <w:pStyle w:val="ListParagraph"/>
        <w:numPr>
          <w:ilvl w:val="0"/>
          <w:numId w:val="37"/>
        </w:numPr>
        <w:jc w:val="both"/>
        <w:rPr>
          <w:lang w:val="en-GB"/>
        </w:rPr>
      </w:pPr>
      <w:r w:rsidRPr="002E1011">
        <w:rPr>
          <w:lang w:val="en-GB"/>
        </w:rPr>
        <w:t>Randomizing  Phase-in order  (130 villages)</w:t>
      </w:r>
    </w:p>
    <w:p w:rsidR="00A47BE0" w:rsidRDefault="00A47BE0" w:rsidP="00A47BE0">
      <w:pPr>
        <w:jc w:val="both"/>
        <w:rPr>
          <w:lang w:val="en-GB"/>
        </w:rPr>
      </w:pPr>
      <w:r>
        <w:rPr>
          <w:lang w:val="en-GB"/>
        </w:rPr>
        <w:t xml:space="preserve">The second component of the evaluation consists of randomizing the order of connection of the villages. Given financial restrictions, the GOS will not be able to connect the remaining 130 villages at once. In this context, the phase-in takes advantage of this limitation and is often perceived as the fairest way of determining the order of receiving the program. One drawback of this design is the difficulty to estimate long run effects. This limitation could be sorted out by identifying well balance village-cohorts along the evaluation period. That is, identity groups of similar villages to receive the treatment in each phase. </w:t>
      </w:r>
    </w:p>
    <w:p w:rsidR="00A47BE0" w:rsidRDefault="00A47BE0" w:rsidP="00A47BE0">
      <w:pPr>
        <w:jc w:val="both"/>
        <w:rPr>
          <w:lang w:val="en-GB"/>
        </w:rPr>
      </w:pPr>
      <w:r>
        <w:rPr>
          <w:lang w:val="en-GB"/>
        </w:rPr>
        <w:t>The design will take advantage of the baseline in order to select well-balanced cohorts of villages for each phase of the program. We expect to measure effects after at least 3 years of access to electricity services. In the phase 3, this design will allow us to perform an intensity analysis, comparing those villages exposed to 3 years of treatment with those exposed for 2 (phase 2) and 1 year (phase 3).</w:t>
      </w:r>
    </w:p>
    <w:p w:rsidR="00A47BE0" w:rsidRDefault="00A47BE0" w:rsidP="00A47BE0">
      <w:pPr>
        <w:jc w:val="center"/>
        <w:rPr>
          <w:lang w:val="en-GB"/>
        </w:rPr>
      </w:pPr>
      <w:r w:rsidRPr="005961B6">
        <w:rPr>
          <w:noProof/>
        </w:rPr>
        <w:lastRenderedPageBreak/>
        <w:drawing>
          <wp:inline distT="0" distB="0" distL="0" distR="0" wp14:anchorId="06BE5205" wp14:editId="4E5D3CB1">
            <wp:extent cx="4250131" cy="22969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560" t="21974" r="4480" b="11040"/>
                    <a:stretch/>
                  </pic:blipFill>
                  <pic:spPr bwMode="auto">
                    <a:xfrm>
                      <a:off x="0" y="0"/>
                      <a:ext cx="4250725" cy="2297294"/>
                    </a:xfrm>
                    <a:prstGeom prst="rect">
                      <a:avLst/>
                    </a:prstGeom>
                    <a:ln>
                      <a:noFill/>
                    </a:ln>
                    <a:extLst>
                      <a:ext uri="{53640926-AAD7-44D8-BBD7-CCE9431645EC}">
                        <a14:shadowObscured xmlns:a14="http://schemas.microsoft.com/office/drawing/2010/main"/>
                      </a:ext>
                    </a:extLst>
                  </pic:spPr>
                </pic:pic>
              </a:graphicData>
            </a:graphic>
          </wp:inline>
        </w:drawing>
      </w:r>
    </w:p>
    <w:p w:rsidR="00A47BE0" w:rsidRDefault="00A47BE0" w:rsidP="00A47BE0">
      <w:pPr>
        <w:jc w:val="both"/>
        <w:rPr>
          <w:lang w:val="en-GB"/>
        </w:rPr>
      </w:pPr>
      <w:r>
        <w:rPr>
          <w:lang w:val="en-GB"/>
        </w:rPr>
        <w:t>Given that the implementation of Plan for rural electrification using Bank’s policies is a new experience in the GOS, a slow implementation of the program</w:t>
      </w:r>
      <w:r w:rsidRPr="00472388">
        <w:rPr>
          <w:lang w:val="en-GB"/>
        </w:rPr>
        <w:t xml:space="preserve"> </w:t>
      </w:r>
      <w:r>
        <w:rPr>
          <w:lang w:val="en-GB"/>
        </w:rPr>
        <w:t xml:space="preserve">is expected. This represents an advantage for the design, since it could take some time for the effect of the program to materialize. For example, if having access to modern sources of reliable electricity services allows a household to start a micro-enterprise, the expected impact on income could take at least a year to materialize.  </w:t>
      </w:r>
    </w:p>
    <w:p w:rsidR="00A47BE0" w:rsidRPr="002E1011" w:rsidRDefault="00A47BE0" w:rsidP="00A47BE0">
      <w:pPr>
        <w:jc w:val="both"/>
        <w:rPr>
          <w:lang w:val="en-GB"/>
        </w:rPr>
      </w:pPr>
      <w:r>
        <w:rPr>
          <w:lang w:val="en-GB"/>
        </w:rPr>
        <w:t xml:space="preserve">A risk for the impact evaluation in the present design is the potential contamination of the cohorts. The program could be implemented in different villages from the randomly selected or the electricity utility could find it profitable to connect some villages (unbalancing the cohorts). We expect that the dialogue with the GOS reduces this risk. Note that it has been assumed that it is not possible for the villages to </w:t>
      </w:r>
      <w:r w:rsidRPr="002E1011">
        <w:rPr>
          <w:lang w:val="en-GB"/>
        </w:rPr>
        <w:t xml:space="preserve">connect with their resources to the grid. </w:t>
      </w:r>
    </w:p>
    <w:p w:rsidR="00A47BE0" w:rsidRPr="002E1011" w:rsidRDefault="00A47BE0" w:rsidP="00A47BE0">
      <w:pPr>
        <w:pStyle w:val="ListParagraph"/>
        <w:numPr>
          <w:ilvl w:val="0"/>
          <w:numId w:val="30"/>
        </w:numPr>
        <w:jc w:val="both"/>
        <w:rPr>
          <w:lang w:val="en-GB"/>
        </w:rPr>
      </w:pPr>
      <w:r w:rsidRPr="002E1011">
        <w:rPr>
          <w:lang w:val="en-GB"/>
        </w:rPr>
        <w:t>Sample Size</w:t>
      </w:r>
      <w:r>
        <w:rPr>
          <w:lang w:val="en-GB"/>
        </w:rPr>
        <w:t xml:space="preserve"> &amp; Power Calculation</w:t>
      </w:r>
    </w:p>
    <w:p w:rsidR="00A47BE0" w:rsidRDefault="00A47BE0" w:rsidP="00A47BE0">
      <w:pPr>
        <w:jc w:val="both"/>
        <w:rPr>
          <w:lang w:val="en-GB"/>
        </w:rPr>
      </w:pPr>
      <w:r>
        <w:rPr>
          <w:lang w:val="en-GB"/>
        </w:rPr>
        <w:t>In the present case, the sample size estimation is restricted for the following reasons: (i) Two villages have already been selected for treatment. In order to evaluate the impacts on these villages, we should extract a representative sample of each village; (ii) there is a maximum of 130 villages that can be potential beneficiaries of the grid infrastructure.</w:t>
      </w:r>
    </w:p>
    <w:p w:rsidR="00A47BE0" w:rsidRDefault="00A47BE0" w:rsidP="00A47BE0">
      <w:pPr>
        <w:jc w:val="both"/>
        <w:rPr>
          <w:lang w:val="en-GB"/>
        </w:rPr>
      </w:pPr>
      <w:r>
        <w:rPr>
          <w:lang w:val="en-GB"/>
        </w:rPr>
        <w:t>Other general considerations to take into account for the sample size estimation are: (a)</w:t>
      </w:r>
      <w:r w:rsidRPr="009079F1">
        <w:rPr>
          <w:lang w:val="en-GB"/>
        </w:rPr>
        <w:t xml:space="preserve"> </w:t>
      </w:r>
      <w:r>
        <w:rPr>
          <w:lang w:val="en-GB"/>
        </w:rPr>
        <w:t>it is an ex-ante quasi-experimental study with repeat measures (baseline and follow-ups); (b) The surveys intent to capture control variables; (c) there exists potential imperfect compliance; and (d) It is a two-level design, with treatment applied to villages (clusters) and outcomes measured at the household level (primary unit of observation/sample). Besides, the sample size estimation should be useful to perform the evaluation of the impacts on the two villages attended for the component II of the Program.</w:t>
      </w:r>
    </w:p>
    <w:p w:rsidR="00A47BE0" w:rsidRDefault="00A47BE0" w:rsidP="00A47BE0">
      <w:pPr>
        <w:jc w:val="both"/>
        <w:rPr>
          <w:lang w:val="en-GB"/>
        </w:rPr>
      </w:pPr>
      <w:r>
        <w:rPr>
          <w:lang w:val="en-GB"/>
        </w:rPr>
        <w:lastRenderedPageBreak/>
        <w:t xml:space="preserve">In order to estimate the sample size required to detect a minimum effect (in our response variables) we will perform a statistical power exercise. </w:t>
      </w:r>
      <w:r w:rsidRPr="009A1B57">
        <w:rPr>
          <w:lang w:val="en-GB"/>
        </w:rPr>
        <w:t xml:space="preserve">The </w:t>
      </w:r>
      <w:r>
        <w:rPr>
          <w:lang w:val="en-GB"/>
        </w:rPr>
        <w:t>M</w:t>
      </w:r>
      <w:r w:rsidRPr="009A1B57">
        <w:rPr>
          <w:lang w:val="en-GB"/>
        </w:rPr>
        <w:t xml:space="preserve">inimum </w:t>
      </w:r>
      <w:r>
        <w:rPr>
          <w:lang w:val="en-GB"/>
        </w:rPr>
        <w:t>D</w:t>
      </w:r>
      <w:r w:rsidRPr="009A1B57">
        <w:rPr>
          <w:lang w:val="en-GB"/>
        </w:rPr>
        <w:t xml:space="preserve">etectable </w:t>
      </w:r>
      <w:r>
        <w:rPr>
          <w:lang w:val="en-GB"/>
        </w:rPr>
        <w:t>E</w:t>
      </w:r>
      <w:r w:rsidRPr="009A1B57">
        <w:rPr>
          <w:lang w:val="en-GB"/>
        </w:rPr>
        <w:t>ffect</w:t>
      </w:r>
      <w:r>
        <w:rPr>
          <w:lang w:val="en-GB"/>
        </w:rPr>
        <w:t xml:space="preserve"> (MDE) refers to </w:t>
      </w:r>
      <w:r w:rsidRPr="009A1B57">
        <w:rPr>
          <w:lang w:val="en-GB"/>
        </w:rPr>
        <w:t xml:space="preserve">the smallest effect that can be detected </w:t>
      </w:r>
      <w:r>
        <w:rPr>
          <w:lang w:val="en-GB"/>
        </w:rPr>
        <w:t xml:space="preserve">when </w:t>
      </w:r>
      <w:r w:rsidRPr="009A1B57">
        <w:rPr>
          <w:lang w:val="en-GB"/>
        </w:rPr>
        <w:t>test</w:t>
      </w:r>
      <w:r>
        <w:rPr>
          <w:lang w:val="en-GB"/>
        </w:rPr>
        <w:t>ing the statistical significance of our indicators.  In terms of standard deviation (SD), the MDE standard in the literature goes from 20% SD to 40% SD</w:t>
      </w:r>
      <w:r>
        <w:rPr>
          <w:rStyle w:val="FootnoteReference"/>
          <w:lang w:val="en-GB"/>
        </w:rPr>
        <w:footnoteReference w:id="11"/>
      </w:r>
      <w:r>
        <w:rPr>
          <w:lang w:val="en-GB"/>
        </w:rPr>
        <w:t xml:space="preserve">. However the risk is that if the true </w:t>
      </w:r>
      <w:r w:rsidRPr="009A1B57">
        <w:rPr>
          <w:lang w:val="en-GB"/>
        </w:rPr>
        <w:t>effect</w:t>
      </w:r>
      <w:r>
        <w:rPr>
          <w:lang w:val="en-GB"/>
        </w:rPr>
        <w:t xml:space="preserve"> would be </w:t>
      </w:r>
      <w:r w:rsidRPr="009A1B57">
        <w:rPr>
          <w:lang w:val="en-GB"/>
        </w:rPr>
        <w:t>15%</w:t>
      </w:r>
      <w:r>
        <w:rPr>
          <w:lang w:val="en-GB"/>
        </w:rPr>
        <w:t xml:space="preserve">; then the analysis will not find any </w:t>
      </w:r>
      <w:r w:rsidRPr="009A1B57">
        <w:rPr>
          <w:lang w:val="en-GB"/>
        </w:rPr>
        <w:t>statistically significant effects</w:t>
      </w:r>
      <w:r>
        <w:rPr>
          <w:lang w:val="en-GB"/>
        </w:rPr>
        <w:t>, even when such effect exist</w:t>
      </w:r>
      <w:r w:rsidRPr="009A1B57">
        <w:rPr>
          <w:lang w:val="en-GB"/>
        </w:rPr>
        <w:t>.</w:t>
      </w:r>
      <w:r>
        <w:rPr>
          <w:lang w:val="en-GB"/>
        </w:rPr>
        <w:t xml:space="preserve"> </w:t>
      </w:r>
    </w:p>
    <w:p w:rsidR="00A47BE0" w:rsidRDefault="00A47BE0" w:rsidP="00A47BE0">
      <w:pPr>
        <w:jc w:val="both"/>
        <w:rPr>
          <w:lang w:val="en-GB"/>
        </w:rPr>
      </w:pPr>
      <w:r>
        <w:rPr>
          <w:lang w:val="en-GB"/>
        </w:rPr>
        <w:t xml:space="preserve">It is also relevant to mention that the variables of interest (such as income, frequency of respiratory illnesses, employment/self-employment rate, among others) were not available for the country. For this reason, we proceeded to estimate the sample size based on the assumed minimum effects measured as standard deviations. For the case of income, </w:t>
      </w:r>
      <w:proofErr w:type="spellStart"/>
      <w:r>
        <w:rPr>
          <w:lang w:val="en-GB"/>
        </w:rPr>
        <w:t>Dinkelman</w:t>
      </w:r>
      <w:proofErr w:type="spellEnd"/>
      <w:r>
        <w:rPr>
          <w:lang w:val="en-GB"/>
        </w:rPr>
        <w:t xml:space="preserve"> (2010) found an effect of 20% for men and 16% for women. We will use this as reference when choosing the more appropriate sample size</w:t>
      </w:r>
      <w:r>
        <w:rPr>
          <w:rStyle w:val="FootnoteReference"/>
          <w:lang w:val="en-GB"/>
        </w:rPr>
        <w:footnoteReference w:id="12"/>
      </w:r>
      <w:r>
        <w:rPr>
          <w:lang w:val="en-GB"/>
        </w:rPr>
        <w:t>.</w:t>
      </w:r>
    </w:p>
    <w:p w:rsidR="00A47BE0" w:rsidRDefault="00A47BE0" w:rsidP="00A47BE0">
      <w:pPr>
        <w:jc w:val="both"/>
        <w:rPr>
          <w:lang w:val="en-GB"/>
        </w:rPr>
      </w:pPr>
      <w:r>
        <w:rPr>
          <w:lang w:val="en-GB"/>
        </w:rPr>
        <w:t xml:space="preserve">Another relevant input is the intra-cluster correlation (ICC). Without available information for the country, we must rely on parameters from other studies. For example, </w:t>
      </w:r>
      <w:proofErr w:type="spellStart"/>
      <w:r>
        <w:rPr>
          <w:lang w:val="en-GB"/>
        </w:rPr>
        <w:t>Duflo</w:t>
      </w:r>
      <w:proofErr w:type="spellEnd"/>
      <w:r>
        <w:rPr>
          <w:lang w:val="en-GB"/>
        </w:rPr>
        <w:t xml:space="preserve"> et al (2006) has shown that the ICC could be high (around 0.4) for test performance in primary schools. Other variables, such as income, are also expected to be highly correlated between households within a village (around 0.2). The ICC tends to be lower (between 0.037-0.08) for the case of health variables, as reported by Torero (2009). Taking this into account, we set the ICC in the range between [0.037-0.2]</w:t>
      </w:r>
    </w:p>
    <w:p w:rsidR="00A47BE0" w:rsidRDefault="00A47BE0" w:rsidP="00A47BE0">
      <w:pPr>
        <w:jc w:val="both"/>
        <w:rPr>
          <w:lang w:val="en-GB"/>
        </w:rPr>
      </w:pPr>
      <w:r>
        <w:rPr>
          <w:lang w:val="en-GB"/>
        </w:rPr>
        <w:t xml:space="preserve">Given these restrictions, characteristics and parameters we proceeded to estimate the sample size, following Bloom et al. 2011, under the expression: </w:t>
      </w:r>
    </w:p>
    <w:p w:rsidR="00A47BE0" w:rsidRDefault="00A47BE0" w:rsidP="00A47BE0">
      <w:pPr>
        <w:spacing w:before="240"/>
        <w:ind w:left="360"/>
        <w:jc w:val="both"/>
        <w:rPr>
          <w:lang w:val="en-GB"/>
        </w:rPr>
      </w:pPr>
      <m:oMathPara>
        <m:oMath>
          <m:r>
            <w:rPr>
              <w:rFonts w:ascii="Cambria Math" w:hAnsi="Cambria Math"/>
              <w:lang w:val="en-GB"/>
            </w:rPr>
            <m:t>λ=</m:t>
          </m:r>
          <m:f>
            <m:fPr>
              <m:ctrlPr>
                <w:rPr>
                  <w:rFonts w:ascii="Cambria Math" w:hAnsi="Cambria Math"/>
                  <w:i/>
                  <w:lang w:val="en-GB"/>
                </w:rPr>
              </m:ctrlPr>
            </m:fPr>
            <m:num>
              <m:r>
                <w:rPr>
                  <w:rFonts w:ascii="Cambria Math" w:hAnsi="Cambria Math"/>
                  <w:lang w:val="en-GB"/>
                </w:rPr>
                <m:t>J</m:t>
              </m:r>
              <m:sSup>
                <m:sSupPr>
                  <m:ctrlPr>
                    <w:rPr>
                      <w:rFonts w:ascii="Cambria Math" w:hAnsi="Cambria Math"/>
                      <w:i/>
                      <w:lang w:val="en-GB"/>
                    </w:rPr>
                  </m:ctrlPr>
                </m:sSupPr>
                <m:e>
                  <m:r>
                    <w:rPr>
                      <w:rFonts w:ascii="Cambria Math" w:hAnsi="Cambria Math"/>
                      <w:lang w:val="en-GB"/>
                    </w:rPr>
                    <m:t>δ</m:t>
                  </m:r>
                </m:e>
                <m:sup>
                  <m:r>
                    <w:rPr>
                      <w:rFonts w:ascii="Cambria Math" w:hAnsi="Cambria Math"/>
                      <w:lang w:val="en-GB"/>
                    </w:rPr>
                    <m:t>2</m:t>
                  </m:r>
                </m:sup>
              </m:sSup>
            </m:num>
            <m:den>
              <m:r>
                <w:rPr>
                  <w:rFonts w:ascii="Cambria Math" w:hAnsi="Cambria Math"/>
                  <w:lang w:val="en-GB"/>
                </w:rPr>
                <m:t>4[(1-</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r>
                <w:rPr>
                  <w:rFonts w:ascii="Cambria Math" w:hAnsi="Cambria Math"/>
                  <w:lang w:val="en-GB"/>
                </w:rPr>
                <m:t>)ρ+</m:t>
              </m:r>
              <m:f>
                <m:fPr>
                  <m:type m:val="skw"/>
                  <m:ctrlPr>
                    <w:rPr>
                      <w:rFonts w:ascii="Cambria Math" w:hAnsi="Cambria Math"/>
                      <w:i/>
                      <w:lang w:val="en-GB"/>
                    </w:rPr>
                  </m:ctrlPr>
                </m:fPr>
                <m:num>
                  <m:r>
                    <w:rPr>
                      <w:rFonts w:ascii="Cambria Math" w:hAnsi="Cambria Math"/>
                      <w:lang w:val="en-GB"/>
                    </w:rPr>
                    <m:t>(1-ρ)</m:t>
                  </m:r>
                </m:num>
                <m:den>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p</m:t>
                      </m:r>
                    </m:sub>
                  </m:sSub>
                  <m:r>
                    <w:rPr>
                      <w:rFonts w:ascii="Cambria Math" w:hAnsi="Cambria Math"/>
                      <w:lang w:val="en-GB"/>
                    </w:rPr>
                    <m:t>n</m:t>
                  </m:r>
                </m:den>
              </m:f>
              <m:r>
                <w:rPr>
                  <w:rFonts w:ascii="Cambria Math" w:hAnsi="Cambria Math"/>
                  <w:lang w:val="en-GB"/>
                </w:rPr>
                <m:t>]</m:t>
              </m:r>
            </m:den>
          </m:f>
        </m:oMath>
      </m:oMathPara>
    </w:p>
    <w:p w:rsidR="00A47BE0" w:rsidRDefault="00A47BE0" w:rsidP="00A47BE0">
      <w:pPr>
        <w:jc w:val="both"/>
        <w:rPr>
          <w:lang w:val="en-GB"/>
        </w:rPr>
      </w:pPr>
      <w:r w:rsidRPr="00110C1C">
        <w:rPr>
          <w:lang w:val="en-GB"/>
        </w:rPr>
        <w:t xml:space="preserve">Note that the power </w:t>
      </w:r>
      <w:r>
        <w:rPr>
          <w:lang w:val="en-GB"/>
        </w:rPr>
        <w:t>(</w:t>
      </w:r>
      <m:oMath>
        <m:r>
          <w:rPr>
            <w:rFonts w:ascii="Cambria Math" w:hAnsi="Cambria Math"/>
            <w:lang w:val="en-GB"/>
          </w:rPr>
          <m:t>λ</m:t>
        </m:r>
      </m:oMath>
      <w:r>
        <w:rPr>
          <w:lang w:val="en-GB"/>
        </w:rPr>
        <w:t xml:space="preserve">) </w:t>
      </w:r>
      <w:r w:rsidRPr="00110C1C">
        <w:rPr>
          <w:lang w:val="en-GB"/>
        </w:rPr>
        <w:t>is now a function of the number of clusters</w:t>
      </w:r>
      <w:r>
        <w:rPr>
          <w:lang w:val="en-GB"/>
        </w:rPr>
        <w:t xml:space="preserve"> (</w:t>
      </w:r>
      <w:r w:rsidRPr="00110C1C">
        <w:rPr>
          <w:lang w:val="en-GB"/>
        </w:rPr>
        <w:t>J</w:t>
      </w:r>
      <w:r>
        <w:rPr>
          <w:lang w:val="en-GB"/>
        </w:rPr>
        <w:t>),</w:t>
      </w:r>
      <w:r w:rsidRPr="00110C1C">
        <w:rPr>
          <w:lang w:val="en-GB"/>
        </w:rPr>
        <w:t xml:space="preserve"> the cluster size</w:t>
      </w:r>
      <w:r>
        <w:rPr>
          <w:lang w:val="en-GB"/>
        </w:rPr>
        <w:t xml:space="preserve"> (</w:t>
      </w:r>
      <w:r w:rsidRPr="00110C1C">
        <w:rPr>
          <w:lang w:val="en-GB"/>
        </w:rPr>
        <w:t>n</w:t>
      </w:r>
      <w:r>
        <w:rPr>
          <w:lang w:val="en-GB"/>
        </w:rPr>
        <w:t>),</w:t>
      </w:r>
      <w:r w:rsidRPr="00110C1C">
        <w:rPr>
          <w:lang w:val="en-GB"/>
        </w:rPr>
        <w:t xml:space="preserve"> the standardized effect size</w:t>
      </w:r>
      <w:r>
        <w:rPr>
          <w:lang w:val="en-GB"/>
        </w:rPr>
        <w:t xml:space="preserve"> (</w:t>
      </w:r>
      <m:oMath>
        <m:r>
          <w:rPr>
            <w:rFonts w:ascii="Cambria Math" w:hAnsi="Cambria Math"/>
            <w:lang w:val="en-GB"/>
          </w:rPr>
          <m:t>δ</m:t>
        </m:r>
      </m:oMath>
      <w:r>
        <w:rPr>
          <w:lang w:val="en-GB"/>
        </w:rPr>
        <w:t>), the intra-class correlation (</w:t>
      </w:r>
      <m:oMath>
        <m:r>
          <w:rPr>
            <w:rFonts w:ascii="Cambria Math" w:hAnsi="Cambria Math"/>
            <w:lang w:val="en-GB"/>
          </w:rPr>
          <m:t>ρ</m:t>
        </m:r>
      </m:oMath>
      <w:r>
        <w:rPr>
          <w:lang w:val="en-GB"/>
        </w:rPr>
        <w:t>)</w:t>
      </w:r>
      <w:r w:rsidRPr="00110C1C">
        <w:rPr>
          <w:lang w:val="en-GB"/>
        </w:rPr>
        <w:t>, the reliability</w:t>
      </w:r>
      <w:r>
        <w:rPr>
          <w:lang w:val="en-GB"/>
        </w:rPr>
        <w:t xml:space="preserve"> (</w:t>
      </w: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p</m:t>
            </m:r>
          </m:sub>
        </m:sSub>
      </m:oMath>
      <w:r>
        <w:rPr>
          <w:lang w:val="en-GB"/>
        </w:rPr>
        <w:t>)</w:t>
      </w:r>
      <w:r>
        <w:rPr>
          <w:rStyle w:val="FootnoteReference"/>
          <w:lang w:val="en-GB"/>
        </w:rPr>
        <w:footnoteReference w:id="13"/>
      </w:r>
      <w:r>
        <w:rPr>
          <w:lang w:val="en-GB"/>
        </w:rPr>
        <w:t>. The presence of covariates to increase power is entered as a factor</w:t>
      </w:r>
      <m:oMath>
        <m:d>
          <m:dPr>
            <m:ctrlPr>
              <w:rPr>
                <w:rFonts w:ascii="Cambria Math" w:hAnsi="Cambria Math"/>
                <w:i/>
                <w:lang w:val="en-GB"/>
              </w:rPr>
            </m:ctrlPr>
          </m:dPr>
          <m:e>
            <m:r>
              <w:rPr>
                <w:rFonts w:ascii="Cambria Math" w:hAnsi="Cambria Math"/>
                <w:lang w:val="en-GB"/>
              </w:rPr>
              <m:t>1-</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e>
        </m:d>
      </m:oMath>
      <w:r>
        <w:rPr>
          <w:lang w:val="en-GB"/>
        </w:rPr>
        <w:t xml:space="preserve">, with </w:t>
      </w: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oMath>
      <w:r>
        <w:rPr>
          <w:lang w:val="en-GB"/>
        </w:rPr>
        <w:t xml:space="preserve"> representing the estimated percent of variance explained by the covariates at the cluster-level. </w:t>
      </w:r>
    </w:p>
    <w:p w:rsidR="00A47BE0" w:rsidRDefault="00A47BE0" w:rsidP="00A47BE0">
      <w:pPr>
        <w:jc w:val="both"/>
        <w:rPr>
          <w:lang w:val="en-GB"/>
        </w:rPr>
      </w:pPr>
      <w:r>
        <w:rPr>
          <w:lang w:val="en-GB"/>
        </w:rPr>
        <w:lastRenderedPageBreak/>
        <w:t xml:space="preserve">In order to correct for imperfect compliance we adjusted our estimated </w:t>
      </w:r>
      <m:oMath>
        <m:r>
          <w:rPr>
            <w:rFonts w:ascii="Cambria Math" w:hAnsi="Cambria Math"/>
            <w:lang w:val="en-GB"/>
          </w:rPr>
          <m:t>n</m:t>
        </m:r>
      </m:oMath>
      <w:r>
        <w:rPr>
          <w:lang w:val="en-GB"/>
        </w:rPr>
        <w:t xml:space="preserve"> by the factor</w:t>
      </w:r>
      <m:oMath>
        <m:d>
          <m:dPr>
            <m:begChr m:val="["/>
            <m:endChr m:val="]"/>
            <m:ctrlPr>
              <w:rPr>
                <w:rFonts w:ascii="Cambria Math" w:hAnsi="Cambria Math"/>
                <w:i/>
                <w:lang w:val="en-GB"/>
              </w:rPr>
            </m:ctrlPr>
          </m:dPr>
          <m:e>
            <m:f>
              <m:fPr>
                <m:type m:val="skw"/>
                <m:ctrlPr>
                  <w:rPr>
                    <w:rFonts w:ascii="Cambria Math" w:hAnsi="Cambria Math"/>
                    <w:i/>
                    <w:lang w:val="en-GB"/>
                  </w:rPr>
                </m:ctrlPr>
              </m:fPr>
              <m:num>
                <m:r>
                  <w:rPr>
                    <w:rFonts w:ascii="Cambria Math" w:hAnsi="Cambria Math"/>
                    <w:lang w:val="en-GB"/>
                  </w:rPr>
                  <m:t>1</m:t>
                </m:r>
              </m:num>
              <m:den>
                <m:r>
                  <w:rPr>
                    <w:rFonts w:ascii="Cambria Math" w:hAnsi="Cambria Math"/>
                    <w:lang w:val="en-GB"/>
                  </w:rPr>
                  <m:t>(c-s)</m:t>
                </m:r>
              </m:den>
            </m:f>
          </m:e>
        </m:d>
      </m:oMath>
      <w:r>
        <w:rPr>
          <w:lang w:val="en-GB"/>
        </w:rPr>
        <w:t xml:space="preserve"> (Duflo et al, 2006). Where c represents the percentage of households assigned to a treatment who actually receive the treatment and s represent the share of households assigned to control group who receive the treatment. We assume the imperfect compliance could occur only at cluster level; however it could also be the case that control villages receive the treatment, or treatment villages did not receive the treatment. It is expected that these issues could be controlled at implementation level.</w:t>
      </w:r>
    </w:p>
    <w:p w:rsidR="00A47BE0" w:rsidRDefault="00A47BE0" w:rsidP="00A47BE0">
      <w:pPr>
        <w:jc w:val="both"/>
        <w:rPr>
          <w:lang w:val="en-GB"/>
        </w:rPr>
      </w:pPr>
      <w:r>
        <w:rPr>
          <w:lang w:val="en-GB"/>
        </w:rPr>
        <w:t xml:space="preserve">The next table and figure present the main results. The range in the MDE states different levels of ICC (0.037 and 0.2, respectively). The number of households per cluster is already adjusted to imperfect compliance. As the figure shows, around 28 households per village return the required MDE (13%-20%). Accounting for a total of 130 villages the total number of household to survey will be around 3600. </w:t>
      </w:r>
    </w:p>
    <w:tbl>
      <w:tblPr>
        <w:tblW w:w="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75"/>
        <w:gridCol w:w="675"/>
        <w:gridCol w:w="2180"/>
      </w:tblGrid>
      <w:tr w:rsidR="00A47BE0" w:rsidRPr="00C21F69" w:rsidTr="00177A31">
        <w:trPr>
          <w:trHeight w:val="300"/>
          <w:jc w:val="center"/>
        </w:trPr>
        <w:tc>
          <w:tcPr>
            <w:tcW w:w="5350" w:type="dxa"/>
            <w:gridSpan w:val="4"/>
            <w:tcBorders>
              <w:top w:val="nil"/>
              <w:left w:val="nil"/>
              <w:bottom w:val="single" w:sz="4" w:space="0" w:color="auto"/>
              <w:right w:val="nil"/>
            </w:tcBorders>
            <w:shd w:val="clear" w:color="auto" w:fill="auto"/>
            <w:noWrap/>
            <w:vAlign w:val="bottom"/>
            <w:hideMark/>
          </w:tcPr>
          <w:p w:rsidR="00A47BE0" w:rsidRDefault="00A47BE0" w:rsidP="00177A31">
            <w:pPr>
              <w:spacing w:after="0" w:line="240" w:lineRule="auto"/>
              <w:jc w:val="center"/>
              <w:rPr>
                <w:rFonts w:ascii="Calibri" w:eastAsia="Times New Roman" w:hAnsi="Calibri"/>
                <w:b/>
                <w:color w:val="000000"/>
              </w:rPr>
            </w:pPr>
            <w:r w:rsidRPr="00C21F69">
              <w:rPr>
                <w:rFonts w:ascii="Calibri" w:eastAsia="Times New Roman" w:hAnsi="Calibri"/>
                <w:b/>
                <w:color w:val="000000"/>
              </w:rPr>
              <w:t xml:space="preserve">Minimum Detectable Effect (MDE) </w:t>
            </w:r>
            <w:proofErr w:type="spellStart"/>
            <w:r w:rsidRPr="00C21F69">
              <w:rPr>
                <w:rFonts w:ascii="Calibri" w:eastAsia="Times New Roman" w:hAnsi="Calibri"/>
                <w:b/>
                <w:color w:val="000000"/>
              </w:rPr>
              <w:t>vs</w:t>
            </w:r>
            <w:proofErr w:type="spellEnd"/>
            <w:r w:rsidRPr="00C21F69">
              <w:rPr>
                <w:rFonts w:ascii="Calibri" w:eastAsia="Times New Roman" w:hAnsi="Calibri"/>
                <w:b/>
                <w:color w:val="000000"/>
              </w:rPr>
              <w:t xml:space="preserve"> Households</w:t>
            </w:r>
          </w:p>
          <w:p w:rsidR="00A47BE0" w:rsidRPr="00C21F69" w:rsidRDefault="00A47BE0" w:rsidP="00177A31">
            <w:pPr>
              <w:spacing w:after="0" w:line="240" w:lineRule="auto"/>
              <w:jc w:val="center"/>
              <w:rPr>
                <w:rFonts w:ascii="Calibri" w:eastAsia="Times New Roman" w:hAnsi="Calibri"/>
                <w:b/>
                <w:color w:val="000000"/>
              </w:rPr>
            </w:pPr>
            <w:r w:rsidRPr="00C21F69">
              <w:rPr>
                <w:rFonts w:ascii="Calibri" w:eastAsia="Times New Roman" w:hAnsi="Calibri"/>
                <w:b/>
                <w:color w:val="000000"/>
              </w:rPr>
              <w:t xml:space="preserve"> per Cluster</w:t>
            </w:r>
          </w:p>
        </w:tc>
      </w:tr>
      <w:tr w:rsidR="00A47BE0" w:rsidRPr="00C21F69" w:rsidTr="00177A31">
        <w:trPr>
          <w:trHeight w:val="300"/>
          <w:jc w:val="center"/>
        </w:trPr>
        <w:tc>
          <w:tcPr>
            <w:tcW w:w="1520" w:type="dxa"/>
            <w:tcBorders>
              <w:top w:val="single" w:sz="4" w:space="0" w:color="auto"/>
            </w:tcBorders>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MDE (SD)</w:t>
            </w:r>
          </w:p>
        </w:tc>
        <w:tc>
          <w:tcPr>
            <w:tcW w:w="1650" w:type="dxa"/>
            <w:gridSpan w:val="2"/>
            <w:tcBorders>
              <w:top w:val="single" w:sz="4" w:space="0" w:color="auto"/>
            </w:tcBorders>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n adj. by imperfect compliance</w:t>
            </w:r>
          </w:p>
        </w:tc>
        <w:tc>
          <w:tcPr>
            <w:tcW w:w="2180" w:type="dxa"/>
            <w:tcBorders>
              <w:top w:val="single" w:sz="4" w:space="0" w:color="auto"/>
            </w:tcBorders>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Total Households</w:t>
            </w:r>
          </w:p>
        </w:tc>
      </w:tr>
      <w:tr w:rsidR="00A47BE0" w:rsidRPr="00C21F69" w:rsidTr="00177A31">
        <w:trPr>
          <w:trHeight w:val="300"/>
          <w:jc w:val="center"/>
        </w:trPr>
        <w:tc>
          <w:tcPr>
            <w:tcW w:w="1520" w:type="dxa"/>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15-21</w:t>
            </w:r>
          </w:p>
        </w:tc>
        <w:tc>
          <w:tcPr>
            <w:tcW w:w="1650" w:type="dxa"/>
            <w:gridSpan w:val="2"/>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20</w:t>
            </w:r>
          </w:p>
        </w:tc>
        <w:tc>
          <w:tcPr>
            <w:tcW w:w="2180" w:type="dxa"/>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2600</w:t>
            </w:r>
          </w:p>
        </w:tc>
      </w:tr>
      <w:tr w:rsidR="00A47BE0" w:rsidRPr="00C21F69" w:rsidTr="00177A31">
        <w:trPr>
          <w:trHeight w:val="300"/>
          <w:jc w:val="center"/>
        </w:trPr>
        <w:tc>
          <w:tcPr>
            <w:tcW w:w="1520" w:type="dxa"/>
            <w:shd w:val="clear" w:color="auto" w:fill="auto"/>
            <w:noWrap/>
            <w:vAlign w:val="bottom"/>
            <w:hideMark/>
          </w:tcPr>
          <w:p w:rsidR="00A47BE0" w:rsidRPr="00C21F69" w:rsidRDefault="00A47BE0" w:rsidP="00177A31">
            <w:pPr>
              <w:spacing w:after="0" w:line="240" w:lineRule="auto"/>
              <w:jc w:val="center"/>
              <w:rPr>
                <w:rFonts w:ascii="Calibri" w:eastAsia="Times New Roman" w:hAnsi="Calibri"/>
                <w:b/>
                <w:i/>
                <w:color w:val="000000"/>
              </w:rPr>
            </w:pPr>
            <w:r w:rsidRPr="00C21F69">
              <w:rPr>
                <w:rFonts w:ascii="Calibri" w:eastAsia="Times New Roman" w:hAnsi="Calibri"/>
                <w:b/>
                <w:i/>
                <w:color w:val="000000"/>
              </w:rPr>
              <w:t>13-20</w:t>
            </w:r>
          </w:p>
        </w:tc>
        <w:tc>
          <w:tcPr>
            <w:tcW w:w="1650" w:type="dxa"/>
            <w:gridSpan w:val="2"/>
            <w:shd w:val="clear" w:color="auto" w:fill="auto"/>
            <w:noWrap/>
            <w:vAlign w:val="bottom"/>
            <w:hideMark/>
          </w:tcPr>
          <w:p w:rsidR="00A47BE0" w:rsidRPr="00C21F69" w:rsidRDefault="00A47BE0" w:rsidP="00177A31">
            <w:pPr>
              <w:spacing w:after="0" w:line="240" w:lineRule="auto"/>
              <w:jc w:val="center"/>
              <w:rPr>
                <w:rFonts w:ascii="Calibri" w:eastAsia="Times New Roman" w:hAnsi="Calibri"/>
                <w:b/>
                <w:i/>
                <w:color w:val="000000"/>
              </w:rPr>
            </w:pPr>
            <w:r w:rsidRPr="00C21F69">
              <w:rPr>
                <w:rFonts w:ascii="Calibri" w:eastAsia="Times New Roman" w:hAnsi="Calibri"/>
                <w:b/>
                <w:i/>
                <w:color w:val="000000"/>
              </w:rPr>
              <w:t>28</w:t>
            </w:r>
          </w:p>
        </w:tc>
        <w:tc>
          <w:tcPr>
            <w:tcW w:w="2180" w:type="dxa"/>
            <w:shd w:val="clear" w:color="auto" w:fill="auto"/>
            <w:noWrap/>
            <w:vAlign w:val="bottom"/>
            <w:hideMark/>
          </w:tcPr>
          <w:p w:rsidR="00A47BE0" w:rsidRPr="00C21F69" w:rsidRDefault="00A47BE0" w:rsidP="00177A31">
            <w:pPr>
              <w:spacing w:after="0" w:line="240" w:lineRule="auto"/>
              <w:jc w:val="center"/>
              <w:rPr>
                <w:rFonts w:ascii="Calibri" w:eastAsia="Times New Roman" w:hAnsi="Calibri"/>
                <w:b/>
                <w:i/>
                <w:color w:val="000000"/>
              </w:rPr>
            </w:pPr>
            <w:r w:rsidRPr="00C21F69">
              <w:rPr>
                <w:rFonts w:ascii="Calibri" w:eastAsia="Times New Roman" w:hAnsi="Calibri"/>
                <w:b/>
                <w:i/>
                <w:color w:val="000000"/>
              </w:rPr>
              <w:t>3611</w:t>
            </w:r>
          </w:p>
        </w:tc>
      </w:tr>
      <w:tr w:rsidR="00A47BE0" w:rsidRPr="00C21F69" w:rsidTr="00177A31">
        <w:trPr>
          <w:trHeight w:val="300"/>
          <w:jc w:val="center"/>
        </w:trPr>
        <w:tc>
          <w:tcPr>
            <w:tcW w:w="1520" w:type="dxa"/>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12-19.7</w:t>
            </w:r>
          </w:p>
        </w:tc>
        <w:tc>
          <w:tcPr>
            <w:tcW w:w="1650" w:type="dxa"/>
            <w:gridSpan w:val="2"/>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33</w:t>
            </w:r>
          </w:p>
        </w:tc>
        <w:tc>
          <w:tcPr>
            <w:tcW w:w="2180" w:type="dxa"/>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4333</w:t>
            </w:r>
          </w:p>
        </w:tc>
      </w:tr>
      <w:tr w:rsidR="00A47BE0" w:rsidRPr="00C21F69" w:rsidTr="00177A31">
        <w:trPr>
          <w:trHeight w:val="300"/>
          <w:jc w:val="center"/>
        </w:trPr>
        <w:tc>
          <w:tcPr>
            <w:tcW w:w="1520" w:type="dxa"/>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12-19.3</w:t>
            </w:r>
          </w:p>
        </w:tc>
        <w:tc>
          <w:tcPr>
            <w:tcW w:w="1650" w:type="dxa"/>
            <w:gridSpan w:val="2"/>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39</w:t>
            </w:r>
          </w:p>
        </w:tc>
        <w:tc>
          <w:tcPr>
            <w:tcW w:w="2180" w:type="dxa"/>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5056</w:t>
            </w:r>
          </w:p>
        </w:tc>
      </w:tr>
      <w:tr w:rsidR="00A47BE0" w:rsidRPr="00C21F69" w:rsidTr="00177A31">
        <w:trPr>
          <w:trHeight w:val="300"/>
          <w:jc w:val="center"/>
        </w:trPr>
        <w:tc>
          <w:tcPr>
            <w:tcW w:w="1520" w:type="dxa"/>
            <w:tcBorders>
              <w:bottom w:val="single" w:sz="4" w:space="0" w:color="auto"/>
            </w:tcBorders>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10-18.6</w:t>
            </w:r>
          </w:p>
        </w:tc>
        <w:tc>
          <w:tcPr>
            <w:tcW w:w="1650" w:type="dxa"/>
            <w:gridSpan w:val="2"/>
            <w:tcBorders>
              <w:bottom w:val="single" w:sz="4" w:space="0" w:color="auto"/>
            </w:tcBorders>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50</w:t>
            </w:r>
          </w:p>
        </w:tc>
        <w:tc>
          <w:tcPr>
            <w:tcW w:w="2180" w:type="dxa"/>
            <w:tcBorders>
              <w:bottom w:val="single" w:sz="4" w:space="0" w:color="auto"/>
            </w:tcBorders>
            <w:shd w:val="clear" w:color="auto" w:fill="auto"/>
            <w:noWrap/>
            <w:vAlign w:val="bottom"/>
            <w:hideMark/>
          </w:tcPr>
          <w:p w:rsidR="00A47BE0" w:rsidRPr="00C21F69" w:rsidRDefault="00A47BE0" w:rsidP="00177A31">
            <w:pPr>
              <w:spacing w:after="0" w:line="240" w:lineRule="auto"/>
              <w:jc w:val="center"/>
              <w:rPr>
                <w:rFonts w:ascii="Calibri" w:eastAsia="Times New Roman" w:hAnsi="Calibri"/>
                <w:color w:val="000000"/>
              </w:rPr>
            </w:pPr>
            <w:r w:rsidRPr="00C21F69">
              <w:rPr>
                <w:rFonts w:ascii="Calibri" w:eastAsia="Times New Roman" w:hAnsi="Calibri"/>
                <w:color w:val="000000"/>
              </w:rPr>
              <w:t>6500</w:t>
            </w:r>
          </w:p>
        </w:tc>
      </w:tr>
      <w:tr w:rsidR="00A47BE0" w:rsidRPr="00C21F69" w:rsidTr="00177A31">
        <w:trPr>
          <w:trHeight w:val="300"/>
          <w:jc w:val="center"/>
        </w:trPr>
        <w:tc>
          <w:tcPr>
            <w:tcW w:w="2495" w:type="dxa"/>
            <w:gridSpan w:val="2"/>
            <w:tcBorders>
              <w:top w:val="single" w:sz="4" w:space="0" w:color="auto"/>
              <w:left w:val="nil"/>
              <w:bottom w:val="nil"/>
              <w:right w:val="nil"/>
            </w:tcBorders>
            <w:shd w:val="clear" w:color="auto" w:fill="auto"/>
            <w:noWrap/>
            <w:vAlign w:val="bottom"/>
            <w:hideMark/>
          </w:tcPr>
          <w:p w:rsidR="00A47BE0" w:rsidRPr="00C21F69" w:rsidRDefault="00A47BE0" w:rsidP="00177A31">
            <w:pPr>
              <w:spacing w:after="0" w:line="240" w:lineRule="auto"/>
              <w:rPr>
                <w:rFonts w:ascii="Calibri" w:eastAsia="Times New Roman" w:hAnsi="Calibri"/>
                <w:b/>
                <w:color w:val="000000"/>
                <w:sz w:val="16"/>
                <w:szCs w:val="16"/>
                <w:u w:val="single"/>
              </w:rPr>
            </w:pPr>
            <w:r w:rsidRPr="00C21F69">
              <w:rPr>
                <w:rFonts w:ascii="Calibri" w:eastAsia="Times New Roman" w:hAnsi="Calibri"/>
                <w:b/>
                <w:color w:val="000000"/>
                <w:sz w:val="16"/>
                <w:szCs w:val="16"/>
                <w:u w:val="single"/>
              </w:rPr>
              <w:t>Parameters:</w:t>
            </w:r>
          </w:p>
          <w:p w:rsidR="00A47BE0" w:rsidRPr="00C21F69" w:rsidRDefault="00A47BE0" w:rsidP="00177A31">
            <w:pPr>
              <w:spacing w:after="0" w:line="240" w:lineRule="auto"/>
              <w:rPr>
                <w:rFonts w:ascii="Calibri" w:eastAsia="Times New Roman" w:hAnsi="Calibri"/>
                <w:color w:val="000000"/>
                <w:sz w:val="16"/>
                <w:szCs w:val="16"/>
              </w:rPr>
            </w:pPr>
            <w:r w:rsidRPr="00C21F69">
              <w:rPr>
                <w:rFonts w:ascii="Calibri" w:eastAsia="Times New Roman" w:hAnsi="Calibri"/>
                <w:color w:val="000000"/>
                <w:sz w:val="16"/>
                <w:szCs w:val="16"/>
              </w:rPr>
              <w:t>- Number of Clusters: 130 Villages</w:t>
            </w:r>
          </w:p>
          <w:p w:rsidR="00A47BE0" w:rsidRPr="00C21F69" w:rsidRDefault="00A47BE0" w:rsidP="00177A31">
            <w:pPr>
              <w:spacing w:after="0" w:line="240" w:lineRule="auto"/>
              <w:rPr>
                <w:rFonts w:ascii="Calibri" w:eastAsia="Times New Roman" w:hAnsi="Calibri"/>
                <w:color w:val="000000"/>
                <w:sz w:val="16"/>
                <w:szCs w:val="16"/>
              </w:rPr>
            </w:pPr>
            <w:r w:rsidRPr="00C21F69">
              <w:rPr>
                <w:rFonts w:ascii="Calibri" w:eastAsia="Times New Roman" w:hAnsi="Calibri"/>
                <w:color w:val="000000"/>
                <w:sz w:val="16"/>
                <w:szCs w:val="16"/>
              </w:rPr>
              <w:t>- Power: 80%</w:t>
            </w:r>
          </w:p>
          <w:p w:rsidR="00A47BE0" w:rsidRPr="00C21F69" w:rsidRDefault="00A47BE0" w:rsidP="00177A31">
            <w:pPr>
              <w:spacing w:after="0" w:line="240" w:lineRule="auto"/>
              <w:rPr>
                <w:rFonts w:ascii="Calibri" w:eastAsia="Times New Roman" w:hAnsi="Calibri"/>
                <w:color w:val="000000"/>
                <w:sz w:val="16"/>
                <w:szCs w:val="16"/>
              </w:rPr>
            </w:pPr>
            <w:r w:rsidRPr="00C21F69">
              <w:rPr>
                <w:rFonts w:ascii="Calibri" w:eastAsia="Times New Roman" w:hAnsi="Calibri"/>
                <w:color w:val="000000"/>
                <w:sz w:val="16"/>
                <w:szCs w:val="16"/>
              </w:rPr>
              <w:t>- Significance Level: 5%</w:t>
            </w:r>
          </w:p>
          <w:p w:rsidR="00A47BE0" w:rsidRPr="00C21F69" w:rsidRDefault="00A47BE0" w:rsidP="00177A31">
            <w:pPr>
              <w:spacing w:after="0" w:line="240" w:lineRule="auto"/>
              <w:rPr>
                <w:rFonts w:ascii="Calibri" w:eastAsia="Times New Roman" w:hAnsi="Calibri"/>
                <w:color w:val="000000"/>
                <w:sz w:val="16"/>
                <w:szCs w:val="16"/>
              </w:rPr>
            </w:pPr>
            <w:r w:rsidRPr="00C21F69">
              <w:rPr>
                <w:rFonts w:ascii="Calibri" w:eastAsia="Times New Roman" w:hAnsi="Calibri"/>
                <w:color w:val="000000"/>
                <w:sz w:val="16"/>
                <w:szCs w:val="16"/>
              </w:rPr>
              <w:t>- One Baseline and two follow-ups</w:t>
            </w:r>
          </w:p>
        </w:tc>
        <w:tc>
          <w:tcPr>
            <w:tcW w:w="2855" w:type="dxa"/>
            <w:gridSpan w:val="2"/>
            <w:tcBorders>
              <w:top w:val="single" w:sz="4" w:space="0" w:color="auto"/>
              <w:left w:val="nil"/>
              <w:bottom w:val="nil"/>
              <w:right w:val="nil"/>
            </w:tcBorders>
            <w:shd w:val="clear" w:color="auto" w:fill="auto"/>
            <w:vAlign w:val="bottom"/>
          </w:tcPr>
          <w:p w:rsidR="00A47BE0" w:rsidRPr="00C21F69" w:rsidRDefault="00A47BE0" w:rsidP="00177A31">
            <w:pPr>
              <w:spacing w:after="0" w:line="240" w:lineRule="auto"/>
              <w:rPr>
                <w:rFonts w:ascii="Calibri" w:eastAsia="Times New Roman" w:hAnsi="Calibri"/>
                <w:b/>
                <w:color w:val="000000"/>
                <w:sz w:val="16"/>
                <w:szCs w:val="16"/>
                <w:u w:val="single"/>
              </w:rPr>
            </w:pPr>
            <w:r w:rsidRPr="00C21F69">
              <w:rPr>
                <w:rFonts w:ascii="Calibri" w:eastAsia="Times New Roman" w:hAnsi="Calibri"/>
                <w:b/>
                <w:color w:val="000000"/>
                <w:sz w:val="16"/>
                <w:szCs w:val="16"/>
                <w:u w:val="single"/>
              </w:rPr>
              <w:t>Assumptions:</w:t>
            </w:r>
          </w:p>
          <w:p w:rsidR="00A47BE0" w:rsidRPr="00C21F69" w:rsidRDefault="00A47BE0" w:rsidP="00177A31">
            <w:pPr>
              <w:spacing w:after="0" w:line="240" w:lineRule="auto"/>
              <w:rPr>
                <w:rFonts w:ascii="Calibri" w:eastAsia="Times New Roman" w:hAnsi="Calibri"/>
                <w:color w:val="000000"/>
                <w:sz w:val="16"/>
                <w:szCs w:val="16"/>
              </w:rPr>
            </w:pPr>
            <w:r w:rsidRPr="00C21F69">
              <w:rPr>
                <w:rFonts w:ascii="Calibri" w:eastAsia="Times New Roman" w:hAnsi="Calibri"/>
                <w:color w:val="000000"/>
                <w:sz w:val="16"/>
                <w:szCs w:val="16"/>
              </w:rPr>
              <w:t>- Intra-class Correlation: [0.37-0.20]</w:t>
            </w:r>
          </w:p>
          <w:p w:rsidR="00A47BE0" w:rsidRPr="00C21F69" w:rsidRDefault="00A47BE0" w:rsidP="00177A31">
            <w:pPr>
              <w:spacing w:after="0" w:line="240" w:lineRule="auto"/>
              <w:rPr>
                <w:rFonts w:ascii="Calibri" w:eastAsia="Times New Roman" w:hAnsi="Calibri"/>
                <w:color w:val="000000"/>
                <w:sz w:val="16"/>
                <w:szCs w:val="16"/>
              </w:rPr>
            </w:pPr>
            <w:r w:rsidRPr="00C21F69">
              <w:rPr>
                <w:rFonts w:ascii="Calibri" w:eastAsia="Times New Roman" w:hAnsi="Calibri"/>
                <w:color w:val="000000"/>
                <w:sz w:val="16"/>
                <w:szCs w:val="16"/>
              </w:rPr>
              <w:t>- R2: 50%</w:t>
            </w:r>
          </w:p>
          <w:p w:rsidR="00A47BE0" w:rsidRPr="00C21F69" w:rsidRDefault="00A47BE0" w:rsidP="00177A31">
            <w:pPr>
              <w:spacing w:after="0" w:line="240" w:lineRule="auto"/>
              <w:rPr>
                <w:rFonts w:ascii="Calibri" w:eastAsia="Times New Roman" w:hAnsi="Calibri"/>
                <w:color w:val="000000"/>
                <w:sz w:val="16"/>
                <w:szCs w:val="16"/>
              </w:rPr>
            </w:pPr>
            <w:r w:rsidRPr="00C21F69">
              <w:rPr>
                <w:rFonts w:ascii="Calibri" w:eastAsia="Times New Roman" w:hAnsi="Calibri"/>
                <w:color w:val="000000"/>
                <w:sz w:val="16"/>
                <w:szCs w:val="16"/>
              </w:rPr>
              <w:t>- reliability: 66%</w:t>
            </w:r>
          </w:p>
          <w:p w:rsidR="00A47BE0" w:rsidRPr="00C21F69" w:rsidRDefault="00A47BE0" w:rsidP="00177A31">
            <w:pPr>
              <w:spacing w:after="0" w:line="240" w:lineRule="auto"/>
              <w:rPr>
                <w:rFonts w:ascii="Calibri" w:eastAsia="Times New Roman" w:hAnsi="Calibri"/>
                <w:color w:val="000000"/>
                <w:sz w:val="16"/>
                <w:szCs w:val="16"/>
              </w:rPr>
            </w:pPr>
          </w:p>
        </w:tc>
      </w:tr>
    </w:tbl>
    <w:p w:rsidR="00A47BE0" w:rsidRDefault="00A47BE0" w:rsidP="00A47BE0">
      <w:pPr>
        <w:ind w:left="360"/>
        <w:jc w:val="both"/>
        <w:rPr>
          <w:lang w:val="en-GB"/>
        </w:rPr>
      </w:pPr>
      <w:r>
        <w:rPr>
          <w:lang w:val="en-GB"/>
        </w:rPr>
        <w:t xml:space="preserve"> </w:t>
      </w:r>
    </w:p>
    <w:p w:rsidR="00A2364B" w:rsidRDefault="00A2364B" w:rsidP="00A47BE0">
      <w:pPr>
        <w:ind w:left="360"/>
        <w:jc w:val="both"/>
        <w:rPr>
          <w:lang w:val="en-GB"/>
        </w:rPr>
      </w:pPr>
      <w:r>
        <w:rPr>
          <w:noProof/>
        </w:rPr>
        <w:lastRenderedPageBreak/>
        <w:drawing>
          <wp:inline distT="0" distB="0" distL="0" distR="0" wp14:anchorId="480F78F7" wp14:editId="14A083A9">
            <wp:extent cx="5084064" cy="4139043"/>
            <wp:effectExtent l="0" t="0" r="0" b="0"/>
            <wp:docPr id="3" name="Picture 3" descr="J:\SU-L1009\IE_Plan\Power_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L1009\IE_Plan\Power_2.emf"/>
                    <pic:cNvPicPr>
                      <a:picLocks noChangeAspect="1" noChangeArrowheads="1"/>
                    </pic:cNvPicPr>
                  </pic:nvPicPr>
                  <pic:blipFill rotWithShape="1">
                    <a:blip r:embed="rId16">
                      <a:extLst>
                        <a:ext uri="{28A0092B-C50C-407E-A947-70E740481C1C}">
                          <a14:useLocalDpi xmlns:a14="http://schemas.microsoft.com/office/drawing/2010/main" val="0"/>
                        </a:ext>
                      </a:extLst>
                    </a:blip>
                    <a:srcRect r="14636"/>
                    <a:stretch/>
                  </pic:blipFill>
                  <pic:spPr bwMode="auto">
                    <a:xfrm>
                      <a:off x="0" y="0"/>
                      <a:ext cx="5087904" cy="4142169"/>
                    </a:xfrm>
                    <a:prstGeom prst="rect">
                      <a:avLst/>
                    </a:prstGeom>
                    <a:noFill/>
                    <a:ln>
                      <a:noFill/>
                    </a:ln>
                    <a:extLst>
                      <a:ext uri="{53640926-AAD7-44D8-BBD7-CCE9431645EC}">
                        <a14:shadowObscured xmlns:a14="http://schemas.microsoft.com/office/drawing/2010/main"/>
                      </a:ext>
                    </a:extLst>
                  </pic:spPr>
                </pic:pic>
              </a:graphicData>
            </a:graphic>
          </wp:inline>
        </w:drawing>
      </w:r>
    </w:p>
    <w:p w:rsidR="00A2364B" w:rsidRDefault="00A2364B" w:rsidP="00A47BE0">
      <w:pPr>
        <w:ind w:left="360"/>
        <w:jc w:val="both"/>
        <w:rPr>
          <w:lang w:val="en-GB"/>
        </w:rPr>
      </w:pPr>
    </w:p>
    <w:p w:rsidR="00A2364B" w:rsidRPr="00A2364B" w:rsidRDefault="00A2364B" w:rsidP="00A2364B">
      <w:pPr>
        <w:ind w:left="360"/>
        <w:jc w:val="both"/>
        <w:rPr>
          <w:lang w:val="en-GB"/>
        </w:rPr>
      </w:pPr>
      <w:r w:rsidRPr="00A2364B">
        <w:rPr>
          <w:lang w:val="en-GB"/>
        </w:rPr>
        <w:t xml:space="preserve">Since the double difference approach will be applied to a small sample of two villages, the power analysis for this case will be done considering a person-randomize-blocked design, where blocks represent villages. Using the assumptions above mentioned, and for a power of 80%, the figures below suggests a total sample of at least 1,000 persons in around 40-50 villages, for a minimum detectable effects of at least 20%. This is consistent with our previous estimation of around 28 household per village will be representative. </w:t>
      </w:r>
    </w:p>
    <w:p w:rsidR="00A2364B" w:rsidRDefault="00A2364B" w:rsidP="00A2364B">
      <w:pPr>
        <w:ind w:left="360"/>
        <w:jc w:val="both"/>
        <w:rPr>
          <w:lang w:val="en-GB"/>
        </w:rPr>
      </w:pPr>
      <w:r w:rsidRPr="00A2364B">
        <w:rPr>
          <w:lang w:val="en-GB"/>
        </w:rPr>
        <w:t>Besides, since this is quasi-experimental design, in practice the sample size should be adjusted to account for non-random selection. That is, we enlarge the sample size in around 30% in terms of villages (because it is a cluster treatment) returning around 67 villages. Since the 130 villages will be surveyed, the overall design gives us enough room for making this sample adjustment in sample for quasi-experimental designs.</w:t>
      </w:r>
    </w:p>
    <w:p w:rsidR="00A47BE0" w:rsidRDefault="00A47BE0" w:rsidP="00A47BE0">
      <w:pPr>
        <w:ind w:left="360"/>
        <w:jc w:val="both"/>
        <w:rPr>
          <w:lang w:val="en-GB"/>
        </w:rPr>
      </w:pPr>
    </w:p>
    <w:p w:rsidR="00A2364B" w:rsidRDefault="00A2364B" w:rsidP="00A47BE0">
      <w:pPr>
        <w:ind w:left="360"/>
        <w:jc w:val="both"/>
        <w:rPr>
          <w:lang w:val="en-GB"/>
        </w:rPr>
      </w:pPr>
    </w:p>
    <w:p w:rsidR="00A2364B" w:rsidRDefault="00A2364B" w:rsidP="00A47BE0">
      <w:pPr>
        <w:ind w:left="360"/>
        <w:jc w:val="both"/>
        <w:rPr>
          <w:lang w:val="en-GB"/>
        </w:rPr>
      </w:pPr>
      <w:bookmarkStart w:id="45" w:name="_GoBack"/>
      <w:bookmarkEnd w:id="45"/>
    </w:p>
    <w:p w:rsidR="00A2364B" w:rsidRDefault="00A2364B" w:rsidP="00A2364B">
      <w:pPr>
        <w:ind w:left="360"/>
        <w:jc w:val="center"/>
        <w:rPr>
          <w:lang w:val="en-GB"/>
        </w:rPr>
      </w:pPr>
      <w:r w:rsidRPr="00A2364B">
        <w:rPr>
          <w:lang w:val="en-GB"/>
        </w:rPr>
        <w:lastRenderedPageBreak/>
        <w:t>Double Differences Power Estimations</w:t>
      </w:r>
    </w:p>
    <w:p w:rsidR="00A2364B" w:rsidRDefault="00A2364B" w:rsidP="00A47BE0">
      <w:pPr>
        <w:ind w:left="360"/>
        <w:jc w:val="both"/>
        <w:rPr>
          <w:lang w:val="en-GB"/>
        </w:rPr>
      </w:pPr>
      <w:r w:rsidRPr="00110B6A">
        <w:rPr>
          <w:noProof/>
          <w:highlight w:val="yellow"/>
        </w:rPr>
        <w:drawing>
          <wp:inline distT="0" distB="0" distL="0" distR="0" wp14:anchorId="08B40A5F" wp14:editId="7DFEA637">
            <wp:extent cx="2879933" cy="2561435"/>
            <wp:effectExtent l="0" t="0" r="0" b="0"/>
            <wp:docPr id="2" name="Picture 2" descr="K:\SU-L1009\Pow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1009\Power_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181" r="14358" b="3750"/>
                    <a:stretch/>
                  </pic:blipFill>
                  <pic:spPr bwMode="auto">
                    <a:xfrm>
                      <a:off x="0" y="0"/>
                      <a:ext cx="2881685" cy="2562993"/>
                    </a:xfrm>
                    <a:prstGeom prst="rect">
                      <a:avLst/>
                    </a:prstGeom>
                    <a:noFill/>
                    <a:ln>
                      <a:noFill/>
                    </a:ln>
                    <a:extLst>
                      <a:ext uri="{53640926-AAD7-44D8-BBD7-CCE9431645EC}">
                        <a14:shadowObscured xmlns:a14="http://schemas.microsoft.com/office/drawing/2010/main"/>
                      </a:ext>
                    </a:extLst>
                  </pic:spPr>
                </pic:pic>
              </a:graphicData>
            </a:graphic>
          </wp:inline>
        </w:drawing>
      </w:r>
      <w:r w:rsidRPr="00FC794C">
        <w:rPr>
          <w:noProof/>
        </w:rPr>
        <w:drawing>
          <wp:inline distT="0" distB="0" distL="0" distR="0" wp14:anchorId="2D3B85AA" wp14:editId="5F83A3FF">
            <wp:extent cx="2777384" cy="2494821"/>
            <wp:effectExtent l="0" t="0" r="4445" b="1270"/>
            <wp:docPr id="4" name="Picture 4" descr="K:\SU-L1009\IE_Plan\Pow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1009\IE_Plan\Power_4.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1204" r="22685" b="3637"/>
                    <a:stretch/>
                  </pic:blipFill>
                  <pic:spPr bwMode="auto">
                    <a:xfrm>
                      <a:off x="0" y="0"/>
                      <a:ext cx="2790131" cy="2506271"/>
                    </a:xfrm>
                    <a:prstGeom prst="rect">
                      <a:avLst/>
                    </a:prstGeom>
                    <a:noFill/>
                    <a:ln>
                      <a:noFill/>
                    </a:ln>
                    <a:extLst>
                      <a:ext uri="{53640926-AAD7-44D8-BBD7-CCE9431645EC}">
                        <a14:shadowObscured xmlns:a14="http://schemas.microsoft.com/office/drawing/2010/main"/>
                      </a:ext>
                    </a:extLst>
                  </pic:spPr>
                </pic:pic>
              </a:graphicData>
            </a:graphic>
          </wp:inline>
        </w:drawing>
      </w:r>
    </w:p>
    <w:p w:rsidR="00A2364B" w:rsidRDefault="00A2364B" w:rsidP="00A47BE0">
      <w:pPr>
        <w:ind w:left="360"/>
        <w:jc w:val="both"/>
        <w:rPr>
          <w:lang w:val="en-GB"/>
        </w:rPr>
      </w:pPr>
      <w:r w:rsidRPr="00A2364B">
        <w:rPr>
          <w:lang w:val="en-GB"/>
        </w:rPr>
        <w:t xml:space="preserve">The main treat to this estimation is the unbalanced between both treatments and controls, due to only two villages treated. Even when we reduce the probability of selection bias by matching first at village level and performing </w:t>
      </w:r>
      <w:proofErr w:type="gramStart"/>
      <w:r w:rsidRPr="00A2364B">
        <w:rPr>
          <w:lang w:val="en-GB"/>
        </w:rPr>
        <w:t xml:space="preserve">a </w:t>
      </w:r>
      <w:proofErr w:type="spellStart"/>
      <w:r w:rsidRPr="00A2364B">
        <w:rPr>
          <w:lang w:val="en-GB"/>
        </w:rPr>
        <w:t>Dif</w:t>
      </w:r>
      <w:proofErr w:type="gramEnd"/>
      <w:r w:rsidRPr="00A2364B">
        <w:rPr>
          <w:lang w:val="en-GB"/>
        </w:rPr>
        <w:t>&amp;Dif</w:t>
      </w:r>
      <w:proofErr w:type="spellEnd"/>
      <w:r w:rsidRPr="00A2364B">
        <w:rPr>
          <w:lang w:val="en-GB"/>
        </w:rPr>
        <w:t xml:space="preserve"> estimations, we still face two relevant risks. First, there still could be non-observables cofounders that change over time in different way in the treat from the non-treated. Second, with only two clusters in treatment; the estimation will subject of sampling variability with two implications: (i) the results will be only representative for the treated villages, and (ii) the estimations will be expose greatly to sample variability. It is expected that these risks will be reduced by the careful construction of a counterfactual and by saturating the specification to be evaluated in order to control for potential confounders.  </w:t>
      </w:r>
    </w:p>
    <w:p w:rsidR="00A47BE0" w:rsidRDefault="00A2364B" w:rsidP="00A47BE0">
      <w:pPr>
        <w:ind w:left="360"/>
        <w:jc w:val="both"/>
        <w:rPr>
          <w:lang w:val="en-GB"/>
        </w:rPr>
      </w:pPr>
      <w:r w:rsidRPr="00A2364B">
        <w:rPr>
          <w:lang w:val="en-GB"/>
        </w:rPr>
        <w:t>It is expected to perform 4 annual surveys; a base line (2014), two follow-ups (2015; 2016) and one final line (2017). The design of the survey (baseline and follow-ups) will be performed during the implementation of the evaluation. The basic content of the baseline will have the following sections:</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6210"/>
      </w:tblGrid>
      <w:tr w:rsidR="00A47BE0" w:rsidRPr="006A1D7D" w:rsidTr="00177A31">
        <w:trPr>
          <w:trHeight w:val="300"/>
        </w:trPr>
        <w:tc>
          <w:tcPr>
            <w:tcW w:w="3525" w:type="dxa"/>
            <w:tcBorders>
              <w:top w:val="single" w:sz="4" w:space="0" w:color="auto"/>
            </w:tcBorders>
            <w:shd w:val="clear" w:color="auto" w:fill="auto"/>
            <w:noWrap/>
            <w:vAlign w:val="bottom"/>
            <w:hideMark/>
          </w:tcPr>
          <w:p w:rsidR="00A47BE0" w:rsidRPr="006A1D7D" w:rsidRDefault="00A47BE0" w:rsidP="00177A31">
            <w:pPr>
              <w:spacing w:after="0" w:line="240" w:lineRule="auto"/>
              <w:jc w:val="center"/>
              <w:rPr>
                <w:rFonts w:eastAsia="Times New Roman"/>
                <w:b/>
                <w:color w:val="000000"/>
              </w:rPr>
            </w:pPr>
            <w:r w:rsidRPr="006A1D7D">
              <w:rPr>
                <w:rFonts w:eastAsia="Times New Roman"/>
                <w:b/>
                <w:color w:val="000000"/>
              </w:rPr>
              <w:t>Sections</w:t>
            </w:r>
          </w:p>
        </w:tc>
        <w:tc>
          <w:tcPr>
            <w:tcW w:w="6210" w:type="dxa"/>
            <w:tcBorders>
              <w:top w:val="single" w:sz="4" w:space="0" w:color="auto"/>
            </w:tcBorders>
            <w:shd w:val="clear" w:color="auto" w:fill="auto"/>
            <w:noWrap/>
            <w:vAlign w:val="bottom"/>
            <w:hideMark/>
          </w:tcPr>
          <w:p w:rsidR="00A47BE0" w:rsidRPr="006A1D7D" w:rsidRDefault="00A47BE0" w:rsidP="00177A31">
            <w:pPr>
              <w:spacing w:after="0" w:line="240" w:lineRule="auto"/>
              <w:jc w:val="center"/>
              <w:rPr>
                <w:rFonts w:eastAsia="Times New Roman"/>
                <w:b/>
                <w:color w:val="000000"/>
              </w:rPr>
            </w:pPr>
            <w:r w:rsidRPr="006A1D7D">
              <w:rPr>
                <w:rFonts w:eastAsia="Times New Roman"/>
                <w:b/>
                <w:color w:val="000000"/>
              </w:rPr>
              <w:t>Description</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Section 1: General Characteristics of the household</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General characteristics of the members of the household (gender, age, ethnicity, precedence, beneficiary of a public social program, etc.)</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Section 2: Education</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Literacy of people above 16, years of schooling of people below 16, school attendance</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Section 3: Health</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Occurrence and frequency of accidents and illnesses (diarrheal, respiratory, etc.), practices of health care in the household, life satisfaction, etc.</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 xml:space="preserve">Section 4: Dwellings </w:t>
            </w:r>
            <w:r w:rsidRPr="006A1D7D">
              <w:rPr>
                <w:rFonts w:eastAsia="Times New Roman"/>
                <w:color w:val="000000"/>
              </w:rPr>
              <w:lastRenderedPageBreak/>
              <w:t>Characteristics</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lastRenderedPageBreak/>
              <w:t xml:space="preserve">Ownership of the household, rent for the household, type of </w:t>
            </w:r>
            <w:r w:rsidRPr="006A1D7D">
              <w:rPr>
                <w:rFonts w:eastAsia="Times New Roman"/>
                <w:color w:val="000000"/>
              </w:rPr>
              <w:lastRenderedPageBreak/>
              <w:t>material of the dwelling, number of rooms, access to public services (i.e. water and sanitation, electricity, etc.), appliances, economic use of the dwellings</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lastRenderedPageBreak/>
              <w:t xml:space="preserve">Section 5: Public Services </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Public Services available in the village, proximity to school, markets, hospital, main and secondary roads, etc., Source of energy supply.</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Section 6: Time Use</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Time allocation per activity of the household heads (by gender)</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Section 7: Energy Consumption and Expenditure</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 xml:space="preserve">Consumption and expenditure of energy by type and use of fuel, uses each type of fuel/energy, loans and savings, </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Section 8: Household Expenses</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Quantity and expenses by type of item (food, education, leisure, transport, health, clothes, electricity, etc.), monetary and non-monetary transfers, and production for own consumption.</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Section 9: Economic Activities</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 xml:space="preserve">Employment, Self-Employment, type of economic activities, income, </w:t>
            </w:r>
          </w:p>
        </w:tc>
      </w:tr>
      <w:tr w:rsidR="00A47BE0" w:rsidRPr="006A1D7D" w:rsidTr="00177A31">
        <w:trPr>
          <w:trHeight w:val="300"/>
        </w:trPr>
        <w:tc>
          <w:tcPr>
            <w:tcW w:w="3525" w:type="dxa"/>
            <w:shd w:val="clear" w:color="auto" w:fill="auto"/>
            <w:noWrap/>
            <w:vAlign w:val="center"/>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Section 10: Social Capital</w:t>
            </w:r>
          </w:p>
        </w:tc>
        <w:tc>
          <w:tcPr>
            <w:tcW w:w="6210" w:type="dxa"/>
            <w:shd w:val="clear" w:color="auto" w:fill="auto"/>
            <w:noWrap/>
            <w:vAlign w:val="bottom"/>
            <w:hideMark/>
          </w:tcPr>
          <w:p w:rsidR="00A47BE0" w:rsidRPr="006A1D7D" w:rsidRDefault="00A47BE0" w:rsidP="00177A31">
            <w:pPr>
              <w:spacing w:after="0" w:line="240" w:lineRule="auto"/>
              <w:rPr>
                <w:rFonts w:eastAsia="Times New Roman"/>
                <w:color w:val="000000"/>
              </w:rPr>
            </w:pPr>
            <w:r w:rsidRPr="006A1D7D">
              <w:rPr>
                <w:rFonts w:eastAsia="Times New Roman"/>
                <w:color w:val="000000"/>
              </w:rPr>
              <w:t>Participation in social organizations such as energy and water user associations, producers, etc. This module includes social networking section, in which producers investigates each producer who shares information and interaction with agricultural technicians.</w:t>
            </w:r>
          </w:p>
        </w:tc>
      </w:tr>
    </w:tbl>
    <w:p w:rsidR="00A47BE0" w:rsidRDefault="00A47BE0" w:rsidP="00A47BE0">
      <w:pPr>
        <w:ind w:left="360"/>
        <w:jc w:val="both"/>
      </w:pPr>
    </w:p>
    <w:p w:rsidR="00A47BE0" w:rsidRPr="002E1011" w:rsidRDefault="00A47BE0" w:rsidP="00A47BE0">
      <w:pPr>
        <w:pStyle w:val="ListParagraph"/>
        <w:numPr>
          <w:ilvl w:val="0"/>
          <w:numId w:val="30"/>
        </w:numPr>
        <w:jc w:val="both"/>
        <w:rPr>
          <w:u w:val="single"/>
          <w:lang w:val="en-GB"/>
        </w:rPr>
      </w:pPr>
      <w:r w:rsidRPr="002E1011">
        <w:rPr>
          <w:u w:val="single"/>
          <w:lang w:val="en-GB"/>
        </w:rPr>
        <w:t>Information of Results:</w:t>
      </w:r>
    </w:p>
    <w:p w:rsidR="00A47BE0" w:rsidRDefault="00A47BE0" w:rsidP="00A47BE0">
      <w:pPr>
        <w:ind w:left="360"/>
        <w:jc w:val="both"/>
        <w:rPr>
          <w:lang w:val="en-GB"/>
        </w:rPr>
      </w:pPr>
      <w:r w:rsidRPr="00C9218D">
        <w:rPr>
          <w:lang w:val="en-GB"/>
        </w:rPr>
        <w:t xml:space="preserve">The results of the impact assessment will consist of </w:t>
      </w:r>
      <w:r>
        <w:rPr>
          <w:lang w:val="en-GB"/>
        </w:rPr>
        <w:t>four</w:t>
      </w:r>
      <w:r w:rsidRPr="00C9218D">
        <w:rPr>
          <w:lang w:val="en-GB"/>
        </w:rPr>
        <w:t xml:space="preserve"> </w:t>
      </w:r>
      <w:r>
        <w:rPr>
          <w:lang w:val="en-GB"/>
        </w:rPr>
        <w:t>reports</w:t>
      </w:r>
      <w:r w:rsidRPr="00C9218D">
        <w:rPr>
          <w:lang w:val="en-GB"/>
        </w:rPr>
        <w:t>. The analysis of the baseline</w:t>
      </w:r>
      <w:r>
        <w:rPr>
          <w:lang w:val="en-GB"/>
        </w:rPr>
        <w:t xml:space="preserve"> will </w:t>
      </w:r>
      <w:r w:rsidRPr="00C9218D">
        <w:rPr>
          <w:lang w:val="en-GB"/>
        </w:rPr>
        <w:t>compar</w:t>
      </w:r>
      <w:r>
        <w:rPr>
          <w:lang w:val="en-GB"/>
        </w:rPr>
        <w:t>e</w:t>
      </w:r>
      <w:r w:rsidRPr="00C9218D">
        <w:rPr>
          <w:lang w:val="en-GB"/>
        </w:rPr>
        <w:t xml:space="preserve"> the baseline characteristics between </w:t>
      </w:r>
      <w:r>
        <w:rPr>
          <w:lang w:val="en-GB"/>
        </w:rPr>
        <w:t xml:space="preserve">the </w:t>
      </w:r>
      <w:r w:rsidRPr="00C9218D">
        <w:rPr>
          <w:lang w:val="en-GB"/>
        </w:rPr>
        <w:t>target group and the control group</w:t>
      </w:r>
      <w:r>
        <w:rPr>
          <w:lang w:val="en-GB"/>
        </w:rPr>
        <w:t xml:space="preserve">. Two reports for each follow-up survey, analysing the annual impacts in the treated villages, and monitoring the trend in the control villages. The final report </w:t>
      </w:r>
      <w:r w:rsidRPr="00C9218D">
        <w:rPr>
          <w:lang w:val="en-GB"/>
        </w:rPr>
        <w:t>includes data from baseline and follow-up</w:t>
      </w:r>
      <w:r>
        <w:rPr>
          <w:lang w:val="en-GB"/>
        </w:rPr>
        <w:t>s</w:t>
      </w:r>
      <w:r w:rsidRPr="00C9218D">
        <w:rPr>
          <w:lang w:val="en-GB"/>
        </w:rPr>
        <w:t xml:space="preserve"> survey</w:t>
      </w:r>
      <w:r>
        <w:rPr>
          <w:lang w:val="en-GB"/>
        </w:rPr>
        <w:t>s</w:t>
      </w:r>
      <w:r w:rsidRPr="00C9218D">
        <w:rPr>
          <w:lang w:val="en-GB"/>
        </w:rPr>
        <w:t xml:space="preserve">. In this report we present the </w:t>
      </w:r>
      <w:r>
        <w:rPr>
          <w:lang w:val="en-GB"/>
        </w:rPr>
        <w:t xml:space="preserve">identification of the impacts and the dose-analysis </w:t>
      </w:r>
      <w:r w:rsidRPr="00C9218D">
        <w:rPr>
          <w:lang w:val="en-GB"/>
        </w:rPr>
        <w:t>using the methodologies presented in the previous sections. These reports should be socialized with other actors besides the executor, including other future imple</w:t>
      </w:r>
      <w:r>
        <w:rPr>
          <w:lang w:val="en-GB"/>
        </w:rPr>
        <w:t>menters, academic institutions</w:t>
      </w:r>
      <w:r w:rsidRPr="00C9218D">
        <w:rPr>
          <w:lang w:val="en-GB"/>
        </w:rPr>
        <w:t>.</w:t>
      </w:r>
    </w:p>
    <w:p w:rsidR="00A47BE0" w:rsidRPr="00AD5CFF" w:rsidRDefault="00A47BE0" w:rsidP="00A47BE0">
      <w:pPr>
        <w:ind w:left="360"/>
        <w:jc w:val="both"/>
        <w:rPr>
          <w:lang w:val="en-GB"/>
        </w:rPr>
      </w:pPr>
      <w:r w:rsidRPr="00C9218D">
        <w:rPr>
          <w:lang w:val="en-GB"/>
        </w:rPr>
        <w:t xml:space="preserve">The socialization of the impact assessment will be conducted by </w:t>
      </w:r>
      <w:r>
        <w:rPr>
          <w:lang w:val="en-GB"/>
        </w:rPr>
        <w:t xml:space="preserve">the </w:t>
      </w:r>
      <w:r w:rsidRPr="00C9218D">
        <w:rPr>
          <w:lang w:val="en-GB"/>
        </w:rPr>
        <w:t>Bank and will serve as a tool to demonstrate the effectiveness in developing</w:t>
      </w:r>
      <w:r>
        <w:rPr>
          <w:lang w:val="en-GB"/>
        </w:rPr>
        <w:t xml:space="preserve"> of the electrification p</w:t>
      </w:r>
      <w:r w:rsidRPr="00C9218D">
        <w:rPr>
          <w:lang w:val="en-GB"/>
        </w:rPr>
        <w:t>rojects and generate lessons for the design and implementation of similar projects in Latin America</w:t>
      </w:r>
      <w:r>
        <w:rPr>
          <w:lang w:val="en-GB"/>
        </w:rPr>
        <w:t xml:space="preserve"> and the Caribe.</w:t>
      </w:r>
    </w:p>
    <w:p w:rsidR="00A47BE0" w:rsidRPr="002E1011" w:rsidRDefault="00A47BE0" w:rsidP="00A47BE0">
      <w:pPr>
        <w:pStyle w:val="ListParagraph"/>
        <w:numPr>
          <w:ilvl w:val="0"/>
          <w:numId w:val="30"/>
        </w:numPr>
        <w:jc w:val="both"/>
        <w:rPr>
          <w:u w:val="single"/>
          <w:lang w:val="en-GB"/>
        </w:rPr>
      </w:pPr>
      <w:r w:rsidRPr="002E1011">
        <w:rPr>
          <w:u w:val="single"/>
          <w:lang w:val="en-GB"/>
        </w:rPr>
        <w:t>Work plan</w:t>
      </w:r>
    </w:p>
    <w:p w:rsidR="00A47BE0" w:rsidRPr="002953A5" w:rsidRDefault="00A47BE0" w:rsidP="00A47BE0">
      <w:pPr>
        <w:ind w:left="360"/>
        <w:jc w:val="both"/>
        <w:rPr>
          <w:lang w:val="en-GB"/>
        </w:rPr>
      </w:pPr>
      <w:r>
        <w:rPr>
          <w:lang w:val="en-GB"/>
        </w:rPr>
        <w:t>The next t</w:t>
      </w:r>
      <w:r w:rsidRPr="002953A5">
        <w:rPr>
          <w:lang w:val="en-GB"/>
        </w:rPr>
        <w:t xml:space="preserve">able presents the schedule of the major activities that are related to the implementation of the impact assessment and correspond mainly to the rise of a baseline and </w:t>
      </w:r>
      <w:r w:rsidRPr="002953A5">
        <w:rPr>
          <w:lang w:val="en-GB"/>
        </w:rPr>
        <w:lastRenderedPageBreak/>
        <w:t xml:space="preserve">follow-up surveys. The impact assessment will be financed with </w:t>
      </w:r>
      <w:r>
        <w:rPr>
          <w:lang w:val="en-GB"/>
        </w:rPr>
        <w:t>resource of the Program</w:t>
      </w:r>
      <w:r w:rsidRPr="002953A5">
        <w:rPr>
          <w:lang w:val="en-GB"/>
        </w:rPr>
        <w:t xml:space="preserve"> (US$ </w:t>
      </w:r>
      <w:r>
        <w:rPr>
          <w:lang w:val="en-GB"/>
        </w:rPr>
        <w:t>850,000</w:t>
      </w:r>
      <w:r w:rsidRPr="002953A5">
        <w:rPr>
          <w:lang w:val="en-GB"/>
        </w:rPr>
        <w:t>).</w:t>
      </w:r>
    </w:p>
    <w:p w:rsidR="00A47BE0" w:rsidRDefault="00A47BE0" w:rsidP="00A47BE0">
      <w:pPr>
        <w:pStyle w:val="ListParagraph"/>
        <w:jc w:val="both"/>
        <w:rPr>
          <w:u w:val="single"/>
          <w:lang w:val="en-GB"/>
        </w:rPr>
        <w:sectPr w:rsidR="00A47BE0">
          <w:pgSz w:w="12240" w:h="15840"/>
          <w:pgMar w:top="1440" w:right="1440" w:bottom="1440" w:left="1440" w:header="720" w:footer="720" w:gutter="0"/>
          <w:cols w:space="720"/>
          <w:docGrid w:linePitch="360"/>
        </w:sectPr>
      </w:pPr>
    </w:p>
    <w:tbl>
      <w:tblPr>
        <w:tblW w:w="12377" w:type="dxa"/>
        <w:tblInd w:w="93" w:type="dxa"/>
        <w:tblLook w:val="04A0" w:firstRow="1" w:lastRow="0" w:firstColumn="1" w:lastColumn="0" w:noHBand="0" w:noVBand="1"/>
      </w:tblPr>
      <w:tblGrid>
        <w:gridCol w:w="134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1287"/>
        <w:gridCol w:w="801"/>
        <w:gridCol w:w="987"/>
      </w:tblGrid>
      <w:tr w:rsidR="00A47BE0" w:rsidRPr="003D7E37" w:rsidTr="00177A31">
        <w:trPr>
          <w:trHeight w:val="495"/>
        </w:trPr>
        <w:tc>
          <w:tcPr>
            <w:tcW w:w="1346" w:type="dxa"/>
            <w:vMerge w:val="restart"/>
            <w:tcBorders>
              <w:top w:val="single" w:sz="8" w:space="0" w:color="auto"/>
              <w:left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lastRenderedPageBreak/>
              <w:t>Activities</w:t>
            </w:r>
          </w:p>
        </w:tc>
        <w:tc>
          <w:tcPr>
            <w:tcW w:w="612" w:type="dxa"/>
            <w:gridSpan w:val="2"/>
            <w:tcBorders>
              <w:top w:val="single" w:sz="8" w:space="0" w:color="auto"/>
              <w:left w:val="nil"/>
              <w:bottom w:val="single" w:sz="8" w:space="0" w:color="auto"/>
              <w:right w:val="single" w:sz="8" w:space="0" w:color="000000"/>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2014</w:t>
            </w:r>
          </w:p>
        </w:tc>
        <w:tc>
          <w:tcPr>
            <w:tcW w:w="1224" w:type="dxa"/>
            <w:gridSpan w:val="4"/>
            <w:tcBorders>
              <w:top w:val="single" w:sz="8" w:space="0" w:color="auto"/>
              <w:left w:val="nil"/>
              <w:bottom w:val="single" w:sz="8" w:space="0" w:color="auto"/>
              <w:right w:val="single" w:sz="8" w:space="0" w:color="000000"/>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2015</w:t>
            </w:r>
          </w:p>
        </w:tc>
        <w:tc>
          <w:tcPr>
            <w:tcW w:w="1224" w:type="dxa"/>
            <w:gridSpan w:val="4"/>
            <w:tcBorders>
              <w:top w:val="single" w:sz="8" w:space="0" w:color="auto"/>
              <w:left w:val="nil"/>
              <w:bottom w:val="single" w:sz="8" w:space="0" w:color="auto"/>
              <w:right w:val="single" w:sz="8" w:space="0" w:color="000000"/>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2016</w:t>
            </w:r>
          </w:p>
        </w:tc>
        <w:tc>
          <w:tcPr>
            <w:tcW w:w="1224" w:type="dxa"/>
            <w:gridSpan w:val="4"/>
            <w:tcBorders>
              <w:top w:val="single" w:sz="8" w:space="0" w:color="auto"/>
              <w:left w:val="nil"/>
              <w:bottom w:val="single" w:sz="8" w:space="0" w:color="auto"/>
              <w:right w:val="single" w:sz="8" w:space="0" w:color="000000"/>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2017</w:t>
            </w:r>
          </w:p>
        </w:tc>
        <w:tc>
          <w:tcPr>
            <w:tcW w:w="1224" w:type="dxa"/>
            <w:gridSpan w:val="4"/>
            <w:tcBorders>
              <w:top w:val="single" w:sz="8" w:space="0" w:color="auto"/>
              <w:left w:val="nil"/>
              <w:bottom w:val="single" w:sz="8" w:space="0" w:color="auto"/>
              <w:right w:val="single" w:sz="8" w:space="0" w:color="000000"/>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2018</w:t>
            </w:r>
          </w:p>
        </w:tc>
        <w:tc>
          <w:tcPr>
            <w:tcW w:w="1224" w:type="dxa"/>
            <w:gridSpan w:val="4"/>
            <w:tcBorders>
              <w:top w:val="single" w:sz="8" w:space="0" w:color="auto"/>
              <w:left w:val="nil"/>
              <w:bottom w:val="single" w:sz="8" w:space="0" w:color="auto"/>
              <w:right w:val="single" w:sz="8" w:space="0" w:color="000000"/>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2019</w:t>
            </w:r>
          </w:p>
        </w:tc>
        <w:tc>
          <w:tcPr>
            <w:tcW w:w="1224" w:type="dxa"/>
            <w:gridSpan w:val="4"/>
            <w:tcBorders>
              <w:top w:val="single" w:sz="8" w:space="0" w:color="auto"/>
              <w:left w:val="nil"/>
              <w:bottom w:val="single" w:sz="8" w:space="0" w:color="auto"/>
              <w:right w:val="single" w:sz="8" w:space="0" w:color="000000"/>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2020</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Responsible</w:t>
            </w:r>
          </w:p>
        </w:tc>
        <w:tc>
          <w:tcPr>
            <w:tcW w:w="801" w:type="dxa"/>
            <w:tcBorders>
              <w:top w:val="single" w:sz="8" w:space="0" w:color="auto"/>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Cost (US$)*</w:t>
            </w:r>
          </w:p>
        </w:tc>
        <w:tc>
          <w:tcPr>
            <w:tcW w:w="987" w:type="dxa"/>
            <w:tcBorders>
              <w:top w:val="single" w:sz="8" w:space="0" w:color="auto"/>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center"/>
              <w:rPr>
                <w:rFonts w:eastAsia="Times New Roman"/>
                <w:b/>
                <w:bCs/>
                <w:color w:val="000000"/>
                <w:sz w:val="18"/>
                <w:szCs w:val="18"/>
              </w:rPr>
            </w:pPr>
            <w:r w:rsidRPr="003D7E37">
              <w:rPr>
                <w:rFonts w:eastAsia="Times New Roman"/>
                <w:b/>
                <w:bCs/>
                <w:color w:val="000000"/>
                <w:sz w:val="18"/>
                <w:szCs w:val="18"/>
              </w:rPr>
              <w:t>Source of Financing</w:t>
            </w:r>
          </w:p>
        </w:tc>
      </w:tr>
      <w:tr w:rsidR="00A47BE0" w:rsidRPr="003D7E37" w:rsidTr="00177A31">
        <w:trPr>
          <w:trHeight w:val="315"/>
        </w:trPr>
        <w:tc>
          <w:tcPr>
            <w:tcW w:w="1346" w:type="dxa"/>
            <w:vMerge/>
            <w:tcBorders>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3</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4</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1</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2</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3</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4</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1</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2</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3</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4</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1</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2</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3</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4</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1</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2</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3</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4</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1</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2</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3</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4</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1</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2</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3</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lang w:val="es-ES_tradnl"/>
              </w:rPr>
              <w:t>4</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r>
      <w:tr w:rsidR="00A47BE0" w:rsidRPr="003D7E37" w:rsidTr="00177A31">
        <w:trPr>
          <w:trHeight w:val="49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u w:val="single"/>
              </w:rPr>
            </w:pPr>
            <w:r w:rsidRPr="003D7E37">
              <w:rPr>
                <w:rFonts w:eastAsia="Times New Roman"/>
                <w:color w:val="000000"/>
                <w:sz w:val="18"/>
                <w:szCs w:val="18"/>
                <w:u w:val="single"/>
              </w:rPr>
              <w:t>Sampling and Pilots for baseline survey</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Consultor/BID</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80,000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u w:val="single"/>
              </w:rPr>
            </w:pPr>
            <w:proofErr w:type="spellStart"/>
            <w:r w:rsidRPr="003D7E37">
              <w:rPr>
                <w:rFonts w:eastAsia="Times New Roman"/>
                <w:color w:val="000000"/>
                <w:sz w:val="18"/>
                <w:szCs w:val="18"/>
                <w:u w:val="single"/>
                <w:lang w:val="es-ES_tradnl"/>
              </w:rPr>
              <w:t>Baseline</w:t>
            </w:r>
            <w:proofErr w:type="spellEnd"/>
            <w:r w:rsidRPr="003D7E37">
              <w:rPr>
                <w:rFonts w:eastAsia="Times New Roman"/>
                <w:color w:val="000000"/>
                <w:sz w:val="18"/>
                <w:szCs w:val="18"/>
                <w:u w:val="single"/>
                <w:lang w:val="es-ES_tradnl"/>
              </w:rPr>
              <w:t xml:space="preserve"> </w:t>
            </w:r>
            <w:proofErr w:type="spellStart"/>
            <w:r w:rsidRPr="003D7E37">
              <w:rPr>
                <w:rFonts w:eastAsia="Times New Roman"/>
                <w:color w:val="000000"/>
                <w:sz w:val="18"/>
                <w:szCs w:val="18"/>
                <w:u w:val="single"/>
                <w:lang w:val="es-ES_tradnl"/>
              </w:rPr>
              <w:t>implementation</w:t>
            </w:r>
            <w:proofErr w:type="spellEnd"/>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160,000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proofErr w:type="spellStart"/>
            <w:r w:rsidRPr="003D7E37">
              <w:rPr>
                <w:rFonts w:eastAsia="Times New Roman"/>
                <w:color w:val="000000"/>
                <w:sz w:val="18"/>
                <w:szCs w:val="18"/>
                <w:lang w:val="es-ES_tradnl"/>
              </w:rPr>
              <w:t>Baseline</w:t>
            </w:r>
            <w:proofErr w:type="spellEnd"/>
            <w:r w:rsidRPr="003D7E37">
              <w:rPr>
                <w:rFonts w:eastAsia="Times New Roman"/>
                <w:color w:val="000000"/>
                <w:sz w:val="18"/>
                <w:szCs w:val="18"/>
                <w:lang w:val="es-ES_tradnl"/>
              </w:rPr>
              <w:t xml:space="preserve"> </w:t>
            </w:r>
            <w:proofErr w:type="spellStart"/>
            <w:r w:rsidRPr="003D7E37">
              <w:rPr>
                <w:rFonts w:eastAsia="Times New Roman"/>
                <w:color w:val="000000"/>
                <w:sz w:val="18"/>
                <w:szCs w:val="18"/>
                <w:lang w:val="es-ES_tradnl"/>
              </w:rPr>
              <w:t>report</w:t>
            </w:r>
            <w:proofErr w:type="spellEnd"/>
            <w:r w:rsidRPr="003D7E37">
              <w:rPr>
                <w:rFonts w:eastAsia="Times New Roman"/>
                <w:color w:val="000000"/>
                <w:sz w:val="18"/>
                <w:szCs w:val="18"/>
                <w:lang w:val="es-ES_tradnl"/>
              </w:rPr>
              <w:t xml:space="preserve"> and </w:t>
            </w:r>
            <w:proofErr w:type="spellStart"/>
            <w:r w:rsidRPr="003D7E37">
              <w:rPr>
                <w:rFonts w:eastAsia="Times New Roman"/>
                <w:color w:val="000000"/>
                <w:sz w:val="18"/>
                <w:szCs w:val="18"/>
                <w:lang w:val="es-ES_tradnl"/>
              </w:rPr>
              <w:t>Dissemination</w:t>
            </w:r>
            <w:proofErr w:type="spellEnd"/>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 BID</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15,000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u w:val="single"/>
              </w:rPr>
            </w:pPr>
            <w:r w:rsidRPr="003D7E37">
              <w:rPr>
                <w:rFonts w:eastAsia="Times New Roman"/>
                <w:color w:val="000000"/>
                <w:sz w:val="18"/>
                <w:szCs w:val="18"/>
                <w:u w:val="single"/>
              </w:rPr>
              <w:t>Survey review and Pilots for follow-up 1</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Consultor/BID</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20,000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proofErr w:type="spellStart"/>
            <w:r w:rsidRPr="003D7E37">
              <w:rPr>
                <w:rFonts w:eastAsia="Times New Roman"/>
                <w:color w:val="000000"/>
                <w:sz w:val="18"/>
                <w:szCs w:val="18"/>
                <w:lang w:val="es-ES_tradnl"/>
              </w:rPr>
              <w:t>Follow</w:t>
            </w:r>
            <w:proofErr w:type="spellEnd"/>
            <w:r w:rsidRPr="003D7E37">
              <w:rPr>
                <w:rFonts w:eastAsia="Times New Roman"/>
                <w:color w:val="000000"/>
                <w:sz w:val="18"/>
                <w:szCs w:val="18"/>
                <w:lang w:val="es-ES_tradnl"/>
              </w:rPr>
              <w:t xml:space="preserve">-up 1 </w:t>
            </w:r>
            <w:proofErr w:type="spellStart"/>
            <w:r w:rsidRPr="003D7E37">
              <w:rPr>
                <w:rFonts w:eastAsia="Times New Roman"/>
                <w:color w:val="000000"/>
                <w:sz w:val="18"/>
                <w:szCs w:val="18"/>
                <w:lang w:val="es-ES_tradnl"/>
              </w:rPr>
              <w:t>implementation</w:t>
            </w:r>
            <w:proofErr w:type="spellEnd"/>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160,000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Follow-up 1  report and dissemination</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 BID</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15,000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Pilots for follow-up 2</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Consultor/BID</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20,000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u w:val="single"/>
              </w:rPr>
            </w:pPr>
            <w:r w:rsidRPr="003D7E37">
              <w:rPr>
                <w:rFonts w:eastAsia="Times New Roman"/>
                <w:color w:val="000000"/>
                <w:sz w:val="18"/>
                <w:szCs w:val="18"/>
                <w:u w:val="single"/>
                <w:lang w:val="es-ES_tradnl"/>
              </w:rPr>
              <w:t xml:space="preserve">Follow-up2  </w:t>
            </w:r>
            <w:proofErr w:type="spellStart"/>
            <w:r w:rsidRPr="003D7E37">
              <w:rPr>
                <w:rFonts w:eastAsia="Times New Roman"/>
                <w:color w:val="000000"/>
                <w:sz w:val="18"/>
                <w:szCs w:val="18"/>
                <w:u w:val="single"/>
                <w:lang w:val="es-ES_tradnl"/>
              </w:rPr>
              <w:t>implementation</w:t>
            </w:r>
            <w:proofErr w:type="spellEnd"/>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160,000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Follow-up2  report and dissemination</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 BID</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15,000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proofErr w:type="spellStart"/>
            <w:r w:rsidRPr="003D7E37">
              <w:rPr>
                <w:rFonts w:eastAsia="Times New Roman"/>
                <w:color w:val="000000"/>
                <w:sz w:val="18"/>
                <w:szCs w:val="18"/>
                <w:lang w:val="es-ES_tradnl"/>
              </w:rPr>
              <w:t>Pilot</w:t>
            </w:r>
            <w:proofErr w:type="spellEnd"/>
            <w:r w:rsidRPr="003D7E37">
              <w:rPr>
                <w:rFonts w:eastAsia="Times New Roman"/>
                <w:color w:val="000000"/>
                <w:sz w:val="18"/>
                <w:szCs w:val="18"/>
                <w:lang w:val="es-ES_tradnl"/>
              </w:rPr>
              <w:t xml:space="preserve"> for Final </w:t>
            </w:r>
            <w:proofErr w:type="spellStart"/>
            <w:r w:rsidRPr="003D7E37">
              <w:rPr>
                <w:rFonts w:eastAsia="Times New Roman"/>
                <w:color w:val="000000"/>
                <w:sz w:val="18"/>
                <w:szCs w:val="18"/>
                <w:lang w:val="es-ES_tradnl"/>
              </w:rPr>
              <w:t>Survey</w:t>
            </w:r>
            <w:proofErr w:type="spellEnd"/>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20000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u w:val="single"/>
              </w:rPr>
            </w:pPr>
            <w:proofErr w:type="spellStart"/>
            <w:r w:rsidRPr="003D7E37">
              <w:rPr>
                <w:rFonts w:eastAsia="Times New Roman"/>
                <w:color w:val="000000"/>
                <w:sz w:val="18"/>
                <w:szCs w:val="18"/>
                <w:u w:val="single"/>
                <w:lang w:val="es-ES_tradnl"/>
              </w:rPr>
              <w:t>Survey</w:t>
            </w:r>
            <w:proofErr w:type="spellEnd"/>
            <w:r w:rsidRPr="003D7E37">
              <w:rPr>
                <w:rFonts w:eastAsia="Times New Roman"/>
                <w:color w:val="000000"/>
                <w:sz w:val="18"/>
                <w:szCs w:val="18"/>
                <w:u w:val="single"/>
                <w:lang w:val="es-ES_tradnl"/>
              </w:rPr>
              <w:t xml:space="preserve"> </w:t>
            </w:r>
            <w:proofErr w:type="spellStart"/>
            <w:r w:rsidRPr="003D7E37">
              <w:rPr>
                <w:rFonts w:eastAsia="Times New Roman"/>
                <w:color w:val="000000"/>
                <w:sz w:val="18"/>
                <w:szCs w:val="18"/>
                <w:u w:val="single"/>
                <w:lang w:val="es-ES_tradnl"/>
              </w:rPr>
              <w:t>implementation</w:t>
            </w:r>
            <w:proofErr w:type="spellEnd"/>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Consultor</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160,000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r w:rsidR="00A47BE0" w:rsidRPr="003D7E37" w:rsidTr="00177A31">
        <w:trPr>
          <w:trHeight w:val="495"/>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Impact evaluation report  and dissemination</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FFFFFF"/>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306" w:type="dxa"/>
            <w:tcBorders>
              <w:top w:val="nil"/>
              <w:left w:val="nil"/>
              <w:bottom w:val="single" w:sz="8" w:space="0" w:color="auto"/>
              <w:right w:val="single" w:sz="8" w:space="0" w:color="auto"/>
            </w:tcBorders>
            <w:shd w:val="clear" w:color="000000" w:fill="A6A6A6"/>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rPr>
                <w:rFonts w:eastAsia="Times New Roman"/>
                <w:color w:val="000000"/>
                <w:sz w:val="18"/>
                <w:szCs w:val="18"/>
              </w:rPr>
            </w:pPr>
            <w:r w:rsidRPr="003D7E37">
              <w:rPr>
                <w:rFonts w:eastAsia="Times New Roman"/>
                <w:color w:val="000000"/>
                <w:sz w:val="18"/>
                <w:szCs w:val="18"/>
                <w:lang w:val="es-ES_tradnl"/>
              </w:rPr>
              <w:t>BID/ENE</w:t>
            </w:r>
          </w:p>
        </w:tc>
        <w:tc>
          <w:tcPr>
            <w:tcW w:w="801"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000000"/>
                <w:sz w:val="18"/>
                <w:szCs w:val="18"/>
              </w:rPr>
            </w:pPr>
            <w:r w:rsidRPr="003D7E37">
              <w:rPr>
                <w:rFonts w:eastAsia="Times New Roman"/>
                <w:color w:val="000000"/>
                <w:sz w:val="18"/>
                <w:szCs w:val="18"/>
              </w:rPr>
              <w:t>25,000</w:t>
            </w:r>
          </w:p>
        </w:tc>
        <w:tc>
          <w:tcPr>
            <w:tcW w:w="987" w:type="dxa"/>
            <w:tcBorders>
              <w:top w:val="nil"/>
              <w:left w:val="nil"/>
              <w:bottom w:val="single" w:sz="8" w:space="0" w:color="auto"/>
              <w:right w:val="single" w:sz="8" w:space="0" w:color="auto"/>
            </w:tcBorders>
            <w:shd w:val="clear" w:color="auto" w:fill="auto"/>
            <w:vAlign w:val="center"/>
            <w:hideMark/>
          </w:tcPr>
          <w:p w:rsidR="00A47BE0" w:rsidRPr="003D7E37" w:rsidRDefault="00A47BE0" w:rsidP="00177A31">
            <w:pPr>
              <w:spacing w:after="0" w:line="240" w:lineRule="auto"/>
              <w:jc w:val="right"/>
              <w:rPr>
                <w:rFonts w:eastAsia="Times New Roman"/>
                <w:color w:val="333333"/>
                <w:sz w:val="18"/>
                <w:szCs w:val="18"/>
              </w:rPr>
            </w:pPr>
            <w:r w:rsidRPr="003D7E37">
              <w:rPr>
                <w:rFonts w:eastAsia="Times New Roman"/>
                <w:color w:val="333333"/>
                <w:sz w:val="18"/>
                <w:szCs w:val="18"/>
              </w:rPr>
              <w:t>SU-L1009</w:t>
            </w:r>
          </w:p>
        </w:tc>
      </w:tr>
    </w:tbl>
    <w:p w:rsidR="00A47BE0" w:rsidRDefault="00A47BE0" w:rsidP="00A47BE0">
      <w:pPr>
        <w:jc w:val="both"/>
        <w:rPr>
          <w:lang w:val="en-GB"/>
        </w:rPr>
      </w:pPr>
      <w:r w:rsidRPr="00277950">
        <w:rPr>
          <w:lang w:val="en-GB"/>
        </w:rPr>
        <w:t>*taking as reference 3,600 households per survey at a unitary cost of US$</w:t>
      </w:r>
      <w:r>
        <w:rPr>
          <w:lang w:val="en-GB"/>
        </w:rPr>
        <w:t>40</w:t>
      </w:r>
      <w:r w:rsidRPr="00277950">
        <w:rPr>
          <w:lang w:val="en-GB"/>
        </w:rPr>
        <w:t xml:space="preserve">. This cost includes all fixed and variable expenses (wages, per-diem, transport, etc.) related with the execution of the survey. The pilots also include the cost of capacitation of </w:t>
      </w:r>
      <w:r>
        <w:rPr>
          <w:lang w:val="en-GB"/>
        </w:rPr>
        <w:t>required personnel to perform the assignment.</w:t>
      </w:r>
    </w:p>
    <w:p w:rsidR="00A47BE0" w:rsidRDefault="00A47BE0" w:rsidP="00A47BE0">
      <w:pPr>
        <w:ind w:left="360"/>
        <w:jc w:val="both"/>
        <w:rPr>
          <w:lang w:val="en-GB"/>
        </w:rPr>
        <w:sectPr w:rsidR="00A47BE0" w:rsidSect="008902D6">
          <w:pgSz w:w="15840" w:h="12240" w:orient="landscape"/>
          <w:pgMar w:top="1440" w:right="1440" w:bottom="1440" w:left="1440" w:header="720" w:footer="720" w:gutter="0"/>
          <w:cols w:space="720"/>
          <w:docGrid w:linePitch="360"/>
        </w:sectPr>
      </w:pPr>
    </w:p>
    <w:p w:rsidR="00A47BE0" w:rsidRPr="0098005D" w:rsidRDefault="00A47BE0" w:rsidP="00A47BE0">
      <w:pPr>
        <w:spacing w:line="360" w:lineRule="auto"/>
        <w:jc w:val="both"/>
        <w:rPr>
          <w:b/>
          <w:i/>
          <w:u w:val="single"/>
        </w:rPr>
      </w:pPr>
      <w:r w:rsidRPr="0098005D">
        <w:rPr>
          <w:b/>
          <w:i/>
          <w:u w:val="single"/>
        </w:rPr>
        <w:lastRenderedPageBreak/>
        <w:t>References</w:t>
      </w:r>
    </w:p>
    <w:p w:rsidR="00A47BE0" w:rsidRPr="001D6644" w:rsidRDefault="00A47BE0" w:rsidP="00A47BE0">
      <w:pPr>
        <w:spacing w:line="240" w:lineRule="auto"/>
        <w:jc w:val="both"/>
      </w:pPr>
      <w:r w:rsidRPr="001D6644">
        <w:t xml:space="preserve">Alcazar, L. Nakasone, E. Torero, M. (2007) “Provision of Public Services and Welfare of the Poor: Learning from an incomplete Electricity Privatization process in Rural Peru”, Research Network Working Paper #R-526. </w:t>
      </w:r>
      <w:proofErr w:type="gramStart"/>
      <w:r w:rsidRPr="001D6644">
        <w:t>IADB.</w:t>
      </w:r>
      <w:proofErr w:type="gramEnd"/>
    </w:p>
    <w:p w:rsidR="00A47BE0" w:rsidRPr="001D6644" w:rsidRDefault="00A47BE0" w:rsidP="00A47BE0">
      <w:pPr>
        <w:spacing w:line="240" w:lineRule="auto"/>
        <w:jc w:val="both"/>
      </w:pPr>
      <w:proofErr w:type="gramStart"/>
      <w:r w:rsidRPr="001D6644">
        <w:t>Bacon, R., Bhattacharya, S. and Kojima (2010).</w:t>
      </w:r>
      <w:proofErr w:type="gramEnd"/>
      <w:r w:rsidRPr="001D6644">
        <w:t xml:space="preserve"> </w:t>
      </w:r>
      <w:proofErr w:type="gramStart"/>
      <w:r w:rsidRPr="001D6644">
        <w:t>Expenditure of Low-Income Household on Energy.</w:t>
      </w:r>
      <w:proofErr w:type="gramEnd"/>
      <w:r w:rsidRPr="001D6644">
        <w:t xml:space="preserve"> </w:t>
      </w:r>
      <w:proofErr w:type="gramStart"/>
      <w:r w:rsidRPr="001D6644">
        <w:t>Evidence from Africa and Asia.</w:t>
      </w:r>
      <w:proofErr w:type="gramEnd"/>
      <w:r w:rsidRPr="001D6644">
        <w:t xml:space="preserve"> </w:t>
      </w:r>
      <w:proofErr w:type="gramStart"/>
      <w:r w:rsidRPr="001D6644">
        <w:t>Oil, Gas, and Mining Policy Division Working Paper.</w:t>
      </w:r>
      <w:proofErr w:type="gramEnd"/>
      <w:r w:rsidRPr="001D6644">
        <w:t xml:space="preserve"> World Bank</w:t>
      </w:r>
    </w:p>
    <w:p w:rsidR="00A47BE0" w:rsidRPr="001D6644" w:rsidRDefault="00A47BE0" w:rsidP="00A47BE0">
      <w:pPr>
        <w:spacing w:line="240" w:lineRule="auto"/>
        <w:jc w:val="both"/>
      </w:pPr>
      <w:r w:rsidRPr="001D6644">
        <w:t xml:space="preserve">Barnes, D., </w:t>
      </w:r>
      <w:proofErr w:type="spellStart"/>
      <w:r w:rsidRPr="001D6644">
        <w:t>Khandker</w:t>
      </w:r>
      <w:proofErr w:type="spellEnd"/>
      <w:r w:rsidRPr="001D6644">
        <w:t xml:space="preserve">, Sh. </w:t>
      </w:r>
      <w:proofErr w:type="spellStart"/>
      <w:r w:rsidRPr="001D6644">
        <w:t>Samad</w:t>
      </w:r>
      <w:proofErr w:type="spellEnd"/>
      <w:r w:rsidRPr="001D6644">
        <w:t xml:space="preserve">, </w:t>
      </w:r>
      <w:proofErr w:type="spellStart"/>
      <w:r w:rsidRPr="001D6644">
        <w:t>Hussain</w:t>
      </w:r>
      <w:proofErr w:type="spellEnd"/>
      <w:r w:rsidRPr="001D6644">
        <w:t xml:space="preserve"> (2010). “Energy Access, Efficiency and Poverty: How Many Household are Energy Poor in Bangladesh” Policy Research Working Paper 5332. </w:t>
      </w:r>
      <w:proofErr w:type="gramStart"/>
      <w:r w:rsidRPr="001D6644">
        <w:t>World Bank.</w:t>
      </w:r>
      <w:proofErr w:type="gramEnd"/>
    </w:p>
    <w:p w:rsidR="00A47BE0" w:rsidRPr="001D6644" w:rsidRDefault="00A47BE0" w:rsidP="00A47BE0">
      <w:pPr>
        <w:spacing w:line="240" w:lineRule="auto"/>
        <w:jc w:val="both"/>
      </w:pPr>
      <w:r w:rsidRPr="001D6644">
        <w:t xml:space="preserve">Barnes, D. y Foley, </w:t>
      </w:r>
      <w:proofErr w:type="gramStart"/>
      <w:r w:rsidRPr="001D6644">
        <w:t>G</w:t>
      </w:r>
      <w:proofErr w:type="gramEnd"/>
      <w:r w:rsidRPr="001D6644">
        <w:t xml:space="preserve">. “Rural Electrification in the Developing World: A Summary of Lessons from Successful Programs”. </w:t>
      </w:r>
      <w:proofErr w:type="gramStart"/>
      <w:r w:rsidRPr="001D6644">
        <w:t>Working Paper.</w:t>
      </w:r>
      <w:proofErr w:type="gramEnd"/>
      <w:r w:rsidRPr="001D6644">
        <w:t xml:space="preserve"> </w:t>
      </w:r>
      <w:proofErr w:type="gramStart"/>
      <w:r w:rsidRPr="001D6644">
        <w:t>UNDP, ESMAP and World Bank.</w:t>
      </w:r>
      <w:proofErr w:type="gramEnd"/>
    </w:p>
    <w:p w:rsidR="00A47BE0" w:rsidRPr="001D6644" w:rsidRDefault="00A47BE0" w:rsidP="00A47BE0">
      <w:pPr>
        <w:spacing w:line="240" w:lineRule="auto"/>
        <w:jc w:val="both"/>
      </w:pPr>
      <w:proofErr w:type="spellStart"/>
      <w:r w:rsidRPr="001D6644">
        <w:t>BenYishay</w:t>
      </w:r>
      <w:proofErr w:type="spellEnd"/>
      <w:r w:rsidRPr="001D6644">
        <w:t xml:space="preserve">, A. and </w:t>
      </w:r>
      <w:proofErr w:type="spellStart"/>
      <w:r w:rsidRPr="001D6644">
        <w:t>Tunstall</w:t>
      </w:r>
      <w:proofErr w:type="spellEnd"/>
      <w:r w:rsidRPr="001D6644">
        <w:t xml:space="preserve">, R. (2011) “Impact evaluation of infrastructure investment: the experience of Millennium Challenge Corporation. Journal of Development Effectiveness, 3:1, 103-130. </w:t>
      </w:r>
    </w:p>
    <w:p w:rsidR="00A47BE0" w:rsidRDefault="00A47BE0" w:rsidP="00A47BE0">
      <w:pPr>
        <w:spacing w:line="240" w:lineRule="auto"/>
        <w:jc w:val="both"/>
      </w:pPr>
      <w:proofErr w:type="spellStart"/>
      <w:proofErr w:type="gramStart"/>
      <w:r w:rsidRPr="001D6644">
        <w:t>Dinkelman</w:t>
      </w:r>
      <w:proofErr w:type="spellEnd"/>
      <w:r w:rsidRPr="001D6644">
        <w:t>, T. (2011).</w:t>
      </w:r>
      <w:proofErr w:type="gramEnd"/>
      <w:r w:rsidRPr="001D6644">
        <w:t xml:space="preserve"> </w:t>
      </w:r>
      <w:proofErr w:type="gramStart"/>
      <w:r w:rsidRPr="001D6644">
        <w:t xml:space="preserve">"The Effects of Rural </w:t>
      </w:r>
      <w:proofErr w:type="spellStart"/>
      <w:r w:rsidRPr="001D6644">
        <w:t>Electrication</w:t>
      </w:r>
      <w:proofErr w:type="spellEnd"/>
      <w:r w:rsidRPr="001D6644">
        <w:t xml:space="preserve"> on Employment: New Evidence from South Africa", American Economic Review, forthcoming.</w:t>
      </w:r>
      <w:proofErr w:type="gramEnd"/>
    </w:p>
    <w:p w:rsidR="00A47BE0" w:rsidRPr="001D6644" w:rsidRDefault="00A47BE0" w:rsidP="00A47BE0">
      <w:pPr>
        <w:spacing w:line="240" w:lineRule="auto"/>
        <w:jc w:val="both"/>
      </w:pPr>
      <w:proofErr w:type="spellStart"/>
      <w:proofErr w:type="gramStart"/>
      <w:r>
        <w:t>Duflo</w:t>
      </w:r>
      <w:proofErr w:type="spellEnd"/>
      <w:r>
        <w:t xml:space="preserve">, E., </w:t>
      </w:r>
      <w:proofErr w:type="spellStart"/>
      <w:r>
        <w:t>Glennerster</w:t>
      </w:r>
      <w:proofErr w:type="spellEnd"/>
      <w:r>
        <w:t xml:space="preserve"> and Kremer, M. (2006).</w:t>
      </w:r>
      <w:proofErr w:type="gramEnd"/>
      <w:r>
        <w:t xml:space="preserve"> </w:t>
      </w:r>
      <w:proofErr w:type="gramStart"/>
      <w:r>
        <w:t xml:space="preserve">Using Randomization in Development Economics Research: A </w:t>
      </w:r>
      <w:proofErr w:type="spellStart"/>
      <w:r>
        <w:t>Tollkit</w:t>
      </w:r>
      <w:proofErr w:type="spellEnd"/>
      <w:r>
        <w:t>.</w:t>
      </w:r>
      <w:proofErr w:type="gramEnd"/>
    </w:p>
    <w:p w:rsidR="00A47BE0" w:rsidRPr="001D6644" w:rsidRDefault="00A47BE0" w:rsidP="00A47BE0">
      <w:pPr>
        <w:spacing w:line="240" w:lineRule="auto"/>
        <w:jc w:val="both"/>
      </w:pPr>
      <w:proofErr w:type="spellStart"/>
      <w:r w:rsidRPr="001D6644">
        <w:t>Escobal</w:t>
      </w:r>
      <w:proofErr w:type="spellEnd"/>
      <w:r w:rsidRPr="001D6644">
        <w:t xml:space="preserve">, J. (2005). </w:t>
      </w:r>
      <w:proofErr w:type="gramStart"/>
      <w:r w:rsidRPr="001D6644">
        <w:t xml:space="preserve">“The Role of Public </w:t>
      </w:r>
      <w:proofErr w:type="spellStart"/>
      <w:r w:rsidRPr="001D6644">
        <w:t>Infraestructure</w:t>
      </w:r>
      <w:proofErr w:type="spellEnd"/>
      <w:r w:rsidRPr="001D6644">
        <w:t xml:space="preserve"> in Market Development in Rural Peru”, MPRA Paper N° 727.</w:t>
      </w:r>
      <w:proofErr w:type="gramEnd"/>
    </w:p>
    <w:p w:rsidR="00A47BE0" w:rsidRPr="001D6644" w:rsidRDefault="00A47BE0" w:rsidP="00A47BE0">
      <w:pPr>
        <w:spacing w:line="240" w:lineRule="auto"/>
        <w:ind w:left="720" w:hanging="720"/>
        <w:jc w:val="both"/>
        <w:rPr>
          <w:lang w:val="es-ES"/>
        </w:rPr>
      </w:pPr>
      <w:r w:rsidRPr="001D6644">
        <w:rPr>
          <w:lang w:val="es-ES"/>
        </w:rPr>
        <w:t xml:space="preserve">ESMAP (2012). “Promoción de los usos productivos de la electricidad en las áreas rurales de Perú: Experiencia y lecciones aprendidas”, </w:t>
      </w:r>
      <w:proofErr w:type="spellStart"/>
      <w:r w:rsidRPr="001D6644">
        <w:rPr>
          <w:lang w:val="es-ES"/>
        </w:rPr>
        <w:t>World</w:t>
      </w:r>
      <w:proofErr w:type="spellEnd"/>
      <w:r w:rsidRPr="001D6644">
        <w:rPr>
          <w:lang w:val="es-ES"/>
        </w:rPr>
        <w:t xml:space="preserve"> Bank.</w:t>
      </w:r>
    </w:p>
    <w:p w:rsidR="00A47BE0" w:rsidRPr="001D6644" w:rsidRDefault="00A47BE0" w:rsidP="00A47BE0">
      <w:pPr>
        <w:spacing w:line="240" w:lineRule="auto"/>
        <w:jc w:val="both"/>
      </w:pPr>
      <w:proofErr w:type="gramStart"/>
      <w:r w:rsidRPr="001D6644">
        <w:t xml:space="preserve">Grogan, L. and </w:t>
      </w:r>
      <w:proofErr w:type="spellStart"/>
      <w:r w:rsidRPr="001D6644">
        <w:t>Sadanand</w:t>
      </w:r>
      <w:proofErr w:type="spellEnd"/>
      <w:r w:rsidRPr="001D6644">
        <w:t>, A. (2012).</w:t>
      </w:r>
      <w:proofErr w:type="gramEnd"/>
      <w:r w:rsidRPr="001D6644">
        <w:t xml:space="preserve"> Rural Electrification and Employment in Poor Countries: Evidence from Nicaragua. </w:t>
      </w:r>
    </w:p>
    <w:p w:rsidR="00A47BE0" w:rsidRPr="001D6644" w:rsidRDefault="00A47BE0" w:rsidP="00A47BE0">
      <w:pPr>
        <w:spacing w:line="240" w:lineRule="auto"/>
        <w:jc w:val="both"/>
      </w:pPr>
      <w:proofErr w:type="spellStart"/>
      <w:proofErr w:type="gramStart"/>
      <w:r w:rsidRPr="001D6644">
        <w:t>Estache</w:t>
      </w:r>
      <w:proofErr w:type="spellEnd"/>
      <w:r w:rsidRPr="001D6644">
        <w:t>, A. “A survey of impact evaluation of infrastructure projects, programs and policies”.</w:t>
      </w:r>
      <w:proofErr w:type="gramEnd"/>
      <w:r w:rsidRPr="001D6644">
        <w:t xml:space="preserve"> </w:t>
      </w:r>
      <w:proofErr w:type="gramStart"/>
      <w:r w:rsidRPr="001D6644">
        <w:t>Working paper.</w:t>
      </w:r>
      <w:proofErr w:type="gramEnd"/>
      <w:r w:rsidRPr="001D6644">
        <w:t xml:space="preserve"> ECARES, </w:t>
      </w:r>
      <w:proofErr w:type="spellStart"/>
      <w:r w:rsidRPr="001D6644">
        <w:t>Universite</w:t>
      </w:r>
      <w:proofErr w:type="spellEnd"/>
      <w:r w:rsidRPr="001D6644">
        <w:t xml:space="preserve"> </w:t>
      </w:r>
      <w:proofErr w:type="spellStart"/>
      <w:r w:rsidRPr="001D6644">
        <w:t>Libre</w:t>
      </w:r>
      <w:proofErr w:type="spellEnd"/>
      <w:r w:rsidRPr="001D6644">
        <w:t xml:space="preserve"> de </w:t>
      </w:r>
      <w:proofErr w:type="spellStart"/>
      <w:r w:rsidRPr="001D6644">
        <w:t>Bruxelles</w:t>
      </w:r>
      <w:proofErr w:type="spellEnd"/>
      <w:r w:rsidRPr="001D6644">
        <w:t>.</w:t>
      </w:r>
    </w:p>
    <w:p w:rsidR="00A47BE0" w:rsidRPr="00321091" w:rsidRDefault="00A47BE0" w:rsidP="00A47BE0">
      <w:pPr>
        <w:spacing w:line="240" w:lineRule="auto"/>
        <w:jc w:val="both"/>
      </w:pPr>
      <w:proofErr w:type="gramStart"/>
      <w:r w:rsidRPr="001D6644">
        <w:t>IEG/WB (2008).</w:t>
      </w:r>
      <w:proofErr w:type="gramEnd"/>
      <w:r w:rsidRPr="001D6644">
        <w:t xml:space="preserve"> The welfare impact of rural electrification: A Reassessment of the Costs and Benefits. </w:t>
      </w:r>
      <w:proofErr w:type="gramStart"/>
      <w:r w:rsidRPr="00321091">
        <w:t>An IEG Impact Evaluation.</w:t>
      </w:r>
      <w:proofErr w:type="gramEnd"/>
      <w:r w:rsidRPr="00321091">
        <w:t xml:space="preserve"> </w:t>
      </w:r>
      <w:proofErr w:type="gramStart"/>
      <w:r w:rsidRPr="00321091">
        <w:t>World Bank.</w:t>
      </w:r>
      <w:proofErr w:type="gramEnd"/>
    </w:p>
    <w:p w:rsidR="00A47BE0" w:rsidRPr="00C0141A" w:rsidRDefault="00A47BE0" w:rsidP="00A47BE0">
      <w:pPr>
        <w:spacing w:line="240" w:lineRule="auto"/>
        <w:jc w:val="both"/>
        <w:rPr>
          <w:szCs w:val="24"/>
        </w:rPr>
      </w:pPr>
      <w:proofErr w:type="spellStart"/>
      <w:r w:rsidRPr="00321091">
        <w:t>Tornarolli</w:t>
      </w:r>
      <w:proofErr w:type="spellEnd"/>
      <w:r w:rsidRPr="00321091">
        <w:t xml:space="preserve">, L. y Vazquez (2012). </w:t>
      </w:r>
      <w:r w:rsidRPr="001D6644">
        <w:rPr>
          <w:lang w:val="es-ES"/>
        </w:rPr>
        <w:t>“Incidencia Distributiva de los Subsidios en El Salvador”. Trabajo en Progreso. IADB.</w:t>
      </w:r>
    </w:p>
    <w:p w:rsidR="00A47BE0" w:rsidRPr="00E67636" w:rsidRDefault="00A47BE0" w:rsidP="00A47BE0"/>
    <w:p w:rsidR="00A47BE0" w:rsidRPr="004D679E" w:rsidRDefault="00A47BE0" w:rsidP="00A47BE0"/>
    <w:p w:rsidR="004E63BD" w:rsidRPr="00A47BE0" w:rsidRDefault="004E63BD" w:rsidP="00A47BE0"/>
    <w:sectPr w:rsidR="004E63BD" w:rsidRPr="00A47BE0" w:rsidSect="004E63B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D6" w:rsidRDefault="008902D6" w:rsidP="00E7798E">
      <w:pPr>
        <w:spacing w:after="0" w:line="240" w:lineRule="auto"/>
      </w:pPr>
      <w:r>
        <w:separator/>
      </w:r>
    </w:p>
  </w:endnote>
  <w:endnote w:type="continuationSeparator" w:id="0">
    <w:p w:rsidR="008902D6" w:rsidRDefault="008902D6" w:rsidP="00E7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95274"/>
      <w:docPartObj>
        <w:docPartGallery w:val="Page Numbers (Bottom of Page)"/>
        <w:docPartUnique/>
      </w:docPartObj>
    </w:sdtPr>
    <w:sdtEndPr/>
    <w:sdtContent>
      <w:p w:rsidR="00A47BE0" w:rsidRDefault="00A47BE0">
        <w:pPr>
          <w:pStyle w:val="Footer"/>
          <w:jc w:val="right"/>
        </w:pPr>
        <w:r>
          <w:fldChar w:fldCharType="begin"/>
        </w:r>
        <w:r>
          <w:instrText>PAGE   \* MERGEFORMAT</w:instrText>
        </w:r>
        <w:r>
          <w:fldChar w:fldCharType="separate"/>
        </w:r>
        <w:r w:rsidR="00A2364B" w:rsidRPr="00A2364B">
          <w:rPr>
            <w:noProof/>
            <w:lang w:val="es-ES"/>
          </w:rPr>
          <w:t>31</w:t>
        </w:r>
        <w:r>
          <w:fldChar w:fldCharType="end"/>
        </w:r>
      </w:p>
    </w:sdtContent>
  </w:sdt>
  <w:p w:rsidR="00A47BE0" w:rsidRDefault="00A47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01484"/>
      <w:docPartObj>
        <w:docPartGallery w:val="Page Numbers (Bottom of Page)"/>
        <w:docPartUnique/>
      </w:docPartObj>
    </w:sdtPr>
    <w:sdtEndPr/>
    <w:sdtContent>
      <w:p w:rsidR="008902D6" w:rsidRDefault="008902D6">
        <w:pPr>
          <w:pStyle w:val="Footer"/>
          <w:jc w:val="right"/>
        </w:pPr>
        <w:r>
          <w:fldChar w:fldCharType="begin"/>
        </w:r>
        <w:r>
          <w:instrText>PAGE   \* MERGEFORMAT</w:instrText>
        </w:r>
        <w:r>
          <w:fldChar w:fldCharType="separate"/>
        </w:r>
        <w:r w:rsidR="00A2364B" w:rsidRPr="00A2364B">
          <w:rPr>
            <w:noProof/>
            <w:lang w:val="es-ES"/>
          </w:rPr>
          <w:t>39</w:t>
        </w:r>
        <w:r>
          <w:fldChar w:fldCharType="end"/>
        </w:r>
      </w:p>
    </w:sdtContent>
  </w:sdt>
  <w:p w:rsidR="008902D6" w:rsidRDefault="0089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D6" w:rsidRDefault="008902D6" w:rsidP="00E7798E">
      <w:pPr>
        <w:spacing w:after="0" w:line="240" w:lineRule="auto"/>
      </w:pPr>
      <w:r>
        <w:separator/>
      </w:r>
    </w:p>
  </w:footnote>
  <w:footnote w:type="continuationSeparator" w:id="0">
    <w:p w:rsidR="008902D6" w:rsidRDefault="008902D6" w:rsidP="00E7798E">
      <w:pPr>
        <w:spacing w:after="0" w:line="240" w:lineRule="auto"/>
      </w:pPr>
      <w:r>
        <w:continuationSeparator/>
      </w:r>
    </w:p>
  </w:footnote>
  <w:footnote w:id="1">
    <w:p w:rsidR="00A47BE0" w:rsidRDefault="00A47BE0" w:rsidP="00A47BE0">
      <w:pPr>
        <w:pStyle w:val="FootnoteText"/>
        <w:ind w:left="0" w:firstLine="0"/>
      </w:pPr>
      <w:r>
        <w:rPr>
          <w:rStyle w:val="FootnoteReference"/>
        </w:rPr>
        <w:footnoteRef/>
      </w:r>
      <w:r>
        <w:t xml:space="preserve"> </w:t>
      </w:r>
      <w:r w:rsidRPr="001A55FE">
        <w:t xml:space="preserve">The GOS has acknowledged the need to strengthen the electricity sector through a comprehensive and coordinated approach.  To this extent in 2012, the GOS sought support from the Inter-American Development Bank (IDB) to establish a Sustainable Energy Framework for Suriname (SEFS) with the objective of creating conditions for the economic, social, financial and environmental sustainability of the sector, thereby anticipating future demand growth.  </w:t>
      </w:r>
    </w:p>
  </w:footnote>
  <w:footnote w:id="2">
    <w:p w:rsidR="00A47BE0" w:rsidRDefault="00A47BE0">
      <w:pPr>
        <w:pStyle w:val="FootnoteText"/>
      </w:pPr>
      <w:r>
        <w:rPr>
          <w:rStyle w:val="FootnoteReference"/>
        </w:rPr>
        <w:footnoteRef/>
      </w:r>
      <w:r>
        <w:t xml:space="preserve"> See PMR draft IDBDOCS#38054923</w:t>
      </w:r>
    </w:p>
  </w:footnote>
  <w:footnote w:id="3">
    <w:p w:rsidR="00A47BE0" w:rsidRDefault="00A47BE0" w:rsidP="00A47BE0">
      <w:pPr>
        <w:pStyle w:val="FootnoteText"/>
      </w:pPr>
      <w:r>
        <w:rPr>
          <w:rStyle w:val="FootnoteReference"/>
        </w:rPr>
        <w:footnoteRef/>
      </w:r>
      <w:r>
        <w:t xml:space="preserve"> </w:t>
      </w:r>
      <w:r w:rsidRPr="00902C67">
        <w:t>Suriname´s power sector consists of a number of individual power systems operated by EBS (</w:t>
      </w:r>
      <w:proofErr w:type="spellStart"/>
      <w:r w:rsidRPr="00902C67">
        <w:t>Energie</w:t>
      </w:r>
      <w:proofErr w:type="spellEnd"/>
      <w:r w:rsidRPr="00902C67">
        <w:t xml:space="preserve"> </w:t>
      </w:r>
      <w:proofErr w:type="spellStart"/>
      <w:r w:rsidRPr="00902C67">
        <w:t>Bedrijven</w:t>
      </w:r>
      <w:proofErr w:type="spellEnd"/>
      <w:r w:rsidRPr="00902C67">
        <w:t xml:space="preserve"> Suriname): the EPAR system (the system serving Paramaribo and the surroundings), the ENIC system (for New </w:t>
      </w:r>
      <w:proofErr w:type="spellStart"/>
      <w:r w:rsidRPr="00902C67">
        <w:t>Nickerie</w:t>
      </w:r>
      <w:proofErr w:type="spellEnd"/>
      <w:r w:rsidRPr="00902C67">
        <w:t xml:space="preserve"> in West Suriname) and other smaller systems.  </w:t>
      </w:r>
    </w:p>
  </w:footnote>
  <w:footnote w:id="4">
    <w:p w:rsidR="00A47BE0" w:rsidRDefault="00A47BE0" w:rsidP="00A47BE0">
      <w:pPr>
        <w:pStyle w:val="FootnoteText"/>
      </w:pPr>
      <w:r>
        <w:rPr>
          <w:rStyle w:val="FootnoteReference"/>
        </w:rPr>
        <w:footnoteRef/>
      </w:r>
      <w:r>
        <w:t xml:space="preserve"> As greater information related to the project will be available, it is expected to write a conceptual note, describing the details of the impact evaluation methodology.</w:t>
      </w:r>
    </w:p>
  </w:footnote>
  <w:footnote w:id="5">
    <w:p w:rsidR="00A47BE0" w:rsidRDefault="00A47BE0" w:rsidP="00A47BE0">
      <w:pPr>
        <w:pStyle w:val="FootnoteText"/>
      </w:pPr>
      <w:r>
        <w:rPr>
          <w:rStyle w:val="FootnoteReference"/>
        </w:rPr>
        <w:footnoteRef/>
      </w:r>
      <w:r>
        <w:t xml:space="preserve"> </w:t>
      </w:r>
      <w:r>
        <w:rPr>
          <w:lang w:val="en-GB"/>
        </w:rPr>
        <w:t>In the case of rural electrification projects to improve the quality of the service provided, additional benefits results in direct economic and environmental impacts by the reduction or phase-out of fossil fuel for electricity supply.</w:t>
      </w:r>
    </w:p>
  </w:footnote>
  <w:footnote w:id="6">
    <w:p w:rsidR="00A47BE0" w:rsidRDefault="00A47BE0" w:rsidP="00A47BE0">
      <w:pPr>
        <w:pStyle w:val="FootnoteText"/>
      </w:pPr>
      <w:r>
        <w:rPr>
          <w:rStyle w:val="FootnoteReference"/>
        </w:rPr>
        <w:footnoteRef/>
      </w:r>
      <w:r>
        <w:t xml:space="preserve"> </w:t>
      </w:r>
      <w:r w:rsidRPr="00F73642">
        <w:t xml:space="preserve">Research attempting to evaluate these benefits from a causal perspective include: </w:t>
      </w:r>
      <w:proofErr w:type="spellStart"/>
      <w:r w:rsidRPr="00F73642">
        <w:t>Dinkelman</w:t>
      </w:r>
      <w:proofErr w:type="spellEnd"/>
      <w:r w:rsidRPr="00F73642">
        <w:t xml:space="preserve"> (2011), </w:t>
      </w:r>
      <w:proofErr w:type="spellStart"/>
      <w:r w:rsidRPr="00F73642">
        <w:t>Khandker</w:t>
      </w:r>
      <w:proofErr w:type="spellEnd"/>
      <w:r w:rsidRPr="00F73642">
        <w:t xml:space="preserve"> et al (2009), </w:t>
      </w:r>
      <w:proofErr w:type="spellStart"/>
      <w:r w:rsidRPr="00F73642">
        <w:t>Khandker</w:t>
      </w:r>
      <w:proofErr w:type="spellEnd"/>
      <w:r w:rsidRPr="00F73642">
        <w:t xml:space="preserve"> et al, (2012), Gonzales-</w:t>
      </w:r>
      <w:proofErr w:type="spellStart"/>
      <w:r w:rsidRPr="00F73642">
        <w:t>Eiras</w:t>
      </w:r>
      <w:proofErr w:type="spellEnd"/>
      <w:r w:rsidRPr="00F73642">
        <w:t xml:space="preserve"> and Rossi (2007).</w:t>
      </w:r>
    </w:p>
  </w:footnote>
  <w:footnote w:id="7">
    <w:p w:rsidR="00A47BE0" w:rsidRPr="00FB2BC4" w:rsidRDefault="00A47BE0" w:rsidP="00A47BE0">
      <w:pPr>
        <w:jc w:val="both"/>
        <w:rPr>
          <w:sz w:val="20"/>
          <w:szCs w:val="20"/>
          <w:lang w:val="en-GB"/>
        </w:rPr>
      </w:pPr>
      <w:r w:rsidRPr="00FB2BC4">
        <w:rPr>
          <w:rStyle w:val="FootnoteReference"/>
          <w:sz w:val="20"/>
          <w:szCs w:val="20"/>
        </w:rPr>
        <w:footnoteRef/>
      </w:r>
      <w:r w:rsidRPr="00FB2BC4">
        <w:rPr>
          <w:sz w:val="20"/>
          <w:szCs w:val="20"/>
        </w:rPr>
        <w:t xml:space="preserve"> </w:t>
      </w:r>
      <w:r w:rsidRPr="00FB2BC4">
        <w:rPr>
          <w:sz w:val="20"/>
          <w:szCs w:val="20"/>
          <w:lang w:val="en-GB"/>
        </w:rPr>
        <w:t>It is equally scarce empirical evidence on aspects of pricing of electricity services, energy-use patterns at household level and energy-spending</w:t>
      </w:r>
      <w:r w:rsidRPr="00FB2BC4">
        <w:rPr>
          <w:rStyle w:val="FootnoteReference"/>
          <w:sz w:val="20"/>
          <w:szCs w:val="20"/>
          <w:lang w:val="en-GB"/>
        </w:rPr>
        <w:footnoteRef/>
      </w:r>
      <w:r w:rsidRPr="00FB2BC4">
        <w:rPr>
          <w:sz w:val="20"/>
          <w:szCs w:val="20"/>
          <w:lang w:val="en-GB"/>
        </w:rPr>
        <w:t xml:space="preserve">. In the case of Latin America, available studies are restricted to the case of Chile, Peru and Panama, countries that made specific energy surveys to capture energy consumption and expenditure. However, these studies did not perform an impact evaluation of the effects of pricing on consumption and expenditure of energy. </w:t>
      </w:r>
      <w:r>
        <w:rPr>
          <w:sz w:val="20"/>
          <w:szCs w:val="20"/>
          <w:lang w:val="en-GB"/>
        </w:rPr>
        <w:t>Even when t</w:t>
      </w:r>
      <w:r w:rsidRPr="00FB2BC4">
        <w:rPr>
          <w:sz w:val="20"/>
          <w:szCs w:val="20"/>
          <w:lang w:val="en-GB"/>
        </w:rPr>
        <w:t>he case of Guyana represents an ideal se</w:t>
      </w:r>
      <w:r>
        <w:rPr>
          <w:sz w:val="20"/>
          <w:szCs w:val="20"/>
          <w:lang w:val="en-GB"/>
        </w:rPr>
        <w:t xml:space="preserve">tting to analyse these aspects, there is still not a clear picture of the pricing that will be apply. We know that treated </w:t>
      </w:r>
      <w:r w:rsidRPr="00FB2BC4">
        <w:rPr>
          <w:sz w:val="20"/>
          <w:szCs w:val="20"/>
          <w:lang w:val="en-GB"/>
        </w:rPr>
        <w:t>villages are going to be subject to a new pricing schedule,</w:t>
      </w:r>
      <w:r>
        <w:rPr>
          <w:sz w:val="20"/>
          <w:szCs w:val="20"/>
          <w:lang w:val="en-GB"/>
        </w:rPr>
        <w:t xml:space="preserve"> however there is </w:t>
      </w:r>
      <w:proofErr w:type="spellStart"/>
      <w:r>
        <w:rPr>
          <w:sz w:val="20"/>
          <w:szCs w:val="20"/>
          <w:lang w:val="en-GB"/>
        </w:rPr>
        <w:t>not</w:t>
      </w:r>
      <w:proofErr w:type="spellEnd"/>
      <w:r>
        <w:rPr>
          <w:sz w:val="20"/>
          <w:szCs w:val="20"/>
          <w:lang w:val="en-GB"/>
        </w:rPr>
        <w:t xml:space="preserve"> certainty about the possibility of use different structures in order to analyse different responses.</w:t>
      </w:r>
    </w:p>
  </w:footnote>
  <w:footnote w:id="8">
    <w:p w:rsidR="00A47BE0" w:rsidRDefault="00A47BE0" w:rsidP="00A47BE0">
      <w:pPr>
        <w:pStyle w:val="FootnoteText"/>
      </w:pPr>
      <w:r>
        <w:rPr>
          <w:rStyle w:val="FootnoteReference"/>
        </w:rPr>
        <w:footnoteRef/>
      </w:r>
      <w:r>
        <w:t xml:space="preserve"> The 130 villages has been </w:t>
      </w:r>
      <w:r>
        <w:rPr>
          <w:lang w:val="en-GB"/>
        </w:rPr>
        <w:t>addressed by the IDB/GEF initiative (SU-G1001</w:t>
      </w:r>
    </w:p>
  </w:footnote>
  <w:footnote w:id="9">
    <w:p w:rsidR="00A47BE0" w:rsidRDefault="00A47BE0" w:rsidP="00A47BE0">
      <w:pPr>
        <w:pStyle w:val="FootnoteText"/>
      </w:pPr>
      <w:r w:rsidRPr="00742A49">
        <w:footnoteRef/>
      </w:r>
      <w:r>
        <w:t xml:space="preserve"> </w:t>
      </w:r>
      <w:r w:rsidRPr="00742A49">
        <w:t xml:space="preserve"> </w:t>
      </w:r>
      <w:r>
        <w:t>T</w:t>
      </w:r>
      <w:r w:rsidRPr="00742A49">
        <w:t xml:space="preserve">he </w:t>
      </w:r>
      <w:r>
        <w:t xml:space="preserve">certainty of the </w:t>
      </w:r>
      <w:r w:rsidRPr="00742A49">
        <w:t>treatment will depend on the availability of financial resources (of the GOS) t</w:t>
      </w:r>
      <w:r>
        <w:t>o extend the program. However, i</w:t>
      </w:r>
      <w:r w:rsidRPr="00742A49">
        <w:t xml:space="preserve">t is expected that future operations (of the IDB) and Budget resources from the government will allow </w:t>
      </w:r>
      <w:proofErr w:type="gramStart"/>
      <w:r w:rsidRPr="00742A49">
        <w:t>to treat</w:t>
      </w:r>
      <w:proofErr w:type="gramEnd"/>
      <w:r w:rsidRPr="00742A49">
        <w:t xml:space="preserve"> the remaining villages. Even more, the Government of Suriname has shown interest in support the evaluation through facilitating the survey process and collaborating with the random selection of the cohorts (for the phase-in approach).</w:t>
      </w:r>
    </w:p>
  </w:footnote>
  <w:footnote w:id="10">
    <w:p w:rsidR="00A47BE0" w:rsidRDefault="00A47BE0" w:rsidP="00A47BE0">
      <w:pPr>
        <w:pStyle w:val="FootnoteText"/>
      </w:pPr>
      <w:r>
        <w:rPr>
          <w:rStyle w:val="FootnoteReference"/>
        </w:rPr>
        <w:footnoteRef/>
      </w:r>
      <w:r>
        <w:t xml:space="preserve"> Both villages located in different sites of the Hinterlands.</w:t>
      </w:r>
    </w:p>
  </w:footnote>
  <w:footnote w:id="11">
    <w:p w:rsidR="00A47BE0" w:rsidRDefault="00A47BE0" w:rsidP="00A47BE0">
      <w:pPr>
        <w:pStyle w:val="FootnoteText"/>
      </w:pPr>
      <w:r>
        <w:rPr>
          <w:rStyle w:val="FootnoteReference"/>
        </w:rPr>
        <w:footnoteRef/>
      </w:r>
      <w:r>
        <w:t xml:space="preserve"> See for example Torero (2009) and Bloom et al (1996), respectively.</w:t>
      </w:r>
    </w:p>
  </w:footnote>
  <w:footnote w:id="12">
    <w:p w:rsidR="00A47BE0" w:rsidRDefault="00A47BE0" w:rsidP="00A47BE0">
      <w:pPr>
        <w:pStyle w:val="FootnoteText"/>
      </w:pPr>
      <w:r>
        <w:rPr>
          <w:rStyle w:val="FootnoteReference"/>
        </w:rPr>
        <w:footnoteRef/>
      </w:r>
      <w:r>
        <w:t xml:space="preserve"> </w:t>
      </w:r>
      <w:r>
        <w:rPr>
          <w:lang w:val="en-GB"/>
        </w:rPr>
        <w:t>This exercise will be revised after the Statistical Bureau of Suriname makes public the dataset from the Population Census of 2012. Data from other neighbour countries could be also used to improve these estimations.</w:t>
      </w:r>
    </w:p>
  </w:footnote>
  <w:footnote w:id="13">
    <w:p w:rsidR="00A47BE0" w:rsidRDefault="00A47BE0" w:rsidP="00A47BE0">
      <w:pPr>
        <w:pStyle w:val="FootnoteText"/>
      </w:pPr>
      <w:r>
        <w:rPr>
          <w:rStyle w:val="FootnoteReference"/>
        </w:rPr>
        <w:footnoteRef/>
      </w:r>
      <w:r>
        <w:t xml:space="preserve"> The reliability is defined </w:t>
      </w:r>
      <w:proofErr w:type="gramStart"/>
      <w:r>
        <w:t xml:space="preserve">as </w:t>
      </w:r>
      <w:proofErr w:type="gramEnd"/>
      <m:oMath>
        <m:sSub>
          <m:sSubPr>
            <m:ctrlPr>
              <w:rPr>
                <w:rFonts w:ascii="Cambria Math" w:hAnsi="Cambria Math"/>
                <w:i/>
              </w:rPr>
            </m:ctrlPr>
          </m:sSubPr>
          <m:e>
            <m:r>
              <w:rPr>
                <w:rFonts w:ascii="Cambria Math" w:hAnsi="Cambria Math"/>
              </w:rPr>
              <m:t>α</m:t>
            </m:r>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τ</m:t>
                </m:r>
              </m:e>
              <m:sub>
                <m:r>
                  <w:rPr>
                    <w:rFonts w:ascii="Cambria Math" w:hAnsi="Cambria Math"/>
                  </w:rPr>
                  <m:t>πp</m:t>
                </m:r>
              </m:sub>
            </m:sSub>
          </m:num>
          <m:den>
            <m:sSub>
              <m:sSubPr>
                <m:ctrlPr>
                  <w:rPr>
                    <w:rFonts w:ascii="Cambria Math" w:hAnsi="Cambria Math"/>
                    <w:i/>
                  </w:rPr>
                </m:ctrlPr>
              </m:sSubPr>
              <m:e>
                <m:r>
                  <w:rPr>
                    <w:rFonts w:ascii="Cambria Math" w:hAnsi="Cambria Math"/>
                  </w:rPr>
                  <m:t>τ</m:t>
                </m:r>
              </m:e>
              <m:sub>
                <m:r>
                  <w:rPr>
                    <w:rFonts w:ascii="Cambria Math" w:hAnsi="Cambria Math"/>
                  </w:rPr>
                  <m:t>πp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den>
        </m:f>
      </m:oMath>
      <w:r>
        <w:t xml:space="preserve">. It is a function </w:t>
      </w:r>
      <w:r>
        <w:rPr>
          <w:lang w:val="en-GB"/>
        </w:rPr>
        <w:t>of the between-person variance (</w:t>
      </w:r>
      <m:oMath>
        <m:sSub>
          <m:sSubPr>
            <m:ctrlPr>
              <w:rPr>
                <w:rFonts w:ascii="Cambria Math" w:hAnsi="Cambria Math"/>
                <w:i/>
                <w:sz w:val="22"/>
                <w:szCs w:val="22"/>
                <w:lang w:val="en-GB"/>
              </w:rPr>
            </m:ctrlPr>
          </m:sSubPr>
          <m:e>
            <m:r>
              <w:rPr>
                <w:rFonts w:ascii="Cambria Math" w:hAnsi="Cambria Math"/>
                <w:lang w:val="en-GB"/>
              </w:rPr>
              <m:t>τ</m:t>
            </m:r>
          </m:e>
          <m:sub>
            <m:r>
              <w:rPr>
                <w:rFonts w:ascii="Cambria Math" w:hAnsi="Cambria Math"/>
                <w:lang w:val="en-GB"/>
              </w:rPr>
              <m:t>πp</m:t>
            </m:r>
          </m:sub>
        </m:sSub>
      </m:oMath>
      <w:r>
        <w:rPr>
          <w:lang w:val="en-GB"/>
        </w:rPr>
        <w:t>)</w:t>
      </w:r>
      <w:r w:rsidRPr="00110C1C">
        <w:rPr>
          <w:lang w:val="en-GB"/>
        </w:rPr>
        <w:t>, the within-person variance</w:t>
      </w:r>
      <w:r>
        <w:rPr>
          <w:lang w:val="en-GB"/>
        </w:rPr>
        <w:t xml:space="preserve"> (</w:t>
      </w:r>
      <m:oMath>
        <m:sSup>
          <m:sSupPr>
            <m:ctrlPr>
              <w:rPr>
                <w:rFonts w:ascii="Cambria Math" w:hAnsi="Cambria Math"/>
                <w:i/>
                <w:sz w:val="22"/>
                <w:szCs w:val="22"/>
                <w:lang w:val="en-GB"/>
              </w:rPr>
            </m:ctrlPr>
          </m:sSupPr>
          <m:e>
            <m:r>
              <w:rPr>
                <w:rFonts w:ascii="Cambria Math" w:hAnsi="Cambria Math"/>
                <w:lang w:val="en-GB"/>
              </w:rPr>
              <m:t>σ</m:t>
            </m:r>
          </m:e>
          <m:sup>
            <m:r>
              <w:rPr>
                <w:rFonts w:ascii="Cambria Math" w:hAnsi="Cambria Math"/>
                <w:lang w:val="en-GB"/>
              </w:rPr>
              <m:t>2</m:t>
            </m:r>
          </m:sup>
        </m:sSup>
      </m:oMath>
      <w:r>
        <w:rPr>
          <w:lang w:val="en-GB"/>
        </w:rPr>
        <w:t>)</w:t>
      </w:r>
      <w:r w:rsidRPr="00110C1C">
        <w:rPr>
          <w:lang w:val="en-GB"/>
        </w:rPr>
        <w:t>, the study duration</w:t>
      </w:r>
      <w:r>
        <w:rPr>
          <w:lang w:val="en-GB"/>
        </w:rPr>
        <w:t xml:space="preserve"> (</w:t>
      </w:r>
      <w:r w:rsidRPr="00110C1C">
        <w:rPr>
          <w:lang w:val="en-GB"/>
        </w:rPr>
        <w:t>D</w:t>
      </w:r>
      <w:r>
        <w:rPr>
          <w:lang w:val="en-GB"/>
        </w:rPr>
        <w:t>)</w:t>
      </w:r>
      <w:r w:rsidRPr="00110C1C">
        <w:rPr>
          <w:lang w:val="en-GB"/>
        </w:rPr>
        <w:t>, the frequency of the observations</w:t>
      </w:r>
      <w:r>
        <w:rPr>
          <w:lang w:val="en-GB"/>
        </w:rPr>
        <w:t xml:space="preserve"> (</w:t>
      </w:r>
      <w:r w:rsidRPr="00110C1C">
        <w:rPr>
          <w:lang w:val="en-GB"/>
        </w:rPr>
        <w:t>f</w:t>
      </w:r>
      <w:r>
        <w:rPr>
          <w:lang w:val="en-GB"/>
        </w:rPr>
        <w:t>), and the number of occasions (</w:t>
      </w:r>
      <w:r w:rsidRPr="00110C1C">
        <w:rPr>
          <w:lang w:val="en-GB"/>
        </w:rPr>
        <w:t>M</w:t>
      </w:r>
      <w:r>
        <w:rPr>
          <w:lang w:val="en-GB"/>
        </w:rPr>
        <w:t>)</w:t>
      </w:r>
      <w:r w:rsidRPr="00110C1C">
        <w:rPr>
          <w:lang w:val="en-GB"/>
        </w:rPr>
        <w:t>.</w:t>
      </w:r>
      <w:r>
        <w:rPr>
          <w:lang w:val="en-GB"/>
        </w:rPr>
        <w:t xml:space="preserve"> It represents the capacity to discriminate between growth rate (in the repeated measures) and the polynomial of interest using least squares estimate. Here we assume the, the outcome growth linearly.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E0" w:rsidRDefault="00A47BE0">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2364B">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2364B">
      <w:rPr>
        <w:b/>
        <w:noProof/>
      </w:rPr>
      <w:t>37</w:t>
    </w:r>
    <w:r>
      <w:rPr>
        <w:b/>
        <w:sz w:val="24"/>
        <w:szCs w:val="24"/>
      </w:rPr>
      <w:fldChar w:fldCharType="end"/>
    </w:r>
  </w:p>
  <w:p w:rsidR="00A47BE0" w:rsidRDefault="00A47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84347"/>
      <w:docPartObj>
        <w:docPartGallery w:val="Page Numbers (Top of Page)"/>
        <w:docPartUnique/>
      </w:docPartObj>
    </w:sdtPr>
    <w:sdtEndPr/>
    <w:sdtContent>
      <w:p w:rsidR="00A47BE0" w:rsidRDefault="00A47BE0">
        <w:pPr>
          <w:pStyle w:val="Header"/>
          <w:jc w:val="right"/>
        </w:pPr>
        <w:r>
          <w:fldChar w:fldCharType="begin"/>
        </w:r>
        <w:r>
          <w:instrText>PAGE   \* MERGEFORMAT</w:instrText>
        </w:r>
        <w:r>
          <w:fldChar w:fldCharType="separate"/>
        </w:r>
        <w:r w:rsidR="00A2364B">
          <w:rPr>
            <w:noProof/>
          </w:rPr>
          <w:t>31</w:t>
        </w:r>
        <w:r>
          <w:fldChar w:fldCharType="end"/>
        </w:r>
      </w:p>
    </w:sdtContent>
  </w:sdt>
  <w:p w:rsidR="00A47BE0" w:rsidRDefault="00A47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63816"/>
      <w:docPartObj>
        <w:docPartGallery w:val="Page Numbers (Top of Page)"/>
        <w:docPartUnique/>
      </w:docPartObj>
    </w:sdtPr>
    <w:sdtEndPr/>
    <w:sdtContent>
      <w:p w:rsidR="008902D6" w:rsidRDefault="008902D6">
        <w:pPr>
          <w:pStyle w:val="Header"/>
          <w:jc w:val="right"/>
        </w:pPr>
        <w:r>
          <w:fldChar w:fldCharType="begin"/>
        </w:r>
        <w:r>
          <w:instrText>PAGE   \* MERGEFORMAT</w:instrText>
        </w:r>
        <w:r>
          <w:fldChar w:fldCharType="separate"/>
        </w:r>
        <w:r w:rsidR="00A2364B">
          <w:rPr>
            <w:noProof/>
          </w:rPr>
          <w:t>39</w:t>
        </w:r>
        <w:r>
          <w:fldChar w:fldCharType="end"/>
        </w:r>
      </w:p>
    </w:sdtContent>
  </w:sdt>
  <w:p w:rsidR="008902D6" w:rsidRDefault="00890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C20"/>
    <w:multiLevelType w:val="hybridMultilevel"/>
    <w:tmpl w:val="7222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4E28"/>
    <w:multiLevelType w:val="hybridMultilevel"/>
    <w:tmpl w:val="43E0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D160A"/>
    <w:multiLevelType w:val="hybridMultilevel"/>
    <w:tmpl w:val="E79007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210D"/>
    <w:multiLevelType w:val="hybridMultilevel"/>
    <w:tmpl w:val="52BA3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B7FC9"/>
    <w:multiLevelType w:val="multilevel"/>
    <w:tmpl w:val="B5FAEC82"/>
    <w:lvl w:ilvl="0">
      <w:start w:val="1"/>
      <w:numFmt w:val="decimal"/>
      <w:pStyle w:val="Chapter"/>
      <w:lvlText w:val="%1"/>
      <w:lvlJc w:val="left"/>
      <w:pPr>
        <w:ind w:left="3312" w:hanging="432"/>
      </w:pPr>
      <w:rPr>
        <w:rFonts w:hint="default"/>
        <w:b/>
        <w:i w:val="0"/>
      </w:rPr>
    </w:lvl>
    <w:lvl w:ilvl="1">
      <w:start w:val="1"/>
      <w:numFmt w:val="decimal"/>
      <w:lvlText w:val="%1.%2"/>
      <w:lvlJc w:val="left"/>
      <w:pPr>
        <w:ind w:left="3456" w:hanging="576"/>
      </w:pPr>
      <w:rPr>
        <w:rFonts w:hint="default"/>
        <w:b w:val="0"/>
        <w:i w:val="0"/>
        <w:u w:val="none"/>
      </w:rPr>
    </w:lvl>
    <w:lvl w:ilvl="2">
      <w:start w:val="1"/>
      <w:numFmt w:val="decimal"/>
      <w:pStyle w:val="Heading3"/>
      <w:lvlText w:val="%1.%2.%3"/>
      <w:lvlJc w:val="left"/>
      <w:pPr>
        <w:ind w:left="3600" w:hanging="720"/>
      </w:pPr>
      <w:rPr>
        <w:b w:val="0"/>
        <w:u w:val="none"/>
      </w:rPr>
    </w:lvl>
    <w:lvl w:ilvl="3">
      <w:start w:val="1"/>
      <w:numFmt w:val="decimal"/>
      <w:pStyle w:val="Heading4"/>
      <w:lvlText w:val="%1.%2.%3.%4"/>
      <w:lvlJc w:val="left"/>
      <w:pPr>
        <w:ind w:left="3744" w:hanging="864"/>
      </w:pPr>
      <w:rPr>
        <w:rFonts w:hint="default"/>
        <w:u w:val="none"/>
      </w:rPr>
    </w:lvl>
    <w:lvl w:ilvl="4">
      <w:start w:val="1"/>
      <w:numFmt w:val="decimal"/>
      <w:pStyle w:val="Heading5"/>
      <w:lvlText w:val="%1.%2.%3.%4.%5"/>
      <w:lvlJc w:val="left"/>
      <w:pPr>
        <w:ind w:left="3888" w:hanging="1008"/>
      </w:pPr>
      <w:rPr>
        <w:rFonts w:hint="default"/>
        <w:u w:val="none"/>
      </w:rPr>
    </w:lvl>
    <w:lvl w:ilvl="5">
      <w:start w:val="1"/>
      <w:numFmt w:val="decimal"/>
      <w:pStyle w:val="Heading6"/>
      <w:lvlText w:val="%1.%2.%3.%4.%5.%6"/>
      <w:lvlJc w:val="left"/>
      <w:pPr>
        <w:ind w:left="4032" w:hanging="1152"/>
      </w:pPr>
      <w:rPr>
        <w:rFonts w:hint="default"/>
        <w:u w:val="none"/>
      </w:rPr>
    </w:lvl>
    <w:lvl w:ilvl="6">
      <w:start w:val="1"/>
      <w:numFmt w:val="decimal"/>
      <w:pStyle w:val="Heading7"/>
      <w:lvlText w:val="%1.%2.%3.%4.%5.%6.%7"/>
      <w:lvlJc w:val="left"/>
      <w:pPr>
        <w:ind w:left="4176" w:hanging="1296"/>
      </w:pPr>
      <w:rPr>
        <w:rFonts w:hint="default"/>
        <w:u w:val="none"/>
      </w:rPr>
    </w:lvl>
    <w:lvl w:ilvl="7">
      <w:start w:val="1"/>
      <w:numFmt w:val="decimal"/>
      <w:pStyle w:val="Heading8"/>
      <w:lvlText w:val="%1.%2.%3.%4.%5.%6.%7.%8"/>
      <w:lvlJc w:val="left"/>
      <w:pPr>
        <w:ind w:left="4320" w:hanging="1440"/>
      </w:pPr>
      <w:rPr>
        <w:rFonts w:hint="default"/>
        <w:u w:val="none"/>
      </w:rPr>
    </w:lvl>
    <w:lvl w:ilvl="8">
      <w:start w:val="1"/>
      <w:numFmt w:val="decimal"/>
      <w:pStyle w:val="Heading9"/>
      <w:lvlText w:val="%1.%2.%3.%4.%5.%6.%7.%8.%9"/>
      <w:lvlJc w:val="left"/>
      <w:pPr>
        <w:ind w:left="4464" w:hanging="1584"/>
      </w:pPr>
      <w:rPr>
        <w:rFonts w:hint="default"/>
        <w:u w:val="none"/>
      </w:rPr>
    </w:lvl>
  </w:abstractNum>
  <w:abstractNum w:abstractNumId="5">
    <w:nsid w:val="0E6152FD"/>
    <w:multiLevelType w:val="hybridMultilevel"/>
    <w:tmpl w:val="14A41608"/>
    <w:lvl w:ilvl="0" w:tplc="04090013">
      <w:start w:val="1"/>
      <w:numFmt w:val="upperRoman"/>
      <w:lvlText w:val="%1."/>
      <w:lvlJc w:val="right"/>
      <w:pPr>
        <w:ind w:left="108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72557"/>
    <w:multiLevelType w:val="hybridMultilevel"/>
    <w:tmpl w:val="596285F0"/>
    <w:lvl w:ilvl="0" w:tplc="034CD238">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94410"/>
    <w:multiLevelType w:val="hybridMultilevel"/>
    <w:tmpl w:val="D9A0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E5478"/>
    <w:multiLevelType w:val="hybridMultilevel"/>
    <w:tmpl w:val="CC10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37ACB"/>
    <w:multiLevelType w:val="hybridMultilevel"/>
    <w:tmpl w:val="0BCC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A1D00"/>
    <w:multiLevelType w:val="hybridMultilevel"/>
    <w:tmpl w:val="6DE8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5684A"/>
    <w:multiLevelType w:val="hybridMultilevel"/>
    <w:tmpl w:val="40742E5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72F6CDA"/>
    <w:multiLevelType w:val="hybridMultilevel"/>
    <w:tmpl w:val="14460F48"/>
    <w:lvl w:ilvl="0" w:tplc="965CF4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A3BA7"/>
    <w:multiLevelType w:val="hybridMultilevel"/>
    <w:tmpl w:val="614AC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4232B"/>
    <w:multiLevelType w:val="hybridMultilevel"/>
    <w:tmpl w:val="694E737E"/>
    <w:lvl w:ilvl="0" w:tplc="8FF89194">
      <w:start w:val="1"/>
      <w:numFmt w:val="decimal"/>
      <w:pStyle w:val="Banknumbered"/>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2CEB6DEC"/>
    <w:multiLevelType w:val="hybridMultilevel"/>
    <w:tmpl w:val="01CA1B4C"/>
    <w:lvl w:ilvl="0" w:tplc="B34615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B3A"/>
    <w:multiLevelType w:val="hybridMultilevel"/>
    <w:tmpl w:val="5CAA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F3D86"/>
    <w:multiLevelType w:val="hybridMultilevel"/>
    <w:tmpl w:val="0B04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D4694"/>
    <w:multiLevelType w:val="hybridMultilevel"/>
    <w:tmpl w:val="969429B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88052D7"/>
    <w:multiLevelType w:val="hybridMultilevel"/>
    <w:tmpl w:val="83FA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6028D2"/>
    <w:multiLevelType w:val="multilevel"/>
    <w:tmpl w:val="50A8C77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D3014EE"/>
    <w:multiLevelType w:val="hybridMultilevel"/>
    <w:tmpl w:val="992A5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51AB3"/>
    <w:multiLevelType w:val="hybridMultilevel"/>
    <w:tmpl w:val="108E6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C2055"/>
    <w:multiLevelType w:val="hybridMultilevel"/>
    <w:tmpl w:val="3EAA7A8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nsid w:val="4B663ED2"/>
    <w:multiLevelType w:val="hybridMultilevel"/>
    <w:tmpl w:val="C660DD10"/>
    <w:lvl w:ilvl="0" w:tplc="85D85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15507"/>
    <w:multiLevelType w:val="hybridMultilevel"/>
    <w:tmpl w:val="4D94B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A785A"/>
    <w:multiLevelType w:val="hybridMultilevel"/>
    <w:tmpl w:val="DEC266C6"/>
    <w:lvl w:ilvl="0" w:tplc="3350DD40">
      <w:start w:val="1"/>
      <w:numFmt w:val="bullet"/>
      <w:pStyle w:val="Bullet"/>
      <w:lvlText w:val=""/>
      <w:lvlJc w:val="left"/>
      <w:pPr>
        <w:ind w:left="720" w:hanging="360"/>
      </w:pPr>
      <w:rPr>
        <w:rFonts w:ascii="Symbol" w:hAnsi="Symbol" w:hint="default"/>
      </w:rPr>
    </w:lvl>
    <w:lvl w:ilvl="1" w:tplc="60F03C78" w:tentative="1">
      <w:start w:val="1"/>
      <w:numFmt w:val="bullet"/>
      <w:lvlText w:val="o"/>
      <w:lvlJc w:val="left"/>
      <w:pPr>
        <w:ind w:left="1440" w:hanging="360"/>
      </w:pPr>
      <w:rPr>
        <w:rFonts w:ascii="Courier New" w:hAnsi="Courier New" w:cs="Courier New" w:hint="default"/>
      </w:rPr>
    </w:lvl>
    <w:lvl w:ilvl="2" w:tplc="354633F6" w:tentative="1">
      <w:start w:val="1"/>
      <w:numFmt w:val="bullet"/>
      <w:lvlText w:val=""/>
      <w:lvlJc w:val="left"/>
      <w:pPr>
        <w:ind w:left="2160" w:hanging="360"/>
      </w:pPr>
      <w:rPr>
        <w:rFonts w:ascii="Wingdings" w:hAnsi="Wingdings" w:hint="default"/>
      </w:rPr>
    </w:lvl>
    <w:lvl w:ilvl="3" w:tplc="DA28CC36" w:tentative="1">
      <w:start w:val="1"/>
      <w:numFmt w:val="bullet"/>
      <w:lvlText w:val=""/>
      <w:lvlJc w:val="left"/>
      <w:pPr>
        <w:ind w:left="2880" w:hanging="360"/>
      </w:pPr>
      <w:rPr>
        <w:rFonts w:ascii="Symbol" w:hAnsi="Symbol" w:hint="default"/>
      </w:rPr>
    </w:lvl>
    <w:lvl w:ilvl="4" w:tplc="C11612AC" w:tentative="1">
      <w:start w:val="1"/>
      <w:numFmt w:val="bullet"/>
      <w:lvlText w:val="o"/>
      <w:lvlJc w:val="left"/>
      <w:pPr>
        <w:ind w:left="3600" w:hanging="360"/>
      </w:pPr>
      <w:rPr>
        <w:rFonts w:ascii="Courier New" w:hAnsi="Courier New" w:cs="Courier New" w:hint="default"/>
      </w:rPr>
    </w:lvl>
    <w:lvl w:ilvl="5" w:tplc="D004A94C" w:tentative="1">
      <w:start w:val="1"/>
      <w:numFmt w:val="bullet"/>
      <w:lvlText w:val=""/>
      <w:lvlJc w:val="left"/>
      <w:pPr>
        <w:ind w:left="4320" w:hanging="360"/>
      </w:pPr>
      <w:rPr>
        <w:rFonts w:ascii="Wingdings" w:hAnsi="Wingdings" w:hint="default"/>
      </w:rPr>
    </w:lvl>
    <w:lvl w:ilvl="6" w:tplc="3DECEE64" w:tentative="1">
      <w:start w:val="1"/>
      <w:numFmt w:val="bullet"/>
      <w:lvlText w:val=""/>
      <w:lvlJc w:val="left"/>
      <w:pPr>
        <w:ind w:left="5040" w:hanging="360"/>
      </w:pPr>
      <w:rPr>
        <w:rFonts w:ascii="Symbol" w:hAnsi="Symbol" w:hint="default"/>
      </w:rPr>
    </w:lvl>
    <w:lvl w:ilvl="7" w:tplc="2C60BDBC" w:tentative="1">
      <w:start w:val="1"/>
      <w:numFmt w:val="bullet"/>
      <w:lvlText w:val="o"/>
      <w:lvlJc w:val="left"/>
      <w:pPr>
        <w:ind w:left="5760" w:hanging="360"/>
      </w:pPr>
      <w:rPr>
        <w:rFonts w:ascii="Courier New" w:hAnsi="Courier New" w:cs="Courier New" w:hint="default"/>
      </w:rPr>
    </w:lvl>
    <w:lvl w:ilvl="8" w:tplc="73D421B6" w:tentative="1">
      <w:start w:val="1"/>
      <w:numFmt w:val="bullet"/>
      <w:lvlText w:val=""/>
      <w:lvlJc w:val="left"/>
      <w:pPr>
        <w:ind w:left="6480" w:hanging="360"/>
      </w:pPr>
      <w:rPr>
        <w:rFonts w:ascii="Wingdings" w:hAnsi="Wingdings" w:hint="default"/>
      </w:rPr>
    </w:lvl>
  </w:abstractNum>
  <w:abstractNum w:abstractNumId="27">
    <w:nsid w:val="5C5B5852"/>
    <w:multiLevelType w:val="hybridMultilevel"/>
    <w:tmpl w:val="1C625D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30CC3"/>
    <w:multiLevelType w:val="hybridMultilevel"/>
    <w:tmpl w:val="2D78D31C"/>
    <w:lvl w:ilvl="0" w:tplc="72D251C4">
      <w:start w:val="1"/>
      <w:numFmt w:val="lowerRoman"/>
      <w:lvlText w:val="(%1)"/>
      <w:lvlJc w:val="left"/>
      <w:pPr>
        <w:ind w:left="1485" w:hanging="72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5E8609BB"/>
    <w:multiLevelType w:val="hybridMultilevel"/>
    <w:tmpl w:val="F8601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45D08"/>
    <w:multiLevelType w:val="hybridMultilevel"/>
    <w:tmpl w:val="E7E4C91C"/>
    <w:lvl w:ilvl="0" w:tplc="04090019">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1">
    <w:nsid w:val="65716C41"/>
    <w:multiLevelType w:val="hybridMultilevel"/>
    <w:tmpl w:val="A8484FD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21F51"/>
    <w:multiLevelType w:val="hybridMultilevel"/>
    <w:tmpl w:val="257C6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B27DF"/>
    <w:multiLevelType w:val="hybridMultilevel"/>
    <w:tmpl w:val="8D3E24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1122B"/>
    <w:multiLevelType w:val="hybridMultilevel"/>
    <w:tmpl w:val="762E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E4C80"/>
    <w:multiLevelType w:val="hybridMultilevel"/>
    <w:tmpl w:val="9164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60489"/>
    <w:multiLevelType w:val="multilevel"/>
    <w:tmpl w:val="5A668FE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nsid w:val="6E853B80"/>
    <w:multiLevelType w:val="hybridMultilevel"/>
    <w:tmpl w:val="CF34B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901166"/>
    <w:multiLevelType w:val="hybridMultilevel"/>
    <w:tmpl w:val="2F24E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F3732"/>
    <w:multiLevelType w:val="hybridMultilevel"/>
    <w:tmpl w:val="403CBF04"/>
    <w:lvl w:ilvl="0" w:tplc="8E1C5CE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6F7765"/>
    <w:multiLevelType w:val="hybridMultilevel"/>
    <w:tmpl w:val="5908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B2670"/>
    <w:multiLevelType w:val="hybridMultilevel"/>
    <w:tmpl w:val="C0FE42A4"/>
    <w:lvl w:ilvl="0" w:tplc="0EE6D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0"/>
  </w:num>
  <w:num w:numId="4">
    <w:abstractNumId w:val="14"/>
  </w:num>
  <w:num w:numId="5">
    <w:abstractNumId w:val="26"/>
  </w:num>
  <w:num w:numId="6">
    <w:abstractNumId w:val="7"/>
  </w:num>
  <w:num w:numId="7">
    <w:abstractNumId w:val="19"/>
  </w:num>
  <w:num w:numId="8">
    <w:abstractNumId w:val="27"/>
  </w:num>
  <w:num w:numId="9">
    <w:abstractNumId w:val="11"/>
  </w:num>
  <w:num w:numId="10">
    <w:abstractNumId w:val="4"/>
  </w:num>
  <w:num w:numId="11">
    <w:abstractNumId w:val="36"/>
  </w:num>
  <w:num w:numId="12">
    <w:abstractNumId w:val="20"/>
  </w:num>
  <w:num w:numId="13">
    <w:abstractNumId w:val="3"/>
  </w:num>
  <w:num w:numId="14">
    <w:abstractNumId w:val="13"/>
  </w:num>
  <w:num w:numId="15">
    <w:abstractNumId w:val="38"/>
  </w:num>
  <w:num w:numId="16">
    <w:abstractNumId w:val="18"/>
  </w:num>
  <w:num w:numId="17">
    <w:abstractNumId w:val="33"/>
  </w:num>
  <w:num w:numId="18">
    <w:abstractNumId w:val="6"/>
  </w:num>
  <w:num w:numId="19">
    <w:abstractNumId w:val="10"/>
  </w:num>
  <w:num w:numId="20">
    <w:abstractNumId w:val="31"/>
  </w:num>
  <w:num w:numId="21">
    <w:abstractNumId w:val="40"/>
  </w:num>
  <w:num w:numId="22">
    <w:abstractNumId w:val="9"/>
  </w:num>
  <w:num w:numId="23">
    <w:abstractNumId w:val="16"/>
  </w:num>
  <w:num w:numId="24">
    <w:abstractNumId w:val="0"/>
  </w:num>
  <w:num w:numId="25">
    <w:abstractNumId w:val="29"/>
  </w:num>
  <w:num w:numId="26">
    <w:abstractNumId w:val="25"/>
  </w:num>
  <w:num w:numId="27">
    <w:abstractNumId w:val="17"/>
  </w:num>
  <w:num w:numId="28">
    <w:abstractNumId w:val="1"/>
  </w:num>
  <w:num w:numId="29">
    <w:abstractNumId w:val="35"/>
  </w:num>
  <w:num w:numId="30">
    <w:abstractNumId w:val="22"/>
  </w:num>
  <w:num w:numId="31">
    <w:abstractNumId w:val="34"/>
  </w:num>
  <w:num w:numId="32">
    <w:abstractNumId w:val="32"/>
  </w:num>
  <w:num w:numId="33">
    <w:abstractNumId w:val="23"/>
  </w:num>
  <w:num w:numId="34">
    <w:abstractNumId w:val="24"/>
  </w:num>
  <w:num w:numId="35">
    <w:abstractNumId w:val="15"/>
  </w:num>
  <w:num w:numId="36">
    <w:abstractNumId w:val="41"/>
  </w:num>
  <w:num w:numId="37">
    <w:abstractNumId w:val="37"/>
  </w:num>
  <w:num w:numId="38">
    <w:abstractNumId w:val="28"/>
  </w:num>
  <w:num w:numId="39">
    <w:abstractNumId w:val="8"/>
  </w:num>
  <w:num w:numId="40">
    <w:abstractNumId w:val="6"/>
    <w:lvlOverride w:ilvl="0">
      <w:startOverride w:val="1"/>
    </w:lvlOverride>
  </w:num>
  <w:num w:numId="41">
    <w:abstractNumId w:val="6"/>
    <w:lvlOverride w:ilvl="0">
      <w:startOverride w:val="1"/>
    </w:lvlOverride>
  </w:num>
  <w:num w:numId="42">
    <w:abstractNumId w:val="2"/>
  </w:num>
  <w:num w:numId="43">
    <w:abstractNumId w:val="12"/>
  </w:num>
  <w:num w:numId="44">
    <w:abstractNumId w:val="39"/>
  </w:num>
  <w:num w:numId="4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49"/>
    <w:rsid w:val="000036A1"/>
    <w:rsid w:val="00004201"/>
    <w:rsid w:val="00005C0E"/>
    <w:rsid w:val="0001275C"/>
    <w:rsid w:val="00012B2D"/>
    <w:rsid w:val="00013071"/>
    <w:rsid w:val="00013923"/>
    <w:rsid w:val="00015B76"/>
    <w:rsid w:val="00025A56"/>
    <w:rsid w:val="00027E42"/>
    <w:rsid w:val="00030409"/>
    <w:rsid w:val="00041EFA"/>
    <w:rsid w:val="00044ED3"/>
    <w:rsid w:val="00047193"/>
    <w:rsid w:val="00063F2E"/>
    <w:rsid w:val="00070A37"/>
    <w:rsid w:val="00083E53"/>
    <w:rsid w:val="000841B5"/>
    <w:rsid w:val="00084C34"/>
    <w:rsid w:val="0008752D"/>
    <w:rsid w:val="000943BE"/>
    <w:rsid w:val="00095729"/>
    <w:rsid w:val="000969DA"/>
    <w:rsid w:val="000B4DEB"/>
    <w:rsid w:val="000B635C"/>
    <w:rsid w:val="000C6DEE"/>
    <w:rsid w:val="000D5054"/>
    <w:rsid w:val="000D5584"/>
    <w:rsid w:val="000E27A0"/>
    <w:rsid w:val="000E36BB"/>
    <w:rsid w:val="000E5252"/>
    <w:rsid w:val="000E7E14"/>
    <w:rsid w:val="001025B2"/>
    <w:rsid w:val="001225D8"/>
    <w:rsid w:val="00122B61"/>
    <w:rsid w:val="001242D4"/>
    <w:rsid w:val="00127C1C"/>
    <w:rsid w:val="00130CF3"/>
    <w:rsid w:val="00132F6C"/>
    <w:rsid w:val="00143586"/>
    <w:rsid w:val="00151031"/>
    <w:rsid w:val="00156DB7"/>
    <w:rsid w:val="00161FB9"/>
    <w:rsid w:val="00165871"/>
    <w:rsid w:val="00184745"/>
    <w:rsid w:val="00193873"/>
    <w:rsid w:val="00193AA4"/>
    <w:rsid w:val="001A0418"/>
    <w:rsid w:val="001A27C6"/>
    <w:rsid w:val="001A50B1"/>
    <w:rsid w:val="001A55FE"/>
    <w:rsid w:val="001B5B08"/>
    <w:rsid w:val="001C1A5A"/>
    <w:rsid w:val="001C2E22"/>
    <w:rsid w:val="001C3331"/>
    <w:rsid w:val="001C7C08"/>
    <w:rsid w:val="001D1300"/>
    <w:rsid w:val="001E47F8"/>
    <w:rsid w:val="001E706E"/>
    <w:rsid w:val="001F7EB2"/>
    <w:rsid w:val="00201F4C"/>
    <w:rsid w:val="00202F8A"/>
    <w:rsid w:val="0020475C"/>
    <w:rsid w:val="00216636"/>
    <w:rsid w:val="00242423"/>
    <w:rsid w:val="00242485"/>
    <w:rsid w:val="00244E7B"/>
    <w:rsid w:val="00251E63"/>
    <w:rsid w:val="00252121"/>
    <w:rsid w:val="0025439B"/>
    <w:rsid w:val="00255FD0"/>
    <w:rsid w:val="00256B20"/>
    <w:rsid w:val="00257410"/>
    <w:rsid w:val="00257C32"/>
    <w:rsid w:val="00272A50"/>
    <w:rsid w:val="00272B08"/>
    <w:rsid w:val="00280BC6"/>
    <w:rsid w:val="00284872"/>
    <w:rsid w:val="0028499B"/>
    <w:rsid w:val="002850B2"/>
    <w:rsid w:val="00292529"/>
    <w:rsid w:val="002A043E"/>
    <w:rsid w:val="002A3A98"/>
    <w:rsid w:val="002B3E11"/>
    <w:rsid w:val="002B68E6"/>
    <w:rsid w:val="002C2BF1"/>
    <w:rsid w:val="002C5263"/>
    <w:rsid w:val="002C6B86"/>
    <w:rsid w:val="002C6D38"/>
    <w:rsid w:val="002D29A3"/>
    <w:rsid w:val="002D5BDA"/>
    <w:rsid w:val="002D631B"/>
    <w:rsid w:val="002E1011"/>
    <w:rsid w:val="002F5279"/>
    <w:rsid w:val="003002B4"/>
    <w:rsid w:val="00301363"/>
    <w:rsid w:val="00305577"/>
    <w:rsid w:val="0031540E"/>
    <w:rsid w:val="00331530"/>
    <w:rsid w:val="003422FC"/>
    <w:rsid w:val="00345BFE"/>
    <w:rsid w:val="003474D4"/>
    <w:rsid w:val="003478F0"/>
    <w:rsid w:val="00355D05"/>
    <w:rsid w:val="00357AF4"/>
    <w:rsid w:val="003607EF"/>
    <w:rsid w:val="00360EEF"/>
    <w:rsid w:val="00362CD4"/>
    <w:rsid w:val="00374685"/>
    <w:rsid w:val="00381241"/>
    <w:rsid w:val="00381ECE"/>
    <w:rsid w:val="003870B9"/>
    <w:rsid w:val="00392606"/>
    <w:rsid w:val="0039528C"/>
    <w:rsid w:val="003A3ECE"/>
    <w:rsid w:val="003A5EF4"/>
    <w:rsid w:val="003B23D4"/>
    <w:rsid w:val="003C19C1"/>
    <w:rsid w:val="003D28FC"/>
    <w:rsid w:val="003D2C8C"/>
    <w:rsid w:val="003D6F2A"/>
    <w:rsid w:val="003E2765"/>
    <w:rsid w:val="003E6371"/>
    <w:rsid w:val="003F09D8"/>
    <w:rsid w:val="003F7E17"/>
    <w:rsid w:val="00400ADA"/>
    <w:rsid w:val="00403F13"/>
    <w:rsid w:val="0040592F"/>
    <w:rsid w:val="00414809"/>
    <w:rsid w:val="00416DB4"/>
    <w:rsid w:val="0041700D"/>
    <w:rsid w:val="00420612"/>
    <w:rsid w:val="00421335"/>
    <w:rsid w:val="0042732D"/>
    <w:rsid w:val="004369F5"/>
    <w:rsid w:val="00454CAD"/>
    <w:rsid w:val="004646FD"/>
    <w:rsid w:val="00466F75"/>
    <w:rsid w:val="004709CE"/>
    <w:rsid w:val="00473741"/>
    <w:rsid w:val="00486A66"/>
    <w:rsid w:val="004915D2"/>
    <w:rsid w:val="004A1F3A"/>
    <w:rsid w:val="004B6546"/>
    <w:rsid w:val="004C659E"/>
    <w:rsid w:val="004D1F11"/>
    <w:rsid w:val="004D679E"/>
    <w:rsid w:val="004E2A75"/>
    <w:rsid w:val="004E2E9F"/>
    <w:rsid w:val="004E63BD"/>
    <w:rsid w:val="004E6A6D"/>
    <w:rsid w:val="004F058B"/>
    <w:rsid w:val="004F320D"/>
    <w:rsid w:val="004F5EED"/>
    <w:rsid w:val="004F7A2A"/>
    <w:rsid w:val="00502C8B"/>
    <w:rsid w:val="00502E8F"/>
    <w:rsid w:val="00503260"/>
    <w:rsid w:val="005118B5"/>
    <w:rsid w:val="00515C28"/>
    <w:rsid w:val="00534872"/>
    <w:rsid w:val="00537C24"/>
    <w:rsid w:val="00542C47"/>
    <w:rsid w:val="00544379"/>
    <w:rsid w:val="00544642"/>
    <w:rsid w:val="00545C40"/>
    <w:rsid w:val="005512CC"/>
    <w:rsid w:val="00553122"/>
    <w:rsid w:val="005566AB"/>
    <w:rsid w:val="00557251"/>
    <w:rsid w:val="00562F17"/>
    <w:rsid w:val="00566B5F"/>
    <w:rsid w:val="005711FC"/>
    <w:rsid w:val="00572754"/>
    <w:rsid w:val="005728D2"/>
    <w:rsid w:val="00575594"/>
    <w:rsid w:val="00584F64"/>
    <w:rsid w:val="00586BCD"/>
    <w:rsid w:val="005968A4"/>
    <w:rsid w:val="005A0654"/>
    <w:rsid w:val="005B19BF"/>
    <w:rsid w:val="005B40C6"/>
    <w:rsid w:val="005B7B74"/>
    <w:rsid w:val="005B7E0A"/>
    <w:rsid w:val="005C1207"/>
    <w:rsid w:val="005C3A8F"/>
    <w:rsid w:val="005D065A"/>
    <w:rsid w:val="005E02FF"/>
    <w:rsid w:val="005F1037"/>
    <w:rsid w:val="006003BD"/>
    <w:rsid w:val="00600CCA"/>
    <w:rsid w:val="00607F2B"/>
    <w:rsid w:val="006131EF"/>
    <w:rsid w:val="00616C51"/>
    <w:rsid w:val="00622B81"/>
    <w:rsid w:val="006257C4"/>
    <w:rsid w:val="006267A1"/>
    <w:rsid w:val="0063199D"/>
    <w:rsid w:val="0063793F"/>
    <w:rsid w:val="0064679C"/>
    <w:rsid w:val="00650E9B"/>
    <w:rsid w:val="00653098"/>
    <w:rsid w:val="00662F41"/>
    <w:rsid w:val="0067216F"/>
    <w:rsid w:val="00682849"/>
    <w:rsid w:val="006840BC"/>
    <w:rsid w:val="006913F7"/>
    <w:rsid w:val="006A1D7D"/>
    <w:rsid w:val="006A2512"/>
    <w:rsid w:val="006B3F1C"/>
    <w:rsid w:val="006B5F01"/>
    <w:rsid w:val="006B6A6B"/>
    <w:rsid w:val="006D02D7"/>
    <w:rsid w:val="006D42E0"/>
    <w:rsid w:val="006E3D4B"/>
    <w:rsid w:val="006E6BB2"/>
    <w:rsid w:val="006E6FFF"/>
    <w:rsid w:val="006F342C"/>
    <w:rsid w:val="006F7289"/>
    <w:rsid w:val="006F75D3"/>
    <w:rsid w:val="00710352"/>
    <w:rsid w:val="00721EBC"/>
    <w:rsid w:val="00737347"/>
    <w:rsid w:val="00741077"/>
    <w:rsid w:val="00752FAC"/>
    <w:rsid w:val="00754129"/>
    <w:rsid w:val="007747F9"/>
    <w:rsid w:val="0077483A"/>
    <w:rsid w:val="007811A9"/>
    <w:rsid w:val="0078343E"/>
    <w:rsid w:val="007920F6"/>
    <w:rsid w:val="007A14FE"/>
    <w:rsid w:val="007A1D4C"/>
    <w:rsid w:val="007A28AA"/>
    <w:rsid w:val="007A5894"/>
    <w:rsid w:val="007C18C4"/>
    <w:rsid w:val="007C7552"/>
    <w:rsid w:val="007D3100"/>
    <w:rsid w:val="007D34E5"/>
    <w:rsid w:val="007D4CA8"/>
    <w:rsid w:val="007E12A2"/>
    <w:rsid w:val="007E563C"/>
    <w:rsid w:val="007E5C9D"/>
    <w:rsid w:val="007E67A7"/>
    <w:rsid w:val="00803842"/>
    <w:rsid w:val="00816667"/>
    <w:rsid w:val="00821184"/>
    <w:rsid w:val="00821ADA"/>
    <w:rsid w:val="008238A3"/>
    <w:rsid w:val="008360DE"/>
    <w:rsid w:val="0084257C"/>
    <w:rsid w:val="008453EC"/>
    <w:rsid w:val="00847FD3"/>
    <w:rsid w:val="00850DA4"/>
    <w:rsid w:val="00862551"/>
    <w:rsid w:val="00865BDA"/>
    <w:rsid w:val="00871A51"/>
    <w:rsid w:val="00871EFA"/>
    <w:rsid w:val="00873FDC"/>
    <w:rsid w:val="0087412D"/>
    <w:rsid w:val="00876FEC"/>
    <w:rsid w:val="008841DE"/>
    <w:rsid w:val="008856C5"/>
    <w:rsid w:val="00890118"/>
    <w:rsid w:val="008902D6"/>
    <w:rsid w:val="00895FC0"/>
    <w:rsid w:val="0089799C"/>
    <w:rsid w:val="008A1B6D"/>
    <w:rsid w:val="008B0508"/>
    <w:rsid w:val="008B7E4C"/>
    <w:rsid w:val="008C5169"/>
    <w:rsid w:val="008C5EA3"/>
    <w:rsid w:val="008D15B5"/>
    <w:rsid w:val="008E15D2"/>
    <w:rsid w:val="008F0261"/>
    <w:rsid w:val="009010A5"/>
    <w:rsid w:val="00902C67"/>
    <w:rsid w:val="00907D63"/>
    <w:rsid w:val="00914712"/>
    <w:rsid w:val="00927E0C"/>
    <w:rsid w:val="00947C7E"/>
    <w:rsid w:val="00952127"/>
    <w:rsid w:val="009625B1"/>
    <w:rsid w:val="00962C18"/>
    <w:rsid w:val="00964F15"/>
    <w:rsid w:val="00966E10"/>
    <w:rsid w:val="009732B5"/>
    <w:rsid w:val="00983157"/>
    <w:rsid w:val="00997C41"/>
    <w:rsid w:val="009A2157"/>
    <w:rsid w:val="009B17E0"/>
    <w:rsid w:val="009B1DFC"/>
    <w:rsid w:val="009B460B"/>
    <w:rsid w:val="009C19FF"/>
    <w:rsid w:val="009C5D98"/>
    <w:rsid w:val="009C6F9D"/>
    <w:rsid w:val="009D017F"/>
    <w:rsid w:val="009D0516"/>
    <w:rsid w:val="009D0B0C"/>
    <w:rsid w:val="009D3F4E"/>
    <w:rsid w:val="009D4CC0"/>
    <w:rsid w:val="009E39D5"/>
    <w:rsid w:val="00A0346A"/>
    <w:rsid w:val="00A0380E"/>
    <w:rsid w:val="00A11A26"/>
    <w:rsid w:val="00A2364B"/>
    <w:rsid w:val="00A30379"/>
    <w:rsid w:val="00A41597"/>
    <w:rsid w:val="00A45622"/>
    <w:rsid w:val="00A47BE0"/>
    <w:rsid w:val="00A5054C"/>
    <w:rsid w:val="00A51222"/>
    <w:rsid w:val="00A53C68"/>
    <w:rsid w:val="00A5553A"/>
    <w:rsid w:val="00A6070C"/>
    <w:rsid w:val="00A61EE7"/>
    <w:rsid w:val="00A66A3A"/>
    <w:rsid w:val="00A7377F"/>
    <w:rsid w:val="00A74561"/>
    <w:rsid w:val="00A75536"/>
    <w:rsid w:val="00A7553A"/>
    <w:rsid w:val="00A77AA1"/>
    <w:rsid w:val="00A80F1E"/>
    <w:rsid w:val="00A9486E"/>
    <w:rsid w:val="00A95CD8"/>
    <w:rsid w:val="00A9782F"/>
    <w:rsid w:val="00AB12CA"/>
    <w:rsid w:val="00AB303C"/>
    <w:rsid w:val="00AB5AFA"/>
    <w:rsid w:val="00AD1292"/>
    <w:rsid w:val="00AD244B"/>
    <w:rsid w:val="00AD2910"/>
    <w:rsid w:val="00AD55EA"/>
    <w:rsid w:val="00AD5BAC"/>
    <w:rsid w:val="00B00250"/>
    <w:rsid w:val="00B02A3B"/>
    <w:rsid w:val="00B05616"/>
    <w:rsid w:val="00B13681"/>
    <w:rsid w:val="00B139AC"/>
    <w:rsid w:val="00B24F7D"/>
    <w:rsid w:val="00B32A4D"/>
    <w:rsid w:val="00B33041"/>
    <w:rsid w:val="00B3651C"/>
    <w:rsid w:val="00B45A32"/>
    <w:rsid w:val="00B623BC"/>
    <w:rsid w:val="00B701DB"/>
    <w:rsid w:val="00B7182C"/>
    <w:rsid w:val="00B862B9"/>
    <w:rsid w:val="00B95B82"/>
    <w:rsid w:val="00BB0873"/>
    <w:rsid w:val="00BB0B7F"/>
    <w:rsid w:val="00BB2438"/>
    <w:rsid w:val="00BC3594"/>
    <w:rsid w:val="00BE3D6C"/>
    <w:rsid w:val="00BF0BAC"/>
    <w:rsid w:val="00BF2C40"/>
    <w:rsid w:val="00BF6F36"/>
    <w:rsid w:val="00C0141A"/>
    <w:rsid w:val="00C024B5"/>
    <w:rsid w:val="00C03712"/>
    <w:rsid w:val="00C1026F"/>
    <w:rsid w:val="00C110C7"/>
    <w:rsid w:val="00C144D7"/>
    <w:rsid w:val="00C17FD1"/>
    <w:rsid w:val="00C23D32"/>
    <w:rsid w:val="00C3752D"/>
    <w:rsid w:val="00C414B7"/>
    <w:rsid w:val="00C41BC8"/>
    <w:rsid w:val="00C4723A"/>
    <w:rsid w:val="00C47BD6"/>
    <w:rsid w:val="00C50DB9"/>
    <w:rsid w:val="00C53503"/>
    <w:rsid w:val="00C60C81"/>
    <w:rsid w:val="00C6187F"/>
    <w:rsid w:val="00C665CC"/>
    <w:rsid w:val="00C6699E"/>
    <w:rsid w:val="00C74006"/>
    <w:rsid w:val="00C84327"/>
    <w:rsid w:val="00C95915"/>
    <w:rsid w:val="00CA0F11"/>
    <w:rsid w:val="00CA3C59"/>
    <w:rsid w:val="00CA4F81"/>
    <w:rsid w:val="00CA5ACD"/>
    <w:rsid w:val="00CB0E04"/>
    <w:rsid w:val="00CB1529"/>
    <w:rsid w:val="00CB2A6A"/>
    <w:rsid w:val="00CE0992"/>
    <w:rsid w:val="00CE2719"/>
    <w:rsid w:val="00CF0A4C"/>
    <w:rsid w:val="00D01A89"/>
    <w:rsid w:val="00D0502F"/>
    <w:rsid w:val="00D07EBC"/>
    <w:rsid w:val="00D139D1"/>
    <w:rsid w:val="00D20790"/>
    <w:rsid w:val="00D35DEA"/>
    <w:rsid w:val="00D4104B"/>
    <w:rsid w:val="00D56F7A"/>
    <w:rsid w:val="00D57765"/>
    <w:rsid w:val="00D617F6"/>
    <w:rsid w:val="00D65B88"/>
    <w:rsid w:val="00D81DE9"/>
    <w:rsid w:val="00D95E35"/>
    <w:rsid w:val="00DA2192"/>
    <w:rsid w:val="00DA3232"/>
    <w:rsid w:val="00DA615C"/>
    <w:rsid w:val="00DB25E6"/>
    <w:rsid w:val="00DB44FA"/>
    <w:rsid w:val="00DC0096"/>
    <w:rsid w:val="00DC14A6"/>
    <w:rsid w:val="00DE2104"/>
    <w:rsid w:val="00DE31F0"/>
    <w:rsid w:val="00E01CC5"/>
    <w:rsid w:val="00E0260B"/>
    <w:rsid w:val="00E067B8"/>
    <w:rsid w:val="00E1707A"/>
    <w:rsid w:val="00E22625"/>
    <w:rsid w:val="00E258D1"/>
    <w:rsid w:val="00E33093"/>
    <w:rsid w:val="00E40E47"/>
    <w:rsid w:val="00E4443F"/>
    <w:rsid w:val="00E45402"/>
    <w:rsid w:val="00E45834"/>
    <w:rsid w:val="00E458AC"/>
    <w:rsid w:val="00E45FFD"/>
    <w:rsid w:val="00E56C7D"/>
    <w:rsid w:val="00E67636"/>
    <w:rsid w:val="00E7798E"/>
    <w:rsid w:val="00E820FE"/>
    <w:rsid w:val="00E85C79"/>
    <w:rsid w:val="00E869BC"/>
    <w:rsid w:val="00EA6A97"/>
    <w:rsid w:val="00EB2B8C"/>
    <w:rsid w:val="00EB5421"/>
    <w:rsid w:val="00EB5A0E"/>
    <w:rsid w:val="00EC1027"/>
    <w:rsid w:val="00EC1209"/>
    <w:rsid w:val="00ED558B"/>
    <w:rsid w:val="00ED5649"/>
    <w:rsid w:val="00F004EF"/>
    <w:rsid w:val="00F017FB"/>
    <w:rsid w:val="00F02631"/>
    <w:rsid w:val="00F0393C"/>
    <w:rsid w:val="00F05C0C"/>
    <w:rsid w:val="00F06A5B"/>
    <w:rsid w:val="00F13260"/>
    <w:rsid w:val="00F14C13"/>
    <w:rsid w:val="00F15707"/>
    <w:rsid w:val="00F20885"/>
    <w:rsid w:val="00F25E9F"/>
    <w:rsid w:val="00F31562"/>
    <w:rsid w:val="00F32F50"/>
    <w:rsid w:val="00F40539"/>
    <w:rsid w:val="00F50F28"/>
    <w:rsid w:val="00F5503F"/>
    <w:rsid w:val="00F60E42"/>
    <w:rsid w:val="00F61C08"/>
    <w:rsid w:val="00F66075"/>
    <w:rsid w:val="00F70410"/>
    <w:rsid w:val="00F972B4"/>
    <w:rsid w:val="00F97D20"/>
    <w:rsid w:val="00F97DF7"/>
    <w:rsid w:val="00FA7062"/>
    <w:rsid w:val="00FB3035"/>
    <w:rsid w:val="00FB3661"/>
    <w:rsid w:val="00FB51B5"/>
    <w:rsid w:val="00FB5EBF"/>
    <w:rsid w:val="00FC6EC9"/>
    <w:rsid w:val="00FE0F73"/>
    <w:rsid w:val="00FE24A3"/>
    <w:rsid w:val="00FE35E8"/>
    <w:rsid w:val="00FE4036"/>
    <w:rsid w:val="00FE7D6C"/>
    <w:rsid w:val="00FE7F8B"/>
    <w:rsid w:val="00FF0D1D"/>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F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56B2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C18C4"/>
    <w:pPr>
      <w:keepNext/>
      <w:numPr>
        <w:numId w:val="18"/>
      </w:numPr>
      <w:spacing w:before="240" w:after="60"/>
      <w:outlineLvl w:val="1"/>
    </w:pPr>
    <w:rPr>
      <w:rFonts w:eastAsia="Times New Roman"/>
      <w:bCs/>
      <w:i/>
      <w:iCs/>
      <w:szCs w:val="28"/>
      <w:u w:val="single"/>
    </w:rPr>
  </w:style>
  <w:style w:type="paragraph" w:styleId="Heading3">
    <w:name w:val="heading 3"/>
    <w:basedOn w:val="Normal"/>
    <w:next w:val="Normal"/>
    <w:link w:val="Heading3Char"/>
    <w:uiPriority w:val="9"/>
    <w:semiHidden/>
    <w:unhideWhenUsed/>
    <w:qFormat/>
    <w:rsid w:val="001C2E22"/>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C2E22"/>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1C2E2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1C2E2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1C2E2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C2E2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1C2E22"/>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6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D5649"/>
    <w:rPr>
      <w:rFonts w:ascii="Tahoma" w:hAnsi="Tahoma" w:cs="Tahoma"/>
      <w:sz w:val="16"/>
      <w:szCs w:val="16"/>
    </w:rPr>
  </w:style>
  <w:style w:type="table" w:styleId="TableGrid">
    <w:name w:val="Table Grid"/>
    <w:basedOn w:val="TableNormal"/>
    <w:uiPriority w:val="59"/>
    <w:rsid w:val="004F5E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next w:val="Normal"/>
    <w:link w:val="BodyTextChar"/>
    <w:rsid w:val="00E7798E"/>
    <w:pPr>
      <w:autoSpaceDE w:val="0"/>
      <w:autoSpaceDN w:val="0"/>
      <w:adjustRightInd w:val="0"/>
      <w:spacing w:after="0" w:line="240" w:lineRule="auto"/>
    </w:pPr>
    <w:rPr>
      <w:rFonts w:eastAsia="Times New Roman"/>
      <w:szCs w:val="24"/>
    </w:rPr>
  </w:style>
  <w:style w:type="character" w:customStyle="1" w:styleId="BodyTextChar">
    <w:name w:val="Body Text Char"/>
    <w:link w:val="BodyText"/>
    <w:rsid w:val="00E7798E"/>
    <w:rPr>
      <w:rFonts w:ascii="Times New Roman" w:eastAsia="Times New Roman" w:hAnsi="Times New Roman"/>
      <w:sz w:val="24"/>
      <w:szCs w:val="24"/>
    </w:rPr>
  </w:style>
  <w:style w:type="character" w:styleId="FootnoteReference">
    <w:name w:val="footnote reference"/>
    <w:aliases w:val="ftref,16 Point,Superscript 6 Point,Fußnotenzeichen DISS,BVI fnr,Знак сноски 1,referencia nota al pie,FC"/>
    <w:uiPriority w:val="99"/>
    <w:rsid w:val="00E7798E"/>
    <w:rPr>
      <w:vertAlign w:val="superscript"/>
    </w:rPr>
  </w:style>
  <w:style w:type="paragraph" w:styleId="FootnoteText">
    <w:name w:val="footnote text"/>
    <w:aliases w:val="fn,FOOTNOTES,single space,ALTS FOOTNOTE,Footnote Text Char1,Footnote Text Char Char,Note de bas de page Car,footnote text,Fodnotetekst Tegn,Fodnotetekst Tegn Char,footnote text Char Char Char,footnote,ADB,f,ft"/>
    <w:basedOn w:val="Normal"/>
    <w:link w:val="FootnoteTextChar"/>
    <w:uiPriority w:val="99"/>
    <w:rsid w:val="00E7798E"/>
    <w:pPr>
      <w:keepNext/>
      <w:keepLines/>
      <w:spacing w:after="120" w:line="240" w:lineRule="auto"/>
      <w:ind w:left="288" w:hanging="288"/>
      <w:jc w:val="both"/>
    </w:pPr>
    <w:rPr>
      <w:rFonts w:eastAsia="Times New Roman"/>
      <w:spacing w:val="-3"/>
      <w:sz w:val="20"/>
      <w:szCs w:val="2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ootnote Char,f Char"/>
    <w:link w:val="FootnoteText"/>
    <w:uiPriority w:val="99"/>
    <w:rsid w:val="00E7798E"/>
    <w:rPr>
      <w:rFonts w:ascii="Times New Roman" w:eastAsia="Times New Roman" w:hAnsi="Times New Roman"/>
      <w:spacing w:val="-3"/>
    </w:rPr>
  </w:style>
  <w:style w:type="character" w:styleId="CommentReference">
    <w:name w:val="annotation reference"/>
    <w:uiPriority w:val="99"/>
    <w:semiHidden/>
    <w:unhideWhenUsed/>
    <w:rsid w:val="00FB51B5"/>
    <w:rPr>
      <w:sz w:val="16"/>
      <w:szCs w:val="16"/>
    </w:rPr>
  </w:style>
  <w:style w:type="paragraph" w:styleId="CommentText">
    <w:name w:val="annotation text"/>
    <w:basedOn w:val="Normal"/>
    <w:link w:val="CommentTextChar"/>
    <w:uiPriority w:val="99"/>
    <w:unhideWhenUsed/>
    <w:rsid w:val="00FB51B5"/>
    <w:rPr>
      <w:sz w:val="20"/>
      <w:szCs w:val="20"/>
    </w:rPr>
  </w:style>
  <w:style w:type="character" w:customStyle="1" w:styleId="CommentTextChar">
    <w:name w:val="Comment Text Char"/>
    <w:basedOn w:val="DefaultParagraphFont"/>
    <w:link w:val="CommentText"/>
    <w:uiPriority w:val="99"/>
    <w:rsid w:val="00FB51B5"/>
  </w:style>
  <w:style w:type="paragraph" w:styleId="CommentSubject">
    <w:name w:val="annotation subject"/>
    <w:basedOn w:val="CommentText"/>
    <w:next w:val="CommentText"/>
    <w:link w:val="CommentSubjectChar"/>
    <w:uiPriority w:val="99"/>
    <w:semiHidden/>
    <w:unhideWhenUsed/>
    <w:rsid w:val="00FB51B5"/>
    <w:rPr>
      <w:rFonts w:ascii="Calibri" w:hAnsi="Calibri"/>
      <w:b/>
      <w:bCs/>
    </w:rPr>
  </w:style>
  <w:style w:type="character" w:customStyle="1" w:styleId="CommentSubjectChar">
    <w:name w:val="Comment Subject Char"/>
    <w:link w:val="CommentSubject"/>
    <w:uiPriority w:val="99"/>
    <w:semiHidden/>
    <w:rsid w:val="00FB51B5"/>
    <w:rPr>
      <w:b/>
      <w:bCs/>
    </w:rPr>
  </w:style>
  <w:style w:type="paragraph" w:customStyle="1" w:styleId="Default">
    <w:name w:val="Default"/>
    <w:link w:val="DefaultChar"/>
    <w:rsid w:val="00FB51B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B7182C"/>
    <w:pPr>
      <w:tabs>
        <w:tab w:val="center" w:pos="4320"/>
        <w:tab w:val="right" w:pos="8640"/>
      </w:tabs>
      <w:spacing w:after="0" w:line="240" w:lineRule="auto"/>
    </w:pPr>
    <w:rPr>
      <w:rFonts w:eastAsia="Times New Roman"/>
      <w:sz w:val="20"/>
      <w:szCs w:val="20"/>
      <w:lang w:val="es-ES"/>
    </w:rPr>
  </w:style>
  <w:style w:type="character" w:customStyle="1" w:styleId="HeaderChar">
    <w:name w:val="Header Char"/>
    <w:link w:val="Header"/>
    <w:uiPriority w:val="99"/>
    <w:rsid w:val="00B7182C"/>
    <w:rPr>
      <w:rFonts w:ascii="Times New Roman" w:eastAsia="Times New Roman" w:hAnsi="Times New Roman"/>
      <w:lang w:val="es-ES"/>
    </w:rPr>
  </w:style>
  <w:style w:type="paragraph" w:styleId="Footer">
    <w:name w:val="footer"/>
    <w:basedOn w:val="Normal"/>
    <w:link w:val="FooterChar"/>
    <w:uiPriority w:val="99"/>
    <w:unhideWhenUsed/>
    <w:rsid w:val="008C5169"/>
    <w:pPr>
      <w:tabs>
        <w:tab w:val="center" w:pos="4680"/>
        <w:tab w:val="right" w:pos="9360"/>
      </w:tabs>
    </w:pPr>
    <w:rPr>
      <w:rFonts w:ascii="Calibri" w:hAnsi="Calibri"/>
      <w:sz w:val="22"/>
    </w:rPr>
  </w:style>
  <w:style w:type="character" w:customStyle="1" w:styleId="FooterChar">
    <w:name w:val="Footer Char"/>
    <w:link w:val="Footer"/>
    <w:uiPriority w:val="99"/>
    <w:rsid w:val="008C5169"/>
    <w:rPr>
      <w:sz w:val="22"/>
      <w:szCs w:val="22"/>
    </w:rPr>
  </w:style>
  <w:style w:type="paragraph" w:styleId="Title">
    <w:name w:val="Title"/>
    <w:basedOn w:val="Normal"/>
    <w:link w:val="TitleChar"/>
    <w:qFormat/>
    <w:rsid w:val="00BF6F36"/>
    <w:pPr>
      <w:tabs>
        <w:tab w:val="left" w:pos="1440"/>
        <w:tab w:val="left" w:pos="3060"/>
      </w:tabs>
      <w:spacing w:after="0" w:line="240" w:lineRule="auto"/>
      <w:jc w:val="center"/>
      <w:outlineLvl w:val="0"/>
    </w:pPr>
    <w:rPr>
      <w:rFonts w:eastAsia="Times New Roman"/>
      <w:szCs w:val="20"/>
    </w:rPr>
  </w:style>
  <w:style w:type="character" w:customStyle="1" w:styleId="TitleChar">
    <w:name w:val="Title Char"/>
    <w:link w:val="Title"/>
    <w:rsid w:val="00BF6F36"/>
    <w:rPr>
      <w:rFonts w:ascii="Times New Roman" w:eastAsia="Times New Roman" w:hAnsi="Times New Roman"/>
      <w:sz w:val="24"/>
    </w:rPr>
  </w:style>
  <w:style w:type="paragraph" w:customStyle="1" w:styleId="Newpage">
    <w:name w:val="Newpage"/>
    <w:basedOn w:val="Normal"/>
    <w:link w:val="NewpageChar"/>
    <w:rsid w:val="00BF6F36"/>
    <w:pPr>
      <w:keepNext/>
      <w:tabs>
        <w:tab w:val="left" w:pos="1440"/>
        <w:tab w:val="left" w:pos="3060"/>
      </w:tabs>
      <w:spacing w:before="240" w:after="0" w:line="240" w:lineRule="auto"/>
      <w:jc w:val="center"/>
    </w:pPr>
    <w:rPr>
      <w:rFonts w:eastAsia="Times New Roman"/>
      <w:b/>
      <w:smallCaps/>
      <w:szCs w:val="20"/>
    </w:rPr>
  </w:style>
  <w:style w:type="paragraph" w:customStyle="1" w:styleId="Chapter">
    <w:name w:val="Chapter"/>
    <w:basedOn w:val="Normal"/>
    <w:next w:val="Normal"/>
    <w:rsid w:val="001C2E22"/>
    <w:pPr>
      <w:keepNext/>
      <w:numPr>
        <w:numId w:val="1"/>
      </w:numPr>
      <w:tabs>
        <w:tab w:val="left" w:pos="1440"/>
      </w:tabs>
      <w:spacing w:before="240" w:after="240" w:line="240" w:lineRule="auto"/>
      <w:jc w:val="center"/>
    </w:pPr>
    <w:rPr>
      <w:rFonts w:eastAsia="Times New Roman"/>
      <w:b/>
      <w:smallCaps/>
      <w:szCs w:val="20"/>
    </w:rPr>
  </w:style>
  <w:style w:type="paragraph" w:customStyle="1" w:styleId="Paragraph">
    <w:name w:val="Paragraph"/>
    <w:aliases w:val="paragraph,p,PARAGRAPH,PG,pa,at"/>
    <w:basedOn w:val="BodyTextIndent"/>
    <w:link w:val="ParagraphChar"/>
    <w:rsid w:val="001C2E22"/>
    <w:pPr>
      <w:tabs>
        <w:tab w:val="num" w:pos="720"/>
      </w:tabs>
      <w:spacing w:before="120"/>
      <w:ind w:left="720" w:hanging="720"/>
      <w:jc w:val="both"/>
      <w:outlineLvl w:val="1"/>
    </w:pPr>
    <w:rPr>
      <w:rFonts w:eastAsia="Times New Roman"/>
      <w:szCs w:val="20"/>
    </w:rPr>
  </w:style>
  <w:style w:type="paragraph" w:customStyle="1" w:styleId="subpar">
    <w:name w:val="subpar"/>
    <w:basedOn w:val="BodyTextIndent3"/>
    <w:rsid w:val="001C2E22"/>
    <w:pPr>
      <w:tabs>
        <w:tab w:val="num" w:pos="1152"/>
      </w:tabs>
      <w:spacing w:before="120"/>
      <w:ind w:left="1152" w:hanging="432"/>
      <w:jc w:val="both"/>
      <w:outlineLvl w:val="2"/>
    </w:pPr>
    <w:rPr>
      <w:rFonts w:eastAsia="Times New Roman"/>
      <w:szCs w:val="20"/>
    </w:rPr>
  </w:style>
  <w:style w:type="paragraph" w:customStyle="1" w:styleId="SubSubPar">
    <w:name w:val="SubSubPar"/>
    <w:basedOn w:val="subpar"/>
    <w:rsid w:val="001C2E22"/>
    <w:pPr>
      <w:tabs>
        <w:tab w:val="clear" w:pos="1152"/>
        <w:tab w:val="left" w:pos="0"/>
        <w:tab w:val="num" w:pos="1296"/>
      </w:tabs>
      <w:ind w:left="1296" w:hanging="288"/>
    </w:pPr>
  </w:style>
  <w:style w:type="character" w:customStyle="1" w:styleId="ParagraphChar">
    <w:name w:val="Paragraph Char"/>
    <w:aliases w:val="paragraph Char,p Char,PARAGRAPH Char,PG Char,pa Char,at Char"/>
    <w:link w:val="Paragraph"/>
    <w:rsid w:val="00BF6F36"/>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BF6F36"/>
    <w:pPr>
      <w:spacing w:after="120" w:line="240" w:lineRule="auto"/>
      <w:ind w:left="360"/>
    </w:pPr>
  </w:style>
  <w:style w:type="character" w:customStyle="1" w:styleId="BodyTextIndentChar">
    <w:name w:val="Body Text Indent Char"/>
    <w:link w:val="BodyTextIndent"/>
    <w:uiPriority w:val="99"/>
    <w:semiHidden/>
    <w:rsid w:val="00BF6F36"/>
    <w:rPr>
      <w:rFonts w:ascii="Times New Roman" w:hAnsi="Times New Roman"/>
      <w:sz w:val="24"/>
      <w:szCs w:val="22"/>
    </w:rPr>
  </w:style>
  <w:style w:type="paragraph" w:styleId="BodyTextIndent3">
    <w:name w:val="Body Text Indent 3"/>
    <w:basedOn w:val="Normal"/>
    <w:link w:val="BodyTextIndent3Char"/>
    <w:uiPriority w:val="99"/>
    <w:semiHidden/>
    <w:unhideWhenUsed/>
    <w:rsid w:val="00BF6F36"/>
    <w:pPr>
      <w:spacing w:after="120" w:line="240" w:lineRule="auto"/>
      <w:ind w:left="360"/>
    </w:pPr>
    <w:rPr>
      <w:szCs w:val="16"/>
    </w:rPr>
  </w:style>
  <w:style w:type="character" w:customStyle="1" w:styleId="BodyTextIndent3Char">
    <w:name w:val="Body Text Indent 3 Char"/>
    <w:link w:val="BodyTextIndent3"/>
    <w:uiPriority w:val="99"/>
    <w:semiHidden/>
    <w:rsid w:val="00BF6F36"/>
    <w:rPr>
      <w:rFonts w:ascii="Times New Roman" w:hAnsi="Times New Roman"/>
      <w:sz w:val="24"/>
      <w:szCs w:val="16"/>
    </w:rPr>
  </w:style>
  <w:style w:type="table" w:customStyle="1" w:styleId="MediumGrid11">
    <w:name w:val="Medium Grid 11"/>
    <w:basedOn w:val="TableNormal"/>
    <w:uiPriority w:val="67"/>
    <w:rsid w:val="00B45A3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uiPriority w:val="9"/>
    <w:rsid w:val="00256B20"/>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56B20"/>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F97DF7"/>
    <w:pPr>
      <w:tabs>
        <w:tab w:val="right" w:leader="dot" w:pos="8741"/>
      </w:tabs>
      <w:spacing w:before="240" w:after="240" w:line="240" w:lineRule="auto"/>
      <w:ind w:left="547" w:hanging="547"/>
    </w:pPr>
    <w:rPr>
      <w:smallCaps/>
    </w:rPr>
  </w:style>
  <w:style w:type="paragraph" w:styleId="TOC2">
    <w:name w:val="toc 2"/>
    <w:basedOn w:val="Normal"/>
    <w:next w:val="Normal"/>
    <w:autoRedefine/>
    <w:uiPriority w:val="39"/>
    <w:unhideWhenUsed/>
    <w:qFormat/>
    <w:rsid w:val="00063F2E"/>
    <w:pPr>
      <w:tabs>
        <w:tab w:val="left" w:pos="1152"/>
        <w:tab w:val="right" w:leader="dot" w:pos="8741"/>
      </w:tabs>
      <w:spacing w:after="0" w:line="240" w:lineRule="auto"/>
      <w:ind w:left="1166" w:hanging="605"/>
    </w:pPr>
  </w:style>
  <w:style w:type="character" w:styleId="Hyperlink">
    <w:name w:val="Hyperlink"/>
    <w:uiPriority w:val="99"/>
    <w:unhideWhenUsed/>
    <w:rsid w:val="00256B20"/>
    <w:rPr>
      <w:color w:val="0000FF"/>
      <w:u w:val="single"/>
    </w:rPr>
  </w:style>
  <w:style w:type="paragraph" w:styleId="TOC3">
    <w:name w:val="toc 3"/>
    <w:basedOn w:val="Normal"/>
    <w:next w:val="Normal"/>
    <w:autoRedefine/>
    <w:uiPriority w:val="39"/>
    <w:unhideWhenUsed/>
    <w:qFormat/>
    <w:rsid w:val="00256B20"/>
    <w:pPr>
      <w:tabs>
        <w:tab w:val="left" w:pos="1728"/>
        <w:tab w:val="right" w:leader="dot" w:pos="8741"/>
      </w:tabs>
      <w:spacing w:after="0" w:line="240" w:lineRule="auto"/>
      <w:ind w:left="1714" w:hanging="562"/>
    </w:pPr>
    <w:rPr>
      <w:rFonts w:eastAsia="Times New Roman"/>
    </w:rPr>
  </w:style>
  <w:style w:type="paragraph" w:customStyle="1" w:styleId="FirstHeading">
    <w:name w:val="FirstHeading"/>
    <w:basedOn w:val="Normal"/>
    <w:next w:val="Normal"/>
    <w:link w:val="FirstHeadingChar"/>
    <w:rsid w:val="001C2E22"/>
    <w:pPr>
      <w:tabs>
        <w:tab w:val="left" w:pos="0"/>
        <w:tab w:val="left" w:pos="86"/>
      </w:tabs>
      <w:spacing w:before="120" w:after="120"/>
      <w:ind w:left="720" w:hanging="720"/>
    </w:pPr>
    <w:rPr>
      <w:rFonts w:eastAsia="Times New Roman"/>
      <w:b/>
      <w:smallCaps/>
      <w:sz w:val="22"/>
      <w:szCs w:val="24"/>
    </w:rPr>
  </w:style>
  <w:style w:type="character" w:customStyle="1" w:styleId="NewpageChar">
    <w:name w:val="Newpage Char"/>
    <w:link w:val="Newpage"/>
    <w:rsid w:val="001C2E22"/>
    <w:rPr>
      <w:rFonts w:ascii="Times New Roman" w:eastAsia="Times New Roman" w:hAnsi="Times New Roman"/>
      <w:b/>
      <w:smallCaps/>
      <w:sz w:val="24"/>
    </w:rPr>
  </w:style>
  <w:style w:type="character" w:customStyle="1" w:styleId="FirstHeadingChar">
    <w:name w:val="FirstHeading Char"/>
    <w:link w:val="FirstHeading"/>
    <w:rsid w:val="001C2E22"/>
    <w:rPr>
      <w:rFonts w:ascii="Times New Roman" w:eastAsia="Times New Roman" w:hAnsi="Times New Roman"/>
      <w:b/>
      <w:smallCaps/>
      <w:sz w:val="22"/>
      <w:szCs w:val="24"/>
    </w:rPr>
  </w:style>
  <w:style w:type="paragraph" w:customStyle="1" w:styleId="SecHeading">
    <w:name w:val="SecHeading"/>
    <w:basedOn w:val="Normal"/>
    <w:next w:val="Paragraph"/>
    <w:link w:val="SecHeadingChar"/>
    <w:rsid w:val="001C2E22"/>
    <w:pPr>
      <w:tabs>
        <w:tab w:val="num" w:pos="1296"/>
      </w:tabs>
      <w:spacing w:before="120" w:after="120"/>
      <w:ind w:left="1296" w:hanging="576"/>
    </w:pPr>
    <w:rPr>
      <w:rFonts w:eastAsia="Times New Roman"/>
      <w:b/>
      <w:smallCaps/>
      <w:sz w:val="22"/>
      <w:szCs w:val="24"/>
    </w:rPr>
  </w:style>
  <w:style w:type="character" w:customStyle="1" w:styleId="SecHeadingChar">
    <w:name w:val="SecHeading Char"/>
    <w:link w:val="SecHeading"/>
    <w:rsid w:val="001C2E22"/>
    <w:rPr>
      <w:rFonts w:ascii="Times New Roman" w:eastAsia="Times New Roman" w:hAnsi="Times New Roman"/>
      <w:b/>
      <w:smallCaps/>
      <w:sz w:val="22"/>
      <w:szCs w:val="24"/>
    </w:rPr>
  </w:style>
  <w:style w:type="paragraph" w:customStyle="1" w:styleId="SubHeading1">
    <w:name w:val="SubHeading1"/>
    <w:basedOn w:val="SecHeading"/>
    <w:link w:val="SubHeading1Char"/>
    <w:rsid w:val="001C2E22"/>
    <w:pPr>
      <w:keepNext/>
      <w:tabs>
        <w:tab w:val="clear" w:pos="1296"/>
        <w:tab w:val="num" w:pos="1872"/>
      </w:tabs>
      <w:spacing w:line="240" w:lineRule="auto"/>
      <w:ind w:left="1872"/>
    </w:pPr>
    <w:rPr>
      <w:b w:val="0"/>
    </w:rPr>
  </w:style>
  <w:style w:type="character" w:customStyle="1" w:styleId="SubHeading1Char">
    <w:name w:val="SubHeading1 Char"/>
    <w:link w:val="SubHeading1"/>
    <w:rsid w:val="001C2E22"/>
    <w:rPr>
      <w:rFonts w:ascii="Times New Roman" w:eastAsia="Times New Roman" w:hAnsi="Times New Roman"/>
      <w:b/>
      <w:smallCaps/>
      <w:sz w:val="24"/>
      <w:szCs w:val="24"/>
    </w:rPr>
  </w:style>
  <w:style w:type="paragraph" w:customStyle="1" w:styleId="Subheading2">
    <w:name w:val="Subheading2"/>
    <w:basedOn w:val="SecHeading"/>
    <w:link w:val="Subheading2Char"/>
    <w:rsid w:val="001C2E22"/>
    <w:pPr>
      <w:keepNext/>
      <w:tabs>
        <w:tab w:val="clear" w:pos="1296"/>
        <w:tab w:val="num" w:pos="2376"/>
      </w:tabs>
      <w:spacing w:line="240" w:lineRule="auto"/>
      <w:ind w:left="2376" w:hanging="288"/>
    </w:pPr>
    <w:rPr>
      <w:b w:val="0"/>
    </w:rPr>
  </w:style>
  <w:style w:type="character" w:customStyle="1" w:styleId="Subheading2Char">
    <w:name w:val="Subheading2 Char"/>
    <w:link w:val="Subheading2"/>
    <w:rsid w:val="001C2E22"/>
    <w:rPr>
      <w:rFonts w:ascii="Times New Roman" w:eastAsia="Times New Roman" w:hAnsi="Times New Roman"/>
      <w:b/>
      <w:smallCaps/>
      <w:sz w:val="24"/>
      <w:szCs w:val="24"/>
    </w:rPr>
  </w:style>
  <w:style w:type="paragraph" w:customStyle="1" w:styleId="Regtable">
    <w:name w:val="Regtable"/>
    <w:basedOn w:val="Normal"/>
    <w:link w:val="RegtableChar"/>
    <w:rsid w:val="001C2E22"/>
    <w:pPr>
      <w:keepLines/>
      <w:framePr w:wrap="around" w:vAnchor="text" w:hAnchor="text" w:y="1"/>
      <w:spacing w:before="20" w:after="20"/>
    </w:pPr>
    <w:rPr>
      <w:rFonts w:eastAsia="Times New Roman"/>
      <w:b/>
      <w:smallCaps/>
      <w:szCs w:val="24"/>
    </w:rPr>
  </w:style>
  <w:style w:type="character" w:customStyle="1" w:styleId="RegtableChar">
    <w:name w:val="Regtable Char"/>
    <w:link w:val="Regtable"/>
    <w:rsid w:val="001C2E22"/>
    <w:rPr>
      <w:rFonts w:ascii="Times New Roman" w:eastAsia="Times New Roman" w:hAnsi="Times New Roman"/>
      <w:b/>
      <w:smallCaps/>
      <w:sz w:val="24"/>
      <w:szCs w:val="24"/>
    </w:rPr>
  </w:style>
  <w:style w:type="paragraph" w:customStyle="1" w:styleId="TableTitle">
    <w:name w:val="TableTitle"/>
    <w:basedOn w:val="Normal"/>
    <w:link w:val="TableTitleChar"/>
    <w:rsid w:val="001C2E22"/>
    <w:pPr>
      <w:framePr w:wrap="around" w:vAnchor="text" w:hAnchor="text" w:y="1"/>
      <w:spacing w:before="20" w:after="20"/>
    </w:pPr>
    <w:rPr>
      <w:rFonts w:ascii="Times New Roman Bold" w:eastAsia="Times New Roman" w:hAnsi="Times New Roman Bold"/>
      <w:b/>
      <w:smallCaps/>
      <w:spacing w:val="-3"/>
      <w:szCs w:val="24"/>
    </w:rPr>
  </w:style>
  <w:style w:type="character" w:customStyle="1" w:styleId="TableTitleChar">
    <w:name w:val="TableTitle Char"/>
    <w:link w:val="TableTitle"/>
    <w:rsid w:val="001C2E22"/>
    <w:rPr>
      <w:rFonts w:ascii="Times New Roman Bold" w:eastAsia="Times New Roman" w:hAnsi="Times New Roman Bold" w:cs="Times New Roman Bold"/>
      <w:b/>
      <w:smallCaps/>
      <w:spacing w:val="-3"/>
      <w:sz w:val="24"/>
      <w:szCs w:val="24"/>
    </w:rPr>
  </w:style>
  <w:style w:type="character" w:customStyle="1" w:styleId="Heading2Char">
    <w:name w:val="Heading 2 Char"/>
    <w:link w:val="Heading2"/>
    <w:uiPriority w:val="9"/>
    <w:rsid w:val="007C18C4"/>
    <w:rPr>
      <w:rFonts w:ascii="Times New Roman" w:eastAsia="Times New Roman" w:hAnsi="Times New Roman"/>
      <w:bCs/>
      <w:i/>
      <w:iCs/>
      <w:sz w:val="24"/>
      <w:szCs w:val="28"/>
      <w:u w:val="single"/>
    </w:rPr>
  </w:style>
  <w:style w:type="character" w:customStyle="1" w:styleId="Heading3Char">
    <w:name w:val="Heading 3 Char"/>
    <w:link w:val="Heading3"/>
    <w:uiPriority w:val="9"/>
    <w:semiHidden/>
    <w:rsid w:val="001C2E22"/>
    <w:rPr>
      <w:rFonts w:ascii="Cambria" w:eastAsia="Times New Roman" w:hAnsi="Cambria"/>
      <w:b/>
      <w:bCs/>
      <w:sz w:val="26"/>
      <w:szCs w:val="26"/>
    </w:rPr>
  </w:style>
  <w:style w:type="character" w:customStyle="1" w:styleId="Heading4Char">
    <w:name w:val="Heading 4 Char"/>
    <w:link w:val="Heading4"/>
    <w:uiPriority w:val="9"/>
    <w:semiHidden/>
    <w:rsid w:val="001C2E22"/>
    <w:rPr>
      <w:rFonts w:eastAsia="Times New Roman"/>
      <w:b/>
      <w:bCs/>
      <w:sz w:val="28"/>
      <w:szCs w:val="28"/>
    </w:rPr>
  </w:style>
  <w:style w:type="character" w:customStyle="1" w:styleId="Heading5Char">
    <w:name w:val="Heading 5 Char"/>
    <w:link w:val="Heading5"/>
    <w:uiPriority w:val="9"/>
    <w:semiHidden/>
    <w:rsid w:val="001C2E22"/>
    <w:rPr>
      <w:rFonts w:eastAsia="Times New Roman"/>
      <w:b/>
      <w:bCs/>
      <w:i/>
      <w:iCs/>
      <w:sz w:val="26"/>
      <w:szCs w:val="26"/>
    </w:rPr>
  </w:style>
  <w:style w:type="character" w:customStyle="1" w:styleId="Heading6Char">
    <w:name w:val="Heading 6 Char"/>
    <w:link w:val="Heading6"/>
    <w:uiPriority w:val="9"/>
    <w:semiHidden/>
    <w:rsid w:val="001C2E22"/>
    <w:rPr>
      <w:rFonts w:eastAsia="Times New Roman"/>
      <w:b/>
      <w:bCs/>
      <w:sz w:val="22"/>
      <w:szCs w:val="22"/>
    </w:rPr>
  </w:style>
  <w:style w:type="character" w:customStyle="1" w:styleId="Heading7Char">
    <w:name w:val="Heading 7 Char"/>
    <w:link w:val="Heading7"/>
    <w:uiPriority w:val="9"/>
    <w:semiHidden/>
    <w:rsid w:val="001C2E22"/>
    <w:rPr>
      <w:rFonts w:eastAsia="Times New Roman"/>
      <w:sz w:val="24"/>
      <w:szCs w:val="24"/>
    </w:rPr>
  </w:style>
  <w:style w:type="character" w:customStyle="1" w:styleId="Heading8Char">
    <w:name w:val="Heading 8 Char"/>
    <w:link w:val="Heading8"/>
    <w:uiPriority w:val="9"/>
    <w:semiHidden/>
    <w:rsid w:val="001C2E22"/>
    <w:rPr>
      <w:rFonts w:eastAsia="Times New Roman"/>
      <w:i/>
      <w:iCs/>
      <w:sz w:val="24"/>
      <w:szCs w:val="24"/>
    </w:rPr>
  </w:style>
  <w:style w:type="character" w:customStyle="1" w:styleId="Heading9Char">
    <w:name w:val="Heading 9 Char"/>
    <w:link w:val="Heading9"/>
    <w:uiPriority w:val="9"/>
    <w:semiHidden/>
    <w:rsid w:val="001C2E22"/>
    <w:rPr>
      <w:rFonts w:ascii="Cambria" w:eastAsia="Times New Roman" w:hAnsi="Cambria"/>
      <w:sz w:val="22"/>
      <w:szCs w:val="22"/>
    </w:rPr>
  </w:style>
  <w:style w:type="paragraph" w:customStyle="1" w:styleId="Banknumbered">
    <w:name w:val="Bank numbered"/>
    <w:basedOn w:val="Normal"/>
    <w:link w:val="BanknumberedChar"/>
    <w:qFormat/>
    <w:rsid w:val="00BC3594"/>
    <w:pPr>
      <w:numPr>
        <w:numId w:val="4"/>
      </w:numPr>
      <w:spacing w:before="120" w:after="0" w:line="240" w:lineRule="auto"/>
      <w:ind w:left="0" w:firstLine="0"/>
    </w:pPr>
  </w:style>
  <w:style w:type="character" w:customStyle="1" w:styleId="BanknumberedChar">
    <w:name w:val="Bank numbered Char"/>
    <w:link w:val="Banknumbered"/>
    <w:rsid w:val="00BC3594"/>
    <w:rPr>
      <w:rFonts w:ascii="Times New Roman" w:hAnsi="Times New Roman"/>
      <w:sz w:val="24"/>
      <w:szCs w:val="22"/>
    </w:rPr>
  </w:style>
  <w:style w:type="paragraph" w:customStyle="1" w:styleId="Bullet">
    <w:name w:val="Bullet"/>
    <w:basedOn w:val="Normal"/>
    <w:link w:val="BulletChar"/>
    <w:qFormat/>
    <w:rsid w:val="00BC3594"/>
    <w:pPr>
      <w:numPr>
        <w:numId w:val="5"/>
      </w:numPr>
      <w:spacing w:before="120" w:after="0" w:line="240" w:lineRule="auto"/>
    </w:pPr>
  </w:style>
  <w:style w:type="character" w:customStyle="1" w:styleId="BulletChar">
    <w:name w:val="Bullet Char"/>
    <w:link w:val="Bullet"/>
    <w:rsid w:val="00BC3594"/>
    <w:rPr>
      <w:rFonts w:ascii="Times New Roman" w:hAnsi="Times New Roman"/>
      <w:sz w:val="24"/>
      <w:szCs w:val="22"/>
    </w:rPr>
  </w:style>
  <w:style w:type="paragraph" w:styleId="ListParagraph">
    <w:name w:val="List Paragraph"/>
    <w:basedOn w:val="Normal"/>
    <w:uiPriority w:val="34"/>
    <w:qFormat/>
    <w:rsid w:val="00015B76"/>
    <w:pPr>
      <w:ind w:left="720"/>
      <w:contextualSpacing/>
    </w:pPr>
  </w:style>
  <w:style w:type="table" w:customStyle="1" w:styleId="LightShading-Accent11">
    <w:name w:val="Light Shading - Accent 11"/>
    <w:basedOn w:val="TableNormal"/>
    <w:uiPriority w:val="30"/>
    <w:qFormat/>
    <w:rsid w:val="00D81D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F0393C"/>
    <w:pPr>
      <w:spacing w:line="240" w:lineRule="auto"/>
    </w:pPr>
    <w:rPr>
      <w:b/>
      <w:bCs/>
      <w:szCs w:val="18"/>
      <w:u w:val="single"/>
    </w:rPr>
  </w:style>
  <w:style w:type="character" w:styleId="FollowedHyperlink">
    <w:name w:val="FollowedHyperlink"/>
    <w:basedOn w:val="DefaultParagraphFont"/>
    <w:uiPriority w:val="99"/>
    <w:semiHidden/>
    <w:unhideWhenUsed/>
    <w:rsid w:val="00004201"/>
    <w:rPr>
      <w:color w:val="800080" w:themeColor="followedHyperlink"/>
      <w:u w:val="single"/>
    </w:rPr>
  </w:style>
  <w:style w:type="paragraph" w:customStyle="1" w:styleId="Annex">
    <w:name w:val="Annex"/>
    <w:basedOn w:val="Normal"/>
    <w:rsid w:val="00EB5A0E"/>
    <w:pPr>
      <w:spacing w:after="0" w:line="240" w:lineRule="auto"/>
    </w:pPr>
    <w:rPr>
      <w:rFonts w:eastAsia="Times New Roman"/>
      <w:caps/>
      <w:szCs w:val="20"/>
    </w:rPr>
  </w:style>
  <w:style w:type="paragraph" w:styleId="EndnoteText">
    <w:name w:val="endnote text"/>
    <w:basedOn w:val="Normal"/>
    <w:link w:val="EndnoteTextChar"/>
    <w:uiPriority w:val="99"/>
    <w:unhideWhenUsed/>
    <w:rsid w:val="002A3A9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2A3A98"/>
    <w:rPr>
      <w:rFonts w:ascii="Times New Roman" w:eastAsia="Times New Roman" w:hAnsi="Times New Roman"/>
    </w:rPr>
  </w:style>
  <w:style w:type="character" w:styleId="EndnoteReference">
    <w:name w:val="endnote reference"/>
    <w:basedOn w:val="DefaultParagraphFont"/>
    <w:uiPriority w:val="99"/>
    <w:semiHidden/>
    <w:unhideWhenUsed/>
    <w:rsid w:val="002A3A98"/>
    <w:rPr>
      <w:vertAlign w:val="superscript"/>
    </w:rPr>
  </w:style>
  <w:style w:type="character" w:styleId="SubtleEmphasis">
    <w:name w:val="Subtle Emphasis"/>
    <w:basedOn w:val="DefaultParagraphFont"/>
    <w:uiPriority w:val="19"/>
    <w:qFormat/>
    <w:rsid w:val="005D065A"/>
    <w:rPr>
      <w:i/>
      <w:iCs/>
      <w:color w:val="808080" w:themeColor="text1" w:themeTint="7F"/>
    </w:rPr>
  </w:style>
  <w:style w:type="character" w:customStyle="1" w:styleId="DefaultChar">
    <w:name w:val="Default Char"/>
    <w:basedOn w:val="DefaultParagraphFont"/>
    <w:link w:val="Default"/>
    <w:rsid w:val="00357AF4"/>
    <w:rPr>
      <w:rFonts w:ascii="Times New Roman" w:eastAsia="Times New Roman" w:hAnsi="Times New Roman"/>
      <w:color w:val="000000"/>
      <w:sz w:val="24"/>
      <w:szCs w:val="24"/>
    </w:rPr>
  </w:style>
  <w:style w:type="paragraph" w:styleId="NoSpacing">
    <w:name w:val="No Spacing"/>
    <w:uiPriority w:val="1"/>
    <w:qFormat/>
    <w:rsid w:val="00BF0BAC"/>
    <w:rPr>
      <w:rFonts w:cs="Calibri"/>
      <w:sz w:val="22"/>
      <w:szCs w:val="22"/>
      <w:lang w:val="es-CO"/>
    </w:rPr>
  </w:style>
  <w:style w:type="character" w:styleId="PlaceholderText">
    <w:name w:val="Placeholder Text"/>
    <w:basedOn w:val="DefaultParagraphFont"/>
    <w:uiPriority w:val="99"/>
    <w:rsid w:val="00156DB7"/>
    <w:rPr>
      <w:color w:val="808080"/>
    </w:rPr>
  </w:style>
  <w:style w:type="paragraph" w:styleId="Revision">
    <w:name w:val="Revision"/>
    <w:hidden/>
    <w:uiPriority w:val="99"/>
    <w:rsid w:val="00156DB7"/>
    <w:rPr>
      <w:rFonts w:asciiTheme="minorHAnsi" w:eastAsiaTheme="minorEastAsia" w:hAnsiTheme="minorHAnsi" w:cstheme="minorBidi"/>
      <w:sz w:val="22"/>
      <w:szCs w:val="22"/>
    </w:rPr>
  </w:style>
  <w:style w:type="character" w:styleId="Strong">
    <w:name w:val="Strong"/>
    <w:basedOn w:val="DefaultParagraphFont"/>
    <w:uiPriority w:val="22"/>
    <w:qFormat/>
    <w:rsid w:val="00C665CC"/>
    <w:rPr>
      <w:b/>
      <w:bCs/>
    </w:rPr>
  </w:style>
  <w:style w:type="character" w:styleId="Emphasis">
    <w:name w:val="Emphasis"/>
    <w:basedOn w:val="DefaultParagraphFont"/>
    <w:uiPriority w:val="20"/>
    <w:qFormat/>
    <w:rsid w:val="00C665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F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56B2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C18C4"/>
    <w:pPr>
      <w:keepNext/>
      <w:numPr>
        <w:numId w:val="18"/>
      </w:numPr>
      <w:spacing w:before="240" w:after="60"/>
      <w:outlineLvl w:val="1"/>
    </w:pPr>
    <w:rPr>
      <w:rFonts w:eastAsia="Times New Roman"/>
      <w:bCs/>
      <w:i/>
      <w:iCs/>
      <w:szCs w:val="28"/>
      <w:u w:val="single"/>
    </w:rPr>
  </w:style>
  <w:style w:type="paragraph" w:styleId="Heading3">
    <w:name w:val="heading 3"/>
    <w:basedOn w:val="Normal"/>
    <w:next w:val="Normal"/>
    <w:link w:val="Heading3Char"/>
    <w:uiPriority w:val="9"/>
    <w:semiHidden/>
    <w:unhideWhenUsed/>
    <w:qFormat/>
    <w:rsid w:val="001C2E22"/>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C2E22"/>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1C2E2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1C2E2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1C2E2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C2E2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1C2E22"/>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6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D5649"/>
    <w:rPr>
      <w:rFonts w:ascii="Tahoma" w:hAnsi="Tahoma" w:cs="Tahoma"/>
      <w:sz w:val="16"/>
      <w:szCs w:val="16"/>
    </w:rPr>
  </w:style>
  <w:style w:type="table" w:styleId="TableGrid">
    <w:name w:val="Table Grid"/>
    <w:basedOn w:val="TableNormal"/>
    <w:uiPriority w:val="59"/>
    <w:rsid w:val="004F5E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next w:val="Normal"/>
    <w:link w:val="BodyTextChar"/>
    <w:rsid w:val="00E7798E"/>
    <w:pPr>
      <w:autoSpaceDE w:val="0"/>
      <w:autoSpaceDN w:val="0"/>
      <w:adjustRightInd w:val="0"/>
      <w:spacing w:after="0" w:line="240" w:lineRule="auto"/>
    </w:pPr>
    <w:rPr>
      <w:rFonts w:eastAsia="Times New Roman"/>
      <w:szCs w:val="24"/>
    </w:rPr>
  </w:style>
  <w:style w:type="character" w:customStyle="1" w:styleId="BodyTextChar">
    <w:name w:val="Body Text Char"/>
    <w:link w:val="BodyText"/>
    <w:rsid w:val="00E7798E"/>
    <w:rPr>
      <w:rFonts w:ascii="Times New Roman" w:eastAsia="Times New Roman" w:hAnsi="Times New Roman"/>
      <w:sz w:val="24"/>
      <w:szCs w:val="24"/>
    </w:rPr>
  </w:style>
  <w:style w:type="character" w:styleId="FootnoteReference">
    <w:name w:val="footnote reference"/>
    <w:aliases w:val="ftref,16 Point,Superscript 6 Point,Fußnotenzeichen DISS,BVI fnr,Знак сноски 1,referencia nota al pie,FC"/>
    <w:uiPriority w:val="99"/>
    <w:rsid w:val="00E7798E"/>
    <w:rPr>
      <w:vertAlign w:val="superscript"/>
    </w:rPr>
  </w:style>
  <w:style w:type="paragraph" w:styleId="FootnoteText">
    <w:name w:val="footnote text"/>
    <w:aliases w:val="fn,FOOTNOTES,single space,ALTS FOOTNOTE,Footnote Text Char1,Footnote Text Char Char,Note de bas de page Car,footnote text,Fodnotetekst Tegn,Fodnotetekst Tegn Char,footnote text Char Char Char,footnote,ADB,f,ft"/>
    <w:basedOn w:val="Normal"/>
    <w:link w:val="FootnoteTextChar"/>
    <w:uiPriority w:val="99"/>
    <w:rsid w:val="00E7798E"/>
    <w:pPr>
      <w:keepNext/>
      <w:keepLines/>
      <w:spacing w:after="120" w:line="240" w:lineRule="auto"/>
      <w:ind w:left="288" w:hanging="288"/>
      <w:jc w:val="both"/>
    </w:pPr>
    <w:rPr>
      <w:rFonts w:eastAsia="Times New Roman"/>
      <w:spacing w:val="-3"/>
      <w:sz w:val="20"/>
      <w:szCs w:val="2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ootnote Char,f Char"/>
    <w:link w:val="FootnoteText"/>
    <w:uiPriority w:val="99"/>
    <w:rsid w:val="00E7798E"/>
    <w:rPr>
      <w:rFonts w:ascii="Times New Roman" w:eastAsia="Times New Roman" w:hAnsi="Times New Roman"/>
      <w:spacing w:val="-3"/>
    </w:rPr>
  </w:style>
  <w:style w:type="character" w:styleId="CommentReference">
    <w:name w:val="annotation reference"/>
    <w:uiPriority w:val="99"/>
    <w:semiHidden/>
    <w:unhideWhenUsed/>
    <w:rsid w:val="00FB51B5"/>
    <w:rPr>
      <w:sz w:val="16"/>
      <w:szCs w:val="16"/>
    </w:rPr>
  </w:style>
  <w:style w:type="paragraph" w:styleId="CommentText">
    <w:name w:val="annotation text"/>
    <w:basedOn w:val="Normal"/>
    <w:link w:val="CommentTextChar"/>
    <w:uiPriority w:val="99"/>
    <w:unhideWhenUsed/>
    <w:rsid w:val="00FB51B5"/>
    <w:rPr>
      <w:sz w:val="20"/>
      <w:szCs w:val="20"/>
    </w:rPr>
  </w:style>
  <w:style w:type="character" w:customStyle="1" w:styleId="CommentTextChar">
    <w:name w:val="Comment Text Char"/>
    <w:basedOn w:val="DefaultParagraphFont"/>
    <w:link w:val="CommentText"/>
    <w:uiPriority w:val="99"/>
    <w:rsid w:val="00FB51B5"/>
  </w:style>
  <w:style w:type="paragraph" w:styleId="CommentSubject">
    <w:name w:val="annotation subject"/>
    <w:basedOn w:val="CommentText"/>
    <w:next w:val="CommentText"/>
    <w:link w:val="CommentSubjectChar"/>
    <w:uiPriority w:val="99"/>
    <w:semiHidden/>
    <w:unhideWhenUsed/>
    <w:rsid w:val="00FB51B5"/>
    <w:rPr>
      <w:rFonts w:ascii="Calibri" w:hAnsi="Calibri"/>
      <w:b/>
      <w:bCs/>
    </w:rPr>
  </w:style>
  <w:style w:type="character" w:customStyle="1" w:styleId="CommentSubjectChar">
    <w:name w:val="Comment Subject Char"/>
    <w:link w:val="CommentSubject"/>
    <w:uiPriority w:val="99"/>
    <w:semiHidden/>
    <w:rsid w:val="00FB51B5"/>
    <w:rPr>
      <w:b/>
      <w:bCs/>
    </w:rPr>
  </w:style>
  <w:style w:type="paragraph" w:customStyle="1" w:styleId="Default">
    <w:name w:val="Default"/>
    <w:link w:val="DefaultChar"/>
    <w:rsid w:val="00FB51B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B7182C"/>
    <w:pPr>
      <w:tabs>
        <w:tab w:val="center" w:pos="4320"/>
        <w:tab w:val="right" w:pos="8640"/>
      </w:tabs>
      <w:spacing w:after="0" w:line="240" w:lineRule="auto"/>
    </w:pPr>
    <w:rPr>
      <w:rFonts w:eastAsia="Times New Roman"/>
      <w:sz w:val="20"/>
      <w:szCs w:val="20"/>
      <w:lang w:val="es-ES"/>
    </w:rPr>
  </w:style>
  <w:style w:type="character" w:customStyle="1" w:styleId="HeaderChar">
    <w:name w:val="Header Char"/>
    <w:link w:val="Header"/>
    <w:uiPriority w:val="99"/>
    <w:rsid w:val="00B7182C"/>
    <w:rPr>
      <w:rFonts w:ascii="Times New Roman" w:eastAsia="Times New Roman" w:hAnsi="Times New Roman"/>
      <w:lang w:val="es-ES"/>
    </w:rPr>
  </w:style>
  <w:style w:type="paragraph" w:styleId="Footer">
    <w:name w:val="footer"/>
    <w:basedOn w:val="Normal"/>
    <w:link w:val="FooterChar"/>
    <w:uiPriority w:val="99"/>
    <w:unhideWhenUsed/>
    <w:rsid w:val="008C5169"/>
    <w:pPr>
      <w:tabs>
        <w:tab w:val="center" w:pos="4680"/>
        <w:tab w:val="right" w:pos="9360"/>
      </w:tabs>
    </w:pPr>
    <w:rPr>
      <w:rFonts w:ascii="Calibri" w:hAnsi="Calibri"/>
      <w:sz w:val="22"/>
    </w:rPr>
  </w:style>
  <w:style w:type="character" w:customStyle="1" w:styleId="FooterChar">
    <w:name w:val="Footer Char"/>
    <w:link w:val="Footer"/>
    <w:uiPriority w:val="99"/>
    <w:rsid w:val="008C5169"/>
    <w:rPr>
      <w:sz w:val="22"/>
      <w:szCs w:val="22"/>
    </w:rPr>
  </w:style>
  <w:style w:type="paragraph" w:styleId="Title">
    <w:name w:val="Title"/>
    <w:basedOn w:val="Normal"/>
    <w:link w:val="TitleChar"/>
    <w:qFormat/>
    <w:rsid w:val="00BF6F36"/>
    <w:pPr>
      <w:tabs>
        <w:tab w:val="left" w:pos="1440"/>
        <w:tab w:val="left" w:pos="3060"/>
      </w:tabs>
      <w:spacing w:after="0" w:line="240" w:lineRule="auto"/>
      <w:jc w:val="center"/>
      <w:outlineLvl w:val="0"/>
    </w:pPr>
    <w:rPr>
      <w:rFonts w:eastAsia="Times New Roman"/>
      <w:szCs w:val="20"/>
    </w:rPr>
  </w:style>
  <w:style w:type="character" w:customStyle="1" w:styleId="TitleChar">
    <w:name w:val="Title Char"/>
    <w:link w:val="Title"/>
    <w:rsid w:val="00BF6F36"/>
    <w:rPr>
      <w:rFonts w:ascii="Times New Roman" w:eastAsia="Times New Roman" w:hAnsi="Times New Roman"/>
      <w:sz w:val="24"/>
    </w:rPr>
  </w:style>
  <w:style w:type="paragraph" w:customStyle="1" w:styleId="Newpage">
    <w:name w:val="Newpage"/>
    <w:basedOn w:val="Normal"/>
    <w:link w:val="NewpageChar"/>
    <w:rsid w:val="00BF6F36"/>
    <w:pPr>
      <w:keepNext/>
      <w:tabs>
        <w:tab w:val="left" w:pos="1440"/>
        <w:tab w:val="left" w:pos="3060"/>
      </w:tabs>
      <w:spacing w:before="240" w:after="0" w:line="240" w:lineRule="auto"/>
      <w:jc w:val="center"/>
    </w:pPr>
    <w:rPr>
      <w:rFonts w:eastAsia="Times New Roman"/>
      <w:b/>
      <w:smallCaps/>
      <w:szCs w:val="20"/>
    </w:rPr>
  </w:style>
  <w:style w:type="paragraph" w:customStyle="1" w:styleId="Chapter">
    <w:name w:val="Chapter"/>
    <w:basedOn w:val="Normal"/>
    <w:next w:val="Normal"/>
    <w:rsid w:val="001C2E22"/>
    <w:pPr>
      <w:keepNext/>
      <w:numPr>
        <w:numId w:val="1"/>
      </w:numPr>
      <w:tabs>
        <w:tab w:val="left" w:pos="1440"/>
      </w:tabs>
      <w:spacing w:before="240" w:after="240" w:line="240" w:lineRule="auto"/>
      <w:jc w:val="center"/>
    </w:pPr>
    <w:rPr>
      <w:rFonts w:eastAsia="Times New Roman"/>
      <w:b/>
      <w:smallCaps/>
      <w:szCs w:val="20"/>
    </w:rPr>
  </w:style>
  <w:style w:type="paragraph" w:customStyle="1" w:styleId="Paragraph">
    <w:name w:val="Paragraph"/>
    <w:aliases w:val="paragraph,p,PARAGRAPH,PG,pa,at"/>
    <w:basedOn w:val="BodyTextIndent"/>
    <w:link w:val="ParagraphChar"/>
    <w:rsid w:val="001C2E22"/>
    <w:pPr>
      <w:tabs>
        <w:tab w:val="num" w:pos="720"/>
      </w:tabs>
      <w:spacing w:before="120"/>
      <w:ind w:left="720" w:hanging="720"/>
      <w:jc w:val="both"/>
      <w:outlineLvl w:val="1"/>
    </w:pPr>
    <w:rPr>
      <w:rFonts w:eastAsia="Times New Roman"/>
      <w:szCs w:val="20"/>
    </w:rPr>
  </w:style>
  <w:style w:type="paragraph" w:customStyle="1" w:styleId="subpar">
    <w:name w:val="subpar"/>
    <w:basedOn w:val="BodyTextIndent3"/>
    <w:rsid w:val="001C2E22"/>
    <w:pPr>
      <w:tabs>
        <w:tab w:val="num" w:pos="1152"/>
      </w:tabs>
      <w:spacing w:before="120"/>
      <w:ind w:left="1152" w:hanging="432"/>
      <w:jc w:val="both"/>
      <w:outlineLvl w:val="2"/>
    </w:pPr>
    <w:rPr>
      <w:rFonts w:eastAsia="Times New Roman"/>
      <w:szCs w:val="20"/>
    </w:rPr>
  </w:style>
  <w:style w:type="paragraph" w:customStyle="1" w:styleId="SubSubPar">
    <w:name w:val="SubSubPar"/>
    <w:basedOn w:val="subpar"/>
    <w:rsid w:val="001C2E22"/>
    <w:pPr>
      <w:tabs>
        <w:tab w:val="clear" w:pos="1152"/>
        <w:tab w:val="left" w:pos="0"/>
        <w:tab w:val="num" w:pos="1296"/>
      </w:tabs>
      <w:ind w:left="1296" w:hanging="288"/>
    </w:pPr>
  </w:style>
  <w:style w:type="character" w:customStyle="1" w:styleId="ParagraphChar">
    <w:name w:val="Paragraph Char"/>
    <w:aliases w:val="paragraph Char,p Char,PARAGRAPH Char,PG Char,pa Char,at Char"/>
    <w:link w:val="Paragraph"/>
    <w:rsid w:val="00BF6F36"/>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BF6F36"/>
    <w:pPr>
      <w:spacing w:after="120" w:line="240" w:lineRule="auto"/>
      <w:ind w:left="360"/>
    </w:pPr>
  </w:style>
  <w:style w:type="character" w:customStyle="1" w:styleId="BodyTextIndentChar">
    <w:name w:val="Body Text Indent Char"/>
    <w:link w:val="BodyTextIndent"/>
    <w:uiPriority w:val="99"/>
    <w:semiHidden/>
    <w:rsid w:val="00BF6F36"/>
    <w:rPr>
      <w:rFonts w:ascii="Times New Roman" w:hAnsi="Times New Roman"/>
      <w:sz w:val="24"/>
      <w:szCs w:val="22"/>
    </w:rPr>
  </w:style>
  <w:style w:type="paragraph" w:styleId="BodyTextIndent3">
    <w:name w:val="Body Text Indent 3"/>
    <w:basedOn w:val="Normal"/>
    <w:link w:val="BodyTextIndent3Char"/>
    <w:uiPriority w:val="99"/>
    <w:semiHidden/>
    <w:unhideWhenUsed/>
    <w:rsid w:val="00BF6F36"/>
    <w:pPr>
      <w:spacing w:after="120" w:line="240" w:lineRule="auto"/>
      <w:ind w:left="360"/>
    </w:pPr>
    <w:rPr>
      <w:szCs w:val="16"/>
    </w:rPr>
  </w:style>
  <w:style w:type="character" w:customStyle="1" w:styleId="BodyTextIndent3Char">
    <w:name w:val="Body Text Indent 3 Char"/>
    <w:link w:val="BodyTextIndent3"/>
    <w:uiPriority w:val="99"/>
    <w:semiHidden/>
    <w:rsid w:val="00BF6F36"/>
    <w:rPr>
      <w:rFonts w:ascii="Times New Roman" w:hAnsi="Times New Roman"/>
      <w:sz w:val="24"/>
      <w:szCs w:val="16"/>
    </w:rPr>
  </w:style>
  <w:style w:type="table" w:customStyle="1" w:styleId="MediumGrid11">
    <w:name w:val="Medium Grid 11"/>
    <w:basedOn w:val="TableNormal"/>
    <w:uiPriority w:val="67"/>
    <w:rsid w:val="00B45A3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uiPriority w:val="9"/>
    <w:rsid w:val="00256B20"/>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56B20"/>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F97DF7"/>
    <w:pPr>
      <w:tabs>
        <w:tab w:val="right" w:leader="dot" w:pos="8741"/>
      </w:tabs>
      <w:spacing w:before="240" w:after="240" w:line="240" w:lineRule="auto"/>
      <w:ind w:left="547" w:hanging="547"/>
    </w:pPr>
    <w:rPr>
      <w:smallCaps/>
    </w:rPr>
  </w:style>
  <w:style w:type="paragraph" w:styleId="TOC2">
    <w:name w:val="toc 2"/>
    <w:basedOn w:val="Normal"/>
    <w:next w:val="Normal"/>
    <w:autoRedefine/>
    <w:uiPriority w:val="39"/>
    <w:unhideWhenUsed/>
    <w:qFormat/>
    <w:rsid w:val="00063F2E"/>
    <w:pPr>
      <w:tabs>
        <w:tab w:val="left" w:pos="1152"/>
        <w:tab w:val="right" w:leader="dot" w:pos="8741"/>
      </w:tabs>
      <w:spacing w:after="0" w:line="240" w:lineRule="auto"/>
      <w:ind w:left="1166" w:hanging="605"/>
    </w:pPr>
  </w:style>
  <w:style w:type="character" w:styleId="Hyperlink">
    <w:name w:val="Hyperlink"/>
    <w:uiPriority w:val="99"/>
    <w:unhideWhenUsed/>
    <w:rsid w:val="00256B20"/>
    <w:rPr>
      <w:color w:val="0000FF"/>
      <w:u w:val="single"/>
    </w:rPr>
  </w:style>
  <w:style w:type="paragraph" w:styleId="TOC3">
    <w:name w:val="toc 3"/>
    <w:basedOn w:val="Normal"/>
    <w:next w:val="Normal"/>
    <w:autoRedefine/>
    <w:uiPriority w:val="39"/>
    <w:unhideWhenUsed/>
    <w:qFormat/>
    <w:rsid w:val="00256B20"/>
    <w:pPr>
      <w:tabs>
        <w:tab w:val="left" w:pos="1728"/>
        <w:tab w:val="right" w:leader="dot" w:pos="8741"/>
      </w:tabs>
      <w:spacing w:after="0" w:line="240" w:lineRule="auto"/>
      <w:ind w:left="1714" w:hanging="562"/>
    </w:pPr>
    <w:rPr>
      <w:rFonts w:eastAsia="Times New Roman"/>
    </w:rPr>
  </w:style>
  <w:style w:type="paragraph" w:customStyle="1" w:styleId="FirstHeading">
    <w:name w:val="FirstHeading"/>
    <w:basedOn w:val="Normal"/>
    <w:next w:val="Normal"/>
    <w:link w:val="FirstHeadingChar"/>
    <w:rsid w:val="001C2E22"/>
    <w:pPr>
      <w:tabs>
        <w:tab w:val="left" w:pos="0"/>
        <w:tab w:val="left" w:pos="86"/>
      </w:tabs>
      <w:spacing w:before="120" w:after="120"/>
      <w:ind w:left="720" w:hanging="720"/>
    </w:pPr>
    <w:rPr>
      <w:rFonts w:eastAsia="Times New Roman"/>
      <w:b/>
      <w:smallCaps/>
      <w:sz w:val="22"/>
      <w:szCs w:val="24"/>
    </w:rPr>
  </w:style>
  <w:style w:type="character" w:customStyle="1" w:styleId="NewpageChar">
    <w:name w:val="Newpage Char"/>
    <w:link w:val="Newpage"/>
    <w:rsid w:val="001C2E22"/>
    <w:rPr>
      <w:rFonts w:ascii="Times New Roman" w:eastAsia="Times New Roman" w:hAnsi="Times New Roman"/>
      <w:b/>
      <w:smallCaps/>
      <w:sz w:val="24"/>
    </w:rPr>
  </w:style>
  <w:style w:type="character" w:customStyle="1" w:styleId="FirstHeadingChar">
    <w:name w:val="FirstHeading Char"/>
    <w:link w:val="FirstHeading"/>
    <w:rsid w:val="001C2E22"/>
    <w:rPr>
      <w:rFonts w:ascii="Times New Roman" w:eastAsia="Times New Roman" w:hAnsi="Times New Roman"/>
      <w:b/>
      <w:smallCaps/>
      <w:sz w:val="22"/>
      <w:szCs w:val="24"/>
    </w:rPr>
  </w:style>
  <w:style w:type="paragraph" w:customStyle="1" w:styleId="SecHeading">
    <w:name w:val="SecHeading"/>
    <w:basedOn w:val="Normal"/>
    <w:next w:val="Paragraph"/>
    <w:link w:val="SecHeadingChar"/>
    <w:rsid w:val="001C2E22"/>
    <w:pPr>
      <w:tabs>
        <w:tab w:val="num" w:pos="1296"/>
      </w:tabs>
      <w:spacing w:before="120" w:after="120"/>
      <w:ind w:left="1296" w:hanging="576"/>
    </w:pPr>
    <w:rPr>
      <w:rFonts w:eastAsia="Times New Roman"/>
      <w:b/>
      <w:smallCaps/>
      <w:sz w:val="22"/>
      <w:szCs w:val="24"/>
    </w:rPr>
  </w:style>
  <w:style w:type="character" w:customStyle="1" w:styleId="SecHeadingChar">
    <w:name w:val="SecHeading Char"/>
    <w:link w:val="SecHeading"/>
    <w:rsid w:val="001C2E22"/>
    <w:rPr>
      <w:rFonts w:ascii="Times New Roman" w:eastAsia="Times New Roman" w:hAnsi="Times New Roman"/>
      <w:b/>
      <w:smallCaps/>
      <w:sz w:val="22"/>
      <w:szCs w:val="24"/>
    </w:rPr>
  </w:style>
  <w:style w:type="paragraph" w:customStyle="1" w:styleId="SubHeading1">
    <w:name w:val="SubHeading1"/>
    <w:basedOn w:val="SecHeading"/>
    <w:link w:val="SubHeading1Char"/>
    <w:rsid w:val="001C2E22"/>
    <w:pPr>
      <w:keepNext/>
      <w:tabs>
        <w:tab w:val="clear" w:pos="1296"/>
        <w:tab w:val="num" w:pos="1872"/>
      </w:tabs>
      <w:spacing w:line="240" w:lineRule="auto"/>
      <w:ind w:left="1872"/>
    </w:pPr>
    <w:rPr>
      <w:b w:val="0"/>
    </w:rPr>
  </w:style>
  <w:style w:type="character" w:customStyle="1" w:styleId="SubHeading1Char">
    <w:name w:val="SubHeading1 Char"/>
    <w:link w:val="SubHeading1"/>
    <w:rsid w:val="001C2E22"/>
    <w:rPr>
      <w:rFonts w:ascii="Times New Roman" w:eastAsia="Times New Roman" w:hAnsi="Times New Roman"/>
      <w:b/>
      <w:smallCaps/>
      <w:sz w:val="24"/>
      <w:szCs w:val="24"/>
    </w:rPr>
  </w:style>
  <w:style w:type="paragraph" w:customStyle="1" w:styleId="Subheading2">
    <w:name w:val="Subheading2"/>
    <w:basedOn w:val="SecHeading"/>
    <w:link w:val="Subheading2Char"/>
    <w:rsid w:val="001C2E22"/>
    <w:pPr>
      <w:keepNext/>
      <w:tabs>
        <w:tab w:val="clear" w:pos="1296"/>
        <w:tab w:val="num" w:pos="2376"/>
      </w:tabs>
      <w:spacing w:line="240" w:lineRule="auto"/>
      <w:ind w:left="2376" w:hanging="288"/>
    </w:pPr>
    <w:rPr>
      <w:b w:val="0"/>
    </w:rPr>
  </w:style>
  <w:style w:type="character" w:customStyle="1" w:styleId="Subheading2Char">
    <w:name w:val="Subheading2 Char"/>
    <w:link w:val="Subheading2"/>
    <w:rsid w:val="001C2E22"/>
    <w:rPr>
      <w:rFonts w:ascii="Times New Roman" w:eastAsia="Times New Roman" w:hAnsi="Times New Roman"/>
      <w:b/>
      <w:smallCaps/>
      <w:sz w:val="24"/>
      <w:szCs w:val="24"/>
    </w:rPr>
  </w:style>
  <w:style w:type="paragraph" w:customStyle="1" w:styleId="Regtable">
    <w:name w:val="Regtable"/>
    <w:basedOn w:val="Normal"/>
    <w:link w:val="RegtableChar"/>
    <w:rsid w:val="001C2E22"/>
    <w:pPr>
      <w:keepLines/>
      <w:framePr w:wrap="around" w:vAnchor="text" w:hAnchor="text" w:y="1"/>
      <w:spacing w:before="20" w:after="20"/>
    </w:pPr>
    <w:rPr>
      <w:rFonts w:eastAsia="Times New Roman"/>
      <w:b/>
      <w:smallCaps/>
      <w:szCs w:val="24"/>
    </w:rPr>
  </w:style>
  <w:style w:type="character" w:customStyle="1" w:styleId="RegtableChar">
    <w:name w:val="Regtable Char"/>
    <w:link w:val="Regtable"/>
    <w:rsid w:val="001C2E22"/>
    <w:rPr>
      <w:rFonts w:ascii="Times New Roman" w:eastAsia="Times New Roman" w:hAnsi="Times New Roman"/>
      <w:b/>
      <w:smallCaps/>
      <w:sz w:val="24"/>
      <w:szCs w:val="24"/>
    </w:rPr>
  </w:style>
  <w:style w:type="paragraph" w:customStyle="1" w:styleId="TableTitle">
    <w:name w:val="TableTitle"/>
    <w:basedOn w:val="Normal"/>
    <w:link w:val="TableTitleChar"/>
    <w:rsid w:val="001C2E22"/>
    <w:pPr>
      <w:framePr w:wrap="around" w:vAnchor="text" w:hAnchor="text" w:y="1"/>
      <w:spacing w:before="20" w:after="20"/>
    </w:pPr>
    <w:rPr>
      <w:rFonts w:ascii="Times New Roman Bold" w:eastAsia="Times New Roman" w:hAnsi="Times New Roman Bold"/>
      <w:b/>
      <w:smallCaps/>
      <w:spacing w:val="-3"/>
      <w:szCs w:val="24"/>
    </w:rPr>
  </w:style>
  <w:style w:type="character" w:customStyle="1" w:styleId="TableTitleChar">
    <w:name w:val="TableTitle Char"/>
    <w:link w:val="TableTitle"/>
    <w:rsid w:val="001C2E22"/>
    <w:rPr>
      <w:rFonts w:ascii="Times New Roman Bold" w:eastAsia="Times New Roman" w:hAnsi="Times New Roman Bold" w:cs="Times New Roman Bold"/>
      <w:b/>
      <w:smallCaps/>
      <w:spacing w:val="-3"/>
      <w:sz w:val="24"/>
      <w:szCs w:val="24"/>
    </w:rPr>
  </w:style>
  <w:style w:type="character" w:customStyle="1" w:styleId="Heading2Char">
    <w:name w:val="Heading 2 Char"/>
    <w:link w:val="Heading2"/>
    <w:uiPriority w:val="9"/>
    <w:rsid w:val="007C18C4"/>
    <w:rPr>
      <w:rFonts w:ascii="Times New Roman" w:eastAsia="Times New Roman" w:hAnsi="Times New Roman"/>
      <w:bCs/>
      <w:i/>
      <w:iCs/>
      <w:sz w:val="24"/>
      <w:szCs w:val="28"/>
      <w:u w:val="single"/>
    </w:rPr>
  </w:style>
  <w:style w:type="character" w:customStyle="1" w:styleId="Heading3Char">
    <w:name w:val="Heading 3 Char"/>
    <w:link w:val="Heading3"/>
    <w:uiPriority w:val="9"/>
    <w:semiHidden/>
    <w:rsid w:val="001C2E22"/>
    <w:rPr>
      <w:rFonts w:ascii="Cambria" w:eastAsia="Times New Roman" w:hAnsi="Cambria"/>
      <w:b/>
      <w:bCs/>
      <w:sz w:val="26"/>
      <w:szCs w:val="26"/>
    </w:rPr>
  </w:style>
  <w:style w:type="character" w:customStyle="1" w:styleId="Heading4Char">
    <w:name w:val="Heading 4 Char"/>
    <w:link w:val="Heading4"/>
    <w:uiPriority w:val="9"/>
    <w:semiHidden/>
    <w:rsid w:val="001C2E22"/>
    <w:rPr>
      <w:rFonts w:eastAsia="Times New Roman"/>
      <w:b/>
      <w:bCs/>
      <w:sz w:val="28"/>
      <w:szCs w:val="28"/>
    </w:rPr>
  </w:style>
  <w:style w:type="character" w:customStyle="1" w:styleId="Heading5Char">
    <w:name w:val="Heading 5 Char"/>
    <w:link w:val="Heading5"/>
    <w:uiPriority w:val="9"/>
    <w:semiHidden/>
    <w:rsid w:val="001C2E22"/>
    <w:rPr>
      <w:rFonts w:eastAsia="Times New Roman"/>
      <w:b/>
      <w:bCs/>
      <w:i/>
      <w:iCs/>
      <w:sz w:val="26"/>
      <w:szCs w:val="26"/>
    </w:rPr>
  </w:style>
  <w:style w:type="character" w:customStyle="1" w:styleId="Heading6Char">
    <w:name w:val="Heading 6 Char"/>
    <w:link w:val="Heading6"/>
    <w:uiPriority w:val="9"/>
    <w:semiHidden/>
    <w:rsid w:val="001C2E22"/>
    <w:rPr>
      <w:rFonts w:eastAsia="Times New Roman"/>
      <w:b/>
      <w:bCs/>
      <w:sz w:val="22"/>
      <w:szCs w:val="22"/>
    </w:rPr>
  </w:style>
  <w:style w:type="character" w:customStyle="1" w:styleId="Heading7Char">
    <w:name w:val="Heading 7 Char"/>
    <w:link w:val="Heading7"/>
    <w:uiPriority w:val="9"/>
    <w:semiHidden/>
    <w:rsid w:val="001C2E22"/>
    <w:rPr>
      <w:rFonts w:eastAsia="Times New Roman"/>
      <w:sz w:val="24"/>
      <w:szCs w:val="24"/>
    </w:rPr>
  </w:style>
  <w:style w:type="character" w:customStyle="1" w:styleId="Heading8Char">
    <w:name w:val="Heading 8 Char"/>
    <w:link w:val="Heading8"/>
    <w:uiPriority w:val="9"/>
    <w:semiHidden/>
    <w:rsid w:val="001C2E22"/>
    <w:rPr>
      <w:rFonts w:eastAsia="Times New Roman"/>
      <w:i/>
      <w:iCs/>
      <w:sz w:val="24"/>
      <w:szCs w:val="24"/>
    </w:rPr>
  </w:style>
  <w:style w:type="character" w:customStyle="1" w:styleId="Heading9Char">
    <w:name w:val="Heading 9 Char"/>
    <w:link w:val="Heading9"/>
    <w:uiPriority w:val="9"/>
    <w:semiHidden/>
    <w:rsid w:val="001C2E22"/>
    <w:rPr>
      <w:rFonts w:ascii="Cambria" w:eastAsia="Times New Roman" w:hAnsi="Cambria"/>
      <w:sz w:val="22"/>
      <w:szCs w:val="22"/>
    </w:rPr>
  </w:style>
  <w:style w:type="paragraph" w:customStyle="1" w:styleId="Banknumbered">
    <w:name w:val="Bank numbered"/>
    <w:basedOn w:val="Normal"/>
    <w:link w:val="BanknumberedChar"/>
    <w:qFormat/>
    <w:rsid w:val="00BC3594"/>
    <w:pPr>
      <w:numPr>
        <w:numId w:val="4"/>
      </w:numPr>
      <w:spacing w:before="120" w:after="0" w:line="240" w:lineRule="auto"/>
      <w:ind w:left="0" w:firstLine="0"/>
    </w:pPr>
  </w:style>
  <w:style w:type="character" w:customStyle="1" w:styleId="BanknumberedChar">
    <w:name w:val="Bank numbered Char"/>
    <w:link w:val="Banknumbered"/>
    <w:rsid w:val="00BC3594"/>
    <w:rPr>
      <w:rFonts w:ascii="Times New Roman" w:hAnsi="Times New Roman"/>
      <w:sz w:val="24"/>
      <w:szCs w:val="22"/>
    </w:rPr>
  </w:style>
  <w:style w:type="paragraph" w:customStyle="1" w:styleId="Bullet">
    <w:name w:val="Bullet"/>
    <w:basedOn w:val="Normal"/>
    <w:link w:val="BulletChar"/>
    <w:qFormat/>
    <w:rsid w:val="00BC3594"/>
    <w:pPr>
      <w:numPr>
        <w:numId w:val="5"/>
      </w:numPr>
      <w:spacing w:before="120" w:after="0" w:line="240" w:lineRule="auto"/>
    </w:pPr>
  </w:style>
  <w:style w:type="character" w:customStyle="1" w:styleId="BulletChar">
    <w:name w:val="Bullet Char"/>
    <w:link w:val="Bullet"/>
    <w:rsid w:val="00BC3594"/>
    <w:rPr>
      <w:rFonts w:ascii="Times New Roman" w:hAnsi="Times New Roman"/>
      <w:sz w:val="24"/>
      <w:szCs w:val="22"/>
    </w:rPr>
  </w:style>
  <w:style w:type="paragraph" w:styleId="ListParagraph">
    <w:name w:val="List Paragraph"/>
    <w:basedOn w:val="Normal"/>
    <w:uiPriority w:val="34"/>
    <w:qFormat/>
    <w:rsid w:val="00015B76"/>
    <w:pPr>
      <w:ind w:left="720"/>
      <w:contextualSpacing/>
    </w:pPr>
  </w:style>
  <w:style w:type="table" w:customStyle="1" w:styleId="LightShading-Accent11">
    <w:name w:val="Light Shading - Accent 11"/>
    <w:basedOn w:val="TableNormal"/>
    <w:uiPriority w:val="30"/>
    <w:qFormat/>
    <w:rsid w:val="00D81D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F0393C"/>
    <w:pPr>
      <w:spacing w:line="240" w:lineRule="auto"/>
    </w:pPr>
    <w:rPr>
      <w:b/>
      <w:bCs/>
      <w:szCs w:val="18"/>
      <w:u w:val="single"/>
    </w:rPr>
  </w:style>
  <w:style w:type="character" w:styleId="FollowedHyperlink">
    <w:name w:val="FollowedHyperlink"/>
    <w:basedOn w:val="DefaultParagraphFont"/>
    <w:uiPriority w:val="99"/>
    <w:semiHidden/>
    <w:unhideWhenUsed/>
    <w:rsid w:val="00004201"/>
    <w:rPr>
      <w:color w:val="800080" w:themeColor="followedHyperlink"/>
      <w:u w:val="single"/>
    </w:rPr>
  </w:style>
  <w:style w:type="paragraph" w:customStyle="1" w:styleId="Annex">
    <w:name w:val="Annex"/>
    <w:basedOn w:val="Normal"/>
    <w:rsid w:val="00EB5A0E"/>
    <w:pPr>
      <w:spacing w:after="0" w:line="240" w:lineRule="auto"/>
    </w:pPr>
    <w:rPr>
      <w:rFonts w:eastAsia="Times New Roman"/>
      <w:caps/>
      <w:szCs w:val="20"/>
    </w:rPr>
  </w:style>
  <w:style w:type="paragraph" w:styleId="EndnoteText">
    <w:name w:val="endnote text"/>
    <w:basedOn w:val="Normal"/>
    <w:link w:val="EndnoteTextChar"/>
    <w:uiPriority w:val="99"/>
    <w:unhideWhenUsed/>
    <w:rsid w:val="002A3A9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2A3A98"/>
    <w:rPr>
      <w:rFonts w:ascii="Times New Roman" w:eastAsia="Times New Roman" w:hAnsi="Times New Roman"/>
    </w:rPr>
  </w:style>
  <w:style w:type="character" w:styleId="EndnoteReference">
    <w:name w:val="endnote reference"/>
    <w:basedOn w:val="DefaultParagraphFont"/>
    <w:uiPriority w:val="99"/>
    <w:semiHidden/>
    <w:unhideWhenUsed/>
    <w:rsid w:val="002A3A98"/>
    <w:rPr>
      <w:vertAlign w:val="superscript"/>
    </w:rPr>
  </w:style>
  <w:style w:type="character" w:styleId="SubtleEmphasis">
    <w:name w:val="Subtle Emphasis"/>
    <w:basedOn w:val="DefaultParagraphFont"/>
    <w:uiPriority w:val="19"/>
    <w:qFormat/>
    <w:rsid w:val="005D065A"/>
    <w:rPr>
      <w:i/>
      <w:iCs/>
      <w:color w:val="808080" w:themeColor="text1" w:themeTint="7F"/>
    </w:rPr>
  </w:style>
  <w:style w:type="character" w:customStyle="1" w:styleId="DefaultChar">
    <w:name w:val="Default Char"/>
    <w:basedOn w:val="DefaultParagraphFont"/>
    <w:link w:val="Default"/>
    <w:rsid w:val="00357AF4"/>
    <w:rPr>
      <w:rFonts w:ascii="Times New Roman" w:eastAsia="Times New Roman" w:hAnsi="Times New Roman"/>
      <w:color w:val="000000"/>
      <w:sz w:val="24"/>
      <w:szCs w:val="24"/>
    </w:rPr>
  </w:style>
  <w:style w:type="paragraph" w:styleId="NoSpacing">
    <w:name w:val="No Spacing"/>
    <w:uiPriority w:val="1"/>
    <w:qFormat/>
    <w:rsid w:val="00BF0BAC"/>
    <w:rPr>
      <w:rFonts w:cs="Calibri"/>
      <w:sz w:val="22"/>
      <w:szCs w:val="22"/>
      <w:lang w:val="es-CO"/>
    </w:rPr>
  </w:style>
  <w:style w:type="character" w:styleId="PlaceholderText">
    <w:name w:val="Placeholder Text"/>
    <w:basedOn w:val="DefaultParagraphFont"/>
    <w:uiPriority w:val="99"/>
    <w:rsid w:val="00156DB7"/>
    <w:rPr>
      <w:color w:val="808080"/>
    </w:rPr>
  </w:style>
  <w:style w:type="paragraph" w:styleId="Revision">
    <w:name w:val="Revision"/>
    <w:hidden/>
    <w:uiPriority w:val="99"/>
    <w:rsid w:val="00156DB7"/>
    <w:rPr>
      <w:rFonts w:asciiTheme="minorHAnsi" w:eastAsiaTheme="minorEastAsia" w:hAnsiTheme="minorHAnsi" w:cstheme="minorBidi"/>
      <w:sz w:val="22"/>
      <w:szCs w:val="22"/>
    </w:rPr>
  </w:style>
  <w:style w:type="character" w:styleId="Strong">
    <w:name w:val="Strong"/>
    <w:basedOn w:val="DefaultParagraphFont"/>
    <w:uiPriority w:val="22"/>
    <w:qFormat/>
    <w:rsid w:val="00C665CC"/>
    <w:rPr>
      <w:b/>
      <w:bCs/>
    </w:rPr>
  </w:style>
  <w:style w:type="character" w:styleId="Emphasis">
    <w:name w:val="Emphasis"/>
    <w:basedOn w:val="DefaultParagraphFont"/>
    <w:uiPriority w:val="20"/>
    <w:qFormat/>
    <w:rsid w:val="00C66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583">
      <w:bodyDiv w:val="1"/>
      <w:marLeft w:val="0"/>
      <w:marRight w:val="0"/>
      <w:marTop w:val="0"/>
      <w:marBottom w:val="0"/>
      <w:divBdr>
        <w:top w:val="none" w:sz="0" w:space="0" w:color="auto"/>
        <w:left w:val="none" w:sz="0" w:space="0" w:color="auto"/>
        <w:bottom w:val="none" w:sz="0" w:space="0" w:color="auto"/>
        <w:right w:val="none" w:sz="0" w:space="0" w:color="auto"/>
      </w:divBdr>
    </w:div>
    <w:div w:id="304745884">
      <w:bodyDiv w:val="1"/>
      <w:marLeft w:val="0"/>
      <w:marRight w:val="0"/>
      <w:marTop w:val="0"/>
      <w:marBottom w:val="0"/>
      <w:divBdr>
        <w:top w:val="none" w:sz="0" w:space="0" w:color="auto"/>
        <w:left w:val="none" w:sz="0" w:space="0" w:color="auto"/>
        <w:bottom w:val="none" w:sz="0" w:space="0" w:color="auto"/>
        <w:right w:val="none" w:sz="0" w:space="0" w:color="auto"/>
      </w:divBdr>
    </w:div>
    <w:div w:id="568999477">
      <w:bodyDiv w:val="1"/>
      <w:marLeft w:val="0"/>
      <w:marRight w:val="0"/>
      <w:marTop w:val="0"/>
      <w:marBottom w:val="0"/>
      <w:divBdr>
        <w:top w:val="none" w:sz="0" w:space="0" w:color="auto"/>
        <w:left w:val="none" w:sz="0" w:space="0" w:color="auto"/>
        <w:bottom w:val="none" w:sz="0" w:space="0" w:color="auto"/>
        <w:right w:val="none" w:sz="0" w:space="0" w:color="auto"/>
      </w:divBdr>
    </w:div>
    <w:div w:id="615988525">
      <w:bodyDiv w:val="1"/>
      <w:marLeft w:val="0"/>
      <w:marRight w:val="0"/>
      <w:marTop w:val="0"/>
      <w:marBottom w:val="0"/>
      <w:divBdr>
        <w:top w:val="none" w:sz="0" w:space="0" w:color="auto"/>
        <w:left w:val="none" w:sz="0" w:space="0" w:color="auto"/>
        <w:bottom w:val="none" w:sz="0" w:space="0" w:color="auto"/>
        <w:right w:val="none" w:sz="0" w:space="0" w:color="auto"/>
      </w:divBdr>
    </w:div>
    <w:div w:id="819813828">
      <w:bodyDiv w:val="1"/>
      <w:marLeft w:val="0"/>
      <w:marRight w:val="0"/>
      <w:marTop w:val="0"/>
      <w:marBottom w:val="0"/>
      <w:divBdr>
        <w:top w:val="none" w:sz="0" w:space="0" w:color="auto"/>
        <w:left w:val="none" w:sz="0" w:space="0" w:color="auto"/>
        <w:bottom w:val="none" w:sz="0" w:space="0" w:color="auto"/>
        <w:right w:val="none" w:sz="0" w:space="0" w:color="auto"/>
      </w:divBdr>
    </w:div>
    <w:div w:id="1010450059">
      <w:bodyDiv w:val="1"/>
      <w:marLeft w:val="0"/>
      <w:marRight w:val="0"/>
      <w:marTop w:val="0"/>
      <w:marBottom w:val="0"/>
      <w:divBdr>
        <w:top w:val="none" w:sz="0" w:space="0" w:color="auto"/>
        <w:left w:val="none" w:sz="0" w:space="0" w:color="auto"/>
        <w:bottom w:val="none" w:sz="0" w:space="0" w:color="auto"/>
        <w:right w:val="none" w:sz="0" w:space="0" w:color="auto"/>
      </w:divBdr>
    </w:div>
    <w:div w:id="1057585255">
      <w:bodyDiv w:val="1"/>
      <w:marLeft w:val="0"/>
      <w:marRight w:val="0"/>
      <w:marTop w:val="0"/>
      <w:marBottom w:val="0"/>
      <w:divBdr>
        <w:top w:val="none" w:sz="0" w:space="0" w:color="auto"/>
        <w:left w:val="none" w:sz="0" w:space="0" w:color="auto"/>
        <w:bottom w:val="none" w:sz="0" w:space="0" w:color="auto"/>
        <w:right w:val="none" w:sz="0" w:space="0" w:color="auto"/>
      </w:divBdr>
    </w:div>
    <w:div w:id="1232811989">
      <w:bodyDiv w:val="1"/>
      <w:marLeft w:val="0"/>
      <w:marRight w:val="0"/>
      <w:marTop w:val="0"/>
      <w:marBottom w:val="0"/>
      <w:divBdr>
        <w:top w:val="none" w:sz="0" w:space="0" w:color="auto"/>
        <w:left w:val="none" w:sz="0" w:space="0" w:color="auto"/>
        <w:bottom w:val="none" w:sz="0" w:space="0" w:color="auto"/>
        <w:right w:val="none" w:sz="0" w:space="0" w:color="auto"/>
      </w:divBdr>
    </w:div>
    <w:div w:id="1277567640">
      <w:bodyDiv w:val="1"/>
      <w:marLeft w:val="0"/>
      <w:marRight w:val="0"/>
      <w:marTop w:val="0"/>
      <w:marBottom w:val="0"/>
      <w:divBdr>
        <w:top w:val="none" w:sz="0" w:space="0" w:color="auto"/>
        <w:left w:val="none" w:sz="0" w:space="0" w:color="auto"/>
        <w:bottom w:val="none" w:sz="0" w:space="0" w:color="auto"/>
        <w:right w:val="none" w:sz="0" w:space="0" w:color="auto"/>
      </w:divBdr>
    </w:div>
    <w:div w:id="1287659582">
      <w:bodyDiv w:val="1"/>
      <w:marLeft w:val="0"/>
      <w:marRight w:val="0"/>
      <w:marTop w:val="0"/>
      <w:marBottom w:val="0"/>
      <w:divBdr>
        <w:top w:val="none" w:sz="0" w:space="0" w:color="auto"/>
        <w:left w:val="none" w:sz="0" w:space="0" w:color="auto"/>
        <w:bottom w:val="none" w:sz="0" w:space="0" w:color="auto"/>
        <w:right w:val="none" w:sz="0" w:space="0" w:color="auto"/>
      </w:divBdr>
    </w:div>
    <w:div w:id="1327368160">
      <w:bodyDiv w:val="1"/>
      <w:marLeft w:val="0"/>
      <w:marRight w:val="0"/>
      <w:marTop w:val="0"/>
      <w:marBottom w:val="0"/>
      <w:divBdr>
        <w:top w:val="none" w:sz="0" w:space="0" w:color="auto"/>
        <w:left w:val="none" w:sz="0" w:space="0" w:color="auto"/>
        <w:bottom w:val="none" w:sz="0" w:space="0" w:color="auto"/>
        <w:right w:val="none" w:sz="0" w:space="0" w:color="auto"/>
      </w:divBdr>
    </w:div>
    <w:div w:id="1586843665">
      <w:bodyDiv w:val="1"/>
      <w:marLeft w:val="0"/>
      <w:marRight w:val="0"/>
      <w:marTop w:val="0"/>
      <w:marBottom w:val="0"/>
      <w:divBdr>
        <w:top w:val="none" w:sz="0" w:space="0" w:color="auto"/>
        <w:left w:val="none" w:sz="0" w:space="0" w:color="auto"/>
        <w:bottom w:val="none" w:sz="0" w:space="0" w:color="auto"/>
        <w:right w:val="none" w:sz="0" w:space="0" w:color="auto"/>
      </w:divBdr>
    </w:div>
    <w:div w:id="1763138262">
      <w:bodyDiv w:val="1"/>
      <w:marLeft w:val="0"/>
      <w:marRight w:val="0"/>
      <w:marTop w:val="0"/>
      <w:marBottom w:val="0"/>
      <w:divBdr>
        <w:top w:val="none" w:sz="0" w:space="0" w:color="auto"/>
        <w:left w:val="none" w:sz="0" w:space="0" w:color="auto"/>
        <w:bottom w:val="none" w:sz="0" w:space="0" w:color="auto"/>
        <w:right w:val="none" w:sz="0" w:space="0" w:color="auto"/>
      </w:divBdr>
    </w:div>
    <w:div w:id="1784691428">
      <w:bodyDiv w:val="1"/>
      <w:marLeft w:val="0"/>
      <w:marRight w:val="0"/>
      <w:marTop w:val="0"/>
      <w:marBottom w:val="0"/>
      <w:divBdr>
        <w:top w:val="none" w:sz="0" w:space="0" w:color="auto"/>
        <w:left w:val="none" w:sz="0" w:space="0" w:color="auto"/>
        <w:bottom w:val="none" w:sz="0" w:space="0" w:color="auto"/>
        <w:right w:val="none" w:sz="0" w:space="0" w:color="auto"/>
      </w:divBdr>
    </w:div>
    <w:div w:id="1794447863">
      <w:bodyDiv w:val="1"/>
      <w:marLeft w:val="0"/>
      <w:marRight w:val="0"/>
      <w:marTop w:val="0"/>
      <w:marBottom w:val="0"/>
      <w:divBdr>
        <w:top w:val="none" w:sz="0" w:space="0" w:color="auto"/>
        <w:left w:val="none" w:sz="0" w:space="0" w:color="auto"/>
        <w:bottom w:val="none" w:sz="0" w:space="0" w:color="auto"/>
        <w:right w:val="none" w:sz="0" w:space="0" w:color="auto"/>
      </w:divBdr>
    </w:div>
    <w:div w:id="1814322792">
      <w:bodyDiv w:val="1"/>
      <w:marLeft w:val="0"/>
      <w:marRight w:val="0"/>
      <w:marTop w:val="0"/>
      <w:marBottom w:val="0"/>
      <w:divBdr>
        <w:top w:val="none" w:sz="0" w:space="0" w:color="auto"/>
        <w:left w:val="none" w:sz="0" w:space="0" w:color="auto"/>
        <w:bottom w:val="none" w:sz="0" w:space="0" w:color="auto"/>
        <w:right w:val="none" w:sz="0" w:space="0" w:color="auto"/>
      </w:divBdr>
    </w:div>
    <w:div w:id="1996030792">
      <w:bodyDiv w:val="1"/>
      <w:marLeft w:val="0"/>
      <w:marRight w:val="0"/>
      <w:marTop w:val="0"/>
      <w:marBottom w:val="0"/>
      <w:divBdr>
        <w:top w:val="none" w:sz="0" w:space="0" w:color="auto"/>
        <w:left w:val="none" w:sz="0" w:space="0" w:color="auto"/>
        <w:bottom w:val="none" w:sz="0" w:space="0" w:color="auto"/>
        <w:right w:val="none" w:sz="0" w:space="0" w:color="auto"/>
      </w:divBdr>
    </w:div>
    <w:div w:id="2052344315">
      <w:bodyDiv w:val="1"/>
      <w:marLeft w:val="0"/>
      <w:marRight w:val="0"/>
      <w:marTop w:val="0"/>
      <w:marBottom w:val="0"/>
      <w:divBdr>
        <w:top w:val="none" w:sz="0" w:space="0" w:color="auto"/>
        <w:left w:val="none" w:sz="0" w:space="0" w:color="auto"/>
        <w:bottom w:val="none" w:sz="0" w:space="0" w:color="auto"/>
        <w:right w:val="none" w:sz="0" w:space="0" w:color="auto"/>
      </w:divBdr>
    </w:div>
    <w:div w:id="213005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ustomXml" Target="../customXml/item2.xml"/><Relationship Id="rId10" Type="http://schemas.openxmlformats.org/officeDocument/2006/relationships/image" Target="media/image1.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DE5BE41164C7544A9A0CA6191816F40" ma:contentTypeVersion="0" ma:contentTypeDescription="A content type to manage public (operations) IDB documents" ma:contentTypeScope="" ma:versionID="3f5e14cbebee94e4d771f40cddd0e52a">
  <xsd:schema xmlns:xsd="http://www.w3.org/2001/XMLSchema" xmlns:xs="http://www.w3.org/2001/XMLSchema" xmlns:p="http://schemas.microsoft.com/office/2006/metadata/properties" xmlns:ns2="9c571b2f-e523-4ab2-ba2e-09e151a03ef4" targetNamespace="http://schemas.microsoft.com/office/2006/metadata/properties" ma:root="true" ma:fieldsID="bafd4bc984cf5f6aea22685423225c0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4445462-ea74-4a65-b2dc-4d24fbe905cc}" ma:internalName="TaxCatchAll" ma:showField="CatchAllData" ma:web="bf40e83c-993a-41d3-8d89-aa2461e367f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4445462-ea74-4a65-b2dc-4d24fbe905cc}" ma:internalName="TaxCatchAllLabel" ma:readOnly="true" ma:showField="CatchAllDataLabel" ma:web="bf40e83c-993a-41d3-8d89-aa2461e367f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EVALUATION TRACKING DOCUMENT</Project_x0020_Document_x0020_Type>
    <Business_x0020_Area xmlns="9c571b2f-e523-4ab2-ba2e-09e151a03ef4">a</Business_x0020_Area>
    <IDBDocs_x0020_Number xmlns="9c571b2f-e523-4ab2-ba2e-09e151a03ef4">38033702</IDBDocs_x0020_Number>
    <TaxCatchAll xmlns="9c571b2f-e523-4ab2-ba2e-09e151a03ef4">
      <Value>2</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o5138a91267540169645e33d09c9ddc6>
    <Approval_x0020_Number xmlns="9c571b2f-e523-4ab2-ba2e-09e151a03ef4">SU-L1009</Approval_x0020_Number>
    <Document_x0020_Author xmlns="9c571b2f-e523-4ab2-ba2e-09e151a03ef4">Vanegas, Wilkferg Rico</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Project_x0020_Number xmlns="9c571b2f-e523-4ab2-ba2e-09e151a03ef4">SU-L1009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Loan Proposal</Disclosure_x0020_Activity>
    <Webtopic xmlns="9c571b2f-e523-4ab2-ba2e-09e151a03ef4">EN-ENG</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AFB6E2E0-FC37-4979-BC21-162B34DFD7CD}"/>
</file>

<file path=customXml/itemProps2.xml><?xml version="1.0" encoding="utf-8"?>
<ds:datastoreItem xmlns:ds="http://schemas.openxmlformats.org/officeDocument/2006/customXml" ds:itemID="{55509FB7-4144-4BCC-B3C1-3AEC85B926D5}"/>
</file>

<file path=customXml/itemProps3.xml><?xml version="1.0" encoding="utf-8"?>
<ds:datastoreItem xmlns:ds="http://schemas.openxmlformats.org/officeDocument/2006/customXml" ds:itemID="{261D26A8-2DFF-4099-9AFE-CB962B36D985}"/>
</file>

<file path=customXml/itemProps4.xml><?xml version="1.0" encoding="utf-8"?>
<ds:datastoreItem xmlns:ds="http://schemas.openxmlformats.org/officeDocument/2006/customXml" ds:itemID="{52892FA0-41F9-4688-983C-1E0365B51F54}"/>
</file>

<file path=customXml/itemProps5.xml><?xml version="1.0" encoding="utf-8"?>
<ds:datastoreItem xmlns:ds="http://schemas.openxmlformats.org/officeDocument/2006/customXml" ds:itemID="{60143E02-26C9-47DB-9EBF-71BF863B452C}"/>
</file>

<file path=customXml/itemProps6.xml><?xml version="1.0" encoding="utf-8"?>
<ds:datastoreItem xmlns:ds="http://schemas.openxmlformats.org/officeDocument/2006/customXml" ds:itemID="{4EAE6B36-8713-4FFE-8B6E-EC36A4DC6CF2}"/>
</file>

<file path=docProps/app.xml><?xml version="1.0" encoding="utf-8"?>
<Properties xmlns="http://schemas.openxmlformats.org/officeDocument/2006/extended-properties" xmlns:vt="http://schemas.openxmlformats.org/officeDocument/2006/docPropsVTypes">
  <Template>Normal.dotm</Template>
  <TotalTime>64</TotalTime>
  <Pages>39</Pages>
  <Words>9627</Words>
  <Characters>54875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64374</CharactersWithSpaces>
  <SharedDoc>false</SharedDoc>
  <HLinks>
    <vt:vector size="6" baseType="variant">
      <vt:variant>
        <vt:i4>7667755</vt:i4>
      </vt:variant>
      <vt:variant>
        <vt:i4>42</vt:i4>
      </vt:variant>
      <vt:variant>
        <vt:i4>0</vt:i4>
      </vt:variant>
      <vt:variant>
        <vt:i4>5</vt:i4>
      </vt:variant>
      <vt:variant>
        <vt:lpwstr>http://idbdocs.iadb.org/wsdocs/getDocument.aspx?DOCNUM=36234574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SU-L1009 M_E Plan</dc:title>
  <dc:subject/>
  <dc:creator>christiaang</dc:creator>
  <cp:keywords/>
  <dc:description/>
  <cp:lastModifiedBy>Test</cp:lastModifiedBy>
  <cp:revision>19</cp:revision>
  <cp:lastPrinted>2011-04-14T23:49:00Z</cp:lastPrinted>
  <dcterms:created xsi:type="dcterms:W3CDTF">2013-09-03T16:46:00Z</dcterms:created>
  <dcterms:modified xsi:type="dcterms:W3CDTF">2013-10-03T21:45:00Z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0x01010046CF21643EE8D14686A648AA6DAD0892007DE5BE41164C7544A9A0CA6191816F40</vt:lpwstr>
  </property>
  <property fmtid="{D5CDD505-2E9C-101B-9397-08002B2CF9AE}" pid="3" name="TaxKeyword">
    <vt:lpwstr/>
  </property>
  <property fmtid="{D5CDD505-2E9C-101B-9397-08002B2CF9AE}" pid="4" name="Function Operations IDB">
    <vt:lpwstr>2;#Monitoring and Reporting|df3c2aa1-d63e-41aa-b1f5-bb15dee691ca</vt:lpwstr>
  </property>
  <property fmtid="{D5CDD505-2E9C-101B-9397-08002B2CF9AE}" pid="5" name="Sub_x002d_Sector">
    <vt:lpwstr/>
  </property>
  <property fmtid="{D5CDD505-2E9C-101B-9397-08002B2CF9AE}" pid="6" name="TaxKeywordTaxHTField">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eries Operations IDB">
    <vt:lpwstr/>
  </property>
  <property fmtid="{D5CDD505-2E9C-101B-9397-08002B2CF9AE}" pid="16" name="Sub-Sector">
    <vt:lpwstr/>
  </property>
</Properties>
</file>