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8A" w:rsidRPr="00E942FF" w:rsidRDefault="0019618A" w:rsidP="00A87C94">
      <w:pPr>
        <w:pStyle w:val="Title"/>
        <w:tabs>
          <w:tab w:val="clear" w:pos="1440"/>
          <w:tab w:val="clear" w:pos="3060"/>
        </w:tabs>
        <w:outlineLvl w:val="9"/>
        <w:rPr>
          <w:smallCaps/>
          <w:sz w:val="28"/>
          <w:szCs w:val="28"/>
          <w:lang w:val="es-ES"/>
        </w:rPr>
      </w:pPr>
      <w:r w:rsidRPr="00E942FF">
        <w:rPr>
          <w:smallCaps/>
          <w:sz w:val="28"/>
          <w:szCs w:val="28"/>
          <w:lang w:val="es-ES"/>
        </w:rPr>
        <w:t>Banco Interamericano de Desarrollo</w:t>
      </w:r>
    </w:p>
    <w:p w:rsidR="0019618A" w:rsidRPr="00E942FF" w:rsidRDefault="0019618A" w:rsidP="00A87C94">
      <w:pPr>
        <w:pStyle w:val="ListParagraph"/>
        <w:ind w:left="0"/>
        <w:jc w:val="center"/>
        <w:rPr>
          <w:b/>
          <w:sz w:val="28"/>
          <w:szCs w:val="28"/>
          <w:lang w:val="es-ES"/>
        </w:rPr>
      </w:pPr>
    </w:p>
    <w:p w:rsidR="0019618A" w:rsidRPr="00E942FF" w:rsidRDefault="00B35858" w:rsidP="00A87C94">
      <w:pPr>
        <w:tabs>
          <w:tab w:val="left" w:pos="1440"/>
          <w:tab w:val="left" w:pos="3060"/>
        </w:tabs>
        <w:jc w:val="center"/>
        <w:rPr>
          <w:b/>
          <w:smallCaps/>
          <w:sz w:val="28"/>
          <w:szCs w:val="28"/>
        </w:rPr>
      </w:pPr>
      <w:r>
        <w:rPr>
          <w:b/>
          <w:smallCaps/>
          <w:sz w:val="28"/>
          <w:szCs w:val="28"/>
        </w:rPr>
        <w:t>costa rica</w:t>
      </w:r>
    </w:p>
    <w:p w:rsidR="0019618A" w:rsidRPr="00E942FF" w:rsidRDefault="0019618A" w:rsidP="00A87C94">
      <w:pPr>
        <w:tabs>
          <w:tab w:val="left" w:pos="1440"/>
          <w:tab w:val="left" w:pos="3060"/>
        </w:tabs>
        <w:jc w:val="center"/>
        <w:rPr>
          <w:b/>
          <w:smallCaps/>
          <w:sz w:val="28"/>
          <w:szCs w:val="28"/>
          <w:lang w:val="es-ES"/>
        </w:rPr>
      </w:pPr>
    </w:p>
    <w:p w:rsidR="0019618A" w:rsidRPr="00E942FF" w:rsidRDefault="0019618A" w:rsidP="00A87C94">
      <w:pPr>
        <w:tabs>
          <w:tab w:val="left" w:pos="1440"/>
          <w:tab w:val="left" w:pos="3060"/>
        </w:tabs>
        <w:jc w:val="center"/>
        <w:rPr>
          <w:b/>
          <w:smallCaps/>
          <w:szCs w:val="24"/>
          <w:lang w:val="es-ES"/>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B35858" w:rsidRDefault="00B35858" w:rsidP="00B35858">
      <w:pPr>
        <w:tabs>
          <w:tab w:val="left" w:pos="1440"/>
          <w:tab w:val="left" w:pos="3060"/>
        </w:tabs>
        <w:jc w:val="center"/>
        <w:rPr>
          <w:b/>
          <w:smallCaps/>
          <w:lang w:val="es-ES"/>
        </w:rPr>
      </w:pPr>
      <w:r>
        <w:rPr>
          <w:b/>
          <w:smallCaps/>
          <w:lang w:val="es-AR"/>
        </w:rPr>
        <w:t>Proyecto: mejoramiento de las terminales de transbordadores del golfo de nicoya</w:t>
      </w:r>
    </w:p>
    <w:p w:rsidR="0019618A" w:rsidRPr="00B35858" w:rsidRDefault="0019618A" w:rsidP="00A87C94">
      <w:pPr>
        <w:tabs>
          <w:tab w:val="left" w:pos="1440"/>
          <w:tab w:val="left" w:pos="3060"/>
        </w:tabs>
        <w:jc w:val="center"/>
        <w:rPr>
          <w:b/>
          <w:smallCaps/>
          <w:szCs w:val="24"/>
          <w:lang w:val="es-ES"/>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EC1D86" w:rsidRPr="00E942FF" w:rsidRDefault="00EC1D86"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b/>
          <w:smallCaps/>
          <w:szCs w:val="24"/>
        </w:rPr>
      </w:pPr>
    </w:p>
    <w:p w:rsidR="00C73A82" w:rsidRPr="00E942FF" w:rsidRDefault="00C73A82" w:rsidP="00A87C94">
      <w:pPr>
        <w:tabs>
          <w:tab w:val="left" w:pos="1440"/>
          <w:tab w:val="left" w:pos="3060"/>
        </w:tabs>
        <w:jc w:val="center"/>
        <w:rPr>
          <w:b/>
          <w:smallCaps/>
          <w:szCs w:val="24"/>
        </w:rPr>
      </w:pPr>
    </w:p>
    <w:p w:rsidR="00C73A82" w:rsidRPr="00E942FF" w:rsidRDefault="00C73A82" w:rsidP="00A87C94">
      <w:pPr>
        <w:tabs>
          <w:tab w:val="left" w:pos="1440"/>
          <w:tab w:val="left" w:pos="3060"/>
        </w:tabs>
        <w:jc w:val="center"/>
        <w:rPr>
          <w:b/>
          <w:smallCaps/>
          <w:szCs w:val="24"/>
        </w:rPr>
      </w:pPr>
    </w:p>
    <w:p w:rsidR="0019618A" w:rsidRPr="00E942FF" w:rsidRDefault="0019618A" w:rsidP="00A87C94">
      <w:pPr>
        <w:tabs>
          <w:tab w:val="left" w:pos="1440"/>
          <w:tab w:val="left" w:pos="3060"/>
        </w:tabs>
        <w:jc w:val="center"/>
        <w:rPr>
          <w:smallCaps/>
          <w:sz w:val="28"/>
          <w:szCs w:val="28"/>
          <w:lang w:val="es-ES"/>
        </w:rPr>
      </w:pPr>
    </w:p>
    <w:p w:rsidR="0019618A" w:rsidRPr="00E942FF" w:rsidRDefault="0019618A" w:rsidP="00A87C94">
      <w:pPr>
        <w:tabs>
          <w:tab w:val="left" w:pos="1440"/>
          <w:tab w:val="left" w:pos="3060"/>
        </w:tabs>
        <w:jc w:val="center"/>
        <w:outlineLvl w:val="0"/>
        <w:rPr>
          <w:b/>
          <w:smallCaps/>
          <w:sz w:val="28"/>
          <w:szCs w:val="28"/>
          <w:lang w:val="es-ES"/>
        </w:rPr>
      </w:pPr>
      <w:r w:rsidRPr="00E942FF">
        <w:rPr>
          <w:b/>
          <w:bCs/>
          <w:smallCaps/>
          <w:sz w:val="28"/>
          <w:szCs w:val="28"/>
          <w:lang w:val="es-ES"/>
        </w:rPr>
        <w:t>Anexo de Análisis Económico</w:t>
      </w:r>
    </w:p>
    <w:p w:rsidR="0019618A" w:rsidRPr="00E942FF" w:rsidRDefault="0019618A" w:rsidP="00A87C94">
      <w:pPr>
        <w:tabs>
          <w:tab w:val="left" w:pos="1440"/>
          <w:tab w:val="left" w:pos="3060"/>
        </w:tabs>
        <w:outlineLvl w:val="0"/>
        <w:rPr>
          <w:b/>
          <w:smallCaps/>
          <w:szCs w:val="24"/>
          <w:lang w:val="es-ES"/>
        </w:rPr>
      </w:pPr>
    </w:p>
    <w:p w:rsidR="0019618A" w:rsidRPr="00E942FF" w:rsidRDefault="0019618A" w:rsidP="0071214C">
      <w:pPr>
        <w:pStyle w:val="ListParagraph"/>
        <w:ind w:left="0"/>
        <w:jc w:val="center"/>
        <w:rPr>
          <w:b/>
          <w:szCs w:val="24"/>
          <w:lang w:val="es-ES"/>
        </w:rPr>
      </w:pPr>
    </w:p>
    <w:p w:rsidR="00C73A82" w:rsidRPr="00E942FF" w:rsidRDefault="00C73A82" w:rsidP="0071214C">
      <w:pPr>
        <w:pStyle w:val="ListParagraph"/>
        <w:ind w:left="0"/>
        <w:jc w:val="center"/>
        <w:rPr>
          <w:b/>
          <w:szCs w:val="24"/>
          <w:lang w:val="es-ES"/>
        </w:rPr>
      </w:pPr>
    </w:p>
    <w:p w:rsidR="00C73A82" w:rsidRPr="00E942FF" w:rsidRDefault="00C73A82" w:rsidP="0071214C">
      <w:pPr>
        <w:pStyle w:val="ListParagraph"/>
        <w:ind w:left="0"/>
        <w:jc w:val="center"/>
        <w:rPr>
          <w:b/>
          <w:szCs w:val="24"/>
          <w:lang w:val="es-ES"/>
        </w:rPr>
      </w:pPr>
    </w:p>
    <w:p w:rsidR="0019618A" w:rsidRPr="00E942FF" w:rsidRDefault="0019618A" w:rsidP="0071214C">
      <w:pPr>
        <w:pStyle w:val="ListParagraph"/>
        <w:ind w:left="0"/>
        <w:jc w:val="center"/>
        <w:rPr>
          <w:b/>
          <w:szCs w:val="24"/>
          <w:lang w:val="es-ES"/>
        </w:rPr>
      </w:pPr>
    </w:p>
    <w:p w:rsidR="0019618A" w:rsidRPr="00E942FF" w:rsidRDefault="0019618A" w:rsidP="0071214C">
      <w:pPr>
        <w:pStyle w:val="ListParagraph"/>
        <w:ind w:left="0"/>
        <w:jc w:val="center"/>
        <w:rPr>
          <w:b/>
          <w:szCs w:val="24"/>
          <w:lang w:val="es-ES"/>
        </w:rPr>
      </w:pPr>
    </w:p>
    <w:p w:rsidR="0019618A" w:rsidRPr="00E942FF" w:rsidRDefault="0019618A" w:rsidP="0071214C">
      <w:pPr>
        <w:pStyle w:val="ListParagraph"/>
        <w:ind w:left="0"/>
        <w:jc w:val="center"/>
        <w:rPr>
          <w:b/>
          <w:szCs w:val="24"/>
          <w:lang w:val="es-ES"/>
        </w:rPr>
      </w:pPr>
    </w:p>
    <w:p w:rsidR="0071214C" w:rsidRPr="00E942FF" w:rsidRDefault="0071214C" w:rsidP="0071214C">
      <w:pPr>
        <w:pStyle w:val="ListParagraph"/>
        <w:ind w:left="0"/>
        <w:jc w:val="center"/>
        <w:rPr>
          <w:b/>
          <w:szCs w:val="24"/>
          <w:lang w:val="es-ES"/>
        </w:rPr>
      </w:pPr>
    </w:p>
    <w:p w:rsidR="0071214C" w:rsidRPr="00E942FF" w:rsidRDefault="0071214C" w:rsidP="0071214C">
      <w:pPr>
        <w:pStyle w:val="ListParagraph"/>
        <w:ind w:left="0"/>
        <w:jc w:val="center"/>
        <w:rPr>
          <w:b/>
          <w:szCs w:val="24"/>
          <w:lang w:val="es-ES"/>
        </w:rPr>
      </w:pPr>
    </w:p>
    <w:p w:rsidR="0019618A" w:rsidRPr="00E942FF" w:rsidRDefault="0019618A" w:rsidP="00A87C94">
      <w:pPr>
        <w:tabs>
          <w:tab w:val="left" w:pos="1440"/>
          <w:tab w:val="left" w:pos="3060"/>
        </w:tabs>
        <w:jc w:val="center"/>
        <w:rPr>
          <w:szCs w:val="24"/>
          <w:lang w:val="es-ES"/>
        </w:rPr>
      </w:pPr>
    </w:p>
    <w:p w:rsidR="00B35858" w:rsidRDefault="00B35858" w:rsidP="00B35858">
      <w:pPr>
        <w:pStyle w:val="BodyText"/>
        <w:pBdr>
          <w:top w:val="single" w:sz="4" w:space="1" w:color="auto"/>
          <w:left w:val="single" w:sz="4" w:space="4" w:color="auto"/>
          <w:bottom w:val="single" w:sz="4" w:space="1" w:color="auto"/>
          <w:right w:val="single" w:sz="4" w:space="4" w:color="auto"/>
        </w:pBdr>
        <w:tabs>
          <w:tab w:val="left" w:pos="1440"/>
        </w:tabs>
        <w:jc w:val="both"/>
        <w:rPr>
          <w:lang w:val="es-ES"/>
        </w:rPr>
      </w:pPr>
      <w:r>
        <w:rPr>
          <w:lang w:val="es-ES"/>
        </w:rPr>
        <w:t>Este documento fue elaborado por: Dirección de Planificación Sectorial, Departamento Medios de Transportes, con  asesoría  de</w:t>
      </w:r>
      <w:r w:rsidR="004C05A2">
        <w:rPr>
          <w:lang w:val="es-ES"/>
        </w:rPr>
        <w:t xml:space="preserve"> </w:t>
      </w:r>
      <w:r w:rsidR="00C4788F">
        <w:rPr>
          <w:lang w:val="es-ES"/>
        </w:rPr>
        <w:t xml:space="preserve">la Dirección de Gestión, de </w:t>
      </w:r>
      <w:r w:rsidR="004C05A2">
        <w:rPr>
          <w:lang w:val="es-ES"/>
        </w:rPr>
        <w:t>la División Marítimo Port</w:t>
      </w:r>
      <w:r w:rsidR="00E43AC2">
        <w:rPr>
          <w:lang w:val="es-ES"/>
        </w:rPr>
        <w:t>uaria y con base en evaluación e</w:t>
      </w:r>
      <w:r w:rsidR="004C05A2">
        <w:rPr>
          <w:lang w:val="es-ES"/>
        </w:rPr>
        <w:t>conómica realizada por el Banco Interamericano de Desarrollo (BID)</w:t>
      </w:r>
    </w:p>
    <w:p w:rsidR="00B35858" w:rsidRDefault="00B35858" w:rsidP="00B35858">
      <w:pPr>
        <w:pStyle w:val="BodyText"/>
        <w:pBdr>
          <w:top w:val="single" w:sz="4" w:space="1" w:color="auto"/>
          <w:left w:val="single" w:sz="4" w:space="4" w:color="auto"/>
          <w:bottom w:val="single" w:sz="4" w:space="1" w:color="auto"/>
          <w:right w:val="single" w:sz="4" w:space="4" w:color="auto"/>
        </w:pBdr>
        <w:tabs>
          <w:tab w:val="left" w:pos="1440"/>
        </w:tabs>
        <w:jc w:val="both"/>
        <w:rPr>
          <w:lang w:val="es-ES"/>
        </w:rPr>
      </w:pPr>
    </w:p>
    <w:p w:rsidR="00B35858" w:rsidRDefault="00B35858" w:rsidP="00B35858">
      <w:pPr>
        <w:pStyle w:val="BodyText"/>
        <w:pBdr>
          <w:top w:val="single" w:sz="4" w:space="1" w:color="auto"/>
          <w:left w:val="single" w:sz="4" w:space="4" w:color="auto"/>
          <w:bottom w:val="single" w:sz="4" w:space="1" w:color="auto"/>
          <w:right w:val="single" w:sz="4" w:space="4" w:color="auto"/>
        </w:pBdr>
        <w:tabs>
          <w:tab w:val="left" w:pos="1440"/>
        </w:tabs>
        <w:jc w:val="both"/>
        <w:rPr>
          <w:lang w:val="es-ES"/>
        </w:rPr>
      </w:pPr>
      <w:r>
        <w:rPr>
          <w:lang w:val="es-ES"/>
        </w:rPr>
        <w:t xml:space="preserve">Ministerio de Obras Públicas y Transportes.  </w:t>
      </w:r>
    </w:p>
    <w:p w:rsidR="00B35858" w:rsidRDefault="00B35858" w:rsidP="00B35858">
      <w:pPr>
        <w:pStyle w:val="BodyText"/>
        <w:pBdr>
          <w:top w:val="single" w:sz="4" w:space="1" w:color="auto"/>
          <w:left w:val="single" w:sz="4" w:space="4" w:color="auto"/>
          <w:bottom w:val="single" w:sz="4" w:space="1" w:color="auto"/>
          <w:right w:val="single" w:sz="4" w:space="4" w:color="auto"/>
        </w:pBdr>
        <w:tabs>
          <w:tab w:val="left" w:pos="1440"/>
        </w:tabs>
        <w:jc w:val="both"/>
        <w:rPr>
          <w:lang w:val="es-ES"/>
        </w:rPr>
      </w:pPr>
    </w:p>
    <w:p w:rsidR="00B35858" w:rsidRDefault="00FE4043" w:rsidP="00B35858">
      <w:pPr>
        <w:pStyle w:val="BodyText"/>
        <w:pBdr>
          <w:top w:val="single" w:sz="4" w:space="1" w:color="auto"/>
          <w:left w:val="single" w:sz="4" w:space="4" w:color="auto"/>
          <w:bottom w:val="single" w:sz="4" w:space="1" w:color="auto"/>
          <w:right w:val="single" w:sz="4" w:space="4" w:color="auto"/>
        </w:pBdr>
        <w:tabs>
          <w:tab w:val="left" w:pos="1440"/>
        </w:tabs>
        <w:jc w:val="both"/>
        <w:rPr>
          <w:lang w:val="es-ES"/>
        </w:rPr>
      </w:pPr>
      <w:r>
        <w:rPr>
          <w:lang w:val="es-ES"/>
        </w:rPr>
        <w:t>Jul</w:t>
      </w:r>
      <w:r w:rsidR="007253AD">
        <w:rPr>
          <w:lang w:val="es-ES"/>
        </w:rPr>
        <w:t>io</w:t>
      </w:r>
      <w:r w:rsidR="004C05A2">
        <w:rPr>
          <w:lang w:val="es-ES"/>
        </w:rPr>
        <w:t>, 2013</w:t>
      </w:r>
      <w:r w:rsidR="00B35858">
        <w:rPr>
          <w:lang w:val="es-ES"/>
        </w:rPr>
        <w:t>.</w:t>
      </w:r>
    </w:p>
    <w:p w:rsidR="0019618A" w:rsidRDefault="0019618A" w:rsidP="00A87C94">
      <w:pPr>
        <w:pStyle w:val="BodyText"/>
        <w:pBdr>
          <w:top w:val="single" w:sz="4" w:space="1" w:color="auto"/>
          <w:left w:val="single" w:sz="4" w:space="4" w:color="auto"/>
          <w:bottom w:val="single" w:sz="4" w:space="1" w:color="auto"/>
          <w:right w:val="single" w:sz="4" w:space="4" w:color="auto"/>
        </w:pBdr>
        <w:tabs>
          <w:tab w:val="left" w:pos="1440"/>
        </w:tabs>
        <w:jc w:val="both"/>
        <w:rPr>
          <w:szCs w:val="24"/>
          <w:lang w:val="es-ES"/>
        </w:rPr>
      </w:pPr>
    </w:p>
    <w:p w:rsidR="000403B5" w:rsidRPr="00E942FF" w:rsidRDefault="000403B5" w:rsidP="00A87C94">
      <w:pPr>
        <w:pStyle w:val="BodyText"/>
        <w:pBdr>
          <w:top w:val="single" w:sz="4" w:space="1" w:color="auto"/>
          <w:left w:val="single" w:sz="4" w:space="4" w:color="auto"/>
          <w:bottom w:val="single" w:sz="4" w:space="1" w:color="auto"/>
          <w:right w:val="single" w:sz="4" w:space="4" w:color="auto"/>
        </w:pBdr>
        <w:tabs>
          <w:tab w:val="left" w:pos="1440"/>
        </w:tabs>
        <w:jc w:val="both"/>
        <w:rPr>
          <w:szCs w:val="24"/>
          <w:lang w:val="es-ES"/>
        </w:rPr>
      </w:pPr>
    </w:p>
    <w:p w:rsidR="0019618A" w:rsidRPr="00E942FF" w:rsidRDefault="0019618A" w:rsidP="00A87C94">
      <w:pPr>
        <w:pStyle w:val="BodyText"/>
        <w:pBdr>
          <w:top w:val="single" w:sz="4" w:space="1" w:color="auto"/>
          <w:left w:val="single" w:sz="4" w:space="4" w:color="auto"/>
          <w:bottom w:val="single" w:sz="4" w:space="1" w:color="auto"/>
          <w:right w:val="single" w:sz="4" w:space="4" w:color="auto"/>
        </w:pBdr>
        <w:tabs>
          <w:tab w:val="left" w:pos="1440"/>
        </w:tabs>
        <w:jc w:val="both"/>
        <w:rPr>
          <w:szCs w:val="24"/>
          <w:lang w:val="es-ES"/>
        </w:rPr>
      </w:pPr>
    </w:p>
    <w:p w:rsidR="0019618A" w:rsidRPr="00E942FF" w:rsidRDefault="0019618A" w:rsidP="00A87C94">
      <w:pPr>
        <w:pStyle w:val="BodyText"/>
        <w:pBdr>
          <w:top w:val="single" w:sz="4" w:space="1" w:color="auto"/>
          <w:left w:val="single" w:sz="4" w:space="4" w:color="auto"/>
          <w:bottom w:val="single" w:sz="4" w:space="1" w:color="auto"/>
          <w:right w:val="single" w:sz="4" w:space="4" w:color="auto"/>
        </w:pBdr>
        <w:tabs>
          <w:tab w:val="left" w:pos="1440"/>
        </w:tabs>
        <w:jc w:val="both"/>
        <w:rPr>
          <w:szCs w:val="24"/>
          <w:lang w:val="es-ES"/>
        </w:rPr>
      </w:pPr>
    </w:p>
    <w:p w:rsidR="0019618A" w:rsidRPr="00E942FF" w:rsidRDefault="0019618A" w:rsidP="00A87C94">
      <w:pPr>
        <w:pStyle w:val="BodyText"/>
        <w:pBdr>
          <w:top w:val="single" w:sz="4" w:space="1" w:color="auto"/>
          <w:left w:val="single" w:sz="4" w:space="4" w:color="auto"/>
          <w:bottom w:val="single" w:sz="4" w:space="1" w:color="auto"/>
          <w:right w:val="single" w:sz="4" w:space="4" w:color="auto"/>
        </w:pBdr>
        <w:tabs>
          <w:tab w:val="left" w:pos="1440"/>
        </w:tabs>
        <w:jc w:val="both"/>
        <w:rPr>
          <w:b/>
          <w:szCs w:val="24"/>
          <w:lang w:val="es-ES"/>
        </w:rPr>
      </w:pPr>
    </w:p>
    <w:p w:rsidR="0019618A" w:rsidRPr="00E942FF" w:rsidRDefault="0019618A" w:rsidP="00A87C94">
      <w:pPr>
        <w:autoSpaceDE w:val="0"/>
        <w:autoSpaceDN w:val="0"/>
        <w:adjustRightInd w:val="0"/>
        <w:jc w:val="both"/>
        <w:rPr>
          <w:b/>
          <w:bCs/>
          <w:i/>
          <w:iCs/>
          <w:szCs w:val="24"/>
          <w:lang w:val="es-ES"/>
        </w:rPr>
      </w:pPr>
    </w:p>
    <w:p w:rsidR="0019618A" w:rsidRPr="00E942FF" w:rsidRDefault="0019618A" w:rsidP="00A87C94">
      <w:pPr>
        <w:pStyle w:val="BodyText"/>
        <w:rPr>
          <w:b/>
        </w:rPr>
        <w:sectPr w:rsidR="0019618A" w:rsidRPr="00E942FF" w:rsidSect="0071214C">
          <w:headerReference w:type="even" r:id="rId9"/>
          <w:footerReference w:type="even" r:id="rId10"/>
          <w:footerReference w:type="default" r:id="rId11"/>
          <w:headerReference w:type="first" r:id="rId12"/>
          <w:pgSz w:w="12242" w:h="15842" w:code="1"/>
          <w:pgMar w:top="1440" w:right="1298" w:bottom="1134" w:left="1797" w:header="731" w:footer="731" w:gutter="0"/>
          <w:cols w:space="720"/>
        </w:sectPr>
      </w:pPr>
    </w:p>
    <w:p w:rsidR="00AC2586" w:rsidRDefault="00AC2586" w:rsidP="00AC2586">
      <w:pPr>
        <w:tabs>
          <w:tab w:val="left" w:pos="1440"/>
          <w:tab w:val="left" w:pos="3060"/>
        </w:tabs>
        <w:jc w:val="center"/>
        <w:rPr>
          <w:b/>
          <w:smallCaps/>
          <w:lang w:val="es-ES"/>
        </w:rPr>
      </w:pPr>
      <w:r>
        <w:rPr>
          <w:b/>
          <w:smallCaps/>
          <w:lang w:val="es-AR"/>
        </w:rPr>
        <w:lastRenderedPageBreak/>
        <w:t>Proyecto: mejoramiento de las terminales de transbordadores del golfo de nicoya</w:t>
      </w:r>
    </w:p>
    <w:p w:rsidR="0019618A" w:rsidRDefault="00AC2586" w:rsidP="00A87C94">
      <w:pPr>
        <w:pStyle w:val="BodyText"/>
        <w:rPr>
          <w:b/>
        </w:rPr>
      </w:pPr>
      <w:r>
        <w:rPr>
          <w:b/>
          <w:lang w:val="es-ES"/>
        </w:rPr>
        <w:t xml:space="preserve">Evaluación </w:t>
      </w:r>
      <w:r w:rsidR="0019618A" w:rsidRPr="00E942FF">
        <w:rPr>
          <w:b/>
        </w:rPr>
        <w:t>Económica</w:t>
      </w:r>
    </w:p>
    <w:p w:rsidR="00C90271" w:rsidRPr="00E942FF" w:rsidRDefault="00C90271" w:rsidP="00A87C94">
      <w:pPr>
        <w:pStyle w:val="BodyText"/>
        <w:rPr>
          <w:b/>
        </w:rPr>
      </w:pPr>
    </w:p>
    <w:p w:rsidR="00133CDE" w:rsidRDefault="00625B53" w:rsidP="00A87C94">
      <w:pPr>
        <w:widowControl w:val="0"/>
        <w:numPr>
          <w:ilvl w:val="0"/>
          <w:numId w:val="2"/>
        </w:numPr>
        <w:adjustRightInd w:val="0"/>
        <w:jc w:val="both"/>
        <w:textAlignment w:val="baseline"/>
        <w:rPr>
          <w:b/>
        </w:rPr>
      </w:pPr>
      <w:r w:rsidRPr="00E942FF">
        <w:rPr>
          <w:b/>
        </w:rPr>
        <w:t>Introducción.</w:t>
      </w:r>
    </w:p>
    <w:p w:rsidR="009075E8" w:rsidRDefault="009075E8" w:rsidP="009075E8">
      <w:pPr>
        <w:widowControl w:val="0"/>
        <w:adjustRightInd w:val="0"/>
        <w:jc w:val="both"/>
        <w:textAlignment w:val="baseline"/>
        <w:rPr>
          <w:b/>
        </w:rPr>
      </w:pPr>
    </w:p>
    <w:p w:rsidR="00CD648F" w:rsidRPr="00E73BD2" w:rsidRDefault="00B027CA" w:rsidP="00D63219">
      <w:pPr>
        <w:pStyle w:val="ListParagraph"/>
        <w:numPr>
          <w:ilvl w:val="1"/>
          <w:numId w:val="2"/>
        </w:numPr>
        <w:spacing w:after="120"/>
        <w:jc w:val="both"/>
        <w:rPr>
          <w:szCs w:val="24"/>
          <w:lang w:val="es-CR"/>
        </w:rPr>
      </w:pPr>
      <w:r w:rsidRPr="00E73BD2">
        <w:rPr>
          <w:szCs w:val="24"/>
          <w:lang w:val="es-CR"/>
        </w:rPr>
        <w:t>E</w:t>
      </w:r>
      <w:r w:rsidR="00D63219" w:rsidRPr="00E73BD2">
        <w:rPr>
          <w:szCs w:val="24"/>
          <w:lang w:val="es-CR"/>
        </w:rPr>
        <w:t>ste</w:t>
      </w:r>
      <w:r w:rsidRPr="00E73BD2">
        <w:rPr>
          <w:szCs w:val="24"/>
          <w:lang w:val="es-CR"/>
        </w:rPr>
        <w:t xml:space="preserve"> informe </w:t>
      </w:r>
      <w:r w:rsidR="00D63219" w:rsidRPr="00E73BD2">
        <w:rPr>
          <w:szCs w:val="24"/>
          <w:lang w:val="es-CR"/>
        </w:rPr>
        <w:t>presenta</w:t>
      </w:r>
      <w:r w:rsidRPr="00E73BD2">
        <w:rPr>
          <w:szCs w:val="24"/>
          <w:lang w:val="es-CR"/>
        </w:rPr>
        <w:t xml:space="preserve"> la evaluación económica</w:t>
      </w:r>
      <w:r w:rsidR="008A3E44">
        <w:rPr>
          <w:szCs w:val="24"/>
          <w:lang w:val="es-CR"/>
        </w:rPr>
        <w:t xml:space="preserve"> </w:t>
      </w:r>
      <w:r w:rsidR="00D63219" w:rsidRPr="00E73BD2">
        <w:rPr>
          <w:szCs w:val="24"/>
          <w:lang w:val="es-CR"/>
        </w:rPr>
        <w:t xml:space="preserve">del proyecto </w:t>
      </w:r>
      <w:r w:rsidR="00DF5A03" w:rsidRPr="00DF5A03">
        <w:rPr>
          <w:i/>
          <w:szCs w:val="24"/>
          <w:lang w:val="es-CR"/>
        </w:rPr>
        <w:t>“M</w:t>
      </w:r>
      <w:r w:rsidR="00D63219" w:rsidRPr="00DF5A03">
        <w:rPr>
          <w:i/>
          <w:szCs w:val="24"/>
          <w:lang w:val="es-AR"/>
        </w:rPr>
        <w:t>ejoramiento de las terminales de transbordadores del Golfo de Nicoya (</w:t>
      </w:r>
      <w:r w:rsidRPr="00DF5A03">
        <w:rPr>
          <w:i/>
          <w:szCs w:val="24"/>
          <w:lang w:val="es-CR"/>
        </w:rPr>
        <w:t>Barrio El Carmen de Puntarenas, Paquera y Playa Naranjo)</w:t>
      </w:r>
      <w:r w:rsidR="00D63219" w:rsidRPr="00E73BD2">
        <w:rPr>
          <w:szCs w:val="24"/>
          <w:lang w:val="es-CR"/>
        </w:rPr>
        <w:t>, ubicado en la Provincia de Puntarenas</w:t>
      </w:r>
      <w:r w:rsidR="007930DB" w:rsidRPr="00E73BD2">
        <w:rPr>
          <w:szCs w:val="24"/>
          <w:lang w:val="es-CR"/>
        </w:rPr>
        <w:t xml:space="preserve">. </w:t>
      </w:r>
      <w:r w:rsidR="008A3E44">
        <w:rPr>
          <w:szCs w:val="24"/>
          <w:lang w:val="es-CR"/>
        </w:rPr>
        <w:t>Toda la información que sustenta esta evaluación económica (Hojas de cálculo) fue suministrada por el consultor del Banco Interamericano de Desarrollo</w:t>
      </w:r>
      <w:r w:rsidR="00851978">
        <w:rPr>
          <w:szCs w:val="24"/>
          <w:lang w:val="es-CR"/>
        </w:rPr>
        <w:t>, según se indica en la fuente de cada cuadro incorporado</w:t>
      </w:r>
      <w:r w:rsidR="008A3E44">
        <w:rPr>
          <w:szCs w:val="24"/>
          <w:lang w:val="es-CR"/>
        </w:rPr>
        <w:t xml:space="preserve">. </w:t>
      </w:r>
      <w:r w:rsidR="007930DB" w:rsidRPr="00E73BD2">
        <w:rPr>
          <w:szCs w:val="24"/>
          <w:lang w:val="es-CR"/>
        </w:rPr>
        <w:t xml:space="preserve">La importancia del  proyecto </w:t>
      </w:r>
      <w:r w:rsidR="00D63219" w:rsidRPr="00E73BD2">
        <w:rPr>
          <w:szCs w:val="24"/>
          <w:lang w:val="es-CR"/>
        </w:rPr>
        <w:t xml:space="preserve">radica </w:t>
      </w:r>
      <w:r w:rsidR="00DF5A03">
        <w:rPr>
          <w:szCs w:val="24"/>
          <w:lang w:val="es-CR"/>
        </w:rPr>
        <w:t>en que estas terminales son esenciales para los servicios públicos de cabotaje, modalidad transbordador, existentes en el Golfo de Nicoya</w:t>
      </w:r>
      <w:r w:rsidR="008E3D84">
        <w:rPr>
          <w:szCs w:val="24"/>
          <w:lang w:val="es-CR"/>
        </w:rPr>
        <w:t>. Servicios públicos que son generadores de oportunidades de desarrollo</w:t>
      </w:r>
      <w:r w:rsidR="00D63219" w:rsidRPr="00E73BD2">
        <w:rPr>
          <w:szCs w:val="24"/>
          <w:lang w:val="es-CR"/>
        </w:rPr>
        <w:t xml:space="preserve"> turístico, comercial y </w:t>
      </w:r>
      <w:r w:rsidR="008E3D84">
        <w:rPr>
          <w:szCs w:val="24"/>
          <w:lang w:val="es-CR"/>
        </w:rPr>
        <w:t>económico de la unidad geo</w:t>
      </w:r>
      <w:r w:rsidR="00D63219" w:rsidRPr="00E73BD2">
        <w:rPr>
          <w:szCs w:val="24"/>
          <w:lang w:val="es-CR"/>
        </w:rPr>
        <w:t>gráfica que compone el Golfo y la Península de Nicoya</w:t>
      </w:r>
      <w:r w:rsidR="008E3D84">
        <w:rPr>
          <w:szCs w:val="24"/>
          <w:lang w:val="es-CR"/>
        </w:rPr>
        <w:t>, el Valle Central (mediante la conexión Autopista a Caldera, u otras vías), así como con la ciudad de Puntarenas y los poblados de Paquera y Playa Naranjo</w:t>
      </w:r>
      <w:r w:rsidR="00CD648F" w:rsidRPr="00E73BD2">
        <w:rPr>
          <w:szCs w:val="24"/>
          <w:lang w:val="es-CR"/>
        </w:rPr>
        <w:t>.</w:t>
      </w:r>
    </w:p>
    <w:p w:rsidR="00B027CA" w:rsidRPr="00E73BD2" w:rsidRDefault="008E3D84" w:rsidP="00D63219">
      <w:pPr>
        <w:spacing w:after="120"/>
        <w:ind w:left="360"/>
        <w:jc w:val="both"/>
        <w:rPr>
          <w:szCs w:val="24"/>
          <w:lang w:val="es-CR"/>
        </w:rPr>
      </w:pPr>
      <w:r>
        <w:rPr>
          <w:szCs w:val="24"/>
          <w:lang w:val="es-CR"/>
        </w:rPr>
        <w:t xml:space="preserve">Estos servicios públicos de cabotaje mediante transbordadores, son los más importantes del país y están constituidos por dos </w:t>
      </w:r>
      <w:r w:rsidR="00B027CA" w:rsidRPr="00E73BD2">
        <w:rPr>
          <w:szCs w:val="24"/>
          <w:lang w:val="es-CR"/>
        </w:rPr>
        <w:t xml:space="preserve">rutas: </w:t>
      </w:r>
    </w:p>
    <w:p w:rsidR="00B027CA" w:rsidRPr="00E73BD2" w:rsidRDefault="00B027CA" w:rsidP="00B027CA">
      <w:pPr>
        <w:pStyle w:val="ListParagraph"/>
        <w:numPr>
          <w:ilvl w:val="0"/>
          <w:numId w:val="21"/>
        </w:numPr>
        <w:spacing w:after="120" w:line="276" w:lineRule="auto"/>
        <w:jc w:val="both"/>
        <w:rPr>
          <w:szCs w:val="24"/>
          <w:lang w:val="es-CR"/>
        </w:rPr>
      </w:pPr>
      <w:r w:rsidRPr="00E73BD2">
        <w:rPr>
          <w:szCs w:val="24"/>
          <w:lang w:val="es-CR"/>
        </w:rPr>
        <w:t xml:space="preserve">Barrio el Carmen, Puntarenas – Paquera y viceversa, con una longitud de 12.2 millas </w:t>
      </w:r>
      <w:r w:rsidR="00105DD2" w:rsidRPr="00E73BD2">
        <w:rPr>
          <w:szCs w:val="24"/>
          <w:lang w:val="es-CR"/>
        </w:rPr>
        <w:t>náuticas</w:t>
      </w:r>
      <w:r w:rsidRPr="00E73BD2">
        <w:rPr>
          <w:szCs w:val="24"/>
          <w:lang w:val="es-CR"/>
        </w:rPr>
        <w:t xml:space="preserve">, la cual está en concesión a la empresa Naviera Tambor S. A. </w:t>
      </w:r>
    </w:p>
    <w:p w:rsidR="00B027CA" w:rsidRPr="00E73BD2" w:rsidRDefault="00B027CA" w:rsidP="00B027CA">
      <w:pPr>
        <w:pStyle w:val="ListParagraph"/>
        <w:numPr>
          <w:ilvl w:val="0"/>
          <w:numId w:val="21"/>
        </w:numPr>
        <w:spacing w:after="120" w:line="276" w:lineRule="auto"/>
        <w:jc w:val="both"/>
        <w:rPr>
          <w:szCs w:val="24"/>
          <w:lang w:val="es-CR"/>
        </w:rPr>
      </w:pPr>
      <w:r w:rsidRPr="00E73BD2">
        <w:rPr>
          <w:szCs w:val="24"/>
          <w:lang w:val="es-CR"/>
        </w:rPr>
        <w:t xml:space="preserve">y  Barrio el Carmen, Puntarenas – Playa Naranjo y viceversa, cuya longitud es de 10 millas </w:t>
      </w:r>
      <w:r w:rsidR="00105DD2" w:rsidRPr="00E73BD2">
        <w:rPr>
          <w:szCs w:val="24"/>
          <w:lang w:val="es-CR"/>
        </w:rPr>
        <w:t>náuticas</w:t>
      </w:r>
      <w:r w:rsidRPr="00E73BD2">
        <w:rPr>
          <w:szCs w:val="24"/>
          <w:lang w:val="es-CR"/>
        </w:rPr>
        <w:t>, a cargo de la Cooperativa Autogestionaria de Transporte Marítimo R.L</w:t>
      </w:r>
      <w:r w:rsidR="00763CE5" w:rsidRPr="00E73BD2">
        <w:rPr>
          <w:szCs w:val="24"/>
          <w:lang w:val="es-CR"/>
        </w:rPr>
        <w:t>. (</w:t>
      </w:r>
      <w:r w:rsidRPr="00E73BD2">
        <w:rPr>
          <w:szCs w:val="24"/>
          <w:lang w:val="es-CR"/>
        </w:rPr>
        <w:t>COONATRAMAR R.L),  mediante la modalidad de permiso.</w:t>
      </w:r>
    </w:p>
    <w:p w:rsidR="00B027CA" w:rsidRPr="00E73BD2" w:rsidRDefault="00B027CA" w:rsidP="00D63219">
      <w:pPr>
        <w:spacing w:after="120"/>
        <w:ind w:left="360"/>
        <w:jc w:val="both"/>
        <w:rPr>
          <w:szCs w:val="24"/>
          <w:lang w:val="es-CR"/>
        </w:rPr>
      </w:pPr>
      <w:r w:rsidRPr="00E73BD2">
        <w:rPr>
          <w:szCs w:val="24"/>
          <w:lang w:val="es-CR"/>
        </w:rPr>
        <w:t xml:space="preserve">El servicio de cabotaje se brinda de manera continua durante todo el año, en algunas épocas el aumento de la demanda de vehículos requiere de una mayor frecuencia de salida de los transbordadores, que en ocasiones no logra ser satisfecha plenamente por los operadores, provocándose tiempos de espera para los usuarios, principalmente durante los períodos de temporada alta extraordinaria (Semana Santa y fin y principio de año). </w:t>
      </w:r>
    </w:p>
    <w:p w:rsidR="00B027CA" w:rsidRPr="00E73BD2" w:rsidRDefault="00B027CA" w:rsidP="00D63219">
      <w:pPr>
        <w:spacing w:after="120"/>
        <w:ind w:left="360"/>
        <w:jc w:val="both"/>
        <w:rPr>
          <w:szCs w:val="24"/>
          <w:lang w:val="es-CR"/>
        </w:rPr>
      </w:pPr>
      <w:r w:rsidRPr="00E73BD2">
        <w:rPr>
          <w:szCs w:val="24"/>
          <w:lang w:val="es-CR"/>
        </w:rPr>
        <w:t>Este proyecto no sólo permitirá mejorar la infraestructura de las terminales sino que también la calidad de los servicios de cabotaje y por ende la calidad de vida de los habitantes de la región Pacífico Central y la Península de Nicoya, disminuyendo de manera significativa los riesgos de afectación de la continuidad de estos servicios públicos por el estado crítico en que se encuentran las terminales actualmente. También tendrá una incidencia directa en la interacción con el resto del territorio, permitiendo un mayor desarrollo de sus actividades e</w:t>
      </w:r>
      <w:r w:rsidR="00E43AC2">
        <w:rPr>
          <w:szCs w:val="24"/>
          <w:lang w:val="es-CR"/>
        </w:rPr>
        <w:t>conómicas, sociales, turísticas;</w:t>
      </w:r>
      <w:r w:rsidRPr="00E73BD2">
        <w:rPr>
          <w:szCs w:val="24"/>
          <w:lang w:val="es-CR"/>
        </w:rPr>
        <w:t xml:space="preserve"> entre otras.</w:t>
      </w:r>
    </w:p>
    <w:p w:rsidR="00B027CA" w:rsidRDefault="00B027CA" w:rsidP="00B027CA">
      <w:pPr>
        <w:rPr>
          <w:rFonts w:ascii="Arial" w:hAnsi="Arial" w:cs="Arial"/>
          <w:sz w:val="22"/>
          <w:szCs w:val="22"/>
          <w:lang w:val="es-CR"/>
        </w:rPr>
      </w:pPr>
    </w:p>
    <w:p w:rsidR="008E3569" w:rsidRDefault="004C05A2" w:rsidP="008E3569">
      <w:pPr>
        <w:widowControl w:val="0"/>
        <w:numPr>
          <w:ilvl w:val="1"/>
          <w:numId w:val="2"/>
        </w:numPr>
        <w:tabs>
          <w:tab w:val="clear" w:pos="360"/>
          <w:tab w:val="num" w:pos="709"/>
        </w:tabs>
        <w:adjustRightInd w:val="0"/>
        <w:ind w:left="709" w:hanging="709"/>
        <w:jc w:val="both"/>
        <w:textAlignment w:val="baseline"/>
      </w:pPr>
      <w:r w:rsidRPr="004C05A2">
        <w:rPr>
          <w:szCs w:val="24"/>
          <w:lang w:val="es-CR"/>
        </w:rPr>
        <w:t>L</w:t>
      </w:r>
      <w:r w:rsidR="00CD648F" w:rsidRPr="004C05A2">
        <w:rPr>
          <w:szCs w:val="24"/>
          <w:lang w:val="es-ES_tradnl"/>
        </w:rPr>
        <w:t xml:space="preserve">a evaluación económica </w:t>
      </w:r>
      <w:r w:rsidRPr="004C05A2">
        <w:rPr>
          <w:szCs w:val="24"/>
          <w:lang w:val="es-ES_tradnl"/>
        </w:rPr>
        <w:t xml:space="preserve">utiliza el modelo </w:t>
      </w:r>
      <w:r w:rsidR="00913F4D">
        <w:rPr>
          <w:szCs w:val="24"/>
          <w:lang w:val="es-ES_tradnl"/>
        </w:rPr>
        <w:t>de evaluación</w:t>
      </w:r>
      <w:r w:rsidRPr="004C05A2">
        <w:rPr>
          <w:szCs w:val="24"/>
          <w:lang w:val="es-ES_tradnl"/>
        </w:rPr>
        <w:t xml:space="preserve"> HDM</w:t>
      </w:r>
      <w:r w:rsidR="007C2C10">
        <w:rPr>
          <w:szCs w:val="24"/>
          <w:lang w:val="es-ES_tradnl"/>
        </w:rPr>
        <w:t>-4</w:t>
      </w:r>
      <w:r w:rsidR="00913F4D">
        <w:rPr>
          <w:szCs w:val="24"/>
          <w:lang w:val="es-ES_tradnl"/>
        </w:rPr>
        <w:t xml:space="preserve"> del Banco Mundial (Modelo de Desarrollo y Gestión de Carreteras). </w:t>
      </w:r>
      <w:r w:rsidRPr="004C05A2">
        <w:rPr>
          <w:szCs w:val="24"/>
          <w:lang w:val="es-ES_tradnl"/>
        </w:rPr>
        <w:t xml:space="preserve"> </w:t>
      </w:r>
      <w:r w:rsidR="00913F4D">
        <w:rPr>
          <w:szCs w:val="24"/>
          <w:lang w:val="es-ES_tradnl"/>
        </w:rPr>
        <w:t>L</w:t>
      </w:r>
      <w:r w:rsidR="00B677C8">
        <w:rPr>
          <w:szCs w:val="24"/>
          <w:lang w:val="es-ES_tradnl"/>
        </w:rPr>
        <w:t xml:space="preserve">os cálculos </w:t>
      </w:r>
      <w:r w:rsidRPr="004C05A2">
        <w:rPr>
          <w:szCs w:val="24"/>
          <w:lang w:val="es-ES_tradnl"/>
        </w:rPr>
        <w:t>fue</w:t>
      </w:r>
      <w:r w:rsidR="00B677C8">
        <w:rPr>
          <w:szCs w:val="24"/>
          <w:lang w:val="es-ES_tradnl"/>
        </w:rPr>
        <w:t>ron elaborados</w:t>
      </w:r>
      <w:r w:rsidRPr="004C05A2">
        <w:rPr>
          <w:szCs w:val="24"/>
          <w:lang w:val="es-ES_tradnl"/>
        </w:rPr>
        <w:t xml:space="preserve">  por  el Banco Interamericano de Desarrollo (BID). </w:t>
      </w:r>
      <w:r w:rsidR="00913F4D">
        <w:rPr>
          <w:szCs w:val="24"/>
          <w:lang w:val="es-ES_tradnl"/>
        </w:rPr>
        <w:t xml:space="preserve"> En este modelo de evaluación los costos de operación están sustentados en los niveles de tráfico que soporta la carretera y en la velocidad que puedan desarrollar los vehículos tomando en cuenta la situación sin y con proyecto. La evaluación económica permite valorar el rendimiento de la inversión a ejecutarse, orientada a la sociedad en su conjunto y fortalecer el proceso de toma de decisiones con base en los beneficios generados con el proyecto. </w:t>
      </w:r>
    </w:p>
    <w:p w:rsidR="008E3569" w:rsidRDefault="008E3569" w:rsidP="008E3569">
      <w:pPr>
        <w:widowControl w:val="0"/>
        <w:adjustRightInd w:val="0"/>
        <w:ind w:left="709"/>
        <w:jc w:val="both"/>
        <w:textAlignment w:val="baseline"/>
      </w:pPr>
    </w:p>
    <w:p w:rsidR="00913F4D" w:rsidRDefault="004C05A2" w:rsidP="00913F4D">
      <w:pPr>
        <w:widowControl w:val="0"/>
        <w:numPr>
          <w:ilvl w:val="1"/>
          <w:numId w:val="2"/>
        </w:numPr>
        <w:tabs>
          <w:tab w:val="clear" w:pos="360"/>
          <w:tab w:val="num" w:pos="709"/>
        </w:tabs>
        <w:adjustRightInd w:val="0"/>
        <w:ind w:left="709" w:hanging="709"/>
        <w:jc w:val="both"/>
        <w:textAlignment w:val="baseline"/>
      </w:pPr>
      <w:r>
        <w:t>L</w:t>
      </w:r>
      <w:r w:rsidR="00CD648F" w:rsidRPr="004C05A2">
        <w:rPr>
          <w:lang w:val="es-ES_tradnl"/>
        </w:rPr>
        <w:t xml:space="preserve">os escenarios ‘Sin Proyecto’ y ‘Con Proyecto’, </w:t>
      </w:r>
      <w:r w:rsidR="003774FE" w:rsidRPr="004C05A2">
        <w:rPr>
          <w:lang w:val="es-ES_tradnl"/>
        </w:rPr>
        <w:t xml:space="preserve">se calcularon para </w:t>
      </w:r>
      <w:r w:rsidR="00CD648F" w:rsidRPr="004C05A2">
        <w:rPr>
          <w:lang w:val="es-ES_tradnl"/>
        </w:rPr>
        <w:t xml:space="preserve">un período </w:t>
      </w:r>
      <w:r w:rsidR="00E47C65">
        <w:rPr>
          <w:lang w:val="es-ES_tradnl"/>
        </w:rPr>
        <w:t>total de 21</w:t>
      </w:r>
      <w:r w:rsidR="003536FE">
        <w:rPr>
          <w:lang w:val="es-ES_tradnl"/>
        </w:rPr>
        <w:t xml:space="preserve"> años constituidos por</w:t>
      </w:r>
      <w:r w:rsidR="00E97C5B">
        <w:rPr>
          <w:lang w:val="es-ES_tradnl"/>
        </w:rPr>
        <w:t xml:space="preserve"> 1</w:t>
      </w:r>
      <w:r w:rsidR="00185D1F" w:rsidRPr="004C05A2">
        <w:rPr>
          <w:lang w:val="es-ES_tradnl"/>
        </w:rPr>
        <w:t xml:space="preserve">  año</w:t>
      </w:r>
      <w:r w:rsidR="003536FE">
        <w:rPr>
          <w:lang w:val="es-ES_tradnl"/>
        </w:rPr>
        <w:t xml:space="preserve"> de</w:t>
      </w:r>
      <w:r w:rsidR="007C2C10">
        <w:rPr>
          <w:lang w:val="es-ES_tradnl"/>
        </w:rPr>
        <w:t xml:space="preserve"> </w:t>
      </w:r>
      <w:r w:rsidR="003536FE">
        <w:rPr>
          <w:lang w:val="es-ES_tradnl"/>
        </w:rPr>
        <w:t>obra y 20 años de utilización (vida útil).</w:t>
      </w:r>
      <w:r w:rsidR="00185D1F" w:rsidRPr="004C05A2">
        <w:rPr>
          <w:lang w:val="es-ES_tradnl"/>
        </w:rPr>
        <w:t xml:space="preserve"> </w:t>
      </w:r>
    </w:p>
    <w:p w:rsidR="00913F4D" w:rsidRDefault="00913F4D" w:rsidP="00913F4D">
      <w:pPr>
        <w:pStyle w:val="ListParagraph"/>
        <w:rPr>
          <w:lang w:val="es-ES_tradnl"/>
        </w:rPr>
      </w:pPr>
    </w:p>
    <w:p w:rsidR="005B20C3" w:rsidRDefault="005B20C3" w:rsidP="005B20C3">
      <w:pPr>
        <w:widowControl w:val="0"/>
        <w:numPr>
          <w:ilvl w:val="1"/>
          <w:numId w:val="2"/>
        </w:numPr>
        <w:tabs>
          <w:tab w:val="clear" w:pos="360"/>
          <w:tab w:val="num" w:pos="709"/>
        </w:tabs>
        <w:adjustRightInd w:val="0"/>
        <w:ind w:left="709" w:hanging="709"/>
        <w:jc w:val="both"/>
        <w:textAlignment w:val="baseline"/>
      </w:pPr>
      <w:r w:rsidRPr="00E942FF">
        <w:t xml:space="preserve">El </w:t>
      </w:r>
      <w:r w:rsidR="00B677C8">
        <w:t>informe</w:t>
      </w:r>
      <w:r w:rsidRPr="00E942FF">
        <w:t xml:space="preserve"> fue elaborado tomando como insumo inicial la información </w:t>
      </w:r>
      <w:r w:rsidR="00B677C8">
        <w:t>suministra</w:t>
      </w:r>
      <w:r w:rsidR="00020128">
        <w:t>da</w:t>
      </w:r>
      <w:r w:rsidR="00B677C8">
        <w:t xml:space="preserve"> por el BID según hojas de cálculo remitidas a la Dirección de Planificación</w:t>
      </w:r>
      <w:r w:rsidR="00E43AC2">
        <w:t xml:space="preserve"> Sectorial</w:t>
      </w:r>
      <w:r w:rsidR="00B677C8">
        <w:t xml:space="preserve">, </w:t>
      </w:r>
      <w:r w:rsidR="00020128">
        <w:t>además contempla información remitida</w:t>
      </w:r>
      <w:r w:rsidR="00B677C8">
        <w:t xml:space="preserve"> </w:t>
      </w:r>
      <w:r>
        <w:t xml:space="preserve"> por </w:t>
      </w:r>
      <w:r w:rsidRPr="00E942FF">
        <w:t xml:space="preserve"> </w:t>
      </w:r>
      <w:r>
        <w:t xml:space="preserve">la División Marítimo Portuaria del </w:t>
      </w:r>
      <w:r>
        <w:rPr>
          <w:lang w:val="es-ES_tradnl"/>
        </w:rPr>
        <w:t>Ministerio de Obras Públicas y</w:t>
      </w:r>
      <w:r w:rsidRPr="00E942FF">
        <w:rPr>
          <w:lang w:val="es-ES_tradnl"/>
        </w:rPr>
        <w:t xml:space="preserve"> Tra</w:t>
      </w:r>
      <w:r>
        <w:rPr>
          <w:lang w:val="es-ES_tradnl"/>
        </w:rPr>
        <w:t>nsportes</w:t>
      </w:r>
      <w:r w:rsidR="00E43AC2">
        <w:rPr>
          <w:lang w:val="es-ES_tradnl"/>
        </w:rPr>
        <w:t>,</w:t>
      </w:r>
      <w:r w:rsidR="00A26B87">
        <w:rPr>
          <w:lang w:val="es-ES_tradnl"/>
        </w:rPr>
        <w:t xml:space="preserve">  a través de su Dirección de Gestión</w:t>
      </w:r>
      <w:r>
        <w:t xml:space="preserve">, en aspectos como: </w:t>
      </w:r>
      <w:r w:rsidR="00A55F00">
        <w:t>e</w:t>
      </w:r>
      <w:r>
        <w:t>stimación de costos de inversión y mantenimiento, estimación de la demanda</w:t>
      </w:r>
      <w:r w:rsidR="00BE0795">
        <w:t xml:space="preserve"> (de los servicios de cabotaje)</w:t>
      </w:r>
      <w:r>
        <w:t>, costos de los usuarios de los servicios de cabotaje (pago de tarifas</w:t>
      </w:r>
      <w:r w:rsidR="00BE0795">
        <w:t xml:space="preserve"> por uso de los transbordadores</w:t>
      </w:r>
      <w:r>
        <w:t xml:space="preserve">) para citar </w:t>
      </w:r>
      <w:r w:rsidR="00BE0795">
        <w:t>los más relevantes.</w:t>
      </w:r>
      <w:r>
        <w:t xml:space="preserve"> </w:t>
      </w:r>
      <w:r w:rsidR="003D05C2">
        <w:t>Así mismo información suministrada por la Dirección de Conservación de Vías y Puentes del CONAVI</w:t>
      </w:r>
      <w:r w:rsidR="00020128">
        <w:t>. Se utiliza un período total de 2</w:t>
      </w:r>
      <w:r w:rsidR="00E47C65">
        <w:t>1</w:t>
      </w:r>
      <w:r w:rsidR="00020128">
        <w:t xml:space="preserve"> años (</w:t>
      </w:r>
      <w:r w:rsidR="00E47C65">
        <w:t>1</w:t>
      </w:r>
      <w:r w:rsidR="00020128">
        <w:t xml:space="preserve"> año de obra y 20 años de utilización) de acuerdo a recomendación del BID</w:t>
      </w:r>
      <w:r w:rsidR="003D05C2">
        <w:t>.</w:t>
      </w:r>
    </w:p>
    <w:p w:rsidR="005B20C3" w:rsidRDefault="005B20C3" w:rsidP="005B20C3">
      <w:pPr>
        <w:widowControl w:val="0"/>
        <w:adjustRightInd w:val="0"/>
        <w:ind w:left="709"/>
        <w:jc w:val="both"/>
        <w:textAlignment w:val="baseline"/>
      </w:pPr>
    </w:p>
    <w:p w:rsidR="009C15D3" w:rsidRDefault="009C15D3" w:rsidP="005B20C3">
      <w:pPr>
        <w:widowControl w:val="0"/>
        <w:numPr>
          <w:ilvl w:val="1"/>
          <w:numId w:val="2"/>
        </w:numPr>
        <w:tabs>
          <w:tab w:val="clear" w:pos="360"/>
          <w:tab w:val="num" w:pos="709"/>
        </w:tabs>
        <w:adjustRightInd w:val="0"/>
        <w:ind w:left="709" w:hanging="709"/>
        <w:jc w:val="both"/>
        <w:textAlignment w:val="baseline"/>
      </w:pPr>
      <w:r>
        <w:t xml:space="preserve">La información descrita anteriormente constituyó la base para  realizar esta evaluación económica, la cual se considera una aproximación para determinar los indicadores básicos de rentabilidad </w:t>
      </w:r>
      <w:r w:rsidR="00174E14">
        <w:t xml:space="preserve">económica </w:t>
      </w:r>
      <w:r>
        <w:t xml:space="preserve">del proyecto. </w:t>
      </w:r>
    </w:p>
    <w:p w:rsidR="009C15D3" w:rsidRDefault="009C15D3" w:rsidP="009C15D3">
      <w:pPr>
        <w:pStyle w:val="ListParagraph"/>
      </w:pPr>
    </w:p>
    <w:p w:rsidR="00133CDE" w:rsidRPr="00E942FF" w:rsidRDefault="00133CDE" w:rsidP="00A87C94">
      <w:pPr>
        <w:widowControl w:val="0"/>
        <w:numPr>
          <w:ilvl w:val="0"/>
          <w:numId w:val="2"/>
        </w:numPr>
        <w:adjustRightInd w:val="0"/>
        <w:jc w:val="both"/>
        <w:textAlignment w:val="baseline"/>
        <w:rPr>
          <w:b/>
          <w:sz w:val="22"/>
        </w:rPr>
      </w:pPr>
      <w:r w:rsidRPr="00E942FF">
        <w:rPr>
          <w:b/>
        </w:rPr>
        <w:t>S</w:t>
      </w:r>
      <w:r w:rsidR="00832474" w:rsidRPr="00E942FF">
        <w:rPr>
          <w:b/>
        </w:rPr>
        <w:t>upuestos y metodología</w:t>
      </w:r>
      <w:r w:rsidRPr="00E942FF">
        <w:rPr>
          <w:b/>
        </w:rPr>
        <w:t>.</w:t>
      </w:r>
    </w:p>
    <w:p w:rsidR="00133CDE" w:rsidRPr="00E942FF" w:rsidRDefault="00133CDE" w:rsidP="00A87C94">
      <w:pPr>
        <w:rPr>
          <w:smallCaps/>
        </w:rPr>
      </w:pPr>
    </w:p>
    <w:p w:rsidR="00832474" w:rsidRPr="00B225F4" w:rsidRDefault="00832474" w:rsidP="00A87C94">
      <w:pPr>
        <w:pStyle w:val="ListParagraph"/>
        <w:numPr>
          <w:ilvl w:val="0"/>
          <w:numId w:val="11"/>
        </w:numPr>
        <w:ind w:hanging="720"/>
        <w:rPr>
          <w:smallCaps/>
          <w:sz w:val="22"/>
          <w:szCs w:val="22"/>
        </w:rPr>
      </w:pPr>
      <w:r w:rsidRPr="00B225F4">
        <w:rPr>
          <w:smallCaps/>
          <w:sz w:val="22"/>
          <w:szCs w:val="22"/>
        </w:rPr>
        <w:t>Situ</w:t>
      </w:r>
      <w:r w:rsidR="00842FAB" w:rsidRPr="00B225F4">
        <w:rPr>
          <w:smallCaps/>
          <w:sz w:val="22"/>
          <w:szCs w:val="22"/>
        </w:rPr>
        <w:t xml:space="preserve">ación actual de las terminales de transbordadores del golfo de nicoya </w:t>
      </w:r>
    </w:p>
    <w:p w:rsidR="00832474" w:rsidRPr="00E942FF" w:rsidRDefault="00832474" w:rsidP="00A87C94">
      <w:pPr>
        <w:rPr>
          <w:smallCaps/>
        </w:rPr>
      </w:pPr>
    </w:p>
    <w:p w:rsidR="00913F4D" w:rsidRPr="00913F4D" w:rsidRDefault="00913F4D" w:rsidP="00913F4D">
      <w:pPr>
        <w:widowControl w:val="0"/>
        <w:adjustRightInd w:val="0"/>
        <w:jc w:val="both"/>
        <w:textAlignment w:val="baseline"/>
        <w:rPr>
          <w:szCs w:val="24"/>
        </w:rPr>
      </w:pPr>
    </w:p>
    <w:p w:rsidR="00842FAB" w:rsidRPr="002C7768" w:rsidRDefault="00133CDE" w:rsidP="00842FAB">
      <w:pPr>
        <w:widowControl w:val="0"/>
        <w:numPr>
          <w:ilvl w:val="1"/>
          <w:numId w:val="2"/>
        </w:numPr>
        <w:tabs>
          <w:tab w:val="clear" w:pos="360"/>
          <w:tab w:val="num" w:pos="709"/>
        </w:tabs>
        <w:adjustRightInd w:val="0"/>
        <w:ind w:left="709" w:hanging="709"/>
        <w:jc w:val="both"/>
        <w:textAlignment w:val="baseline"/>
        <w:rPr>
          <w:szCs w:val="24"/>
        </w:rPr>
      </w:pPr>
      <w:r w:rsidRPr="00E942FF">
        <w:rPr>
          <w:b/>
        </w:rPr>
        <w:t>Caracterización general</w:t>
      </w:r>
      <w:r w:rsidR="008736DD" w:rsidRPr="00E942FF">
        <w:rPr>
          <w:rStyle w:val="FootnoteReference"/>
          <w:szCs w:val="24"/>
        </w:rPr>
        <w:footnoteReference w:id="1"/>
      </w:r>
      <w:r w:rsidR="008736DD" w:rsidRPr="00E942FF">
        <w:rPr>
          <w:szCs w:val="24"/>
        </w:rPr>
        <w:t>;</w:t>
      </w:r>
      <w:r w:rsidR="002C7768">
        <w:rPr>
          <w:b/>
        </w:rPr>
        <w:t xml:space="preserve"> </w:t>
      </w:r>
      <w:r w:rsidRPr="00E942FF">
        <w:t xml:space="preserve"> </w:t>
      </w:r>
    </w:p>
    <w:p w:rsidR="002C7768" w:rsidRDefault="002C7768" w:rsidP="002C7768">
      <w:pPr>
        <w:widowControl w:val="0"/>
        <w:adjustRightInd w:val="0"/>
        <w:jc w:val="both"/>
        <w:textAlignment w:val="baseline"/>
      </w:pPr>
    </w:p>
    <w:p w:rsidR="002C7768" w:rsidRDefault="002C7768" w:rsidP="002C7768">
      <w:pPr>
        <w:widowControl w:val="0"/>
        <w:adjustRightInd w:val="0"/>
        <w:jc w:val="both"/>
        <w:textAlignment w:val="baseline"/>
        <w:rPr>
          <w:lang w:val="es-CR"/>
        </w:rPr>
      </w:pPr>
      <w:r w:rsidRPr="002C7768">
        <w:rPr>
          <w:lang w:val="es-CR"/>
        </w:rPr>
        <w:t>En el Golfo de Nicoya</w:t>
      </w:r>
      <w:r>
        <w:rPr>
          <w:lang w:val="es-CR"/>
        </w:rPr>
        <w:t>, en la costa Pacífica del país</w:t>
      </w:r>
      <w:r w:rsidRPr="002C7768">
        <w:rPr>
          <w:lang w:val="es-CR"/>
        </w:rPr>
        <w:t>, se ubican los servicios públicos de cabotaje más</w:t>
      </w:r>
      <w:r>
        <w:rPr>
          <w:lang w:val="es-CR"/>
        </w:rPr>
        <w:t xml:space="preserve"> </w:t>
      </w:r>
      <w:r w:rsidR="006118D9">
        <w:rPr>
          <w:lang w:val="es-CR"/>
        </w:rPr>
        <w:t>importantes de Costa Rica</w:t>
      </w:r>
      <w:r w:rsidR="00E43AC2">
        <w:rPr>
          <w:lang w:val="es-CR"/>
        </w:rPr>
        <w:t>,</w:t>
      </w:r>
      <w:r w:rsidRPr="002C7768">
        <w:rPr>
          <w:lang w:val="es-CR"/>
        </w:rPr>
        <w:t xml:space="preserve"> mediante el uso de transbordadores para el transporte marítimo de pasajeros y</w:t>
      </w:r>
      <w:r>
        <w:rPr>
          <w:lang w:val="es-CR"/>
        </w:rPr>
        <w:t xml:space="preserve"> </w:t>
      </w:r>
      <w:r w:rsidRPr="002C7768">
        <w:rPr>
          <w:lang w:val="es-CR"/>
        </w:rPr>
        <w:t>vehículos, en dos rutas:</w:t>
      </w:r>
    </w:p>
    <w:p w:rsidR="00C90271" w:rsidRPr="002C7768" w:rsidRDefault="00C90271" w:rsidP="002C7768">
      <w:pPr>
        <w:widowControl w:val="0"/>
        <w:adjustRightInd w:val="0"/>
        <w:jc w:val="both"/>
        <w:textAlignment w:val="baseline"/>
        <w:rPr>
          <w:lang w:val="es-CR"/>
        </w:rPr>
      </w:pPr>
    </w:p>
    <w:p w:rsidR="002C7768" w:rsidRPr="002C7768" w:rsidRDefault="002C7768" w:rsidP="002C7768">
      <w:pPr>
        <w:pStyle w:val="ListParagraph"/>
        <w:widowControl w:val="0"/>
        <w:numPr>
          <w:ilvl w:val="0"/>
          <w:numId w:val="26"/>
        </w:numPr>
        <w:adjustRightInd w:val="0"/>
        <w:jc w:val="both"/>
        <w:textAlignment w:val="baseline"/>
        <w:rPr>
          <w:lang w:val="es-CR"/>
        </w:rPr>
      </w:pPr>
      <w:r w:rsidRPr="002C7768">
        <w:rPr>
          <w:lang w:val="es-CR"/>
        </w:rPr>
        <w:t>Ruta Puntarenas- Paquera: servicio brindado por la concesionaria Naviera Tambor S.A</w:t>
      </w:r>
      <w:r w:rsidR="00E43AC2">
        <w:rPr>
          <w:lang w:val="es-CR"/>
        </w:rPr>
        <w:t>,</w:t>
      </w:r>
      <w:r w:rsidRPr="002C7768">
        <w:rPr>
          <w:lang w:val="es-CR"/>
        </w:rPr>
        <w:t xml:space="preserve"> la cual inició la prestación efectiva del servicio el 8 de marzo de 2007. En la actualidad presta el servicio público con dos embarcaciones denominadas: Tambor II y Tambor III. La zona de influencia de esta ruta cubre la zona sureste de la Península de Nicoya (Nandayure, Sámara, Cabo Blanco, Cóbano, Paquera), </w:t>
      </w:r>
      <w:r w:rsidR="006118D9">
        <w:rPr>
          <w:lang w:val="es-CR"/>
        </w:rPr>
        <w:t xml:space="preserve">conectando </w:t>
      </w:r>
      <w:r w:rsidRPr="002C7768">
        <w:rPr>
          <w:lang w:val="es-CR"/>
        </w:rPr>
        <w:t xml:space="preserve">la vía Puntarenas, al norte, centro y este del país. Esta ruta tiene una longitud de 12.2 millas náuticas y moviliza cerca de un millón de pasajeros y 200,000 vehículos al año. </w:t>
      </w:r>
    </w:p>
    <w:p w:rsidR="002C7768" w:rsidRPr="002C7768" w:rsidRDefault="002C7768" w:rsidP="002C7768">
      <w:pPr>
        <w:widowControl w:val="0"/>
        <w:adjustRightInd w:val="0"/>
        <w:jc w:val="both"/>
        <w:textAlignment w:val="baseline"/>
        <w:rPr>
          <w:lang w:val="es-CR"/>
        </w:rPr>
      </w:pPr>
      <w:r>
        <w:rPr>
          <w:lang w:val="es-CR"/>
        </w:rPr>
        <w:t xml:space="preserve">  </w:t>
      </w:r>
    </w:p>
    <w:p w:rsidR="008736DD" w:rsidRPr="008736DD" w:rsidRDefault="002C7768" w:rsidP="008736DD">
      <w:pPr>
        <w:pStyle w:val="ListParagraph"/>
        <w:widowControl w:val="0"/>
        <w:numPr>
          <w:ilvl w:val="0"/>
          <w:numId w:val="26"/>
        </w:numPr>
        <w:adjustRightInd w:val="0"/>
        <w:jc w:val="both"/>
        <w:textAlignment w:val="baseline"/>
        <w:rPr>
          <w:lang w:val="es-CR"/>
        </w:rPr>
      </w:pPr>
      <w:r w:rsidRPr="008736DD">
        <w:rPr>
          <w:lang w:val="es-CR"/>
        </w:rPr>
        <w:t xml:space="preserve">Ruta Puntarenas- Playa Naranjo: servicio brindado por la Cooperativa Autogestionaria de Transporte Marítimo R.L. (COONATRAMAR R.L.) desde octubre de 1987. Cuenta con dos embarcaciones: el Ferry San Lucas I y el Ferry San Lucas II. La zona de influencia de esta ruta cubre el sector Lepanto y Jicaral, y tráfico marginal hacia el sureste de la Península, conectándolo vía Puntarenas, el Norte, Centro y Este del país. </w:t>
      </w:r>
    </w:p>
    <w:p w:rsidR="002C7768" w:rsidRPr="008736DD" w:rsidRDefault="002C7768" w:rsidP="008736DD">
      <w:pPr>
        <w:widowControl w:val="0"/>
        <w:adjustRightInd w:val="0"/>
        <w:ind w:left="708"/>
        <w:jc w:val="both"/>
        <w:textAlignment w:val="baseline"/>
        <w:rPr>
          <w:lang w:val="es-CR"/>
        </w:rPr>
      </w:pPr>
      <w:r w:rsidRPr="008736DD">
        <w:rPr>
          <w:lang w:val="es-CR"/>
        </w:rPr>
        <w:t xml:space="preserve">Esta ruta tiene una longitud de 10.0 millas náuticas y moviliza cerca de 300,000 pasajeros y 60,000 vehículos al año. </w:t>
      </w:r>
    </w:p>
    <w:p w:rsidR="002C7768" w:rsidRPr="002C7768" w:rsidRDefault="002C7768" w:rsidP="002C7768">
      <w:pPr>
        <w:pStyle w:val="ListParagraph"/>
        <w:rPr>
          <w:lang w:val="es-CR"/>
        </w:rPr>
      </w:pPr>
    </w:p>
    <w:p w:rsidR="002C7768" w:rsidRDefault="002C7768" w:rsidP="002C7768">
      <w:pPr>
        <w:widowControl w:val="0"/>
        <w:adjustRightInd w:val="0"/>
        <w:jc w:val="both"/>
        <w:textAlignment w:val="baseline"/>
        <w:rPr>
          <w:lang w:val="es-CR"/>
        </w:rPr>
      </w:pPr>
      <w:r w:rsidRPr="002C7768">
        <w:rPr>
          <w:lang w:val="es-CR"/>
        </w:rPr>
        <w:t>La ruta Puntarenas-Paquera conecta estas localidades utilizando la Terminal de Barrio El Carmen de</w:t>
      </w:r>
      <w:r>
        <w:rPr>
          <w:lang w:val="es-CR"/>
        </w:rPr>
        <w:t xml:space="preserve"> </w:t>
      </w:r>
      <w:r w:rsidRPr="002C7768">
        <w:rPr>
          <w:lang w:val="es-CR"/>
        </w:rPr>
        <w:t xml:space="preserve">Puntarenas y la Terminal de Paquera ubicada al sur de la </w:t>
      </w:r>
      <w:r w:rsidR="00B66FBB" w:rsidRPr="002C7768">
        <w:rPr>
          <w:lang w:val="es-CR"/>
        </w:rPr>
        <w:t>Península</w:t>
      </w:r>
      <w:r w:rsidRPr="002C7768">
        <w:rPr>
          <w:lang w:val="es-CR"/>
        </w:rPr>
        <w:t xml:space="preserve"> de Nicoya.</w:t>
      </w:r>
    </w:p>
    <w:p w:rsidR="00B66FBB" w:rsidRPr="002C7768" w:rsidRDefault="00B66FBB" w:rsidP="002C7768">
      <w:pPr>
        <w:widowControl w:val="0"/>
        <w:adjustRightInd w:val="0"/>
        <w:jc w:val="both"/>
        <w:textAlignment w:val="baseline"/>
        <w:rPr>
          <w:lang w:val="es-CR"/>
        </w:rPr>
      </w:pPr>
    </w:p>
    <w:p w:rsidR="002C7768" w:rsidRDefault="002C7768" w:rsidP="002C7768">
      <w:pPr>
        <w:widowControl w:val="0"/>
        <w:adjustRightInd w:val="0"/>
        <w:jc w:val="both"/>
        <w:textAlignment w:val="baseline"/>
      </w:pPr>
      <w:r w:rsidRPr="002C7768">
        <w:rPr>
          <w:lang w:val="es-CR"/>
        </w:rPr>
        <w:t>La ruta Puntarenas-Playa Naranjo conecta estas localidades utilizando la Terminal de Barrio El</w:t>
      </w:r>
      <w:r w:rsidR="00933ED5">
        <w:rPr>
          <w:lang w:val="es-CR"/>
        </w:rPr>
        <w:t xml:space="preserve"> </w:t>
      </w:r>
      <w:r w:rsidRPr="002C7768">
        <w:rPr>
          <w:lang w:val="es-CR"/>
        </w:rPr>
        <w:t>Carmen de Puntarenas y la Terminal de Playa Naranjo</w:t>
      </w:r>
      <w:r w:rsidR="00E43AC2">
        <w:rPr>
          <w:lang w:val="es-CR"/>
        </w:rPr>
        <w:t>,</w:t>
      </w:r>
      <w:r w:rsidRPr="002C7768">
        <w:rPr>
          <w:lang w:val="es-CR"/>
        </w:rPr>
        <w:t xml:space="preserve"> ubicada también en la </w:t>
      </w:r>
      <w:r w:rsidR="00B66FBB" w:rsidRPr="002C7768">
        <w:rPr>
          <w:lang w:val="es-CR"/>
        </w:rPr>
        <w:t>Península</w:t>
      </w:r>
      <w:r w:rsidRPr="002C7768">
        <w:rPr>
          <w:lang w:val="es-CR"/>
        </w:rPr>
        <w:t xml:space="preserve"> de Nicoya, al</w:t>
      </w:r>
      <w:r>
        <w:rPr>
          <w:lang w:val="es-CR"/>
        </w:rPr>
        <w:t xml:space="preserve"> </w:t>
      </w:r>
      <w:r w:rsidRPr="002C7768">
        <w:rPr>
          <w:lang w:val="es-CR"/>
        </w:rPr>
        <w:t>norte de Paquera distanciada por 30 kilómetros de carretera montañosa.</w:t>
      </w:r>
    </w:p>
    <w:p w:rsidR="002C7768" w:rsidRDefault="002C7768" w:rsidP="002C7768">
      <w:pPr>
        <w:widowControl w:val="0"/>
        <w:adjustRightInd w:val="0"/>
        <w:jc w:val="both"/>
        <w:textAlignment w:val="baseline"/>
      </w:pPr>
    </w:p>
    <w:p w:rsidR="00831F95" w:rsidRDefault="00831F95" w:rsidP="00831F95">
      <w:pPr>
        <w:tabs>
          <w:tab w:val="left" w:pos="1440"/>
          <w:tab w:val="left" w:pos="3060"/>
        </w:tabs>
        <w:jc w:val="both"/>
        <w:rPr>
          <w:lang w:val="es-CR"/>
        </w:rPr>
      </w:pPr>
      <w:r>
        <w:t>Mayor detalle, ver Ficha Técnica</w:t>
      </w:r>
      <w:r>
        <w:rPr>
          <w:b/>
          <w:smallCaps/>
          <w:lang w:val="es-AR"/>
        </w:rPr>
        <w:t xml:space="preserve">: </w:t>
      </w:r>
      <w:r>
        <w:rPr>
          <w:lang w:val="es-CR"/>
        </w:rPr>
        <w:t>Mejoramiento de las Terminales de Transbordadores del Golfo de N</w:t>
      </w:r>
      <w:r w:rsidRPr="00831F95">
        <w:rPr>
          <w:lang w:val="es-CR"/>
        </w:rPr>
        <w:t>icoya</w:t>
      </w:r>
      <w:r w:rsidR="00376A59">
        <w:rPr>
          <w:lang w:val="es-CR"/>
        </w:rPr>
        <w:t>.</w:t>
      </w:r>
    </w:p>
    <w:p w:rsidR="00D94E0F" w:rsidRPr="00831F95" w:rsidRDefault="00D94E0F" w:rsidP="00831F95">
      <w:pPr>
        <w:tabs>
          <w:tab w:val="left" w:pos="1440"/>
          <w:tab w:val="left" w:pos="3060"/>
        </w:tabs>
        <w:jc w:val="both"/>
        <w:rPr>
          <w:lang w:val="es-CR"/>
        </w:rPr>
      </w:pPr>
    </w:p>
    <w:p w:rsidR="000C34EF" w:rsidRDefault="003D2C8C" w:rsidP="00A87C94">
      <w:pPr>
        <w:pStyle w:val="ListParagraph"/>
        <w:numPr>
          <w:ilvl w:val="0"/>
          <w:numId w:val="11"/>
        </w:numPr>
        <w:ind w:hanging="720"/>
        <w:rPr>
          <w:smallCaps/>
        </w:rPr>
      </w:pPr>
      <w:r w:rsidRPr="00E942FF">
        <w:rPr>
          <w:smallCaps/>
        </w:rPr>
        <w:t>Escenario</w:t>
      </w:r>
      <w:r w:rsidR="00457E82" w:rsidRPr="00E942FF">
        <w:rPr>
          <w:smallCaps/>
        </w:rPr>
        <w:t xml:space="preserve"> Sin Proyecto.</w:t>
      </w:r>
    </w:p>
    <w:p w:rsidR="00457E82" w:rsidRDefault="00457E82" w:rsidP="000C34EF">
      <w:pPr>
        <w:pStyle w:val="ListParagraph"/>
        <w:ind w:left="720"/>
        <w:rPr>
          <w:smallCaps/>
        </w:rPr>
      </w:pPr>
      <w:r w:rsidRPr="00E942FF">
        <w:rPr>
          <w:smallCaps/>
        </w:rPr>
        <w:t xml:space="preserve"> </w:t>
      </w:r>
    </w:p>
    <w:p w:rsidR="00F028D3" w:rsidRPr="00367E6D" w:rsidRDefault="00D12A0C" w:rsidP="00A87C94">
      <w:pPr>
        <w:widowControl w:val="0"/>
        <w:numPr>
          <w:ilvl w:val="1"/>
          <w:numId w:val="2"/>
        </w:numPr>
        <w:tabs>
          <w:tab w:val="clear" w:pos="360"/>
          <w:tab w:val="num" w:pos="709"/>
        </w:tabs>
        <w:adjustRightInd w:val="0"/>
        <w:ind w:left="709" w:hanging="709"/>
        <w:jc w:val="both"/>
        <w:textAlignment w:val="baseline"/>
        <w:rPr>
          <w:szCs w:val="24"/>
          <w:lang w:val="es-ES_tradnl"/>
        </w:rPr>
      </w:pPr>
      <w:bookmarkStart w:id="0" w:name="_Ref306014868"/>
      <w:r>
        <w:t>Este escenario implica el colapso de las terminales y por ende de los servicios de cabotaje, principalmente por razones de seguridad tanto para los usuarios de estos servicios como para los transbordadores, por lo que los usuarios se verían obligados a utilizar la ruta vial alterna para alcanzar Playa Nara</w:t>
      </w:r>
      <w:r w:rsidR="00105DD2">
        <w:t>n</w:t>
      </w:r>
      <w:r>
        <w:t xml:space="preserve">jo, Paquera y Puntarenas, </w:t>
      </w:r>
      <w:r w:rsidR="00105DD2">
        <w:t>mediante</w:t>
      </w:r>
      <w:r>
        <w:t xml:space="preserve"> las </w:t>
      </w:r>
      <w:r w:rsidR="00367E6D" w:rsidRPr="00367E6D">
        <w:rPr>
          <w:lang w:val="es-CR"/>
        </w:rPr>
        <w:t>Rutas Nacionales N°17, N°23, N°1, N°18, N°21, N°160 y N°621.</w:t>
      </w:r>
      <w:r>
        <w:rPr>
          <w:lang w:val="es-CR"/>
        </w:rPr>
        <w:t xml:space="preserve"> El cruce de vías denominado </w:t>
      </w:r>
      <w:r w:rsidR="00367E6D" w:rsidRPr="000C34EF">
        <w:rPr>
          <w:rFonts w:ascii="Arial" w:hAnsi="Arial" w:cs="Arial"/>
          <w:sz w:val="22"/>
          <w:szCs w:val="22"/>
          <w:lang w:val="es-ES"/>
        </w:rPr>
        <w:t>“</w:t>
      </w:r>
      <w:r w:rsidR="00367E6D" w:rsidRPr="000C34EF">
        <w:rPr>
          <w:szCs w:val="24"/>
          <w:lang w:val="es-ES"/>
        </w:rPr>
        <w:t>El Roble”</w:t>
      </w:r>
      <w:r>
        <w:rPr>
          <w:szCs w:val="24"/>
          <w:lang w:val="es-ES"/>
        </w:rPr>
        <w:t xml:space="preserve"> en Puntarenas se </w:t>
      </w:r>
      <w:r w:rsidR="00367E6D" w:rsidRPr="000C34EF">
        <w:rPr>
          <w:szCs w:val="24"/>
          <w:lang w:val="es-ES"/>
        </w:rPr>
        <w:t>ha considerado el lugar geográfico donde convergen la mayoría de las vías que provienen del Gran Área Metropolitana, la</w:t>
      </w:r>
      <w:r w:rsidR="00B05E00">
        <w:rPr>
          <w:szCs w:val="24"/>
          <w:lang w:val="es-ES"/>
        </w:rPr>
        <w:t>s</w:t>
      </w:r>
      <w:r w:rsidR="00367E6D" w:rsidRPr="000C34EF">
        <w:rPr>
          <w:szCs w:val="24"/>
          <w:lang w:val="es-ES"/>
        </w:rPr>
        <w:t xml:space="preserve"> cual</w:t>
      </w:r>
      <w:r w:rsidR="00B05E00">
        <w:rPr>
          <w:szCs w:val="24"/>
          <w:lang w:val="es-ES"/>
        </w:rPr>
        <w:t>es son utilizadas por un al</w:t>
      </w:r>
      <w:r w:rsidR="00367E6D" w:rsidRPr="000C34EF">
        <w:rPr>
          <w:szCs w:val="24"/>
          <w:lang w:val="es-ES"/>
        </w:rPr>
        <w:t>to porcentaje de la demanda</w:t>
      </w:r>
      <w:r w:rsidR="00B05E00">
        <w:rPr>
          <w:szCs w:val="24"/>
          <w:lang w:val="es-ES"/>
        </w:rPr>
        <w:t xml:space="preserve"> vehicular</w:t>
      </w:r>
      <w:r w:rsidR="00367E6D" w:rsidRPr="000C34EF">
        <w:rPr>
          <w:szCs w:val="24"/>
          <w:lang w:val="es-ES"/>
        </w:rPr>
        <w:t xml:space="preserve"> estudiada</w:t>
      </w:r>
      <w:r w:rsidR="00B05E00">
        <w:rPr>
          <w:szCs w:val="24"/>
          <w:lang w:val="es-ES"/>
        </w:rPr>
        <w:t xml:space="preserve">. Por esta razón se </w:t>
      </w:r>
      <w:r w:rsidR="00367E6D" w:rsidRPr="000C34EF">
        <w:rPr>
          <w:szCs w:val="24"/>
          <w:lang w:val="es-CR"/>
        </w:rPr>
        <w:t>ha tomado como punto inicial del recorrido</w:t>
      </w:r>
      <w:r w:rsidR="00B05E00">
        <w:rPr>
          <w:szCs w:val="24"/>
          <w:lang w:val="es-CR"/>
        </w:rPr>
        <w:t xml:space="preserve"> “sin proyecto” </w:t>
      </w:r>
      <w:r w:rsidR="00367E6D" w:rsidRPr="000C34EF">
        <w:rPr>
          <w:szCs w:val="24"/>
          <w:lang w:val="es-CR"/>
        </w:rPr>
        <w:t xml:space="preserve"> analizado en esta evaluación</w:t>
      </w:r>
      <w:r w:rsidR="00C90271">
        <w:rPr>
          <w:szCs w:val="24"/>
          <w:lang w:val="es-CR"/>
        </w:rPr>
        <w:t>.</w:t>
      </w:r>
      <w:r w:rsidR="00B05E00">
        <w:rPr>
          <w:szCs w:val="24"/>
          <w:lang w:val="es-CR"/>
        </w:rPr>
        <w:t xml:space="preserve"> (Ver Figura</w:t>
      </w:r>
      <w:r w:rsidR="00E43AC2">
        <w:rPr>
          <w:szCs w:val="24"/>
          <w:lang w:val="es-CR"/>
        </w:rPr>
        <w:t>s N.</w:t>
      </w:r>
      <w:r w:rsidR="00B05E00">
        <w:rPr>
          <w:szCs w:val="24"/>
          <w:lang w:val="es-CR"/>
        </w:rPr>
        <w:t>1</w:t>
      </w:r>
      <w:r w:rsidR="00E43AC2">
        <w:rPr>
          <w:szCs w:val="24"/>
          <w:lang w:val="es-CR"/>
        </w:rPr>
        <w:t>, N.2, N.3 y N.4</w:t>
      </w:r>
      <w:r w:rsidR="00B05E00">
        <w:rPr>
          <w:szCs w:val="24"/>
          <w:lang w:val="es-CR"/>
        </w:rPr>
        <w:t>).</w:t>
      </w:r>
    </w:p>
    <w:p w:rsidR="00367E6D" w:rsidRDefault="00367E6D" w:rsidP="00367E6D">
      <w:pPr>
        <w:widowControl w:val="0"/>
        <w:adjustRightInd w:val="0"/>
        <w:jc w:val="both"/>
        <w:textAlignment w:val="baseline"/>
        <w:rPr>
          <w:lang w:val="es-ES_tradnl"/>
        </w:rPr>
      </w:pPr>
    </w:p>
    <w:p w:rsidR="00995CC4" w:rsidRPr="002D5463" w:rsidRDefault="00F028D3" w:rsidP="00F028D3">
      <w:pPr>
        <w:widowControl w:val="0"/>
        <w:numPr>
          <w:ilvl w:val="1"/>
          <w:numId w:val="2"/>
        </w:numPr>
        <w:tabs>
          <w:tab w:val="clear" w:pos="360"/>
          <w:tab w:val="num" w:pos="709"/>
        </w:tabs>
        <w:adjustRightInd w:val="0"/>
        <w:ind w:left="709" w:hanging="709"/>
        <w:jc w:val="both"/>
        <w:textAlignment w:val="baseline"/>
        <w:rPr>
          <w:szCs w:val="24"/>
          <w:lang w:val="es-ES_tradnl"/>
        </w:rPr>
      </w:pPr>
      <w:r w:rsidRPr="00E942FF">
        <w:rPr>
          <w:szCs w:val="24"/>
          <w:lang w:val="es-ES_tradnl"/>
        </w:rPr>
        <w:t xml:space="preserve">Por ello, </w:t>
      </w:r>
      <w:r w:rsidR="00457E82" w:rsidRPr="00E942FF">
        <w:rPr>
          <w:lang w:val="es-ES_tradnl"/>
        </w:rPr>
        <w:t xml:space="preserve">se asume </w:t>
      </w:r>
      <w:r w:rsidR="00367E6D">
        <w:rPr>
          <w:lang w:val="es-ES_tradnl"/>
        </w:rPr>
        <w:t>que se realizará el mantenimiento requerido</w:t>
      </w:r>
      <w:r w:rsidR="002D5463">
        <w:rPr>
          <w:lang w:val="es-ES_tradnl"/>
        </w:rPr>
        <w:t xml:space="preserve"> que asegure</w:t>
      </w:r>
      <w:r w:rsidR="00457E82" w:rsidRPr="00E942FF">
        <w:rPr>
          <w:lang w:val="es-ES_tradnl"/>
        </w:rPr>
        <w:t xml:space="preserve"> la transitabilidad en razonables condiciones de circulación</w:t>
      </w:r>
      <w:r w:rsidR="00367E6D">
        <w:rPr>
          <w:lang w:val="es-ES_tradnl"/>
        </w:rPr>
        <w:t xml:space="preserve"> de la vía alterna</w:t>
      </w:r>
      <w:r w:rsidR="00457E82" w:rsidRPr="00E942FF">
        <w:rPr>
          <w:lang w:val="es-ES_tradnl"/>
        </w:rPr>
        <w:t xml:space="preserve">; </w:t>
      </w:r>
      <w:r w:rsidR="002D5463">
        <w:rPr>
          <w:lang w:val="es-ES_tradnl"/>
        </w:rPr>
        <w:t xml:space="preserve">la cual pasa por el puente de La Amistad. </w:t>
      </w:r>
      <w:r w:rsidR="00E5711E">
        <w:rPr>
          <w:lang w:val="es-ES_tradnl"/>
        </w:rPr>
        <w:t xml:space="preserve">Este </w:t>
      </w:r>
      <w:r w:rsidR="00367E6D">
        <w:rPr>
          <w:lang w:val="es-ES_tradnl"/>
        </w:rPr>
        <w:t>mantenimiento</w:t>
      </w:r>
      <w:r w:rsidR="00C94F88">
        <w:rPr>
          <w:lang w:val="es-ES_tradnl"/>
        </w:rPr>
        <w:t xml:space="preserve"> se prevé para 20</w:t>
      </w:r>
      <w:r w:rsidR="00E5711E">
        <w:rPr>
          <w:lang w:val="es-ES_tradnl"/>
        </w:rPr>
        <w:t xml:space="preserve"> años</w:t>
      </w:r>
      <w:r w:rsidR="00367E6D">
        <w:rPr>
          <w:lang w:val="es-ES_tradnl"/>
        </w:rPr>
        <w:t>.</w:t>
      </w:r>
      <w:r w:rsidR="00A34146" w:rsidRPr="00E942FF">
        <w:rPr>
          <w:lang w:val="es-ES_tradnl"/>
        </w:rPr>
        <w:t xml:space="preserve"> </w:t>
      </w:r>
      <w:bookmarkEnd w:id="0"/>
      <w:r w:rsidR="00457E82" w:rsidRPr="00E942FF">
        <w:rPr>
          <w:lang w:val="es-ES_tradnl"/>
        </w:rPr>
        <w:t xml:space="preserve"> </w:t>
      </w:r>
    </w:p>
    <w:p w:rsidR="002D5463" w:rsidRDefault="002D5463" w:rsidP="002D5463">
      <w:pPr>
        <w:pStyle w:val="ListParagraph"/>
        <w:rPr>
          <w:szCs w:val="24"/>
          <w:lang w:val="es-ES_tradnl"/>
        </w:rPr>
      </w:pPr>
    </w:p>
    <w:p w:rsidR="00CD56C1" w:rsidRPr="003D7092" w:rsidRDefault="002D5463" w:rsidP="00CD56C1">
      <w:pPr>
        <w:widowControl w:val="0"/>
        <w:numPr>
          <w:ilvl w:val="1"/>
          <w:numId w:val="2"/>
        </w:numPr>
        <w:tabs>
          <w:tab w:val="clear" w:pos="360"/>
          <w:tab w:val="num" w:pos="709"/>
        </w:tabs>
        <w:adjustRightInd w:val="0"/>
        <w:ind w:left="709" w:hanging="709"/>
        <w:jc w:val="both"/>
        <w:textAlignment w:val="baseline"/>
        <w:rPr>
          <w:szCs w:val="24"/>
        </w:rPr>
      </w:pPr>
      <w:r w:rsidRPr="00CD56C1">
        <w:rPr>
          <w:szCs w:val="24"/>
          <w:lang w:val="es-ES_tradnl"/>
        </w:rPr>
        <w:t xml:space="preserve">El </w:t>
      </w:r>
      <w:bookmarkStart w:id="1" w:name="_Ref323896424"/>
      <w:r w:rsidR="00CD56C1" w:rsidRPr="00E942FF">
        <w:rPr>
          <w:szCs w:val="24"/>
        </w:rPr>
        <w:t xml:space="preserve"> tr</w:t>
      </w:r>
      <w:r w:rsidR="00CD56C1">
        <w:rPr>
          <w:szCs w:val="24"/>
        </w:rPr>
        <w:t>amo carreter</w:t>
      </w:r>
      <w:r w:rsidR="003D7092">
        <w:rPr>
          <w:szCs w:val="24"/>
        </w:rPr>
        <w:t>o</w:t>
      </w:r>
      <w:r w:rsidR="00CD56C1">
        <w:rPr>
          <w:szCs w:val="24"/>
        </w:rPr>
        <w:t xml:space="preserve"> El Roble (Barranca)-Playa Naranjo consta de 159.6 </w:t>
      </w:r>
      <w:r w:rsidR="00763CE5">
        <w:rPr>
          <w:szCs w:val="24"/>
        </w:rPr>
        <w:t>Km</w:t>
      </w:r>
      <w:r w:rsidR="00CD56C1">
        <w:rPr>
          <w:szCs w:val="24"/>
        </w:rPr>
        <w:t>., 2 carriles.</w:t>
      </w:r>
      <w:r w:rsidR="00CD56C1" w:rsidRPr="00E942FF">
        <w:rPr>
          <w:szCs w:val="24"/>
        </w:rPr>
        <w:t xml:space="preserve"> La ruta </w:t>
      </w:r>
      <w:r w:rsidR="00CD56C1">
        <w:rPr>
          <w:szCs w:val="24"/>
        </w:rPr>
        <w:t>actual presenta tipos de pavimento de concreto asfáltico, concreto hidráulico, tratamiento superficial.  E</w:t>
      </w:r>
      <w:r w:rsidR="00CD56C1" w:rsidRPr="00E942FF">
        <w:rPr>
          <w:szCs w:val="24"/>
        </w:rPr>
        <w:t xml:space="preserve">l </w:t>
      </w:r>
      <w:r w:rsidR="00CD56C1" w:rsidRPr="00E942FF">
        <w:t>IRI</w:t>
      </w:r>
      <w:bookmarkEnd w:id="1"/>
      <w:r w:rsidR="00CD56C1">
        <w:t xml:space="preserve"> oscila en el intervalo de 2.19 y 6.56.</w:t>
      </w:r>
    </w:p>
    <w:p w:rsidR="003D7092" w:rsidRDefault="003D7092" w:rsidP="003D7092">
      <w:pPr>
        <w:pStyle w:val="ListParagraph"/>
        <w:rPr>
          <w:szCs w:val="24"/>
        </w:rPr>
      </w:pPr>
    </w:p>
    <w:p w:rsidR="00CF38A7" w:rsidRPr="00CD56C1" w:rsidRDefault="00CD56C1" w:rsidP="00CD56C1">
      <w:pPr>
        <w:widowControl w:val="0"/>
        <w:numPr>
          <w:ilvl w:val="1"/>
          <w:numId w:val="2"/>
        </w:numPr>
        <w:tabs>
          <w:tab w:val="clear" w:pos="360"/>
          <w:tab w:val="num" w:pos="709"/>
        </w:tabs>
        <w:adjustRightInd w:val="0"/>
        <w:ind w:left="709" w:hanging="709"/>
        <w:jc w:val="both"/>
        <w:textAlignment w:val="baseline"/>
        <w:rPr>
          <w:szCs w:val="24"/>
          <w:lang w:val="es-ES_tradnl"/>
        </w:rPr>
      </w:pPr>
      <w:r>
        <w:rPr>
          <w:szCs w:val="24"/>
          <w:lang w:val="es-ES_tradnl"/>
        </w:rPr>
        <w:t>El tramo carretero Playa Naranjo-Puerto Paquera consta de 28.3kms, 2 carriles, el tipo de pavimento se encuentra en lastre</w:t>
      </w:r>
      <w:r w:rsidR="00E43AC2">
        <w:rPr>
          <w:szCs w:val="24"/>
          <w:lang w:val="es-ES_tradnl"/>
        </w:rPr>
        <w:t>,</w:t>
      </w:r>
      <w:r>
        <w:rPr>
          <w:szCs w:val="24"/>
          <w:lang w:val="es-ES_tradnl"/>
        </w:rPr>
        <w:t xml:space="preserve"> en todo su recorrido.</w:t>
      </w:r>
    </w:p>
    <w:p w:rsidR="00996878" w:rsidRDefault="00996878">
      <w:pPr>
        <w:rPr>
          <w:szCs w:val="24"/>
          <w:lang w:val="es-ES_tradnl"/>
        </w:rPr>
      </w:pPr>
    </w:p>
    <w:p w:rsidR="00557D82" w:rsidRDefault="00E645F3">
      <w:pPr>
        <w:rPr>
          <w:szCs w:val="24"/>
          <w:lang w:val="es-ES_tradnl"/>
        </w:rPr>
      </w:pPr>
      <w:r w:rsidRPr="00FE4043">
        <w:rPr>
          <w:noProof/>
          <w:szCs w:val="24"/>
          <w:lang w:val="es-ES" w:eastAsia="es-ES"/>
        </w:rPr>
        <w:drawing>
          <wp:inline distT="0" distB="0" distL="0" distR="0" wp14:anchorId="3DF3F57A" wp14:editId="531D15AC">
            <wp:extent cx="5613400" cy="3183758"/>
            <wp:effectExtent l="19050" t="0" r="63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613400" cy="3183758"/>
                    </a:xfrm>
                    <a:prstGeom prst="rect">
                      <a:avLst/>
                    </a:prstGeom>
                    <a:noFill/>
                    <a:ln w="9525">
                      <a:noFill/>
                      <a:miter lim="800000"/>
                      <a:headEnd/>
                      <a:tailEnd/>
                    </a:ln>
                  </pic:spPr>
                </pic:pic>
              </a:graphicData>
            </a:graphic>
          </wp:inline>
        </w:drawing>
      </w:r>
    </w:p>
    <w:p w:rsidR="00557D82" w:rsidRPr="003D05C2" w:rsidRDefault="00557D82" w:rsidP="00557D82">
      <w:pPr>
        <w:rPr>
          <w:b/>
          <w:sz w:val="16"/>
          <w:szCs w:val="16"/>
          <w:lang w:val="es-ES_tradnl"/>
        </w:rPr>
      </w:pPr>
      <w:r>
        <w:rPr>
          <w:b/>
          <w:sz w:val="18"/>
          <w:szCs w:val="18"/>
          <w:lang w:val="es-ES_tradnl"/>
        </w:rPr>
        <w:t xml:space="preserve">     </w:t>
      </w:r>
      <w:r w:rsidR="00763CE5" w:rsidRPr="003D05C2">
        <w:rPr>
          <w:b/>
          <w:sz w:val="16"/>
          <w:szCs w:val="16"/>
          <w:lang w:val="es-ES_tradnl"/>
        </w:rPr>
        <w:t>Fuente:</w:t>
      </w:r>
      <w:r w:rsidRPr="003D05C2">
        <w:rPr>
          <w:b/>
          <w:sz w:val="16"/>
          <w:szCs w:val="16"/>
          <w:lang w:val="es-ES_tradnl"/>
        </w:rPr>
        <w:t xml:space="preserve">  Elaboración BID</w:t>
      </w: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996878" w:rsidRDefault="00996878">
      <w:pPr>
        <w:rPr>
          <w:szCs w:val="24"/>
          <w:lang w:val="es-ES_tradnl"/>
        </w:rPr>
      </w:pPr>
    </w:p>
    <w:p w:rsidR="00996878" w:rsidRDefault="00996878">
      <w:pPr>
        <w:rPr>
          <w:szCs w:val="24"/>
          <w:lang w:val="es-ES_tradnl"/>
        </w:rPr>
      </w:pPr>
    </w:p>
    <w:p w:rsidR="00996878" w:rsidRDefault="00996878">
      <w:pPr>
        <w:rPr>
          <w:szCs w:val="24"/>
          <w:lang w:val="es-ES_tradnl"/>
        </w:rPr>
      </w:pPr>
    </w:p>
    <w:p w:rsidR="00996878" w:rsidRDefault="00996878">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557D82" w:rsidRDefault="00557D82">
      <w:pPr>
        <w:rPr>
          <w:szCs w:val="24"/>
          <w:lang w:val="es-ES_tradnl"/>
        </w:rPr>
      </w:pPr>
    </w:p>
    <w:p w:rsidR="00CF38A7" w:rsidRDefault="009A4CA5" w:rsidP="009A4CA5">
      <w:pPr>
        <w:jc w:val="center"/>
        <w:rPr>
          <w:szCs w:val="24"/>
          <w:lang w:val="es-ES_tradnl"/>
        </w:rPr>
      </w:pPr>
      <w:r w:rsidRPr="009A4CA5">
        <w:rPr>
          <w:noProof/>
          <w:szCs w:val="24"/>
          <w:lang w:val="es-ES" w:eastAsia="es-ES"/>
        </w:rPr>
        <w:drawing>
          <wp:inline distT="0" distB="0" distL="0" distR="0">
            <wp:extent cx="5762625" cy="3733800"/>
            <wp:effectExtent l="19050" t="0" r="9525" b="0"/>
            <wp:docPr id="14" name="5 Imagen" descr="Figura 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N°1.bmp"/>
                    <pic:cNvPicPr/>
                  </pic:nvPicPr>
                  <pic:blipFill>
                    <a:blip r:embed="rId14" cstate="print"/>
                    <a:stretch>
                      <a:fillRect/>
                    </a:stretch>
                  </pic:blipFill>
                  <pic:spPr>
                    <a:xfrm>
                      <a:off x="0" y="0"/>
                      <a:ext cx="5762625" cy="3733800"/>
                    </a:xfrm>
                    <a:prstGeom prst="rect">
                      <a:avLst/>
                    </a:prstGeom>
                  </pic:spPr>
                </pic:pic>
              </a:graphicData>
            </a:graphic>
          </wp:inline>
        </w:drawing>
      </w:r>
    </w:p>
    <w:p w:rsidR="009A4CA5" w:rsidRDefault="009A4CA5" w:rsidP="009A4CA5">
      <w:pPr>
        <w:jc w:val="center"/>
        <w:rPr>
          <w:szCs w:val="24"/>
          <w:lang w:val="es-ES_tradnl"/>
        </w:rPr>
      </w:pPr>
    </w:p>
    <w:p w:rsidR="009A4CA5" w:rsidRDefault="009A4CA5" w:rsidP="009A4CA5">
      <w:pPr>
        <w:jc w:val="center"/>
        <w:rPr>
          <w:szCs w:val="24"/>
          <w:lang w:val="es-ES_tradnl"/>
        </w:rPr>
      </w:pPr>
    </w:p>
    <w:p w:rsidR="009A4CA5" w:rsidRDefault="00105DD2" w:rsidP="009A4CA5">
      <w:pPr>
        <w:jc w:val="center"/>
        <w:rPr>
          <w:szCs w:val="24"/>
          <w:lang w:val="es-ES_tradnl"/>
        </w:rPr>
        <w:sectPr w:rsidR="009A4CA5" w:rsidSect="009A4CA5">
          <w:footerReference w:type="default" r:id="rId15"/>
          <w:pgSz w:w="12242" w:h="15842" w:code="1"/>
          <w:pgMar w:top="1418" w:right="1701" w:bottom="1418" w:left="1701" w:header="731" w:footer="1134" w:gutter="0"/>
          <w:cols w:space="720"/>
          <w:docGrid w:linePitch="326"/>
        </w:sectPr>
      </w:pPr>
      <w:r w:rsidRPr="00105DD2">
        <w:rPr>
          <w:noProof/>
          <w:szCs w:val="24"/>
          <w:lang w:val="es-ES" w:eastAsia="es-ES"/>
        </w:rPr>
        <w:drawing>
          <wp:inline distT="0" distB="0" distL="0" distR="0">
            <wp:extent cx="5762625" cy="3714750"/>
            <wp:effectExtent l="19050" t="0" r="9525" b="0"/>
            <wp:docPr id="15" name="1 Imagen" descr="Figura 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N°2.bmp"/>
                    <pic:cNvPicPr/>
                  </pic:nvPicPr>
                  <pic:blipFill>
                    <a:blip r:embed="rId16" cstate="print"/>
                    <a:stretch>
                      <a:fillRect/>
                    </a:stretch>
                  </pic:blipFill>
                  <pic:spPr>
                    <a:xfrm>
                      <a:off x="0" y="0"/>
                      <a:ext cx="5762625" cy="3714750"/>
                    </a:xfrm>
                    <a:prstGeom prst="rect">
                      <a:avLst/>
                    </a:prstGeom>
                  </pic:spPr>
                </pic:pic>
              </a:graphicData>
            </a:graphic>
          </wp:inline>
        </w:drawing>
      </w:r>
    </w:p>
    <w:p w:rsidR="00105DD2" w:rsidRDefault="00105DD2" w:rsidP="0035242A">
      <w:pPr>
        <w:widowControl w:val="0"/>
        <w:adjustRightInd w:val="0"/>
        <w:jc w:val="both"/>
        <w:textAlignment w:val="baseline"/>
        <w:rPr>
          <w:szCs w:val="24"/>
          <w:lang w:val="es-ES_tradnl"/>
        </w:rPr>
      </w:pPr>
    </w:p>
    <w:p w:rsidR="00105DD2" w:rsidRDefault="00105DD2" w:rsidP="0035242A">
      <w:pPr>
        <w:widowControl w:val="0"/>
        <w:adjustRightInd w:val="0"/>
        <w:jc w:val="both"/>
        <w:textAlignment w:val="baseline"/>
        <w:rPr>
          <w:szCs w:val="24"/>
          <w:lang w:val="es-ES_tradnl"/>
        </w:rPr>
      </w:pPr>
      <w:r w:rsidRPr="00105DD2">
        <w:rPr>
          <w:noProof/>
          <w:szCs w:val="24"/>
          <w:lang w:val="es-ES" w:eastAsia="es-ES"/>
        </w:rPr>
        <w:drawing>
          <wp:inline distT="0" distB="0" distL="0" distR="0">
            <wp:extent cx="5943203" cy="3476625"/>
            <wp:effectExtent l="19050" t="0" r="397" b="0"/>
            <wp:docPr id="16" name="6 Imagen" descr="Figura N°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N°3.bmp"/>
                    <pic:cNvPicPr/>
                  </pic:nvPicPr>
                  <pic:blipFill>
                    <a:blip r:embed="rId17" cstate="print"/>
                    <a:stretch>
                      <a:fillRect/>
                    </a:stretch>
                  </pic:blipFill>
                  <pic:spPr>
                    <a:xfrm>
                      <a:off x="0" y="0"/>
                      <a:ext cx="5946987" cy="3478838"/>
                    </a:xfrm>
                    <a:prstGeom prst="rect">
                      <a:avLst/>
                    </a:prstGeom>
                  </pic:spPr>
                </pic:pic>
              </a:graphicData>
            </a:graphic>
          </wp:inline>
        </w:drawing>
      </w:r>
    </w:p>
    <w:p w:rsidR="00105DD2" w:rsidRDefault="00105DD2" w:rsidP="0035242A">
      <w:pPr>
        <w:widowControl w:val="0"/>
        <w:adjustRightInd w:val="0"/>
        <w:jc w:val="both"/>
        <w:textAlignment w:val="baseline"/>
        <w:rPr>
          <w:szCs w:val="24"/>
          <w:lang w:val="es-ES_tradnl"/>
        </w:rPr>
      </w:pPr>
    </w:p>
    <w:p w:rsidR="00105DD2" w:rsidRDefault="00105DD2" w:rsidP="0035242A">
      <w:pPr>
        <w:widowControl w:val="0"/>
        <w:adjustRightInd w:val="0"/>
        <w:jc w:val="both"/>
        <w:textAlignment w:val="baseline"/>
        <w:rPr>
          <w:szCs w:val="24"/>
          <w:lang w:val="es-ES_tradnl"/>
        </w:rPr>
      </w:pPr>
    </w:p>
    <w:p w:rsidR="00105DD2" w:rsidRDefault="00105DD2" w:rsidP="0035242A">
      <w:pPr>
        <w:widowControl w:val="0"/>
        <w:adjustRightInd w:val="0"/>
        <w:jc w:val="both"/>
        <w:textAlignment w:val="baseline"/>
        <w:rPr>
          <w:szCs w:val="24"/>
          <w:lang w:val="es-ES_tradnl"/>
        </w:rPr>
      </w:pPr>
    </w:p>
    <w:p w:rsidR="00105DD2" w:rsidRDefault="00105DD2" w:rsidP="0035242A">
      <w:pPr>
        <w:widowControl w:val="0"/>
        <w:adjustRightInd w:val="0"/>
        <w:jc w:val="both"/>
        <w:textAlignment w:val="baseline"/>
        <w:rPr>
          <w:szCs w:val="24"/>
          <w:lang w:val="es-ES_tradnl"/>
        </w:rPr>
      </w:pPr>
      <w:r w:rsidRPr="00105DD2">
        <w:rPr>
          <w:noProof/>
          <w:szCs w:val="24"/>
          <w:lang w:val="es-ES" w:eastAsia="es-ES"/>
        </w:rPr>
        <w:drawing>
          <wp:inline distT="0" distB="0" distL="0" distR="0">
            <wp:extent cx="5943600" cy="3761395"/>
            <wp:effectExtent l="19050" t="0" r="0" b="0"/>
            <wp:docPr id="17" name="7 Imagen" descr="Figura N°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N°4.bmp"/>
                    <pic:cNvPicPr/>
                  </pic:nvPicPr>
                  <pic:blipFill>
                    <a:blip r:embed="rId18" cstate="print"/>
                    <a:stretch>
                      <a:fillRect/>
                    </a:stretch>
                  </pic:blipFill>
                  <pic:spPr>
                    <a:xfrm>
                      <a:off x="0" y="0"/>
                      <a:ext cx="5943600" cy="3761395"/>
                    </a:xfrm>
                    <a:prstGeom prst="rect">
                      <a:avLst/>
                    </a:prstGeom>
                  </pic:spPr>
                </pic:pic>
              </a:graphicData>
            </a:graphic>
          </wp:inline>
        </w:drawing>
      </w:r>
    </w:p>
    <w:p w:rsidR="00910352" w:rsidRDefault="00910352" w:rsidP="00910352">
      <w:pPr>
        <w:pStyle w:val="ListParagraph"/>
        <w:rPr>
          <w:szCs w:val="24"/>
          <w:lang w:val="es-ES_tradnl"/>
        </w:rPr>
      </w:pPr>
    </w:p>
    <w:p w:rsidR="00910352" w:rsidRDefault="00910352" w:rsidP="001523AD">
      <w:pPr>
        <w:widowControl w:val="0"/>
        <w:numPr>
          <w:ilvl w:val="1"/>
          <w:numId w:val="2"/>
        </w:numPr>
        <w:tabs>
          <w:tab w:val="clear" w:pos="360"/>
          <w:tab w:val="num" w:pos="709"/>
        </w:tabs>
        <w:adjustRightInd w:val="0"/>
        <w:ind w:left="709" w:hanging="709"/>
        <w:jc w:val="both"/>
        <w:textAlignment w:val="baseline"/>
        <w:rPr>
          <w:szCs w:val="24"/>
          <w:lang w:val="es-ES_tradnl"/>
        </w:rPr>
      </w:pPr>
      <w:r>
        <w:rPr>
          <w:szCs w:val="24"/>
          <w:lang w:val="es-ES_tradnl"/>
        </w:rPr>
        <w:t xml:space="preserve">Se prevé un mantenimiento </w:t>
      </w:r>
      <w:r w:rsidR="00B969E3">
        <w:rPr>
          <w:szCs w:val="24"/>
          <w:lang w:val="es-ES_tradnl"/>
        </w:rPr>
        <w:t xml:space="preserve">mínimo “de subsistencia” de las actuales </w:t>
      </w:r>
      <w:r>
        <w:rPr>
          <w:szCs w:val="24"/>
          <w:lang w:val="es-ES_tradnl"/>
        </w:rPr>
        <w:t>terminales de transbordadores equivalentes al 1% anual del costo de la inversión a lo largo de la vida útil del proyecto</w:t>
      </w:r>
      <w:r w:rsidR="00B969E3">
        <w:rPr>
          <w:szCs w:val="24"/>
          <w:lang w:val="es-ES_tradnl"/>
        </w:rPr>
        <w:t xml:space="preserve">; que si bien es cierto ya agotaron su vida útil, </w:t>
      </w:r>
      <w:r>
        <w:rPr>
          <w:szCs w:val="24"/>
          <w:lang w:val="es-ES_tradnl"/>
        </w:rPr>
        <w:t xml:space="preserve">el </w:t>
      </w:r>
      <w:r w:rsidR="005E1A5A">
        <w:rPr>
          <w:szCs w:val="24"/>
          <w:lang w:val="es-ES_tradnl"/>
        </w:rPr>
        <w:t>Es</w:t>
      </w:r>
      <w:r>
        <w:rPr>
          <w:szCs w:val="24"/>
          <w:lang w:val="es-ES_tradnl"/>
        </w:rPr>
        <w:t xml:space="preserve">tado debe asumir costos de vigilancia, administrativos y de otra índole. Además </w:t>
      </w:r>
      <w:r w:rsidR="00B969E3">
        <w:rPr>
          <w:szCs w:val="24"/>
          <w:lang w:val="es-ES_tradnl"/>
        </w:rPr>
        <w:t>al</w:t>
      </w:r>
      <w:r>
        <w:rPr>
          <w:szCs w:val="24"/>
          <w:lang w:val="es-ES_tradnl"/>
        </w:rPr>
        <w:t xml:space="preserve"> existir</w:t>
      </w:r>
      <w:r w:rsidR="00B969E3">
        <w:rPr>
          <w:szCs w:val="24"/>
          <w:lang w:val="es-ES_tradnl"/>
        </w:rPr>
        <w:t xml:space="preserve"> contratos y concesiones vigentes para el </w:t>
      </w:r>
      <w:r>
        <w:rPr>
          <w:szCs w:val="24"/>
          <w:lang w:val="es-ES_tradnl"/>
        </w:rPr>
        <w:t>servicio de cabotaje</w:t>
      </w:r>
      <w:r w:rsidR="00AA7C83">
        <w:rPr>
          <w:szCs w:val="24"/>
          <w:lang w:val="es-ES_tradnl"/>
        </w:rPr>
        <w:t xml:space="preserve"> </w:t>
      </w:r>
      <w:r w:rsidR="00B969E3">
        <w:rPr>
          <w:szCs w:val="24"/>
          <w:lang w:val="es-ES_tradnl"/>
        </w:rPr>
        <w:t xml:space="preserve">se </w:t>
      </w:r>
      <w:r w:rsidR="00AA7C83">
        <w:rPr>
          <w:szCs w:val="24"/>
          <w:lang w:val="es-ES_tradnl"/>
        </w:rPr>
        <w:t xml:space="preserve">evita que el </w:t>
      </w:r>
      <w:r w:rsidR="00715CB5">
        <w:rPr>
          <w:szCs w:val="24"/>
          <w:lang w:val="es-ES_tradnl"/>
        </w:rPr>
        <w:t>E</w:t>
      </w:r>
      <w:r w:rsidR="00AA7C83">
        <w:rPr>
          <w:szCs w:val="24"/>
          <w:lang w:val="es-ES_tradnl"/>
        </w:rPr>
        <w:t>stado incurra en costos por indemnización a las navieras prestatarias de los servicios.</w:t>
      </w:r>
    </w:p>
    <w:p w:rsidR="008D269C" w:rsidRDefault="008D269C" w:rsidP="008D269C">
      <w:pPr>
        <w:pStyle w:val="ListParagraph"/>
        <w:rPr>
          <w:szCs w:val="24"/>
          <w:lang w:val="es-ES_tradnl"/>
        </w:rPr>
      </w:pPr>
    </w:p>
    <w:p w:rsidR="00832474" w:rsidRDefault="00A265E0" w:rsidP="00A87C94">
      <w:pPr>
        <w:pStyle w:val="ListParagraph"/>
        <w:numPr>
          <w:ilvl w:val="0"/>
          <w:numId w:val="11"/>
        </w:numPr>
        <w:ind w:hanging="720"/>
        <w:rPr>
          <w:smallCaps/>
        </w:rPr>
      </w:pPr>
      <w:r w:rsidRPr="00E942FF">
        <w:rPr>
          <w:smallCaps/>
        </w:rPr>
        <w:t>Escenario</w:t>
      </w:r>
      <w:r w:rsidR="00457E82" w:rsidRPr="00E942FF">
        <w:rPr>
          <w:smallCaps/>
        </w:rPr>
        <w:t xml:space="preserve"> Con </w:t>
      </w:r>
      <w:r w:rsidR="00832474" w:rsidRPr="00E942FF">
        <w:rPr>
          <w:smallCaps/>
        </w:rPr>
        <w:t xml:space="preserve">Proyecto. </w:t>
      </w:r>
    </w:p>
    <w:p w:rsidR="000C34EF" w:rsidRDefault="000C34EF" w:rsidP="000C34EF">
      <w:pPr>
        <w:rPr>
          <w:smallCaps/>
        </w:rPr>
      </w:pPr>
    </w:p>
    <w:p w:rsidR="00B64EE2" w:rsidRDefault="007A2AE3" w:rsidP="00A87C94">
      <w:pPr>
        <w:widowControl w:val="0"/>
        <w:numPr>
          <w:ilvl w:val="1"/>
          <w:numId w:val="2"/>
        </w:numPr>
        <w:tabs>
          <w:tab w:val="clear" w:pos="360"/>
          <w:tab w:val="num" w:pos="709"/>
        </w:tabs>
        <w:adjustRightInd w:val="0"/>
        <w:ind w:left="709" w:hanging="709"/>
        <w:jc w:val="both"/>
        <w:textAlignment w:val="baseline"/>
      </w:pPr>
      <w:r>
        <w:t xml:space="preserve">Contempla el </w:t>
      </w:r>
      <w:r w:rsidR="003D7092">
        <w:t>t</w:t>
      </w:r>
      <w:r w:rsidR="004C2550">
        <w:t>ramo</w:t>
      </w:r>
      <w:r>
        <w:t xml:space="preserve"> terrestre de la </w:t>
      </w:r>
      <w:r w:rsidR="004C2550">
        <w:t xml:space="preserve">Ruta Nacional </w:t>
      </w:r>
      <w:r w:rsidR="004C2550" w:rsidRPr="002C465C">
        <w:rPr>
          <w:b/>
        </w:rPr>
        <w:t>El Roble- Barrio El Carmen</w:t>
      </w:r>
      <w:r w:rsidR="004C2550">
        <w:t xml:space="preserve"> (</w:t>
      </w:r>
      <w:r w:rsidR="002C465C">
        <w:t xml:space="preserve">a la terminal de </w:t>
      </w:r>
      <w:r w:rsidR="004C2550">
        <w:t xml:space="preserve">transbordadores) con una longitud de 12.2 </w:t>
      </w:r>
      <w:r w:rsidR="00763CE5">
        <w:t>Km</w:t>
      </w:r>
      <w:r w:rsidR="004C2550">
        <w:t>.</w:t>
      </w:r>
      <w:r w:rsidR="00C11583">
        <w:t>, tipo de pavimento concreto asfáltico, el IRI oscila entre 3.20 y 4.59</w:t>
      </w:r>
      <w:r w:rsidR="00E43AC2">
        <w:t xml:space="preserve"> </w:t>
      </w:r>
      <w:r w:rsidR="00E43AC2">
        <w:rPr>
          <w:lang w:val="es-ES_tradnl"/>
        </w:rPr>
        <w:t>(ver cuadro</w:t>
      </w:r>
      <w:r w:rsidR="00C11583">
        <w:rPr>
          <w:lang w:val="es-ES_tradnl"/>
        </w:rPr>
        <w:t xml:space="preserve"> N.2)</w:t>
      </w:r>
      <w:r w:rsidR="00C11583">
        <w:t>.   E</w:t>
      </w:r>
      <w:r w:rsidR="004C2550">
        <w:t>l recorrido marítimo Barrio El Carmen-</w:t>
      </w:r>
      <w:r w:rsidR="009C7BBA">
        <w:t xml:space="preserve">Playa </w:t>
      </w:r>
      <w:r w:rsidR="00C11583">
        <w:t xml:space="preserve">Naranjo (18.5 </w:t>
      </w:r>
      <w:r w:rsidR="00763CE5">
        <w:t>Km</w:t>
      </w:r>
      <w:r w:rsidR="00C11583">
        <w:t>.</w:t>
      </w:r>
      <w:r w:rsidR="004C2550">
        <w:t xml:space="preserve">) </w:t>
      </w:r>
      <w:r w:rsidR="00C11583">
        <w:t>y Barrio El Carmen-Paquera (2</w:t>
      </w:r>
      <w:r w:rsidR="00E43AC2">
        <w:t xml:space="preserve">2.6 </w:t>
      </w:r>
      <w:r w:rsidR="00763CE5">
        <w:t>Km</w:t>
      </w:r>
      <w:r w:rsidR="00E43AC2">
        <w:t>.) (ver cuadro N.3)</w:t>
      </w:r>
      <w:r w:rsidR="00A21F33">
        <w:t>.</w:t>
      </w:r>
      <w:r w:rsidR="00C11583">
        <w:rPr>
          <w:lang w:val="es-ES_tradnl"/>
        </w:rPr>
        <w:t xml:space="preserve"> </w:t>
      </w:r>
    </w:p>
    <w:p w:rsidR="009C7BBA" w:rsidRDefault="009C7BBA" w:rsidP="009C7BBA">
      <w:pPr>
        <w:widowControl w:val="0"/>
        <w:adjustRightInd w:val="0"/>
        <w:jc w:val="both"/>
        <w:textAlignment w:val="baseline"/>
      </w:pPr>
    </w:p>
    <w:p w:rsidR="002E7CB4" w:rsidRDefault="00142DC0" w:rsidP="00142DC0">
      <w:pPr>
        <w:widowControl w:val="0"/>
        <w:numPr>
          <w:ilvl w:val="1"/>
          <w:numId w:val="2"/>
        </w:numPr>
        <w:tabs>
          <w:tab w:val="clear" w:pos="360"/>
          <w:tab w:val="num" w:pos="709"/>
        </w:tabs>
        <w:adjustRightInd w:val="0"/>
        <w:ind w:left="709" w:hanging="709"/>
        <w:jc w:val="both"/>
        <w:textAlignment w:val="baseline"/>
        <w:rPr>
          <w:lang w:val="es-CR"/>
        </w:rPr>
      </w:pPr>
      <w:r>
        <w:t xml:space="preserve">El proyecto </w:t>
      </w:r>
      <w:r w:rsidR="007C699C">
        <w:t>de mejoramiento</w:t>
      </w:r>
      <w:r w:rsidR="0094702B">
        <w:t xml:space="preserve"> de las terminales de transbordadores del Golfo de Nicoya</w:t>
      </w:r>
      <w:r w:rsidR="007C699C">
        <w:t xml:space="preserve"> </w:t>
      </w:r>
      <w:r>
        <w:t xml:space="preserve">consiste en </w:t>
      </w:r>
      <w:r w:rsidR="00E22068">
        <w:t xml:space="preserve">ejecutar las obras marítimas </w:t>
      </w:r>
      <w:r w:rsidRPr="00E22068">
        <w:rPr>
          <w:lang w:val="es-CR"/>
        </w:rPr>
        <w:t>requeridas (duques de alba, defensas,</w:t>
      </w:r>
      <w:r w:rsidR="00E22068" w:rsidRPr="00E22068">
        <w:rPr>
          <w:lang w:val="es-CR"/>
        </w:rPr>
        <w:t xml:space="preserve"> </w:t>
      </w:r>
      <w:r w:rsidRPr="00E22068">
        <w:rPr>
          <w:lang w:val="es-CR"/>
        </w:rPr>
        <w:t xml:space="preserve">rampas, mecanismos de izaje, etc.) para mejorar </w:t>
      </w:r>
      <w:r w:rsidR="00CB5EC7">
        <w:rPr>
          <w:lang w:val="es-CR"/>
        </w:rPr>
        <w:t xml:space="preserve">las condiciones de deterioro actuales de estas </w:t>
      </w:r>
      <w:r w:rsidRPr="00E22068">
        <w:rPr>
          <w:lang w:val="es-CR"/>
        </w:rPr>
        <w:t>terminales y lograr satisfacer la demanda</w:t>
      </w:r>
      <w:r w:rsidR="00E22068" w:rsidRPr="00E22068">
        <w:rPr>
          <w:lang w:val="es-CR"/>
        </w:rPr>
        <w:t xml:space="preserve"> </w:t>
      </w:r>
      <w:r w:rsidRPr="00E22068">
        <w:rPr>
          <w:lang w:val="es-CR"/>
        </w:rPr>
        <w:t>actual y futura de los servicios públicos de cabotaje, modalidad transbordador. Se propone el</w:t>
      </w:r>
      <w:r w:rsidR="00E22068" w:rsidRPr="00E22068">
        <w:rPr>
          <w:lang w:val="es-CR"/>
        </w:rPr>
        <w:t xml:space="preserve"> </w:t>
      </w:r>
      <w:r w:rsidRPr="00E22068">
        <w:rPr>
          <w:lang w:val="es-CR"/>
        </w:rPr>
        <w:t>reemplazo de estas obras en todas las terminales, con previstas para una futura ampliación en</w:t>
      </w:r>
      <w:r w:rsidR="00E22068" w:rsidRPr="00E22068">
        <w:rPr>
          <w:lang w:val="es-CR"/>
        </w:rPr>
        <w:t xml:space="preserve"> </w:t>
      </w:r>
      <w:r w:rsidRPr="00E22068">
        <w:rPr>
          <w:lang w:val="es-CR"/>
        </w:rPr>
        <w:t>Paquera.</w:t>
      </w:r>
      <w:r w:rsidR="002E7CB4">
        <w:rPr>
          <w:lang w:val="es-CR"/>
        </w:rPr>
        <w:t xml:space="preserve"> </w:t>
      </w:r>
      <w:r w:rsidR="002E7CB4" w:rsidRPr="00E22068">
        <w:rPr>
          <w:lang w:val="es-CR"/>
        </w:rPr>
        <w:t xml:space="preserve">Esto de conformidad con las recomendaciones del consultor CCM que desarrolló el </w:t>
      </w:r>
      <w:r w:rsidR="002E7CB4" w:rsidRPr="00E22068">
        <w:rPr>
          <w:i/>
          <w:iCs/>
          <w:lang w:val="es-CR"/>
        </w:rPr>
        <w:t xml:space="preserve">“Estudio de Factibilidad para la Administración, Operación y Mantenimiento de las Terminales de las Rutas del Servicio de Cabotaje, Modalidad Transbordadores del Golfo de Nicoya: Barrio El Carmen de Puntarenas, Paquera y Playa Naranjo” </w:t>
      </w:r>
      <w:r w:rsidR="002E7CB4" w:rsidRPr="00E22068">
        <w:rPr>
          <w:lang w:val="es-CR"/>
        </w:rPr>
        <w:t>y las proyecciones ajustadas de la demanda realizadas por la Dirección de Gestión</w:t>
      </w:r>
      <w:r w:rsidR="003D7092">
        <w:rPr>
          <w:lang w:val="es-CR"/>
        </w:rPr>
        <w:t xml:space="preserve"> de la División Marítimo Portuaria</w:t>
      </w:r>
      <w:r w:rsidR="002E7CB4" w:rsidRPr="00E22068">
        <w:rPr>
          <w:lang w:val="es-CR"/>
        </w:rPr>
        <w:t xml:space="preserve"> del MOPT.</w:t>
      </w:r>
      <w:r w:rsidR="00E47C65">
        <w:rPr>
          <w:lang w:val="es-CR"/>
        </w:rPr>
        <w:t xml:space="preserve"> </w:t>
      </w:r>
    </w:p>
    <w:p w:rsidR="00E47C65" w:rsidRDefault="00E47C65" w:rsidP="00E47C65">
      <w:pPr>
        <w:widowControl w:val="0"/>
        <w:adjustRightInd w:val="0"/>
        <w:ind w:left="709"/>
        <w:jc w:val="both"/>
        <w:textAlignment w:val="baseline"/>
        <w:rPr>
          <w:lang w:val="es-CR"/>
        </w:rPr>
      </w:pPr>
    </w:p>
    <w:p w:rsidR="00E47C65" w:rsidRDefault="00E47C65" w:rsidP="00142DC0">
      <w:pPr>
        <w:widowControl w:val="0"/>
        <w:numPr>
          <w:ilvl w:val="1"/>
          <w:numId w:val="2"/>
        </w:numPr>
        <w:tabs>
          <w:tab w:val="clear" w:pos="360"/>
          <w:tab w:val="num" w:pos="709"/>
        </w:tabs>
        <w:adjustRightInd w:val="0"/>
        <w:ind w:left="709" w:hanging="709"/>
        <w:jc w:val="both"/>
        <w:textAlignment w:val="baseline"/>
        <w:rPr>
          <w:lang w:val="es-CR"/>
        </w:rPr>
      </w:pPr>
      <w:r>
        <w:rPr>
          <w:lang w:val="es-CR"/>
        </w:rPr>
        <w:t>Se prevé la construcción de las obras en el año 2016, una vez que se cuente con los diseños y se obtengan las correspondientes viabilidades ambientales para los proyectos, de acuerdo con lo que establece la legislación costarricense en esta materia.</w:t>
      </w:r>
    </w:p>
    <w:p w:rsidR="002E7CB4" w:rsidRDefault="002E7CB4" w:rsidP="002E7CB4">
      <w:pPr>
        <w:pStyle w:val="ListParagraph"/>
        <w:rPr>
          <w:lang w:val="es-CR"/>
        </w:rPr>
      </w:pPr>
    </w:p>
    <w:p w:rsidR="008D269C" w:rsidRDefault="00142DC0" w:rsidP="00142DC0">
      <w:pPr>
        <w:widowControl w:val="0"/>
        <w:numPr>
          <w:ilvl w:val="1"/>
          <w:numId w:val="2"/>
        </w:numPr>
        <w:tabs>
          <w:tab w:val="clear" w:pos="360"/>
          <w:tab w:val="num" w:pos="709"/>
        </w:tabs>
        <w:adjustRightInd w:val="0"/>
        <w:ind w:left="709" w:hanging="709"/>
        <w:jc w:val="both"/>
        <w:textAlignment w:val="baseline"/>
        <w:rPr>
          <w:lang w:val="es-CR"/>
        </w:rPr>
      </w:pPr>
      <w:r w:rsidRPr="00E22068">
        <w:rPr>
          <w:lang w:val="es-CR"/>
        </w:rPr>
        <w:t>El proyecto debe incluir los diseños finales ya que se cuenta solo</w:t>
      </w:r>
      <w:r w:rsidR="00E22068" w:rsidRPr="00E22068">
        <w:rPr>
          <w:lang w:val="es-CR"/>
        </w:rPr>
        <w:t xml:space="preserve"> </w:t>
      </w:r>
      <w:r w:rsidRPr="00E22068">
        <w:rPr>
          <w:lang w:val="es-CR"/>
        </w:rPr>
        <w:t xml:space="preserve">con un diseño conceptual (ver </w:t>
      </w:r>
      <w:r w:rsidR="008D269C">
        <w:rPr>
          <w:lang w:val="es-CR"/>
        </w:rPr>
        <w:t xml:space="preserve">detalle en la descripción de obras, </w:t>
      </w:r>
      <w:r w:rsidRPr="00E22068">
        <w:rPr>
          <w:lang w:val="es-CR"/>
        </w:rPr>
        <w:t xml:space="preserve">sección </w:t>
      </w:r>
      <w:r w:rsidR="008D269C">
        <w:rPr>
          <w:lang w:val="es-CR"/>
        </w:rPr>
        <w:t>i</w:t>
      </w:r>
      <w:r w:rsidRPr="00E22068">
        <w:rPr>
          <w:lang w:val="es-CR"/>
        </w:rPr>
        <w:t>nfraestructura propuesta</w:t>
      </w:r>
      <w:r w:rsidR="008D269C">
        <w:rPr>
          <w:lang w:val="es-CR"/>
        </w:rPr>
        <w:t>, para Barrio El Carmen, Paquera y Playa Naranjo en el documento de la Ficha Técnica del proyecto</w:t>
      </w:r>
      <w:r w:rsidRPr="00E22068">
        <w:rPr>
          <w:lang w:val="es-CR"/>
        </w:rPr>
        <w:t>), además debe incluir la</w:t>
      </w:r>
      <w:r w:rsidR="00E22068" w:rsidRPr="00E22068">
        <w:rPr>
          <w:lang w:val="es-CR"/>
        </w:rPr>
        <w:t xml:space="preserve"> </w:t>
      </w:r>
      <w:r w:rsidRPr="00E22068">
        <w:rPr>
          <w:lang w:val="es-CR"/>
        </w:rPr>
        <w:t>supervisión</w:t>
      </w:r>
      <w:r w:rsidR="00E43AC2">
        <w:rPr>
          <w:lang w:val="es-CR"/>
        </w:rPr>
        <w:t>,</w:t>
      </w:r>
      <w:r w:rsidRPr="00E22068">
        <w:rPr>
          <w:lang w:val="es-CR"/>
        </w:rPr>
        <w:t xml:space="preserve"> así como los estudios de viabilidad ambiental.</w:t>
      </w:r>
      <w:r w:rsidR="00E22068" w:rsidRPr="00E22068">
        <w:rPr>
          <w:lang w:val="es-CR"/>
        </w:rPr>
        <w:t xml:space="preserve"> </w:t>
      </w:r>
    </w:p>
    <w:p w:rsidR="008D269C" w:rsidRDefault="008D269C" w:rsidP="008D269C">
      <w:pPr>
        <w:pStyle w:val="ListParagraph"/>
        <w:rPr>
          <w:lang w:val="es-CR"/>
        </w:rPr>
      </w:pPr>
    </w:p>
    <w:p w:rsidR="002E7CB4" w:rsidRDefault="00142DC0" w:rsidP="00E22068">
      <w:pPr>
        <w:widowControl w:val="0"/>
        <w:numPr>
          <w:ilvl w:val="1"/>
          <w:numId w:val="2"/>
        </w:numPr>
        <w:tabs>
          <w:tab w:val="clear" w:pos="360"/>
          <w:tab w:val="num" w:pos="709"/>
        </w:tabs>
        <w:adjustRightInd w:val="0"/>
        <w:ind w:left="705" w:hanging="709"/>
        <w:jc w:val="both"/>
        <w:textAlignment w:val="baseline"/>
        <w:rPr>
          <w:lang w:val="es-CR"/>
        </w:rPr>
      </w:pPr>
      <w:r w:rsidRPr="008D269C">
        <w:rPr>
          <w:lang w:val="es-CR"/>
        </w:rPr>
        <w:t>En relación al mejoramiento de las operaciones en tierra, debido a las limitaciones de espacio (en</w:t>
      </w:r>
      <w:r w:rsidR="00E22068" w:rsidRPr="008D269C">
        <w:rPr>
          <w:lang w:val="es-CR"/>
        </w:rPr>
        <w:t xml:space="preserve"> </w:t>
      </w:r>
      <w:r w:rsidRPr="008D269C">
        <w:rPr>
          <w:lang w:val="es-CR"/>
        </w:rPr>
        <w:t>particular para la Terminal de B° El Carmen) se prevé que en el corto plazo los vehículos seguirán</w:t>
      </w:r>
      <w:r w:rsidR="00E22068" w:rsidRPr="008D269C">
        <w:rPr>
          <w:lang w:val="es-CR"/>
        </w:rPr>
        <w:t xml:space="preserve"> </w:t>
      </w:r>
      <w:r w:rsidRPr="008D269C">
        <w:rPr>
          <w:lang w:val="es-CR"/>
        </w:rPr>
        <w:t>utilizando las vías públicas existentes. No obstante, las prioridades para ubicar áreas de</w:t>
      </w:r>
      <w:r w:rsidR="00E22068" w:rsidRPr="008D269C">
        <w:rPr>
          <w:lang w:val="es-CR"/>
        </w:rPr>
        <w:t xml:space="preserve"> </w:t>
      </w:r>
      <w:r w:rsidRPr="008D269C">
        <w:rPr>
          <w:lang w:val="es-CR"/>
        </w:rPr>
        <w:t>estacionamiento para vehículos serían para B° El Carmen y Paquera por su importancia relativa:</w:t>
      </w:r>
      <w:r w:rsidR="00E43AC2">
        <w:rPr>
          <w:lang w:val="es-CR"/>
        </w:rPr>
        <w:t xml:space="preserve"> </w:t>
      </w:r>
      <w:r w:rsidRPr="008D269C">
        <w:rPr>
          <w:lang w:val="es-CR"/>
        </w:rPr>
        <w:t>i- Para la Terminal de B° El Carmen, las opciones de predios para estacionamiento de vehículos se</w:t>
      </w:r>
      <w:r w:rsidR="00E22068" w:rsidRPr="008D269C">
        <w:rPr>
          <w:lang w:val="es-CR"/>
        </w:rPr>
        <w:t xml:space="preserve"> </w:t>
      </w:r>
      <w:r w:rsidRPr="008D269C">
        <w:rPr>
          <w:lang w:val="es-CR"/>
        </w:rPr>
        <w:t xml:space="preserve">limitan a realizar </w:t>
      </w:r>
      <w:r w:rsidR="007253AD">
        <w:rPr>
          <w:lang w:val="es-CR"/>
        </w:rPr>
        <w:t>adquisiciones</w:t>
      </w:r>
      <w:r w:rsidRPr="008D269C">
        <w:rPr>
          <w:lang w:val="es-CR"/>
        </w:rPr>
        <w:t xml:space="preserve"> en áreas cercanas a la terminal.</w:t>
      </w:r>
      <w:r w:rsidR="00E22068" w:rsidRPr="008D269C">
        <w:rPr>
          <w:lang w:val="es-CR"/>
        </w:rPr>
        <w:t xml:space="preserve"> </w:t>
      </w:r>
      <w:r w:rsidRPr="008D269C">
        <w:rPr>
          <w:lang w:val="es-CR"/>
        </w:rPr>
        <w:t>ii- Para la terminal de Paquera, las mejoras en este sentido son también reducidas pero posibles,</w:t>
      </w:r>
      <w:r w:rsidR="008D269C" w:rsidRPr="008D269C">
        <w:rPr>
          <w:lang w:val="es-CR"/>
        </w:rPr>
        <w:t xml:space="preserve"> </w:t>
      </w:r>
      <w:r w:rsidRPr="008D269C">
        <w:rPr>
          <w:lang w:val="es-CR"/>
        </w:rPr>
        <w:t>esto en combinación con la ampliación de la ruta de acceso a la terminal.</w:t>
      </w:r>
      <w:r w:rsidR="00E22068" w:rsidRPr="008D269C">
        <w:rPr>
          <w:lang w:val="es-CR"/>
        </w:rPr>
        <w:t xml:space="preserve"> </w:t>
      </w:r>
      <w:r w:rsidRPr="008D269C">
        <w:rPr>
          <w:lang w:val="es-CR"/>
        </w:rPr>
        <w:t>Sobre estas opciones de áreas disponibles para mejorar la operatividad en tierra, se pretende en el</w:t>
      </w:r>
      <w:r w:rsidR="00E22068" w:rsidRPr="008D269C">
        <w:rPr>
          <w:lang w:val="es-CR"/>
        </w:rPr>
        <w:t xml:space="preserve"> </w:t>
      </w:r>
      <w:r w:rsidRPr="008D269C">
        <w:rPr>
          <w:lang w:val="es-CR"/>
        </w:rPr>
        <w:t xml:space="preserve">mediano plazo </w:t>
      </w:r>
      <w:r w:rsidR="007253AD">
        <w:rPr>
          <w:lang w:val="es-CR"/>
        </w:rPr>
        <w:t>la adquisición y acondicionamiento de terrenos para brindar los servicios de parqueo a los pasajeros en espera</w:t>
      </w:r>
      <w:r w:rsidR="002E7CB4" w:rsidRPr="008D269C">
        <w:rPr>
          <w:lang w:val="es-CR"/>
        </w:rPr>
        <w:t>.</w:t>
      </w:r>
    </w:p>
    <w:p w:rsidR="007A2AE3" w:rsidRDefault="007A2AE3" w:rsidP="007A2AE3">
      <w:pPr>
        <w:pStyle w:val="ListParagraph"/>
        <w:rPr>
          <w:lang w:val="es-CR"/>
        </w:rPr>
      </w:pPr>
    </w:p>
    <w:p w:rsidR="00996878" w:rsidRDefault="007A2AE3" w:rsidP="007A2AE3">
      <w:pPr>
        <w:tabs>
          <w:tab w:val="left" w:pos="1440"/>
          <w:tab w:val="left" w:pos="3060"/>
        </w:tabs>
        <w:jc w:val="both"/>
        <w:rPr>
          <w:lang w:val="es-CR"/>
        </w:rPr>
      </w:pPr>
      <w:r>
        <w:t>Mayor detalle, ver Ficha Técnica</w:t>
      </w:r>
      <w:r>
        <w:rPr>
          <w:b/>
          <w:smallCaps/>
          <w:lang w:val="es-AR"/>
        </w:rPr>
        <w:t xml:space="preserve">: </w:t>
      </w:r>
      <w:r>
        <w:rPr>
          <w:lang w:val="es-CR"/>
        </w:rPr>
        <w:t>Mejoramiento de las Terminales de Transbordadores del Golfo de N</w:t>
      </w:r>
      <w:r w:rsidRPr="00831F95">
        <w:rPr>
          <w:lang w:val="es-CR"/>
        </w:rPr>
        <w:t>icoya</w:t>
      </w:r>
      <w:r>
        <w:rPr>
          <w:lang w:val="es-CR"/>
        </w:rPr>
        <w:t>.</w:t>
      </w:r>
    </w:p>
    <w:p w:rsidR="003D55C3" w:rsidRDefault="003D55C3" w:rsidP="003D55C3">
      <w:pPr>
        <w:tabs>
          <w:tab w:val="left" w:pos="1440"/>
          <w:tab w:val="left" w:pos="3060"/>
        </w:tabs>
        <w:rPr>
          <w:sz w:val="20"/>
          <w:lang w:val="es-CR"/>
        </w:rPr>
      </w:pPr>
    </w:p>
    <w:p w:rsidR="003D55C3" w:rsidRDefault="003D55C3" w:rsidP="003D55C3">
      <w:pPr>
        <w:tabs>
          <w:tab w:val="left" w:pos="1440"/>
          <w:tab w:val="left" w:pos="3060"/>
        </w:tabs>
        <w:rPr>
          <w:sz w:val="20"/>
          <w:lang w:val="es-CR"/>
        </w:rPr>
      </w:pPr>
    </w:p>
    <w:p w:rsidR="003D55C3" w:rsidRPr="003D55C3" w:rsidRDefault="003A531C" w:rsidP="003D55C3">
      <w:pPr>
        <w:tabs>
          <w:tab w:val="left" w:pos="1440"/>
          <w:tab w:val="left" w:pos="3060"/>
        </w:tabs>
        <w:rPr>
          <w:sz w:val="20"/>
          <w:lang w:val="es-CR"/>
        </w:rPr>
      </w:pPr>
      <w:r w:rsidRPr="00FE4043">
        <w:rPr>
          <w:noProof/>
          <w:szCs w:val="18"/>
          <w:lang w:val="es-ES" w:eastAsia="es-ES"/>
        </w:rPr>
        <w:drawing>
          <wp:inline distT="0" distB="0" distL="0" distR="0" wp14:anchorId="1C1E92CE" wp14:editId="5BF2AB72">
            <wp:extent cx="5613400" cy="1242954"/>
            <wp:effectExtent l="19050" t="0" r="635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613400" cy="1242954"/>
                    </a:xfrm>
                    <a:prstGeom prst="rect">
                      <a:avLst/>
                    </a:prstGeom>
                    <a:noFill/>
                    <a:ln w="9525">
                      <a:noFill/>
                      <a:miter lim="800000"/>
                      <a:headEnd/>
                      <a:tailEnd/>
                    </a:ln>
                  </pic:spPr>
                </pic:pic>
              </a:graphicData>
            </a:graphic>
          </wp:inline>
        </w:drawing>
      </w:r>
      <w:r w:rsidR="003D55C3" w:rsidRPr="00C11583">
        <w:rPr>
          <w:sz w:val="18"/>
          <w:szCs w:val="18"/>
          <w:lang w:val="es-CR"/>
        </w:rPr>
        <w:t>Fuente: Elaboración BID</w:t>
      </w:r>
    </w:p>
    <w:p w:rsidR="003D55C3" w:rsidRDefault="003D55C3" w:rsidP="00AB65C8">
      <w:pPr>
        <w:tabs>
          <w:tab w:val="left" w:pos="1440"/>
          <w:tab w:val="left" w:pos="3060"/>
        </w:tabs>
        <w:jc w:val="center"/>
        <w:rPr>
          <w:sz w:val="20"/>
          <w:lang w:val="es-CR"/>
        </w:rPr>
      </w:pPr>
    </w:p>
    <w:p w:rsidR="003D55C3" w:rsidRDefault="003D55C3" w:rsidP="00AB65C8">
      <w:pPr>
        <w:tabs>
          <w:tab w:val="left" w:pos="1440"/>
          <w:tab w:val="left" w:pos="3060"/>
        </w:tabs>
        <w:jc w:val="center"/>
        <w:rPr>
          <w:sz w:val="20"/>
          <w:lang w:val="es-CR"/>
        </w:rPr>
      </w:pPr>
    </w:p>
    <w:p w:rsidR="003D55C3" w:rsidRDefault="003D55C3" w:rsidP="00AB65C8">
      <w:pPr>
        <w:tabs>
          <w:tab w:val="left" w:pos="1440"/>
          <w:tab w:val="left" w:pos="3060"/>
        </w:tabs>
        <w:jc w:val="center"/>
        <w:rPr>
          <w:sz w:val="20"/>
          <w:lang w:val="es-CR"/>
        </w:rPr>
      </w:pPr>
    </w:p>
    <w:p w:rsidR="00AB65C8" w:rsidRPr="00C11583" w:rsidRDefault="00AB65C8" w:rsidP="003D55C3">
      <w:pPr>
        <w:tabs>
          <w:tab w:val="left" w:pos="1440"/>
          <w:tab w:val="left" w:pos="3060"/>
        </w:tabs>
        <w:rPr>
          <w:sz w:val="20"/>
          <w:lang w:val="es-CR"/>
        </w:rPr>
      </w:pPr>
    </w:p>
    <w:p w:rsidR="003D55C3" w:rsidRDefault="003A531C" w:rsidP="007A2AE3">
      <w:pPr>
        <w:tabs>
          <w:tab w:val="left" w:pos="1440"/>
          <w:tab w:val="left" w:pos="3060"/>
        </w:tabs>
        <w:jc w:val="both"/>
        <w:rPr>
          <w:lang w:val="es-CR"/>
        </w:rPr>
      </w:pPr>
      <w:r w:rsidRPr="003A531C">
        <w:rPr>
          <w:noProof/>
          <w:lang w:val="es-ES" w:eastAsia="es-ES"/>
        </w:rPr>
        <w:drawing>
          <wp:inline distT="0" distB="0" distL="0" distR="0" wp14:anchorId="56D2362B" wp14:editId="5974EB42">
            <wp:extent cx="5613400" cy="1690869"/>
            <wp:effectExtent l="19050" t="0" r="6350" b="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613400" cy="1690869"/>
                    </a:xfrm>
                    <a:prstGeom prst="rect">
                      <a:avLst/>
                    </a:prstGeom>
                    <a:noFill/>
                    <a:ln w="9525">
                      <a:noFill/>
                      <a:miter lim="800000"/>
                      <a:headEnd/>
                      <a:tailEnd/>
                    </a:ln>
                  </pic:spPr>
                </pic:pic>
              </a:graphicData>
            </a:graphic>
          </wp:inline>
        </w:drawing>
      </w:r>
    </w:p>
    <w:p w:rsidR="003D55C3" w:rsidRPr="00C11583" w:rsidRDefault="003D55C3" w:rsidP="003D55C3">
      <w:pPr>
        <w:tabs>
          <w:tab w:val="left" w:pos="1440"/>
          <w:tab w:val="left" w:pos="3060"/>
        </w:tabs>
        <w:jc w:val="both"/>
        <w:rPr>
          <w:sz w:val="18"/>
          <w:szCs w:val="18"/>
          <w:lang w:val="es-CR"/>
        </w:rPr>
      </w:pPr>
      <w:r w:rsidRPr="00C11583">
        <w:rPr>
          <w:sz w:val="18"/>
          <w:szCs w:val="18"/>
          <w:lang w:val="es-CR"/>
        </w:rPr>
        <w:t>Fuente: Elaboración BID</w:t>
      </w:r>
    </w:p>
    <w:p w:rsidR="003D55C3" w:rsidRDefault="003D55C3" w:rsidP="007A2AE3">
      <w:pPr>
        <w:tabs>
          <w:tab w:val="left" w:pos="1440"/>
          <w:tab w:val="left" w:pos="3060"/>
        </w:tabs>
        <w:jc w:val="both"/>
        <w:rPr>
          <w:lang w:val="es-CR"/>
        </w:rPr>
      </w:pPr>
    </w:p>
    <w:p w:rsidR="003D55C3" w:rsidRDefault="003D55C3" w:rsidP="007A2AE3">
      <w:pPr>
        <w:tabs>
          <w:tab w:val="left" w:pos="1440"/>
          <w:tab w:val="left" w:pos="3060"/>
        </w:tabs>
        <w:jc w:val="both"/>
        <w:rPr>
          <w:lang w:val="es-CR"/>
        </w:rPr>
      </w:pPr>
    </w:p>
    <w:p w:rsidR="007A2AE3" w:rsidRDefault="007A2AE3" w:rsidP="007A2AE3">
      <w:pPr>
        <w:widowControl w:val="0"/>
        <w:adjustRightInd w:val="0"/>
        <w:ind w:left="705"/>
        <w:jc w:val="both"/>
        <w:textAlignment w:val="baseline"/>
        <w:rPr>
          <w:lang w:val="es-CR"/>
        </w:rPr>
      </w:pPr>
    </w:p>
    <w:p w:rsidR="006C5A91" w:rsidRDefault="006C5A91" w:rsidP="006C5A91">
      <w:pPr>
        <w:pStyle w:val="ListParagraph"/>
        <w:numPr>
          <w:ilvl w:val="0"/>
          <w:numId w:val="11"/>
        </w:numPr>
        <w:jc w:val="both"/>
        <w:rPr>
          <w:rFonts w:ascii="Arial" w:hAnsi="Arial" w:cs="Arial"/>
          <w:smallCaps/>
          <w:sz w:val="22"/>
          <w:szCs w:val="22"/>
        </w:rPr>
      </w:pPr>
      <w:r w:rsidRPr="006C5A91">
        <w:rPr>
          <w:smallCaps/>
          <w:sz w:val="22"/>
          <w:szCs w:val="22"/>
        </w:rPr>
        <w:t>DEMANDA Y PROYECCIONES</w:t>
      </w:r>
      <w:r w:rsidR="00F939AB" w:rsidRPr="006C5A91">
        <w:rPr>
          <w:rFonts w:ascii="Arial" w:hAnsi="Arial" w:cs="Arial"/>
          <w:smallCaps/>
          <w:sz w:val="22"/>
          <w:szCs w:val="22"/>
        </w:rPr>
        <w:t>.</w:t>
      </w:r>
      <w:r w:rsidRPr="006C5A91">
        <w:rPr>
          <w:rFonts w:ascii="Arial" w:hAnsi="Arial" w:cs="Arial"/>
          <w:smallCaps/>
          <w:sz w:val="22"/>
          <w:szCs w:val="22"/>
        </w:rPr>
        <w:t xml:space="preserve"> </w:t>
      </w:r>
    </w:p>
    <w:p w:rsidR="006C5A91" w:rsidRDefault="006C5A91" w:rsidP="006C5A91">
      <w:pPr>
        <w:jc w:val="both"/>
        <w:rPr>
          <w:rFonts w:ascii="Arial" w:hAnsi="Arial" w:cs="Arial"/>
          <w:smallCaps/>
          <w:sz w:val="22"/>
          <w:szCs w:val="22"/>
        </w:rPr>
      </w:pPr>
    </w:p>
    <w:p w:rsidR="00D305A0" w:rsidRDefault="00D305A0" w:rsidP="00D305A0">
      <w:pPr>
        <w:numPr>
          <w:ilvl w:val="1"/>
          <w:numId w:val="2"/>
        </w:numPr>
        <w:tabs>
          <w:tab w:val="clear" w:pos="360"/>
          <w:tab w:val="num" w:pos="709"/>
        </w:tabs>
        <w:ind w:left="709" w:hanging="709"/>
        <w:jc w:val="both"/>
      </w:pPr>
      <w:r w:rsidRPr="00E942FF">
        <w:rPr>
          <w:b/>
        </w:rPr>
        <w:t>Tránsito actual</w:t>
      </w:r>
      <w:r>
        <w:rPr>
          <w:b/>
        </w:rPr>
        <w:t xml:space="preserve"> (2012)</w:t>
      </w:r>
      <w:r w:rsidRPr="00E942FF">
        <w:rPr>
          <w:b/>
        </w:rPr>
        <w:t>.</w:t>
      </w:r>
      <w:r w:rsidR="00020E62">
        <w:t xml:space="preserve"> Según cuadro N.4 del BID</w:t>
      </w:r>
      <w:r w:rsidRPr="00E942FF">
        <w:t xml:space="preserve">, </w:t>
      </w:r>
      <w:r>
        <w:t>el tramo carreter</w:t>
      </w:r>
      <w:r w:rsidR="00942454">
        <w:t>o</w:t>
      </w:r>
      <w:r>
        <w:t xml:space="preserve"> el Roble (Barranca)-Puert</w:t>
      </w:r>
      <w:r w:rsidR="00942454">
        <w:t>o</w:t>
      </w:r>
      <w:r>
        <w:t xml:space="preserve"> Naranjo</w:t>
      </w:r>
      <w:r w:rsidR="00942454">
        <w:t xml:space="preserve"> contempla 17 subtramos</w:t>
      </w:r>
      <w:r w:rsidR="00E43AC2">
        <w:t>,</w:t>
      </w:r>
      <w:r w:rsidR="00942454">
        <w:t xml:space="preserve"> </w:t>
      </w:r>
      <w:r w:rsidR="00865FA6">
        <w:t xml:space="preserve">por su parte el tramo Puerto Naranjo Puerto Paquera consta de 3 subtramos, </w:t>
      </w:r>
      <w:r w:rsidR="00942454">
        <w:t>el</w:t>
      </w:r>
      <w:r w:rsidR="00020E62">
        <w:t xml:space="preserve"> detalle del</w:t>
      </w:r>
      <w:r w:rsidR="00942454">
        <w:t xml:space="preserve"> TPD</w:t>
      </w:r>
      <w:r w:rsidR="00020E62">
        <w:t xml:space="preserve"> se muestra en el cuadro de referencia,</w:t>
      </w:r>
      <w:r w:rsidR="00942454">
        <w:t xml:space="preserve"> la mayor proporción </w:t>
      </w:r>
      <w:r w:rsidR="00865FA6">
        <w:t xml:space="preserve">en ambos </w:t>
      </w:r>
      <w:r w:rsidR="00942454">
        <w:t>corresponde a automóviles.</w:t>
      </w:r>
    </w:p>
    <w:p w:rsidR="00942454" w:rsidRDefault="00942454" w:rsidP="00942454">
      <w:pPr>
        <w:ind w:left="709"/>
        <w:jc w:val="both"/>
      </w:pPr>
    </w:p>
    <w:p w:rsidR="00942454" w:rsidRDefault="00942454" w:rsidP="00942454">
      <w:pPr>
        <w:numPr>
          <w:ilvl w:val="1"/>
          <w:numId w:val="2"/>
        </w:numPr>
        <w:tabs>
          <w:tab w:val="clear" w:pos="360"/>
          <w:tab w:val="num" w:pos="709"/>
        </w:tabs>
        <w:ind w:left="709" w:hanging="709"/>
        <w:jc w:val="both"/>
      </w:pPr>
      <w:r w:rsidRPr="00942454">
        <w:t>Para la modelación con el HDM-4 fue necesario discriminar el tránsito en los distintos tipos de vehículos debido a su efecto en los costos de operación y tiempo</w:t>
      </w:r>
      <w:r w:rsidR="00CF6034">
        <w:t>.</w:t>
      </w:r>
    </w:p>
    <w:p w:rsidR="00CF6034" w:rsidRPr="00942454" w:rsidRDefault="00CF6034" w:rsidP="00CF6034">
      <w:pPr>
        <w:ind w:left="709"/>
        <w:jc w:val="both"/>
      </w:pPr>
    </w:p>
    <w:p w:rsidR="00C03883" w:rsidRDefault="00C36A92" w:rsidP="00C36A92">
      <w:pPr>
        <w:tabs>
          <w:tab w:val="left" w:pos="1440"/>
          <w:tab w:val="left" w:pos="3060"/>
        </w:tabs>
        <w:jc w:val="both"/>
        <w:rPr>
          <w:sz w:val="18"/>
          <w:szCs w:val="18"/>
          <w:lang w:val="es-CR"/>
        </w:rPr>
      </w:pPr>
      <w:r>
        <w:rPr>
          <w:sz w:val="18"/>
          <w:szCs w:val="18"/>
          <w:lang w:val="es-CR"/>
        </w:rPr>
        <w:t xml:space="preserve">                </w:t>
      </w:r>
    </w:p>
    <w:p w:rsidR="003D55C3" w:rsidRDefault="003D55C3" w:rsidP="00C36A92">
      <w:pPr>
        <w:tabs>
          <w:tab w:val="left" w:pos="1440"/>
          <w:tab w:val="left" w:pos="3060"/>
        </w:tabs>
        <w:jc w:val="both"/>
        <w:rPr>
          <w:sz w:val="18"/>
          <w:szCs w:val="18"/>
          <w:lang w:val="es-CR"/>
        </w:rPr>
      </w:pPr>
    </w:p>
    <w:p w:rsidR="003D55C3" w:rsidRDefault="003D55C3" w:rsidP="00C36A92">
      <w:pPr>
        <w:tabs>
          <w:tab w:val="left" w:pos="1440"/>
          <w:tab w:val="left" w:pos="3060"/>
        </w:tabs>
        <w:jc w:val="both"/>
        <w:rPr>
          <w:sz w:val="18"/>
          <w:szCs w:val="18"/>
          <w:lang w:val="es-CR"/>
        </w:rPr>
      </w:pPr>
    </w:p>
    <w:p w:rsidR="003D55C3" w:rsidRDefault="0080484E" w:rsidP="00C36A92">
      <w:pPr>
        <w:tabs>
          <w:tab w:val="left" w:pos="1440"/>
          <w:tab w:val="left" w:pos="3060"/>
        </w:tabs>
        <w:jc w:val="both"/>
        <w:rPr>
          <w:sz w:val="18"/>
          <w:szCs w:val="18"/>
          <w:lang w:val="es-CR"/>
        </w:rPr>
      </w:pPr>
      <w:r w:rsidRPr="00FE4043">
        <w:rPr>
          <w:noProof/>
          <w:szCs w:val="18"/>
          <w:lang w:val="es-ES" w:eastAsia="es-ES"/>
        </w:rPr>
        <w:drawing>
          <wp:inline distT="0" distB="0" distL="0" distR="0" wp14:anchorId="661B6EE4" wp14:editId="457A08AE">
            <wp:extent cx="5613400" cy="2152862"/>
            <wp:effectExtent l="19050" t="0" r="6350" b="0"/>
            <wp:docPr id="50"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5613400" cy="2152862"/>
                    </a:xfrm>
                    <a:prstGeom prst="rect">
                      <a:avLst/>
                    </a:prstGeom>
                    <a:noFill/>
                    <a:ln w="9525">
                      <a:noFill/>
                      <a:miter lim="800000"/>
                      <a:headEnd/>
                      <a:tailEnd/>
                    </a:ln>
                  </pic:spPr>
                </pic:pic>
              </a:graphicData>
            </a:graphic>
          </wp:inline>
        </w:drawing>
      </w:r>
    </w:p>
    <w:p w:rsidR="003D55C3" w:rsidRDefault="003D55C3" w:rsidP="00C36A92">
      <w:pPr>
        <w:tabs>
          <w:tab w:val="left" w:pos="1440"/>
          <w:tab w:val="left" w:pos="3060"/>
        </w:tabs>
        <w:jc w:val="both"/>
        <w:rPr>
          <w:sz w:val="18"/>
          <w:szCs w:val="18"/>
          <w:lang w:val="es-CR"/>
        </w:rPr>
      </w:pPr>
    </w:p>
    <w:p w:rsidR="00BF4195" w:rsidRDefault="00BF4195" w:rsidP="00BF4195">
      <w:pPr>
        <w:tabs>
          <w:tab w:val="left" w:pos="1440"/>
          <w:tab w:val="left" w:pos="3060"/>
        </w:tabs>
        <w:jc w:val="both"/>
        <w:rPr>
          <w:sz w:val="18"/>
          <w:szCs w:val="18"/>
          <w:lang w:val="es-CR"/>
        </w:rPr>
      </w:pPr>
      <w:r w:rsidRPr="00C11583">
        <w:rPr>
          <w:sz w:val="18"/>
          <w:szCs w:val="18"/>
          <w:lang w:val="es-CR"/>
        </w:rPr>
        <w:t>Fuente: Elaboración BID</w:t>
      </w:r>
    </w:p>
    <w:p w:rsidR="003D55C3" w:rsidRDefault="003D55C3" w:rsidP="00C36A92">
      <w:pPr>
        <w:tabs>
          <w:tab w:val="left" w:pos="1440"/>
          <w:tab w:val="left" w:pos="3060"/>
        </w:tabs>
        <w:jc w:val="both"/>
        <w:rPr>
          <w:sz w:val="18"/>
          <w:szCs w:val="18"/>
          <w:lang w:val="es-CR"/>
        </w:rPr>
      </w:pPr>
    </w:p>
    <w:p w:rsidR="003D55C3" w:rsidRDefault="003D55C3" w:rsidP="00C36A92">
      <w:pPr>
        <w:tabs>
          <w:tab w:val="left" w:pos="1440"/>
          <w:tab w:val="left" w:pos="3060"/>
        </w:tabs>
        <w:jc w:val="both"/>
        <w:rPr>
          <w:sz w:val="18"/>
          <w:szCs w:val="18"/>
          <w:lang w:val="es-CR"/>
        </w:rPr>
      </w:pPr>
    </w:p>
    <w:p w:rsidR="006C5A91" w:rsidRPr="00C03883" w:rsidRDefault="00942454" w:rsidP="00DC1C3D">
      <w:pPr>
        <w:numPr>
          <w:ilvl w:val="1"/>
          <w:numId w:val="2"/>
        </w:numPr>
        <w:tabs>
          <w:tab w:val="clear" w:pos="360"/>
          <w:tab w:val="num" w:pos="709"/>
        </w:tabs>
        <w:ind w:left="709" w:hanging="709"/>
        <w:jc w:val="both"/>
      </w:pPr>
      <w:r>
        <w:t>L</w:t>
      </w:r>
      <w:r w:rsidR="00F939AB" w:rsidRPr="00E942FF">
        <w:t xml:space="preserve">a información </w:t>
      </w:r>
      <w:r w:rsidR="001D7EFE" w:rsidRPr="00E942FF">
        <w:t xml:space="preserve">proporcionada por </w:t>
      </w:r>
      <w:r w:rsidR="006C5A91">
        <w:rPr>
          <w:szCs w:val="24"/>
        </w:rPr>
        <w:t xml:space="preserve">la Dirección de Gestión de la División Marítimo Portuaria del MOPT, la demanda </w:t>
      </w:r>
      <w:r w:rsidR="008B64A8">
        <w:rPr>
          <w:szCs w:val="24"/>
        </w:rPr>
        <w:t xml:space="preserve">para el 2013 </w:t>
      </w:r>
      <w:r w:rsidR="00482923">
        <w:rPr>
          <w:szCs w:val="24"/>
        </w:rPr>
        <w:t xml:space="preserve">del </w:t>
      </w:r>
      <w:r w:rsidR="00E43AC2">
        <w:rPr>
          <w:szCs w:val="24"/>
        </w:rPr>
        <w:t>trecho carretero</w:t>
      </w:r>
      <w:r w:rsidR="00482923">
        <w:rPr>
          <w:szCs w:val="24"/>
        </w:rPr>
        <w:t xml:space="preserve"> </w:t>
      </w:r>
      <w:r w:rsidR="00482923" w:rsidRPr="00482923">
        <w:rPr>
          <w:b/>
          <w:szCs w:val="24"/>
        </w:rPr>
        <w:t xml:space="preserve"> El </w:t>
      </w:r>
      <w:r w:rsidR="00E43AC2">
        <w:rPr>
          <w:b/>
          <w:szCs w:val="24"/>
        </w:rPr>
        <w:t>Roble (Barranca)</w:t>
      </w:r>
      <w:r w:rsidR="00482923" w:rsidRPr="00482923">
        <w:rPr>
          <w:b/>
          <w:szCs w:val="24"/>
        </w:rPr>
        <w:t xml:space="preserve"> – Playa Naranjo</w:t>
      </w:r>
      <w:r w:rsidR="00482923">
        <w:rPr>
          <w:szCs w:val="24"/>
        </w:rPr>
        <w:t xml:space="preserve"> </w:t>
      </w:r>
      <w:r w:rsidR="006C5A91">
        <w:rPr>
          <w:szCs w:val="24"/>
        </w:rPr>
        <w:t xml:space="preserve">es </w:t>
      </w:r>
      <w:r w:rsidR="008B64A8">
        <w:rPr>
          <w:szCs w:val="24"/>
        </w:rPr>
        <w:t xml:space="preserve">de </w:t>
      </w:r>
      <w:r w:rsidR="00482923">
        <w:rPr>
          <w:szCs w:val="24"/>
        </w:rPr>
        <w:t>un total de 49</w:t>
      </w:r>
      <w:r w:rsidR="008B64A8">
        <w:rPr>
          <w:szCs w:val="24"/>
        </w:rPr>
        <w:t>,</w:t>
      </w:r>
      <w:r w:rsidR="00A21F33">
        <w:rPr>
          <w:szCs w:val="24"/>
        </w:rPr>
        <w:t>943</w:t>
      </w:r>
      <w:r w:rsidR="00482923">
        <w:rPr>
          <w:szCs w:val="24"/>
        </w:rPr>
        <w:t xml:space="preserve"> vehículos por año (33</w:t>
      </w:r>
      <w:r w:rsidR="008B64A8">
        <w:rPr>
          <w:szCs w:val="24"/>
        </w:rPr>
        <w:t>,</w:t>
      </w:r>
      <w:r w:rsidR="00482923">
        <w:rPr>
          <w:szCs w:val="24"/>
        </w:rPr>
        <w:t>099 vehículos pasajeros, 13</w:t>
      </w:r>
      <w:r w:rsidR="008B64A8">
        <w:rPr>
          <w:szCs w:val="24"/>
        </w:rPr>
        <w:t>,</w:t>
      </w:r>
      <w:r w:rsidR="00482923">
        <w:rPr>
          <w:szCs w:val="24"/>
        </w:rPr>
        <w:t xml:space="preserve">404 carga liviana </w:t>
      </w:r>
      <w:r w:rsidR="008B64A8">
        <w:rPr>
          <w:szCs w:val="24"/>
        </w:rPr>
        <w:t>-</w:t>
      </w:r>
      <w:r w:rsidR="00482923">
        <w:rPr>
          <w:szCs w:val="24"/>
        </w:rPr>
        <w:t>incluye vehículo carga liviana, microbús y busetas</w:t>
      </w:r>
      <w:r w:rsidR="008B64A8">
        <w:rPr>
          <w:szCs w:val="24"/>
        </w:rPr>
        <w:t>-</w:t>
      </w:r>
      <w:r w:rsidR="00482923">
        <w:rPr>
          <w:szCs w:val="24"/>
        </w:rPr>
        <w:t>,</w:t>
      </w:r>
      <w:r w:rsidR="008B64A8">
        <w:rPr>
          <w:szCs w:val="24"/>
        </w:rPr>
        <w:t xml:space="preserve"> </w:t>
      </w:r>
      <w:r w:rsidR="00482923">
        <w:rPr>
          <w:szCs w:val="24"/>
        </w:rPr>
        <w:t xml:space="preserve"> 62 bus, 2</w:t>
      </w:r>
      <w:r w:rsidR="008B64A8">
        <w:rPr>
          <w:szCs w:val="24"/>
        </w:rPr>
        <w:t>,</w:t>
      </w:r>
      <w:r w:rsidR="00482923">
        <w:rPr>
          <w:szCs w:val="24"/>
        </w:rPr>
        <w:t xml:space="preserve">084 carga de 2 ejes, 901 carga de 3 ejes y 393 carga 5 ejes (incluye 4 ejes). </w:t>
      </w:r>
      <w:r w:rsidR="008B64A8">
        <w:rPr>
          <w:szCs w:val="24"/>
        </w:rPr>
        <w:t>La d</w:t>
      </w:r>
      <w:r w:rsidR="00E43AC2">
        <w:rPr>
          <w:szCs w:val="24"/>
        </w:rPr>
        <w:t xml:space="preserve">emanda del recorrido del trecho carretero </w:t>
      </w:r>
      <w:r w:rsidR="00E43AC2" w:rsidRPr="00E43AC2">
        <w:rPr>
          <w:b/>
          <w:szCs w:val="24"/>
        </w:rPr>
        <w:t>Playa Naranjo</w:t>
      </w:r>
      <w:r w:rsidR="00482923" w:rsidRPr="00E43AC2">
        <w:rPr>
          <w:b/>
          <w:szCs w:val="24"/>
        </w:rPr>
        <w:t xml:space="preserve"> –</w:t>
      </w:r>
      <w:r w:rsidR="00482923" w:rsidRPr="00F566AC">
        <w:rPr>
          <w:b/>
          <w:szCs w:val="24"/>
        </w:rPr>
        <w:t xml:space="preserve"> Paquera</w:t>
      </w:r>
      <w:r w:rsidR="008B64A8">
        <w:rPr>
          <w:b/>
          <w:szCs w:val="24"/>
        </w:rPr>
        <w:t xml:space="preserve"> </w:t>
      </w:r>
      <w:r w:rsidR="008B64A8">
        <w:rPr>
          <w:szCs w:val="24"/>
        </w:rPr>
        <w:t>para el 2013</w:t>
      </w:r>
      <w:r w:rsidR="00482923" w:rsidRPr="00F566AC">
        <w:rPr>
          <w:szCs w:val="24"/>
        </w:rPr>
        <w:t xml:space="preserve"> es un total de </w:t>
      </w:r>
      <w:r w:rsidR="000A50CE" w:rsidRPr="00F566AC">
        <w:rPr>
          <w:szCs w:val="24"/>
        </w:rPr>
        <w:t>207</w:t>
      </w:r>
      <w:r w:rsidR="008B64A8">
        <w:rPr>
          <w:szCs w:val="24"/>
        </w:rPr>
        <w:t>,</w:t>
      </w:r>
      <w:r w:rsidR="00A21F33">
        <w:rPr>
          <w:szCs w:val="24"/>
        </w:rPr>
        <w:t>707</w:t>
      </w:r>
      <w:r w:rsidR="000A50CE" w:rsidRPr="00F566AC">
        <w:rPr>
          <w:szCs w:val="24"/>
        </w:rPr>
        <w:t xml:space="preserve"> vehículos por año (134</w:t>
      </w:r>
      <w:r w:rsidR="008B64A8">
        <w:rPr>
          <w:szCs w:val="24"/>
        </w:rPr>
        <w:t>,</w:t>
      </w:r>
      <w:r w:rsidR="000A50CE" w:rsidRPr="00F566AC">
        <w:rPr>
          <w:szCs w:val="24"/>
        </w:rPr>
        <w:t>259 vehículos pasajeros, 45</w:t>
      </w:r>
      <w:r w:rsidR="008B64A8">
        <w:rPr>
          <w:szCs w:val="24"/>
        </w:rPr>
        <w:t>,</w:t>
      </w:r>
      <w:r w:rsidR="000A50CE" w:rsidRPr="00F566AC">
        <w:rPr>
          <w:szCs w:val="24"/>
        </w:rPr>
        <w:t>194</w:t>
      </w:r>
      <w:r w:rsidR="00482923" w:rsidRPr="00F566AC">
        <w:rPr>
          <w:szCs w:val="24"/>
        </w:rPr>
        <w:t xml:space="preserve"> carga liviana (incluye vehículo carga </w:t>
      </w:r>
      <w:r w:rsidR="000A50CE" w:rsidRPr="00F566AC">
        <w:rPr>
          <w:szCs w:val="24"/>
        </w:rPr>
        <w:t>liviana, microbús y busetas), 11</w:t>
      </w:r>
      <w:r w:rsidR="008B64A8">
        <w:rPr>
          <w:szCs w:val="24"/>
        </w:rPr>
        <w:t>,</w:t>
      </w:r>
      <w:r w:rsidR="000A50CE" w:rsidRPr="00F566AC">
        <w:rPr>
          <w:szCs w:val="24"/>
        </w:rPr>
        <w:t>018 bus, 11</w:t>
      </w:r>
      <w:r w:rsidR="008B64A8">
        <w:rPr>
          <w:szCs w:val="24"/>
        </w:rPr>
        <w:t>,</w:t>
      </w:r>
      <w:r w:rsidR="000A50CE" w:rsidRPr="00F566AC">
        <w:rPr>
          <w:szCs w:val="24"/>
        </w:rPr>
        <w:t>018</w:t>
      </w:r>
      <w:r w:rsidR="00482923" w:rsidRPr="00F566AC">
        <w:rPr>
          <w:szCs w:val="24"/>
        </w:rPr>
        <w:t xml:space="preserve"> carga d</w:t>
      </w:r>
      <w:r w:rsidR="000A50CE" w:rsidRPr="00F566AC">
        <w:rPr>
          <w:szCs w:val="24"/>
        </w:rPr>
        <w:t>e 2 ejes, 3</w:t>
      </w:r>
      <w:r w:rsidR="008B64A8">
        <w:rPr>
          <w:szCs w:val="24"/>
        </w:rPr>
        <w:t>,</w:t>
      </w:r>
      <w:r w:rsidR="000A50CE" w:rsidRPr="00F566AC">
        <w:rPr>
          <w:szCs w:val="24"/>
        </w:rPr>
        <w:t>809 carga de 3 ejes y 2</w:t>
      </w:r>
      <w:r w:rsidR="008B64A8">
        <w:rPr>
          <w:szCs w:val="24"/>
        </w:rPr>
        <w:t>,</w:t>
      </w:r>
      <w:r w:rsidR="000A50CE" w:rsidRPr="00F566AC">
        <w:rPr>
          <w:szCs w:val="24"/>
        </w:rPr>
        <w:t>409</w:t>
      </w:r>
      <w:r w:rsidR="00A21F33">
        <w:rPr>
          <w:szCs w:val="24"/>
        </w:rPr>
        <w:t xml:space="preserve"> carga 5 ejes (incluye 4 ejes) </w:t>
      </w:r>
      <w:r w:rsidR="00E43AC2">
        <w:rPr>
          <w:szCs w:val="24"/>
        </w:rPr>
        <w:t>(</w:t>
      </w:r>
      <w:r w:rsidR="00A21F33">
        <w:rPr>
          <w:szCs w:val="24"/>
        </w:rPr>
        <w:t>ver cuadro N.5</w:t>
      </w:r>
      <w:r w:rsidR="00E43AC2">
        <w:rPr>
          <w:szCs w:val="24"/>
        </w:rPr>
        <w:t>).</w:t>
      </w:r>
    </w:p>
    <w:p w:rsidR="00C03883" w:rsidRDefault="00C03883" w:rsidP="00C03883">
      <w:pPr>
        <w:jc w:val="both"/>
        <w:rPr>
          <w:szCs w:val="24"/>
        </w:rPr>
      </w:pPr>
    </w:p>
    <w:p w:rsidR="00A21F33" w:rsidRDefault="00A21F33" w:rsidP="00A21F33">
      <w:pPr>
        <w:tabs>
          <w:tab w:val="left" w:pos="1440"/>
          <w:tab w:val="left" w:pos="3060"/>
        </w:tabs>
        <w:jc w:val="both"/>
        <w:rPr>
          <w:sz w:val="18"/>
          <w:szCs w:val="18"/>
          <w:lang w:val="es-CR"/>
        </w:rPr>
      </w:pPr>
      <w:r>
        <w:rPr>
          <w:sz w:val="18"/>
          <w:szCs w:val="18"/>
          <w:lang w:val="es-CR"/>
        </w:rPr>
        <w:t xml:space="preserve">               </w:t>
      </w:r>
    </w:p>
    <w:p w:rsidR="006E0A1B" w:rsidRDefault="006E0A1B" w:rsidP="00C03883">
      <w:pPr>
        <w:jc w:val="both"/>
        <w:rPr>
          <w:szCs w:val="24"/>
        </w:rPr>
      </w:pPr>
    </w:p>
    <w:p w:rsidR="00BF4195" w:rsidRDefault="0080484E" w:rsidP="00C03883">
      <w:pPr>
        <w:jc w:val="both"/>
        <w:rPr>
          <w:szCs w:val="24"/>
        </w:rPr>
      </w:pPr>
      <w:r w:rsidRPr="00FE4043">
        <w:rPr>
          <w:noProof/>
          <w:szCs w:val="24"/>
          <w:lang w:val="es-ES" w:eastAsia="es-ES"/>
        </w:rPr>
        <w:drawing>
          <wp:inline distT="0" distB="0" distL="0" distR="0" wp14:anchorId="714B78D1" wp14:editId="7766CFE6">
            <wp:extent cx="5613400" cy="1121563"/>
            <wp:effectExtent l="19050" t="0" r="6350" b="0"/>
            <wp:docPr id="5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a:stretch>
                      <a:fillRect/>
                    </a:stretch>
                  </pic:blipFill>
                  <pic:spPr bwMode="auto">
                    <a:xfrm>
                      <a:off x="0" y="0"/>
                      <a:ext cx="5613400" cy="1121563"/>
                    </a:xfrm>
                    <a:prstGeom prst="rect">
                      <a:avLst/>
                    </a:prstGeom>
                    <a:noFill/>
                    <a:ln w="9525">
                      <a:noFill/>
                      <a:miter lim="800000"/>
                      <a:headEnd/>
                      <a:tailEnd/>
                    </a:ln>
                  </pic:spPr>
                </pic:pic>
              </a:graphicData>
            </a:graphic>
          </wp:inline>
        </w:drawing>
      </w:r>
    </w:p>
    <w:p w:rsidR="00BF4195" w:rsidRDefault="00BF4195" w:rsidP="00C03883">
      <w:pPr>
        <w:jc w:val="both"/>
        <w:rPr>
          <w:szCs w:val="24"/>
        </w:rPr>
      </w:pPr>
      <w:r w:rsidRPr="00C11583">
        <w:rPr>
          <w:sz w:val="18"/>
          <w:szCs w:val="18"/>
          <w:lang w:val="es-CR"/>
        </w:rPr>
        <w:t>Fuente: Elaboración BID</w:t>
      </w:r>
    </w:p>
    <w:p w:rsidR="00BF4195" w:rsidRDefault="00BF4195" w:rsidP="00C03883">
      <w:pPr>
        <w:jc w:val="both"/>
        <w:rPr>
          <w:szCs w:val="24"/>
        </w:rPr>
      </w:pPr>
    </w:p>
    <w:p w:rsidR="00BF4195" w:rsidRDefault="00BF4195" w:rsidP="00C03883">
      <w:pPr>
        <w:jc w:val="both"/>
        <w:rPr>
          <w:szCs w:val="24"/>
        </w:rPr>
      </w:pPr>
    </w:p>
    <w:p w:rsidR="00BF4195" w:rsidRDefault="00BF4195" w:rsidP="00C03883">
      <w:pPr>
        <w:jc w:val="both"/>
        <w:rPr>
          <w:szCs w:val="24"/>
        </w:rPr>
      </w:pPr>
    </w:p>
    <w:p w:rsidR="006E0A1B" w:rsidRPr="001D779A" w:rsidRDefault="006E0A1B" w:rsidP="006E0A1B">
      <w:pPr>
        <w:widowControl w:val="0"/>
        <w:numPr>
          <w:ilvl w:val="1"/>
          <w:numId w:val="2"/>
        </w:numPr>
        <w:tabs>
          <w:tab w:val="clear" w:pos="360"/>
          <w:tab w:val="num" w:pos="709"/>
        </w:tabs>
        <w:adjustRightInd w:val="0"/>
        <w:ind w:left="709" w:hanging="709"/>
        <w:jc w:val="both"/>
        <w:textAlignment w:val="baseline"/>
        <w:rPr>
          <w:color w:val="000000" w:themeColor="text1"/>
        </w:rPr>
      </w:pPr>
      <w:r w:rsidRPr="001D779A">
        <w:rPr>
          <w:color w:val="000000" w:themeColor="text1"/>
        </w:rPr>
        <w:t xml:space="preserve">El Tramo terrestre de la Ruta Nacional </w:t>
      </w:r>
      <w:r w:rsidRPr="001D779A">
        <w:rPr>
          <w:b/>
          <w:color w:val="000000" w:themeColor="text1"/>
        </w:rPr>
        <w:t>El Roble</w:t>
      </w:r>
      <w:r w:rsidR="00E43AC2">
        <w:rPr>
          <w:b/>
          <w:color w:val="000000" w:themeColor="text1"/>
        </w:rPr>
        <w:t xml:space="preserve"> (Barranca)</w:t>
      </w:r>
      <w:r w:rsidRPr="001D779A">
        <w:rPr>
          <w:b/>
          <w:color w:val="000000" w:themeColor="text1"/>
        </w:rPr>
        <w:t>- Barrio El Carmen</w:t>
      </w:r>
      <w:r w:rsidR="00E43AC2">
        <w:rPr>
          <w:b/>
          <w:color w:val="000000" w:themeColor="text1"/>
        </w:rPr>
        <w:t xml:space="preserve"> Puntarenas</w:t>
      </w:r>
      <w:r w:rsidRPr="001D779A">
        <w:rPr>
          <w:color w:val="000000" w:themeColor="text1"/>
        </w:rPr>
        <w:t xml:space="preserve"> (a la terminal de transbordadores) con una longitud de 12.2 </w:t>
      </w:r>
      <w:r w:rsidR="00763CE5" w:rsidRPr="001D779A">
        <w:rPr>
          <w:color w:val="000000" w:themeColor="text1"/>
        </w:rPr>
        <w:t>Km</w:t>
      </w:r>
      <w:r w:rsidRPr="001D779A">
        <w:rPr>
          <w:color w:val="000000" w:themeColor="text1"/>
        </w:rPr>
        <w:t>.</w:t>
      </w:r>
      <w:r w:rsidRPr="001D779A">
        <w:rPr>
          <w:color w:val="000000" w:themeColor="text1"/>
          <w:szCs w:val="24"/>
        </w:rPr>
        <w:t xml:space="preserve"> cuenta con un TPD de 16005 vehículos por año (10762 vehículos pasajeros, 2801 carga liviana -incluye vehículo carga liviana, microbús y busetas-,  1448</w:t>
      </w:r>
      <w:r w:rsidR="00017658" w:rsidRPr="001D779A">
        <w:rPr>
          <w:color w:val="000000" w:themeColor="text1"/>
          <w:szCs w:val="24"/>
        </w:rPr>
        <w:t xml:space="preserve"> bus, 922 carga de 2 ejes, 26</w:t>
      </w:r>
      <w:r w:rsidRPr="001D779A">
        <w:rPr>
          <w:color w:val="000000" w:themeColor="text1"/>
          <w:szCs w:val="24"/>
        </w:rPr>
        <w:t xml:space="preserve"> carga de </w:t>
      </w:r>
      <w:r w:rsidR="001D779A" w:rsidRPr="001D779A">
        <w:rPr>
          <w:color w:val="000000" w:themeColor="text1"/>
          <w:szCs w:val="24"/>
        </w:rPr>
        <w:t>3 ejes y 46</w:t>
      </w:r>
      <w:r w:rsidRPr="001D779A">
        <w:rPr>
          <w:color w:val="000000" w:themeColor="text1"/>
          <w:szCs w:val="24"/>
        </w:rPr>
        <w:t xml:space="preserve"> carga 5</w:t>
      </w:r>
      <w:r w:rsidR="001D779A" w:rsidRPr="001D779A">
        <w:rPr>
          <w:color w:val="000000" w:themeColor="text1"/>
          <w:szCs w:val="24"/>
        </w:rPr>
        <w:t>ejes</w:t>
      </w:r>
      <w:r w:rsidR="00E43AC2">
        <w:rPr>
          <w:color w:val="000000" w:themeColor="text1"/>
          <w:szCs w:val="24"/>
        </w:rPr>
        <w:t>. (Ver cuadro N.6</w:t>
      </w:r>
      <w:r w:rsidR="001D779A">
        <w:rPr>
          <w:color w:val="000000" w:themeColor="text1"/>
          <w:szCs w:val="24"/>
        </w:rPr>
        <w:t>)</w:t>
      </w:r>
    </w:p>
    <w:p w:rsidR="001D779A" w:rsidRPr="001D779A" w:rsidRDefault="001D779A" w:rsidP="001D779A">
      <w:pPr>
        <w:widowControl w:val="0"/>
        <w:adjustRightInd w:val="0"/>
        <w:ind w:left="709"/>
        <w:jc w:val="both"/>
        <w:textAlignment w:val="baseline"/>
        <w:rPr>
          <w:color w:val="000000" w:themeColor="text1"/>
        </w:rPr>
      </w:pPr>
    </w:p>
    <w:p w:rsidR="006E0A1B" w:rsidRPr="00A21F33" w:rsidRDefault="006E0A1B" w:rsidP="006E0A1B">
      <w:pPr>
        <w:pStyle w:val="ListParagraph"/>
        <w:ind w:left="705"/>
        <w:jc w:val="center"/>
        <w:rPr>
          <w:sz w:val="20"/>
        </w:rPr>
      </w:pPr>
    </w:p>
    <w:p w:rsidR="00BF4195" w:rsidRPr="006D58C1" w:rsidRDefault="0080484E" w:rsidP="00FE4043">
      <w:pPr>
        <w:rPr>
          <w:sz w:val="20"/>
        </w:rPr>
      </w:pPr>
      <w:r w:rsidRPr="0080484E">
        <w:rPr>
          <w:noProof/>
          <w:lang w:val="es-ES" w:eastAsia="es-ES"/>
        </w:rPr>
        <w:drawing>
          <wp:inline distT="0" distB="0" distL="0" distR="0" wp14:anchorId="755C1785" wp14:editId="68FF513C">
            <wp:extent cx="5613400" cy="892619"/>
            <wp:effectExtent l="19050" t="0" r="6350" b="0"/>
            <wp:docPr id="5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srcRect/>
                    <a:stretch>
                      <a:fillRect/>
                    </a:stretch>
                  </pic:blipFill>
                  <pic:spPr bwMode="auto">
                    <a:xfrm>
                      <a:off x="0" y="0"/>
                      <a:ext cx="5613400" cy="892619"/>
                    </a:xfrm>
                    <a:prstGeom prst="rect">
                      <a:avLst/>
                    </a:prstGeom>
                    <a:noFill/>
                    <a:ln w="9525">
                      <a:noFill/>
                      <a:miter lim="800000"/>
                      <a:headEnd/>
                      <a:tailEnd/>
                    </a:ln>
                  </pic:spPr>
                </pic:pic>
              </a:graphicData>
            </a:graphic>
          </wp:inline>
        </w:drawing>
      </w:r>
    </w:p>
    <w:p w:rsidR="00352F4A" w:rsidRDefault="00352F4A" w:rsidP="00352F4A">
      <w:pPr>
        <w:widowControl w:val="0"/>
        <w:adjustRightInd w:val="0"/>
        <w:ind w:left="705"/>
        <w:jc w:val="both"/>
        <w:textAlignment w:val="baseline"/>
        <w:rPr>
          <w:sz w:val="18"/>
          <w:szCs w:val="18"/>
          <w:lang w:val="es-CR"/>
        </w:rPr>
      </w:pPr>
      <w:r w:rsidRPr="00C11583">
        <w:rPr>
          <w:sz w:val="18"/>
          <w:szCs w:val="18"/>
          <w:lang w:val="es-CR"/>
        </w:rPr>
        <w:t>Fuente: Elaboración BID</w:t>
      </w:r>
    </w:p>
    <w:p w:rsidR="00BF4195" w:rsidRDefault="00BF4195" w:rsidP="00352F4A">
      <w:pPr>
        <w:pStyle w:val="ListParagraph"/>
        <w:ind w:left="705"/>
        <w:rPr>
          <w:sz w:val="20"/>
        </w:rPr>
      </w:pPr>
    </w:p>
    <w:p w:rsidR="00BF4195" w:rsidRDefault="00BF4195" w:rsidP="00352F4A">
      <w:pPr>
        <w:pStyle w:val="ListParagraph"/>
        <w:ind w:left="705"/>
        <w:rPr>
          <w:sz w:val="20"/>
        </w:rPr>
      </w:pPr>
    </w:p>
    <w:p w:rsidR="00BF4195" w:rsidRDefault="00BF4195" w:rsidP="001D779A">
      <w:pPr>
        <w:pStyle w:val="ListParagraph"/>
        <w:ind w:left="705"/>
        <w:jc w:val="center"/>
        <w:rPr>
          <w:sz w:val="20"/>
        </w:rPr>
      </w:pPr>
    </w:p>
    <w:p w:rsidR="00BF4195" w:rsidRDefault="00BF4195" w:rsidP="001D779A">
      <w:pPr>
        <w:pStyle w:val="ListParagraph"/>
        <w:ind w:left="705"/>
        <w:jc w:val="center"/>
        <w:rPr>
          <w:sz w:val="20"/>
        </w:rPr>
      </w:pPr>
    </w:p>
    <w:p w:rsidR="001D779A" w:rsidRPr="001D779A" w:rsidRDefault="001D779A" w:rsidP="001D779A">
      <w:pPr>
        <w:widowControl w:val="0"/>
        <w:numPr>
          <w:ilvl w:val="1"/>
          <w:numId w:val="2"/>
        </w:numPr>
        <w:tabs>
          <w:tab w:val="clear" w:pos="360"/>
          <w:tab w:val="num" w:pos="709"/>
        </w:tabs>
        <w:adjustRightInd w:val="0"/>
        <w:ind w:left="709" w:hanging="709"/>
        <w:jc w:val="both"/>
        <w:textAlignment w:val="baseline"/>
      </w:pPr>
      <w:r>
        <w:t xml:space="preserve">El recorrido marítimo </w:t>
      </w:r>
      <w:r w:rsidR="00F51747">
        <w:t xml:space="preserve">utilizado en la evaluación económica comprende el trecho acuático Puntarenas </w:t>
      </w:r>
      <w:r>
        <w:t>-Playa Naranjo</w:t>
      </w:r>
      <w:r w:rsidR="00CF6034">
        <w:t xml:space="preserve">, con una longitud de </w:t>
      </w:r>
      <w:r>
        <w:t xml:space="preserve">18.5 </w:t>
      </w:r>
      <w:r w:rsidR="00763CE5">
        <w:t>Km</w:t>
      </w:r>
      <w:r>
        <w:t>.</w:t>
      </w:r>
      <w:r w:rsidR="00F51747">
        <w:t xml:space="preserve"> El cuadro </w:t>
      </w:r>
      <w:r w:rsidR="001A78E3">
        <w:t>N.</w:t>
      </w:r>
      <w:r w:rsidR="00F51747">
        <w:t xml:space="preserve">7 muestra la composición del tránsito de transbordadores veh/año en la situación con proyecto. </w:t>
      </w:r>
    </w:p>
    <w:p w:rsidR="001D779A" w:rsidRDefault="001D779A" w:rsidP="001D779A">
      <w:pPr>
        <w:widowControl w:val="0"/>
        <w:adjustRightInd w:val="0"/>
        <w:jc w:val="both"/>
        <w:textAlignment w:val="baseline"/>
        <w:rPr>
          <w:lang w:val="es-ES_tradnl"/>
        </w:rPr>
      </w:pPr>
    </w:p>
    <w:p w:rsidR="00352F4A" w:rsidRDefault="0080484E" w:rsidP="001D779A">
      <w:pPr>
        <w:widowControl w:val="0"/>
        <w:adjustRightInd w:val="0"/>
        <w:jc w:val="both"/>
        <w:textAlignment w:val="baseline"/>
        <w:rPr>
          <w:lang w:val="es-ES_tradnl"/>
        </w:rPr>
      </w:pPr>
      <w:r w:rsidRPr="0080484E">
        <w:rPr>
          <w:noProof/>
          <w:lang w:val="es-ES" w:eastAsia="es-ES"/>
        </w:rPr>
        <w:drawing>
          <wp:inline distT="0" distB="0" distL="0" distR="0" wp14:anchorId="015FD366" wp14:editId="543DAE3F">
            <wp:extent cx="5613400" cy="585920"/>
            <wp:effectExtent l="19050" t="0" r="6350" b="0"/>
            <wp:docPr id="56"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srcRect/>
                    <a:stretch>
                      <a:fillRect/>
                    </a:stretch>
                  </pic:blipFill>
                  <pic:spPr bwMode="auto">
                    <a:xfrm>
                      <a:off x="0" y="0"/>
                      <a:ext cx="5613400" cy="585920"/>
                    </a:xfrm>
                    <a:prstGeom prst="rect">
                      <a:avLst/>
                    </a:prstGeom>
                    <a:noFill/>
                    <a:ln w="9525">
                      <a:noFill/>
                      <a:miter lim="800000"/>
                      <a:headEnd/>
                      <a:tailEnd/>
                    </a:ln>
                  </pic:spPr>
                </pic:pic>
              </a:graphicData>
            </a:graphic>
          </wp:inline>
        </w:drawing>
      </w:r>
    </w:p>
    <w:p w:rsidR="00352F4A" w:rsidRDefault="00352F4A" w:rsidP="00352F4A">
      <w:pPr>
        <w:widowControl w:val="0"/>
        <w:adjustRightInd w:val="0"/>
        <w:jc w:val="both"/>
        <w:textAlignment w:val="baseline"/>
        <w:rPr>
          <w:sz w:val="18"/>
          <w:szCs w:val="18"/>
          <w:lang w:val="es-CR"/>
        </w:rPr>
      </w:pPr>
      <w:r w:rsidRPr="00C11583">
        <w:rPr>
          <w:sz w:val="18"/>
          <w:szCs w:val="18"/>
          <w:lang w:val="es-CR"/>
        </w:rPr>
        <w:t>Fuente: Elaboración BID</w:t>
      </w:r>
    </w:p>
    <w:p w:rsidR="00352F4A" w:rsidRDefault="00352F4A" w:rsidP="001D779A">
      <w:pPr>
        <w:widowControl w:val="0"/>
        <w:adjustRightInd w:val="0"/>
        <w:jc w:val="both"/>
        <w:textAlignment w:val="baseline"/>
        <w:rPr>
          <w:lang w:val="es-ES_tradnl"/>
        </w:rPr>
      </w:pPr>
    </w:p>
    <w:p w:rsidR="00352F4A" w:rsidRDefault="00352F4A" w:rsidP="001D779A">
      <w:pPr>
        <w:widowControl w:val="0"/>
        <w:adjustRightInd w:val="0"/>
        <w:jc w:val="both"/>
        <w:textAlignment w:val="baseline"/>
        <w:rPr>
          <w:lang w:val="es-ES_tradnl"/>
        </w:rPr>
      </w:pPr>
    </w:p>
    <w:p w:rsidR="00352F4A" w:rsidRDefault="00352F4A" w:rsidP="001D779A">
      <w:pPr>
        <w:widowControl w:val="0"/>
        <w:adjustRightInd w:val="0"/>
        <w:jc w:val="both"/>
        <w:textAlignment w:val="baseline"/>
        <w:rPr>
          <w:lang w:val="es-ES_tradnl"/>
        </w:rPr>
      </w:pPr>
    </w:p>
    <w:p w:rsidR="00F51747" w:rsidRPr="00F51747" w:rsidRDefault="00F51747" w:rsidP="00A87C94">
      <w:pPr>
        <w:numPr>
          <w:ilvl w:val="1"/>
          <w:numId w:val="2"/>
        </w:numPr>
        <w:tabs>
          <w:tab w:val="clear" w:pos="360"/>
          <w:tab w:val="num" w:pos="709"/>
        </w:tabs>
        <w:ind w:left="709" w:hanging="709"/>
        <w:jc w:val="both"/>
      </w:pPr>
      <w:r>
        <w:t xml:space="preserve">El recorrido marítimo utilizado en la evaluación económica Puntarenas </w:t>
      </w:r>
      <w:r w:rsidR="00CF6034">
        <w:t>–</w:t>
      </w:r>
      <w:r>
        <w:t>Paquera</w:t>
      </w:r>
      <w:r w:rsidR="00CF6034">
        <w:t xml:space="preserve">, consta de </w:t>
      </w:r>
      <w:r>
        <w:t xml:space="preserve">22.6 </w:t>
      </w:r>
      <w:r w:rsidR="00763CE5">
        <w:t>Km</w:t>
      </w:r>
      <w:r>
        <w:t>. El cuadro</w:t>
      </w:r>
      <w:r w:rsidR="001A78E3">
        <w:t xml:space="preserve"> </w:t>
      </w:r>
      <w:r>
        <w:t xml:space="preserve">N.8 muestra la composición del tránsito de transbordadores veh/año en la situación con proyecto. </w:t>
      </w:r>
      <w:r w:rsidRPr="00E942FF">
        <w:rPr>
          <w:b/>
        </w:rPr>
        <w:t xml:space="preserve"> </w:t>
      </w:r>
    </w:p>
    <w:p w:rsidR="00F51747" w:rsidRDefault="00F51747" w:rsidP="00F51747">
      <w:pPr>
        <w:jc w:val="both"/>
        <w:rPr>
          <w:b/>
        </w:rPr>
      </w:pPr>
    </w:p>
    <w:p w:rsidR="00352F4A" w:rsidRDefault="0080484E" w:rsidP="00F51747">
      <w:pPr>
        <w:jc w:val="both"/>
        <w:rPr>
          <w:b/>
        </w:rPr>
      </w:pPr>
      <w:r w:rsidRPr="0080484E">
        <w:rPr>
          <w:noProof/>
          <w:lang w:val="es-ES" w:eastAsia="es-ES"/>
        </w:rPr>
        <w:drawing>
          <wp:inline distT="0" distB="0" distL="0" distR="0" wp14:anchorId="36AF888E" wp14:editId="07168E13">
            <wp:extent cx="5613400" cy="511412"/>
            <wp:effectExtent l="19050" t="0" r="6350" b="0"/>
            <wp:docPr id="57"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srcRect/>
                    <a:stretch>
                      <a:fillRect/>
                    </a:stretch>
                  </pic:blipFill>
                  <pic:spPr bwMode="auto">
                    <a:xfrm>
                      <a:off x="0" y="0"/>
                      <a:ext cx="5613400" cy="511412"/>
                    </a:xfrm>
                    <a:prstGeom prst="rect">
                      <a:avLst/>
                    </a:prstGeom>
                    <a:noFill/>
                    <a:ln w="9525">
                      <a:noFill/>
                      <a:miter lim="800000"/>
                      <a:headEnd/>
                      <a:tailEnd/>
                    </a:ln>
                  </pic:spPr>
                </pic:pic>
              </a:graphicData>
            </a:graphic>
          </wp:inline>
        </w:drawing>
      </w:r>
    </w:p>
    <w:p w:rsidR="00352F4A" w:rsidRDefault="00352F4A" w:rsidP="00352F4A">
      <w:pPr>
        <w:widowControl w:val="0"/>
        <w:adjustRightInd w:val="0"/>
        <w:jc w:val="both"/>
        <w:textAlignment w:val="baseline"/>
        <w:rPr>
          <w:sz w:val="18"/>
          <w:szCs w:val="18"/>
          <w:lang w:val="es-CR"/>
        </w:rPr>
      </w:pPr>
      <w:r w:rsidRPr="00C11583">
        <w:rPr>
          <w:sz w:val="18"/>
          <w:szCs w:val="18"/>
          <w:lang w:val="es-CR"/>
        </w:rPr>
        <w:t>Fuente: Elaboración BID</w:t>
      </w:r>
    </w:p>
    <w:p w:rsidR="00352F4A" w:rsidRDefault="00352F4A" w:rsidP="00F51747">
      <w:pPr>
        <w:jc w:val="both"/>
        <w:rPr>
          <w:b/>
        </w:rPr>
      </w:pPr>
    </w:p>
    <w:p w:rsidR="00352F4A" w:rsidRDefault="00352F4A" w:rsidP="00F51747">
      <w:pPr>
        <w:jc w:val="both"/>
        <w:rPr>
          <w:b/>
        </w:rPr>
      </w:pPr>
    </w:p>
    <w:p w:rsidR="00352F4A" w:rsidRDefault="00352F4A" w:rsidP="00F51747">
      <w:pPr>
        <w:jc w:val="both"/>
        <w:rPr>
          <w:b/>
        </w:rPr>
      </w:pPr>
    </w:p>
    <w:p w:rsidR="00352F4A" w:rsidRDefault="00352F4A" w:rsidP="00F51747">
      <w:pPr>
        <w:jc w:val="both"/>
        <w:rPr>
          <w:b/>
        </w:rPr>
      </w:pPr>
    </w:p>
    <w:p w:rsidR="00F939AB" w:rsidRPr="00E942FF" w:rsidRDefault="00F939AB" w:rsidP="00A87C94">
      <w:pPr>
        <w:numPr>
          <w:ilvl w:val="1"/>
          <w:numId w:val="2"/>
        </w:numPr>
        <w:tabs>
          <w:tab w:val="clear" w:pos="360"/>
          <w:tab w:val="num" w:pos="709"/>
        </w:tabs>
        <w:ind w:left="709" w:hanging="709"/>
        <w:jc w:val="both"/>
      </w:pPr>
      <w:r w:rsidRPr="00E942FF">
        <w:rPr>
          <w:b/>
        </w:rPr>
        <w:t>Evolución histórica.</w:t>
      </w:r>
      <w:r w:rsidRPr="00E942FF">
        <w:t xml:space="preserve"> </w:t>
      </w:r>
      <w:r w:rsidR="00077DF0">
        <w:t xml:space="preserve">Esta constituye la base para la estimación de la demanda realizada por </w:t>
      </w:r>
      <w:r w:rsidR="007D2113">
        <w:t xml:space="preserve"> la </w:t>
      </w:r>
      <w:r w:rsidR="00D152BC">
        <w:t xml:space="preserve">Dirección de Gestión de la </w:t>
      </w:r>
      <w:r w:rsidR="007D2113">
        <w:t>División Marítimo Portuaria</w:t>
      </w:r>
      <w:r w:rsidR="00077DF0">
        <w:t>.</w:t>
      </w:r>
      <w:r w:rsidR="00DE1BDF" w:rsidRPr="00E942FF">
        <w:t xml:space="preserve"> </w:t>
      </w:r>
    </w:p>
    <w:p w:rsidR="00F939AB" w:rsidRPr="00E942FF" w:rsidRDefault="00F939AB" w:rsidP="00A87C94">
      <w:pPr>
        <w:ind w:left="709" w:hanging="709"/>
        <w:jc w:val="both"/>
      </w:pPr>
    </w:p>
    <w:p w:rsidR="006E0A1B" w:rsidRDefault="007D2113" w:rsidP="001D779A">
      <w:pPr>
        <w:widowControl w:val="0"/>
        <w:numPr>
          <w:ilvl w:val="1"/>
          <w:numId w:val="2"/>
        </w:numPr>
        <w:tabs>
          <w:tab w:val="clear" w:pos="360"/>
          <w:tab w:val="num" w:pos="709"/>
        </w:tabs>
        <w:adjustRightInd w:val="0"/>
        <w:ind w:left="709" w:hanging="709"/>
        <w:jc w:val="both"/>
        <w:textAlignment w:val="baseline"/>
      </w:pPr>
      <w:r w:rsidRPr="00077DF0">
        <w:rPr>
          <w:b/>
        </w:rPr>
        <w:t>Demanda</w:t>
      </w:r>
      <w:r w:rsidR="00B66B0E" w:rsidRPr="00077DF0">
        <w:rPr>
          <w:b/>
        </w:rPr>
        <w:t xml:space="preserve"> </w:t>
      </w:r>
      <w:r w:rsidR="00077DF0" w:rsidRPr="00077DF0">
        <w:rPr>
          <w:b/>
        </w:rPr>
        <w:t>proyectada</w:t>
      </w:r>
      <w:r w:rsidR="00F939AB" w:rsidRPr="00077DF0">
        <w:rPr>
          <w:b/>
        </w:rPr>
        <w:t>.</w:t>
      </w:r>
      <w:r w:rsidR="00F939AB" w:rsidRPr="00E942FF">
        <w:t xml:space="preserve"> </w:t>
      </w:r>
      <w:r w:rsidR="00353104">
        <w:t>La Dirección de Gestión suministra</w:t>
      </w:r>
      <w:r>
        <w:t xml:space="preserve"> la información de la demanda proyecta</w:t>
      </w:r>
      <w:r w:rsidR="00077DF0">
        <w:t>da.</w:t>
      </w:r>
      <w:r>
        <w:t xml:space="preserve"> </w:t>
      </w:r>
      <w:r w:rsidR="00077DF0">
        <w:t>D</w:t>
      </w:r>
      <w:r>
        <w:t>icha Dirección indica que para realizar el cálculo</w:t>
      </w:r>
      <w:r w:rsidR="00077DF0">
        <w:t xml:space="preserve"> de</w:t>
      </w:r>
      <w:r w:rsidR="00077DF0" w:rsidRPr="00077DF0">
        <w:rPr>
          <w:szCs w:val="24"/>
        </w:rPr>
        <w:t xml:space="preserve"> la proyección de la demanda "ajustada" para las dos rutas (Paquera y Playa Naranjo) se utiliza </w:t>
      </w:r>
      <w:r w:rsidR="00077DF0">
        <w:rPr>
          <w:szCs w:val="24"/>
        </w:rPr>
        <w:t xml:space="preserve">el </w:t>
      </w:r>
      <w:r w:rsidR="00077DF0" w:rsidRPr="00077DF0">
        <w:rPr>
          <w:szCs w:val="24"/>
        </w:rPr>
        <w:t xml:space="preserve">criterio de proyección  otorgándole mayor relevancia al comportamiento histórico de la misma; ajustándolas a la curva de mejor ajuste y de más alta representatividad (mayor coeficiente de determinación). Además se combinaron (y se comprobaron) estas nuevas proyecciones con los criterios de experto sobre el comportamiento esperado de la demanda </w:t>
      </w:r>
      <w:r w:rsidR="00077DF0" w:rsidRPr="00FE4043">
        <w:rPr>
          <w:szCs w:val="24"/>
        </w:rPr>
        <w:t xml:space="preserve">ambas rutas al año </w:t>
      </w:r>
      <w:r w:rsidR="00FE4043" w:rsidRPr="00FE4043">
        <w:rPr>
          <w:szCs w:val="24"/>
        </w:rPr>
        <w:t>2027 (</w:t>
      </w:r>
      <w:r w:rsidR="00077DF0" w:rsidRPr="00FE4043">
        <w:rPr>
          <w:szCs w:val="24"/>
        </w:rPr>
        <w:t>a 15 años), con</w:t>
      </w:r>
      <w:r w:rsidR="00077DF0" w:rsidRPr="00077DF0">
        <w:rPr>
          <w:szCs w:val="24"/>
        </w:rPr>
        <w:t xml:space="preserve"> resultados satisfactorios</w:t>
      </w:r>
      <w:r w:rsidR="001A78E3">
        <w:rPr>
          <w:szCs w:val="24"/>
        </w:rPr>
        <w:t xml:space="preserve"> ver </w:t>
      </w:r>
      <w:r w:rsidR="00E43AC2">
        <w:rPr>
          <w:szCs w:val="24"/>
        </w:rPr>
        <w:t>las gráficas 1 y 2</w:t>
      </w:r>
      <w:r w:rsidR="00077DF0" w:rsidRPr="00077DF0">
        <w:rPr>
          <w:rFonts w:ascii="Courier New" w:hAnsi="Courier New" w:cs="Courier New"/>
          <w:sz w:val="21"/>
          <w:szCs w:val="21"/>
        </w:rPr>
        <w:t>.</w:t>
      </w:r>
      <w:r w:rsidR="006E0A1B" w:rsidRPr="006E0A1B">
        <w:t xml:space="preserve"> </w:t>
      </w:r>
    </w:p>
    <w:p w:rsidR="00DF38BD" w:rsidRDefault="00DF38BD" w:rsidP="00DF38BD">
      <w:pPr>
        <w:pStyle w:val="ListParagraph"/>
        <w:ind w:left="705"/>
        <w:jc w:val="center"/>
        <w:rPr>
          <w:sz w:val="20"/>
        </w:rPr>
      </w:pPr>
    </w:p>
    <w:p w:rsidR="00DE2147" w:rsidRPr="00DF38BD" w:rsidRDefault="00DF38BD" w:rsidP="00DF38BD">
      <w:pPr>
        <w:pStyle w:val="ListParagraph"/>
        <w:ind w:left="705"/>
        <w:jc w:val="center"/>
        <w:rPr>
          <w:sz w:val="20"/>
        </w:rPr>
      </w:pPr>
      <w:r w:rsidRPr="00DF38BD">
        <w:rPr>
          <w:sz w:val="20"/>
        </w:rPr>
        <w:t xml:space="preserve">Gráficos </w:t>
      </w:r>
      <w:r>
        <w:rPr>
          <w:sz w:val="20"/>
        </w:rPr>
        <w:t>de proyecciones</w:t>
      </w:r>
    </w:p>
    <w:p w:rsidR="00374BE6" w:rsidRDefault="003E2E5C" w:rsidP="00077DF0">
      <w:pPr>
        <w:pStyle w:val="ListParagraph"/>
        <w:rPr>
          <w:rFonts w:ascii="Courier New" w:hAnsi="Courier New" w:cs="Courier New"/>
          <w:sz w:val="21"/>
          <w:szCs w:val="21"/>
        </w:rPr>
      </w:pPr>
      <w:r>
        <w:rPr>
          <w:rFonts w:ascii="Courier New" w:hAnsi="Courier New" w:cs="Courier New"/>
          <w:noProof/>
          <w:sz w:val="21"/>
          <w:szCs w:val="21"/>
          <w:lang w:val="es-ES" w:eastAsia="es-ES"/>
        </w:rPr>
        <w:drawing>
          <wp:inline distT="0" distB="0" distL="0" distR="0">
            <wp:extent cx="5611726" cy="4983982"/>
            <wp:effectExtent l="19050" t="0" r="802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613400" cy="4985469"/>
                    </a:xfrm>
                    <a:prstGeom prst="rect">
                      <a:avLst/>
                    </a:prstGeom>
                    <a:noFill/>
                    <a:ln w="9525">
                      <a:noFill/>
                      <a:miter lim="800000"/>
                      <a:headEnd/>
                      <a:tailEnd/>
                    </a:ln>
                  </pic:spPr>
                </pic:pic>
              </a:graphicData>
            </a:graphic>
          </wp:inline>
        </w:drawing>
      </w:r>
    </w:p>
    <w:p w:rsidR="00374BE6" w:rsidRDefault="00374BE6" w:rsidP="00077DF0">
      <w:pPr>
        <w:pStyle w:val="ListParagraph"/>
        <w:rPr>
          <w:rFonts w:ascii="Courier New" w:hAnsi="Courier New" w:cs="Courier New"/>
          <w:sz w:val="21"/>
          <w:szCs w:val="21"/>
        </w:rPr>
      </w:pPr>
    </w:p>
    <w:p w:rsidR="00077DF0" w:rsidRDefault="00077DF0" w:rsidP="00077DF0">
      <w:pPr>
        <w:jc w:val="both"/>
        <w:rPr>
          <w:rFonts w:ascii="Courier New" w:hAnsi="Courier New" w:cs="Courier New"/>
          <w:sz w:val="21"/>
          <w:szCs w:val="21"/>
        </w:rPr>
      </w:pPr>
    </w:p>
    <w:p w:rsidR="00DF38BD" w:rsidRDefault="00DF38BD" w:rsidP="00077DF0">
      <w:pPr>
        <w:jc w:val="both"/>
        <w:rPr>
          <w:rFonts w:ascii="Courier New" w:hAnsi="Courier New" w:cs="Courier New"/>
          <w:sz w:val="21"/>
          <w:szCs w:val="21"/>
        </w:rPr>
      </w:pPr>
    </w:p>
    <w:p w:rsidR="00DF38BD" w:rsidRDefault="00DF38BD" w:rsidP="00077DF0">
      <w:pPr>
        <w:jc w:val="both"/>
        <w:rPr>
          <w:rFonts w:ascii="Courier New" w:hAnsi="Courier New" w:cs="Courier New"/>
          <w:sz w:val="21"/>
          <w:szCs w:val="21"/>
        </w:rPr>
      </w:pPr>
    </w:p>
    <w:p w:rsidR="00077DF0" w:rsidRDefault="00077DF0" w:rsidP="00077DF0">
      <w:pPr>
        <w:pStyle w:val="ListParagraph"/>
        <w:numPr>
          <w:ilvl w:val="0"/>
          <w:numId w:val="11"/>
        </w:numPr>
        <w:jc w:val="both"/>
        <w:rPr>
          <w:rFonts w:ascii="Arial" w:hAnsi="Arial" w:cs="Arial"/>
          <w:smallCaps/>
          <w:sz w:val="22"/>
          <w:szCs w:val="22"/>
        </w:rPr>
      </w:pPr>
      <w:r w:rsidRPr="00077DF0">
        <w:rPr>
          <w:smallCaps/>
        </w:rPr>
        <w:t>supuestos</w:t>
      </w:r>
      <w:r w:rsidRPr="006C5A91">
        <w:rPr>
          <w:rFonts w:ascii="Arial" w:hAnsi="Arial" w:cs="Arial"/>
          <w:smallCaps/>
          <w:sz w:val="22"/>
          <w:szCs w:val="22"/>
        </w:rPr>
        <w:t xml:space="preserve">. </w:t>
      </w:r>
    </w:p>
    <w:p w:rsidR="00077DF0" w:rsidRDefault="00077DF0" w:rsidP="00077DF0">
      <w:pPr>
        <w:jc w:val="both"/>
        <w:rPr>
          <w:rFonts w:ascii="Arial" w:hAnsi="Arial" w:cs="Arial"/>
          <w:smallCaps/>
          <w:sz w:val="22"/>
          <w:szCs w:val="22"/>
        </w:rPr>
      </w:pP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Unidad de análisis</w:t>
      </w:r>
      <w:r w:rsidR="001F6690">
        <w:rPr>
          <w:lang w:val="es-CR"/>
        </w:rPr>
        <w:t>:</w:t>
      </w:r>
      <w:r w:rsidRPr="00AC4610">
        <w:rPr>
          <w:lang w:val="es-CR"/>
        </w:rPr>
        <w:t xml:space="preserve"> Terminales de transbordadores del Golfo de Nicoya.</w:t>
      </w:r>
    </w:p>
    <w:p w:rsidR="00AC4610" w:rsidRPr="00AC4610" w:rsidRDefault="00AC4610" w:rsidP="00AC4610">
      <w:pPr>
        <w:pStyle w:val="ListParagraph"/>
        <w:numPr>
          <w:ilvl w:val="0"/>
          <w:numId w:val="23"/>
        </w:numPr>
        <w:spacing w:after="120" w:line="276" w:lineRule="auto"/>
        <w:jc w:val="both"/>
        <w:rPr>
          <w:lang w:val="es-CR"/>
        </w:rPr>
      </w:pPr>
      <w:r w:rsidRPr="00F714DA">
        <w:rPr>
          <w:lang w:val="es-CR"/>
        </w:rPr>
        <w:t>Las terminales de transbordadores del Golfo de Nicoya (Barrio El Carmen, Paquera y Playa Naranjo)  en la actualidad agotaron su vida útil, según información de la</w:t>
      </w:r>
      <w:r w:rsidR="00926799" w:rsidRPr="00F714DA">
        <w:rPr>
          <w:lang w:val="es-CR"/>
        </w:rPr>
        <w:t xml:space="preserve"> Dirección de Gestión de la </w:t>
      </w:r>
      <w:r w:rsidRPr="00F714DA">
        <w:rPr>
          <w:lang w:val="es-CR"/>
        </w:rPr>
        <w:t>División Marítimo Portuaria e incluida en el documento  -Ficha técnica del mejoramiento de las terminales de transbordadores del Golfo de Nicoya-</w:t>
      </w:r>
      <w:r w:rsidR="00926799" w:rsidRPr="00F714DA">
        <w:rPr>
          <w:lang w:val="es-CR"/>
        </w:rPr>
        <w:t>. Como estas terminales conforman un sistema integral de codependencia mutua: B° El Carmen-Paquera y B° El Carmen- Playa Naranjo no solo funcionan aisladas o por sí mismas por lo que son inherentes a los servicios de cabotaje; el colapso de una de ellas en cualquiera de las dos rutas representa el colapso del servicio. Por esta razón aunque la terminal de B° El Carmen de Puntarenas pueda tener un remanente de vida útil, se supone que el sist</w:t>
      </w:r>
      <w:r w:rsidR="00926799">
        <w:rPr>
          <w:lang w:val="es-CR"/>
        </w:rPr>
        <w:t>ema de terminales cumplió su vida útil. Además, la embarcación de diseño fue ampliamente superada por la evolución de la flota en los últimos 5 años.</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Población objetivo;  los usuarios del servicio de cabotaje: vehículos.</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Beneficiarios; usuarios de los servicios de cabotaje del Golfo de Nicoya.</w:t>
      </w:r>
    </w:p>
    <w:p w:rsidR="00AC4610" w:rsidRPr="00AC4610" w:rsidRDefault="00EC3C6C" w:rsidP="00AC4610">
      <w:pPr>
        <w:pStyle w:val="ListParagraph"/>
        <w:numPr>
          <w:ilvl w:val="0"/>
          <w:numId w:val="23"/>
        </w:numPr>
        <w:spacing w:after="120" w:line="276" w:lineRule="auto"/>
        <w:jc w:val="both"/>
        <w:rPr>
          <w:lang w:val="es-CR"/>
        </w:rPr>
      </w:pPr>
      <w:r>
        <w:rPr>
          <w:lang w:val="es-CR"/>
        </w:rPr>
        <w:t xml:space="preserve">El cruce </w:t>
      </w:r>
      <w:r w:rsidR="00AC4610" w:rsidRPr="00AC4610">
        <w:rPr>
          <w:lang w:val="es-CR"/>
        </w:rPr>
        <w:t>El Roble</w:t>
      </w:r>
      <w:r>
        <w:rPr>
          <w:lang w:val="es-CR"/>
        </w:rPr>
        <w:t xml:space="preserve">, es el origen o punto de inicio de los trayectos a comparar, con servicios de transbordo y </w:t>
      </w:r>
      <w:r w:rsidRPr="005E4CCB">
        <w:rPr>
          <w:lang w:val="es-CR"/>
        </w:rPr>
        <w:t xml:space="preserve">sin </w:t>
      </w:r>
      <w:r w:rsidR="00AC4610" w:rsidRPr="005E4CCB">
        <w:rPr>
          <w:lang w:val="es-CR"/>
        </w:rPr>
        <w:t xml:space="preserve">servicios de transbordo (con y sin proyecto). </w:t>
      </w:r>
    </w:p>
    <w:p w:rsidR="00AC4610" w:rsidRDefault="00AC4610" w:rsidP="00AC4610">
      <w:pPr>
        <w:pStyle w:val="ListParagraph"/>
        <w:numPr>
          <w:ilvl w:val="0"/>
          <w:numId w:val="23"/>
        </w:numPr>
        <w:shd w:val="clear" w:color="auto" w:fill="FFFFFF" w:themeFill="background1"/>
        <w:spacing w:after="120" w:line="276" w:lineRule="auto"/>
        <w:jc w:val="both"/>
        <w:rPr>
          <w:lang w:val="es-CR"/>
        </w:rPr>
      </w:pPr>
      <w:r w:rsidRPr="00AC4610">
        <w:rPr>
          <w:lang w:val="es-CR"/>
        </w:rPr>
        <w:t>Negociación</w:t>
      </w:r>
      <w:r w:rsidR="00AA586F">
        <w:rPr>
          <w:lang w:val="es-CR"/>
        </w:rPr>
        <w:t xml:space="preserve">, </w:t>
      </w:r>
      <w:r w:rsidRPr="00AC4610">
        <w:rPr>
          <w:lang w:val="es-CR"/>
        </w:rPr>
        <w:t xml:space="preserve">aprobación </w:t>
      </w:r>
      <w:r w:rsidR="00AA586F">
        <w:rPr>
          <w:lang w:val="es-CR"/>
        </w:rPr>
        <w:t xml:space="preserve">y ratificación </w:t>
      </w:r>
      <w:r w:rsidRPr="00AC4610">
        <w:rPr>
          <w:lang w:val="es-CR"/>
        </w:rPr>
        <w:t>del finan</w:t>
      </w:r>
      <w:r w:rsidR="00AA586F">
        <w:rPr>
          <w:lang w:val="es-CR"/>
        </w:rPr>
        <w:t>ciamiento del proyecto, año 2014</w:t>
      </w:r>
      <w:r w:rsidR="00FE779D">
        <w:rPr>
          <w:lang w:val="es-CR"/>
        </w:rPr>
        <w:t>.</w:t>
      </w:r>
    </w:p>
    <w:p w:rsidR="00AA586F" w:rsidRPr="00AC4610" w:rsidRDefault="00AA586F" w:rsidP="00AC4610">
      <w:pPr>
        <w:pStyle w:val="ListParagraph"/>
        <w:numPr>
          <w:ilvl w:val="0"/>
          <w:numId w:val="23"/>
        </w:numPr>
        <w:shd w:val="clear" w:color="auto" w:fill="FFFFFF" w:themeFill="background1"/>
        <w:spacing w:after="120" w:line="276" w:lineRule="auto"/>
        <w:jc w:val="both"/>
        <w:rPr>
          <w:lang w:val="es-CR"/>
        </w:rPr>
      </w:pPr>
      <w:r>
        <w:rPr>
          <w:lang w:val="es-CR"/>
        </w:rPr>
        <w:t>Cumplimiento de condiciones previas al primer desembolso, año 2014</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 xml:space="preserve">Licitación  y </w:t>
      </w:r>
      <w:r w:rsidR="007253AD">
        <w:rPr>
          <w:lang w:val="es-CR"/>
        </w:rPr>
        <w:t>adjudicación del proyecto,  2016</w:t>
      </w:r>
      <w:r w:rsidRPr="00AC4610">
        <w:rPr>
          <w:lang w:val="es-CR"/>
        </w:rPr>
        <w:t>.</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Dis</w:t>
      </w:r>
      <w:r w:rsidR="00FE779D">
        <w:rPr>
          <w:lang w:val="es-CR"/>
        </w:rPr>
        <w:t xml:space="preserve">eño y viabilidad ambiental. </w:t>
      </w:r>
      <w:r w:rsidR="007253AD">
        <w:rPr>
          <w:lang w:val="es-CR"/>
        </w:rPr>
        <w:t>2016</w:t>
      </w:r>
      <w:r w:rsidRPr="00AC4610">
        <w:rPr>
          <w:lang w:val="es-CR"/>
        </w:rPr>
        <w:t>.</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Construcción</w:t>
      </w:r>
      <w:r w:rsidR="00AA586F">
        <w:rPr>
          <w:lang w:val="es-CR"/>
        </w:rPr>
        <w:t xml:space="preserve"> de obra 1</w:t>
      </w:r>
      <w:r w:rsidR="000772F9">
        <w:rPr>
          <w:lang w:val="es-CR"/>
        </w:rPr>
        <w:t xml:space="preserve"> año (201</w:t>
      </w:r>
      <w:r w:rsidR="00AA586F">
        <w:rPr>
          <w:lang w:val="es-CR"/>
        </w:rPr>
        <w:t>6</w:t>
      </w:r>
      <w:r w:rsidR="000772F9">
        <w:rPr>
          <w:lang w:val="es-CR"/>
        </w:rPr>
        <w:t>, 201</w:t>
      </w:r>
      <w:r w:rsidR="00AA586F">
        <w:rPr>
          <w:lang w:val="es-CR"/>
        </w:rPr>
        <w:t>7</w:t>
      </w:r>
      <w:r w:rsidR="000772F9">
        <w:rPr>
          <w:lang w:val="es-CR"/>
        </w:rPr>
        <w:t>)</w:t>
      </w:r>
      <w:r w:rsidR="00E54F2D">
        <w:rPr>
          <w:lang w:val="es-CR"/>
        </w:rPr>
        <w:t>.</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Puesta en operación del proyecto,  201</w:t>
      </w:r>
      <w:r w:rsidR="00AA586F">
        <w:rPr>
          <w:lang w:val="es-CR"/>
        </w:rPr>
        <w:t>7</w:t>
      </w:r>
      <w:r w:rsidR="00E54F2D">
        <w:rPr>
          <w:lang w:val="es-CR"/>
        </w:rPr>
        <w:t>.</w:t>
      </w:r>
      <w:r w:rsidRPr="00AC4610">
        <w:rPr>
          <w:lang w:val="es-CR"/>
        </w:rPr>
        <w:t xml:space="preserve"> </w:t>
      </w:r>
    </w:p>
    <w:p w:rsidR="00AC4610" w:rsidRPr="00AC4610" w:rsidRDefault="00641FFE" w:rsidP="00AC4610">
      <w:pPr>
        <w:pStyle w:val="ListParagraph"/>
        <w:numPr>
          <w:ilvl w:val="0"/>
          <w:numId w:val="23"/>
        </w:numPr>
        <w:spacing w:after="120" w:line="276" w:lineRule="auto"/>
        <w:jc w:val="both"/>
        <w:rPr>
          <w:lang w:val="es-CR"/>
        </w:rPr>
      </w:pPr>
      <w:r w:rsidRPr="00641FFE">
        <w:rPr>
          <w:lang w:val="es-CR"/>
        </w:rPr>
        <w:t xml:space="preserve">Años </w:t>
      </w:r>
      <w:r>
        <w:rPr>
          <w:lang w:val="es-CR"/>
        </w:rPr>
        <w:t>de utilización 20 años (201</w:t>
      </w:r>
      <w:r w:rsidR="00AA586F">
        <w:rPr>
          <w:lang w:val="es-CR"/>
        </w:rPr>
        <w:t>7-2036</w:t>
      </w:r>
      <w:r>
        <w:rPr>
          <w:lang w:val="es-CR"/>
        </w:rPr>
        <w:t>)</w:t>
      </w:r>
      <w:r w:rsidR="00AC4610" w:rsidRPr="00AC4610">
        <w:rPr>
          <w:lang w:val="es-CR"/>
        </w:rPr>
        <w:t>.</w:t>
      </w:r>
    </w:p>
    <w:p w:rsidR="00AC4610" w:rsidRPr="00AC4610" w:rsidRDefault="00AC4610" w:rsidP="00AC4610">
      <w:pPr>
        <w:pStyle w:val="ListParagraph"/>
        <w:numPr>
          <w:ilvl w:val="0"/>
          <w:numId w:val="23"/>
        </w:numPr>
        <w:spacing w:after="120" w:line="276" w:lineRule="auto"/>
        <w:jc w:val="both"/>
        <w:rPr>
          <w:lang w:val="es-CR"/>
        </w:rPr>
      </w:pPr>
      <w:r w:rsidRPr="00AC4610">
        <w:rPr>
          <w:lang w:val="es-CR"/>
        </w:rPr>
        <w:t>La Evaluación Económica  incorpora una serie de criterios de beneficio social, para conocer si el proyecto no solamente es rentable desde el punto de vista económico sino que presente aportes significativos para la sociedad y el país.</w:t>
      </w:r>
    </w:p>
    <w:p w:rsidR="00AC4610" w:rsidRDefault="00AC4610" w:rsidP="00AC4610">
      <w:pPr>
        <w:pStyle w:val="ListParagraph"/>
        <w:numPr>
          <w:ilvl w:val="0"/>
          <w:numId w:val="23"/>
        </w:numPr>
        <w:spacing w:after="120" w:line="276" w:lineRule="auto"/>
        <w:jc w:val="both"/>
        <w:rPr>
          <w:lang w:val="es-CR"/>
        </w:rPr>
      </w:pPr>
      <w:r w:rsidRPr="00AC4610">
        <w:rPr>
          <w:lang w:val="es-CR"/>
        </w:rPr>
        <w:t xml:space="preserve">El financiamiento de la ejecución del proyecto estará a cargo del Banco Interamericano de Desarrollo, por un monto de $ </w:t>
      </w:r>
      <w:r w:rsidR="00806C12">
        <w:rPr>
          <w:lang w:val="es-CR"/>
        </w:rPr>
        <w:t>10.2</w:t>
      </w:r>
      <w:r w:rsidR="00806C12" w:rsidRPr="00AC4610">
        <w:rPr>
          <w:lang w:val="es-CR"/>
        </w:rPr>
        <w:t xml:space="preserve"> </w:t>
      </w:r>
      <w:r w:rsidRPr="00AC4610">
        <w:rPr>
          <w:lang w:val="es-CR"/>
        </w:rPr>
        <w:t>millones USD.</w:t>
      </w:r>
    </w:p>
    <w:p w:rsidR="00FE779D" w:rsidRPr="00AC4610" w:rsidRDefault="00FE779D" w:rsidP="00FE779D">
      <w:pPr>
        <w:pStyle w:val="ListParagraph"/>
        <w:numPr>
          <w:ilvl w:val="0"/>
          <w:numId w:val="23"/>
        </w:numPr>
        <w:spacing w:after="120" w:line="276" w:lineRule="auto"/>
        <w:jc w:val="both"/>
        <w:rPr>
          <w:lang w:val="es-CR"/>
        </w:rPr>
      </w:pPr>
      <w:r>
        <w:rPr>
          <w:lang w:val="es-CR"/>
        </w:rPr>
        <w:t>Para realizar la evaluación, se asume una política de conservación vial para las carreteras que efectúa el mantenimiento (limpieza, bacheo, sellado, reposición de lastre, etc.) y una rehabilitación cuando  es necesario (cuando el IRI llega a 6mm/m en vías pavimentadas). Esto incide sobre los costos de los usu</w:t>
      </w:r>
      <w:r w:rsidR="00F61998">
        <w:rPr>
          <w:lang w:val="es-CR"/>
        </w:rPr>
        <w:t>arios, por lo que debe considerarse su efecto en la evaluación.</w:t>
      </w:r>
    </w:p>
    <w:p w:rsidR="00FE779D" w:rsidRDefault="00F61998" w:rsidP="00AC4610">
      <w:pPr>
        <w:pStyle w:val="ListParagraph"/>
        <w:numPr>
          <w:ilvl w:val="0"/>
          <w:numId w:val="23"/>
        </w:numPr>
        <w:spacing w:after="120" w:line="276" w:lineRule="auto"/>
        <w:jc w:val="both"/>
        <w:rPr>
          <w:lang w:val="es-CR"/>
        </w:rPr>
      </w:pPr>
      <w:r w:rsidRPr="00AC4610">
        <w:rPr>
          <w:lang w:val="es-CR"/>
        </w:rPr>
        <w:t>El mantenimiento del proyecto estará a cargo de la División Marítimo- Portuario del MOPT, y dicha División  realizará las gestiones correspondientes para incluir en el presupuesto de cada  año la partida correspondiente a partir de la entrada en operación del proyecto</w:t>
      </w:r>
      <w:r w:rsidR="00441F86">
        <w:rPr>
          <w:lang w:val="es-CR"/>
        </w:rPr>
        <w:t>.</w:t>
      </w:r>
    </w:p>
    <w:p w:rsidR="00F375EA" w:rsidRPr="00AC4610" w:rsidRDefault="00F375EA" w:rsidP="00AC4610">
      <w:pPr>
        <w:pStyle w:val="ListParagraph"/>
        <w:numPr>
          <w:ilvl w:val="0"/>
          <w:numId w:val="23"/>
        </w:numPr>
        <w:spacing w:after="120" w:line="276" w:lineRule="auto"/>
        <w:jc w:val="both"/>
        <w:rPr>
          <w:lang w:val="es-CR"/>
        </w:rPr>
      </w:pPr>
      <w:r>
        <w:rPr>
          <w:lang w:val="es-CR"/>
        </w:rPr>
        <w:t>Sin perjuicio de prever la conservación vial en la evaluación no se consideran los costos de la misma para el Estado. Esto es porque debería calcularse sólo el adicional de costos que se produce por el tránsito agregado de los transbordadores. El no considerar estos costos es conservador a los efectos del resultado de la evaluación.</w:t>
      </w:r>
    </w:p>
    <w:p w:rsidR="00AC4610" w:rsidRPr="00F714DA" w:rsidRDefault="00AC4610" w:rsidP="0086683A">
      <w:pPr>
        <w:pStyle w:val="ListParagraph"/>
        <w:numPr>
          <w:ilvl w:val="0"/>
          <w:numId w:val="23"/>
        </w:numPr>
        <w:spacing w:after="120" w:line="276" w:lineRule="auto"/>
        <w:jc w:val="both"/>
        <w:rPr>
          <w:lang w:val="es-CR"/>
        </w:rPr>
      </w:pPr>
      <w:r w:rsidRPr="00F714DA">
        <w:rPr>
          <w:lang w:val="es-CR"/>
        </w:rPr>
        <w:t>Los costos de mantenimiento de las terminales en la situación “</w:t>
      </w:r>
      <w:r w:rsidRPr="006D58C1">
        <w:rPr>
          <w:lang w:val="es-CR"/>
        </w:rPr>
        <w:t>sin</w:t>
      </w:r>
      <w:r w:rsidRPr="00F714DA">
        <w:rPr>
          <w:lang w:val="es-CR"/>
        </w:rPr>
        <w:t xml:space="preserve"> proyecto”, se estimaron en un 1% </w:t>
      </w:r>
      <w:r w:rsidR="0086683A" w:rsidRPr="00F714DA">
        <w:rPr>
          <w:lang w:val="es-CR"/>
        </w:rPr>
        <w:t>d</w:t>
      </w:r>
      <w:r w:rsidRPr="00F714DA">
        <w:rPr>
          <w:lang w:val="es-CR"/>
        </w:rPr>
        <w:t>el costo de la inversión durante toda la vida útil del proyecto con la finalidad de que se le brinde un mantenimiento mínimo</w:t>
      </w:r>
      <w:r w:rsidR="0086683A" w:rsidRPr="00F714DA">
        <w:rPr>
          <w:lang w:val="es-CR"/>
        </w:rPr>
        <w:t xml:space="preserve"> a las instalaciones existentes, además se incluye un 1% por costos de mitigación ambiental, respecto del costo de inversión.</w:t>
      </w:r>
    </w:p>
    <w:p w:rsidR="00AC4610" w:rsidRPr="00AC4610" w:rsidRDefault="00AC4610" w:rsidP="00AC4610">
      <w:pPr>
        <w:pStyle w:val="ListParagraph"/>
        <w:numPr>
          <w:ilvl w:val="0"/>
          <w:numId w:val="23"/>
        </w:numPr>
        <w:tabs>
          <w:tab w:val="left" w:pos="2025"/>
        </w:tabs>
        <w:spacing w:line="276" w:lineRule="auto"/>
        <w:contextualSpacing/>
        <w:jc w:val="both"/>
        <w:rPr>
          <w:lang w:val="es-CR"/>
        </w:rPr>
      </w:pPr>
      <w:r w:rsidRPr="00AC4610">
        <w:rPr>
          <w:lang w:val="es-CR"/>
        </w:rPr>
        <w:t xml:space="preserve">El tipo de cambio del colón con respecto al dólar (USD) se estimó en  ¢503. </w:t>
      </w:r>
    </w:p>
    <w:p w:rsidR="00AC4610" w:rsidRPr="00AC4610" w:rsidRDefault="00AC4610" w:rsidP="00AC4610">
      <w:pPr>
        <w:tabs>
          <w:tab w:val="left" w:pos="2025"/>
        </w:tabs>
        <w:ind w:left="360"/>
        <w:contextualSpacing/>
        <w:jc w:val="both"/>
        <w:rPr>
          <w:lang w:val="es-CR"/>
        </w:rPr>
      </w:pPr>
    </w:p>
    <w:p w:rsidR="00AC4610" w:rsidRDefault="00AC4610" w:rsidP="00AC4610">
      <w:pPr>
        <w:pStyle w:val="ListParagraph"/>
        <w:numPr>
          <w:ilvl w:val="0"/>
          <w:numId w:val="23"/>
        </w:numPr>
        <w:tabs>
          <w:tab w:val="left" w:pos="2025"/>
        </w:tabs>
        <w:spacing w:line="276" w:lineRule="auto"/>
        <w:contextualSpacing/>
        <w:jc w:val="both"/>
        <w:rPr>
          <w:lang w:val="es-CR"/>
        </w:rPr>
      </w:pPr>
      <w:r w:rsidRPr="00AC4610">
        <w:rPr>
          <w:lang w:val="es-CR"/>
        </w:rPr>
        <w:t>Tasa de descuento: 12 %, congruente con la norma utilizada por el BID.</w:t>
      </w:r>
    </w:p>
    <w:p w:rsidR="00AA1198" w:rsidRPr="00AA1198" w:rsidRDefault="00AA1198" w:rsidP="00AA1198">
      <w:pPr>
        <w:pStyle w:val="ListParagraph"/>
        <w:rPr>
          <w:lang w:val="es-CR"/>
        </w:rPr>
      </w:pPr>
    </w:p>
    <w:p w:rsidR="00AC4610" w:rsidRPr="00AC4610" w:rsidRDefault="00AC4610" w:rsidP="00AA1198">
      <w:pPr>
        <w:pStyle w:val="ListParagraph"/>
        <w:numPr>
          <w:ilvl w:val="0"/>
          <w:numId w:val="23"/>
        </w:numPr>
        <w:jc w:val="both"/>
        <w:rPr>
          <w:i/>
          <w:lang w:val="es-CR"/>
        </w:rPr>
      </w:pPr>
      <w:r w:rsidRPr="00AC4610">
        <w:rPr>
          <w:lang w:val="es-CR"/>
        </w:rPr>
        <w:t>Por su parte, en la Guía metodológica general para la identificación, formulación y evaluación de proyectos de inversión pública, cita textualmente “ …en el análisis de proyectos públicos se utiliza una tasa de descuento constante y positiva, en el caso de Costa Rica se ha fijado en 12%, como parte de la experiencia establecida con los organismos financieros internacionales.”</w:t>
      </w:r>
    </w:p>
    <w:p w:rsidR="00AC4610" w:rsidRPr="00AC4610" w:rsidRDefault="00AC4610" w:rsidP="00AC4610">
      <w:pPr>
        <w:tabs>
          <w:tab w:val="left" w:pos="2025"/>
        </w:tabs>
        <w:ind w:left="360"/>
        <w:contextualSpacing/>
        <w:rPr>
          <w:lang w:val="es-CR"/>
        </w:rPr>
      </w:pPr>
    </w:p>
    <w:p w:rsidR="00AC4610" w:rsidRPr="00AC4610" w:rsidRDefault="00B22A23" w:rsidP="009C03C8">
      <w:pPr>
        <w:pStyle w:val="ListParagraph"/>
        <w:numPr>
          <w:ilvl w:val="0"/>
          <w:numId w:val="23"/>
        </w:numPr>
        <w:tabs>
          <w:tab w:val="left" w:pos="2025"/>
        </w:tabs>
        <w:spacing w:after="200" w:line="276" w:lineRule="auto"/>
        <w:contextualSpacing/>
        <w:jc w:val="both"/>
        <w:rPr>
          <w:lang w:val="es-CR"/>
        </w:rPr>
      </w:pPr>
      <w:r>
        <w:rPr>
          <w:lang w:val="es-CR"/>
        </w:rPr>
        <w:t>Se adoptaron las tarifas de los transbordadores suministrados por el MOPT (bajo la tipología “camionetas” se han incluido los tres tipos de vehículos intermedios, tomándose un promedio de las tarifas). Se trata de costos financieros que teóricamente habría que ajustar a costos económicos, no obstante ello no se realiza (criterio conservador) porque no se conoce la estructura de impuestos y el</w:t>
      </w:r>
      <w:r w:rsidR="005B074B">
        <w:rPr>
          <w:lang w:val="es-CR"/>
        </w:rPr>
        <w:t xml:space="preserve"> coeficiente de ajuste aplicable usado para obras no necesariamente es válido para una tarifa de servicios.</w:t>
      </w:r>
    </w:p>
    <w:p w:rsidR="00AC4610" w:rsidRPr="005756B2" w:rsidRDefault="00AC4610" w:rsidP="005756B2">
      <w:pPr>
        <w:pStyle w:val="ListParagraph"/>
        <w:jc w:val="both"/>
        <w:rPr>
          <w:lang w:val="es-CR"/>
        </w:rPr>
      </w:pPr>
    </w:p>
    <w:p w:rsidR="00C44140" w:rsidRDefault="00C44140" w:rsidP="00AC4610">
      <w:pPr>
        <w:pStyle w:val="ListParagraph"/>
        <w:jc w:val="both"/>
        <w:rPr>
          <w:lang w:val="es-CR"/>
        </w:rPr>
      </w:pPr>
    </w:p>
    <w:p w:rsidR="000A70C4" w:rsidRDefault="000A70C4" w:rsidP="00AC4610">
      <w:pPr>
        <w:pStyle w:val="ListParagraph"/>
        <w:jc w:val="both"/>
        <w:rPr>
          <w:lang w:val="es-CR"/>
        </w:rPr>
      </w:pPr>
    </w:p>
    <w:p w:rsidR="000A70C4" w:rsidRDefault="000A70C4" w:rsidP="00AC4610">
      <w:pPr>
        <w:pStyle w:val="ListParagraph"/>
        <w:jc w:val="both"/>
        <w:rPr>
          <w:lang w:val="es-CR"/>
        </w:rPr>
      </w:pPr>
    </w:p>
    <w:p w:rsidR="000B2827" w:rsidRDefault="000B2827" w:rsidP="000B2827">
      <w:pPr>
        <w:pStyle w:val="ListParagraph"/>
        <w:numPr>
          <w:ilvl w:val="0"/>
          <w:numId w:val="11"/>
        </w:numPr>
        <w:jc w:val="both"/>
        <w:rPr>
          <w:rFonts w:ascii="Arial" w:hAnsi="Arial" w:cs="Arial"/>
          <w:smallCaps/>
          <w:sz w:val="22"/>
          <w:szCs w:val="22"/>
        </w:rPr>
      </w:pPr>
      <w:r>
        <w:rPr>
          <w:smallCaps/>
        </w:rPr>
        <w:t>Metodología de evaluación económica utilizada</w:t>
      </w:r>
      <w:r w:rsidRPr="006C5A91">
        <w:rPr>
          <w:rFonts w:ascii="Arial" w:hAnsi="Arial" w:cs="Arial"/>
          <w:smallCaps/>
          <w:sz w:val="22"/>
          <w:szCs w:val="22"/>
        </w:rPr>
        <w:t xml:space="preserve">. </w:t>
      </w:r>
    </w:p>
    <w:p w:rsidR="000B2827" w:rsidRDefault="000B2827" w:rsidP="000B2827">
      <w:pPr>
        <w:jc w:val="both"/>
        <w:rPr>
          <w:rFonts w:ascii="Arial" w:hAnsi="Arial" w:cs="Arial"/>
          <w:smallCaps/>
          <w:sz w:val="22"/>
          <w:szCs w:val="22"/>
        </w:rPr>
      </w:pPr>
    </w:p>
    <w:p w:rsidR="000B2827" w:rsidRDefault="000B2827" w:rsidP="000B2827">
      <w:pPr>
        <w:jc w:val="both"/>
        <w:rPr>
          <w:rFonts w:ascii="Arial" w:hAnsi="Arial" w:cs="Arial"/>
          <w:smallCaps/>
          <w:sz w:val="22"/>
          <w:szCs w:val="22"/>
        </w:rPr>
      </w:pPr>
    </w:p>
    <w:p w:rsidR="00913F4D" w:rsidRDefault="00133CDE" w:rsidP="00A87C94">
      <w:pPr>
        <w:widowControl w:val="0"/>
        <w:numPr>
          <w:ilvl w:val="1"/>
          <w:numId w:val="2"/>
        </w:numPr>
        <w:tabs>
          <w:tab w:val="clear" w:pos="360"/>
          <w:tab w:val="num" w:pos="709"/>
        </w:tabs>
        <w:adjustRightInd w:val="0"/>
        <w:ind w:left="709" w:hanging="709"/>
        <w:jc w:val="both"/>
        <w:textAlignment w:val="baseline"/>
        <w:rPr>
          <w:szCs w:val="24"/>
        </w:rPr>
      </w:pPr>
      <w:bookmarkStart w:id="2" w:name="_Ref274224348"/>
      <w:r w:rsidRPr="001A146D">
        <w:rPr>
          <w:b/>
          <w:szCs w:val="24"/>
        </w:rPr>
        <w:t>Metodología</w:t>
      </w:r>
      <w:r w:rsidRPr="00E942FF">
        <w:rPr>
          <w:b/>
          <w:szCs w:val="24"/>
        </w:rPr>
        <w:t xml:space="preserve"> de análisis.</w:t>
      </w:r>
      <w:r w:rsidR="00913F4D">
        <w:rPr>
          <w:b/>
          <w:szCs w:val="24"/>
        </w:rPr>
        <w:t xml:space="preserve"> </w:t>
      </w:r>
      <w:r w:rsidR="00913F4D">
        <w:rPr>
          <w:szCs w:val="24"/>
        </w:rPr>
        <w:t>Para las estimaciones y cálculos pertinentes se utilizó el Modelo HDM</w:t>
      </w:r>
      <w:r w:rsidR="00441F86">
        <w:rPr>
          <w:szCs w:val="24"/>
        </w:rPr>
        <w:t>-</w:t>
      </w:r>
      <w:r w:rsidR="00913F4D">
        <w:rPr>
          <w:szCs w:val="24"/>
        </w:rPr>
        <w:t>4 del Banco Mundial que permite simular las características de diseño de la carretera considerando diferentes opciones de actividades viales, el modelo establece como resultado de costos y beneficios e indicadores de rentabilidad económica. Lo que realiza el modelo es analizar el tramo vial considerado de la carretera</w:t>
      </w:r>
      <w:r w:rsidR="004278F9">
        <w:rPr>
          <w:szCs w:val="24"/>
        </w:rPr>
        <w:t xml:space="preserve"> simulando el comportamiento de vehículos sobre la situación con proyecto y sin proyecto tomando en cuenta las diferentes variables (inversión, costos, etc.).</w:t>
      </w:r>
    </w:p>
    <w:p w:rsidR="004278F9" w:rsidRDefault="004278F9" w:rsidP="004278F9">
      <w:pPr>
        <w:widowControl w:val="0"/>
        <w:adjustRightInd w:val="0"/>
        <w:ind w:left="709"/>
        <w:jc w:val="both"/>
        <w:textAlignment w:val="baseline"/>
        <w:rPr>
          <w:szCs w:val="24"/>
        </w:rPr>
      </w:pPr>
    </w:p>
    <w:p w:rsidR="00133CDE" w:rsidRDefault="0041691E" w:rsidP="00A87C94">
      <w:pPr>
        <w:widowControl w:val="0"/>
        <w:numPr>
          <w:ilvl w:val="1"/>
          <w:numId w:val="2"/>
        </w:numPr>
        <w:tabs>
          <w:tab w:val="clear" w:pos="360"/>
          <w:tab w:val="num" w:pos="709"/>
        </w:tabs>
        <w:adjustRightInd w:val="0"/>
        <w:ind w:left="709" w:hanging="709"/>
        <w:jc w:val="both"/>
        <w:textAlignment w:val="baseline"/>
        <w:rPr>
          <w:szCs w:val="24"/>
        </w:rPr>
      </w:pPr>
      <w:r w:rsidRPr="00E942FF">
        <w:rPr>
          <w:szCs w:val="24"/>
        </w:rPr>
        <w:t xml:space="preserve">Obtenido </w:t>
      </w:r>
      <w:r w:rsidR="00133CDE" w:rsidRPr="00E942FF">
        <w:rPr>
          <w:szCs w:val="24"/>
        </w:rPr>
        <w:t>el flujo neto de costos para el período, se calcul</w:t>
      </w:r>
      <w:r w:rsidR="00797C36" w:rsidRPr="00E942FF">
        <w:rPr>
          <w:szCs w:val="24"/>
        </w:rPr>
        <w:t>ó</w:t>
      </w:r>
      <w:r w:rsidR="00133CDE" w:rsidRPr="00E942FF">
        <w:rPr>
          <w:szCs w:val="24"/>
        </w:rPr>
        <w:t xml:space="preserve"> el Valor </w:t>
      </w:r>
      <w:r w:rsidR="00441F86">
        <w:rPr>
          <w:szCs w:val="24"/>
        </w:rPr>
        <w:t>A</w:t>
      </w:r>
      <w:r w:rsidR="00133CDE" w:rsidRPr="00E942FF">
        <w:rPr>
          <w:szCs w:val="24"/>
        </w:rPr>
        <w:t xml:space="preserve">ctual Neto Económico (VANE) </w:t>
      </w:r>
      <w:r w:rsidR="00B66B0E" w:rsidRPr="00E942FF">
        <w:rPr>
          <w:szCs w:val="24"/>
        </w:rPr>
        <w:t xml:space="preserve">adoptando </w:t>
      </w:r>
      <w:r w:rsidRPr="00E942FF">
        <w:rPr>
          <w:szCs w:val="24"/>
        </w:rPr>
        <w:t>una tasa de descuento del 12</w:t>
      </w:r>
      <w:r w:rsidR="008314A3">
        <w:rPr>
          <w:szCs w:val="24"/>
        </w:rPr>
        <w:t>,</w:t>
      </w:r>
      <w:r w:rsidRPr="00E942FF">
        <w:rPr>
          <w:szCs w:val="24"/>
        </w:rPr>
        <w:t>0%</w:t>
      </w:r>
      <w:r w:rsidR="004278F9">
        <w:rPr>
          <w:szCs w:val="24"/>
        </w:rPr>
        <w:t xml:space="preserve"> y</w:t>
      </w:r>
      <w:r w:rsidR="008314A3">
        <w:rPr>
          <w:szCs w:val="24"/>
        </w:rPr>
        <w:t xml:space="preserve"> </w:t>
      </w:r>
      <w:r w:rsidR="00133CDE" w:rsidRPr="00E942FF">
        <w:rPr>
          <w:szCs w:val="24"/>
        </w:rPr>
        <w:t>la Tasa Interna de Retorno Económica (TIRE)</w:t>
      </w:r>
      <w:bookmarkEnd w:id="2"/>
      <w:r w:rsidR="001A146D">
        <w:rPr>
          <w:szCs w:val="24"/>
        </w:rPr>
        <w:t>. No se realiza análisis de sensibilidad ya que los resultados de los indicadores económicos muestran una alta rentabilidad, por lo que un cambio en alguna de las variables que se utilizan en el estudio no afectaría significativamente los resultados obtenidos, prevaleciendo siempre la rentabilidad del proyecto.</w:t>
      </w:r>
    </w:p>
    <w:p w:rsidR="001A146D" w:rsidRPr="001A146D" w:rsidRDefault="001A146D" w:rsidP="001A146D">
      <w:pPr>
        <w:widowControl w:val="0"/>
        <w:adjustRightInd w:val="0"/>
        <w:ind w:left="709"/>
        <w:jc w:val="both"/>
        <w:textAlignment w:val="baseline"/>
        <w:rPr>
          <w:szCs w:val="24"/>
        </w:rPr>
      </w:pPr>
    </w:p>
    <w:p w:rsidR="001A146D" w:rsidRPr="008F17F8" w:rsidRDefault="001A146D" w:rsidP="001A146D">
      <w:pPr>
        <w:widowControl w:val="0"/>
        <w:numPr>
          <w:ilvl w:val="1"/>
          <w:numId w:val="2"/>
        </w:numPr>
        <w:tabs>
          <w:tab w:val="clear" w:pos="360"/>
          <w:tab w:val="num" w:pos="709"/>
        </w:tabs>
        <w:adjustRightInd w:val="0"/>
        <w:spacing w:after="120"/>
        <w:ind w:left="709" w:hanging="709"/>
        <w:jc w:val="both"/>
        <w:textAlignment w:val="baseline"/>
        <w:rPr>
          <w:szCs w:val="24"/>
        </w:rPr>
      </w:pPr>
      <w:r w:rsidRPr="008F17F8">
        <w:rPr>
          <w:szCs w:val="24"/>
        </w:rPr>
        <w:t>Se conceptualizó el recorrido de la situación sin proyecto, esto es a través de la ruta</w:t>
      </w:r>
      <w:r w:rsidR="0049220B" w:rsidRPr="008F17F8">
        <w:rPr>
          <w:szCs w:val="24"/>
        </w:rPr>
        <w:t>s</w:t>
      </w:r>
      <w:r w:rsidRPr="008F17F8">
        <w:rPr>
          <w:szCs w:val="24"/>
        </w:rPr>
        <w:t xml:space="preserve"> nacional</w:t>
      </w:r>
      <w:r w:rsidR="0049220B" w:rsidRPr="008F17F8">
        <w:rPr>
          <w:szCs w:val="24"/>
        </w:rPr>
        <w:t>es</w:t>
      </w:r>
      <w:r w:rsidRPr="008F17F8">
        <w:rPr>
          <w:szCs w:val="24"/>
        </w:rPr>
        <w:t xml:space="preserve"> alterna</w:t>
      </w:r>
      <w:r w:rsidR="0049220B" w:rsidRPr="008F17F8">
        <w:rPr>
          <w:szCs w:val="24"/>
        </w:rPr>
        <w:t>s</w:t>
      </w:r>
      <w:r w:rsidRPr="008F17F8">
        <w:rPr>
          <w:szCs w:val="24"/>
        </w:rPr>
        <w:t xml:space="preserve">, para esto se utilizó el Inventario General de Caminos de la Dirección de Planificación Sectorial, de donde se obtuvieron datos como: </w:t>
      </w:r>
      <w:r w:rsidR="008F17F8" w:rsidRPr="008F17F8">
        <w:rPr>
          <w:szCs w:val="24"/>
        </w:rPr>
        <w:t>Detalles de vías y obras, composición del tránsito y velocidades</w:t>
      </w:r>
      <w:r w:rsidR="008F17F8">
        <w:rPr>
          <w:szCs w:val="24"/>
        </w:rPr>
        <w:t xml:space="preserve"> así como</w:t>
      </w:r>
      <w:r w:rsidR="008F17F8" w:rsidRPr="008F17F8">
        <w:rPr>
          <w:szCs w:val="24"/>
        </w:rPr>
        <w:t xml:space="preserve">, información de la </w:t>
      </w:r>
      <w:r w:rsidR="008F17F8">
        <w:rPr>
          <w:szCs w:val="24"/>
        </w:rPr>
        <w:t xml:space="preserve">estructura del pavimento, suministrada por la </w:t>
      </w:r>
      <w:r w:rsidR="008F17F8">
        <w:t>Dirección de Conservación de Vías y Puentes del CONAVI</w:t>
      </w:r>
      <w:r w:rsidR="008F17F8">
        <w:rPr>
          <w:szCs w:val="24"/>
        </w:rPr>
        <w:t>, Además</w:t>
      </w:r>
      <w:r w:rsidR="008F17F8" w:rsidRPr="008F17F8">
        <w:rPr>
          <w:szCs w:val="24"/>
        </w:rPr>
        <w:t xml:space="preserve"> </w:t>
      </w:r>
      <w:r w:rsidR="008F17F8">
        <w:rPr>
          <w:szCs w:val="24"/>
        </w:rPr>
        <w:t xml:space="preserve">se </w:t>
      </w:r>
      <w:r w:rsidRPr="008F17F8">
        <w:rPr>
          <w:szCs w:val="24"/>
        </w:rPr>
        <w:t xml:space="preserve"> incorpora la información de d</w:t>
      </w:r>
      <w:r w:rsidR="008F17F8">
        <w:rPr>
          <w:szCs w:val="24"/>
        </w:rPr>
        <w:t xml:space="preserve">emanda estimada del proyecto, </w:t>
      </w:r>
      <w:r w:rsidRPr="008F17F8">
        <w:rPr>
          <w:szCs w:val="24"/>
        </w:rPr>
        <w:t xml:space="preserve">suministrada por la </w:t>
      </w:r>
      <w:r w:rsidR="0049220B" w:rsidRPr="008F17F8">
        <w:rPr>
          <w:szCs w:val="24"/>
        </w:rPr>
        <w:t xml:space="preserve">Dirección de Gestión de la </w:t>
      </w:r>
      <w:r w:rsidR="008F17F8">
        <w:rPr>
          <w:szCs w:val="24"/>
        </w:rPr>
        <w:t xml:space="preserve"> División Marítimo Portuaria.</w:t>
      </w:r>
    </w:p>
    <w:p w:rsidR="001A146D" w:rsidRDefault="001A146D" w:rsidP="001A146D">
      <w:pPr>
        <w:pStyle w:val="ListParagraph"/>
        <w:rPr>
          <w:rFonts w:ascii="Arial" w:hAnsi="Arial" w:cs="Arial"/>
          <w:bCs/>
          <w:sz w:val="22"/>
          <w:szCs w:val="22"/>
          <w:lang w:val="es-CR"/>
        </w:rPr>
      </w:pPr>
    </w:p>
    <w:p w:rsidR="001A146D" w:rsidRPr="00421E0B" w:rsidRDefault="005756B2" w:rsidP="001A146D">
      <w:pPr>
        <w:widowControl w:val="0"/>
        <w:numPr>
          <w:ilvl w:val="1"/>
          <w:numId w:val="2"/>
        </w:numPr>
        <w:tabs>
          <w:tab w:val="clear" w:pos="360"/>
          <w:tab w:val="num" w:pos="709"/>
        </w:tabs>
        <w:adjustRightInd w:val="0"/>
        <w:spacing w:after="120"/>
        <w:ind w:left="709" w:hanging="709"/>
        <w:jc w:val="both"/>
        <w:textAlignment w:val="baseline"/>
        <w:rPr>
          <w:rFonts w:ascii="Arial" w:hAnsi="Arial" w:cs="Arial"/>
          <w:sz w:val="22"/>
          <w:szCs w:val="22"/>
          <w:lang w:val="es-CR"/>
        </w:rPr>
      </w:pPr>
      <w:r>
        <w:rPr>
          <w:szCs w:val="24"/>
        </w:rPr>
        <w:t xml:space="preserve">Para </w:t>
      </w:r>
      <w:r w:rsidR="00E95AC4">
        <w:rPr>
          <w:szCs w:val="24"/>
        </w:rPr>
        <w:t>el</w:t>
      </w:r>
      <w:r>
        <w:rPr>
          <w:szCs w:val="24"/>
        </w:rPr>
        <w:t xml:space="preserve"> año 201</w:t>
      </w:r>
      <w:r w:rsidR="00CA732C">
        <w:rPr>
          <w:szCs w:val="24"/>
        </w:rPr>
        <w:t>6</w:t>
      </w:r>
      <w:r w:rsidR="00027772">
        <w:rPr>
          <w:szCs w:val="24"/>
        </w:rPr>
        <w:t xml:space="preserve"> </w:t>
      </w:r>
      <w:r>
        <w:rPr>
          <w:szCs w:val="24"/>
        </w:rPr>
        <w:t>(obra) no se consideran ahorros de operación y tiempo. Ello es porque las obras en los muelles interferirían  con los servicios y el cálculo de esta afectación es prácticamente imposible de realizar. No obstante, también este criterio es conservador.</w:t>
      </w:r>
    </w:p>
    <w:p w:rsidR="003C07ED" w:rsidRDefault="003C07ED" w:rsidP="003C07ED">
      <w:pPr>
        <w:pStyle w:val="ListParagraph"/>
        <w:rPr>
          <w:rFonts w:ascii="Arial" w:hAnsi="Arial" w:cs="Arial"/>
          <w:sz w:val="22"/>
          <w:szCs w:val="22"/>
          <w:lang w:val="es-CR"/>
        </w:rPr>
      </w:pPr>
    </w:p>
    <w:p w:rsidR="008E5DCD" w:rsidRPr="00391946" w:rsidRDefault="005756B2" w:rsidP="008E5DCD">
      <w:pPr>
        <w:widowControl w:val="0"/>
        <w:numPr>
          <w:ilvl w:val="1"/>
          <w:numId w:val="2"/>
        </w:numPr>
        <w:tabs>
          <w:tab w:val="clear" w:pos="360"/>
          <w:tab w:val="num" w:pos="709"/>
        </w:tabs>
        <w:adjustRightInd w:val="0"/>
        <w:spacing w:after="120"/>
        <w:ind w:left="709" w:hanging="709"/>
        <w:jc w:val="both"/>
        <w:textAlignment w:val="baseline"/>
        <w:rPr>
          <w:szCs w:val="24"/>
        </w:rPr>
      </w:pPr>
      <w:r>
        <w:rPr>
          <w:szCs w:val="24"/>
        </w:rPr>
        <w:t xml:space="preserve">El cálculo de los costos de tiempo cuando se aplica el HDM-4, implica que todos los pasajeros van en los vehículos. En la situación “con proyecto”, en el trayecto de los transbordadores se calcula el costo del tiempo de los usuarios con el HDM-4, por lo que no aparecen por separado los pasajeros, como sí ocurre en los costos de operación (tarifas que pagan los usuarios). </w:t>
      </w:r>
    </w:p>
    <w:p w:rsidR="00A3182F" w:rsidRPr="008E5DCD" w:rsidRDefault="0029296A" w:rsidP="008F17F8">
      <w:pPr>
        <w:widowControl w:val="0"/>
        <w:adjustRightInd w:val="0"/>
        <w:spacing w:after="120"/>
        <w:ind w:left="709"/>
        <w:jc w:val="both"/>
        <w:textAlignment w:val="baseline"/>
        <w:rPr>
          <w:szCs w:val="24"/>
        </w:rPr>
      </w:pPr>
      <w:r w:rsidRPr="008E5DCD">
        <w:rPr>
          <w:szCs w:val="24"/>
        </w:rPr>
        <w:t xml:space="preserve"> </w:t>
      </w:r>
    </w:p>
    <w:p w:rsidR="009E2E6E" w:rsidRDefault="009E2E6E" w:rsidP="00856FE4">
      <w:pPr>
        <w:widowControl w:val="0"/>
        <w:numPr>
          <w:ilvl w:val="1"/>
          <w:numId w:val="2"/>
        </w:numPr>
        <w:tabs>
          <w:tab w:val="clear" w:pos="360"/>
          <w:tab w:val="num" w:pos="709"/>
        </w:tabs>
        <w:adjustRightInd w:val="0"/>
        <w:spacing w:after="120"/>
        <w:ind w:left="709" w:hanging="709"/>
        <w:jc w:val="both"/>
        <w:textAlignment w:val="baseline"/>
        <w:rPr>
          <w:szCs w:val="24"/>
          <w:lang w:val="es-ES_tradnl"/>
        </w:rPr>
      </w:pPr>
      <w:r w:rsidRPr="00610EFA">
        <w:rPr>
          <w:szCs w:val="24"/>
        </w:rPr>
        <w:t>S</w:t>
      </w:r>
      <w:r w:rsidR="001A146D" w:rsidRPr="00610EFA">
        <w:rPr>
          <w:szCs w:val="24"/>
        </w:rPr>
        <w:t xml:space="preserve">e consideró un monto para el mantenimiento de las terminales de transbordadores, equivalente al 1% anual del costo de la inversión a lo largo de la vida útil del proyecto, </w:t>
      </w:r>
      <w:r w:rsidRPr="00610EFA">
        <w:rPr>
          <w:szCs w:val="24"/>
          <w:lang w:val="es-ES_tradnl"/>
        </w:rPr>
        <w:t xml:space="preserve"> previendo un mantenimiento mínimo a las instalaciones existentes; que si bien es cierto ya agotaron su vida útil; el Estado debe asumir costos de vigilancia, administrativos y de otra índole</w:t>
      </w:r>
      <w:r w:rsidRPr="00856FE4">
        <w:rPr>
          <w:szCs w:val="24"/>
          <w:lang w:val="es-ES_tradnl"/>
        </w:rPr>
        <w:t>. Además de existir concesiones vigentes del servicio de cabotaje evita que el Estado incurra en costos por indemnización a las navieras prestatarias de los servicios.</w:t>
      </w:r>
    </w:p>
    <w:p w:rsidR="001A146D" w:rsidRDefault="00856FE4" w:rsidP="001A146D">
      <w:pPr>
        <w:widowControl w:val="0"/>
        <w:numPr>
          <w:ilvl w:val="1"/>
          <w:numId w:val="2"/>
        </w:numPr>
        <w:tabs>
          <w:tab w:val="clear" w:pos="360"/>
          <w:tab w:val="num" w:pos="709"/>
        </w:tabs>
        <w:adjustRightInd w:val="0"/>
        <w:ind w:left="709" w:hanging="709"/>
        <w:jc w:val="both"/>
        <w:textAlignment w:val="baseline"/>
        <w:rPr>
          <w:szCs w:val="24"/>
          <w:lang w:val="es-ES_tradnl"/>
        </w:rPr>
      </w:pPr>
      <w:r>
        <w:rPr>
          <w:szCs w:val="24"/>
          <w:lang w:val="es-ES_tradnl"/>
        </w:rPr>
        <w:t>En l</w:t>
      </w:r>
      <w:r w:rsidR="001A146D" w:rsidRPr="00856FE4">
        <w:rPr>
          <w:szCs w:val="24"/>
          <w:lang w:val="es-ES_tradnl"/>
        </w:rPr>
        <w:t xml:space="preserve">a </w:t>
      </w:r>
      <w:r w:rsidR="001A146D" w:rsidRPr="00856FE4">
        <w:rPr>
          <w:b/>
          <w:szCs w:val="24"/>
          <w:lang w:val="es-ES_tradnl"/>
        </w:rPr>
        <w:t>situación con proyecto</w:t>
      </w:r>
      <w:r w:rsidR="001A146D" w:rsidRPr="00856FE4">
        <w:rPr>
          <w:szCs w:val="24"/>
          <w:lang w:val="es-ES_tradnl"/>
        </w:rPr>
        <w:t xml:space="preserve"> se determinó el recorrido desde el Roble</w:t>
      </w:r>
      <w:r w:rsidR="00E43AC2">
        <w:rPr>
          <w:szCs w:val="24"/>
          <w:lang w:val="es-ES_tradnl"/>
        </w:rPr>
        <w:t xml:space="preserve"> (Barranca)</w:t>
      </w:r>
      <w:r w:rsidR="001A146D" w:rsidRPr="00856FE4">
        <w:rPr>
          <w:szCs w:val="24"/>
          <w:lang w:val="es-ES_tradnl"/>
        </w:rPr>
        <w:t xml:space="preserve"> hasta las terminales de transbordadores en Barrio el Carmen</w:t>
      </w:r>
      <w:r w:rsidR="00E43AC2">
        <w:rPr>
          <w:szCs w:val="24"/>
          <w:lang w:val="es-ES_tradnl"/>
        </w:rPr>
        <w:t>,</w:t>
      </w:r>
      <w:r w:rsidR="00610EFA">
        <w:rPr>
          <w:szCs w:val="24"/>
          <w:lang w:val="es-ES_tradnl"/>
        </w:rPr>
        <w:t xml:space="preserve"> Puntarenas, se contempló además el trayecto acuático hasta cada una de las terminales (Playa Naranjo y Paquera).</w:t>
      </w:r>
    </w:p>
    <w:p w:rsidR="00856FE4" w:rsidRDefault="00856FE4" w:rsidP="00856FE4">
      <w:pPr>
        <w:pStyle w:val="ListParagraph"/>
        <w:rPr>
          <w:szCs w:val="24"/>
          <w:lang w:val="es-ES_tradnl"/>
        </w:rPr>
      </w:pPr>
    </w:p>
    <w:p w:rsidR="001A146D" w:rsidRDefault="00856FE4" w:rsidP="001A146D">
      <w:pPr>
        <w:widowControl w:val="0"/>
        <w:numPr>
          <w:ilvl w:val="1"/>
          <w:numId w:val="2"/>
        </w:numPr>
        <w:tabs>
          <w:tab w:val="clear" w:pos="360"/>
          <w:tab w:val="num" w:pos="709"/>
        </w:tabs>
        <w:adjustRightInd w:val="0"/>
        <w:ind w:left="709" w:hanging="709"/>
        <w:jc w:val="both"/>
        <w:textAlignment w:val="baseline"/>
        <w:rPr>
          <w:szCs w:val="24"/>
          <w:lang w:val="es-ES_tradnl"/>
        </w:rPr>
      </w:pPr>
      <w:r>
        <w:rPr>
          <w:szCs w:val="24"/>
          <w:lang w:val="es-ES_tradnl"/>
        </w:rPr>
        <w:t>S</w:t>
      </w:r>
      <w:r w:rsidR="001A146D" w:rsidRPr="00856FE4">
        <w:rPr>
          <w:szCs w:val="24"/>
          <w:lang w:val="es-ES_tradnl"/>
        </w:rPr>
        <w:t xml:space="preserve">e incorporaron también los costos de los usuarios de las terminales de transbordadores (pago de tarifas), información suministrada por la </w:t>
      </w:r>
      <w:r w:rsidR="00764D82">
        <w:rPr>
          <w:szCs w:val="24"/>
          <w:lang w:val="es-ES_tradnl"/>
        </w:rPr>
        <w:t xml:space="preserve">Dirección de Gestión de la </w:t>
      </w:r>
      <w:r w:rsidR="001A146D" w:rsidRPr="00856FE4">
        <w:rPr>
          <w:szCs w:val="24"/>
          <w:lang w:val="es-ES_tradnl"/>
        </w:rPr>
        <w:t xml:space="preserve">División Marítimo Portuario. Dicha División indica que para realizar el  cálculo de la proyección de la demanda, </w:t>
      </w:r>
      <w:r w:rsidR="00D65772">
        <w:rPr>
          <w:szCs w:val="24"/>
          <w:lang w:val="es-ES_tradnl"/>
        </w:rPr>
        <w:t>é</w:t>
      </w:r>
      <w:r w:rsidR="001A146D" w:rsidRPr="00856FE4">
        <w:rPr>
          <w:szCs w:val="24"/>
          <w:lang w:val="es-ES_tradnl"/>
        </w:rPr>
        <w:t>sta se multiplicó por las tarifas vigentes proyectadas con ajustes por inflación y tipo de cambio en los años subsiguientes, siguiendo los criterios del consultor  del Consorcio CCM, empresa consultora contratada mediante licitación abreviada N, 2010LA-000021-32800.</w:t>
      </w:r>
    </w:p>
    <w:p w:rsidR="00244A43" w:rsidRPr="00856FE4" w:rsidRDefault="00244A43" w:rsidP="00610EFA">
      <w:pPr>
        <w:widowControl w:val="0"/>
        <w:adjustRightInd w:val="0"/>
        <w:jc w:val="both"/>
        <w:textAlignment w:val="baseline"/>
        <w:rPr>
          <w:szCs w:val="24"/>
          <w:lang w:val="es-ES_tradnl"/>
        </w:rPr>
      </w:pPr>
      <w:r>
        <w:rPr>
          <w:szCs w:val="24"/>
          <w:lang w:val="es-ES_tradnl"/>
        </w:rPr>
        <w:t xml:space="preserve"> </w:t>
      </w:r>
    </w:p>
    <w:p w:rsidR="001A146D" w:rsidRPr="006702A4" w:rsidRDefault="001A146D" w:rsidP="001A146D">
      <w:pPr>
        <w:tabs>
          <w:tab w:val="left" w:pos="2025"/>
        </w:tabs>
        <w:jc w:val="center"/>
        <w:rPr>
          <w:rFonts w:ascii="Arial" w:hAnsi="Arial" w:cs="Arial"/>
          <w:sz w:val="18"/>
          <w:szCs w:val="18"/>
          <w:lang w:val="es-ES_tradnl"/>
        </w:rPr>
      </w:pPr>
    </w:p>
    <w:p w:rsidR="00B87AFE" w:rsidRDefault="00CE7F98" w:rsidP="002F6A44">
      <w:pPr>
        <w:widowControl w:val="0"/>
        <w:numPr>
          <w:ilvl w:val="1"/>
          <w:numId w:val="2"/>
        </w:numPr>
        <w:tabs>
          <w:tab w:val="clear" w:pos="360"/>
          <w:tab w:val="num" w:pos="709"/>
        </w:tabs>
        <w:adjustRightInd w:val="0"/>
        <w:ind w:left="705" w:hanging="709"/>
        <w:jc w:val="both"/>
        <w:textAlignment w:val="baseline"/>
        <w:rPr>
          <w:szCs w:val="24"/>
          <w:lang w:val="es-ES_tradnl"/>
        </w:rPr>
      </w:pPr>
      <w:r>
        <w:rPr>
          <w:szCs w:val="24"/>
          <w:lang w:val="es-ES_tradnl"/>
        </w:rPr>
        <w:t>Finalmente, se elaboró el flujo de costos con los indicadores de rentabilidad.</w:t>
      </w:r>
    </w:p>
    <w:p w:rsidR="00433EC0" w:rsidRDefault="00433EC0" w:rsidP="00433EC0">
      <w:pPr>
        <w:widowControl w:val="0"/>
        <w:adjustRightInd w:val="0"/>
        <w:jc w:val="both"/>
        <w:textAlignment w:val="baseline"/>
        <w:rPr>
          <w:szCs w:val="24"/>
          <w:lang w:val="es-ES_tradnl"/>
        </w:rPr>
      </w:pPr>
    </w:p>
    <w:p w:rsidR="00433EC0" w:rsidRDefault="00433EC0" w:rsidP="00433EC0">
      <w:pPr>
        <w:widowControl w:val="0"/>
        <w:adjustRightInd w:val="0"/>
        <w:jc w:val="both"/>
        <w:textAlignment w:val="baseline"/>
        <w:rPr>
          <w:szCs w:val="24"/>
          <w:lang w:val="es-ES_tradnl"/>
        </w:rPr>
      </w:pPr>
    </w:p>
    <w:p w:rsidR="00B87AFE" w:rsidRPr="003A2E95" w:rsidRDefault="00B87AFE" w:rsidP="00B87AFE">
      <w:pPr>
        <w:widowControl w:val="0"/>
        <w:numPr>
          <w:ilvl w:val="0"/>
          <w:numId w:val="2"/>
        </w:numPr>
        <w:adjustRightInd w:val="0"/>
        <w:jc w:val="both"/>
        <w:textAlignment w:val="baseline"/>
        <w:rPr>
          <w:b/>
          <w:sz w:val="22"/>
        </w:rPr>
      </w:pPr>
      <w:r w:rsidRPr="003A2E95">
        <w:rPr>
          <w:b/>
        </w:rPr>
        <w:t>Costos económicos</w:t>
      </w:r>
    </w:p>
    <w:p w:rsidR="00B87AFE" w:rsidRPr="003A2E95" w:rsidRDefault="00B87AFE" w:rsidP="00B87AFE">
      <w:pPr>
        <w:widowControl w:val="0"/>
        <w:adjustRightInd w:val="0"/>
        <w:jc w:val="both"/>
        <w:textAlignment w:val="baseline"/>
        <w:rPr>
          <w:b/>
        </w:rPr>
      </w:pPr>
    </w:p>
    <w:p w:rsidR="00101B39" w:rsidRPr="003A2E95" w:rsidRDefault="00B87AFE" w:rsidP="00101B39">
      <w:pPr>
        <w:widowControl w:val="0"/>
        <w:numPr>
          <w:ilvl w:val="1"/>
          <w:numId w:val="2"/>
        </w:numPr>
        <w:tabs>
          <w:tab w:val="clear" w:pos="360"/>
          <w:tab w:val="num" w:pos="709"/>
        </w:tabs>
        <w:adjustRightInd w:val="0"/>
        <w:ind w:left="709" w:hanging="709"/>
        <w:jc w:val="both"/>
        <w:textAlignment w:val="baseline"/>
        <w:rPr>
          <w:szCs w:val="24"/>
          <w:lang w:val="es-ES_tradnl"/>
        </w:rPr>
      </w:pPr>
      <w:r w:rsidRPr="003A2E95">
        <w:rPr>
          <w:b/>
        </w:rPr>
        <w:t>Precios económicos:</w:t>
      </w:r>
      <w:r w:rsidR="00101B39" w:rsidRPr="003A2E95">
        <w:rPr>
          <w:b/>
        </w:rPr>
        <w:t xml:space="preserve"> </w:t>
      </w:r>
      <w:r w:rsidR="00101B39" w:rsidRPr="003A2E95">
        <w:t>No se</w:t>
      </w:r>
      <w:r w:rsidR="00CE7F98" w:rsidRPr="003A2E95">
        <w:t xml:space="preserve"> realiza el ajuste a costos económicos dado que no se </w:t>
      </w:r>
      <w:r w:rsidR="00101B39" w:rsidRPr="003A2E95">
        <w:t xml:space="preserve"> </w:t>
      </w:r>
      <w:r w:rsidR="00CE7F98" w:rsidRPr="003A2E95">
        <w:t>conoce la estructura de impuestos.</w:t>
      </w:r>
      <w:r w:rsidR="00CE7F98" w:rsidRPr="003A2E95">
        <w:rPr>
          <w:b/>
        </w:rPr>
        <w:t xml:space="preserve">  </w:t>
      </w:r>
      <w:r w:rsidR="003E6B92" w:rsidRPr="003A2E95">
        <w:rPr>
          <w:szCs w:val="24"/>
          <w:lang w:val="es-ES_tradnl"/>
        </w:rPr>
        <w:t xml:space="preserve"> </w:t>
      </w:r>
    </w:p>
    <w:p w:rsidR="00101B39" w:rsidRPr="00856FE4" w:rsidRDefault="00101B39" w:rsidP="00101B39">
      <w:pPr>
        <w:widowControl w:val="0"/>
        <w:adjustRightInd w:val="0"/>
        <w:jc w:val="both"/>
        <w:textAlignment w:val="baseline"/>
        <w:rPr>
          <w:szCs w:val="24"/>
          <w:lang w:val="es-ES_tradnl"/>
        </w:rPr>
      </w:pPr>
      <w:r>
        <w:rPr>
          <w:szCs w:val="24"/>
          <w:lang w:val="es-ES_tradnl"/>
        </w:rPr>
        <w:t xml:space="preserve"> </w:t>
      </w:r>
    </w:p>
    <w:p w:rsidR="002C79A4" w:rsidRPr="00F714DA" w:rsidRDefault="00D744FD" w:rsidP="00B87AFE">
      <w:pPr>
        <w:widowControl w:val="0"/>
        <w:numPr>
          <w:ilvl w:val="1"/>
          <w:numId w:val="2"/>
        </w:numPr>
        <w:tabs>
          <w:tab w:val="clear" w:pos="360"/>
          <w:tab w:val="num" w:pos="709"/>
        </w:tabs>
        <w:adjustRightInd w:val="0"/>
        <w:ind w:left="709" w:hanging="709"/>
        <w:jc w:val="both"/>
        <w:textAlignment w:val="baseline"/>
        <w:rPr>
          <w:szCs w:val="24"/>
        </w:rPr>
      </w:pPr>
      <w:r w:rsidRPr="00F714DA">
        <w:rPr>
          <w:b/>
        </w:rPr>
        <w:t>Inversiones y costos de mantenimiento</w:t>
      </w:r>
      <w:r>
        <w:rPr>
          <w:b/>
          <w:sz w:val="22"/>
        </w:rPr>
        <w:t xml:space="preserve">: </w:t>
      </w:r>
      <w:r w:rsidRPr="00F714DA">
        <w:rPr>
          <w:szCs w:val="24"/>
        </w:rPr>
        <w:t>Para el cálculo de flujo de costos</w:t>
      </w:r>
      <w:r w:rsidR="002C79A4" w:rsidRPr="00F714DA">
        <w:rPr>
          <w:szCs w:val="24"/>
        </w:rPr>
        <w:t xml:space="preserve"> de este proyecto, para cada año del</w:t>
      </w:r>
      <w:r w:rsidR="003A2E95" w:rsidRPr="00F714DA">
        <w:rPr>
          <w:szCs w:val="24"/>
        </w:rPr>
        <w:t xml:space="preserve"> período de evaluación (201</w:t>
      </w:r>
      <w:r w:rsidR="00027772">
        <w:rPr>
          <w:szCs w:val="24"/>
        </w:rPr>
        <w:t>7</w:t>
      </w:r>
      <w:r w:rsidR="003A2E95" w:rsidRPr="00F714DA">
        <w:rPr>
          <w:szCs w:val="24"/>
        </w:rPr>
        <w:t>-203</w:t>
      </w:r>
      <w:r w:rsidR="00027772">
        <w:rPr>
          <w:szCs w:val="24"/>
        </w:rPr>
        <w:t>6</w:t>
      </w:r>
      <w:r w:rsidR="002C79A4" w:rsidRPr="00F714DA">
        <w:rPr>
          <w:szCs w:val="24"/>
        </w:rPr>
        <w:t>), apl</w:t>
      </w:r>
      <w:r w:rsidR="00CE7F98" w:rsidRPr="00F714DA">
        <w:rPr>
          <w:szCs w:val="24"/>
        </w:rPr>
        <w:t>icando la metodología HDM-4 se tienen los siguientes escenarios:</w:t>
      </w:r>
    </w:p>
    <w:p w:rsidR="000B06C4" w:rsidRDefault="000B06C4" w:rsidP="000B06C4">
      <w:pPr>
        <w:pStyle w:val="ListParagraph"/>
        <w:rPr>
          <w:sz w:val="22"/>
        </w:rPr>
      </w:pPr>
    </w:p>
    <w:p w:rsidR="00AD295C" w:rsidRPr="00AD295C" w:rsidRDefault="002C79A4" w:rsidP="00447B75">
      <w:pPr>
        <w:pStyle w:val="ListParagraph"/>
        <w:widowControl w:val="0"/>
        <w:numPr>
          <w:ilvl w:val="0"/>
          <w:numId w:val="37"/>
        </w:numPr>
        <w:tabs>
          <w:tab w:val="num" w:pos="709"/>
        </w:tabs>
        <w:adjustRightInd w:val="0"/>
        <w:spacing w:after="120" w:line="276" w:lineRule="auto"/>
        <w:jc w:val="both"/>
        <w:textAlignment w:val="baseline"/>
        <w:rPr>
          <w:lang w:val="es-CR"/>
        </w:rPr>
      </w:pPr>
      <w:r w:rsidRPr="00F714DA">
        <w:rPr>
          <w:szCs w:val="24"/>
        </w:rPr>
        <w:t>Escenario “Sin Proyecto”: Deben de considerarse obras para mantener las condiciones de transitabilidad de la ruta nacional alterna (</w:t>
      </w:r>
      <w:r w:rsidRPr="00F714DA">
        <w:rPr>
          <w:szCs w:val="24"/>
          <w:lang w:val="es-CR"/>
        </w:rPr>
        <w:t xml:space="preserve">Rutas Nacionales N°17, N°23, </w:t>
      </w:r>
      <w:r w:rsidR="00CE7F98" w:rsidRPr="00F714DA">
        <w:rPr>
          <w:szCs w:val="24"/>
          <w:lang w:val="es-CR"/>
        </w:rPr>
        <w:t>N°1, N°18, N°21, N°160 y N°621),</w:t>
      </w:r>
      <w:r w:rsidRPr="00F714DA">
        <w:rPr>
          <w:szCs w:val="24"/>
          <w:lang w:val="es-CR"/>
        </w:rPr>
        <w:t xml:space="preserve"> </w:t>
      </w:r>
      <w:r w:rsidR="00E43AC2" w:rsidRPr="00F714DA">
        <w:rPr>
          <w:szCs w:val="24"/>
        </w:rPr>
        <w:t>adicionalmente</w:t>
      </w:r>
      <w:r w:rsidR="000B06C4" w:rsidRPr="00F714DA">
        <w:rPr>
          <w:szCs w:val="24"/>
        </w:rPr>
        <w:t>, en este escenario “Sin Proyecto” se consideró</w:t>
      </w:r>
      <w:r w:rsidR="000B06C4" w:rsidRPr="00AD295C">
        <w:rPr>
          <w:szCs w:val="24"/>
        </w:rPr>
        <w:t xml:space="preserve"> un monto para el mantenimiento de las terminales de transbordadores, equivalente al 1% anual del costo de la inversión a lo largo de la vida útil del proyecto, </w:t>
      </w:r>
      <w:r w:rsidR="000B06C4" w:rsidRPr="00AD295C">
        <w:rPr>
          <w:szCs w:val="24"/>
          <w:lang w:val="es-ES_tradnl"/>
        </w:rPr>
        <w:t xml:space="preserve"> previendo un mantenimiento mínimo a las instalaciones existentes; que si bien es cierto ya agotaron su vida útil; el Estado debe asumir costos de vigilancia, administrativos y de otra índole. Además de existir concesiones vigentes del servicio de cabotaje evita que el Estado incurra en costos por indemnización a las navieras prestatarias de los servicios.</w:t>
      </w:r>
      <w:r w:rsidR="000B06C4" w:rsidRPr="00AD295C">
        <w:rPr>
          <w:szCs w:val="24"/>
        </w:rPr>
        <w:t xml:space="preserve"> </w:t>
      </w:r>
    </w:p>
    <w:p w:rsidR="00447B75" w:rsidRDefault="00AD295C" w:rsidP="00447B75">
      <w:pPr>
        <w:pStyle w:val="ListParagraph"/>
        <w:widowControl w:val="0"/>
        <w:numPr>
          <w:ilvl w:val="0"/>
          <w:numId w:val="37"/>
        </w:numPr>
        <w:tabs>
          <w:tab w:val="num" w:pos="709"/>
        </w:tabs>
        <w:adjustRightInd w:val="0"/>
        <w:spacing w:after="120" w:line="276" w:lineRule="auto"/>
        <w:jc w:val="both"/>
        <w:textAlignment w:val="baseline"/>
        <w:rPr>
          <w:lang w:val="es-CR"/>
        </w:rPr>
      </w:pPr>
      <w:r w:rsidRPr="00AD295C">
        <w:rPr>
          <w:szCs w:val="24"/>
        </w:rPr>
        <w:t xml:space="preserve">Escenario “Con Proyecto”: </w:t>
      </w:r>
      <w:r>
        <w:t xml:space="preserve">Contempla el mantenimiento del tramo terrestre de la Ruta Nacional </w:t>
      </w:r>
      <w:r w:rsidRPr="00AD295C">
        <w:rPr>
          <w:b/>
        </w:rPr>
        <w:t>El Roble- Barrio El Carmen</w:t>
      </w:r>
      <w:r w:rsidR="00441F86">
        <w:rPr>
          <w:b/>
        </w:rPr>
        <w:t>, Puntarenas</w:t>
      </w:r>
      <w:r>
        <w:t xml:space="preserve"> (a la terminal de transbordadores), que asegure la transi</w:t>
      </w:r>
      <w:r w:rsidR="00BD014F">
        <w:t>tabilidad</w:t>
      </w:r>
      <w:r w:rsidR="00441F86">
        <w:t>.</w:t>
      </w:r>
      <w:r w:rsidRPr="00AD295C">
        <w:rPr>
          <w:szCs w:val="24"/>
        </w:rPr>
        <w:t xml:space="preserve"> Además, se incluyen los </w:t>
      </w:r>
      <w:r w:rsidR="00447B75" w:rsidRPr="00AD295C">
        <w:rPr>
          <w:lang w:val="es-CR"/>
        </w:rPr>
        <w:t>costos de mantenimiento de las terminales</w:t>
      </w:r>
      <w:r w:rsidRPr="00AD295C">
        <w:rPr>
          <w:lang w:val="es-CR"/>
        </w:rPr>
        <w:t xml:space="preserve">, los cuales se </w:t>
      </w:r>
      <w:r w:rsidR="00447B75" w:rsidRPr="00AD295C">
        <w:rPr>
          <w:lang w:val="es-CR"/>
        </w:rPr>
        <w:t xml:space="preserve">estimaron en un 1% </w:t>
      </w:r>
      <w:r w:rsidRPr="00AD295C">
        <w:rPr>
          <w:lang w:val="es-CR"/>
        </w:rPr>
        <w:t>d</w:t>
      </w:r>
      <w:r w:rsidR="00BD014F">
        <w:rPr>
          <w:lang w:val="es-CR"/>
        </w:rPr>
        <w:t>el costo de la inversión, así como un 1% por costos de mitigación ambiental s</w:t>
      </w:r>
      <w:r w:rsidR="00447B75" w:rsidRPr="00AD295C">
        <w:rPr>
          <w:lang w:val="es-CR"/>
        </w:rPr>
        <w:t>egún estimaciones suministradas por la División Marítimo Portuaria del MOPT.</w:t>
      </w:r>
    </w:p>
    <w:p w:rsidR="00FF1D0E" w:rsidRDefault="00FF1D0E" w:rsidP="00FF1D0E">
      <w:pPr>
        <w:widowControl w:val="0"/>
        <w:numPr>
          <w:ilvl w:val="1"/>
          <w:numId w:val="2"/>
        </w:numPr>
        <w:tabs>
          <w:tab w:val="clear" w:pos="360"/>
          <w:tab w:val="num" w:pos="709"/>
        </w:tabs>
        <w:adjustRightInd w:val="0"/>
        <w:ind w:left="709" w:hanging="709"/>
        <w:jc w:val="both"/>
        <w:textAlignment w:val="baseline"/>
        <w:rPr>
          <w:szCs w:val="24"/>
          <w:lang w:val="es-ES_tradnl"/>
        </w:rPr>
      </w:pPr>
      <w:r w:rsidRPr="00FF1D0E">
        <w:rPr>
          <w:b/>
          <w:szCs w:val="24"/>
          <w:lang w:val="es-ES_tradnl"/>
        </w:rPr>
        <w:t xml:space="preserve">Costos de inversión: </w:t>
      </w:r>
      <w:r>
        <w:rPr>
          <w:b/>
          <w:szCs w:val="24"/>
          <w:lang w:val="es-ES_tradnl"/>
        </w:rPr>
        <w:t xml:space="preserve"> </w:t>
      </w:r>
      <w:r w:rsidRPr="00FF1D0E">
        <w:rPr>
          <w:szCs w:val="24"/>
          <w:lang w:val="es-ES_tradnl"/>
        </w:rPr>
        <w:t>El presupuesto estimado para la obras</w:t>
      </w:r>
      <w:r w:rsidR="00D560D2">
        <w:rPr>
          <w:szCs w:val="24"/>
          <w:lang w:val="es-ES_tradnl"/>
        </w:rPr>
        <w:t xml:space="preserve"> al 201</w:t>
      </w:r>
      <w:r w:rsidR="00027772">
        <w:rPr>
          <w:szCs w:val="24"/>
          <w:lang w:val="es-ES_tradnl"/>
        </w:rPr>
        <w:t>6</w:t>
      </w:r>
      <w:r>
        <w:rPr>
          <w:b/>
          <w:szCs w:val="24"/>
          <w:lang w:val="es-ES_tradnl"/>
        </w:rPr>
        <w:t xml:space="preserve"> </w:t>
      </w:r>
      <w:r w:rsidR="00BD014F">
        <w:rPr>
          <w:szCs w:val="24"/>
          <w:lang w:val="es-ES_tradnl"/>
        </w:rPr>
        <w:t xml:space="preserve">se presenta en el </w:t>
      </w:r>
      <w:r w:rsidRPr="00FF1D0E">
        <w:rPr>
          <w:szCs w:val="24"/>
          <w:lang w:val="es-ES_tradnl"/>
        </w:rPr>
        <w:t xml:space="preserve"> cuadro</w:t>
      </w:r>
      <w:r w:rsidR="00BD014F">
        <w:rPr>
          <w:szCs w:val="24"/>
          <w:lang w:val="es-ES_tradnl"/>
        </w:rPr>
        <w:t xml:space="preserve"> N.9</w:t>
      </w:r>
      <w:r>
        <w:rPr>
          <w:szCs w:val="24"/>
          <w:lang w:val="es-ES_tradnl"/>
        </w:rPr>
        <w:t>:</w:t>
      </w:r>
    </w:p>
    <w:p w:rsidR="00D560D2" w:rsidRDefault="00D560D2" w:rsidP="00FF1D0E">
      <w:pPr>
        <w:widowControl w:val="0"/>
        <w:adjustRightInd w:val="0"/>
        <w:jc w:val="both"/>
        <w:textAlignment w:val="baseline"/>
        <w:rPr>
          <w:szCs w:val="24"/>
          <w:lang w:val="es-ES_tradnl"/>
        </w:rPr>
      </w:pPr>
    </w:p>
    <w:p w:rsidR="00D560D2" w:rsidRDefault="00D560D2" w:rsidP="007253AD">
      <w:pPr>
        <w:widowControl w:val="0"/>
        <w:adjustRightInd w:val="0"/>
        <w:jc w:val="center"/>
        <w:textAlignment w:val="baseline"/>
        <w:rPr>
          <w:szCs w:val="24"/>
        </w:rPr>
      </w:pPr>
    </w:p>
    <w:p w:rsidR="00D560D2" w:rsidRDefault="00D560D2" w:rsidP="00FF1D0E">
      <w:pPr>
        <w:widowControl w:val="0"/>
        <w:adjustRightInd w:val="0"/>
        <w:jc w:val="both"/>
        <w:textAlignment w:val="baseline"/>
        <w:rPr>
          <w:szCs w:val="24"/>
        </w:rPr>
      </w:pPr>
    </w:p>
    <w:p w:rsidR="00027772" w:rsidRDefault="00322295" w:rsidP="00027772">
      <w:pPr>
        <w:widowControl w:val="0"/>
        <w:adjustRightInd w:val="0"/>
        <w:jc w:val="center"/>
        <w:textAlignment w:val="baseline"/>
        <w:rPr>
          <w:szCs w:val="24"/>
        </w:rPr>
      </w:pPr>
      <w:r w:rsidRPr="00FE4043">
        <w:rPr>
          <w:noProof/>
          <w:szCs w:val="24"/>
          <w:lang w:val="es-ES" w:eastAsia="es-ES"/>
        </w:rPr>
        <w:drawing>
          <wp:inline distT="0" distB="0" distL="0" distR="0" wp14:anchorId="37597E7D" wp14:editId="7F56461E">
            <wp:extent cx="3536950" cy="2579370"/>
            <wp:effectExtent l="19050" t="0" r="6350" b="0"/>
            <wp:docPr id="58"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srcRect/>
                    <a:stretch>
                      <a:fillRect/>
                    </a:stretch>
                  </pic:blipFill>
                  <pic:spPr bwMode="auto">
                    <a:xfrm>
                      <a:off x="0" y="0"/>
                      <a:ext cx="3536950" cy="2579370"/>
                    </a:xfrm>
                    <a:prstGeom prst="rect">
                      <a:avLst/>
                    </a:prstGeom>
                    <a:noFill/>
                    <a:ln w="9525">
                      <a:noFill/>
                      <a:miter lim="800000"/>
                      <a:headEnd/>
                      <a:tailEnd/>
                    </a:ln>
                  </pic:spPr>
                </pic:pic>
              </a:graphicData>
            </a:graphic>
          </wp:inline>
        </w:drawing>
      </w:r>
    </w:p>
    <w:p w:rsidR="00027772" w:rsidRDefault="00027772" w:rsidP="00FF1D0E">
      <w:pPr>
        <w:widowControl w:val="0"/>
        <w:adjustRightInd w:val="0"/>
        <w:jc w:val="both"/>
        <w:textAlignment w:val="baseline"/>
        <w:rPr>
          <w:szCs w:val="24"/>
        </w:rPr>
      </w:pPr>
    </w:p>
    <w:p w:rsidR="00D560D2" w:rsidRPr="00B83A42" w:rsidRDefault="00B83A42" w:rsidP="00FF1D0E">
      <w:pPr>
        <w:widowControl w:val="0"/>
        <w:adjustRightInd w:val="0"/>
        <w:jc w:val="both"/>
        <w:textAlignment w:val="baseline"/>
        <w:rPr>
          <w:szCs w:val="24"/>
        </w:rPr>
      </w:pPr>
      <w:r w:rsidRPr="00B83A42">
        <w:rPr>
          <w:szCs w:val="24"/>
        </w:rPr>
        <w:t>Los costo</w:t>
      </w:r>
      <w:r w:rsidR="00027772">
        <w:rPr>
          <w:szCs w:val="24"/>
        </w:rPr>
        <w:t>s de inversión estimados al 2016</w:t>
      </w:r>
      <w:r w:rsidRPr="00B83A42">
        <w:rPr>
          <w:szCs w:val="24"/>
        </w:rPr>
        <w:t xml:space="preserve"> se obtuvieron de la siguiente manera:</w:t>
      </w:r>
    </w:p>
    <w:p w:rsidR="00B83A42" w:rsidRPr="00B83A42" w:rsidRDefault="00B83A42" w:rsidP="00B83A42">
      <w:pPr>
        <w:widowControl w:val="0"/>
        <w:adjustRightInd w:val="0"/>
        <w:jc w:val="both"/>
        <w:textAlignment w:val="baseline"/>
        <w:rPr>
          <w:szCs w:val="24"/>
        </w:rPr>
      </w:pPr>
    </w:p>
    <w:p w:rsidR="00441306" w:rsidRDefault="00B83A42" w:rsidP="00FF1D0E">
      <w:pPr>
        <w:widowControl w:val="0"/>
        <w:adjustRightInd w:val="0"/>
        <w:jc w:val="both"/>
        <w:textAlignment w:val="baseline"/>
        <w:rPr>
          <w:szCs w:val="24"/>
        </w:rPr>
      </w:pPr>
      <w:r w:rsidRPr="00B83A42">
        <w:rPr>
          <w:szCs w:val="24"/>
        </w:rPr>
        <w:t>Se procedió a indexación de la inversión del proyecto Mejoramiento de las Terminales de Transbordadores del Golfo de Nicoya</w:t>
      </w:r>
      <w:r w:rsidR="00027772">
        <w:rPr>
          <w:szCs w:val="24"/>
        </w:rPr>
        <w:t>, tomando como base el presupuesto estimado por la firma consultora Camacho en el 2011</w:t>
      </w:r>
      <w:r w:rsidR="00322295">
        <w:rPr>
          <w:szCs w:val="24"/>
        </w:rPr>
        <w:t>,</w:t>
      </w:r>
      <w:r w:rsidR="00027772">
        <w:rPr>
          <w:szCs w:val="24"/>
        </w:rPr>
        <w:t xml:space="preserve"> detallado en los principales componentes de </w:t>
      </w:r>
      <w:r w:rsidR="00E95AC4">
        <w:rPr>
          <w:szCs w:val="24"/>
        </w:rPr>
        <w:t xml:space="preserve">las </w:t>
      </w:r>
      <w:r w:rsidR="00027772">
        <w:rPr>
          <w:szCs w:val="24"/>
        </w:rPr>
        <w:t>obra</w:t>
      </w:r>
      <w:r w:rsidR="00E95AC4">
        <w:rPr>
          <w:szCs w:val="24"/>
        </w:rPr>
        <w:t>s</w:t>
      </w:r>
      <w:r w:rsidR="00027772">
        <w:rPr>
          <w:szCs w:val="24"/>
        </w:rPr>
        <w:t xml:space="preserve"> para cada </w:t>
      </w:r>
      <w:r w:rsidR="00E95AC4">
        <w:rPr>
          <w:szCs w:val="24"/>
        </w:rPr>
        <w:t xml:space="preserve">una de las </w:t>
      </w:r>
      <w:r w:rsidR="00027772">
        <w:rPr>
          <w:szCs w:val="24"/>
        </w:rPr>
        <w:t>terminal</w:t>
      </w:r>
      <w:r w:rsidR="00E95AC4">
        <w:rPr>
          <w:szCs w:val="24"/>
        </w:rPr>
        <w:t>es</w:t>
      </w:r>
      <w:r w:rsidR="00027772">
        <w:rPr>
          <w:szCs w:val="24"/>
        </w:rPr>
        <w:t xml:space="preserve">. Para dicha actualización se utilizó un factor de </w:t>
      </w:r>
      <w:r w:rsidR="00E95AC4">
        <w:rPr>
          <w:szCs w:val="24"/>
        </w:rPr>
        <w:t>aumento de 10% anual</w:t>
      </w:r>
      <w:r w:rsidR="00027772">
        <w:rPr>
          <w:szCs w:val="24"/>
        </w:rPr>
        <w:t xml:space="preserve"> para llevar los costos a valores </w:t>
      </w:r>
      <w:r w:rsidR="00E95AC4">
        <w:rPr>
          <w:szCs w:val="24"/>
        </w:rPr>
        <w:t>al año</w:t>
      </w:r>
      <w:r w:rsidR="00027772">
        <w:rPr>
          <w:szCs w:val="24"/>
        </w:rPr>
        <w:t xml:space="preserve"> 2016</w:t>
      </w:r>
      <w:r w:rsidR="00E95AC4">
        <w:rPr>
          <w:szCs w:val="24"/>
        </w:rPr>
        <w:t xml:space="preserve"> (5  años), donde se prevé el inicio de obras</w:t>
      </w:r>
      <w:r w:rsidR="00441306">
        <w:rPr>
          <w:szCs w:val="24"/>
        </w:rPr>
        <w:t>.</w:t>
      </w:r>
      <w:r w:rsidR="006E3FDD">
        <w:rPr>
          <w:szCs w:val="24"/>
        </w:rPr>
        <w:t xml:space="preserve"> Este factor se considera representativo para la industria de la construcción de Costa Rica en el período de actualización</w:t>
      </w:r>
      <w:bookmarkStart w:id="3" w:name="_GoBack"/>
      <w:bookmarkEnd w:id="3"/>
      <w:r w:rsidR="006E3FDD">
        <w:rPr>
          <w:szCs w:val="24"/>
        </w:rPr>
        <w:t>.</w:t>
      </w:r>
      <w:r w:rsidR="00441306">
        <w:rPr>
          <w:szCs w:val="24"/>
        </w:rPr>
        <w:t xml:space="preserve"> </w:t>
      </w:r>
    </w:p>
    <w:p w:rsidR="00C44140" w:rsidRDefault="00C44140">
      <w:pPr>
        <w:rPr>
          <w:szCs w:val="24"/>
          <w:lang w:val="es-ES_tradnl"/>
        </w:rPr>
      </w:pPr>
    </w:p>
    <w:p w:rsidR="00BD014F" w:rsidRDefault="00F352FB" w:rsidP="00B24E79">
      <w:pPr>
        <w:widowControl w:val="0"/>
        <w:numPr>
          <w:ilvl w:val="1"/>
          <w:numId w:val="2"/>
        </w:numPr>
        <w:tabs>
          <w:tab w:val="clear" w:pos="360"/>
          <w:tab w:val="num" w:pos="709"/>
        </w:tabs>
        <w:adjustRightInd w:val="0"/>
        <w:ind w:left="709" w:hanging="709"/>
        <w:jc w:val="both"/>
        <w:textAlignment w:val="baseline"/>
        <w:rPr>
          <w:b/>
          <w:szCs w:val="24"/>
          <w:lang w:val="es-ES_tradnl"/>
        </w:rPr>
      </w:pPr>
      <w:r>
        <w:rPr>
          <w:b/>
          <w:szCs w:val="24"/>
          <w:lang w:val="es-ES_tradnl"/>
        </w:rPr>
        <w:t>Costos  de o</w:t>
      </w:r>
      <w:r w:rsidR="00B24E79" w:rsidRPr="003E6B92">
        <w:rPr>
          <w:b/>
          <w:szCs w:val="24"/>
          <w:lang w:val="es-ES_tradnl"/>
        </w:rPr>
        <w:t>peración</w:t>
      </w:r>
      <w:r w:rsidR="00896E25" w:rsidRPr="003E6B92">
        <w:rPr>
          <w:b/>
          <w:szCs w:val="24"/>
          <w:lang w:val="es-ES_tradnl"/>
        </w:rPr>
        <w:t xml:space="preserve"> </w:t>
      </w:r>
      <w:r w:rsidR="009A5D90">
        <w:rPr>
          <w:b/>
          <w:szCs w:val="24"/>
          <w:lang w:val="es-ES_tradnl"/>
        </w:rPr>
        <w:t>sin proyecto, período 201</w:t>
      </w:r>
      <w:r w:rsidR="005C4D8E">
        <w:rPr>
          <w:b/>
          <w:szCs w:val="24"/>
          <w:lang w:val="es-ES_tradnl"/>
        </w:rPr>
        <w:t>6</w:t>
      </w:r>
      <w:r w:rsidR="009A5D90">
        <w:rPr>
          <w:b/>
          <w:szCs w:val="24"/>
          <w:lang w:val="es-ES_tradnl"/>
        </w:rPr>
        <w:t>-</w:t>
      </w:r>
      <w:r w:rsidR="005C4D8E">
        <w:rPr>
          <w:b/>
          <w:szCs w:val="24"/>
          <w:lang w:val="es-ES_tradnl"/>
        </w:rPr>
        <w:t>2036</w:t>
      </w:r>
    </w:p>
    <w:p w:rsidR="00B24E79" w:rsidRDefault="00BD014F" w:rsidP="00BD014F">
      <w:pPr>
        <w:widowControl w:val="0"/>
        <w:adjustRightInd w:val="0"/>
        <w:jc w:val="both"/>
        <w:textAlignment w:val="baseline"/>
        <w:rPr>
          <w:szCs w:val="24"/>
          <w:lang w:val="es-ES_tradnl"/>
        </w:rPr>
      </w:pPr>
      <w:r w:rsidRPr="00BD014F">
        <w:rPr>
          <w:szCs w:val="24"/>
          <w:lang w:val="es-ES_tradnl"/>
        </w:rPr>
        <w:t xml:space="preserve">Para realizar los cálculos de costos de operación se </w:t>
      </w:r>
      <w:r w:rsidR="004379A8">
        <w:rPr>
          <w:szCs w:val="24"/>
          <w:lang w:val="es-ES_tradnl"/>
        </w:rPr>
        <w:t xml:space="preserve">utilizó el modelo HDM-4, se </w:t>
      </w:r>
      <w:r w:rsidRPr="00BD014F">
        <w:rPr>
          <w:szCs w:val="24"/>
          <w:lang w:val="es-ES_tradnl"/>
        </w:rPr>
        <w:t>contempl</w:t>
      </w:r>
      <w:r w:rsidR="004379A8">
        <w:rPr>
          <w:szCs w:val="24"/>
          <w:lang w:val="es-ES_tradnl"/>
        </w:rPr>
        <w:t>a</w:t>
      </w:r>
      <w:r w:rsidRPr="00BD014F">
        <w:rPr>
          <w:szCs w:val="24"/>
          <w:lang w:val="es-ES_tradnl"/>
        </w:rPr>
        <w:t xml:space="preserve"> una tasa de crecimiento</w:t>
      </w:r>
      <w:r w:rsidR="004379A8">
        <w:rPr>
          <w:szCs w:val="24"/>
          <w:lang w:val="es-ES_tradnl"/>
        </w:rPr>
        <w:t xml:space="preserve"> </w:t>
      </w:r>
      <w:r w:rsidRPr="00BD014F">
        <w:rPr>
          <w:szCs w:val="24"/>
          <w:lang w:val="es-ES_tradnl"/>
        </w:rPr>
        <w:t xml:space="preserve"> del </w:t>
      </w:r>
      <w:r w:rsidR="004379A8">
        <w:rPr>
          <w:szCs w:val="24"/>
          <w:lang w:val="es-ES_tradnl"/>
        </w:rPr>
        <w:t xml:space="preserve">tránsito de </w:t>
      </w:r>
      <w:r w:rsidRPr="00BD014F">
        <w:rPr>
          <w:szCs w:val="24"/>
          <w:lang w:val="es-ES_tradnl"/>
        </w:rPr>
        <w:t>1.47%</w:t>
      </w:r>
      <w:r w:rsidR="004379A8">
        <w:rPr>
          <w:szCs w:val="24"/>
          <w:lang w:val="es-ES_tradnl"/>
        </w:rPr>
        <w:t xml:space="preserve"> anual, </w:t>
      </w:r>
      <w:r w:rsidRPr="00BD014F">
        <w:rPr>
          <w:szCs w:val="24"/>
          <w:lang w:val="es-ES_tradnl"/>
        </w:rPr>
        <w:t xml:space="preserve"> para el tramo carretero El Roble, Barranca- Playa Naranjo</w:t>
      </w:r>
      <w:r w:rsidR="004379A8">
        <w:rPr>
          <w:szCs w:val="24"/>
          <w:lang w:val="es-ES_tradnl"/>
        </w:rPr>
        <w:t>.</w:t>
      </w:r>
      <w:r w:rsidR="00AC188E">
        <w:rPr>
          <w:szCs w:val="24"/>
          <w:lang w:val="es-ES_tradnl"/>
        </w:rPr>
        <w:t xml:space="preserve"> Por su parte el tramo carretero Playa Naranjo-Playa Paquera presenta una tasa de crecimiento del tránsito de 1.64% anual. </w:t>
      </w:r>
      <w:r w:rsidR="00E43AC2">
        <w:rPr>
          <w:szCs w:val="24"/>
          <w:lang w:val="es-ES_tradnl"/>
        </w:rPr>
        <w:t>(</w:t>
      </w:r>
      <w:r w:rsidR="00AC188E">
        <w:rPr>
          <w:szCs w:val="24"/>
          <w:lang w:val="es-ES_tradnl"/>
        </w:rPr>
        <w:t>Ver cuadros N.10 y N.11</w:t>
      </w:r>
      <w:r w:rsidR="00E43AC2">
        <w:rPr>
          <w:szCs w:val="24"/>
          <w:lang w:val="es-ES_tradnl"/>
        </w:rPr>
        <w:t>)</w:t>
      </w:r>
      <w:r w:rsidR="00AC188E">
        <w:rPr>
          <w:szCs w:val="24"/>
          <w:lang w:val="es-ES_tradnl"/>
        </w:rPr>
        <w:t>.</w:t>
      </w:r>
    </w:p>
    <w:p w:rsidR="00AF5941" w:rsidRDefault="00AF5941" w:rsidP="00BD014F">
      <w:pPr>
        <w:widowControl w:val="0"/>
        <w:adjustRightInd w:val="0"/>
        <w:jc w:val="both"/>
        <w:textAlignment w:val="baseline"/>
        <w:rPr>
          <w:szCs w:val="24"/>
          <w:lang w:val="es-ES_tradnl"/>
        </w:rPr>
      </w:pPr>
    </w:p>
    <w:p w:rsidR="00AF5941" w:rsidRDefault="00AF5941" w:rsidP="00BD014F">
      <w:pPr>
        <w:widowControl w:val="0"/>
        <w:adjustRightInd w:val="0"/>
        <w:jc w:val="both"/>
        <w:textAlignment w:val="baseline"/>
        <w:rPr>
          <w:szCs w:val="24"/>
          <w:lang w:val="es-ES_tradnl"/>
        </w:rPr>
      </w:pPr>
      <w:r>
        <w:rPr>
          <w:szCs w:val="24"/>
          <w:lang w:val="es-ES_tradnl"/>
        </w:rPr>
        <w:t xml:space="preserve">Para </w:t>
      </w:r>
      <w:r w:rsidR="00E95AC4">
        <w:rPr>
          <w:szCs w:val="24"/>
          <w:lang w:val="es-ES_tradnl"/>
        </w:rPr>
        <w:t xml:space="preserve">el </w:t>
      </w:r>
      <w:r>
        <w:rPr>
          <w:szCs w:val="24"/>
          <w:lang w:val="es-ES_tradnl"/>
        </w:rPr>
        <w:t>año 201</w:t>
      </w:r>
      <w:r w:rsidR="00E95AC4">
        <w:rPr>
          <w:szCs w:val="24"/>
          <w:lang w:val="es-ES_tradnl"/>
        </w:rPr>
        <w:t>6</w:t>
      </w:r>
      <w:r>
        <w:rPr>
          <w:szCs w:val="24"/>
          <w:lang w:val="es-ES_tradnl"/>
        </w:rPr>
        <w:t xml:space="preserve"> (obra) no se consideran ahorros de operación, ello porque las obras en los muelles interferirían con los servicios y el cálculo de esta afectación es prácticamente imposible de realizar, según criterio conservador. De igual manera aplica para la situación con proyecto.</w:t>
      </w:r>
    </w:p>
    <w:p w:rsidR="00AC188E" w:rsidRDefault="00AC188E" w:rsidP="00BD014F">
      <w:pPr>
        <w:widowControl w:val="0"/>
        <w:adjustRightInd w:val="0"/>
        <w:jc w:val="both"/>
        <w:textAlignment w:val="baseline"/>
        <w:rPr>
          <w:szCs w:val="24"/>
          <w:lang w:val="es-ES_tradnl"/>
        </w:rPr>
      </w:pPr>
    </w:p>
    <w:p w:rsidR="004F0C41" w:rsidRDefault="004F0C41">
      <w:pPr>
        <w:rPr>
          <w:sz w:val="20"/>
        </w:rPr>
      </w:pPr>
      <w:r>
        <w:rPr>
          <w:sz w:val="20"/>
        </w:rPr>
        <w:br w:type="page"/>
      </w:r>
    </w:p>
    <w:p w:rsidR="00AC188E" w:rsidRDefault="002A054A" w:rsidP="009A5D90">
      <w:pPr>
        <w:rPr>
          <w:sz w:val="20"/>
        </w:rPr>
      </w:pPr>
      <w:r w:rsidRPr="002A054A">
        <w:rPr>
          <w:noProof/>
          <w:lang w:val="es-ES" w:eastAsia="es-ES"/>
        </w:rPr>
        <w:drawing>
          <wp:inline distT="0" distB="0" distL="0" distR="0" wp14:anchorId="116548A8" wp14:editId="75A11EAF">
            <wp:extent cx="5613400" cy="2305638"/>
            <wp:effectExtent l="19050" t="0" r="6350" b="0"/>
            <wp:docPr id="5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5613400" cy="2305638"/>
                    </a:xfrm>
                    <a:prstGeom prst="rect">
                      <a:avLst/>
                    </a:prstGeom>
                    <a:noFill/>
                    <a:ln w="9525">
                      <a:noFill/>
                      <a:miter lim="800000"/>
                      <a:headEnd/>
                      <a:tailEnd/>
                    </a:ln>
                  </pic:spPr>
                </pic:pic>
              </a:graphicData>
            </a:graphic>
          </wp:inline>
        </w:drawing>
      </w:r>
    </w:p>
    <w:p w:rsidR="009A5D90" w:rsidRDefault="009A5D90" w:rsidP="009A5D90">
      <w:pPr>
        <w:widowControl w:val="0"/>
        <w:adjustRightInd w:val="0"/>
        <w:jc w:val="both"/>
        <w:textAlignment w:val="baseline"/>
        <w:rPr>
          <w:sz w:val="18"/>
          <w:szCs w:val="18"/>
          <w:lang w:val="es-CR"/>
        </w:rPr>
      </w:pPr>
      <w:r w:rsidRPr="00C11583">
        <w:rPr>
          <w:sz w:val="18"/>
          <w:szCs w:val="18"/>
          <w:lang w:val="es-CR"/>
        </w:rPr>
        <w:t>Fuente: Elaboración BID</w:t>
      </w:r>
    </w:p>
    <w:p w:rsidR="009A5D90" w:rsidRPr="009A5D90" w:rsidRDefault="009A5D90" w:rsidP="009A5D90">
      <w:pPr>
        <w:rPr>
          <w:sz w:val="20"/>
        </w:rPr>
      </w:pPr>
    </w:p>
    <w:p w:rsidR="009A5D90" w:rsidRDefault="002A054A" w:rsidP="00B24E79">
      <w:pPr>
        <w:widowControl w:val="0"/>
        <w:adjustRightInd w:val="0"/>
        <w:jc w:val="both"/>
        <w:textAlignment w:val="baseline"/>
        <w:rPr>
          <w:b/>
          <w:szCs w:val="24"/>
          <w:lang w:val="es-ES_tradnl"/>
        </w:rPr>
      </w:pPr>
      <w:r w:rsidRPr="002A054A">
        <w:rPr>
          <w:noProof/>
          <w:lang w:val="es-ES" w:eastAsia="es-ES"/>
        </w:rPr>
        <w:drawing>
          <wp:inline distT="0" distB="0" distL="0" distR="0" wp14:anchorId="0EE5EF50" wp14:editId="261A8257">
            <wp:extent cx="5613400" cy="2299794"/>
            <wp:effectExtent l="19050" t="0" r="6350" b="0"/>
            <wp:docPr id="60"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5613400" cy="2299794"/>
                    </a:xfrm>
                    <a:prstGeom prst="rect">
                      <a:avLst/>
                    </a:prstGeom>
                    <a:noFill/>
                    <a:ln w="9525">
                      <a:noFill/>
                      <a:miter lim="800000"/>
                      <a:headEnd/>
                      <a:tailEnd/>
                    </a:ln>
                  </pic:spPr>
                </pic:pic>
              </a:graphicData>
            </a:graphic>
          </wp:inline>
        </w:drawing>
      </w:r>
    </w:p>
    <w:p w:rsidR="009A5D90" w:rsidRDefault="009A5D90" w:rsidP="009A5D90">
      <w:pPr>
        <w:widowControl w:val="0"/>
        <w:adjustRightInd w:val="0"/>
        <w:jc w:val="both"/>
        <w:textAlignment w:val="baseline"/>
        <w:rPr>
          <w:sz w:val="18"/>
          <w:szCs w:val="18"/>
          <w:lang w:val="es-CR"/>
        </w:rPr>
      </w:pPr>
      <w:r w:rsidRPr="00C11583">
        <w:rPr>
          <w:sz w:val="18"/>
          <w:szCs w:val="18"/>
          <w:lang w:val="es-CR"/>
        </w:rPr>
        <w:t>Fuente: Elaboración BID</w:t>
      </w:r>
    </w:p>
    <w:p w:rsidR="009A5D90" w:rsidRDefault="009A5D90" w:rsidP="00B24E79">
      <w:pPr>
        <w:widowControl w:val="0"/>
        <w:adjustRightInd w:val="0"/>
        <w:jc w:val="both"/>
        <w:textAlignment w:val="baseline"/>
        <w:rPr>
          <w:b/>
          <w:szCs w:val="24"/>
          <w:lang w:val="es-ES_tradnl"/>
        </w:rPr>
      </w:pPr>
    </w:p>
    <w:p w:rsidR="009A5D90" w:rsidRDefault="009A5D90" w:rsidP="00B24E79">
      <w:pPr>
        <w:widowControl w:val="0"/>
        <w:adjustRightInd w:val="0"/>
        <w:jc w:val="both"/>
        <w:textAlignment w:val="baseline"/>
        <w:rPr>
          <w:b/>
          <w:szCs w:val="24"/>
          <w:lang w:val="es-ES_tradnl"/>
        </w:rPr>
      </w:pPr>
    </w:p>
    <w:p w:rsidR="009A5D90" w:rsidRDefault="009A5D90"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806C12" w:rsidRDefault="00806C12" w:rsidP="00B24E79">
      <w:pPr>
        <w:widowControl w:val="0"/>
        <w:adjustRightInd w:val="0"/>
        <w:jc w:val="both"/>
        <w:textAlignment w:val="baseline"/>
        <w:rPr>
          <w:b/>
          <w:szCs w:val="24"/>
          <w:lang w:val="es-ES_tradnl"/>
        </w:rPr>
      </w:pPr>
    </w:p>
    <w:p w:rsidR="009A5D90" w:rsidRDefault="009A5D90" w:rsidP="00B24E79">
      <w:pPr>
        <w:widowControl w:val="0"/>
        <w:adjustRightInd w:val="0"/>
        <w:jc w:val="both"/>
        <w:textAlignment w:val="baseline"/>
        <w:rPr>
          <w:b/>
          <w:szCs w:val="24"/>
          <w:lang w:val="es-ES_tradnl"/>
        </w:rPr>
      </w:pPr>
    </w:p>
    <w:p w:rsidR="002A054A" w:rsidRDefault="002A054A" w:rsidP="00B24E79">
      <w:pPr>
        <w:widowControl w:val="0"/>
        <w:adjustRightInd w:val="0"/>
        <w:jc w:val="both"/>
        <w:textAlignment w:val="baseline"/>
        <w:rPr>
          <w:b/>
          <w:szCs w:val="24"/>
          <w:lang w:val="es-ES_tradnl"/>
        </w:rPr>
      </w:pPr>
    </w:p>
    <w:p w:rsidR="002A054A" w:rsidRDefault="002A054A" w:rsidP="00B24E79">
      <w:pPr>
        <w:widowControl w:val="0"/>
        <w:adjustRightInd w:val="0"/>
        <w:jc w:val="both"/>
        <w:textAlignment w:val="baseline"/>
        <w:rPr>
          <w:b/>
          <w:szCs w:val="24"/>
          <w:lang w:val="es-ES_tradnl"/>
        </w:rPr>
      </w:pPr>
    </w:p>
    <w:p w:rsidR="00B24E79" w:rsidRDefault="007D074B" w:rsidP="00FF1D0E">
      <w:pPr>
        <w:widowControl w:val="0"/>
        <w:numPr>
          <w:ilvl w:val="1"/>
          <w:numId w:val="2"/>
        </w:numPr>
        <w:tabs>
          <w:tab w:val="clear" w:pos="360"/>
          <w:tab w:val="num" w:pos="709"/>
        </w:tabs>
        <w:adjustRightInd w:val="0"/>
        <w:ind w:left="709" w:hanging="709"/>
        <w:jc w:val="both"/>
        <w:textAlignment w:val="baseline"/>
        <w:rPr>
          <w:b/>
          <w:szCs w:val="24"/>
          <w:lang w:val="es-ES_tradnl"/>
        </w:rPr>
      </w:pPr>
      <w:r>
        <w:rPr>
          <w:b/>
          <w:szCs w:val="24"/>
          <w:lang w:val="es-ES_tradnl"/>
        </w:rPr>
        <w:t>Costos de Operación con proyecto, períod</w:t>
      </w:r>
      <w:r w:rsidR="00346557">
        <w:rPr>
          <w:b/>
          <w:szCs w:val="24"/>
          <w:lang w:val="es-ES_tradnl"/>
        </w:rPr>
        <w:t>o 201</w:t>
      </w:r>
      <w:r w:rsidR="005C4D8E">
        <w:rPr>
          <w:b/>
          <w:szCs w:val="24"/>
          <w:lang w:val="es-ES_tradnl"/>
        </w:rPr>
        <w:t>6</w:t>
      </w:r>
      <w:r w:rsidR="00346557">
        <w:rPr>
          <w:b/>
          <w:szCs w:val="24"/>
          <w:lang w:val="es-ES_tradnl"/>
        </w:rPr>
        <w:t>-</w:t>
      </w:r>
      <w:r w:rsidR="005C4D8E">
        <w:rPr>
          <w:b/>
          <w:szCs w:val="24"/>
          <w:lang w:val="es-ES_tradnl"/>
        </w:rPr>
        <w:t>2036</w:t>
      </w:r>
    </w:p>
    <w:p w:rsidR="007D074B" w:rsidRDefault="007D074B" w:rsidP="007D074B">
      <w:pPr>
        <w:widowControl w:val="0"/>
        <w:adjustRightInd w:val="0"/>
        <w:jc w:val="both"/>
        <w:textAlignment w:val="baseline"/>
        <w:rPr>
          <w:szCs w:val="24"/>
          <w:lang w:val="es-ES_tradnl"/>
        </w:rPr>
      </w:pPr>
      <w:r w:rsidRPr="00BD014F">
        <w:rPr>
          <w:szCs w:val="24"/>
          <w:lang w:val="es-ES_tradnl"/>
        </w:rPr>
        <w:t xml:space="preserve">Para realizar los cálculos de costos de operación se </w:t>
      </w:r>
      <w:r>
        <w:rPr>
          <w:szCs w:val="24"/>
          <w:lang w:val="es-ES_tradnl"/>
        </w:rPr>
        <w:t xml:space="preserve">utilizó el modelo HDM-4, se </w:t>
      </w:r>
      <w:r w:rsidRPr="00BD014F">
        <w:rPr>
          <w:szCs w:val="24"/>
          <w:lang w:val="es-ES_tradnl"/>
        </w:rPr>
        <w:t>contempl</w:t>
      </w:r>
      <w:r>
        <w:rPr>
          <w:szCs w:val="24"/>
          <w:lang w:val="es-ES_tradnl"/>
        </w:rPr>
        <w:t>a</w:t>
      </w:r>
      <w:r w:rsidRPr="00BD014F">
        <w:rPr>
          <w:szCs w:val="24"/>
          <w:lang w:val="es-ES_tradnl"/>
        </w:rPr>
        <w:t xml:space="preserve"> una tasa de crecimiento</w:t>
      </w:r>
      <w:r>
        <w:rPr>
          <w:szCs w:val="24"/>
          <w:lang w:val="es-ES_tradnl"/>
        </w:rPr>
        <w:t xml:space="preserve"> </w:t>
      </w:r>
      <w:r w:rsidRPr="00BD014F">
        <w:rPr>
          <w:szCs w:val="24"/>
          <w:lang w:val="es-ES_tradnl"/>
        </w:rPr>
        <w:t xml:space="preserve"> del </w:t>
      </w:r>
      <w:r>
        <w:rPr>
          <w:szCs w:val="24"/>
          <w:lang w:val="es-ES_tradnl"/>
        </w:rPr>
        <w:t xml:space="preserve">tránsito de </w:t>
      </w:r>
      <w:r w:rsidRPr="00BD014F">
        <w:rPr>
          <w:szCs w:val="24"/>
          <w:lang w:val="es-ES_tradnl"/>
        </w:rPr>
        <w:t>1.47%</w:t>
      </w:r>
      <w:r>
        <w:rPr>
          <w:szCs w:val="24"/>
          <w:lang w:val="es-ES_tradnl"/>
        </w:rPr>
        <w:t xml:space="preserve"> anual, </w:t>
      </w:r>
      <w:r w:rsidRPr="00BD014F">
        <w:rPr>
          <w:szCs w:val="24"/>
          <w:lang w:val="es-ES_tradnl"/>
        </w:rPr>
        <w:t xml:space="preserve"> para el tramo carretero E</w:t>
      </w:r>
      <w:r>
        <w:rPr>
          <w:szCs w:val="24"/>
          <w:lang w:val="es-ES_tradnl"/>
        </w:rPr>
        <w:t>l Roble (Barranc</w:t>
      </w:r>
      <w:r w:rsidR="009A27F9">
        <w:rPr>
          <w:szCs w:val="24"/>
          <w:lang w:val="es-ES_tradnl"/>
        </w:rPr>
        <w:t xml:space="preserve">a) -Puntarenas.  </w:t>
      </w:r>
      <w:r w:rsidR="00E43AC2">
        <w:rPr>
          <w:szCs w:val="24"/>
          <w:lang w:val="es-ES_tradnl"/>
        </w:rPr>
        <w:t>(</w:t>
      </w:r>
      <w:r w:rsidR="009A27F9">
        <w:rPr>
          <w:szCs w:val="24"/>
          <w:lang w:val="es-ES_tradnl"/>
        </w:rPr>
        <w:t>Ver cuadro N.12</w:t>
      </w:r>
      <w:r w:rsidR="00E43AC2">
        <w:rPr>
          <w:szCs w:val="24"/>
          <w:lang w:val="es-ES_tradnl"/>
        </w:rPr>
        <w:t>)</w:t>
      </w:r>
      <w:r>
        <w:rPr>
          <w:szCs w:val="24"/>
          <w:lang w:val="es-ES_tradnl"/>
        </w:rPr>
        <w:t>.</w:t>
      </w:r>
    </w:p>
    <w:p w:rsidR="00AF5941" w:rsidRDefault="00AF5941" w:rsidP="007D074B">
      <w:pPr>
        <w:widowControl w:val="0"/>
        <w:adjustRightInd w:val="0"/>
        <w:jc w:val="both"/>
        <w:textAlignment w:val="baseline"/>
        <w:rPr>
          <w:szCs w:val="24"/>
          <w:lang w:val="es-ES_tradnl"/>
        </w:rPr>
      </w:pPr>
    </w:p>
    <w:p w:rsidR="00346557" w:rsidRDefault="002A054A" w:rsidP="007D074B">
      <w:pPr>
        <w:widowControl w:val="0"/>
        <w:adjustRightInd w:val="0"/>
        <w:jc w:val="both"/>
        <w:textAlignment w:val="baseline"/>
        <w:rPr>
          <w:noProof/>
          <w:szCs w:val="24"/>
          <w:lang w:val="es-CR" w:eastAsia="es-CR"/>
        </w:rPr>
      </w:pPr>
      <w:r w:rsidRPr="002A054A">
        <w:rPr>
          <w:noProof/>
          <w:lang w:val="es-ES" w:eastAsia="es-ES"/>
        </w:rPr>
        <w:drawing>
          <wp:inline distT="0" distB="0" distL="0" distR="0" wp14:anchorId="6E7604B1" wp14:editId="409EEBAB">
            <wp:extent cx="5613400" cy="2320478"/>
            <wp:effectExtent l="19050" t="0" r="6350" b="0"/>
            <wp:docPr id="61"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cstate="print"/>
                    <a:srcRect/>
                    <a:stretch>
                      <a:fillRect/>
                    </a:stretch>
                  </pic:blipFill>
                  <pic:spPr bwMode="auto">
                    <a:xfrm>
                      <a:off x="0" y="0"/>
                      <a:ext cx="5613400" cy="2320478"/>
                    </a:xfrm>
                    <a:prstGeom prst="rect">
                      <a:avLst/>
                    </a:prstGeom>
                    <a:noFill/>
                    <a:ln w="9525">
                      <a:noFill/>
                      <a:miter lim="800000"/>
                      <a:headEnd/>
                      <a:tailEnd/>
                    </a:ln>
                  </pic:spPr>
                </pic:pic>
              </a:graphicData>
            </a:graphic>
          </wp:inline>
        </w:drawing>
      </w:r>
    </w:p>
    <w:p w:rsidR="00346557" w:rsidRDefault="00346557" w:rsidP="00346557">
      <w:pPr>
        <w:widowControl w:val="0"/>
        <w:adjustRightInd w:val="0"/>
        <w:jc w:val="both"/>
        <w:textAlignment w:val="baseline"/>
        <w:rPr>
          <w:sz w:val="18"/>
          <w:szCs w:val="18"/>
          <w:lang w:val="es-CR"/>
        </w:rPr>
      </w:pPr>
      <w:r w:rsidRPr="00C11583">
        <w:rPr>
          <w:sz w:val="18"/>
          <w:szCs w:val="18"/>
          <w:lang w:val="es-CR"/>
        </w:rPr>
        <w:t>Fuente: Elaboración BID</w:t>
      </w:r>
    </w:p>
    <w:p w:rsidR="00346557" w:rsidRDefault="00346557" w:rsidP="007D074B">
      <w:pPr>
        <w:widowControl w:val="0"/>
        <w:adjustRightInd w:val="0"/>
        <w:jc w:val="both"/>
        <w:textAlignment w:val="baseline"/>
        <w:rPr>
          <w:szCs w:val="24"/>
          <w:lang w:val="es-ES_tradnl"/>
        </w:rPr>
      </w:pPr>
    </w:p>
    <w:p w:rsidR="00346557" w:rsidRDefault="00346557" w:rsidP="007D074B">
      <w:pPr>
        <w:widowControl w:val="0"/>
        <w:adjustRightInd w:val="0"/>
        <w:jc w:val="both"/>
        <w:textAlignment w:val="baseline"/>
        <w:rPr>
          <w:szCs w:val="24"/>
          <w:lang w:val="es-ES_tradnl"/>
        </w:rPr>
      </w:pPr>
    </w:p>
    <w:p w:rsidR="007D074B" w:rsidRDefault="007D074B" w:rsidP="007D074B">
      <w:pPr>
        <w:widowControl w:val="0"/>
        <w:adjustRightInd w:val="0"/>
        <w:jc w:val="both"/>
        <w:textAlignment w:val="baseline"/>
        <w:rPr>
          <w:szCs w:val="24"/>
          <w:lang w:val="es-ES_tradnl"/>
        </w:rPr>
      </w:pPr>
      <w:r w:rsidRPr="00441F86">
        <w:rPr>
          <w:szCs w:val="24"/>
          <w:lang w:val="es-ES_tradnl"/>
        </w:rPr>
        <w:t>El trecho acuático Puntarenas-Playa Naranjo, muestra una tasa de crecimiento vehicular del 0.68% anual</w:t>
      </w:r>
      <w:r w:rsidR="004F36DE" w:rsidRPr="00441F86">
        <w:rPr>
          <w:szCs w:val="24"/>
          <w:lang w:val="es-ES_tradnl"/>
        </w:rPr>
        <w:t>, y el trecho acuático Puntarenas-Playa Paquera presenta un 1.64% de crecimiento vehicular anual</w:t>
      </w:r>
      <w:r w:rsidRPr="00441F86">
        <w:rPr>
          <w:szCs w:val="24"/>
          <w:lang w:val="es-ES_tradnl"/>
        </w:rPr>
        <w:t>. Ver cuadro</w:t>
      </w:r>
      <w:r w:rsidR="004F36DE" w:rsidRPr="00441F86">
        <w:rPr>
          <w:szCs w:val="24"/>
          <w:lang w:val="es-ES_tradnl"/>
        </w:rPr>
        <w:t>s</w:t>
      </w:r>
      <w:r w:rsidRPr="00441F86">
        <w:rPr>
          <w:szCs w:val="24"/>
          <w:lang w:val="es-ES_tradnl"/>
        </w:rPr>
        <w:t xml:space="preserve"> N.13</w:t>
      </w:r>
      <w:r w:rsidR="004F36DE" w:rsidRPr="00441F86">
        <w:rPr>
          <w:szCs w:val="24"/>
          <w:lang w:val="es-ES_tradnl"/>
        </w:rPr>
        <w:t xml:space="preserve"> y N.14</w:t>
      </w:r>
    </w:p>
    <w:p w:rsidR="00033FD4" w:rsidRDefault="00033FD4" w:rsidP="007D074B">
      <w:pPr>
        <w:widowControl w:val="0"/>
        <w:adjustRightInd w:val="0"/>
        <w:jc w:val="both"/>
        <w:textAlignment w:val="baseline"/>
        <w:rPr>
          <w:szCs w:val="24"/>
          <w:lang w:val="es-ES_tradnl"/>
        </w:rPr>
      </w:pPr>
    </w:p>
    <w:p w:rsidR="00033FD4" w:rsidRDefault="002A054A" w:rsidP="007D074B">
      <w:pPr>
        <w:widowControl w:val="0"/>
        <w:adjustRightInd w:val="0"/>
        <w:jc w:val="both"/>
        <w:textAlignment w:val="baseline"/>
        <w:rPr>
          <w:szCs w:val="24"/>
          <w:lang w:val="es-ES_tradnl"/>
        </w:rPr>
      </w:pPr>
      <w:r w:rsidRPr="002A054A">
        <w:rPr>
          <w:noProof/>
          <w:lang w:val="es-ES" w:eastAsia="es-ES"/>
        </w:rPr>
        <w:drawing>
          <wp:inline distT="0" distB="0" distL="0" distR="0" wp14:anchorId="0CBD8A5F" wp14:editId="5E721881">
            <wp:extent cx="5613400" cy="2191812"/>
            <wp:effectExtent l="19050" t="0" r="6350" b="0"/>
            <wp:docPr id="62"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cstate="print"/>
                    <a:srcRect/>
                    <a:stretch>
                      <a:fillRect/>
                    </a:stretch>
                  </pic:blipFill>
                  <pic:spPr bwMode="auto">
                    <a:xfrm>
                      <a:off x="0" y="0"/>
                      <a:ext cx="5613400" cy="2191812"/>
                    </a:xfrm>
                    <a:prstGeom prst="rect">
                      <a:avLst/>
                    </a:prstGeom>
                    <a:noFill/>
                    <a:ln w="9525">
                      <a:noFill/>
                      <a:miter lim="800000"/>
                      <a:headEnd/>
                      <a:tailEnd/>
                    </a:ln>
                  </pic:spPr>
                </pic:pic>
              </a:graphicData>
            </a:graphic>
          </wp:inline>
        </w:drawing>
      </w:r>
    </w:p>
    <w:p w:rsidR="004F36DE" w:rsidRDefault="004F36DE" w:rsidP="004F36DE">
      <w:pPr>
        <w:widowControl w:val="0"/>
        <w:adjustRightInd w:val="0"/>
        <w:jc w:val="both"/>
        <w:textAlignment w:val="baseline"/>
        <w:rPr>
          <w:sz w:val="18"/>
          <w:szCs w:val="18"/>
          <w:lang w:val="es-CR"/>
        </w:rPr>
      </w:pPr>
      <w:r w:rsidRPr="00C11583">
        <w:rPr>
          <w:sz w:val="18"/>
          <w:szCs w:val="18"/>
          <w:lang w:val="es-CR"/>
        </w:rPr>
        <w:t>Fuente: Elaboración BID</w:t>
      </w:r>
    </w:p>
    <w:p w:rsidR="007D074B" w:rsidRDefault="007D074B" w:rsidP="007D074B">
      <w:pPr>
        <w:widowControl w:val="0"/>
        <w:adjustRightInd w:val="0"/>
        <w:jc w:val="both"/>
        <w:textAlignment w:val="baseline"/>
        <w:rPr>
          <w:b/>
          <w:szCs w:val="24"/>
          <w:lang w:val="es-ES_tradnl"/>
        </w:rPr>
      </w:pPr>
    </w:p>
    <w:p w:rsidR="00AF5941" w:rsidRDefault="00AF5941" w:rsidP="005A266B">
      <w:pPr>
        <w:pStyle w:val="ListParagraph"/>
        <w:ind w:left="705"/>
        <w:jc w:val="center"/>
        <w:rPr>
          <w:sz w:val="20"/>
        </w:rPr>
      </w:pPr>
    </w:p>
    <w:p w:rsidR="00AF5941" w:rsidRDefault="00AF5941" w:rsidP="005A266B">
      <w:pPr>
        <w:pStyle w:val="ListParagraph"/>
        <w:ind w:left="705"/>
        <w:jc w:val="center"/>
        <w:rPr>
          <w:sz w:val="20"/>
        </w:rPr>
      </w:pPr>
    </w:p>
    <w:p w:rsidR="00AF5941" w:rsidRDefault="00AF5941" w:rsidP="005A266B">
      <w:pPr>
        <w:pStyle w:val="ListParagraph"/>
        <w:ind w:left="705"/>
        <w:jc w:val="center"/>
        <w:rPr>
          <w:sz w:val="20"/>
        </w:rPr>
      </w:pPr>
    </w:p>
    <w:p w:rsidR="00033FD4" w:rsidRDefault="00033FD4" w:rsidP="005A266B">
      <w:pPr>
        <w:pStyle w:val="ListParagraph"/>
        <w:ind w:left="705"/>
        <w:jc w:val="center"/>
        <w:rPr>
          <w:sz w:val="20"/>
        </w:rPr>
      </w:pPr>
    </w:p>
    <w:p w:rsidR="00744FF9" w:rsidRDefault="00744FF9" w:rsidP="00744FF9">
      <w:pPr>
        <w:pStyle w:val="ListParagraph"/>
        <w:ind w:left="705"/>
        <w:jc w:val="center"/>
        <w:rPr>
          <w:sz w:val="20"/>
        </w:rPr>
      </w:pPr>
    </w:p>
    <w:p w:rsidR="002A054A" w:rsidRDefault="002A054A" w:rsidP="00744FF9">
      <w:pPr>
        <w:pStyle w:val="ListParagraph"/>
        <w:ind w:left="705"/>
        <w:jc w:val="center"/>
        <w:rPr>
          <w:sz w:val="20"/>
        </w:rPr>
      </w:pPr>
    </w:p>
    <w:p w:rsidR="002A054A" w:rsidRDefault="002A054A" w:rsidP="00744FF9">
      <w:pPr>
        <w:pStyle w:val="ListParagraph"/>
        <w:ind w:left="705"/>
        <w:jc w:val="center"/>
        <w:rPr>
          <w:sz w:val="20"/>
        </w:rPr>
      </w:pPr>
    </w:p>
    <w:p w:rsidR="002A054A" w:rsidRDefault="002A054A" w:rsidP="00744FF9">
      <w:pPr>
        <w:pStyle w:val="ListParagraph"/>
        <w:ind w:left="705"/>
        <w:jc w:val="center"/>
        <w:rPr>
          <w:sz w:val="20"/>
        </w:rPr>
      </w:pPr>
    </w:p>
    <w:p w:rsidR="00345E44" w:rsidRPr="00744FF9" w:rsidRDefault="002A054A" w:rsidP="007D074B">
      <w:pPr>
        <w:widowControl w:val="0"/>
        <w:adjustRightInd w:val="0"/>
        <w:jc w:val="both"/>
        <w:textAlignment w:val="baseline"/>
        <w:rPr>
          <w:b/>
          <w:szCs w:val="24"/>
          <w:lang w:val="es-ES"/>
        </w:rPr>
      </w:pPr>
      <w:r w:rsidRPr="002A054A">
        <w:rPr>
          <w:noProof/>
          <w:lang w:val="es-ES" w:eastAsia="es-ES"/>
        </w:rPr>
        <w:drawing>
          <wp:inline distT="0" distB="0" distL="0" distR="0" wp14:anchorId="3C2B1224" wp14:editId="5B63C685">
            <wp:extent cx="5613400" cy="2174750"/>
            <wp:effectExtent l="19050" t="0" r="6350" b="0"/>
            <wp:docPr id="6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srcRect/>
                    <a:stretch>
                      <a:fillRect/>
                    </a:stretch>
                  </pic:blipFill>
                  <pic:spPr bwMode="auto">
                    <a:xfrm>
                      <a:off x="0" y="0"/>
                      <a:ext cx="5613400" cy="2174750"/>
                    </a:xfrm>
                    <a:prstGeom prst="rect">
                      <a:avLst/>
                    </a:prstGeom>
                    <a:noFill/>
                    <a:ln w="9525">
                      <a:noFill/>
                      <a:miter lim="800000"/>
                      <a:headEnd/>
                      <a:tailEnd/>
                    </a:ln>
                  </pic:spPr>
                </pic:pic>
              </a:graphicData>
            </a:graphic>
          </wp:inline>
        </w:drawing>
      </w:r>
    </w:p>
    <w:p w:rsidR="00345E44" w:rsidRDefault="00345E44" w:rsidP="00345E44">
      <w:pPr>
        <w:widowControl w:val="0"/>
        <w:adjustRightInd w:val="0"/>
        <w:jc w:val="both"/>
        <w:textAlignment w:val="baseline"/>
        <w:rPr>
          <w:sz w:val="18"/>
          <w:szCs w:val="18"/>
          <w:lang w:val="es-CR"/>
        </w:rPr>
      </w:pPr>
      <w:r w:rsidRPr="00C11583">
        <w:rPr>
          <w:sz w:val="18"/>
          <w:szCs w:val="18"/>
          <w:lang w:val="es-CR"/>
        </w:rPr>
        <w:t>Fuente: Elaboración BID</w:t>
      </w:r>
    </w:p>
    <w:p w:rsidR="00345E44" w:rsidRDefault="00345E44" w:rsidP="007D074B">
      <w:pPr>
        <w:widowControl w:val="0"/>
        <w:adjustRightInd w:val="0"/>
        <w:jc w:val="both"/>
        <w:textAlignment w:val="baseline"/>
        <w:rPr>
          <w:b/>
          <w:szCs w:val="24"/>
          <w:lang w:val="es-ES_tradnl"/>
        </w:rPr>
      </w:pPr>
    </w:p>
    <w:p w:rsidR="00345E44" w:rsidRDefault="00345E44" w:rsidP="007D074B">
      <w:pPr>
        <w:widowControl w:val="0"/>
        <w:adjustRightInd w:val="0"/>
        <w:jc w:val="both"/>
        <w:textAlignment w:val="baseline"/>
        <w:rPr>
          <w:b/>
          <w:szCs w:val="24"/>
          <w:lang w:val="es-ES_tradnl"/>
        </w:rPr>
      </w:pPr>
    </w:p>
    <w:p w:rsidR="007D074B" w:rsidRDefault="00AF5941" w:rsidP="00FF1D0E">
      <w:pPr>
        <w:widowControl w:val="0"/>
        <w:numPr>
          <w:ilvl w:val="1"/>
          <w:numId w:val="2"/>
        </w:numPr>
        <w:tabs>
          <w:tab w:val="clear" w:pos="360"/>
          <w:tab w:val="num" w:pos="709"/>
        </w:tabs>
        <w:adjustRightInd w:val="0"/>
        <w:ind w:left="709" w:hanging="709"/>
        <w:jc w:val="both"/>
        <w:textAlignment w:val="baseline"/>
        <w:rPr>
          <w:b/>
          <w:szCs w:val="24"/>
          <w:lang w:val="es-ES_tradnl"/>
        </w:rPr>
      </w:pPr>
      <w:r>
        <w:rPr>
          <w:b/>
          <w:szCs w:val="24"/>
          <w:lang w:val="es-ES_tradnl"/>
        </w:rPr>
        <w:t>Costos del Tiempo sin proyecto</w:t>
      </w:r>
      <w:r w:rsidR="00345E44">
        <w:rPr>
          <w:b/>
          <w:szCs w:val="24"/>
          <w:lang w:val="es-ES_tradnl"/>
        </w:rPr>
        <w:t xml:space="preserve"> 201</w:t>
      </w:r>
      <w:r w:rsidR="005C4D8E">
        <w:rPr>
          <w:b/>
          <w:szCs w:val="24"/>
          <w:lang w:val="es-ES_tradnl"/>
        </w:rPr>
        <w:t>6</w:t>
      </w:r>
      <w:r w:rsidR="00345E44">
        <w:rPr>
          <w:b/>
          <w:szCs w:val="24"/>
          <w:lang w:val="es-ES_tradnl"/>
        </w:rPr>
        <w:t>-</w:t>
      </w:r>
      <w:r w:rsidR="005C4D8E">
        <w:rPr>
          <w:b/>
          <w:szCs w:val="24"/>
          <w:lang w:val="es-ES_tradnl"/>
        </w:rPr>
        <w:t>2036</w:t>
      </w:r>
    </w:p>
    <w:p w:rsidR="00AF5941" w:rsidRPr="009A27F9" w:rsidRDefault="00AF5941" w:rsidP="00AF5941">
      <w:pPr>
        <w:widowControl w:val="0"/>
        <w:adjustRightInd w:val="0"/>
        <w:jc w:val="both"/>
        <w:textAlignment w:val="baseline"/>
        <w:rPr>
          <w:szCs w:val="24"/>
          <w:lang w:val="es-ES_tradnl"/>
        </w:rPr>
      </w:pPr>
      <w:r w:rsidRPr="009A27F9">
        <w:rPr>
          <w:szCs w:val="24"/>
          <w:lang w:val="es-ES_tradnl"/>
        </w:rPr>
        <w:t>Para realizar los cálculos de la situación sin proyecto se utilizó el modelo HDM-4, se considera la ruta alterna desde El Roble Barranca hasta Playa Nar</w:t>
      </w:r>
      <w:r w:rsidR="009A27F9" w:rsidRPr="009A27F9">
        <w:rPr>
          <w:szCs w:val="24"/>
          <w:lang w:val="es-ES_tradnl"/>
        </w:rPr>
        <w:t>anjo así como desde Playa Naranjo hasta Paquera</w:t>
      </w:r>
      <w:r w:rsidR="009A27F9">
        <w:rPr>
          <w:szCs w:val="24"/>
          <w:lang w:val="es-ES_tradnl"/>
        </w:rPr>
        <w:t xml:space="preserve">. </w:t>
      </w:r>
      <w:r w:rsidR="00E43AC2">
        <w:rPr>
          <w:szCs w:val="24"/>
          <w:lang w:val="es-ES_tradnl"/>
        </w:rPr>
        <w:t xml:space="preserve"> </w:t>
      </w:r>
      <w:r w:rsidR="009A27F9">
        <w:rPr>
          <w:szCs w:val="24"/>
          <w:lang w:val="es-ES_tradnl"/>
        </w:rPr>
        <w:t xml:space="preserve">Para el primero se ha considerado una tasa de crecimiento vehicular de 1.47% anual, para el segundo 1.64% anual </w:t>
      </w:r>
      <w:r w:rsidR="00E43AC2">
        <w:rPr>
          <w:szCs w:val="24"/>
          <w:lang w:val="es-ES_tradnl"/>
        </w:rPr>
        <w:t>(</w:t>
      </w:r>
      <w:r w:rsidR="009A27F9">
        <w:rPr>
          <w:szCs w:val="24"/>
          <w:lang w:val="es-ES_tradnl"/>
        </w:rPr>
        <w:t>ver cuadros N.15 y N.16</w:t>
      </w:r>
      <w:r w:rsidR="00E43AC2">
        <w:rPr>
          <w:szCs w:val="24"/>
          <w:lang w:val="es-ES_tradnl"/>
        </w:rPr>
        <w:t>)</w:t>
      </w:r>
      <w:r w:rsidR="009A27F9">
        <w:rPr>
          <w:szCs w:val="24"/>
          <w:lang w:val="es-ES_tradnl"/>
        </w:rPr>
        <w:t>.</w:t>
      </w:r>
    </w:p>
    <w:p w:rsidR="00AF5941" w:rsidRDefault="00AF5941" w:rsidP="00AF5941">
      <w:pPr>
        <w:widowControl w:val="0"/>
        <w:adjustRightInd w:val="0"/>
        <w:jc w:val="both"/>
        <w:textAlignment w:val="baseline"/>
        <w:rPr>
          <w:b/>
          <w:szCs w:val="24"/>
          <w:lang w:val="es-ES_tradnl"/>
        </w:rPr>
      </w:pPr>
    </w:p>
    <w:p w:rsidR="00AF5941" w:rsidRDefault="00AF5941" w:rsidP="00AF5941">
      <w:pPr>
        <w:widowControl w:val="0"/>
        <w:adjustRightInd w:val="0"/>
        <w:jc w:val="both"/>
        <w:textAlignment w:val="baseline"/>
        <w:rPr>
          <w:szCs w:val="24"/>
          <w:lang w:val="es-ES_tradnl"/>
        </w:rPr>
      </w:pPr>
      <w:r w:rsidRPr="00AF5941">
        <w:rPr>
          <w:szCs w:val="24"/>
          <w:lang w:val="es-ES_tradnl"/>
        </w:rPr>
        <w:t xml:space="preserve">Para </w:t>
      </w:r>
      <w:r w:rsidR="00744FF9">
        <w:rPr>
          <w:szCs w:val="24"/>
          <w:lang w:val="es-ES_tradnl"/>
        </w:rPr>
        <w:t>el año 2016</w:t>
      </w:r>
      <w:r w:rsidRPr="00AF5941">
        <w:rPr>
          <w:szCs w:val="24"/>
          <w:lang w:val="es-ES_tradnl"/>
        </w:rPr>
        <w:t xml:space="preserve"> (obra) no se</w:t>
      </w:r>
      <w:r w:rsidR="009A27F9">
        <w:rPr>
          <w:szCs w:val="24"/>
          <w:lang w:val="es-ES_tradnl"/>
        </w:rPr>
        <w:t xml:space="preserve"> consideran ahorros de tiempo</w:t>
      </w:r>
      <w:r w:rsidRPr="00AF5941">
        <w:rPr>
          <w:szCs w:val="24"/>
          <w:lang w:val="es-ES_tradnl"/>
        </w:rPr>
        <w:t>, ello porque las obras en los muelles interferirían con los servicios y el cálculo de esta afectación es prácticamente imposible de realizar, según criterio conservador. Igual aplica para la situación con proyecto</w:t>
      </w:r>
      <w:r w:rsidR="009A27F9">
        <w:rPr>
          <w:szCs w:val="24"/>
          <w:lang w:val="es-ES_tradnl"/>
        </w:rPr>
        <w:t>.</w:t>
      </w:r>
    </w:p>
    <w:p w:rsidR="00744FF9" w:rsidRDefault="00744FF9" w:rsidP="00AF5941">
      <w:pPr>
        <w:widowControl w:val="0"/>
        <w:adjustRightInd w:val="0"/>
        <w:jc w:val="both"/>
        <w:textAlignment w:val="baseline"/>
        <w:rPr>
          <w:szCs w:val="24"/>
          <w:lang w:val="es-ES_tradnl"/>
        </w:rPr>
      </w:pPr>
    </w:p>
    <w:p w:rsidR="00AF5941" w:rsidRDefault="005C4D8E" w:rsidP="00AF5941">
      <w:pPr>
        <w:widowControl w:val="0"/>
        <w:adjustRightInd w:val="0"/>
        <w:jc w:val="both"/>
        <w:textAlignment w:val="baseline"/>
        <w:rPr>
          <w:b/>
          <w:szCs w:val="24"/>
          <w:lang w:val="es-ES_tradnl"/>
        </w:rPr>
      </w:pPr>
      <w:r w:rsidRPr="005C4D8E">
        <w:rPr>
          <w:noProof/>
          <w:lang w:val="es-ES" w:eastAsia="es-ES"/>
        </w:rPr>
        <w:drawing>
          <wp:inline distT="0" distB="0" distL="0" distR="0" wp14:anchorId="2EB0ABF5" wp14:editId="4AC19BC3">
            <wp:extent cx="5613400" cy="2320478"/>
            <wp:effectExtent l="19050" t="0" r="6350" b="0"/>
            <wp:docPr id="65"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srcRect/>
                    <a:stretch>
                      <a:fillRect/>
                    </a:stretch>
                  </pic:blipFill>
                  <pic:spPr bwMode="auto">
                    <a:xfrm>
                      <a:off x="0" y="0"/>
                      <a:ext cx="5613400" cy="2320478"/>
                    </a:xfrm>
                    <a:prstGeom prst="rect">
                      <a:avLst/>
                    </a:prstGeom>
                    <a:noFill/>
                    <a:ln w="9525">
                      <a:noFill/>
                      <a:miter lim="800000"/>
                      <a:headEnd/>
                      <a:tailEnd/>
                    </a:ln>
                  </pic:spPr>
                </pic:pic>
              </a:graphicData>
            </a:graphic>
          </wp:inline>
        </w:drawing>
      </w:r>
    </w:p>
    <w:p w:rsidR="00F352FB" w:rsidRDefault="00F4459D" w:rsidP="00F352FB">
      <w:pPr>
        <w:widowControl w:val="0"/>
        <w:adjustRightInd w:val="0"/>
        <w:jc w:val="both"/>
        <w:textAlignment w:val="baseline"/>
        <w:rPr>
          <w:sz w:val="18"/>
          <w:szCs w:val="18"/>
          <w:lang w:val="es-CR"/>
        </w:rPr>
      </w:pPr>
      <w:r>
        <w:rPr>
          <w:sz w:val="18"/>
          <w:szCs w:val="18"/>
          <w:lang w:val="es-CR"/>
        </w:rPr>
        <w:t>F</w:t>
      </w:r>
      <w:r w:rsidR="00F352FB" w:rsidRPr="00C11583">
        <w:rPr>
          <w:sz w:val="18"/>
          <w:szCs w:val="18"/>
          <w:lang w:val="es-CR"/>
        </w:rPr>
        <w:t>uente: Elaboración BID</w:t>
      </w:r>
    </w:p>
    <w:p w:rsidR="00F352FB" w:rsidRDefault="00F352FB" w:rsidP="00F352FB">
      <w:pPr>
        <w:widowControl w:val="0"/>
        <w:adjustRightInd w:val="0"/>
        <w:jc w:val="both"/>
        <w:textAlignment w:val="baseline"/>
        <w:rPr>
          <w:b/>
          <w:szCs w:val="24"/>
          <w:lang w:val="es-ES_tradnl"/>
        </w:rPr>
      </w:pPr>
    </w:p>
    <w:p w:rsidR="00FE2BD2" w:rsidRDefault="00FE2BD2" w:rsidP="0043256F">
      <w:pPr>
        <w:widowControl w:val="0"/>
        <w:adjustRightInd w:val="0"/>
        <w:jc w:val="both"/>
        <w:textAlignment w:val="baseline"/>
        <w:rPr>
          <w:b/>
          <w:szCs w:val="24"/>
          <w:lang w:val="es-ES_tradnl"/>
        </w:rPr>
      </w:pPr>
    </w:p>
    <w:p w:rsidR="00F352FB" w:rsidRDefault="00F352FB" w:rsidP="00F352FB">
      <w:pPr>
        <w:widowControl w:val="0"/>
        <w:adjustRightInd w:val="0"/>
        <w:jc w:val="both"/>
        <w:textAlignment w:val="baseline"/>
        <w:rPr>
          <w:b/>
          <w:szCs w:val="24"/>
          <w:lang w:val="es-ES_tradnl"/>
        </w:rPr>
      </w:pPr>
    </w:p>
    <w:p w:rsidR="00F4459D" w:rsidRDefault="00F4459D" w:rsidP="00F352FB">
      <w:pPr>
        <w:widowControl w:val="0"/>
        <w:adjustRightInd w:val="0"/>
        <w:jc w:val="both"/>
        <w:textAlignment w:val="baseline"/>
        <w:rPr>
          <w:b/>
          <w:szCs w:val="24"/>
          <w:lang w:val="es-ES_tradnl"/>
        </w:rPr>
      </w:pPr>
    </w:p>
    <w:p w:rsidR="00744FF9" w:rsidRDefault="00744FF9" w:rsidP="00F352FB">
      <w:pPr>
        <w:widowControl w:val="0"/>
        <w:adjustRightInd w:val="0"/>
        <w:jc w:val="both"/>
        <w:textAlignment w:val="baseline"/>
        <w:rPr>
          <w:b/>
          <w:szCs w:val="24"/>
          <w:lang w:val="es-ES_tradnl"/>
        </w:rPr>
      </w:pPr>
    </w:p>
    <w:p w:rsidR="00744FF9" w:rsidRPr="00AC188E" w:rsidRDefault="005C4D8E" w:rsidP="004D5984">
      <w:pPr>
        <w:pStyle w:val="ListParagraph"/>
        <w:ind w:left="0"/>
        <w:jc w:val="center"/>
        <w:rPr>
          <w:sz w:val="20"/>
        </w:rPr>
      </w:pPr>
      <w:r w:rsidRPr="005C4D8E">
        <w:rPr>
          <w:noProof/>
          <w:lang w:val="es-ES" w:eastAsia="es-ES"/>
        </w:rPr>
        <w:drawing>
          <wp:inline distT="0" distB="0" distL="0" distR="0" wp14:anchorId="3ACBA154" wp14:editId="30F8DC92">
            <wp:extent cx="5613400" cy="2323559"/>
            <wp:effectExtent l="19050" t="0" r="6350" b="0"/>
            <wp:docPr id="6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cstate="print"/>
                    <a:srcRect/>
                    <a:stretch>
                      <a:fillRect/>
                    </a:stretch>
                  </pic:blipFill>
                  <pic:spPr bwMode="auto">
                    <a:xfrm>
                      <a:off x="0" y="0"/>
                      <a:ext cx="5613400" cy="2323559"/>
                    </a:xfrm>
                    <a:prstGeom prst="rect">
                      <a:avLst/>
                    </a:prstGeom>
                    <a:noFill/>
                    <a:ln w="9525">
                      <a:noFill/>
                      <a:miter lim="800000"/>
                      <a:headEnd/>
                      <a:tailEnd/>
                    </a:ln>
                  </pic:spPr>
                </pic:pic>
              </a:graphicData>
            </a:graphic>
          </wp:inline>
        </w:drawing>
      </w:r>
    </w:p>
    <w:p w:rsidR="00F4459D" w:rsidRPr="00744FF9" w:rsidRDefault="00F4459D" w:rsidP="00F352FB">
      <w:pPr>
        <w:widowControl w:val="0"/>
        <w:adjustRightInd w:val="0"/>
        <w:jc w:val="both"/>
        <w:textAlignment w:val="baseline"/>
        <w:rPr>
          <w:b/>
          <w:szCs w:val="24"/>
        </w:rPr>
      </w:pPr>
    </w:p>
    <w:p w:rsidR="00F4459D" w:rsidRDefault="00F4459D" w:rsidP="00F4459D">
      <w:pPr>
        <w:widowControl w:val="0"/>
        <w:adjustRightInd w:val="0"/>
        <w:jc w:val="both"/>
        <w:textAlignment w:val="baseline"/>
        <w:rPr>
          <w:sz w:val="18"/>
          <w:szCs w:val="18"/>
          <w:lang w:val="es-CR"/>
        </w:rPr>
      </w:pPr>
      <w:r w:rsidRPr="00C11583">
        <w:rPr>
          <w:sz w:val="18"/>
          <w:szCs w:val="18"/>
          <w:lang w:val="es-CR"/>
        </w:rPr>
        <w:t>Fuente: Elaboración BID</w:t>
      </w:r>
    </w:p>
    <w:p w:rsidR="00F4459D" w:rsidRDefault="00F4459D" w:rsidP="00F352FB">
      <w:pPr>
        <w:widowControl w:val="0"/>
        <w:adjustRightInd w:val="0"/>
        <w:jc w:val="both"/>
        <w:textAlignment w:val="baseline"/>
        <w:rPr>
          <w:b/>
          <w:szCs w:val="24"/>
          <w:lang w:val="es-ES_tradnl"/>
        </w:rPr>
      </w:pPr>
    </w:p>
    <w:p w:rsidR="00F4459D" w:rsidRDefault="00F4459D" w:rsidP="00F352FB">
      <w:pPr>
        <w:widowControl w:val="0"/>
        <w:adjustRightInd w:val="0"/>
        <w:jc w:val="both"/>
        <w:textAlignment w:val="baseline"/>
        <w:rPr>
          <w:b/>
          <w:szCs w:val="24"/>
          <w:lang w:val="es-ES_tradnl"/>
        </w:rPr>
      </w:pPr>
    </w:p>
    <w:p w:rsidR="00F4459D" w:rsidRDefault="00F4459D" w:rsidP="00F352FB">
      <w:pPr>
        <w:widowControl w:val="0"/>
        <w:adjustRightInd w:val="0"/>
        <w:jc w:val="both"/>
        <w:textAlignment w:val="baseline"/>
        <w:rPr>
          <w:b/>
          <w:szCs w:val="24"/>
          <w:lang w:val="es-ES_tradnl"/>
        </w:rPr>
      </w:pPr>
    </w:p>
    <w:p w:rsidR="00B24E79" w:rsidRPr="00AB3FE4" w:rsidRDefault="00B24E79" w:rsidP="00FF1D0E">
      <w:pPr>
        <w:widowControl w:val="0"/>
        <w:numPr>
          <w:ilvl w:val="1"/>
          <w:numId w:val="2"/>
        </w:numPr>
        <w:tabs>
          <w:tab w:val="clear" w:pos="360"/>
          <w:tab w:val="num" w:pos="709"/>
        </w:tabs>
        <w:adjustRightInd w:val="0"/>
        <w:ind w:left="709" w:hanging="709"/>
        <w:jc w:val="both"/>
        <w:textAlignment w:val="baseline"/>
        <w:rPr>
          <w:szCs w:val="24"/>
          <w:lang w:val="es-ES_tradnl"/>
        </w:rPr>
      </w:pPr>
      <w:r>
        <w:rPr>
          <w:b/>
          <w:szCs w:val="24"/>
          <w:lang w:val="es-ES_tradnl"/>
        </w:rPr>
        <w:t>Costos de</w:t>
      </w:r>
      <w:r w:rsidR="00F4459D">
        <w:rPr>
          <w:b/>
          <w:szCs w:val="24"/>
          <w:lang w:val="es-ES_tradnl"/>
        </w:rPr>
        <w:t>l tiempo con proyecto 201</w:t>
      </w:r>
      <w:r w:rsidR="005C4D8E">
        <w:rPr>
          <w:b/>
          <w:szCs w:val="24"/>
          <w:lang w:val="es-ES_tradnl"/>
        </w:rPr>
        <w:t>6</w:t>
      </w:r>
      <w:r w:rsidR="00F4459D">
        <w:rPr>
          <w:b/>
          <w:szCs w:val="24"/>
          <w:lang w:val="es-ES_tradnl"/>
        </w:rPr>
        <w:t>-</w:t>
      </w:r>
      <w:r w:rsidR="005C4D8E">
        <w:rPr>
          <w:b/>
          <w:szCs w:val="24"/>
          <w:lang w:val="es-ES_tradnl"/>
        </w:rPr>
        <w:t>2036</w:t>
      </w:r>
      <w:r w:rsidR="00B531FE">
        <w:rPr>
          <w:b/>
          <w:szCs w:val="24"/>
          <w:lang w:val="es-ES_tradnl"/>
        </w:rPr>
        <w:t>:</w:t>
      </w:r>
      <w:r>
        <w:rPr>
          <w:b/>
          <w:szCs w:val="24"/>
          <w:lang w:val="es-ES_tradnl"/>
        </w:rPr>
        <w:t xml:space="preserve"> </w:t>
      </w:r>
    </w:p>
    <w:p w:rsidR="00AB3FE4" w:rsidRPr="009A27F9" w:rsidRDefault="00AB3FE4" w:rsidP="00AB3FE4">
      <w:pPr>
        <w:widowControl w:val="0"/>
        <w:adjustRightInd w:val="0"/>
        <w:jc w:val="both"/>
        <w:textAlignment w:val="baseline"/>
        <w:rPr>
          <w:szCs w:val="24"/>
          <w:lang w:val="es-ES_tradnl"/>
        </w:rPr>
      </w:pPr>
      <w:r>
        <w:rPr>
          <w:szCs w:val="24"/>
          <w:lang w:val="es-ES_tradnl"/>
        </w:rPr>
        <w:t>Para los cálculos de la situación con</w:t>
      </w:r>
      <w:r w:rsidRPr="009A27F9">
        <w:rPr>
          <w:szCs w:val="24"/>
          <w:lang w:val="es-ES_tradnl"/>
        </w:rPr>
        <w:t xml:space="preserve"> proyecto se utilizó el modelo HDM</w:t>
      </w:r>
      <w:r>
        <w:rPr>
          <w:szCs w:val="24"/>
          <w:lang w:val="es-ES_tradnl"/>
        </w:rPr>
        <w:t>-4, se considera el trecho carretero</w:t>
      </w:r>
      <w:r w:rsidRPr="009A27F9">
        <w:rPr>
          <w:szCs w:val="24"/>
          <w:lang w:val="es-ES_tradnl"/>
        </w:rPr>
        <w:t xml:space="preserve"> desde E</w:t>
      </w:r>
      <w:r>
        <w:rPr>
          <w:szCs w:val="24"/>
          <w:lang w:val="es-ES_tradnl"/>
        </w:rPr>
        <w:t xml:space="preserve">l Roble Barranca hasta Puntarenas,  con una tasa de crecimiento vehicular de 1.47% anual. </w:t>
      </w:r>
      <w:r w:rsidR="00E43AC2">
        <w:rPr>
          <w:szCs w:val="24"/>
          <w:lang w:val="es-ES_tradnl"/>
        </w:rPr>
        <w:t>(</w:t>
      </w:r>
      <w:r>
        <w:rPr>
          <w:szCs w:val="24"/>
          <w:lang w:val="es-ES_tradnl"/>
        </w:rPr>
        <w:t>Ver cuadro N.17</w:t>
      </w:r>
      <w:r w:rsidR="00E43AC2">
        <w:rPr>
          <w:szCs w:val="24"/>
          <w:lang w:val="es-ES_tradnl"/>
        </w:rPr>
        <w:t>)</w:t>
      </w:r>
    </w:p>
    <w:p w:rsidR="00F4459D" w:rsidRDefault="00F4459D" w:rsidP="00B531FE">
      <w:pPr>
        <w:widowControl w:val="0"/>
        <w:adjustRightInd w:val="0"/>
        <w:jc w:val="both"/>
        <w:textAlignment w:val="baseline"/>
        <w:rPr>
          <w:sz w:val="18"/>
          <w:szCs w:val="18"/>
          <w:lang w:val="es-CR"/>
        </w:rPr>
      </w:pPr>
    </w:p>
    <w:p w:rsidR="00F4459D" w:rsidRDefault="005C4D8E" w:rsidP="00B531FE">
      <w:pPr>
        <w:widowControl w:val="0"/>
        <w:adjustRightInd w:val="0"/>
        <w:jc w:val="both"/>
        <w:textAlignment w:val="baseline"/>
        <w:rPr>
          <w:sz w:val="18"/>
          <w:szCs w:val="18"/>
          <w:lang w:val="es-CR"/>
        </w:rPr>
      </w:pPr>
      <w:r w:rsidRPr="005C4D8E">
        <w:rPr>
          <w:noProof/>
          <w:lang w:val="es-ES" w:eastAsia="es-ES"/>
        </w:rPr>
        <w:drawing>
          <wp:inline distT="0" distB="0" distL="0" distR="0" wp14:anchorId="6A2424C8" wp14:editId="07A40B83">
            <wp:extent cx="5613400" cy="2320478"/>
            <wp:effectExtent l="19050" t="0" r="6350" b="0"/>
            <wp:docPr id="68"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srcRect/>
                    <a:stretch>
                      <a:fillRect/>
                    </a:stretch>
                  </pic:blipFill>
                  <pic:spPr bwMode="auto">
                    <a:xfrm>
                      <a:off x="0" y="0"/>
                      <a:ext cx="5613400" cy="2320478"/>
                    </a:xfrm>
                    <a:prstGeom prst="rect">
                      <a:avLst/>
                    </a:prstGeom>
                    <a:noFill/>
                    <a:ln w="9525">
                      <a:noFill/>
                      <a:miter lim="800000"/>
                      <a:headEnd/>
                      <a:tailEnd/>
                    </a:ln>
                  </pic:spPr>
                </pic:pic>
              </a:graphicData>
            </a:graphic>
          </wp:inline>
        </w:drawing>
      </w:r>
    </w:p>
    <w:p w:rsidR="00B531FE" w:rsidRDefault="00B531FE" w:rsidP="00B531FE">
      <w:pPr>
        <w:widowControl w:val="0"/>
        <w:adjustRightInd w:val="0"/>
        <w:jc w:val="both"/>
        <w:textAlignment w:val="baseline"/>
        <w:rPr>
          <w:sz w:val="18"/>
          <w:szCs w:val="18"/>
          <w:lang w:val="es-CR"/>
        </w:rPr>
      </w:pPr>
      <w:r w:rsidRPr="00C11583">
        <w:rPr>
          <w:sz w:val="18"/>
          <w:szCs w:val="18"/>
          <w:lang w:val="es-CR"/>
        </w:rPr>
        <w:t>Fuente: Elaboración BID</w:t>
      </w:r>
    </w:p>
    <w:p w:rsidR="00B531FE" w:rsidRDefault="00B531FE" w:rsidP="00B531FE">
      <w:pPr>
        <w:widowControl w:val="0"/>
        <w:adjustRightInd w:val="0"/>
        <w:jc w:val="both"/>
        <w:textAlignment w:val="baseline"/>
        <w:rPr>
          <w:b/>
          <w:szCs w:val="24"/>
          <w:lang w:val="es-ES_tradnl"/>
        </w:rPr>
      </w:pPr>
    </w:p>
    <w:p w:rsidR="00AB3FE4" w:rsidRPr="009A27F9" w:rsidRDefault="00AB3FE4" w:rsidP="00AB3FE4">
      <w:pPr>
        <w:widowControl w:val="0"/>
        <w:adjustRightInd w:val="0"/>
        <w:jc w:val="both"/>
        <w:textAlignment w:val="baseline"/>
        <w:rPr>
          <w:szCs w:val="24"/>
          <w:lang w:val="es-ES_tradnl"/>
        </w:rPr>
      </w:pPr>
      <w:r>
        <w:rPr>
          <w:szCs w:val="24"/>
          <w:lang w:val="es-ES_tradnl"/>
        </w:rPr>
        <w:t xml:space="preserve">En el caso del trecho acuático Puntarenas a Playa Naranjo se utilizó una tasa de crecimiento vehicular anual de 0.68%.  Por su parte el trecho acuático de Puntarenas a Paquera se consideró un 1.64% de crecimiento vehicular anual. </w:t>
      </w:r>
      <w:r w:rsidR="00004C66">
        <w:rPr>
          <w:szCs w:val="24"/>
          <w:lang w:val="es-ES_tradnl"/>
        </w:rPr>
        <w:t>(</w:t>
      </w:r>
      <w:r>
        <w:rPr>
          <w:szCs w:val="24"/>
          <w:lang w:val="es-ES_tradnl"/>
        </w:rPr>
        <w:t>Ver cuadros N.18 y N.19</w:t>
      </w:r>
      <w:r w:rsidR="00004C66">
        <w:rPr>
          <w:szCs w:val="24"/>
          <w:lang w:val="es-ES_tradnl"/>
        </w:rPr>
        <w:t>)</w:t>
      </w:r>
    </w:p>
    <w:p w:rsidR="00AB3FE4" w:rsidRDefault="00AB3FE4" w:rsidP="00B531FE">
      <w:pPr>
        <w:widowControl w:val="0"/>
        <w:adjustRightInd w:val="0"/>
        <w:jc w:val="both"/>
        <w:textAlignment w:val="baseline"/>
        <w:rPr>
          <w:b/>
          <w:szCs w:val="24"/>
          <w:lang w:val="es-ES_tradnl"/>
        </w:rPr>
      </w:pPr>
    </w:p>
    <w:p w:rsidR="00AB3FE4" w:rsidRDefault="005C4D8E" w:rsidP="00B531FE">
      <w:pPr>
        <w:widowControl w:val="0"/>
        <w:adjustRightInd w:val="0"/>
        <w:jc w:val="both"/>
        <w:textAlignment w:val="baseline"/>
        <w:rPr>
          <w:b/>
          <w:szCs w:val="24"/>
          <w:lang w:val="es-ES_tradnl"/>
        </w:rPr>
      </w:pPr>
      <w:r w:rsidRPr="00FE4043">
        <w:rPr>
          <w:noProof/>
          <w:szCs w:val="24"/>
          <w:lang w:val="es-ES" w:eastAsia="es-ES"/>
        </w:rPr>
        <w:drawing>
          <wp:inline distT="0" distB="0" distL="0" distR="0" wp14:anchorId="0D07324C" wp14:editId="6821456E">
            <wp:extent cx="5613400" cy="2299472"/>
            <wp:effectExtent l="19050" t="0" r="6350" b="0"/>
            <wp:docPr id="70"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srcRect/>
                    <a:stretch>
                      <a:fillRect/>
                    </a:stretch>
                  </pic:blipFill>
                  <pic:spPr bwMode="auto">
                    <a:xfrm>
                      <a:off x="0" y="0"/>
                      <a:ext cx="5613400" cy="2299472"/>
                    </a:xfrm>
                    <a:prstGeom prst="rect">
                      <a:avLst/>
                    </a:prstGeom>
                    <a:noFill/>
                    <a:ln w="9525">
                      <a:noFill/>
                      <a:miter lim="800000"/>
                      <a:headEnd/>
                      <a:tailEnd/>
                    </a:ln>
                  </pic:spPr>
                </pic:pic>
              </a:graphicData>
            </a:graphic>
          </wp:inline>
        </w:drawing>
      </w:r>
    </w:p>
    <w:p w:rsidR="00314200" w:rsidRDefault="00314200" w:rsidP="00314200">
      <w:pPr>
        <w:widowControl w:val="0"/>
        <w:adjustRightInd w:val="0"/>
        <w:jc w:val="both"/>
        <w:textAlignment w:val="baseline"/>
        <w:rPr>
          <w:sz w:val="18"/>
          <w:szCs w:val="18"/>
          <w:lang w:val="es-CR"/>
        </w:rPr>
      </w:pPr>
      <w:r w:rsidRPr="00C11583">
        <w:rPr>
          <w:sz w:val="18"/>
          <w:szCs w:val="18"/>
          <w:lang w:val="es-CR"/>
        </w:rPr>
        <w:t>Fuente: Elaboración BID</w:t>
      </w:r>
    </w:p>
    <w:p w:rsidR="00314200" w:rsidRDefault="00314200" w:rsidP="00B531FE">
      <w:pPr>
        <w:widowControl w:val="0"/>
        <w:adjustRightInd w:val="0"/>
        <w:jc w:val="both"/>
        <w:textAlignment w:val="baseline"/>
        <w:rPr>
          <w:b/>
          <w:szCs w:val="24"/>
          <w:lang w:val="es-ES_tradnl"/>
        </w:rPr>
      </w:pPr>
    </w:p>
    <w:p w:rsidR="005C4D8E" w:rsidRDefault="005C4D8E" w:rsidP="00B531FE">
      <w:pPr>
        <w:widowControl w:val="0"/>
        <w:adjustRightInd w:val="0"/>
        <w:jc w:val="both"/>
        <w:textAlignment w:val="baseline"/>
        <w:rPr>
          <w:b/>
          <w:szCs w:val="24"/>
          <w:lang w:val="es-ES_tradnl"/>
        </w:rPr>
      </w:pPr>
      <w:r w:rsidRPr="00FE4043">
        <w:rPr>
          <w:noProof/>
          <w:szCs w:val="24"/>
          <w:lang w:val="es-ES" w:eastAsia="es-ES"/>
        </w:rPr>
        <w:drawing>
          <wp:inline distT="0" distB="0" distL="0" distR="0" wp14:anchorId="151150B7" wp14:editId="54524097">
            <wp:extent cx="5613400" cy="2314596"/>
            <wp:effectExtent l="19050" t="0" r="6350" b="0"/>
            <wp:docPr id="71"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srcRect/>
                    <a:stretch>
                      <a:fillRect/>
                    </a:stretch>
                  </pic:blipFill>
                  <pic:spPr bwMode="auto">
                    <a:xfrm>
                      <a:off x="0" y="0"/>
                      <a:ext cx="5613400" cy="2314596"/>
                    </a:xfrm>
                    <a:prstGeom prst="rect">
                      <a:avLst/>
                    </a:prstGeom>
                    <a:noFill/>
                    <a:ln w="9525">
                      <a:noFill/>
                      <a:miter lim="800000"/>
                      <a:headEnd/>
                      <a:tailEnd/>
                    </a:ln>
                  </pic:spPr>
                </pic:pic>
              </a:graphicData>
            </a:graphic>
          </wp:inline>
        </w:drawing>
      </w:r>
    </w:p>
    <w:p w:rsidR="00462357" w:rsidRDefault="00462357" w:rsidP="00462357">
      <w:pPr>
        <w:widowControl w:val="0"/>
        <w:adjustRightInd w:val="0"/>
        <w:jc w:val="both"/>
        <w:textAlignment w:val="baseline"/>
        <w:rPr>
          <w:sz w:val="18"/>
          <w:szCs w:val="18"/>
          <w:lang w:val="es-CR"/>
        </w:rPr>
      </w:pPr>
      <w:r w:rsidRPr="00C11583">
        <w:rPr>
          <w:sz w:val="18"/>
          <w:szCs w:val="18"/>
          <w:lang w:val="es-CR"/>
        </w:rPr>
        <w:t>Fuente: Elaboración BID</w:t>
      </w:r>
    </w:p>
    <w:p w:rsidR="00B531FE" w:rsidRDefault="00B531FE" w:rsidP="00B531FE">
      <w:pPr>
        <w:widowControl w:val="0"/>
        <w:adjustRightInd w:val="0"/>
        <w:jc w:val="both"/>
        <w:textAlignment w:val="baseline"/>
        <w:rPr>
          <w:b/>
          <w:szCs w:val="24"/>
          <w:lang w:val="es-ES_tradnl"/>
        </w:rPr>
      </w:pPr>
    </w:p>
    <w:p w:rsidR="00314200" w:rsidRDefault="00314200" w:rsidP="00B531FE">
      <w:pPr>
        <w:widowControl w:val="0"/>
        <w:adjustRightInd w:val="0"/>
        <w:jc w:val="both"/>
        <w:textAlignment w:val="baseline"/>
        <w:rPr>
          <w:b/>
          <w:szCs w:val="24"/>
          <w:lang w:val="es-ES_tradnl"/>
        </w:rPr>
      </w:pPr>
    </w:p>
    <w:p w:rsidR="00C32798" w:rsidRPr="00004C66" w:rsidRDefault="00C32798" w:rsidP="00FF1D0E">
      <w:pPr>
        <w:widowControl w:val="0"/>
        <w:numPr>
          <w:ilvl w:val="1"/>
          <w:numId w:val="2"/>
        </w:numPr>
        <w:tabs>
          <w:tab w:val="clear" w:pos="360"/>
          <w:tab w:val="num" w:pos="709"/>
        </w:tabs>
        <w:adjustRightInd w:val="0"/>
        <w:ind w:left="709" w:hanging="709"/>
        <w:jc w:val="both"/>
        <w:textAlignment w:val="baseline"/>
        <w:rPr>
          <w:b/>
          <w:szCs w:val="24"/>
          <w:lang w:val="es-ES_tradnl"/>
        </w:rPr>
      </w:pPr>
      <w:r w:rsidRPr="00004C66">
        <w:rPr>
          <w:b/>
          <w:szCs w:val="24"/>
          <w:lang w:val="es-ES_tradnl"/>
        </w:rPr>
        <w:t>Flujo c</w:t>
      </w:r>
      <w:r w:rsidR="00B531FE" w:rsidRPr="00004C66">
        <w:rPr>
          <w:b/>
          <w:szCs w:val="24"/>
          <w:lang w:val="es-ES_tradnl"/>
        </w:rPr>
        <w:t>os</w:t>
      </w:r>
      <w:r w:rsidRPr="00004C66">
        <w:rPr>
          <w:b/>
          <w:szCs w:val="24"/>
          <w:lang w:val="es-ES_tradnl"/>
        </w:rPr>
        <w:t>tos e indicadores de rentabilidad</w:t>
      </w:r>
      <w:r w:rsidR="00B531FE" w:rsidRPr="00004C66">
        <w:rPr>
          <w:b/>
          <w:szCs w:val="24"/>
          <w:lang w:val="es-ES_tradnl"/>
        </w:rPr>
        <w:t xml:space="preserve">: </w:t>
      </w:r>
    </w:p>
    <w:p w:rsidR="0055294C" w:rsidRDefault="007D5A14" w:rsidP="007D5A14">
      <w:pPr>
        <w:widowControl w:val="0"/>
        <w:adjustRightInd w:val="0"/>
        <w:jc w:val="both"/>
        <w:textAlignment w:val="baseline"/>
        <w:rPr>
          <w:szCs w:val="24"/>
          <w:lang w:val="es-ES_tradnl"/>
        </w:rPr>
      </w:pPr>
      <w:r>
        <w:rPr>
          <w:szCs w:val="24"/>
          <w:lang w:val="es-ES_tradnl"/>
        </w:rPr>
        <w:t xml:space="preserve">El cuadro N.20 A, presenta los flujos de costos económicos sin proyecto, se ha tomado en consideración los costos de operación y tiempo que representan los costos del usuario. </w:t>
      </w:r>
      <w:r w:rsidR="0055294C">
        <w:rPr>
          <w:szCs w:val="24"/>
          <w:lang w:val="es-ES_tradnl"/>
        </w:rPr>
        <w:t xml:space="preserve">     </w:t>
      </w:r>
    </w:p>
    <w:p w:rsidR="0055294C" w:rsidRDefault="0055294C" w:rsidP="007D5A14">
      <w:pPr>
        <w:widowControl w:val="0"/>
        <w:adjustRightInd w:val="0"/>
        <w:jc w:val="both"/>
        <w:textAlignment w:val="baseline"/>
        <w:rPr>
          <w:szCs w:val="24"/>
          <w:lang w:val="es-ES_tradnl"/>
        </w:rPr>
      </w:pPr>
    </w:p>
    <w:p w:rsidR="0055294C" w:rsidRDefault="007D5A14" w:rsidP="007D5A14">
      <w:pPr>
        <w:widowControl w:val="0"/>
        <w:adjustRightInd w:val="0"/>
        <w:jc w:val="both"/>
        <w:textAlignment w:val="baseline"/>
        <w:rPr>
          <w:szCs w:val="24"/>
          <w:lang w:val="es-ES_tradnl"/>
        </w:rPr>
      </w:pPr>
      <w:r>
        <w:rPr>
          <w:szCs w:val="24"/>
          <w:lang w:val="es-ES_tradnl"/>
        </w:rPr>
        <w:t>El cuadro N.20 B muestra los flujos de costos económicos para la situación con proyecto, se ha tomado en cuenta la inversión y gastos recurrentes que totalizan los costos del Estado, además los costos usuario formados por los costos de operación y del tiempo. Finalmente en la última columna se totaliza los co</w:t>
      </w:r>
      <w:r w:rsidR="0055294C">
        <w:rPr>
          <w:szCs w:val="24"/>
          <w:lang w:val="es-ES_tradnl"/>
        </w:rPr>
        <w:t>s</w:t>
      </w:r>
      <w:r>
        <w:rPr>
          <w:szCs w:val="24"/>
          <w:lang w:val="es-ES_tradnl"/>
        </w:rPr>
        <w:t xml:space="preserve">tos del </w:t>
      </w:r>
      <w:r w:rsidR="0055294C">
        <w:rPr>
          <w:szCs w:val="24"/>
          <w:lang w:val="es-ES_tradnl"/>
        </w:rPr>
        <w:t>E</w:t>
      </w:r>
      <w:r>
        <w:rPr>
          <w:szCs w:val="24"/>
          <w:lang w:val="es-ES_tradnl"/>
        </w:rPr>
        <w:t>stado y del usuario.</w:t>
      </w:r>
    </w:p>
    <w:p w:rsidR="0055294C" w:rsidRDefault="0055294C" w:rsidP="007D5A14">
      <w:pPr>
        <w:widowControl w:val="0"/>
        <w:adjustRightInd w:val="0"/>
        <w:jc w:val="both"/>
        <w:textAlignment w:val="baseline"/>
        <w:rPr>
          <w:szCs w:val="24"/>
          <w:lang w:val="es-ES_tradnl"/>
        </w:rPr>
      </w:pPr>
    </w:p>
    <w:p w:rsidR="0055294C" w:rsidRDefault="00004C66" w:rsidP="007D5A14">
      <w:pPr>
        <w:widowControl w:val="0"/>
        <w:adjustRightInd w:val="0"/>
        <w:jc w:val="both"/>
        <w:textAlignment w:val="baseline"/>
        <w:rPr>
          <w:szCs w:val="24"/>
          <w:lang w:val="es-ES_tradnl"/>
        </w:rPr>
      </w:pPr>
      <w:r>
        <w:rPr>
          <w:szCs w:val="24"/>
          <w:lang w:val="es-ES_tradnl"/>
        </w:rPr>
        <w:t>E</w:t>
      </w:r>
      <w:r w:rsidR="0055294C">
        <w:rPr>
          <w:szCs w:val="24"/>
          <w:lang w:val="es-ES_tradnl"/>
        </w:rPr>
        <w:t>l cuadro N.20 C muestra los flujos</w:t>
      </w:r>
      <w:r>
        <w:rPr>
          <w:szCs w:val="24"/>
          <w:lang w:val="es-ES_tradnl"/>
        </w:rPr>
        <w:t xml:space="preserve"> de costos</w:t>
      </w:r>
      <w:r w:rsidR="0055294C">
        <w:rPr>
          <w:szCs w:val="24"/>
          <w:lang w:val="es-ES_tradnl"/>
        </w:rPr>
        <w:t xml:space="preserve"> netos del Estado y de los usuarios, de los cuales se obtienen los indicadores de rentabilidad siguientes</w:t>
      </w:r>
      <w:r w:rsidR="0055294C" w:rsidRPr="002E49B7">
        <w:rPr>
          <w:szCs w:val="24"/>
          <w:lang w:val="es-ES_tradnl"/>
        </w:rPr>
        <w:t xml:space="preserve">: </w:t>
      </w:r>
      <w:r w:rsidR="002E49B7" w:rsidRPr="00960DCB">
        <w:rPr>
          <w:szCs w:val="24"/>
          <w:lang w:val="es-ES_tradnl"/>
        </w:rPr>
        <w:t xml:space="preserve">VANE </w:t>
      </w:r>
      <w:r w:rsidR="00960DCB" w:rsidRPr="00960DCB">
        <w:rPr>
          <w:szCs w:val="24"/>
          <w:lang w:val="es-ES_tradnl"/>
        </w:rPr>
        <w:t>$</w:t>
      </w:r>
      <w:r w:rsidR="00314200">
        <w:rPr>
          <w:szCs w:val="24"/>
          <w:lang w:val="es-ES_tradnl"/>
        </w:rPr>
        <w:t>59</w:t>
      </w:r>
      <w:r w:rsidR="00960DCB" w:rsidRPr="00960DCB">
        <w:rPr>
          <w:szCs w:val="24"/>
          <w:lang w:val="es-ES_tradnl"/>
        </w:rPr>
        <w:t>.</w:t>
      </w:r>
      <w:r w:rsidR="00314200">
        <w:rPr>
          <w:szCs w:val="24"/>
          <w:lang w:val="es-ES_tradnl"/>
        </w:rPr>
        <w:t>387</w:t>
      </w:r>
      <w:r w:rsidR="00960DCB" w:rsidRPr="00960DCB">
        <w:rPr>
          <w:szCs w:val="24"/>
          <w:lang w:val="es-ES_tradnl"/>
        </w:rPr>
        <w:t>.</w:t>
      </w:r>
      <w:r w:rsidR="00314200">
        <w:rPr>
          <w:szCs w:val="24"/>
          <w:lang w:val="es-ES_tradnl"/>
        </w:rPr>
        <w:t>354</w:t>
      </w:r>
      <w:r w:rsidR="00314200" w:rsidRPr="002E49B7">
        <w:rPr>
          <w:szCs w:val="24"/>
          <w:lang w:val="es-ES_tradnl"/>
        </w:rPr>
        <w:t xml:space="preserve"> </w:t>
      </w:r>
      <w:r w:rsidR="00314200">
        <w:rPr>
          <w:szCs w:val="24"/>
          <w:lang w:val="es-ES_tradnl"/>
        </w:rPr>
        <w:t xml:space="preserve">         </w:t>
      </w:r>
      <w:r w:rsidR="0055294C" w:rsidRPr="002E49B7">
        <w:rPr>
          <w:szCs w:val="24"/>
          <w:lang w:val="es-ES_tradnl"/>
        </w:rPr>
        <w:t xml:space="preserve">TIRE </w:t>
      </w:r>
      <w:r w:rsidR="00314200">
        <w:rPr>
          <w:szCs w:val="24"/>
          <w:lang w:val="es-ES_tradnl"/>
        </w:rPr>
        <w:t>9</w:t>
      </w:r>
      <w:r w:rsidR="004F0C41">
        <w:rPr>
          <w:szCs w:val="24"/>
          <w:lang w:val="es-ES_tradnl"/>
        </w:rPr>
        <w:t>1</w:t>
      </w:r>
      <w:r w:rsidR="0055294C" w:rsidRPr="002E49B7">
        <w:rPr>
          <w:szCs w:val="24"/>
          <w:lang w:val="es-ES_tradnl"/>
        </w:rPr>
        <w:t>%, utilizando una tasa de descuento del 12%, lo anterior muestra una re</w:t>
      </w:r>
      <w:r w:rsidR="005A7F16" w:rsidRPr="002E49B7">
        <w:rPr>
          <w:szCs w:val="24"/>
          <w:lang w:val="es-ES_tradnl"/>
        </w:rPr>
        <w:t>ntabilid</w:t>
      </w:r>
      <w:r w:rsidR="005A7F16">
        <w:rPr>
          <w:szCs w:val="24"/>
          <w:lang w:val="es-ES_tradnl"/>
        </w:rPr>
        <w:t>ad del proyecto holgada con beneficios para la sociedad en términos de</w:t>
      </w:r>
      <w:r w:rsidR="00015C89">
        <w:rPr>
          <w:szCs w:val="24"/>
          <w:lang w:val="es-ES_tradnl"/>
        </w:rPr>
        <w:t xml:space="preserve"> ahorros en costos de operación</w:t>
      </w:r>
      <w:r w:rsidR="005A7F16">
        <w:rPr>
          <w:szCs w:val="24"/>
          <w:lang w:val="es-ES_tradnl"/>
        </w:rPr>
        <w:t>, costos del tiempo y costos de usuarios por pago de tarifas.</w:t>
      </w:r>
    </w:p>
    <w:p w:rsidR="004F0C41" w:rsidRDefault="004F0C41" w:rsidP="00C32798">
      <w:pPr>
        <w:widowControl w:val="0"/>
        <w:adjustRightInd w:val="0"/>
        <w:ind w:left="709"/>
        <w:jc w:val="center"/>
        <w:textAlignment w:val="baseline"/>
        <w:rPr>
          <w:szCs w:val="24"/>
          <w:lang w:val="es-ES_tradnl"/>
        </w:rPr>
      </w:pPr>
    </w:p>
    <w:p w:rsidR="00C32798" w:rsidRDefault="00C32798" w:rsidP="00C32798">
      <w:pPr>
        <w:widowControl w:val="0"/>
        <w:adjustRightInd w:val="0"/>
        <w:ind w:left="709"/>
        <w:jc w:val="center"/>
        <w:textAlignment w:val="baseline"/>
        <w:rPr>
          <w:szCs w:val="24"/>
          <w:lang w:val="es-ES_tradnl"/>
        </w:rPr>
      </w:pPr>
      <w:r>
        <w:rPr>
          <w:szCs w:val="24"/>
          <w:lang w:val="es-ES_tradnl"/>
        </w:rPr>
        <w:t>Cuadro N.20 A</w:t>
      </w:r>
    </w:p>
    <w:p w:rsidR="00C32798" w:rsidRDefault="00C32798" w:rsidP="00C32798">
      <w:pPr>
        <w:widowControl w:val="0"/>
        <w:adjustRightInd w:val="0"/>
        <w:jc w:val="both"/>
        <w:textAlignment w:val="baseline"/>
        <w:rPr>
          <w:szCs w:val="24"/>
          <w:lang w:val="es-ES_tradnl"/>
        </w:rPr>
      </w:pPr>
      <w:r w:rsidRPr="00C32798">
        <w:rPr>
          <w:noProof/>
          <w:szCs w:val="24"/>
          <w:lang w:val="es-ES" w:eastAsia="es-ES"/>
        </w:rPr>
        <w:drawing>
          <wp:inline distT="0" distB="0" distL="0" distR="0">
            <wp:extent cx="5613400" cy="160157"/>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613400" cy="160157"/>
                    </a:xfrm>
                    <a:prstGeom prst="rect">
                      <a:avLst/>
                    </a:prstGeom>
                    <a:noFill/>
                    <a:ln w="9525">
                      <a:noFill/>
                      <a:miter lim="800000"/>
                      <a:headEnd/>
                      <a:tailEnd/>
                    </a:ln>
                  </pic:spPr>
                </pic:pic>
              </a:graphicData>
            </a:graphic>
          </wp:inline>
        </w:drawing>
      </w:r>
    </w:p>
    <w:p w:rsidR="004F0C41" w:rsidRDefault="004F0C41" w:rsidP="00430119">
      <w:pPr>
        <w:widowControl w:val="0"/>
        <w:adjustRightInd w:val="0"/>
        <w:jc w:val="both"/>
        <w:textAlignment w:val="baseline"/>
        <w:rPr>
          <w:noProof/>
          <w:szCs w:val="18"/>
          <w:lang w:val="es-CR" w:eastAsia="es-CR"/>
        </w:rPr>
      </w:pPr>
    </w:p>
    <w:p w:rsidR="004F0C41" w:rsidRDefault="00314200" w:rsidP="004F0C41">
      <w:pPr>
        <w:widowControl w:val="0"/>
        <w:adjustRightInd w:val="0"/>
        <w:jc w:val="center"/>
        <w:textAlignment w:val="baseline"/>
        <w:rPr>
          <w:noProof/>
          <w:szCs w:val="18"/>
          <w:lang w:val="es-CR" w:eastAsia="es-CR"/>
        </w:rPr>
      </w:pPr>
      <w:r w:rsidRPr="00FE4043">
        <w:rPr>
          <w:noProof/>
          <w:szCs w:val="18"/>
          <w:lang w:val="es-ES" w:eastAsia="es-ES"/>
        </w:rPr>
        <w:drawing>
          <wp:inline distT="0" distB="0" distL="0" distR="0" wp14:anchorId="35BF9935" wp14:editId="12654A38">
            <wp:extent cx="5613400" cy="3772212"/>
            <wp:effectExtent l="19050" t="0" r="6350" b="0"/>
            <wp:docPr id="7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cstate="print"/>
                    <a:srcRect/>
                    <a:stretch>
                      <a:fillRect/>
                    </a:stretch>
                  </pic:blipFill>
                  <pic:spPr bwMode="auto">
                    <a:xfrm>
                      <a:off x="0" y="0"/>
                      <a:ext cx="5613400" cy="3772212"/>
                    </a:xfrm>
                    <a:prstGeom prst="rect">
                      <a:avLst/>
                    </a:prstGeom>
                    <a:noFill/>
                    <a:ln w="9525">
                      <a:noFill/>
                      <a:miter lim="800000"/>
                      <a:headEnd/>
                      <a:tailEnd/>
                    </a:ln>
                  </pic:spPr>
                </pic:pic>
              </a:graphicData>
            </a:graphic>
          </wp:inline>
        </w:drawing>
      </w:r>
    </w:p>
    <w:p w:rsidR="004F0C41" w:rsidRDefault="004F0C41" w:rsidP="00430119">
      <w:pPr>
        <w:widowControl w:val="0"/>
        <w:adjustRightInd w:val="0"/>
        <w:jc w:val="both"/>
        <w:textAlignment w:val="baseline"/>
        <w:rPr>
          <w:noProof/>
          <w:szCs w:val="18"/>
          <w:lang w:val="es-CR" w:eastAsia="es-CR"/>
        </w:rPr>
      </w:pPr>
    </w:p>
    <w:p w:rsidR="002B5E0A" w:rsidRDefault="00C27717" w:rsidP="00430119">
      <w:pPr>
        <w:widowControl w:val="0"/>
        <w:adjustRightInd w:val="0"/>
        <w:jc w:val="both"/>
        <w:textAlignment w:val="baseline"/>
        <w:rPr>
          <w:sz w:val="18"/>
          <w:szCs w:val="18"/>
          <w:lang w:val="es-CR"/>
        </w:rPr>
      </w:pPr>
      <w:r w:rsidRPr="00C27717">
        <w:rPr>
          <w:noProof/>
          <w:sz w:val="18"/>
          <w:szCs w:val="18"/>
          <w:lang w:val="es-ES" w:eastAsia="es-ES"/>
        </w:rPr>
        <w:drawing>
          <wp:inline distT="0" distB="0" distL="0" distR="0">
            <wp:extent cx="5216141" cy="476653"/>
            <wp:effectExtent l="19050" t="0" r="0" b="0"/>
            <wp:docPr id="4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5216465" cy="476683"/>
                    </a:xfrm>
                    <a:prstGeom prst="rect">
                      <a:avLst/>
                    </a:prstGeom>
                    <a:noFill/>
                    <a:ln w="9525">
                      <a:noFill/>
                      <a:miter lim="800000"/>
                      <a:headEnd/>
                      <a:tailEnd/>
                    </a:ln>
                  </pic:spPr>
                </pic:pic>
              </a:graphicData>
            </a:graphic>
          </wp:inline>
        </w:drawing>
      </w:r>
    </w:p>
    <w:p w:rsidR="00430119" w:rsidRDefault="00430119" w:rsidP="00430119">
      <w:pPr>
        <w:widowControl w:val="0"/>
        <w:adjustRightInd w:val="0"/>
        <w:jc w:val="both"/>
        <w:textAlignment w:val="baseline"/>
        <w:rPr>
          <w:sz w:val="18"/>
          <w:szCs w:val="18"/>
          <w:lang w:val="es-CR"/>
        </w:rPr>
      </w:pPr>
      <w:r w:rsidRPr="00C11583">
        <w:rPr>
          <w:sz w:val="18"/>
          <w:szCs w:val="18"/>
          <w:lang w:val="es-CR"/>
        </w:rPr>
        <w:t>Fuente: Elaboración BID</w:t>
      </w: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004C66" w:rsidRDefault="00004C66" w:rsidP="00C32798">
      <w:pPr>
        <w:widowControl w:val="0"/>
        <w:adjustRightInd w:val="0"/>
        <w:ind w:left="709"/>
        <w:jc w:val="center"/>
        <w:textAlignment w:val="baseline"/>
        <w:rPr>
          <w:szCs w:val="24"/>
          <w:lang w:val="es-ES_tradnl"/>
        </w:rPr>
      </w:pPr>
    </w:p>
    <w:p w:rsidR="00314200" w:rsidRDefault="00314200" w:rsidP="00C32798">
      <w:pPr>
        <w:widowControl w:val="0"/>
        <w:adjustRightInd w:val="0"/>
        <w:ind w:left="709"/>
        <w:jc w:val="center"/>
        <w:textAlignment w:val="baseline"/>
        <w:rPr>
          <w:szCs w:val="24"/>
          <w:lang w:val="es-ES_tradnl"/>
        </w:rPr>
      </w:pPr>
    </w:p>
    <w:p w:rsidR="00C32798" w:rsidRDefault="00C32798" w:rsidP="00C32798">
      <w:pPr>
        <w:widowControl w:val="0"/>
        <w:adjustRightInd w:val="0"/>
        <w:ind w:left="709"/>
        <w:jc w:val="center"/>
        <w:textAlignment w:val="baseline"/>
        <w:rPr>
          <w:szCs w:val="24"/>
          <w:lang w:val="es-ES_tradnl"/>
        </w:rPr>
      </w:pPr>
      <w:r>
        <w:rPr>
          <w:szCs w:val="24"/>
          <w:lang w:val="es-ES_tradnl"/>
        </w:rPr>
        <w:t>Cuadro N.20 B</w:t>
      </w:r>
    </w:p>
    <w:p w:rsidR="00C32798" w:rsidRDefault="00C32798" w:rsidP="00C32798">
      <w:pPr>
        <w:widowControl w:val="0"/>
        <w:adjustRightInd w:val="0"/>
        <w:ind w:left="709"/>
        <w:jc w:val="center"/>
        <w:textAlignment w:val="baseline"/>
        <w:rPr>
          <w:szCs w:val="24"/>
          <w:lang w:val="es-ES_tradnl"/>
        </w:rPr>
      </w:pPr>
      <w:r w:rsidRPr="00C32798">
        <w:rPr>
          <w:noProof/>
          <w:szCs w:val="24"/>
          <w:lang w:val="es-ES" w:eastAsia="es-ES"/>
        </w:rPr>
        <w:drawing>
          <wp:inline distT="0" distB="0" distL="0" distR="0">
            <wp:extent cx="5613400" cy="160157"/>
            <wp:effectExtent l="0" t="0" r="0" b="0"/>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613400" cy="160157"/>
                    </a:xfrm>
                    <a:prstGeom prst="rect">
                      <a:avLst/>
                    </a:prstGeom>
                    <a:noFill/>
                    <a:ln w="9525">
                      <a:noFill/>
                      <a:miter lim="800000"/>
                      <a:headEnd/>
                      <a:tailEnd/>
                    </a:ln>
                  </pic:spPr>
                </pic:pic>
              </a:graphicData>
            </a:graphic>
          </wp:inline>
        </w:drawing>
      </w:r>
    </w:p>
    <w:p w:rsidR="004F0C41" w:rsidRDefault="004F0C41">
      <w:pPr>
        <w:rPr>
          <w:noProof/>
          <w:szCs w:val="24"/>
          <w:lang w:val="es-CR" w:eastAsia="es-CR"/>
        </w:rPr>
      </w:pPr>
    </w:p>
    <w:p w:rsidR="004F0C41" w:rsidRDefault="00314200">
      <w:pPr>
        <w:rPr>
          <w:noProof/>
          <w:szCs w:val="24"/>
          <w:lang w:val="es-CR" w:eastAsia="es-CR"/>
        </w:rPr>
      </w:pPr>
      <w:r w:rsidRPr="00FE4043">
        <w:rPr>
          <w:noProof/>
          <w:szCs w:val="24"/>
          <w:lang w:val="es-ES" w:eastAsia="es-ES"/>
        </w:rPr>
        <w:drawing>
          <wp:inline distT="0" distB="0" distL="0" distR="0" wp14:anchorId="005189B5" wp14:editId="531C8319">
            <wp:extent cx="5613400" cy="3677854"/>
            <wp:effectExtent l="19050" t="0" r="6350" b="0"/>
            <wp:docPr id="73"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srcRect/>
                    <a:stretch>
                      <a:fillRect/>
                    </a:stretch>
                  </pic:blipFill>
                  <pic:spPr bwMode="auto">
                    <a:xfrm>
                      <a:off x="0" y="0"/>
                      <a:ext cx="5613400" cy="3677854"/>
                    </a:xfrm>
                    <a:prstGeom prst="rect">
                      <a:avLst/>
                    </a:prstGeom>
                    <a:noFill/>
                    <a:ln w="9525">
                      <a:noFill/>
                      <a:miter lim="800000"/>
                      <a:headEnd/>
                      <a:tailEnd/>
                    </a:ln>
                  </pic:spPr>
                </pic:pic>
              </a:graphicData>
            </a:graphic>
          </wp:inline>
        </w:drawing>
      </w:r>
    </w:p>
    <w:p w:rsidR="004F0C41" w:rsidRDefault="004F0C41">
      <w:pPr>
        <w:rPr>
          <w:noProof/>
          <w:szCs w:val="24"/>
          <w:lang w:val="es-CR" w:eastAsia="es-CR"/>
        </w:rPr>
      </w:pPr>
    </w:p>
    <w:p w:rsidR="00C27717" w:rsidRDefault="00C27717">
      <w:pPr>
        <w:rPr>
          <w:noProof/>
          <w:szCs w:val="24"/>
          <w:lang w:val="es-CR" w:eastAsia="es-CR"/>
        </w:rPr>
      </w:pPr>
      <w:r w:rsidRPr="00C27717">
        <w:rPr>
          <w:noProof/>
          <w:szCs w:val="24"/>
          <w:lang w:val="es-CR" w:eastAsia="es-CR"/>
        </w:rPr>
        <w:t xml:space="preserve"> </w:t>
      </w:r>
      <w:r w:rsidRPr="00C27717">
        <w:rPr>
          <w:noProof/>
          <w:szCs w:val="24"/>
          <w:lang w:val="es-ES" w:eastAsia="es-ES"/>
        </w:rPr>
        <w:drawing>
          <wp:inline distT="0" distB="0" distL="0" distR="0">
            <wp:extent cx="5216141" cy="476653"/>
            <wp:effectExtent l="19050" t="0" r="0" b="0"/>
            <wp:docPr id="5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5216465" cy="476683"/>
                    </a:xfrm>
                    <a:prstGeom prst="rect">
                      <a:avLst/>
                    </a:prstGeom>
                    <a:noFill/>
                    <a:ln w="9525">
                      <a:noFill/>
                      <a:miter lim="800000"/>
                      <a:headEnd/>
                      <a:tailEnd/>
                    </a:ln>
                  </pic:spPr>
                </pic:pic>
              </a:graphicData>
            </a:graphic>
          </wp:inline>
        </w:drawing>
      </w:r>
    </w:p>
    <w:p w:rsidR="00C27717" w:rsidRDefault="00C27717" w:rsidP="00C27717">
      <w:pPr>
        <w:widowControl w:val="0"/>
        <w:adjustRightInd w:val="0"/>
        <w:jc w:val="both"/>
        <w:textAlignment w:val="baseline"/>
        <w:rPr>
          <w:sz w:val="18"/>
          <w:szCs w:val="18"/>
          <w:lang w:val="es-CR"/>
        </w:rPr>
      </w:pPr>
      <w:r w:rsidRPr="00C11583">
        <w:rPr>
          <w:sz w:val="18"/>
          <w:szCs w:val="18"/>
          <w:lang w:val="es-CR"/>
        </w:rPr>
        <w:t>Fuente: Elaboración BID</w:t>
      </w:r>
    </w:p>
    <w:p w:rsidR="004562AA" w:rsidRDefault="004562AA">
      <w:pPr>
        <w:rPr>
          <w:szCs w:val="24"/>
          <w:lang w:val="es-ES_tradnl"/>
        </w:rPr>
      </w:pPr>
      <w:r>
        <w:rPr>
          <w:szCs w:val="24"/>
          <w:lang w:val="es-ES_tradnl"/>
        </w:rPr>
        <w:br w:type="page"/>
      </w:r>
    </w:p>
    <w:p w:rsidR="00430119" w:rsidRDefault="00430119" w:rsidP="00430119">
      <w:pPr>
        <w:widowControl w:val="0"/>
        <w:adjustRightInd w:val="0"/>
        <w:ind w:left="709"/>
        <w:jc w:val="center"/>
        <w:textAlignment w:val="baseline"/>
        <w:rPr>
          <w:szCs w:val="24"/>
          <w:lang w:val="es-ES_tradnl"/>
        </w:rPr>
      </w:pPr>
      <w:r>
        <w:rPr>
          <w:szCs w:val="24"/>
          <w:lang w:val="es-ES_tradnl"/>
        </w:rPr>
        <w:t>Cuadro N.20 C</w:t>
      </w:r>
    </w:p>
    <w:p w:rsidR="00C32798" w:rsidRDefault="00430119" w:rsidP="00C32798">
      <w:pPr>
        <w:widowControl w:val="0"/>
        <w:adjustRightInd w:val="0"/>
        <w:jc w:val="both"/>
        <w:textAlignment w:val="baseline"/>
        <w:rPr>
          <w:szCs w:val="24"/>
          <w:lang w:val="es-ES_tradnl"/>
        </w:rPr>
      </w:pPr>
      <w:r w:rsidRPr="00430119">
        <w:rPr>
          <w:noProof/>
          <w:szCs w:val="24"/>
          <w:lang w:val="es-ES" w:eastAsia="es-ES"/>
        </w:rPr>
        <w:drawing>
          <wp:inline distT="0" distB="0" distL="0" distR="0">
            <wp:extent cx="5613400" cy="160157"/>
            <wp:effectExtent l="0" t="0" r="0" b="0"/>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613400" cy="160157"/>
                    </a:xfrm>
                    <a:prstGeom prst="rect">
                      <a:avLst/>
                    </a:prstGeom>
                    <a:noFill/>
                    <a:ln w="9525">
                      <a:noFill/>
                      <a:miter lim="800000"/>
                      <a:headEnd/>
                      <a:tailEnd/>
                    </a:ln>
                  </pic:spPr>
                </pic:pic>
              </a:graphicData>
            </a:graphic>
          </wp:inline>
        </w:drawing>
      </w:r>
    </w:p>
    <w:p w:rsidR="004F0C41" w:rsidRDefault="00314200">
      <w:pPr>
        <w:widowControl w:val="0"/>
        <w:adjustRightInd w:val="0"/>
        <w:jc w:val="center"/>
        <w:textAlignment w:val="baseline"/>
        <w:rPr>
          <w:sz w:val="18"/>
          <w:szCs w:val="18"/>
          <w:lang w:val="es-CR"/>
        </w:rPr>
      </w:pPr>
      <w:r w:rsidRPr="00FE4043">
        <w:rPr>
          <w:noProof/>
          <w:szCs w:val="18"/>
          <w:lang w:val="es-ES" w:eastAsia="es-ES"/>
        </w:rPr>
        <w:drawing>
          <wp:inline distT="0" distB="0" distL="0" distR="0" wp14:anchorId="7A50AAF0" wp14:editId="03BAB14D">
            <wp:extent cx="3828415" cy="5684520"/>
            <wp:effectExtent l="19050" t="0" r="635" b="0"/>
            <wp:docPr id="76"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srcRect/>
                    <a:stretch>
                      <a:fillRect/>
                    </a:stretch>
                  </pic:blipFill>
                  <pic:spPr bwMode="auto">
                    <a:xfrm>
                      <a:off x="0" y="0"/>
                      <a:ext cx="3828415" cy="5684520"/>
                    </a:xfrm>
                    <a:prstGeom prst="rect">
                      <a:avLst/>
                    </a:prstGeom>
                    <a:noFill/>
                    <a:ln w="9525">
                      <a:noFill/>
                      <a:miter lim="800000"/>
                      <a:headEnd/>
                      <a:tailEnd/>
                    </a:ln>
                  </pic:spPr>
                </pic:pic>
              </a:graphicData>
            </a:graphic>
          </wp:inline>
        </w:drawing>
      </w:r>
    </w:p>
    <w:p w:rsidR="004F0C41" w:rsidRDefault="004F0C41" w:rsidP="00C32798">
      <w:pPr>
        <w:widowControl w:val="0"/>
        <w:adjustRightInd w:val="0"/>
        <w:jc w:val="both"/>
        <w:textAlignment w:val="baseline"/>
        <w:rPr>
          <w:sz w:val="18"/>
          <w:szCs w:val="18"/>
          <w:lang w:val="es-CR"/>
        </w:rPr>
      </w:pPr>
    </w:p>
    <w:p w:rsidR="004F0C41" w:rsidRDefault="004F0C41" w:rsidP="00C32798">
      <w:pPr>
        <w:widowControl w:val="0"/>
        <w:adjustRightInd w:val="0"/>
        <w:jc w:val="both"/>
        <w:textAlignment w:val="baseline"/>
        <w:rPr>
          <w:sz w:val="18"/>
          <w:szCs w:val="18"/>
          <w:lang w:val="es-CR"/>
        </w:rPr>
      </w:pPr>
    </w:p>
    <w:p w:rsidR="004F0C41" w:rsidRDefault="004F0C41" w:rsidP="00C32798">
      <w:pPr>
        <w:widowControl w:val="0"/>
        <w:adjustRightInd w:val="0"/>
        <w:jc w:val="both"/>
        <w:textAlignment w:val="baseline"/>
        <w:rPr>
          <w:sz w:val="18"/>
          <w:szCs w:val="18"/>
          <w:lang w:val="es-CR"/>
        </w:rPr>
      </w:pPr>
    </w:p>
    <w:p w:rsidR="00C27717" w:rsidRDefault="00C27717" w:rsidP="00C32798">
      <w:pPr>
        <w:widowControl w:val="0"/>
        <w:adjustRightInd w:val="0"/>
        <w:jc w:val="both"/>
        <w:textAlignment w:val="baseline"/>
        <w:rPr>
          <w:sz w:val="18"/>
          <w:szCs w:val="18"/>
          <w:lang w:val="es-CR"/>
        </w:rPr>
      </w:pPr>
      <w:r w:rsidRPr="00C27717">
        <w:rPr>
          <w:noProof/>
          <w:sz w:val="18"/>
          <w:szCs w:val="18"/>
          <w:lang w:val="es-ES" w:eastAsia="es-ES"/>
        </w:rPr>
        <w:drawing>
          <wp:inline distT="0" distB="0" distL="0" distR="0">
            <wp:extent cx="5216141" cy="476653"/>
            <wp:effectExtent l="19050" t="0" r="0" b="0"/>
            <wp:docPr id="5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5216465" cy="476683"/>
                    </a:xfrm>
                    <a:prstGeom prst="rect">
                      <a:avLst/>
                    </a:prstGeom>
                    <a:noFill/>
                    <a:ln w="9525">
                      <a:noFill/>
                      <a:miter lim="800000"/>
                      <a:headEnd/>
                      <a:tailEnd/>
                    </a:ln>
                  </pic:spPr>
                </pic:pic>
              </a:graphicData>
            </a:graphic>
          </wp:inline>
        </w:drawing>
      </w:r>
    </w:p>
    <w:p w:rsidR="00430119" w:rsidRDefault="00430119" w:rsidP="00C32798">
      <w:pPr>
        <w:widowControl w:val="0"/>
        <w:adjustRightInd w:val="0"/>
        <w:jc w:val="both"/>
        <w:textAlignment w:val="baseline"/>
        <w:rPr>
          <w:szCs w:val="24"/>
          <w:lang w:val="es-ES_tradnl"/>
        </w:rPr>
      </w:pPr>
      <w:r w:rsidRPr="00C11583">
        <w:rPr>
          <w:sz w:val="18"/>
          <w:szCs w:val="18"/>
          <w:lang w:val="es-CR"/>
        </w:rPr>
        <w:t>Fuente: Elaboración BID</w:t>
      </w:r>
    </w:p>
    <w:p w:rsidR="00430119" w:rsidRDefault="00430119" w:rsidP="00C32798">
      <w:pPr>
        <w:widowControl w:val="0"/>
        <w:adjustRightInd w:val="0"/>
        <w:jc w:val="both"/>
        <w:textAlignment w:val="baseline"/>
        <w:rPr>
          <w:szCs w:val="24"/>
          <w:lang w:val="es-ES_tradnl"/>
        </w:rPr>
      </w:pPr>
    </w:p>
    <w:p w:rsidR="002E49B7" w:rsidRDefault="002E49B7" w:rsidP="00C32798">
      <w:pPr>
        <w:widowControl w:val="0"/>
        <w:adjustRightInd w:val="0"/>
        <w:jc w:val="both"/>
        <w:textAlignment w:val="baseline"/>
        <w:rPr>
          <w:szCs w:val="24"/>
          <w:lang w:val="es-ES_tradnl"/>
        </w:rPr>
      </w:pPr>
    </w:p>
    <w:p w:rsidR="00430119" w:rsidRDefault="00430119" w:rsidP="00C32798">
      <w:pPr>
        <w:widowControl w:val="0"/>
        <w:adjustRightInd w:val="0"/>
        <w:jc w:val="both"/>
        <w:textAlignment w:val="baseline"/>
        <w:rPr>
          <w:szCs w:val="24"/>
          <w:lang w:val="es-ES_tradnl"/>
        </w:rPr>
      </w:pPr>
    </w:p>
    <w:p w:rsidR="00314200" w:rsidRDefault="00314200" w:rsidP="00C32798">
      <w:pPr>
        <w:widowControl w:val="0"/>
        <w:adjustRightInd w:val="0"/>
        <w:jc w:val="both"/>
        <w:textAlignment w:val="baseline"/>
        <w:rPr>
          <w:szCs w:val="24"/>
          <w:lang w:val="es-ES_tradnl"/>
        </w:rPr>
      </w:pPr>
    </w:p>
    <w:p w:rsidR="00314200" w:rsidRDefault="00314200" w:rsidP="00C32798">
      <w:pPr>
        <w:widowControl w:val="0"/>
        <w:adjustRightInd w:val="0"/>
        <w:jc w:val="both"/>
        <w:textAlignment w:val="baseline"/>
        <w:rPr>
          <w:szCs w:val="24"/>
          <w:lang w:val="es-ES_tradnl"/>
        </w:rPr>
      </w:pPr>
    </w:p>
    <w:p w:rsidR="00B531FE" w:rsidRPr="00004C66" w:rsidRDefault="0055294C" w:rsidP="00FF1D0E">
      <w:pPr>
        <w:widowControl w:val="0"/>
        <w:numPr>
          <w:ilvl w:val="1"/>
          <w:numId w:val="2"/>
        </w:numPr>
        <w:tabs>
          <w:tab w:val="clear" w:pos="360"/>
          <w:tab w:val="num" w:pos="709"/>
        </w:tabs>
        <w:adjustRightInd w:val="0"/>
        <w:ind w:left="709" w:hanging="709"/>
        <w:jc w:val="both"/>
        <w:textAlignment w:val="baseline"/>
        <w:rPr>
          <w:b/>
          <w:szCs w:val="24"/>
          <w:lang w:val="es-ES_tradnl"/>
        </w:rPr>
      </w:pPr>
      <w:r w:rsidRPr="00004C66">
        <w:rPr>
          <w:b/>
          <w:szCs w:val="24"/>
          <w:lang w:val="es-ES_tradnl"/>
        </w:rPr>
        <w:t>F</w:t>
      </w:r>
      <w:r w:rsidR="00B531FE" w:rsidRPr="00004C66">
        <w:rPr>
          <w:b/>
          <w:szCs w:val="24"/>
          <w:lang w:val="es-ES_tradnl"/>
        </w:rPr>
        <w:t>lujo de costos inc</w:t>
      </w:r>
      <w:r w:rsidRPr="00004C66">
        <w:rPr>
          <w:b/>
          <w:szCs w:val="24"/>
          <w:lang w:val="es-ES_tradnl"/>
        </w:rPr>
        <w:t>rementales por intervenciones en</w:t>
      </w:r>
      <w:r w:rsidR="00B531FE" w:rsidRPr="00004C66">
        <w:rPr>
          <w:b/>
          <w:szCs w:val="24"/>
          <w:lang w:val="es-ES_tradnl"/>
        </w:rPr>
        <w:t xml:space="preserve"> inversión y mantenimiento</w:t>
      </w:r>
      <w:r w:rsidRPr="00004C66">
        <w:rPr>
          <w:b/>
          <w:szCs w:val="24"/>
          <w:lang w:val="es-ES_tradnl"/>
        </w:rPr>
        <w:t>:</w:t>
      </w:r>
    </w:p>
    <w:p w:rsidR="0055294C" w:rsidRDefault="0055294C" w:rsidP="0055294C">
      <w:pPr>
        <w:widowControl w:val="0"/>
        <w:adjustRightInd w:val="0"/>
        <w:jc w:val="both"/>
        <w:textAlignment w:val="baseline"/>
        <w:rPr>
          <w:szCs w:val="24"/>
          <w:lang w:val="es-ES_tradnl"/>
        </w:rPr>
      </w:pPr>
      <w:r>
        <w:rPr>
          <w:szCs w:val="24"/>
          <w:lang w:val="es-ES_tradnl"/>
        </w:rPr>
        <w:t>Estos co</w:t>
      </w:r>
      <w:r w:rsidR="00004C66">
        <w:rPr>
          <w:szCs w:val="24"/>
          <w:lang w:val="es-ES_tradnl"/>
        </w:rPr>
        <w:t xml:space="preserve">mprenden el </w:t>
      </w:r>
      <w:r w:rsidR="00004C66" w:rsidRPr="00015C89">
        <w:rPr>
          <w:szCs w:val="24"/>
          <w:lang w:val="es-ES_tradnl"/>
        </w:rPr>
        <w:t>incremento</w:t>
      </w:r>
      <w:r w:rsidR="00004C66">
        <w:rPr>
          <w:szCs w:val="24"/>
          <w:lang w:val="es-ES_tradnl"/>
        </w:rPr>
        <w:t xml:space="preserve"> para el E</w:t>
      </w:r>
      <w:r>
        <w:rPr>
          <w:szCs w:val="24"/>
          <w:lang w:val="es-ES_tradnl"/>
        </w:rPr>
        <w:t>stado de la inversión y los costos de mantenimiento</w:t>
      </w:r>
      <w:r w:rsidR="0096750D">
        <w:rPr>
          <w:szCs w:val="24"/>
          <w:lang w:val="es-ES_tradnl"/>
        </w:rPr>
        <w:t>.</w:t>
      </w:r>
    </w:p>
    <w:p w:rsidR="0055294C" w:rsidRDefault="0055294C" w:rsidP="0055294C">
      <w:pPr>
        <w:widowControl w:val="0"/>
        <w:adjustRightInd w:val="0"/>
        <w:jc w:val="center"/>
        <w:textAlignment w:val="baseline"/>
        <w:rPr>
          <w:szCs w:val="24"/>
          <w:lang w:val="es-ES_tradnl"/>
        </w:rPr>
      </w:pPr>
    </w:p>
    <w:p w:rsidR="0096750D" w:rsidRDefault="00314200" w:rsidP="00960DCB">
      <w:pPr>
        <w:widowControl w:val="0"/>
        <w:adjustRightInd w:val="0"/>
        <w:jc w:val="center"/>
        <w:textAlignment w:val="baseline"/>
        <w:rPr>
          <w:szCs w:val="24"/>
          <w:lang w:val="es-ES_tradnl"/>
        </w:rPr>
      </w:pPr>
      <w:r w:rsidRPr="00FE4043">
        <w:rPr>
          <w:noProof/>
          <w:szCs w:val="24"/>
          <w:lang w:val="es-ES" w:eastAsia="es-ES"/>
        </w:rPr>
        <w:drawing>
          <wp:inline distT="0" distB="0" distL="0" distR="0" wp14:anchorId="4BC580AA" wp14:editId="72E5D58B">
            <wp:extent cx="4531360" cy="6421120"/>
            <wp:effectExtent l="19050" t="0" r="2540" b="0"/>
            <wp:docPr id="77"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cstate="print"/>
                    <a:srcRect/>
                    <a:stretch>
                      <a:fillRect/>
                    </a:stretch>
                  </pic:blipFill>
                  <pic:spPr bwMode="auto">
                    <a:xfrm>
                      <a:off x="0" y="0"/>
                      <a:ext cx="4531360" cy="6421120"/>
                    </a:xfrm>
                    <a:prstGeom prst="rect">
                      <a:avLst/>
                    </a:prstGeom>
                    <a:noFill/>
                    <a:ln w="9525">
                      <a:noFill/>
                      <a:miter lim="800000"/>
                      <a:headEnd/>
                      <a:tailEnd/>
                    </a:ln>
                  </pic:spPr>
                </pic:pic>
              </a:graphicData>
            </a:graphic>
          </wp:inline>
        </w:drawing>
      </w:r>
    </w:p>
    <w:p w:rsidR="00015C89" w:rsidRDefault="00015C89" w:rsidP="001854AB">
      <w:pPr>
        <w:widowControl w:val="0"/>
        <w:adjustRightInd w:val="0"/>
        <w:jc w:val="center"/>
        <w:textAlignment w:val="baseline"/>
        <w:rPr>
          <w:szCs w:val="24"/>
          <w:lang w:val="es-ES_tradnl"/>
        </w:rPr>
      </w:pPr>
    </w:p>
    <w:p w:rsidR="00960DCB" w:rsidRDefault="001854AB" w:rsidP="001854AB">
      <w:pPr>
        <w:widowControl w:val="0"/>
        <w:adjustRightInd w:val="0"/>
        <w:jc w:val="both"/>
        <w:textAlignment w:val="baseline"/>
        <w:rPr>
          <w:sz w:val="18"/>
          <w:szCs w:val="18"/>
          <w:lang w:val="es-CR"/>
        </w:rPr>
      </w:pPr>
      <w:r w:rsidRPr="00C11583">
        <w:rPr>
          <w:sz w:val="18"/>
          <w:szCs w:val="18"/>
          <w:lang w:val="es-CR"/>
        </w:rPr>
        <w:t>Fuente: Elaboración BID</w:t>
      </w:r>
    </w:p>
    <w:p w:rsidR="00960DCB" w:rsidRDefault="00960DCB">
      <w:pPr>
        <w:rPr>
          <w:sz w:val="18"/>
          <w:szCs w:val="18"/>
          <w:lang w:val="es-CR"/>
        </w:rPr>
      </w:pPr>
      <w:r>
        <w:rPr>
          <w:sz w:val="18"/>
          <w:szCs w:val="18"/>
          <w:lang w:val="es-CR"/>
        </w:rPr>
        <w:br w:type="page"/>
      </w:r>
    </w:p>
    <w:p w:rsidR="00B67766" w:rsidRPr="00671DF8" w:rsidRDefault="00004C66" w:rsidP="00B87AFE">
      <w:pPr>
        <w:pStyle w:val="ListParagraph"/>
        <w:numPr>
          <w:ilvl w:val="0"/>
          <w:numId w:val="2"/>
        </w:numPr>
        <w:spacing w:before="360" w:after="200"/>
        <w:jc w:val="both"/>
        <w:rPr>
          <w:b/>
        </w:rPr>
      </w:pPr>
      <w:r>
        <w:rPr>
          <w:b/>
        </w:rPr>
        <w:t>B</w:t>
      </w:r>
      <w:r w:rsidR="00B67766" w:rsidRPr="00671DF8">
        <w:rPr>
          <w:b/>
        </w:rPr>
        <w:t>eneficios Económicos</w:t>
      </w:r>
    </w:p>
    <w:p w:rsidR="00B67766" w:rsidRDefault="00B67766" w:rsidP="00B67766">
      <w:pPr>
        <w:pStyle w:val="ListParagraph"/>
        <w:numPr>
          <w:ilvl w:val="0"/>
          <w:numId w:val="24"/>
        </w:numPr>
        <w:tabs>
          <w:tab w:val="left" w:pos="2025"/>
        </w:tabs>
        <w:spacing w:after="200" w:line="276" w:lineRule="auto"/>
        <w:jc w:val="both"/>
        <w:rPr>
          <w:b/>
          <w:sz w:val="22"/>
          <w:szCs w:val="22"/>
          <w:lang w:val="es-CR"/>
        </w:rPr>
      </w:pPr>
      <w:r w:rsidRPr="00435CF4">
        <w:rPr>
          <w:b/>
          <w:sz w:val="22"/>
          <w:szCs w:val="22"/>
          <w:lang w:val="es-CR"/>
        </w:rPr>
        <w:t>Beneficios del proyecto</w:t>
      </w:r>
    </w:p>
    <w:p w:rsidR="00E13E6D" w:rsidRDefault="00E13E6D" w:rsidP="00E13E6D">
      <w:pPr>
        <w:tabs>
          <w:tab w:val="left" w:pos="2025"/>
        </w:tabs>
        <w:spacing w:after="200" w:line="276" w:lineRule="auto"/>
        <w:jc w:val="both"/>
        <w:rPr>
          <w:szCs w:val="24"/>
          <w:lang w:val="es-ES_tradnl"/>
        </w:rPr>
      </w:pPr>
      <w:r w:rsidRPr="00E13E6D">
        <w:rPr>
          <w:sz w:val="22"/>
          <w:szCs w:val="22"/>
          <w:lang w:val="es-CR"/>
        </w:rPr>
        <w:t>El cuadro N. 22 presenta el flujo de beneficios de los usuario</w:t>
      </w:r>
      <w:r>
        <w:rPr>
          <w:sz w:val="22"/>
          <w:szCs w:val="22"/>
          <w:lang w:val="es-CR"/>
        </w:rPr>
        <w:t>s</w:t>
      </w:r>
      <w:r w:rsidRPr="00E13E6D">
        <w:rPr>
          <w:sz w:val="22"/>
          <w:szCs w:val="22"/>
          <w:lang w:val="es-CR"/>
        </w:rPr>
        <w:t xml:space="preserve"> en operación y tiempo</w:t>
      </w:r>
      <w:r>
        <w:rPr>
          <w:szCs w:val="24"/>
          <w:lang w:val="es-ES_tradnl"/>
        </w:rPr>
        <w:t>. S</w:t>
      </w:r>
      <w:r w:rsidRPr="00435CF4">
        <w:rPr>
          <w:szCs w:val="24"/>
          <w:lang w:val="es-ES_tradnl"/>
        </w:rPr>
        <w:t>e calcularon los ahorros en costos de operación para los diferentes usuarios de las vías, los ahorros en tiempos de viaje para los usuarios de la vía y  de los usuarios de los transbordadores de las terminales de Golfo de Nicoya. Se calculó además los beneficios de los usuarios  por el pago de tarifas de uso de los tra</w:t>
      </w:r>
      <w:r>
        <w:rPr>
          <w:szCs w:val="24"/>
          <w:lang w:val="es-ES_tradnl"/>
        </w:rPr>
        <w:t>ns</w:t>
      </w:r>
      <w:r w:rsidRPr="00435CF4">
        <w:rPr>
          <w:szCs w:val="24"/>
          <w:lang w:val="es-ES_tradnl"/>
        </w:rPr>
        <w:t>bordadores.</w:t>
      </w:r>
    </w:p>
    <w:p w:rsidR="00960DCB" w:rsidRDefault="00314200" w:rsidP="00960DCB">
      <w:pPr>
        <w:tabs>
          <w:tab w:val="left" w:pos="2025"/>
        </w:tabs>
        <w:spacing w:after="200" w:line="276" w:lineRule="auto"/>
        <w:jc w:val="center"/>
        <w:rPr>
          <w:szCs w:val="24"/>
          <w:lang w:val="es-ES_tradnl"/>
        </w:rPr>
      </w:pPr>
      <w:r w:rsidRPr="00FE4043">
        <w:rPr>
          <w:noProof/>
          <w:szCs w:val="24"/>
          <w:lang w:val="es-ES" w:eastAsia="es-ES"/>
        </w:rPr>
        <w:drawing>
          <wp:inline distT="0" distB="0" distL="0" distR="0" wp14:anchorId="772C6B1B" wp14:editId="7E15D667">
            <wp:extent cx="4531360" cy="6421120"/>
            <wp:effectExtent l="19050" t="0" r="2540" b="0"/>
            <wp:docPr id="78"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srcRect/>
                    <a:stretch>
                      <a:fillRect/>
                    </a:stretch>
                  </pic:blipFill>
                  <pic:spPr bwMode="auto">
                    <a:xfrm>
                      <a:off x="0" y="0"/>
                      <a:ext cx="4531360" cy="6421120"/>
                    </a:xfrm>
                    <a:prstGeom prst="rect">
                      <a:avLst/>
                    </a:prstGeom>
                    <a:noFill/>
                    <a:ln w="9525">
                      <a:noFill/>
                      <a:miter lim="800000"/>
                      <a:headEnd/>
                      <a:tailEnd/>
                    </a:ln>
                  </pic:spPr>
                </pic:pic>
              </a:graphicData>
            </a:graphic>
          </wp:inline>
        </w:drawing>
      </w:r>
    </w:p>
    <w:p w:rsidR="001854AB" w:rsidRDefault="001854AB" w:rsidP="001854AB">
      <w:pPr>
        <w:widowControl w:val="0"/>
        <w:adjustRightInd w:val="0"/>
        <w:jc w:val="both"/>
        <w:textAlignment w:val="baseline"/>
        <w:rPr>
          <w:szCs w:val="24"/>
          <w:lang w:val="es-ES_tradnl"/>
        </w:rPr>
      </w:pPr>
      <w:r w:rsidRPr="00C11583">
        <w:rPr>
          <w:sz w:val="18"/>
          <w:szCs w:val="18"/>
          <w:lang w:val="es-CR"/>
        </w:rPr>
        <w:t>Fuente: Elaboración BID</w:t>
      </w:r>
    </w:p>
    <w:p w:rsidR="00B35858" w:rsidRDefault="00B35858" w:rsidP="00B87AFE">
      <w:pPr>
        <w:keepNext/>
        <w:numPr>
          <w:ilvl w:val="0"/>
          <w:numId w:val="2"/>
        </w:numPr>
        <w:spacing w:before="240" w:after="120"/>
        <w:jc w:val="both"/>
        <w:rPr>
          <w:b/>
        </w:rPr>
      </w:pPr>
      <w:r>
        <w:rPr>
          <w:b/>
          <w:bCs/>
          <w:lang w:val="es-ES"/>
        </w:rPr>
        <w:t>Rentabilidad económica</w:t>
      </w:r>
    </w:p>
    <w:p w:rsidR="00B35858" w:rsidRDefault="001B17A0" w:rsidP="00B35858">
      <w:pPr>
        <w:numPr>
          <w:ilvl w:val="0"/>
          <w:numId w:val="19"/>
        </w:numPr>
        <w:spacing w:after="120"/>
        <w:jc w:val="both"/>
        <w:rPr>
          <w:lang w:val="es-ES"/>
        </w:rPr>
      </w:pPr>
      <w:r>
        <w:rPr>
          <w:lang w:val="es-ES"/>
        </w:rPr>
        <w:t xml:space="preserve">El </w:t>
      </w:r>
      <w:r w:rsidR="00B35858">
        <w:rPr>
          <w:lang w:val="es-ES"/>
        </w:rPr>
        <w:t>valor actua</w:t>
      </w:r>
      <w:r>
        <w:rPr>
          <w:lang w:val="es-ES"/>
        </w:rPr>
        <w:t>l neto (VANE) y tasa interna de retorno económica (TIRE),  del proyecto son los siguientes:</w:t>
      </w:r>
    </w:p>
    <w:p w:rsidR="00314200" w:rsidRDefault="00314200" w:rsidP="00B35858">
      <w:pPr>
        <w:numPr>
          <w:ilvl w:val="0"/>
          <w:numId w:val="19"/>
        </w:numPr>
        <w:spacing w:after="120"/>
        <w:jc w:val="both"/>
        <w:rPr>
          <w:lang w:val="es-ES"/>
        </w:rPr>
      </w:pPr>
    </w:p>
    <w:tbl>
      <w:tblPr>
        <w:tblW w:w="3380" w:type="dxa"/>
        <w:jc w:val="center"/>
        <w:tblInd w:w="55" w:type="dxa"/>
        <w:tblCellMar>
          <w:left w:w="70" w:type="dxa"/>
          <w:right w:w="70" w:type="dxa"/>
        </w:tblCellMar>
        <w:tblLook w:val="04A0" w:firstRow="1" w:lastRow="0" w:firstColumn="1" w:lastColumn="0" w:noHBand="0" w:noVBand="1"/>
      </w:tblPr>
      <w:tblGrid>
        <w:gridCol w:w="1200"/>
        <w:gridCol w:w="2180"/>
      </w:tblGrid>
      <w:tr w:rsidR="00657410" w:rsidRPr="00657410" w:rsidTr="00657410">
        <w:trPr>
          <w:trHeight w:val="300"/>
          <w:jc w:val="center"/>
        </w:trPr>
        <w:tc>
          <w:tcPr>
            <w:tcW w:w="1200" w:type="dxa"/>
            <w:tcBorders>
              <w:top w:val="nil"/>
              <w:left w:val="nil"/>
              <w:bottom w:val="nil"/>
              <w:right w:val="nil"/>
            </w:tcBorders>
            <w:shd w:val="clear" w:color="auto" w:fill="auto"/>
            <w:noWrap/>
            <w:vAlign w:val="bottom"/>
            <w:hideMark/>
          </w:tcPr>
          <w:p w:rsidR="00657410" w:rsidRPr="00657410" w:rsidRDefault="00657410" w:rsidP="00657410">
            <w:pPr>
              <w:rPr>
                <w:rFonts w:ascii="Calibri" w:hAnsi="Calibri"/>
                <w:color w:val="000000"/>
                <w:sz w:val="22"/>
                <w:szCs w:val="22"/>
                <w:lang w:val="es-CR" w:eastAsia="es-CR"/>
              </w:rPr>
            </w:pPr>
          </w:p>
        </w:tc>
        <w:tc>
          <w:tcPr>
            <w:tcW w:w="2180" w:type="dxa"/>
            <w:tcBorders>
              <w:top w:val="nil"/>
              <w:left w:val="nil"/>
              <w:bottom w:val="nil"/>
              <w:right w:val="nil"/>
            </w:tcBorders>
            <w:shd w:val="clear" w:color="auto" w:fill="auto"/>
            <w:noWrap/>
            <w:vAlign w:val="bottom"/>
            <w:hideMark/>
          </w:tcPr>
          <w:p w:rsidR="00657410" w:rsidRPr="00657410" w:rsidRDefault="00657410" w:rsidP="00657410">
            <w:pPr>
              <w:rPr>
                <w:rFonts w:ascii="Calibri" w:hAnsi="Calibri"/>
                <w:color w:val="000000"/>
                <w:sz w:val="22"/>
                <w:szCs w:val="22"/>
                <w:lang w:val="es-CR" w:eastAsia="es-CR"/>
              </w:rPr>
            </w:pPr>
          </w:p>
        </w:tc>
      </w:tr>
      <w:tr w:rsidR="00657410" w:rsidRPr="00657410" w:rsidTr="00657410">
        <w:trPr>
          <w:trHeight w:val="300"/>
          <w:jc w:val="center"/>
        </w:trPr>
        <w:tc>
          <w:tcPr>
            <w:tcW w:w="1200" w:type="dxa"/>
            <w:tcBorders>
              <w:top w:val="nil"/>
              <w:left w:val="nil"/>
              <w:bottom w:val="nil"/>
              <w:right w:val="nil"/>
            </w:tcBorders>
            <w:shd w:val="clear" w:color="auto" w:fill="auto"/>
            <w:noWrap/>
            <w:vAlign w:val="bottom"/>
            <w:hideMark/>
          </w:tcPr>
          <w:p w:rsidR="00657410" w:rsidRPr="00657410" w:rsidRDefault="001B17A0" w:rsidP="00657410">
            <w:pPr>
              <w:rPr>
                <w:rFonts w:ascii="Calibri" w:hAnsi="Calibri"/>
                <w:color w:val="000000"/>
                <w:sz w:val="22"/>
                <w:szCs w:val="22"/>
                <w:lang w:val="es-CR" w:eastAsia="es-CR"/>
              </w:rPr>
            </w:pPr>
            <w:r>
              <w:rPr>
                <w:rFonts w:ascii="Calibri" w:hAnsi="Calibri"/>
                <w:color w:val="000000"/>
                <w:sz w:val="22"/>
                <w:szCs w:val="22"/>
                <w:lang w:val="es-CR" w:eastAsia="es-CR"/>
              </w:rPr>
              <w:t xml:space="preserve">VANE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410" w:rsidRPr="00657410" w:rsidRDefault="001B17A0">
            <w:pPr>
              <w:jc w:val="center"/>
              <w:rPr>
                <w:b/>
                <w:bCs/>
                <w:sz w:val="22"/>
                <w:szCs w:val="22"/>
                <w:lang w:val="es-CR" w:eastAsia="es-CR"/>
              </w:rPr>
            </w:pPr>
            <w:r>
              <w:rPr>
                <w:b/>
                <w:bCs/>
                <w:sz w:val="22"/>
                <w:szCs w:val="22"/>
                <w:lang w:val="es-CR" w:eastAsia="es-CR"/>
              </w:rPr>
              <w:t>$</w:t>
            </w:r>
            <w:r w:rsidR="00657410" w:rsidRPr="00657410">
              <w:rPr>
                <w:b/>
                <w:bCs/>
                <w:sz w:val="22"/>
                <w:szCs w:val="22"/>
                <w:lang w:val="es-CR" w:eastAsia="es-CR"/>
              </w:rPr>
              <w:t xml:space="preserve"> </w:t>
            </w:r>
            <w:r w:rsidR="001854AB">
              <w:rPr>
                <w:b/>
                <w:bCs/>
                <w:sz w:val="22"/>
                <w:szCs w:val="22"/>
                <w:lang w:val="es-CR" w:eastAsia="es-CR"/>
              </w:rPr>
              <w:t>5</w:t>
            </w:r>
            <w:r w:rsidR="00314200">
              <w:rPr>
                <w:b/>
                <w:bCs/>
                <w:sz w:val="22"/>
                <w:szCs w:val="22"/>
                <w:lang w:val="es-CR" w:eastAsia="es-CR"/>
              </w:rPr>
              <w:t>9</w:t>
            </w:r>
            <w:r w:rsidR="00960DCB">
              <w:rPr>
                <w:b/>
                <w:bCs/>
                <w:sz w:val="22"/>
                <w:szCs w:val="22"/>
                <w:lang w:val="es-CR" w:eastAsia="es-CR"/>
              </w:rPr>
              <w:t>.</w:t>
            </w:r>
            <w:r w:rsidR="00314200">
              <w:rPr>
                <w:b/>
                <w:bCs/>
                <w:sz w:val="22"/>
                <w:szCs w:val="22"/>
                <w:lang w:val="es-CR" w:eastAsia="es-CR"/>
              </w:rPr>
              <w:t>387</w:t>
            </w:r>
            <w:r w:rsidR="00960DCB">
              <w:rPr>
                <w:b/>
                <w:bCs/>
                <w:sz w:val="22"/>
                <w:szCs w:val="22"/>
                <w:lang w:val="es-CR" w:eastAsia="es-CR"/>
              </w:rPr>
              <w:t>.</w:t>
            </w:r>
            <w:r w:rsidR="00314200">
              <w:rPr>
                <w:b/>
                <w:bCs/>
                <w:sz w:val="22"/>
                <w:szCs w:val="22"/>
                <w:lang w:val="es-CR" w:eastAsia="es-CR"/>
              </w:rPr>
              <w:t>354</w:t>
            </w:r>
          </w:p>
        </w:tc>
      </w:tr>
      <w:tr w:rsidR="00657410" w:rsidRPr="00657410" w:rsidTr="00657410">
        <w:trPr>
          <w:trHeight w:val="300"/>
          <w:jc w:val="center"/>
        </w:trPr>
        <w:tc>
          <w:tcPr>
            <w:tcW w:w="1200" w:type="dxa"/>
            <w:tcBorders>
              <w:top w:val="nil"/>
              <w:left w:val="nil"/>
              <w:bottom w:val="nil"/>
              <w:right w:val="nil"/>
            </w:tcBorders>
            <w:shd w:val="clear" w:color="auto" w:fill="auto"/>
            <w:noWrap/>
            <w:vAlign w:val="bottom"/>
            <w:hideMark/>
          </w:tcPr>
          <w:p w:rsidR="00657410" w:rsidRPr="00657410" w:rsidRDefault="00657410" w:rsidP="00657410">
            <w:pPr>
              <w:rPr>
                <w:rFonts w:ascii="Calibri" w:hAnsi="Calibri"/>
                <w:color w:val="000000"/>
                <w:sz w:val="22"/>
                <w:szCs w:val="22"/>
                <w:lang w:val="es-CR" w:eastAsia="es-CR"/>
              </w:rPr>
            </w:pPr>
            <w:r w:rsidRPr="00657410">
              <w:rPr>
                <w:rFonts w:ascii="Calibri" w:hAnsi="Calibri"/>
                <w:color w:val="000000"/>
                <w:sz w:val="22"/>
                <w:szCs w:val="22"/>
                <w:lang w:val="es-CR" w:eastAsia="es-CR"/>
              </w:rPr>
              <w:t>TIRE</w:t>
            </w:r>
          </w:p>
        </w:tc>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657410" w:rsidRPr="00960DCB" w:rsidRDefault="00314200" w:rsidP="001B17A0">
            <w:pPr>
              <w:jc w:val="center"/>
              <w:rPr>
                <w:b/>
                <w:bCs/>
                <w:sz w:val="22"/>
                <w:szCs w:val="22"/>
                <w:lang w:val="es-CR" w:eastAsia="es-CR"/>
              </w:rPr>
            </w:pPr>
            <w:r>
              <w:rPr>
                <w:b/>
                <w:bCs/>
                <w:sz w:val="22"/>
                <w:szCs w:val="22"/>
                <w:lang w:val="es-CR" w:eastAsia="es-CR"/>
              </w:rPr>
              <w:t>91</w:t>
            </w:r>
            <w:r w:rsidR="001B17A0" w:rsidRPr="00960DCB">
              <w:rPr>
                <w:b/>
                <w:bCs/>
                <w:sz w:val="22"/>
                <w:szCs w:val="22"/>
                <w:lang w:val="es-CR" w:eastAsia="es-CR"/>
              </w:rPr>
              <w:t>%</w:t>
            </w:r>
          </w:p>
        </w:tc>
      </w:tr>
      <w:tr w:rsidR="00657410" w:rsidRPr="00657410" w:rsidTr="00657410">
        <w:trPr>
          <w:trHeight w:val="300"/>
          <w:jc w:val="center"/>
        </w:trPr>
        <w:tc>
          <w:tcPr>
            <w:tcW w:w="1200" w:type="dxa"/>
            <w:tcBorders>
              <w:top w:val="nil"/>
              <w:left w:val="nil"/>
              <w:bottom w:val="nil"/>
              <w:right w:val="nil"/>
            </w:tcBorders>
            <w:shd w:val="clear" w:color="auto" w:fill="auto"/>
            <w:noWrap/>
            <w:vAlign w:val="bottom"/>
            <w:hideMark/>
          </w:tcPr>
          <w:p w:rsidR="00657410" w:rsidRPr="00657410" w:rsidRDefault="001B17A0" w:rsidP="00657410">
            <w:pPr>
              <w:rPr>
                <w:rFonts w:ascii="Calibri" w:hAnsi="Calibri"/>
                <w:color w:val="000000"/>
                <w:sz w:val="22"/>
                <w:szCs w:val="22"/>
                <w:lang w:val="es-CR" w:eastAsia="es-CR"/>
              </w:rPr>
            </w:pPr>
            <w:r>
              <w:rPr>
                <w:rFonts w:ascii="Calibri" w:hAnsi="Calibri"/>
                <w:color w:val="000000"/>
                <w:sz w:val="22"/>
                <w:szCs w:val="22"/>
                <w:lang w:val="es-CR" w:eastAsia="es-CR"/>
              </w:rPr>
              <w:t>Tasa de descuento 12%</w:t>
            </w:r>
          </w:p>
        </w:tc>
        <w:tc>
          <w:tcPr>
            <w:tcW w:w="2180" w:type="dxa"/>
            <w:tcBorders>
              <w:top w:val="nil"/>
              <w:left w:val="nil"/>
              <w:bottom w:val="nil"/>
              <w:right w:val="nil"/>
            </w:tcBorders>
            <w:shd w:val="clear" w:color="auto" w:fill="auto"/>
            <w:noWrap/>
            <w:vAlign w:val="bottom"/>
            <w:hideMark/>
          </w:tcPr>
          <w:p w:rsidR="00657410" w:rsidRPr="00657410" w:rsidRDefault="00657410" w:rsidP="00657410">
            <w:pPr>
              <w:rPr>
                <w:rFonts w:ascii="Calibri" w:hAnsi="Calibri"/>
                <w:color w:val="000000"/>
                <w:sz w:val="22"/>
                <w:szCs w:val="22"/>
                <w:lang w:val="es-CR" w:eastAsia="es-CR"/>
              </w:rPr>
            </w:pPr>
          </w:p>
        </w:tc>
      </w:tr>
    </w:tbl>
    <w:p w:rsidR="00657410" w:rsidRDefault="00657410" w:rsidP="00657410">
      <w:pPr>
        <w:spacing w:after="120"/>
        <w:jc w:val="both"/>
        <w:rPr>
          <w:lang w:val="es-ES"/>
        </w:rPr>
      </w:pPr>
    </w:p>
    <w:p w:rsidR="00004C66" w:rsidRDefault="00B35858" w:rsidP="00B35858">
      <w:pPr>
        <w:numPr>
          <w:ilvl w:val="0"/>
          <w:numId w:val="19"/>
        </w:numPr>
        <w:spacing w:after="120"/>
        <w:jc w:val="both"/>
        <w:rPr>
          <w:szCs w:val="24"/>
          <w:lang w:val="es-CR"/>
        </w:rPr>
      </w:pPr>
      <w:r w:rsidRPr="00AD445C">
        <w:rPr>
          <w:szCs w:val="24"/>
          <w:lang w:val="es-ES"/>
        </w:rPr>
        <w:t>Fact</w:t>
      </w:r>
      <w:r w:rsidR="00AD445C" w:rsidRPr="00AD445C">
        <w:rPr>
          <w:szCs w:val="24"/>
          <w:lang w:val="es-ES"/>
        </w:rPr>
        <w:t xml:space="preserve">ibilidad económica del proyecto: De acuerdo con los resultados de los indicadores económicos anteriores se concluye que el </w:t>
      </w:r>
      <w:r w:rsidRPr="00AD445C">
        <w:rPr>
          <w:szCs w:val="24"/>
          <w:lang w:val="es-ES"/>
        </w:rPr>
        <w:t xml:space="preserve">Proyecto: </w:t>
      </w:r>
      <w:r w:rsidRPr="00AD445C">
        <w:rPr>
          <w:i/>
          <w:szCs w:val="24"/>
          <w:lang w:val="es-ES"/>
        </w:rPr>
        <w:t>“Mejoramiento de las Terminales de Transbordadores del Golfo de Nicoya”</w:t>
      </w:r>
      <w:r w:rsidRPr="00AD445C">
        <w:rPr>
          <w:szCs w:val="24"/>
          <w:lang w:val="es-ES"/>
        </w:rPr>
        <w:t xml:space="preserve"> es un p</w:t>
      </w:r>
      <w:r w:rsidR="00727CA0">
        <w:rPr>
          <w:szCs w:val="24"/>
          <w:lang w:val="es-ES"/>
        </w:rPr>
        <w:t xml:space="preserve">royecto económicamente rentable, por cuanto muestra </w:t>
      </w:r>
      <w:r w:rsidRPr="00AD445C">
        <w:rPr>
          <w:szCs w:val="24"/>
          <w:lang w:val="es-CR"/>
        </w:rPr>
        <w:t>potenciales beneficios económicos para la sociedad mediante el ahorro de costos de operación vehicular y tiempos de viaje,</w:t>
      </w:r>
      <w:r w:rsidR="00657410" w:rsidRPr="00AD445C">
        <w:rPr>
          <w:szCs w:val="24"/>
          <w:lang w:val="es-CR"/>
        </w:rPr>
        <w:t xml:space="preserve"> costos usuario por pago de tarifa de los transbordadores así como beneficios por ahorros en costos de mantenimiento.</w:t>
      </w:r>
    </w:p>
    <w:p w:rsidR="00004C66" w:rsidRDefault="00004C66">
      <w:pPr>
        <w:rPr>
          <w:szCs w:val="24"/>
          <w:lang w:val="es-CR"/>
        </w:rPr>
      </w:pPr>
      <w:r>
        <w:rPr>
          <w:szCs w:val="24"/>
          <w:lang w:val="es-CR"/>
        </w:rPr>
        <w:br w:type="page"/>
      </w:r>
    </w:p>
    <w:p w:rsidR="00B35858" w:rsidRPr="00AD445C" w:rsidRDefault="00B35858" w:rsidP="00004C66">
      <w:pPr>
        <w:spacing w:after="120"/>
        <w:ind w:left="644"/>
        <w:jc w:val="both"/>
        <w:rPr>
          <w:szCs w:val="24"/>
          <w:lang w:val="es-CR"/>
        </w:rPr>
      </w:pPr>
      <w:r w:rsidRPr="00AD445C">
        <w:rPr>
          <w:szCs w:val="24"/>
          <w:lang w:val="es-CR"/>
        </w:rPr>
        <w:t xml:space="preserve"> </w:t>
      </w:r>
      <w:r w:rsidR="00AD445C">
        <w:rPr>
          <w:szCs w:val="24"/>
          <w:lang w:val="es-CR"/>
        </w:rPr>
        <w:t xml:space="preserve">   </w:t>
      </w:r>
    </w:p>
    <w:p w:rsidR="00327D56" w:rsidRDefault="00004C66" w:rsidP="00C415EC">
      <w:pPr>
        <w:pStyle w:val="Heading2"/>
        <w:numPr>
          <w:ilvl w:val="0"/>
          <w:numId w:val="0"/>
        </w:numPr>
        <w:tabs>
          <w:tab w:val="left" w:pos="4228"/>
          <w:tab w:val="center" w:pos="4848"/>
        </w:tabs>
        <w:ind w:left="576"/>
      </w:pPr>
      <w:r w:rsidRPr="00004C66">
        <w:rPr>
          <w:noProof/>
          <w:lang w:val="es-ES" w:eastAsia="es-ES" w:bidi="ar-SA"/>
        </w:rPr>
        <w:drawing>
          <wp:inline distT="0" distB="0" distL="0" distR="0">
            <wp:extent cx="5613400" cy="3478435"/>
            <wp:effectExtent l="19050" t="0" r="635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613400" cy="3478435"/>
                    </a:xfrm>
                    <a:prstGeom prst="rect">
                      <a:avLst/>
                    </a:prstGeom>
                    <a:noFill/>
                    <a:ln w="9525">
                      <a:noFill/>
                      <a:miter lim="800000"/>
                      <a:headEnd/>
                      <a:tailEnd/>
                    </a:ln>
                  </pic:spPr>
                </pic:pic>
              </a:graphicData>
            </a:graphic>
          </wp:inline>
        </w:drawing>
      </w:r>
    </w:p>
    <w:p w:rsidR="00D74953" w:rsidRDefault="00D74953" w:rsidP="00D74953">
      <w:pPr>
        <w:widowControl w:val="0"/>
        <w:adjustRightInd w:val="0"/>
        <w:jc w:val="both"/>
        <w:textAlignment w:val="baseline"/>
        <w:rPr>
          <w:szCs w:val="24"/>
          <w:lang w:val="es-ES_tradnl"/>
        </w:rPr>
      </w:pPr>
      <w:r>
        <w:rPr>
          <w:sz w:val="18"/>
          <w:szCs w:val="18"/>
          <w:lang w:val="es-CR"/>
        </w:rPr>
        <w:t xml:space="preserve">            </w:t>
      </w:r>
    </w:p>
    <w:p w:rsidR="00D74953" w:rsidRPr="00D74953" w:rsidRDefault="00D74953" w:rsidP="00D74953">
      <w:pPr>
        <w:rPr>
          <w:lang w:val="es-CR" w:bidi="en-US"/>
        </w:rPr>
      </w:pPr>
    </w:p>
    <w:sectPr w:rsidR="00D74953" w:rsidRPr="00D74953" w:rsidSect="00657410">
      <w:pgSz w:w="12242" w:h="15842" w:code="1"/>
      <w:pgMar w:top="1418" w:right="1701" w:bottom="1418" w:left="1701" w:header="73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16" w:rsidRDefault="00744216">
      <w:r>
        <w:separator/>
      </w:r>
    </w:p>
  </w:endnote>
  <w:endnote w:type="continuationSeparator" w:id="0">
    <w:p w:rsidR="00744216" w:rsidRDefault="0074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0E" w:rsidRDefault="00523113" w:rsidP="00133CDE">
    <w:pPr>
      <w:pStyle w:val="Footer"/>
      <w:framePr w:wrap="around" w:vAnchor="text" w:hAnchor="margin" w:xAlign="center" w:y="1"/>
      <w:rPr>
        <w:rStyle w:val="PageNumber"/>
      </w:rPr>
    </w:pPr>
    <w:r>
      <w:rPr>
        <w:rStyle w:val="PageNumber"/>
      </w:rPr>
      <w:fldChar w:fldCharType="begin"/>
    </w:r>
    <w:r w:rsidR="002C0B0E">
      <w:rPr>
        <w:rStyle w:val="PageNumber"/>
      </w:rPr>
      <w:instrText xml:space="preserve">PAGE  </w:instrText>
    </w:r>
    <w:r>
      <w:rPr>
        <w:rStyle w:val="PageNumber"/>
      </w:rPr>
      <w:fldChar w:fldCharType="end"/>
    </w:r>
  </w:p>
  <w:p w:rsidR="002C0B0E" w:rsidRDefault="002C0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276"/>
      <w:docPartObj>
        <w:docPartGallery w:val="Page Numbers (Bottom of Page)"/>
        <w:docPartUnique/>
      </w:docPartObj>
    </w:sdtPr>
    <w:sdtEndPr/>
    <w:sdtContent>
      <w:p w:rsidR="002C0B0E" w:rsidRDefault="006E3FDD" w:rsidP="00732177">
        <w:pPr>
          <w:pStyle w:val="Footer"/>
          <w:framePr w:wrap="around" w:vAnchor="text" w:hAnchor="margin" w:xAlign="center" w:y="1"/>
          <w:jc w:val="center"/>
        </w:pPr>
      </w:p>
    </w:sdtContent>
  </w:sdt>
  <w:p w:rsidR="002C0B0E" w:rsidRDefault="002C0B0E" w:rsidP="0019618A">
    <w:pPr>
      <w:pStyle w:val="Footer"/>
      <w:framePr w:wrap="around" w:vAnchor="text" w:hAnchor="margin" w:xAlign="center"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3112"/>
      <w:docPartObj>
        <w:docPartGallery w:val="Page Numbers (Bottom of Page)"/>
        <w:docPartUnique/>
      </w:docPartObj>
    </w:sdtPr>
    <w:sdtEndPr/>
    <w:sdtContent>
      <w:p w:rsidR="002C0B0E" w:rsidRDefault="00523113">
        <w:pPr>
          <w:pStyle w:val="Footer"/>
          <w:jc w:val="center"/>
        </w:pPr>
        <w:r>
          <w:fldChar w:fldCharType="begin"/>
        </w:r>
        <w:r w:rsidR="00806C12">
          <w:instrText xml:space="preserve"> PAGE   \* MERGEFORMAT </w:instrText>
        </w:r>
        <w:r>
          <w:fldChar w:fldCharType="separate"/>
        </w:r>
        <w:r w:rsidR="006E3FDD">
          <w:rPr>
            <w:noProof/>
          </w:rPr>
          <w:t>20</w:t>
        </w:r>
        <w:r>
          <w:rPr>
            <w:noProof/>
          </w:rPr>
          <w:fldChar w:fldCharType="end"/>
        </w:r>
      </w:p>
    </w:sdtContent>
  </w:sdt>
  <w:p w:rsidR="002C0B0E" w:rsidRDefault="002C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16" w:rsidRDefault="00744216">
      <w:r>
        <w:separator/>
      </w:r>
    </w:p>
  </w:footnote>
  <w:footnote w:type="continuationSeparator" w:id="0">
    <w:p w:rsidR="00744216" w:rsidRDefault="00744216">
      <w:r>
        <w:continuationSeparator/>
      </w:r>
    </w:p>
  </w:footnote>
  <w:footnote w:id="1">
    <w:p w:rsidR="002C0B0E" w:rsidRPr="008736DD" w:rsidRDefault="002C0B0E" w:rsidP="008736DD">
      <w:pPr>
        <w:pStyle w:val="Footer"/>
        <w:rPr>
          <w:sz w:val="18"/>
          <w:szCs w:val="18"/>
        </w:rPr>
      </w:pPr>
      <w:r w:rsidRPr="008736DD">
        <w:rPr>
          <w:rStyle w:val="FootnoteReference"/>
          <w:sz w:val="18"/>
          <w:szCs w:val="18"/>
        </w:rPr>
        <w:footnoteRef/>
      </w:r>
      <w:r w:rsidRPr="008736DD">
        <w:rPr>
          <w:sz w:val="18"/>
          <w:szCs w:val="18"/>
        </w:rPr>
        <w:t xml:space="preserve"> </w:t>
      </w:r>
      <w:r w:rsidRPr="008736DD">
        <w:rPr>
          <w:sz w:val="18"/>
          <w:szCs w:val="18"/>
        </w:rPr>
        <w:tab/>
      </w:r>
      <w:r w:rsidRPr="008736DD">
        <w:rPr>
          <w:sz w:val="18"/>
          <w:szCs w:val="18"/>
          <w:lang w:val="es-CR"/>
        </w:rPr>
        <w:t xml:space="preserve">Ficha Técnica Proyecto de Mejoramiento de las Terminales de Transbordadores del Golfo de Nicoya, </w:t>
      </w:r>
      <w:r w:rsidR="007253AD">
        <w:rPr>
          <w:sz w:val="18"/>
          <w:szCs w:val="18"/>
          <w:lang w:val="es-CR"/>
        </w:rPr>
        <w:t>Junio</w:t>
      </w:r>
      <w:r w:rsidR="00E47C65">
        <w:rPr>
          <w:sz w:val="18"/>
          <w:szCs w:val="18"/>
          <w:lang w:val="es-CR"/>
        </w:rPr>
        <w:t xml:space="preserve"> 2013</w:t>
      </w:r>
      <w:r w:rsidRPr="008736DD">
        <w:rPr>
          <w:sz w:val="18"/>
          <w:szCs w:val="18"/>
          <w:lang w:val="es-CR"/>
        </w:rPr>
        <w:t xml:space="preserve">, División Marítima Portuaria, Dirección de Gestión, MOPT, </w:t>
      </w:r>
    </w:p>
    <w:p w:rsidR="002C0B0E" w:rsidRPr="00E12286" w:rsidRDefault="002C0B0E" w:rsidP="008736DD">
      <w:pPr>
        <w:pStyle w:val="Footer"/>
        <w:rPr>
          <w:sz w:val="16"/>
          <w:szCs w:val="16"/>
        </w:rPr>
      </w:pPr>
    </w:p>
    <w:p w:rsidR="002C0B0E" w:rsidRDefault="002C0B0E" w:rsidP="008736DD">
      <w:pPr>
        <w:pStyle w:val="FootnoteText"/>
        <w:ind w:left="709" w:hanging="70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0E" w:rsidRDefault="00523113" w:rsidP="00133CDE">
    <w:pPr>
      <w:pStyle w:val="Header"/>
      <w:framePr w:wrap="around" w:vAnchor="text" w:hAnchor="margin" w:xAlign="center" w:y="1"/>
      <w:rPr>
        <w:rStyle w:val="PageNumber"/>
      </w:rPr>
    </w:pPr>
    <w:r>
      <w:rPr>
        <w:rStyle w:val="PageNumber"/>
      </w:rPr>
      <w:fldChar w:fldCharType="begin"/>
    </w:r>
    <w:r w:rsidR="002C0B0E">
      <w:rPr>
        <w:rStyle w:val="PageNumber"/>
      </w:rPr>
      <w:instrText xml:space="preserve">PAGE  </w:instrText>
    </w:r>
    <w:r>
      <w:rPr>
        <w:rStyle w:val="PageNumber"/>
      </w:rPr>
      <w:fldChar w:fldCharType="end"/>
    </w:r>
  </w:p>
  <w:p w:rsidR="002C0B0E" w:rsidRDefault="002C0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B0E" w:rsidRPr="00E733DF" w:rsidRDefault="002C0B0E" w:rsidP="00133CD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80095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B0182"/>
    <w:multiLevelType w:val="hybridMultilevel"/>
    <w:tmpl w:val="483A47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0A633E"/>
    <w:multiLevelType w:val="hybridMultilevel"/>
    <w:tmpl w:val="32E021DC"/>
    <w:lvl w:ilvl="0" w:tplc="140A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4C4FD8"/>
    <w:multiLevelType w:val="hybridMultilevel"/>
    <w:tmpl w:val="0E08C996"/>
    <w:lvl w:ilvl="0" w:tplc="E29C08C6">
      <w:start w:val="1"/>
      <w:numFmt w:val="lowerLetter"/>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DAB7FC9"/>
    <w:multiLevelType w:val="multilevel"/>
    <w:tmpl w:val="0656918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color w:val="000000"/>
        <w:sz w:val="24"/>
        <w:szCs w:val="24"/>
      </w:rPr>
    </w:lvl>
    <w:lvl w:ilvl="2">
      <w:start w:val="1"/>
      <w:numFmt w:val="lowerLetter"/>
      <w:lvlText w:val="(%3)"/>
      <w:lvlJc w:val="left"/>
      <w:pPr>
        <w:tabs>
          <w:tab w:val="num" w:pos="648"/>
        </w:tabs>
        <w:ind w:left="648" w:hanging="360"/>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nsid w:val="12C07B9F"/>
    <w:multiLevelType w:val="multilevel"/>
    <w:tmpl w:val="7E6A0DF6"/>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62833CA"/>
    <w:multiLevelType w:val="hybridMultilevel"/>
    <w:tmpl w:val="D4265F9C"/>
    <w:lvl w:ilvl="0" w:tplc="118C98C8">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7">
    <w:nsid w:val="19AB7565"/>
    <w:multiLevelType w:val="hybridMultilevel"/>
    <w:tmpl w:val="A522A90C"/>
    <w:lvl w:ilvl="0" w:tplc="33E42A50">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8">
    <w:nsid w:val="1DFD325B"/>
    <w:multiLevelType w:val="hybridMultilevel"/>
    <w:tmpl w:val="6CC0A170"/>
    <w:lvl w:ilvl="0" w:tplc="8D3E2EDE">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9">
    <w:nsid w:val="21741A53"/>
    <w:multiLevelType w:val="hybridMultilevel"/>
    <w:tmpl w:val="3144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6925F9"/>
    <w:multiLevelType w:val="hybridMultilevel"/>
    <w:tmpl w:val="22E27D8A"/>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2EA76EA3"/>
    <w:multiLevelType w:val="hybridMultilevel"/>
    <w:tmpl w:val="67186DB0"/>
    <w:lvl w:ilvl="0" w:tplc="380A0015">
      <w:start w:val="1"/>
      <w:numFmt w:val="upperLetter"/>
      <w:lvlText w:val="%1."/>
      <w:lvlJc w:val="left"/>
      <w:pPr>
        <w:ind w:left="770" w:hanging="360"/>
      </w:pPr>
      <w:rPr>
        <w:rFonts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12">
    <w:nsid w:val="38067E6F"/>
    <w:multiLevelType w:val="hybridMultilevel"/>
    <w:tmpl w:val="589E3CA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80F51CE"/>
    <w:multiLevelType w:val="hybridMultilevel"/>
    <w:tmpl w:val="E8EC304E"/>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C927B29"/>
    <w:multiLevelType w:val="hybridMultilevel"/>
    <w:tmpl w:val="C818D152"/>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D1C1AB5"/>
    <w:multiLevelType w:val="multilevel"/>
    <w:tmpl w:val="8CDC4686"/>
    <w:lvl w:ilvl="0">
      <w:start w:val="1"/>
      <w:numFmt w:val="decimal"/>
      <w:lvlText w:val="%1."/>
      <w:lvlJc w:val="left"/>
      <w:pPr>
        <w:tabs>
          <w:tab w:val="num" w:pos="705"/>
        </w:tabs>
        <w:ind w:left="705" w:hanging="705"/>
      </w:pPr>
      <w:rPr>
        <w:rFonts w:hint="default"/>
        <w:sz w:val="24"/>
        <w:szCs w:val="24"/>
      </w:rPr>
    </w:lvl>
    <w:lvl w:ilvl="1">
      <w:start w:val="1"/>
      <w:numFmt w:val="bullet"/>
      <w:lvlText w:val=""/>
      <w:lvlJc w:val="left"/>
      <w:pPr>
        <w:tabs>
          <w:tab w:val="num" w:pos="360"/>
        </w:tabs>
        <w:ind w:left="360" w:hanging="360"/>
      </w:pPr>
      <w:rPr>
        <w:rFonts w:ascii="Symbol" w:hAnsi="Symbol"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DD56771"/>
    <w:multiLevelType w:val="hybridMultilevel"/>
    <w:tmpl w:val="0F2C57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3DD60DF8"/>
    <w:multiLevelType w:val="hybridMultilevel"/>
    <w:tmpl w:val="D914667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403C72F3"/>
    <w:multiLevelType w:val="multilevel"/>
    <w:tmpl w:val="77009F50"/>
    <w:lvl w:ilvl="0">
      <w:start w:val="1"/>
      <w:numFmt w:val="upperRoman"/>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9">
    <w:nsid w:val="418D6E21"/>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7705DC"/>
    <w:multiLevelType w:val="hybridMultilevel"/>
    <w:tmpl w:val="0E08C996"/>
    <w:lvl w:ilvl="0" w:tplc="E29C08C6">
      <w:start w:val="1"/>
      <w:numFmt w:val="lowerLetter"/>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2A62DD2"/>
    <w:multiLevelType w:val="hybridMultilevel"/>
    <w:tmpl w:val="2D742AB8"/>
    <w:lvl w:ilvl="0" w:tplc="63CA9CAE">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2">
    <w:nsid w:val="43223234"/>
    <w:multiLevelType w:val="hybridMultilevel"/>
    <w:tmpl w:val="67744764"/>
    <w:lvl w:ilvl="0" w:tplc="140A000B">
      <w:start w:val="1"/>
      <w:numFmt w:val="bullet"/>
      <w:lvlText w:val=""/>
      <w:lvlJc w:val="left"/>
      <w:pPr>
        <w:ind w:left="644" w:hanging="360"/>
      </w:pPr>
      <w:rPr>
        <w:rFonts w:ascii="Wingdings" w:hAnsi="Wingdings" w:hint="default"/>
      </w:rPr>
    </w:lvl>
    <w:lvl w:ilvl="1" w:tplc="000B0409">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D924B0"/>
    <w:multiLevelType w:val="hybridMultilevel"/>
    <w:tmpl w:val="5DEA6288"/>
    <w:lvl w:ilvl="0" w:tplc="BC4091D6">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4">
    <w:nsid w:val="4B095BB8"/>
    <w:multiLevelType w:val="multilevel"/>
    <w:tmpl w:val="4CC6AA8C"/>
    <w:lvl w:ilvl="0">
      <w:start w:val="1"/>
      <w:numFmt w:val="decimal"/>
      <w:lvlText w:val="%1."/>
      <w:lvlJc w:val="left"/>
      <w:pPr>
        <w:ind w:left="720" w:hanging="360"/>
      </w:pPr>
      <w:rPr>
        <w:rFonts w:hint="default"/>
        <w:sz w:val="24"/>
        <w:szCs w:val="24"/>
      </w:rPr>
    </w:lvl>
    <w:lvl w:ilvl="1">
      <w:start w:val="1"/>
      <w:numFmt w:val="decimal"/>
      <w:isLgl/>
      <w:lvlText w:val="%1.%2"/>
      <w:lvlJc w:val="left"/>
      <w:pPr>
        <w:ind w:left="1068" w:hanging="708"/>
      </w:pPr>
      <w:rPr>
        <w:rFonts w:ascii="Times New Roman" w:hAnsi="Times New Roman" w:cs="Times New Roman" w:hint="default"/>
        <w:b w:val="0"/>
        <w:sz w:val="24"/>
        <w:szCs w:val="24"/>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B8313F2"/>
    <w:multiLevelType w:val="hybridMultilevel"/>
    <w:tmpl w:val="E68C0436"/>
    <w:lvl w:ilvl="0" w:tplc="53764B9A">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6">
    <w:nsid w:val="4D3C2D42"/>
    <w:multiLevelType w:val="hybridMultilevel"/>
    <w:tmpl w:val="EF16DA80"/>
    <w:lvl w:ilvl="0" w:tplc="01FC8306">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27">
    <w:nsid w:val="511F47AC"/>
    <w:multiLevelType w:val="hybridMultilevel"/>
    <w:tmpl w:val="D1262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55D62BB1"/>
    <w:multiLevelType w:val="hybridMultilevel"/>
    <w:tmpl w:val="E8EC304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BBE42D1"/>
    <w:multiLevelType w:val="hybridMultilevel"/>
    <w:tmpl w:val="82EAED06"/>
    <w:lvl w:ilvl="0" w:tplc="988255B6">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0">
    <w:nsid w:val="61FD784B"/>
    <w:multiLevelType w:val="hybridMultilevel"/>
    <w:tmpl w:val="4A76F5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62DF5591"/>
    <w:multiLevelType w:val="hybridMultilevel"/>
    <w:tmpl w:val="1554B24E"/>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nsid w:val="63A91D57"/>
    <w:multiLevelType w:val="hybridMultilevel"/>
    <w:tmpl w:val="619C3B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7323E03"/>
    <w:multiLevelType w:val="hybridMultilevel"/>
    <w:tmpl w:val="88AEFD74"/>
    <w:lvl w:ilvl="0" w:tplc="140A0001">
      <w:start w:val="1"/>
      <w:numFmt w:val="bullet"/>
      <w:lvlText w:val=""/>
      <w:lvlJc w:val="left"/>
      <w:pPr>
        <w:ind w:left="770" w:hanging="360"/>
      </w:pPr>
      <w:rPr>
        <w:rFonts w:ascii="Symbol" w:hAnsi="Symbol" w:hint="default"/>
      </w:rPr>
    </w:lvl>
    <w:lvl w:ilvl="1" w:tplc="140A0003" w:tentative="1">
      <w:start w:val="1"/>
      <w:numFmt w:val="bullet"/>
      <w:lvlText w:val="o"/>
      <w:lvlJc w:val="left"/>
      <w:pPr>
        <w:ind w:left="1490" w:hanging="360"/>
      </w:pPr>
      <w:rPr>
        <w:rFonts w:ascii="Courier New" w:hAnsi="Courier New" w:cs="Courier New" w:hint="default"/>
      </w:rPr>
    </w:lvl>
    <w:lvl w:ilvl="2" w:tplc="140A0005" w:tentative="1">
      <w:start w:val="1"/>
      <w:numFmt w:val="bullet"/>
      <w:lvlText w:val=""/>
      <w:lvlJc w:val="left"/>
      <w:pPr>
        <w:ind w:left="2210" w:hanging="360"/>
      </w:pPr>
      <w:rPr>
        <w:rFonts w:ascii="Wingdings" w:hAnsi="Wingdings" w:hint="default"/>
      </w:rPr>
    </w:lvl>
    <w:lvl w:ilvl="3" w:tplc="140A0001" w:tentative="1">
      <w:start w:val="1"/>
      <w:numFmt w:val="bullet"/>
      <w:lvlText w:val=""/>
      <w:lvlJc w:val="left"/>
      <w:pPr>
        <w:ind w:left="2930" w:hanging="360"/>
      </w:pPr>
      <w:rPr>
        <w:rFonts w:ascii="Symbol" w:hAnsi="Symbol" w:hint="default"/>
      </w:rPr>
    </w:lvl>
    <w:lvl w:ilvl="4" w:tplc="140A0003" w:tentative="1">
      <w:start w:val="1"/>
      <w:numFmt w:val="bullet"/>
      <w:lvlText w:val="o"/>
      <w:lvlJc w:val="left"/>
      <w:pPr>
        <w:ind w:left="3650" w:hanging="360"/>
      </w:pPr>
      <w:rPr>
        <w:rFonts w:ascii="Courier New" w:hAnsi="Courier New" w:cs="Courier New" w:hint="default"/>
      </w:rPr>
    </w:lvl>
    <w:lvl w:ilvl="5" w:tplc="140A0005" w:tentative="1">
      <w:start w:val="1"/>
      <w:numFmt w:val="bullet"/>
      <w:lvlText w:val=""/>
      <w:lvlJc w:val="left"/>
      <w:pPr>
        <w:ind w:left="4370" w:hanging="360"/>
      </w:pPr>
      <w:rPr>
        <w:rFonts w:ascii="Wingdings" w:hAnsi="Wingdings" w:hint="default"/>
      </w:rPr>
    </w:lvl>
    <w:lvl w:ilvl="6" w:tplc="140A0001" w:tentative="1">
      <w:start w:val="1"/>
      <w:numFmt w:val="bullet"/>
      <w:lvlText w:val=""/>
      <w:lvlJc w:val="left"/>
      <w:pPr>
        <w:ind w:left="5090" w:hanging="360"/>
      </w:pPr>
      <w:rPr>
        <w:rFonts w:ascii="Symbol" w:hAnsi="Symbol" w:hint="default"/>
      </w:rPr>
    </w:lvl>
    <w:lvl w:ilvl="7" w:tplc="140A0003" w:tentative="1">
      <w:start w:val="1"/>
      <w:numFmt w:val="bullet"/>
      <w:lvlText w:val="o"/>
      <w:lvlJc w:val="left"/>
      <w:pPr>
        <w:ind w:left="5810" w:hanging="360"/>
      </w:pPr>
      <w:rPr>
        <w:rFonts w:ascii="Courier New" w:hAnsi="Courier New" w:cs="Courier New" w:hint="default"/>
      </w:rPr>
    </w:lvl>
    <w:lvl w:ilvl="8" w:tplc="140A0005" w:tentative="1">
      <w:start w:val="1"/>
      <w:numFmt w:val="bullet"/>
      <w:lvlText w:val=""/>
      <w:lvlJc w:val="left"/>
      <w:pPr>
        <w:ind w:left="6530" w:hanging="360"/>
      </w:pPr>
      <w:rPr>
        <w:rFonts w:ascii="Wingdings" w:hAnsi="Wingdings" w:hint="default"/>
      </w:rPr>
    </w:lvl>
  </w:abstractNum>
  <w:abstractNum w:abstractNumId="34">
    <w:nsid w:val="6AA93266"/>
    <w:multiLevelType w:val="hybridMultilevel"/>
    <w:tmpl w:val="582A98D0"/>
    <w:lvl w:ilvl="0" w:tplc="5B149F8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6FFB30AF"/>
    <w:multiLevelType w:val="hybridMultilevel"/>
    <w:tmpl w:val="C1F8BB1A"/>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6">
    <w:nsid w:val="703A2828"/>
    <w:multiLevelType w:val="multilevel"/>
    <w:tmpl w:val="17BE1D96"/>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nsid w:val="762A7CBE"/>
    <w:multiLevelType w:val="multilevel"/>
    <w:tmpl w:val="7E6A0DF6"/>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98A740F"/>
    <w:multiLevelType w:val="multilevel"/>
    <w:tmpl w:val="7E6A0DF6"/>
    <w:lvl w:ilvl="0">
      <w:start w:val="1"/>
      <w:numFmt w:val="decimal"/>
      <w:lvlText w:val="%1."/>
      <w:lvlJc w:val="left"/>
      <w:pPr>
        <w:tabs>
          <w:tab w:val="num" w:pos="705"/>
        </w:tabs>
        <w:ind w:left="705" w:hanging="705"/>
      </w:pPr>
      <w:rPr>
        <w:rFonts w:hint="default"/>
        <w:sz w:val="24"/>
        <w:szCs w:val="24"/>
      </w:rPr>
    </w:lvl>
    <w:lvl w:ilvl="1">
      <w:start w:val="1"/>
      <w:numFmt w:val="decimal"/>
      <w:isLg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AA862FA"/>
    <w:multiLevelType w:val="hybridMultilevel"/>
    <w:tmpl w:val="22E27D8A"/>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0">
    <w:nsid w:val="7BE303E1"/>
    <w:multiLevelType w:val="hybridMultilevel"/>
    <w:tmpl w:val="ED1CDE9C"/>
    <w:lvl w:ilvl="0" w:tplc="63260CB0">
      <w:start w:val="1"/>
      <w:numFmt w:val="upperRoman"/>
      <w:lvlText w:val="%1."/>
      <w:lvlJc w:val="right"/>
      <w:pPr>
        <w:ind w:left="720" w:hanging="360"/>
      </w:pPr>
    </w:lvl>
    <w:lvl w:ilvl="1" w:tplc="1624A052">
      <w:start w:val="1"/>
      <w:numFmt w:val="upperRoman"/>
      <w:lvlText w:val="%2."/>
      <w:lvlJc w:val="right"/>
      <w:pPr>
        <w:ind w:left="1350" w:hanging="360"/>
      </w:pPr>
    </w:lvl>
    <w:lvl w:ilvl="2" w:tplc="0998462E">
      <w:start w:val="1"/>
      <w:numFmt w:val="bullet"/>
      <w:lvlText w:val=""/>
      <w:lvlJc w:val="left"/>
      <w:pPr>
        <w:tabs>
          <w:tab w:val="num" w:pos="80"/>
        </w:tabs>
        <w:ind w:left="80" w:hanging="360"/>
      </w:pPr>
      <w:rPr>
        <w:rFonts w:ascii="Symbol" w:hAnsi="Symbol" w:hint="default"/>
      </w:rPr>
    </w:lvl>
    <w:lvl w:ilvl="3" w:tplc="A08A7C16">
      <w:start w:val="1"/>
      <w:numFmt w:val="decimal"/>
      <w:lvlText w:val="%4."/>
      <w:lvlJc w:val="left"/>
      <w:pPr>
        <w:tabs>
          <w:tab w:val="num" w:pos="2880"/>
        </w:tabs>
        <w:ind w:left="2880" w:hanging="360"/>
      </w:pPr>
    </w:lvl>
    <w:lvl w:ilvl="4" w:tplc="F3443194">
      <w:start w:val="1"/>
      <w:numFmt w:val="decimal"/>
      <w:lvlText w:val="%5."/>
      <w:lvlJc w:val="left"/>
      <w:pPr>
        <w:tabs>
          <w:tab w:val="num" w:pos="3600"/>
        </w:tabs>
        <w:ind w:left="3600" w:hanging="360"/>
      </w:pPr>
    </w:lvl>
    <w:lvl w:ilvl="5" w:tplc="7E481D34">
      <w:start w:val="1"/>
      <w:numFmt w:val="decimal"/>
      <w:lvlText w:val="%6."/>
      <w:lvlJc w:val="left"/>
      <w:pPr>
        <w:tabs>
          <w:tab w:val="num" w:pos="4320"/>
        </w:tabs>
        <w:ind w:left="4320" w:hanging="360"/>
      </w:pPr>
    </w:lvl>
    <w:lvl w:ilvl="6" w:tplc="B1D4BA66">
      <w:start w:val="1"/>
      <w:numFmt w:val="decimal"/>
      <w:lvlText w:val="%7."/>
      <w:lvlJc w:val="left"/>
      <w:pPr>
        <w:tabs>
          <w:tab w:val="num" w:pos="5040"/>
        </w:tabs>
        <w:ind w:left="5040" w:hanging="360"/>
      </w:pPr>
    </w:lvl>
    <w:lvl w:ilvl="7" w:tplc="92F2CD8E">
      <w:start w:val="1"/>
      <w:numFmt w:val="decimal"/>
      <w:lvlText w:val="%8."/>
      <w:lvlJc w:val="left"/>
      <w:pPr>
        <w:tabs>
          <w:tab w:val="num" w:pos="5760"/>
        </w:tabs>
        <w:ind w:left="5760" w:hanging="360"/>
      </w:pPr>
    </w:lvl>
    <w:lvl w:ilvl="8" w:tplc="5674FFA2">
      <w:start w:val="1"/>
      <w:numFmt w:val="decimal"/>
      <w:lvlText w:val="%9."/>
      <w:lvlJc w:val="left"/>
      <w:pPr>
        <w:tabs>
          <w:tab w:val="num" w:pos="6480"/>
        </w:tabs>
        <w:ind w:left="6480" w:hanging="360"/>
      </w:pPr>
    </w:lvl>
  </w:abstractNum>
  <w:num w:numId="1">
    <w:abstractNumId w:val="4"/>
  </w:num>
  <w:num w:numId="2">
    <w:abstractNumId w:val="5"/>
  </w:num>
  <w:num w:numId="3">
    <w:abstractNumId w:val="21"/>
  </w:num>
  <w:num w:numId="4">
    <w:abstractNumId w:val="25"/>
  </w:num>
  <w:num w:numId="5">
    <w:abstractNumId w:val="23"/>
  </w:num>
  <w:num w:numId="6">
    <w:abstractNumId w:val="29"/>
  </w:num>
  <w:num w:numId="7">
    <w:abstractNumId w:val="6"/>
  </w:num>
  <w:num w:numId="8">
    <w:abstractNumId w:val="0"/>
  </w:num>
  <w:num w:numId="9">
    <w:abstractNumId w:val="9"/>
  </w:num>
  <w:num w:numId="10">
    <w:abstractNumId w:val="26"/>
  </w:num>
  <w:num w:numId="11">
    <w:abstractNumId w:val="17"/>
  </w:num>
  <w:num w:numId="12">
    <w:abstractNumId w:val="24"/>
  </w:num>
  <w:num w:numId="13">
    <w:abstractNumId w:val="7"/>
  </w:num>
  <w:num w:numId="14">
    <w:abstractNumId w:val="8"/>
  </w:num>
  <w:num w:numId="15">
    <w:abstractNumId w:val="37"/>
  </w:num>
  <w:num w:numId="16">
    <w:abstractNumId w:val="34"/>
  </w:num>
  <w:num w:numId="17">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30"/>
  </w:num>
  <w:num w:numId="22">
    <w:abstractNumId w:val="27"/>
  </w:num>
  <w:num w:numId="23">
    <w:abstractNumId w:val="16"/>
  </w:num>
  <w:num w:numId="24">
    <w:abstractNumId w:val="14"/>
  </w:num>
  <w:num w:numId="25">
    <w:abstractNumId w:val="12"/>
  </w:num>
  <w:num w:numId="26">
    <w:abstractNumId w:val="32"/>
  </w:num>
  <w:num w:numId="27">
    <w:abstractNumId w:val="39"/>
  </w:num>
  <w:num w:numId="28">
    <w:abstractNumId w:val="33"/>
  </w:num>
  <w:num w:numId="29">
    <w:abstractNumId w:val="11"/>
  </w:num>
  <w:num w:numId="30">
    <w:abstractNumId w:val="10"/>
  </w:num>
  <w:num w:numId="31">
    <w:abstractNumId w:val="15"/>
  </w:num>
  <w:num w:numId="32">
    <w:abstractNumId w:val="31"/>
  </w:num>
  <w:num w:numId="33">
    <w:abstractNumId w:val="35"/>
  </w:num>
  <w:num w:numId="34">
    <w:abstractNumId w:val="36"/>
  </w:num>
  <w:num w:numId="35">
    <w:abstractNumId w:val="38"/>
  </w:num>
  <w:num w:numId="36">
    <w:abstractNumId w:val="19"/>
  </w:num>
  <w:num w:numId="37">
    <w:abstractNumId w:val="13"/>
  </w:num>
  <w:num w:numId="38">
    <w:abstractNumId w:val="20"/>
  </w:num>
  <w:num w:numId="39">
    <w:abstractNumId w:val="3"/>
  </w:num>
  <w:num w:numId="40">
    <w:abstractNumId w:val="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EA6D9D"/>
    <w:rsid w:val="000013D5"/>
    <w:rsid w:val="00004C66"/>
    <w:rsid w:val="00010060"/>
    <w:rsid w:val="00010D99"/>
    <w:rsid w:val="000130A4"/>
    <w:rsid w:val="00015A85"/>
    <w:rsid w:val="00015C89"/>
    <w:rsid w:val="00017658"/>
    <w:rsid w:val="00020128"/>
    <w:rsid w:val="00020E62"/>
    <w:rsid w:val="00024BBB"/>
    <w:rsid w:val="00027016"/>
    <w:rsid w:val="00027772"/>
    <w:rsid w:val="00027A69"/>
    <w:rsid w:val="00033FD4"/>
    <w:rsid w:val="00034441"/>
    <w:rsid w:val="000403B5"/>
    <w:rsid w:val="00042C53"/>
    <w:rsid w:val="00044220"/>
    <w:rsid w:val="00044327"/>
    <w:rsid w:val="00046A62"/>
    <w:rsid w:val="000476A3"/>
    <w:rsid w:val="00047EAC"/>
    <w:rsid w:val="000613F9"/>
    <w:rsid w:val="00061FA9"/>
    <w:rsid w:val="00063BCC"/>
    <w:rsid w:val="00066F64"/>
    <w:rsid w:val="000717D5"/>
    <w:rsid w:val="000772F9"/>
    <w:rsid w:val="00077DF0"/>
    <w:rsid w:val="00081032"/>
    <w:rsid w:val="000813E5"/>
    <w:rsid w:val="00081976"/>
    <w:rsid w:val="0008320B"/>
    <w:rsid w:val="00091926"/>
    <w:rsid w:val="000A0343"/>
    <w:rsid w:val="000A2170"/>
    <w:rsid w:val="000A3543"/>
    <w:rsid w:val="000A3DEA"/>
    <w:rsid w:val="000A50CE"/>
    <w:rsid w:val="000A537F"/>
    <w:rsid w:val="000A677B"/>
    <w:rsid w:val="000A70C4"/>
    <w:rsid w:val="000A77E4"/>
    <w:rsid w:val="000A79FA"/>
    <w:rsid w:val="000A7A8A"/>
    <w:rsid w:val="000B06C4"/>
    <w:rsid w:val="000B177E"/>
    <w:rsid w:val="000B2400"/>
    <w:rsid w:val="000B2827"/>
    <w:rsid w:val="000B2B26"/>
    <w:rsid w:val="000B3089"/>
    <w:rsid w:val="000B640F"/>
    <w:rsid w:val="000B748E"/>
    <w:rsid w:val="000C240A"/>
    <w:rsid w:val="000C34EF"/>
    <w:rsid w:val="000C725C"/>
    <w:rsid w:val="000D027B"/>
    <w:rsid w:val="000D2649"/>
    <w:rsid w:val="000D6EA4"/>
    <w:rsid w:val="000E0F39"/>
    <w:rsid w:val="000E3A9C"/>
    <w:rsid w:val="000E5A9C"/>
    <w:rsid w:val="000F0611"/>
    <w:rsid w:val="000F3DED"/>
    <w:rsid w:val="001008F0"/>
    <w:rsid w:val="0010167E"/>
    <w:rsid w:val="00101B39"/>
    <w:rsid w:val="00104623"/>
    <w:rsid w:val="00105DD2"/>
    <w:rsid w:val="001076E6"/>
    <w:rsid w:val="00112C53"/>
    <w:rsid w:val="0011718B"/>
    <w:rsid w:val="0012644B"/>
    <w:rsid w:val="001326D7"/>
    <w:rsid w:val="00133CDE"/>
    <w:rsid w:val="00135364"/>
    <w:rsid w:val="00136C53"/>
    <w:rsid w:val="00142DC0"/>
    <w:rsid w:val="00151DD2"/>
    <w:rsid w:val="001523AD"/>
    <w:rsid w:val="00153844"/>
    <w:rsid w:val="001667D4"/>
    <w:rsid w:val="00170212"/>
    <w:rsid w:val="00170ED5"/>
    <w:rsid w:val="00173734"/>
    <w:rsid w:val="00173F5D"/>
    <w:rsid w:val="00174E14"/>
    <w:rsid w:val="00175E39"/>
    <w:rsid w:val="00177558"/>
    <w:rsid w:val="00180294"/>
    <w:rsid w:val="00181D86"/>
    <w:rsid w:val="0018363B"/>
    <w:rsid w:val="001854AB"/>
    <w:rsid w:val="00185D1F"/>
    <w:rsid w:val="00190239"/>
    <w:rsid w:val="00192B15"/>
    <w:rsid w:val="00195C3C"/>
    <w:rsid w:val="0019618A"/>
    <w:rsid w:val="0019772D"/>
    <w:rsid w:val="001A0EFE"/>
    <w:rsid w:val="001A146D"/>
    <w:rsid w:val="001A1E8F"/>
    <w:rsid w:val="001A29BF"/>
    <w:rsid w:val="001A5363"/>
    <w:rsid w:val="001A6605"/>
    <w:rsid w:val="001A78E3"/>
    <w:rsid w:val="001B17A0"/>
    <w:rsid w:val="001B1CF2"/>
    <w:rsid w:val="001B1FF6"/>
    <w:rsid w:val="001B310C"/>
    <w:rsid w:val="001B5298"/>
    <w:rsid w:val="001C6D5F"/>
    <w:rsid w:val="001D779A"/>
    <w:rsid w:val="001D7EFE"/>
    <w:rsid w:val="001E4C3B"/>
    <w:rsid w:val="001F4BE7"/>
    <w:rsid w:val="001F5C13"/>
    <w:rsid w:val="001F6690"/>
    <w:rsid w:val="001F73C0"/>
    <w:rsid w:val="00207238"/>
    <w:rsid w:val="00215198"/>
    <w:rsid w:val="0022050C"/>
    <w:rsid w:val="002215C2"/>
    <w:rsid w:val="00225A5A"/>
    <w:rsid w:val="002260FB"/>
    <w:rsid w:val="00227E28"/>
    <w:rsid w:val="00227F0F"/>
    <w:rsid w:val="00231270"/>
    <w:rsid w:val="002346B0"/>
    <w:rsid w:val="00237A40"/>
    <w:rsid w:val="00244A43"/>
    <w:rsid w:val="00250D30"/>
    <w:rsid w:val="00251103"/>
    <w:rsid w:val="00253086"/>
    <w:rsid w:val="00264A9A"/>
    <w:rsid w:val="0026546E"/>
    <w:rsid w:val="00265FF5"/>
    <w:rsid w:val="00267F39"/>
    <w:rsid w:val="00270B77"/>
    <w:rsid w:val="00284E1F"/>
    <w:rsid w:val="00287EA0"/>
    <w:rsid w:val="0029296A"/>
    <w:rsid w:val="00293324"/>
    <w:rsid w:val="00294157"/>
    <w:rsid w:val="00296D26"/>
    <w:rsid w:val="002A054A"/>
    <w:rsid w:val="002A2EED"/>
    <w:rsid w:val="002A38B2"/>
    <w:rsid w:val="002A74B9"/>
    <w:rsid w:val="002B02C1"/>
    <w:rsid w:val="002B2565"/>
    <w:rsid w:val="002B3477"/>
    <w:rsid w:val="002B4512"/>
    <w:rsid w:val="002B5E0A"/>
    <w:rsid w:val="002C0B0E"/>
    <w:rsid w:val="002C20FD"/>
    <w:rsid w:val="002C433C"/>
    <w:rsid w:val="002C465C"/>
    <w:rsid w:val="002C7768"/>
    <w:rsid w:val="002C79A4"/>
    <w:rsid w:val="002C7CAD"/>
    <w:rsid w:val="002D4B4C"/>
    <w:rsid w:val="002D5463"/>
    <w:rsid w:val="002D68E6"/>
    <w:rsid w:val="002D71AA"/>
    <w:rsid w:val="002E49B7"/>
    <w:rsid w:val="002E5F18"/>
    <w:rsid w:val="002E7CB4"/>
    <w:rsid w:val="002F0B63"/>
    <w:rsid w:val="002F4C7F"/>
    <w:rsid w:val="002F5A40"/>
    <w:rsid w:val="002F6A44"/>
    <w:rsid w:val="002F6BFC"/>
    <w:rsid w:val="003026AC"/>
    <w:rsid w:val="0031299E"/>
    <w:rsid w:val="00314200"/>
    <w:rsid w:val="003145BE"/>
    <w:rsid w:val="0031488E"/>
    <w:rsid w:val="00315776"/>
    <w:rsid w:val="003172F3"/>
    <w:rsid w:val="003204D5"/>
    <w:rsid w:val="00322295"/>
    <w:rsid w:val="00322CC9"/>
    <w:rsid w:val="003238BA"/>
    <w:rsid w:val="00327D26"/>
    <w:rsid w:val="00327D56"/>
    <w:rsid w:val="00345E44"/>
    <w:rsid w:val="00346557"/>
    <w:rsid w:val="0035242A"/>
    <w:rsid w:val="00352F4A"/>
    <w:rsid w:val="00353104"/>
    <w:rsid w:val="003536FE"/>
    <w:rsid w:val="003555C3"/>
    <w:rsid w:val="00355C9E"/>
    <w:rsid w:val="00363D23"/>
    <w:rsid w:val="00367E6D"/>
    <w:rsid w:val="003725F3"/>
    <w:rsid w:val="00372780"/>
    <w:rsid w:val="00374BE6"/>
    <w:rsid w:val="00376A59"/>
    <w:rsid w:val="003774FE"/>
    <w:rsid w:val="00383703"/>
    <w:rsid w:val="00384998"/>
    <w:rsid w:val="00385A24"/>
    <w:rsid w:val="00391946"/>
    <w:rsid w:val="00395DD0"/>
    <w:rsid w:val="003A2E95"/>
    <w:rsid w:val="003A531C"/>
    <w:rsid w:val="003A586D"/>
    <w:rsid w:val="003B5E17"/>
    <w:rsid w:val="003C07ED"/>
    <w:rsid w:val="003C5F76"/>
    <w:rsid w:val="003D05C2"/>
    <w:rsid w:val="003D1987"/>
    <w:rsid w:val="003D2C8C"/>
    <w:rsid w:val="003D2EC8"/>
    <w:rsid w:val="003D50AB"/>
    <w:rsid w:val="003D55C3"/>
    <w:rsid w:val="003D7092"/>
    <w:rsid w:val="003E2847"/>
    <w:rsid w:val="003E2E5C"/>
    <w:rsid w:val="003E5B8C"/>
    <w:rsid w:val="003E6AFC"/>
    <w:rsid w:val="003E6B92"/>
    <w:rsid w:val="003F1060"/>
    <w:rsid w:val="003F1E71"/>
    <w:rsid w:val="00401591"/>
    <w:rsid w:val="00401B00"/>
    <w:rsid w:val="00402EC4"/>
    <w:rsid w:val="00404691"/>
    <w:rsid w:val="00405611"/>
    <w:rsid w:val="00410BD3"/>
    <w:rsid w:val="00410E56"/>
    <w:rsid w:val="00411242"/>
    <w:rsid w:val="00412461"/>
    <w:rsid w:val="00413CAA"/>
    <w:rsid w:val="0041415D"/>
    <w:rsid w:val="004155ED"/>
    <w:rsid w:val="004163AB"/>
    <w:rsid w:val="0041691E"/>
    <w:rsid w:val="00421E0B"/>
    <w:rsid w:val="00425A0D"/>
    <w:rsid w:val="004278F9"/>
    <w:rsid w:val="00430119"/>
    <w:rsid w:val="0043256F"/>
    <w:rsid w:val="0043265B"/>
    <w:rsid w:val="00433EC0"/>
    <w:rsid w:val="004343A9"/>
    <w:rsid w:val="00434BD6"/>
    <w:rsid w:val="00435AF4"/>
    <w:rsid w:val="00435CF4"/>
    <w:rsid w:val="004379A8"/>
    <w:rsid w:val="00441306"/>
    <w:rsid w:val="00441471"/>
    <w:rsid w:val="00441F86"/>
    <w:rsid w:val="00442A79"/>
    <w:rsid w:val="004459E4"/>
    <w:rsid w:val="00447B75"/>
    <w:rsid w:val="004562AA"/>
    <w:rsid w:val="00457CB2"/>
    <w:rsid w:val="00457E82"/>
    <w:rsid w:val="00462357"/>
    <w:rsid w:val="00463B18"/>
    <w:rsid w:val="00471653"/>
    <w:rsid w:val="004719E3"/>
    <w:rsid w:val="00471A59"/>
    <w:rsid w:val="00474AAA"/>
    <w:rsid w:val="0047790E"/>
    <w:rsid w:val="00482923"/>
    <w:rsid w:val="00486A9E"/>
    <w:rsid w:val="00486D91"/>
    <w:rsid w:val="00490464"/>
    <w:rsid w:val="00491CDD"/>
    <w:rsid w:val="0049209D"/>
    <w:rsid w:val="0049220B"/>
    <w:rsid w:val="004A0DF8"/>
    <w:rsid w:val="004B01EB"/>
    <w:rsid w:val="004B7D05"/>
    <w:rsid w:val="004C05A2"/>
    <w:rsid w:val="004C2550"/>
    <w:rsid w:val="004D4E2B"/>
    <w:rsid w:val="004D5984"/>
    <w:rsid w:val="004E2375"/>
    <w:rsid w:val="004E2803"/>
    <w:rsid w:val="004E3442"/>
    <w:rsid w:val="004F0C41"/>
    <w:rsid w:val="004F2B3F"/>
    <w:rsid w:val="004F36DE"/>
    <w:rsid w:val="00507512"/>
    <w:rsid w:val="005103FD"/>
    <w:rsid w:val="005135BF"/>
    <w:rsid w:val="00514190"/>
    <w:rsid w:val="005154F4"/>
    <w:rsid w:val="00521D15"/>
    <w:rsid w:val="005221B4"/>
    <w:rsid w:val="00523113"/>
    <w:rsid w:val="00525929"/>
    <w:rsid w:val="00531516"/>
    <w:rsid w:val="00535C40"/>
    <w:rsid w:val="00537986"/>
    <w:rsid w:val="005455F0"/>
    <w:rsid w:val="0054639E"/>
    <w:rsid w:val="0055294C"/>
    <w:rsid w:val="00552C96"/>
    <w:rsid w:val="005549C6"/>
    <w:rsid w:val="00555EDF"/>
    <w:rsid w:val="00556E9A"/>
    <w:rsid w:val="00557D82"/>
    <w:rsid w:val="005618E1"/>
    <w:rsid w:val="00573BD9"/>
    <w:rsid w:val="00574D3D"/>
    <w:rsid w:val="005756B2"/>
    <w:rsid w:val="00576CF9"/>
    <w:rsid w:val="00586B40"/>
    <w:rsid w:val="00587EDA"/>
    <w:rsid w:val="00591987"/>
    <w:rsid w:val="00597AA3"/>
    <w:rsid w:val="005A01A5"/>
    <w:rsid w:val="005A14B0"/>
    <w:rsid w:val="005A266B"/>
    <w:rsid w:val="005A7F16"/>
    <w:rsid w:val="005B074B"/>
    <w:rsid w:val="005B20C3"/>
    <w:rsid w:val="005C3FF0"/>
    <w:rsid w:val="005C435A"/>
    <w:rsid w:val="005C4D8E"/>
    <w:rsid w:val="005C5F57"/>
    <w:rsid w:val="005C7749"/>
    <w:rsid w:val="005D23EB"/>
    <w:rsid w:val="005D4CA7"/>
    <w:rsid w:val="005E1A5A"/>
    <w:rsid w:val="005E4CB6"/>
    <w:rsid w:val="005E4CCB"/>
    <w:rsid w:val="005E61C0"/>
    <w:rsid w:val="005F65FB"/>
    <w:rsid w:val="005F7046"/>
    <w:rsid w:val="006023F7"/>
    <w:rsid w:val="006027C9"/>
    <w:rsid w:val="0061030A"/>
    <w:rsid w:val="00610EFA"/>
    <w:rsid w:val="006118D9"/>
    <w:rsid w:val="006143D1"/>
    <w:rsid w:val="00625B53"/>
    <w:rsid w:val="006275A5"/>
    <w:rsid w:val="00641FFE"/>
    <w:rsid w:val="00645051"/>
    <w:rsid w:val="00646461"/>
    <w:rsid w:val="00646C89"/>
    <w:rsid w:val="00650073"/>
    <w:rsid w:val="00651FC3"/>
    <w:rsid w:val="00652D0E"/>
    <w:rsid w:val="00653915"/>
    <w:rsid w:val="00657410"/>
    <w:rsid w:val="00660297"/>
    <w:rsid w:val="006616C5"/>
    <w:rsid w:val="00664B59"/>
    <w:rsid w:val="006669CA"/>
    <w:rsid w:val="006702A4"/>
    <w:rsid w:val="00671DF8"/>
    <w:rsid w:val="006905E9"/>
    <w:rsid w:val="00694B32"/>
    <w:rsid w:val="00696838"/>
    <w:rsid w:val="006A3BB7"/>
    <w:rsid w:val="006B2D0A"/>
    <w:rsid w:val="006B602F"/>
    <w:rsid w:val="006B7333"/>
    <w:rsid w:val="006C5A91"/>
    <w:rsid w:val="006C6AA1"/>
    <w:rsid w:val="006C7276"/>
    <w:rsid w:val="006D1A9C"/>
    <w:rsid w:val="006D2183"/>
    <w:rsid w:val="006D4D40"/>
    <w:rsid w:val="006D4EA9"/>
    <w:rsid w:val="006D58C1"/>
    <w:rsid w:val="006D6CFA"/>
    <w:rsid w:val="006E0A1B"/>
    <w:rsid w:val="006E2C21"/>
    <w:rsid w:val="006E3FDD"/>
    <w:rsid w:val="006E445B"/>
    <w:rsid w:val="006E4970"/>
    <w:rsid w:val="006E5FE9"/>
    <w:rsid w:val="006E6F9D"/>
    <w:rsid w:val="006E739C"/>
    <w:rsid w:val="006F0C51"/>
    <w:rsid w:val="006F2286"/>
    <w:rsid w:val="006F77FD"/>
    <w:rsid w:val="006F7CE4"/>
    <w:rsid w:val="0070010F"/>
    <w:rsid w:val="00700327"/>
    <w:rsid w:val="0070044A"/>
    <w:rsid w:val="007037E3"/>
    <w:rsid w:val="00712106"/>
    <w:rsid w:val="0071214C"/>
    <w:rsid w:val="007133ED"/>
    <w:rsid w:val="00715875"/>
    <w:rsid w:val="00715CB5"/>
    <w:rsid w:val="00722999"/>
    <w:rsid w:val="007253AD"/>
    <w:rsid w:val="0072594A"/>
    <w:rsid w:val="0072623C"/>
    <w:rsid w:val="00727CA0"/>
    <w:rsid w:val="0073192E"/>
    <w:rsid w:val="00732177"/>
    <w:rsid w:val="00737600"/>
    <w:rsid w:val="007409EE"/>
    <w:rsid w:val="00742B46"/>
    <w:rsid w:val="00744216"/>
    <w:rsid w:val="00744FF9"/>
    <w:rsid w:val="007471C2"/>
    <w:rsid w:val="0075280C"/>
    <w:rsid w:val="007553B4"/>
    <w:rsid w:val="00755707"/>
    <w:rsid w:val="00757453"/>
    <w:rsid w:val="007601AE"/>
    <w:rsid w:val="00760C65"/>
    <w:rsid w:val="00761F89"/>
    <w:rsid w:val="00762016"/>
    <w:rsid w:val="00763CE5"/>
    <w:rsid w:val="00764D82"/>
    <w:rsid w:val="007729E0"/>
    <w:rsid w:val="007738BC"/>
    <w:rsid w:val="00773BD8"/>
    <w:rsid w:val="00780D20"/>
    <w:rsid w:val="00785720"/>
    <w:rsid w:val="00787AB5"/>
    <w:rsid w:val="007920A9"/>
    <w:rsid w:val="007930DB"/>
    <w:rsid w:val="00794BB2"/>
    <w:rsid w:val="00796CC0"/>
    <w:rsid w:val="00796DED"/>
    <w:rsid w:val="00797C36"/>
    <w:rsid w:val="007A2AE3"/>
    <w:rsid w:val="007A352A"/>
    <w:rsid w:val="007B0E88"/>
    <w:rsid w:val="007B3C16"/>
    <w:rsid w:val="007C1F03"/>
    <w:rsid w:val="007C2C10"/>
    <w:rsid w:val="007C699C"/>
    <w:rsid w:val="007C7E7A"/>
    <w:rsid w:val="007D074B"/>
    <w:rsid w:val="007D2113"/>
    <w:rsid w:val="007D4ACB"/>
    <w:rsid w:val="007D5A14"/>
    <w:rsid w:val="007E28D9"/>
    <w:rsid w:val="007E3112"/>
    <w:rsid w:val="007E5765"/>
    <w:rsid w:val="007F0417"/>
    <w:rsid w:val="007F0CC2"/>
    <w:rsid w:val="007F1167"/>
    <w:rsid w:val="008000EE"/>
    <w:rsid w:val="00802761"/>
    <w:rsid w:val="0080484E"/>
    <w:rsid w:val="00805319"/>
    <w:rsid w:val="00806445"/>
    <w:rsid w:val="00806C12"/>
    <w:rsid w:val="008137AC"/>
    <w:rsid w:val="008200EB"/>
    <w:rsid w:val="00821B00"/>
    <w:rsid w:val="008314A3"/>
    <w:rsid w:val="00831F95"/>
    <w:rsid w:val="00832474"/>
    <w:rsid w:val="008358AC"/>
    <w:rsid w:val="00835A9B"/>
    <w:rsid w:val="00841DD6"/>
    <w:rsid w:val="00842FAB"/>
    <w:rsid w:val="008446F2"/>
    <w:rsid w:val="00844ABE"/>
    <w:rsid w:val="00851978"/>
    <w:rsid w:val="00851B81"/>
    <w:rsid w:val="008535A0"/>
    <w:rsid w:val="00853BC4"/>
    <w:rsid w:val="00855DE0"/>
    <w:rsid w:val="00856A55"/>
    <w:rsid w:val="00856FE4"/>
    <w:rsid w:val="008576ED"/>
    <w:rsid w:val="0086368A"/>
    <w:rsid w:val="00865FA6"/>
    <w:rsid w:val="0086683A"/>
    <w:rsid w:val="008736DD"/>
    <w:rsid w:val="00873C2B"/>
    <w:rsid w:val="00876CE5"/>
    <w:rsid w:val="008809AF"/>
    <w:rsid w:val="00883718"/>
    <w:rsid w:val="008868D5"/>
    <w:rsid w:val="00896E25"/>
    <w:rsid w:val="008A2718"/>
    <w:rsid w:val="008A3E44"/>
    <w:rsid w:val="008A5E8D"/>
    <w:rsid w:val="008A6F0D"/>
    <w:rsid w:val="008B10EE"/>
    <w:rsid w:val="008B1378"/>
    <w:rsid w:val="008B5A9C"/>
    <w:rsid w:val="008B64A8"/>
    <w:rsid w:val="008C020C"/>
    <w:rsid w:val="008C1605"/>
    <w:rsid w:val="008C4EA4"/>
    <w:rsid w:val="008C5B7D"/>
    <w:rsid w:val="008C7879"/>
    <w:rsid w:val="008D10D5"/>
    <w:rsid w:val="008D1E58"/>
    <w:rsid w:val="008D2224"/>
    <w:rsid w:val="008D2582"/>
    <w:rsid w:val="008D269C"/>
    <w:rsid w:val="008E3569"/>
    <w:rsid w:val="008E3D84"/>
    <w:rsid w:val="008E5DCD"/>
    <w:rsid w:val="008E5DFE"/>
    <w:rsid w:val="008E5E9F"/>
    <w:rsid w:val="008F044E"/>
    <w:rsid w:val="008F17F8"/>
    <w:rsid w:val="008F19EC"/>
    <w:rsid w:val="008F583C"/>
    <w:rsid w:val="00904B9D"/>
    <w:rsid w:val="009075E8"/>
    <w:rsid w:val="00910352"/>
    <w:rsid w:val="00913F4D"/>
    <w:rsid w:val="0091421C"/>
    <w:rsid w:val="00914888"/>
    <w:rsid w:val="00915B35"/>
    <w:rsid w:val="00916884"/>
    <w:rsid w:val="00916F3C"/>
    <w:rsid w:val="00917707"/>
    <w:rsid w:val="00921EB3"/>
    <w:rsid w:val="00926799"/>
    <w:rsid w:val="00926E45"/>
    <w:rsid w:val="009306AB"/>
    <w:rsid w:val="00933ED5"/>
    <w:rsid w:val="00933FFF"/>
    <w:rsid w:val="00935C8D"/>
    <w:rsid w:val="00936214"/>
    <w:rsid w:val="00942454"/>
    <w:rsid w:val="00943E57"/>
    <w:rsid w:val="00944086"/>
    <w:rsid w:val="0094702B"/>
    <w:rsid w:val="00951C19"/>
    <w:rsid w:val="009574E3"/>
    <w:rsid w:val="00960DCB"/>
    <w:rsid w:val="009660EA"/>
    <w:rsid w:val="0096750D"/>
    <w:rsid w:val="00975296"/>
    <w:rsid w:val="009753B3"/>
    <w:rsid w:val="00975499"/>
    <w:rsid w:val="00977ECE"/>
    <w:rsid w:val="00982661"/>
    <w:rsid w:val="00983F0A"/>
    <w:rsid w:val="0098676E"/>
    <w:rsid w:val="00986B5E"/>
    <w:rsid w:val="00990E75"/>
    <w:rsid w:val="00995CC4"/>
    <w:rsid w:val="00996878"/>
    <w:rsid w:val="009A2515"/>
    <w:rsid w:val="009A27F9"/>
    <w:rsid w:val="009A4CA5"/>
    <w:rsid w:val="009A5C21"/>
    <w:rsid w:val="009A5D90"/>
    <w:rsid w:val="009B1968"/>
    <w:rsid w:val="009B39DD"/>
    <w:rsid w:val="009B713A"/>
    <w:rsid w:val="009C03C8"/>
    <w:rsid w:val="009C15D3"/>
    <w:rsid w:val="009C3F30"/>
    <w:rsid w:val="009C7BBA"/>
    <w:rsid w:val="009D72EB"/>
    <w:rsid w:val="009D737C"/>
    <w:rsid w:val="009E2E6E"/>
    <w:rsid w:val="009F096B"/>
    <w:rsid w:val="009F5C8E"/>
    <w:rsid w:val="009F6791"/>
    <w:rsid w:val="00A017F1"/>
    <w:rsid w:val="00A0611F"/>
    <w:rsid w:val="00A06A49"/>
    <w:rsid w:val="00A119E9"/>
    <w:rsid w:val="00A141F1"/>
    <w:rsid w:val="00A20467"/>
    <w:rsid w:val="00A21955"/>
    <w:rsid w:val="00A21F33"/>
    <w:rsid w:val="00A254E6"/>
    <w:rsid w:val="00A265E0"/>
    <w:rsid w:val="00A26711"/>
    <w:rsid w:val="00A26B87"/>
    <w:rsid w:val="00A3182F"/>
    <w:rsid w:val="00A32809"/>
    <w:rsid w:val="00A34146"/>
    <w:rsid w:val="00A3467B"/>
    <w:rsid w:val="00A3788E"/>
    <w:rsid w:val="00A40268"/>
    <w:rsid w:val="00A428FE"/>
    <w:rsid w:val="00A42B95"/>
    <w:rsid w:val="00A47E88"/>
    <w:rsid w:val="00A51859"/>
    <w:rsid w:val="00A52D2D"/>
    <w:rsid w:val="00A534FB"/>
    <w:rsid w:val="00A536A5"/>
    <w:rsid w:val="00A55F00"/>
    <w:rsid w:val="00A60DB1"/>
    <w:rsid w:val="00A65B33"/>
    <w:rsid w:val="00A66A23"/>
    <w:rsid w:val="00A71176"/>
    <w:rsid w:val="00A74ACB"/>
    <w:rsid w:val="00A77275"/>
    <w:rsid w:val="00A77BAD"/>
    <w:rsid w:val="00A77F12"/>
    <w:rsid w:val="00A801C7"/>
    <w:rsid w:val="00A80B64"/>
    <w:rsid w:val="00A81E47"/>
    <w:rsid w:val="00A87C94"/>
    <w:rsid w:val="00A907E2"/>
    <w:rsid w:val="00A920C3"/>
    <w:rsid w:val="00A92A41"/>
    <w:rsid w:val="00A94796"/>
    <w:rsid w:val="00AA0AFD"/>
    <w:rsid w:val="00AA1198"/>
    <w:rsid w:val="00AA2A92"/>
    <w:rsid w:val="00AA586F"/>
    <w:rsid w:val="00AA7C83"/>
    <w:rsid w:val="00AB21D6"/>
    <w:rsid w:val="00AB2689"/>
    <w:rsid w:val="00AB3064"/>
    <w:rsid w:val="00AB3FE4"/>
    <w:rsid w:val="00AB65C8"/>
    <w:rsid w:val="00AB69BC"/>
    <w:rsid w:val="00AC11C2"/>
    <w:rsid w:val="00AC188E"/>
    <w:rsid w:val="00AC2586"/>
    <w:rsid w:val="00AC4610"/>
    <w:rsid w:val="00AC74F1"/>
    <w:rsid w:val="00AC79C0"/>
    <w:rsid w:val="00AD295C"/>
    <w:rsid w:val="00AD38E8"/>
    <w:rsid w:val="00AD445C"/>
    <w:rsid w:val="00AD4613"/>
    <w:rsid w:val="00AD6DB6"/>
    <w:rsid w:val="00AD79E8"/>
    <w:rsid w:val="00AE1A12"/>
    <w:rsid w:val="00AE208C"/>
    <w:rsid w:val="00AE2453"/>
    <w:rsid w:val="00AE795C"/>
    <w:rsid w:val="00AF029B"/>
    <w:rsid w:val="00AF4C0E"/>
    <w:rsid w:val="00AF5941"/>
    <w:rsid w:val="00AF6D24"/>
    <w:rsid w:val="00B027CA"/>
    <w:rsid w:val="00B04BB2"/>
    <w:rsid w:val="00B05931"/>
    <w:rsid w:val="00B05E00"/>
    <w:rsid w:val="00B13393"/>
    <w:rsid w:val="00B1771F"/>
    <w:rsid w:val="00B20706"/>
    <w:rsid w:val="00B207F5"/>
    <w:rsid w:val="00B225D4"/>
    <w:rsid w:val="00B225F4"/>
    <w:rsid w:val="00B22A23"/>
    <w:rsid w:val="00B24E79"/>
    <w:rsid w:val="00B2713E"/>
    <w:rsid w:val="00B27B66"/>
    <w:rsid w:val="00B339E0"/>
    <w:rsid w:val="00B33FA1"/>
    <w:rsid w:val="00B341ED"/>
    <w:rsid w:val="00B35858"/>
    <w:rsid w:val="00B44454"/>
    <w:rsid w:val="00B4750B"/>
    <w:rsid w:val="00B531FE"/>
    <w:rsid w:val="00B632B7"/>
    <w:rsid w:val="00B64EE2"/>
    <w:rsid w:val="00B65E71"/>
    <w:rsid w:val="00B667A5"/>
    <w:rsid w:val="00B66B0E"/>
    <w:rsid w:val="00B66FBB"/>
    <w:rsid w:val="00B67766"/>
    <w:rsid w:val="00B677C8"/>
    <w:rsid w:val="00B72418"/>
    <w:rsid w:val="00B739EA"/>
    <w:rsid w:val="00B76BBB"/>
    <w:rsid w:val="00B80823"/>
    <w:rsid w:val="00B81EE7"/>
    <w:rsid w:val="00B829C1"/>
    <w:rsid w:val="00B82B68"/>
    <w:rsid w:val="00B834A0"/>
    <w:rsid w:val="00B83A42"/>
    <w:rsid w:val="00B84490"/>
    <w:rsid w:val="00B87AFE"/>
    <w:rsid w:val="00B954D2"/>
    <w:rsid w:val="00B969E3"/>
    <w:rsid w:val="00B97614"/>
    <w:rsid w:val="00BA4EBD"/>
    <w:rsid w:val="00BA7115"/>
    <w:rsid w:val="00BB2EEC"/>
    <w:rsid w:val="00BC14BC"/>
    <w:rsid w:val="00BC5CC9"/>
    <w:rsid w:val="00BC7C93"/>
    <w:rsid w:val="00BD014F"/>
    <w:rsid w:val="00BD0329"/>
    <w:rsid w:val="00BD1D8B"/>
    <w:rsid w:val="00BD21EB"/>
    <w:rsid w:val="00BE0795"/>
    <w:rsid w:val="00BE1AD2"/>
    <w:rsid w:val="00BE2D8C"/>
    <w:rsid w:val="00BE4753"/>
    <w:rsid w:val="00BF4195"/>
    <w:rsid w:val="00BF581B"/>
    <w:rsid w:val="00BF776D"/>
    <w:rsid w:val="00BF7B61"/>
    <w:rsid w:val="00C00013"/>
    <w:rsid w:val="00C03883"/>
    <w:rsid w:val="00C11583"/>
    <w:rsid w:val="00C14B37"/>
    <w:rsid w:val="00C164FC"/>
    <w:rsid w:val="00C205A1"/>
    <w:rsid w:val="00C21302"/>
    <w:rsid w:val="00C24161"/>
    <w:rsid w:val="00C27717"/>
    <w:rsid w:val="00C32798"/>
    <w:rsid w:val="00C34D19"/>
    <w:rsid w:val="00C36A92"/>
    <w:rsid w:val="00C373A4"/>
    <w:rsid w:val="00C415EC"/>
    <w:rsid w:val="00C44140"/>
    <w:rsid w:val="00C4582A"/>
    <w:rsid w:val="00C4788F"/>
    <w:rsid w:val="00C52DE2"/>
    <w:rsid w:val="00C52ECF"/>
    <w:rsid w:val="00C56873"/>
    <w:rsid w:val="00C56D91"/>
    <w:rsid w:val="00C60CBB"/>
    <w:rsid w:val="00C60EF7"/>
    <w:rsid w:val="00C62277"/>
    <w:rsid w:val="00C659A7"/>
    <w:rsid w:val="00C65F05"/>
    <w:rsid w:val="00C73A82"/>
    <w:rsid w:val="00C77D65"/>
    <w:rsid w:val="00C83B27"/>
    <w:rsid w:val="00C849DF"/>
    <w:rsid w:val="00C90271"/>
    <w:rsid w:val="00C9342B"/>
    <w:rsid w:val="00C94F88"/>
    <w:rsid w:val="00C95459"/>
    <w:rsid w:val="00C95C6D"/>
    <w:rsid w:val="00C970EF"/>
    <w:rsid w:val="00C97C08"/>
    <w:rsid w:val="00CA25D9"/>
    <w:rsid w:val="00CA61BE"/>
    <w:rsid w:val="00CA640E"/>
    <w:rsid w:val="00CA65EE"/>
    <w:rsid w:val="00CA732C"/>
    <w:rsid w:val="00CB0245"/>
    <w:rsid w:val="00CB5EC7"/>
    <w:rsid w:val="00CB6193"/>
    <w:rsid w:val="00CC1D58"/>
    <w:rsid w:val="00CD48EB"/>
    <w:rsid w:val="00CD56C1"/>
    <w:rsid w:val="00CD6446"/>
    <w:rsid w:val="00CD648F"/>
    <w:rsid w:val="00CE1C9D"/>
    <w:rsid w:val="00CE6D62"/>
    <w:rsid w:val="00CE7F98"/>
    <w:rsid w:val="00CF38A7"/>
    <w:rsid w:val="00CF6034"/>
    <w:rsid w:val="00D01139"/>
    <w:rsid w:val="00D11956"/>
    <w:rsid w:val="00D12A0C"/>
    <w:rsid w:val="00D152BC"/>
    <w:rsid w:val="00D162E7"/>
    <w:rsid w:val="00D25529"/>
    <w:rsid w:val="00D2776F"/>
    <w:rsid w:val="00D305A0"/>
    <w:rsid w:val="00D309BE"/>
    <w:rsid w:val="00D31CAE"/>
    <w:rsid w:val="00D4266E"/>
    <w:rsid w:val="00D4412F"/>
    <w:rsid w:val="00D54A19"/>
    <w:rsid w:val="00D55680"/>
    <w:rsid w:val="00D55CF5"/>
    <w:rsid w:val="00D560BA"/>
    <w:rsid w:val="00D560D2"/>
    <w:rsid w:val="00D63219"/>
    <w:rsid w:val="00D65772"/>
    <w:rsid w:val="00D7031A"/>
    <w:rsid w:val="00D72019"/>
    <w:rsid w:val="00D72199"/>
    <w:rsid w:val="00D73E46"/>
    <w:rsid w:val="00D744FD"/>
    <w:rsid w:val="00D74953"/>
    <w:rsid w:val="00D76760"/>
    <w:rsid w:val="00D80F74"/>
    <w:rsid w:val="00D85283"/>
    <w:rsid w:val="00D85418"/>
    <w:rsid w:val="00D864F5"/>
    <w:rsid w:val="00D917A5"/>
    <w:rsid w:val="00D94E0F"/>
    <w:rsid w:val="00DA4531"/>
    <w:rsid w:val="00DA6C9E"/>
    <w:rsid w:val="00DB54D7"/>
    <w:rsid w:val="00DB5B2D"/>
    <w:rsid w:val="00DB78A0"/>
    <w:rsid w:val="00DC166F"/>
    <w:rsid w:val="00DC1C3D"/>
    <w:rsid w:val="00DC27FD"/>
    <w:rsid w:val="00DC41E3"/>
    <w:rsid w:val="00DC4749"/>
    <w:rsid w:val="00DC6CB6"/>
    <w:rsid w:val="00DD2E62"/>
    <w:rsid w:val="00DD603A"/>
    <w:rsid w:val="00DE1BDF"/>
    <w:rsid w:val="00DE1DED"/>
    <w:rsid w:val="00DE2147"/>
    <w:rsid w:val="00DE5EC1"/>
    <w:rsid w:val="00DF23B3"/>
    <w:rsid w:val="00DF38BD"/>
    <w:rsid w:val="00DF5A03"/>
    <w:rsid w:val="00E0024D"/>
    <w:rsid w:val="00E012A9"/>
    <w:rsid w:val="00E029A4"/>
    <w:rsid w:val="00E02BE3"/>
    <w:rsid w:val="00E044FE"/>
    <w:rsid w:val="00E0464B"/>
    <w:rsid w:val="00E052A6"/>
    <w:rsid w:val="00E06C93"/>
    <w:rsid w:val="00E07F18"/>
    <w:rsid w:val="00E10D55"/>
    <w:rsid w:val="00E12286"/>
    <w:rsid w:val="00E13E6D"/>
    <w:rsid w:val="00E16C98"/>
    <w:rsid w:val="00E22068"/>
    <w:rsid w:val="00E2546D"/>
    <w:rsid w:val="00E368B2"/>
    <w:rsid w:val="00E3728B"/>
    <w:rsid w:val="00E37D9B"/>
    <w:rsid w:val="00E42800"/>
    <w:rsid w:val="00E43AC2"/>
    <w:rsid w:val="00E43AFD"/>
    <w:rsid w:val="00E43DAE"/>
    <w:rsid w:val="00E47C65"/>
    <w:rsid w:val="00E51EDC"/>
    <w:rsid w:val="00E5304E"/>
    <w:rsid w:val="00E5405F"/>
    <w:rsid w:val="00E54F2D"/>
    <w:rsid w:val="00E5669D"/>
    <w:rsid w:val="00E5711E"/>
    <w:rsid w:val="00E602F4"/>
    <w:rsid w:val="00E6053D"/>
    <w:rsid w:val="00E645F3"/>
    <w:rsid w:val="00E71F6A"/>
    <w:rsid w:val="00E73BD2"/>
    <w:rsid w:val="00E846CA"/>
    <w:rsid w:val="00E86139"/>
    <w:rsid w:val="00E86620"/>
    <w:rsid w:val="00E86E6C"/>
    <w:rsid w:val="00E942FF"/>
    <w:rsid w:val="00E94485"/>
    <w:rsid w:val="00E95AC4"/>
    <w:rsid w:val="00E97C5B"/>
    <w:rsid w:val="00EA04BF"/>
    <w:rsid w:val="00EA1014"/>
    <w:rsid w:val="00EA19EC"/>
    <w:rsid w:val="00EA5015"/>
    <w:rsid w:val="00EA5BFD"/>
    <w:rsid w:val="00EA6CCF"/>
    <w:rsid w:val="00EA6D9D"/>
    <w:rsid w:val="00EB3763"/>
    <w:rsid w:val="00EB5D63"/>
    <w:rsid w:val="00EB7564"/>
    <w:rsid w:val="00EC0756"/>
    <w:rsid w:val="00EC1D86"/>
    <w:rsid w:val="00EC22AD"/>
    <w:rsid w:val="00EC3C6C"/>
    <w:rsid w:val="00ED1E11"/>
    <w:rsid w:val="00ED2E9E"/>
    <w:rsid w:val="00ED3B05"/>
    <w:rsid w:val="00ED555A"/>
    <w:rsid w:val="00ED6CF5"/>
    <w:rsid w:val="00EE64F7"/>
    <w:rsid w:val="00EE66FA"/>
    <w:rsid w:val="00EE78C5"/>
    <w:rsid w:val="00EF0D4C"/>
    <w:rsid w:val="00EF2D40"/>
    <w:rsid w:val="00EF3141"/>
    <w:rsid w:val="00EF406D"/>
    <w:rsid w:val="00EF4724"/>
    <w:rsid w:val="00F028D3"/>
    <w:rsid w:val="00F04D1A"/>
    <w:rsid w:val="00F10708"/>
    <w:rsid w:val="00F157F0"/>
    <w:rsid w:val="00F171A5"/>
    <w:rsid w:val="00F20803"/>
    <w:rsid w:val="00F23097"/>
    <w:rsid w:val="00F24D93"/>
    <w:rsid w:val="00F267F3"/>
    <w:rsid w:val="00F30DA4"/>
    <w:rsid w:val="00F31F2D"/>
    <w:rsid w:val="00F33B0C"/>
    <w:rsid w:val="00F352FB"/>
    <w:rsid w:val="00F36FC6"/>
    <w:rsid w:val="00F375EA"/>
    <w:rsid w:val="00F41306"/>
    <w:rsid w:val="00F43E56"/>
    <w:rsid w:val="00F4459D"/>
    <w:rsid w:val="00F454EA"/>
    <w:rsid w:val="00F46787"/>
    <w:rsid w:val="00F47D40"/>
    <w:rsid w:val="00F51747"/>
    <w:rsid w:val="00F543F8"/>
    <w:rsid w:val="00F566AC"/>
    <w:rsid w:val="00F61998"/>
    <w:rsid w:val="00F63BBC"/>
    <w:rsid w:val="00F647CD"/>
    <w:rsid w:val="00F70AF1"/>
    <w:rsid w:val="00F714DA"/>
    <w:rsid w:val="00F72622"/>
    <w:rsid w:val="00F774E2"/>
    <w:rsid w:val="00F85B67"/>
    <w:rsid w:val="00F8616F"/>
    <w:rsid w:val="00F90AB0"/>
    <w:rsid w:val="00F9173C"/>
    <w:rsid w:val="00F939AB"/>
    <w:rsid w:val="00F95536"/>
    <w:rsid w:val="00F95EA1"/>
    <w:rsid w:val="00F9778D"/>
    <w:rsid w:val="00FA2A8D"/>
    <w:rsid w:val="00FC2621"/>
    <w:rsid w:val="00FC44D5"/>
    <w:rsid w:val="00FC6813"/>
    <w:rsid w:val="00FD005F"/>
    <w:rsid w:val="00FE2BD2"/>
    <w:rsid w:val="00FE4043"/>
    <w:rsid w:val="00FE6414"/>
    <w:rsid w:val="00FE779D"/>
    <w:rsid w:val="00FF0AC8"/>
    <w:rsid w:val="00FF19E9"/>
    <w:rsid w:val="00FF1D0E"/>
    <w:rsid w:val="00FF373F"/>
    <w:rsid w:val="00FF6B7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CDE"/>
    <w:rPr>
      <w:sz w:val="24"/>
      <w:lang w:eastAsia="en-US"/>
    </w:rPr>
  </w:style>
  <w:style w:type="paragraph" w:styleId="Heading1">
    <w:name w:val="heading 1"/>
    <w:basedOn w:val="Normal"/>
    <w:next w:val="Normal"/>
    <w:link w:val="Heading1Char"/>
    <w:uiPriority w:val="9"/>
    <w:qFormat/>
    <w:rsid w:val="006C7276"/>
    <w:pPr>
      <w:keepNext/>
      <w:keepLines/>
      <w:numPr>
        <w:numId w:val="34"/>
      </w:numPr>
      <w:spacing w:after="120" w:line="276" w:lineRule="auto"/>
      <w:jc w:val="center"/>
      <w:outlineLvl w:val="0"/>
    </w:pPr>
    <w:rPr>
      <w:rFonts w:asciiTheme="majorHAnsi" w:eastAsiaTheme="majorEastAsia" w:hAnsiTheme="majorHAnsi" w:cstheme="majorBidi"/>
      <w:b/>
      <w:bCs/>
      <w:caps/>
      <w:sz w:val="28"/>
      <w:szCs w:val="28"/>
      <w:lang w:val="es-CR" w:bidi="en-US"/>
    </w:rPr>
  </w:style>
  <w:style w:type="paragraph" w:styleId="Heading2">
    <w:name w:val="heading 2"/>
    <w:basedOn w:val="Normal"/>
    <w:next w:val="Normal"/>
    <w:link w:val="Heading2Char"/>
    <w:uiPriority w:val="9"/>
    <w:unhideWhenUsed/>
    <w:qFormat/>
    <w:rsid w:val="006C7276"/>
    <w:pPr>
      <w:keepNext/>
      <w:keepLines/>
      <w:numPr>
        <w:ilvl w:val="1"/>
        <w:numId w:val="34"/>
      </w:numPr>
      <w:spacing w:before="120" w:after="120" w:line="276" w:lineRule="auto"/>
      <w:jc w:val="center"/>
      <w:outlineLvl w:val="1"/>
    </w:pPr>
    <w:rPr>
      <w:rFonts w:asciiTheme="majorHAnsi" w:eastAsiaTheme="majorEastAsia" w:hAnsiTheme="majorHAnsi" w:cstheme="majorBidi"/>
      <w:b/>
      <w:bCs/>
      <w:sz w:val="26"/>
      <w:szCs w:val="26"/>
      <w:lang w:val="es-CR" w:bidi="en-US"/>
    </w:rPr>
  </w:style>
  <w:style w:type="paragraph" w:styleId="Heading4">
    <w:name w:val="heading 4"/>
    <w:basedOn w:val="Normal"/>
    <w:next w:val="Normal"/>
    <w:link w:val="Heading4Char"/>
    <w:uiPriority w:val="9"/>
    <w:unhideWhenUsed/>
    <w:qFormat/>
    <w:rsid w:val="006C7276"/>
    <w:pPr>
      <w:keepNext/>
      <w:keepLines/>
      <w:numPr>
        <w:ilvl w:val="3"/>
        <w:numId w:val="34"/>
      </w:numPr>
      <w:spacing w:before="200" w:line="276" w:lineRule="auto"/>
      <w:jc w:val="both"/>
      <w:outlineLvl w:val="3"/>
    </w:pPr>
    <w:rPr>
      <w:rFonts w:asciiTheme="majorHAnsi" w:eastAsiaTheme="majorEastAsia" w:hAnsiTheme="majorHAnsi" w:cstheme="majorBidi"/>
      <w:b/>
      <w:bCs/>
      <w:i/>
      <w:iCs/>
      <w:sz w:val="22"/>
      <w:szCs w:val="22"/>
      <w:lang w:val="es-CR" w:bidi="en-US"/>
    </w:rPr>
  </w:style>
  <w:style w:type="paragraph" w:styleId="Heading5">
    <w:name w:val="heading 5"/>
    <w:basedOn w:val="Normal"/>
    <w:next w:val="Normal"/>
    <w:link w:val="Heading5Char"/>
    <w:uiPriority w:val="9"/>
    <w:unhideWhenUsed/>
    <w:qFormat/>
    <w:rsid w:val="006C7276"/>
    <w:pPr>
      <w:keepNext/>
      <w:keepLines/>
      <w:numPr>
        <w:ilvl w:val="4"/>
        <w:numId w:val="34"/>
      </w:numPr>
      <w:spacing w:before="200" w:line="276" w:lineRule="auto"/>
      <w:jc w:val="both"/>
      <w:outlineLvl w:val="4"/>
    </w:pPr>
    <w:rPr>
      <w:rFonts w:asciiTheme="majorHAnsi" w:eastAsiaTheme="majorEastAsia" w:hAnsiTheme="majorHAnsi" w:cstheme="majorBidi"/>
      <w:color w:val="243F60" w:themeColor="accent1" w:themeShade="7F"/>
      <w:sz w:val="22"/>
      <w:szCs w:val="22"/>
      <w:lang w:val="es-CR" w:bidi="en-US"/>
    </w:rPr>
  </w:style>
  <w:style w:type="paragraph" w:styleId="Heading6">
    <w:name w:val="heading 6"/>
    <w:basedOn w:val="Normal"/>
    <w:next w:val="Normal"/>
    <w:link w:val="Heading6Char"/>
    <w:uiPriority w:val="9"/>
    <w:unhideWhenUsed/>
    <w:qFormat/>
    <w:rsid w:val="006C7276"/>
    <w:pPr>
      <w:keepNext/>
      <w:keepLines/>
      <w:numPr>
        <w:ilvl w:val="5"/>
        <w:numId w:val="34"/>
      </w:numPr>
      <w:spacing w:before="200" w:line="276" w:lineRule="auto"/>
      <w:jc w:val="both"/>
      <w:outlineLvl w:val="5"/>
    </w:pPr>
    <w:rPr>
      <w:rFonts w:asciiTheme="majorHAnsi" w:eastAsiaTheme="majorEastAsia" w:hAnsiTheme="majorHAnsi" w:cstheme="majorBidi"/>
      <w:i/>
      <w:iCs/>
      <w:color w:val="243F60" w:themeColor="accent1" w:themeShade="7F"/>
      <w:sz w:val="22"/>
      <w:szCs w:val="22"/>
      <w:lang w:val="es-CR" w:bidi="en-US"/>
    </w:rPr>
  </w:style>
  <w:style w:type="paragraph" w:styleId="Heading7">
    <w:name w:val="heading 7"/>
    <w:basedOn w:val="Normal"/>
    <w:next w:val="Normal"/>
    <w:link w:val="Heading7Char"/>
    <w:uiPriority w:val="9"/>
    <w:unhideWhenUsed/>
    <w:qFormat/>
    <w:rsid w:val="006C7276"/>
    <w:pPr>
      <w:keepNext/>
      <w:keepLines/>
      <w:numPr>
        <w:ilvl w:val="6"/>
        <w:numId w:val="34"/>
      </w:numPr>
      <w:spacing w:before="200" w:line="276" w:lineRule="auto"/>
      <w:jc w:val="both"/>
      <w:outlineLvl w:val="6"/>
    </w:pPr>
    <w:rPr>
      <w:rFonts w:asciiTheme="majorHAnsi" w:eastAsiaTheme="majorEastAsia" w:hAnsiTheme="majorHAnsi" w:cstheme="majorBidi"/>
      <w:i/>
      <w:iCs/>
      <w:color w:val="404040" w:themeColor="text1" w:themeTint="BF"/>
      <w:sz w:val="22"/>
      <w:szCs w:val="22"/>
      <w:lang w:val="es-CR" w:bidi="en-US"/>
    </w:rPr>
  </w:style>
  <w:style w:type="paragraph" w:styleId="Heading8">
    <w:name w:val="heading 8"/>
    <w:basedOn w:val="Normal"/>
    <w:next w:val="Normal"/>
    <w:link w:val="Heading8Char"/>
    <w:uiPriority w:val="9"/>
    <w:unhideWhenUsed/>
    <w:qFormat/>
    <w:rsid w:val="006C7276"/>
    <w:pPr>
      <w:keepNext/>
      <w:keepLines/>
      <w:numPr>
        <w:ilvl w:val="7"/>
        <w:numId w:val="34"/>
      </w:numPr>
      <w:spacing w:before="200" w:line="276" w:lineRule="auto"/>
      <w:jc w:val="both"/>
      <w:outlineLvl w:val="7"/>
    </w:pPr>
    <w:rPr>
      <w:rFonts w:asciiTheme="majorHAnsi" w:eastAsiaTheme="majorEastAsia" w:hAnsiTheme="majorHAnsi" w:cstheme="majorBidi"/>
      <w:color w:val="4F81BD" w:themeColor="accent1"/>
      <w:sz w:val="20"/>
      <w:lang w:val="es-CR" w:bidi="en-US"/>
    </w:rPr>
  </w:style>
  <w:style w:type="paragraph" w:styleId="Heading9">
    <w:name w:val="heading 9"/>
    <w:basedOn w:val="Normal"/>
    <w:next w:val="Normal"/>
    <w:link w:val="Heading9Char"/>
    <w:uiPriority w:val="9"/>
    <w:semiHidden/>
    <w:unhideWhenUsed/>
    <w:qFormat/>
    <w:rsid w:val="006C7276"/>
    <w:pPr>
      <w:keepNext/>
      <w:keepLines/>
      <w:numPr>
        <w:ilvl w:val="8"/>
        <w:numId w:val="34"/>
      </w:numPr>
      <w:spacing w:before="200" w:line="276" w:lineRule="auto"/>
      <w:jc w:val="both"/>
      <w:outlineLvl w:val="8"/>
    </w:pPr>
    <w:rPr>
      <w:rFonts w:asciiTheme="majorHAnsi" w:eastAsiaTheme="majorEastAsia" w:hAnsiTheme="majorHAnsi" w:cstheme="majorBidi"/>
      <w:i/>
      <w:iCs/>
      <w:color w:val="404040" w:themeColor="text1" w:themeTint="BF"/>
      <w:sz w:val="20"/>
      <w:lang w:val="es-C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3CDE"/>
    <w:pPr>
      <w:tabs>
        <w:tab w:val="left" w:pos="3060"/>
      </w:tabs>
      <w:jc w:val="center"/>
    </w:pPr>
  </w:style>
  <w:style w:type="paragraph" w:customStyle="1" w:styleId="Chapter">
    <w:name w:val="Chapter"/>
    <w:basedOn w:val="Normal"/>
    <w:next w:val="Normal"/>
    <w:rsid w:val="00133CDE"/>
    <w:pPr>
      <w:numPr>
        <w:numId w:val="1"/>
      </w:numPr>
      <w:tabs>
        <w:tab w:val="left" w:pos="1440"/>
      </w:tabs>
      <w:spacing w:after="240"/>
      <w:jc w:val="center"/>
    </w:pPr>
    <w:rPr>
      <w:b/>
      <w:smallCaps/>
      <w:lang w:val="es-ES"/>
    </w:rPr>
  </w:style>
  <w:style w:type="paragraph" w:styleId="Footer">
    <w:name w:val="footer"/>
    <w:basedOn w:val="Normal"/>
    <w:link w:val="FooterChar"/>
    <w:uiPriority w:val="99"/>
    <w:rsid w:val="00133CDE"/>
    <w:pPr>
      <w:tabs>
        <w:tab w:val="center" w:pos="4320"/>
        <w:tab w:val="right" w:pos="8640"/>
      </w:tabs>
    </w:pPr>
  </w:style>
  <w:style w:type="paragraph" w:styleId="FootnoteText">
    <w:name w:val="footnote text"/>
    <w:aliases w:val="footnote,fn,Texto de rodapé,nota_rodapé,nota de rodapé Car Car,nota de rodapé Car Car Car Car Car Car Car Car Car Car Car"/>
    <w:basedOn w:val="Normal"/>
    <w:link w:val="FootnoteTextChar"/>
    <w:rsid w:val="00133CDE"/>
    <w:rPr>
      <w:sz w:val="20"/>
    </w:rPr>
  </w:style>
  <w:style w:type="paragraph" w:styleId="Header">
    <w:name w:val="header"/>
    <w:basedOn w:val="Normal"/>
    <w:rsid w:val="00133CDE"/>
    <w:pPr>
      <w:tabs>
        <w:tab w:val="center" w:pos="4320"/>
        <w:tab w:val="right" w:pos="8640"/>
      </w:tabs>
    </w:pPr>
  </w:style>
  <w:style w:type="paragraph" w:customStyle="1" w:styleId="Newpage">
    <w:name w:val="Newpage"/>
    <w:basedOn w:val="Chapter"/>
    <w:rsid w:val="00133CDE"/>
    <w:pPr>
      <w:numPr>
        <w:numId w:val="0"/>
      </w:numPr>
      <w:tabs>
        <w:tab w:val="clear" w:pos="1440"/>
        <w:tab w:val="left" w:pos="3060"/>
      </w:tabs>
      <w:spacing w:after="0"/>
    </w:pPr>
  </w:style>
  <w:style w:type="character" w:styleId="PageNumber">
    <w:name w:val="page number"/>
    <w:basedOn w:val="DefaultParagraphFont"/>
    <w:rsid w:val="00133CDE"/>
  </w:style>
  <w:style w:type="paragraph" w:customStyle="1" w:styleId="Paragraph">
    <w:name w:val="Paragraph"/>
    <w:basedOn w:val="BodyTextIndent"/>
    <w:rsid w:val="00133CDE"/>
    <w:pPr>
      <w:numPr>
        <w:ilvl w:val="1"/>
        <w:numId w:val="1"/>
      </w:numPr>
      <w:spacing w:before="120"/>
      <w:jc w:val="both"/>
      <w:outlineLvl w:val="1"/>
    </w:pPr>
    <w:rPr>
      <w:lang w:val="es-ES"/>
    </w:rPr>
  </w:style>
  <w:style w:type="paragraph" w:customStyle="1" w:styleId="SubSubPar">
    <w:name w:val="SubSubPar"/>
    <w:basedOn w:val="Normal"/>
    <w:rsid w:val="00133CDE"/>
    <w:pPr>
      <w:numPr>
        <w:ilvl w:val="3"/>
        <w:numId w:val="1"/>
      </w:numPr>
      <w:tabs>
        <w:tab w:val="left" w:pos="0"/>
      </w:tabs>
      <w:spacing w:before="120" w:after="120"/>
      <w:jc w:val="both"/>
      <w:outlineLvl w:val="2"/>
    </w:pPr>
    <w:rPr>
      <w:lang w:val="es-ES_tradnl"/>
    </w:rPr>
  </w:style>
  <w:style w:type="paragraph" w:styleId="Title">
    <w:name w:val="Title"/>
    <w:basedOn w:val="Normal"/>
    <w:link w:val="TitleChar"/>
    <w:qFormat/>
    <w:rsid w:val="00133CDE"/>
    <w:pPr>
      <w:tabs>
        <w:tab w:val="left" w:pos="1440"/>
        <w:tab w:val="left" w:pos="3060"/>
      </w:tabs>
      <w:jc w:val="center"/>
      <w:outlineLvl w:val="0"/>
    </w:pPr>
  </w:style>
  <w:style w:type="character" w:styleId="FootnoteReference">
    <w:name w:val="footnote reference"/>
    <w:basedOn w:val="DefaultParagraphFont"/>
    <w:rsid w:val="00133CDE"/>
    <w:rPr>
      <w:vertAlign w:val="superscript"/>
    </w:rPr>
  </w:style>
  <w:style w:type="paragraph" w:styleId="NormalWeb">
    <w:name w:val="Normal (Web)"/>
    <w:basedOn w:val="Normal"/>
    <w:rsid w:val="00133CDE"/>
    <w:pPr>
      <w:spacing w:before="100" w:beforeAutospacing="1" w:after="100" w:afterAutospacing="1"/>
    </w:pPr>
    <w:rPr>
      <w:rFonts w:ascii="Arial Unicode MS" w:eastAsia="Arial Unicode MS" w:hAnsi="Arial Unicode MS" w:cs="Arial Unicode MS"/>
      <w:color w:val="000000"/>
      <w:szCs w:val="24"/>
      <w:lang w:val="en-US"/>
    </w:rPr>
  </w:style>
  <w:style w:type="paragraph" w:styleId="BodyTextIndent">
    <w:name w:val="Body Text Indent"/>
    <w:basedOn w:val="Normal"/>
    <w:rsid w:val="00133CDE"/>
    <w:pPr>
      <w:spacing w:after="120"/>
      <w:ind w:left="283"/>
    </w:pPr>
  </w:style>
  <w:style w:type="paragraph" w:styleId="ListParagraph">
    <w:name w:val="List Paragraph"/>
    <w:basedOn w:val="Normal"/>
    <w:uiPriority w:val="34"/>
    <w:qFormat/>
    <w:rsid w:val="00D76760"/>
    <w:pPr>
      <w:ind w:left="708"/>
    </w:pPr>
  </w:style>
  <w:style w:type="paragraph" w:styleId="ListBullet">
    <w:name w:val="List Bullet"/>
    <w:basedOn w:val="Normal"/>
    <w:uiPriority w:val="99"/>
    <w:unhideWhenUsed/>
    <w:rsid w:val="007E5765"/>
    <w:pPr>
      <w:numPr>
        <w:numId w:val="8"/>
      </w:numPr>
      <w:contextualSpacing/>
    </w:pPr>
  </w:style>
  <w:style w:type="character" w:customStyle="1" w:styleId="FootnoteTextChar">
    <w:name w:val="Footnote Text Char"/>
    <w:aliases w:val="footnote Char,fn Char,Texto de rodapé Char,nota_rodapé Char,nota de rodapé Car Car Char,nota de rodapé Car Car Car Car Car Car Car Car Car Car Car Char"/>
    <w:basedOn w:val="DefaultParagraphFont"/>
    <w:link w:val="FootnoteText"/>
    <w:rsid w:val="00ED2E9E"/>
    <w:rPr>
      <w:lang w:val="es-UY" w:eastAsia="en-US"/>
    </w:rPr>
  </w:style>
  <w:style w:type="character" w:customStyle="1" w:styleId="TitleChar">
    <w:name w:val="Title Char"/>
    <w:link w:val="Title"/>
    <w:rsid w:val="0019618A"/>
    <w:rPr>
      <w:sz w:val="24"/>
      <w:lang w:eastAsia="en-US"/>
    </w:rPr>
  </w:style>
  <w:style w:type="character" w:customStyle="1" w:styleId="BodyTextChar">
    <w:name w:val="Body Text Char"/>
    <w:link w:val="BodyText"/>
    <w:rsid w:val="0019618A"/>
    <w:rPr>
      <w:sz w:val="24"/>
      <w:lang w:eastAsia="en-US"/>
    </w:rPr>
  </w:style>
  <w:style w:type="paragraph" w:styleId="BalloonText">
    <w:name w:val="Balloon Text"/>
    <w:basedOn w:val="Normal"/>
    <w:link w:val="BalloonTextChar"/>
    <w:uiPriority w:val="99"/>
    <w:semiHidden/>
    <w:unhideWhenUsed/>
    <w:rsid w:val="00457E82"/>
    <w:rPr>
      <w:rFonts w:ascii="Tahoma" w:hAnsi="Tahoma" w:cs="Tahoma"/>
      <w:sz w:val="16"/>
      <w:szCs w:val="16"/>
    </w:rPr>
  </w:style>
  <w:style w:type="character" w:customStyle="1" w:styleId="BalloonTextChar">
    <w:name w:val="Balloon Text Char"/>
    <w:basedOn w:val="DefaultParagraphFont"/>
    <w:link w:val="BalloonText"/>
    <w:uiPriority w:val="99"/>
    <w:semiHidden/>
    <w:rsid w:val="00457E82"/>
    <w:rPr>
      <w:rFonts w:ascii="Tahoma" w:hAnsi="Tahoma" w:cs="Tahoma"/>
      <w:sz w:val="16"/>
      <w:szCs w:val="16"/>
      <w:lang w:eastAsia="en-US"/>
    </w:rPr>
  </w:style>
  <w:style w:type="character" w:customStyle="1" w:styleId="FooterChar">
    <w:name w:val="Footer Char"/>
    <w:basedOn w:val="DefaultParagraphFont"/>
    <w:link w:val="Footer"/>
    <w:uiPriority w:val="99"/>
    <w:rsid w:val="00C659A7"/>
    <w:rPr>
      <w:sz w:val="24"/>
      <w:lang w:eastAsia="en-US"/>
    </w:rPr>
  </w:style>
  <w:style w:type="character" w:styleId="CommentReference">
    <w:name w:val="annotation reference"/>
    <w:basedOn w:val="DefaultParagraphFont"/>
    <w:uiPriority w:val="99"/>
    <w:semiHidden/>
    <w:unhideWhenUsed/>
    <w:rsid w:val="001A29BF"/>
    <w:rPr>
      <w:sz w:val="16"/>
      <w:szCs w:val="16"/>
    </w:rPr>
  </w:style>
  <w:style w:type="paragraph" w:styleId="CommentText">
    <w:name w:val="annotation text"/>
    <w:basedOn w:val="Normal"/>
    <w:link w:val="CommentTextChar"/>
    <w:uiPriority w:val="99"/>
    <w:semiHidden/>
    <w:unhideWhenUsed/>
    <w:rsid w:val="001A29BF"/>
    <w:rPr>
      <w:sz w:val="20"/>
    </w:rPr>
  </w:style>
  <w:style w:type="character" w:customStyle="1" w:styleId="CommentTextChar">
    <w:name w:val="Comment Text Char"/>
    <w:basedOn w:val="DefaultParagraphFont"/>
    <w:link w:val="CommentText"/>
    <w:uiPriority w:val="99"/>
    <w:semiHidden/>
    <w:rsid w:val="001A29BF"/>
    <w:rPr>
      <w:lang w:eastAsia="en-US"/>
    </w:rPr>
  </w:style>
  <w:style w:type="paragraph" w:styleId="CommentSubject">
    <w:name w:val="annotation subject"/>
    <w:basedOn w:val="CommentText"/>
    <w:next w:val="CommentText"/>
    <w:link w:val="CommentSubjectChar"/>
    <w:uiPriority w:val="99"/>
    <w:semiHidden/>
    <w:unhideWhenUsed/>
    <w:rsid w:val="001A29BF"/>
    <w:rPr>
      <w:b/>
      <w:bCs/>
    </w:rPr>
  </w:style>
  <w:style w:type="character" w:customStyle="1" w:styleId="CommentSubjectChar">
    <w:name w:val="Comment Subject Char"/>
    <w:basedOn w:val="CommentTextChar"/>
    <w:link w:val="CommentSubject"/>
    <w:uiPriority w:val="99"/>
    <w:semiHidden/>
    <w:rsid w:val="001A29BF"/>
    <w:rPr>
      <w:b/>
      <w:bCs/>
      <w:lang w:eastAsia="en-US"/>
    </w:rPr>
  </w:style>
  <w:style w:type="character" w:styleId="Emphasis">
    <w:name w:val="Emphasis"/>
    <w:basedOn w:val="DefaultParagraphFont"/>
    <w:uiPriority w:val="20"/>
    <w:qFormat/>
    <w:rsid w:val="005C3FF0"/>
    <w:rPr>
      <w:b/>
      <w:bCs/>
      <w:i w:val="0"/>
      <w:iCs w:val="0"/>
    </w:rPr>
  </w:style>
  <w:style w:type="character" w:customStyle="1" w:styleId="st">
    <w:name w:val="st"/>
    <w:basedOn w:val="DefaultParagraphFont"/>
    <w:rsid w:val="005C3FF0"/>
  </w:style>
  <w:style w:type="character" w:customStyle="1" w:styleId="hps">
    <w:name w:val="hps"/>
    <w:basedOn w:val="DefaultParagraphFont"/>
    <w:rsid w:val="00982661"/>
  </w:style>
  <w:style w:type="character" w:customStyle="1" w:styleId="atn">
    <w:name w:val="atn"/>
    <w:basedOn w:val="DefaultParagraphFont"/>
    <w:rsid w:val="00982661"/>
  </w:style>
  <w:style w:type="paragraph" w:styleId="PlainText">
    <w:name w:val="Plain Text"/>
    <w:basedOn w:val="Normal"/>
    <w:link w:val="PlainTextChar"/>
    <w:uiPriority w:val="99"/>
    <w:unhideWhenUsed/>
    <w:rsid w:val="00077DF0"/>
    <w:rPr>
      <w:rFonts w:ascii="Consolas" w:eastAsiaTheme="minorHAnsi" w:hAnsi="Consolas" w:cs="Consolas"/>
      <w:sz w:val="21"/>
      <w:szCs w:val="21"/>
      <w:lang w:val="es-CR"/>
    </w:rPr>
  </w:style>
  <w:style w:type="character" w:customStyle="1" w:styleId="PlainTextChar">
    <w:name w:val="Plain Text Char"/>
    <w:basedOn w:val="DefaultParagraphFont"/>
    <w:link w:val="PlainText"/>
    <w:uiPriority w:val="99"/>
    <w:rsid w:val="00077DF0"/>
    <w:rPr>
      <w:rFonts w:ascii="Consolas" w:eastAsiaTheme="minorHAnsi" w:hAnsi="Consolas" w:cs="Consolas"/>
      <w:sz w:val="21"/>
      <w:szCs w:val="21"/>
      <w:lang w:val="es-CR" w:eastAsia="en-US"/>
    </w:rPr>
  </w:style>
  <w:style w:type="character" w:customStyle="1" w:styleId="Heading1Char">
    <w:name w:val="Heading 1 Char"/>
    <w:basedOn w:val="DefaultParagraphFont"/>
    <w:link w:val="Heading1"/>
    <w:uiPriority w:val="9"/>
    <w:rsid w:val="006C7276"/>
    <w:rPr>
      <w:rFonts w:asciiTheme="majorHAnsi" w:eastAsiaTheme="majorEastAsia" w:hAnsiTheme="majorHAnsi" w:cstheme="majorBidi"/>
      <w:b/>
      <w:bCs/>
      <w:caps/>
      <w:sz w:val="28"/>
      <w:szCs w:val="28"/>
      <w:lang w:val="es-CR" w:eastAsia="en-US" w:bidi="en-US"/>
    </w:rPr>
  </w:style>
  <w:style w:type="character" w:customStyle="1" w:styleId="Heading2Char">
    <w:name w:val="Heading 2 Char"/>
    <w:basedOn w:val="DefaultParagraphFont"/>
    <w:link w:val="Heading2"/>
    <w:uiPriority w:val="9"/>
    <w:rsid w:val="006C7276"/>
    <w:rPr>
      <w:rFonts w:asciiTheme="majorHAnsi" w:eastAsiaTheme="majorEastAsia" w:hAnsiTheme="majorHAnsi" w:cstheme="majorBidi"/>
      <w:b/>
      <w:bCs/>
      <w:sz w:val="26"/>
      <w:szCs w:val="26"/>
      <w:lang w:val="es-CR" w:eastAsia="en-US" w:bidi="en-US"/>
    </w:rPr>
  </w:style>
  <w:style w:type="character" w:customStyle="1" w:styleId="Heading4Char">
    <w:name w:val="Heading 4 Char"/>
    <w:basedOn w:val="DefaultParagraphFont"/>
    <w:link w:val="Heading4"/>
    <w:uiPriority w:val="9"/>
    <w:rsid w:val="006C7276"/>
    <w:rPr>
      <w:rFonts w:asciiTheme="majorHAnsi" w:eastAsiaTheme="majorEastAsia" w:hAnsiTheme="majorHAnsi" w:cstheme="majorBidi"/>
      <w:b/>
      <w:bCs/>
      <w:i/>
      <w:iCs/>
      <w:sz w:val="22"/>
      <w:szCs w:val="22"/>
      <w:lang w:val="es-CR" w:eastAsia="en-US" w:bidi="en-US"/>
    </w:rPr>
  </w:style>
  <w:style w:type="character" w:customStyle="1" w:styleId="Heading5Char">
    <w:name w:val="Heading 5 Char"/>
    <w:basedOn w:val="DefaultParagraphFont"/>
    <w:link w:val="Heading5"/>
    <w:uiPriority w:val="9"/>
    <w:rsid w:val="006C7276"/>
    <w:rPr>
      <w:rFonts w:asciiTheme="majorHAnsi" w:eastAsiaTheme="majorEastAsia" w:hAnsiTheme="majorHAnsi" w:cstheme="majorBidi"/>
      <w:color w:val="243F60" w:themeColor="accent1" w:themeShade="7F"/>
      <w:sz w:val="22"/>
      <w:szCs w:val="22"/>
      <w:lang w:val="es-CR" w:eastAsia="en-US" w:bidi="en-US"/>
    </w:rPr>
  </w:style>
  <w:style w:type="character" w:customStyle="1" w:styleId="Heading6Char">
    <w:name w:val="Heading 6 Char"/>
    <w:basedOn w:val="DefaultParagraphFont"/>
    <w:link w:val="Heading6"/>
    <w:uiPriority w:val="9"/>
    <w:rsid w:val="006C7276"/>
    <w:rPr>
      <w:rFonts w:asciiTheme="majorHAnsi" w:eastAsiaTheme="majorEastAsia" w:hAnsiTheme="majorHAnsi" w:cstheme="majorBidi"/>
      <w:i/>
      <w:iCs/>
      <w:color w:val="243F60" w:themeColor="accent1" w:themeShade="7F"/>
      <w:sz w:val="22"/>
      <w:szCs w:val="22"/>
      <w:lang w:val="es-CR" w:eastAsia="en-US" w:bidi="en-US"/>
    </w:rPr>
  </w:style>
  <w:style w:type="character" w:customStyle="1" w:styleId="Heading7Char">
    <w:name w:val="Heading 7 Char"/>
    <w:basedOn w:val="DefaultParagraphFont"/>
    <w:link w:val="Heading7"/>
    <w:uiPriority w:val="9"/>
    <w:rsid w:val="006C7276"/>
    <w:rPr>
      <w:rFonts w:asciiTheme="majorHAnsi" w:eastAsiaTheme="majorEastAsia" w:hAnsiTheme="majorHAnsi" w:cstheme="majorBidi"/>
      <w:i/>
      <w:iCs/>
      <w:color w:val="404040" w:themeColor="text1" w:themeTint="BF"/>
      <w:sz w:val="22"/>
      <w:szCs w:val="22"/>
      <w:lang w:val="es-CR" w:eastAsia="en-US" w:bidi="en-US"/>
    </w:rPr>
  </w:style>
  <w:style w:type="character" w:customStyle="1" w:styleId="Heading8Char">
    <w:name w:val="Heading 8 Char"/>
    <w:basedOn w:val="DefaultParagraphFont"/>
    <w:link w:val="Heading8"/>
    <w:uiPriority w:val="9"/>
    <w:rsid w:val="006C7276"/>
    <w:rPr>
      <w:rFonts w:asciiTheme="majorHAnsi" w:eastAsiaTheme="majorEastAsia" w:hAnsiTheme="majorHAnsi" w:cstheme="majorBidi"/>
      <w:color w:val="4F81BD" w:themeColor="accent1"/>
      <w:lang w:val="es-CR" w:eastAsia="en-US" w:bidi="en-US"/>
    </w:rPr>
  </w:style>
  <w:style w:type="character" w:customStyle="1" w:styleId="Heading9Char">
    <w:name w:val="Heading 9 Char"/>
    <w:basedOn w:val="DefaultParagraphFont"/>
    <w:link w:val="Heading9"/>
    <w:uiPriority w:val="9"/>
    <w:semiHidden/>
    <w:rsid w:val="006C7276"/>
    <w:rPr>
      <w:rFonts w:asciiTheme="majorHAnsi" w:eastAsiaTheme="majorEastAsia" w:hAnsiTheme="majorHAnsi" w:cstheme="majorBidi"/>
      <w:i/>
      <w:iCs/>
      <w:color w:val="404040" w:themeColor="text1" w:themeTint="BF"/>
      <w:lang w:val="es-CR"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753">
      <w:bodyDiv w:val="1"/>
      <w:marLeft w:val="0"/>
      <w:marRight w:val="0"/>
      <w:marTop w:val="0"/>
      <w:marBottom w:val="0"/>
      <w:divBdr>
        <w:top w:val="none" w:sz="0" w:space="0" w:color="auto"/>
        <w:left w:val="none" w:sz="0" w:space="0" w:color="auto"/>
        <w:bottom w:val="none" w:sz="0" w:space="0" w:color="auto"/>
        <w:right w:val="none" w:sz="0" w:space="0" w:color="auto"/>
      </w:divBdr>
    </w:div>
    <w:div w:id="74017486">
      <w:bodyDiv w:val="1"/>
      <w:marLeft w:val="0"/>
      <w:marRight w:val="0"/>
      <w:marTop w:val="0"/>
      <w:marBottom w:val="0"/>
      <w:divBdr>
        <w:top w:val="none" w:sz="0" w:space="0" w:color="auto"/>
        <w:left w:val="none" w:sz="0" w:space="0" w:color="auto"/>
        <w:bottom w:val="none" w:sz="0" w:space="0" w:color="auto"/>
        <w:right w:val="none" w:sz="0" w:space="0" w:color="auto"/>
      </w:divBdr>
    </w:div>
    <w:div w:id="105542993">
      <w:bodyDiv w:val="1"/>
      <w:marLeft w:val="0"/>
      <w:marRight w:val="0"/>
      <w:marTop w:val="0"/>
      <w:marBottom w:val="0"/>
      <w:divBdr>
        <w:top w:val="none" w:sz="0" w:space="0" w:color="auto"/>
        <w:left w:val="none" w:sz="0" w:space="0" w:color="auto"/>
        <w:bottom w:val="none" w:sz="0" w:space="0" w:color="auto"/>
        <w:right w:val="none" w:sz="0" w:space="0" w:color="auto"/>
      </w:divBdr>
    </w:div>
    <w:div w:id="183524287">
      <w:bodyDiv w:val="1"/>
      <w:marLeft w:val="0"/>
      <w:marRight w:val="0"/>
      <w:marTop w:val="0"/>
      <w:marBottom w:val="0"/>
      <w:divBdr>
        <w:top w:val="none" w:sz="0" w:space="0" w:color="auto"/>
        <w:left w:val="none" w:sz="0" w:space="0" w:color="auto"/>
        <w:bottom w:val="none" w:sz="0" w:space="0" w:color="auto"/>
        <w:right w:val="none" w:sz="0" w:space="0" w:color="auto"/>
      </w:divBdr>
    </w:div>
    <w:div w:id="584723239">
      <w:bodyDiv w:val="1"/>
      <w:marLeft w:val="0"/>
      <w:marRight w:val="0"/>
      <w:marTop w:val="0"/>
      <w:marBottom w:val="0"/>
      <w:divBdr>
        <w:top w:val="none" w:sz="0" w:space="0" w:color="auto"/>
        <w:left w:val="none" w:sz="0" w:space="0" w:color="auto"/>
        <w:bottom w:val="none" w:sz="0" w:space="0" w:color="auto"/>
        <w:right w:val="none" w:sz="0" w:space="0" w:color="auto"/>
      </w:divBdr>
    </w:div>
    <w:div w:id="585382702">
      <w:bodyDiv w:val="1"/>
      <w:marLeft w:val="0"/>
      <w:marRight w:val="0"/>
      <w:marTop w:val="0"/>
      <w:marBottom w:val="0"/>
      <w:divBdr>
        <w:top w:val="none" w:sz="0" w:space="0" w:color="auto"/>
        <w:left w:val="none" w:sz="0" w:space="0" w:color="auto"/>
        <w:bottom w:val="none" w:sz="0" w:space="0" w:color="auto"/>
        <w:right w:val="none" w:sz="0" w:space="0" w:color="auto"/>
      </w:divBdr>
    </w:div>
    <w:div w:id="602879287">
      <w:bodyDiv w:val="1"/>
      <w:marLeft w:val="0"/>
      <w:marRight w:val="0"/>
      <w:marTop w:val="0"/>
      <w:marBottom w:val="0"/>
      <w:divBdr>
        <w:top w:val="none" w:sz="0" w:space="0" w:color="auto"/>
        <w:left w:val="none" w:sz="0" w:space="0" w:color="auto"/>
        <w:bottom w:val="none" w:sz="0" w:space="0" w:color="auto"/>
        <w:right w:val="none" w:sz="0" w:space="0" w:color="auto"/>
      </w:divBdr>
    </w:div>
    <w:div w:id="684866112">
      <w:bodyDiv w:val="1"/>
      <w:marLeft w:val="0"/>
      <w:marRight w:val="0"/>
      <w:marTop w:val="0"/>
      <w:marBottom w:val="0"/>
      <w:divBdr>
        <w:top w:val="none" w:sz="0" w:space="0" w:color="auto"/>
        <w:left w:val="none" w:sz="0" w:space="0" w:color="auto"/>
        <w:bottom w:val="none" w:sz="0" w:space="0" w:color="auto"/>
        <w:right w:val="none" w:sz="0" w:space="0" w:color="auto"/>
      </w:divBdr>
    </w:div>
    <w:div w:id="696079914">
      <w:bodyDiv w:val="1"/>
      <w:marLeft w:val="0"/>
      <w:marRight w:val="0"/>
      <w:marTop w:val="0"/>
      <w:marBottom w:val="0"/>
      <w:divBdr>
        <w:top w:val="none" w:sz="0" w:space="0" w:color="auto"/>
        <w:left w:val="none" w:sz="0" w:space="0" w:color="auto"/>
        <w:bottom w:val="none" w:sz="0" w:space="0" w:color="auto"/>
        <w:right w:val="none" w:sz="0" w:space="0" w:color="auto"/>
      </w:divBdr>
    </w:div>
    <w:div w:id="719327437">
      <w:bodyDiv w:val="1"/>
      <w:marLeft w:val="0"/>
      <w:marRight w:val="0"/>
      <w:marTop w:val="0"/>
      <w:marBottom w:val="0"/>
      <w:divBdr>
        <w:top w:val="none" w:sz="0" w:space="0" w:color="auto"/>
        <w:left w:val="none" w:sz="0" w:space="0" w:color="auto"/>
        <w:bottom w:val="none" w:sz="0" w:space="0" w:color="auto"/>
        <w:right w:val="none" w:sz="0" w:space="0" w:color="auto"/>
      </w:divBdr>
    </w:div>
    <w:div w:id="744374408">
      <w:bodyDiv w:val="1"/>
      <w:marLeft w:val="0"/>
      <w:marRight w:val="0"/>
      <w:marTop w:val="0"/>
      <w:marBottom w:val="0"/>
      <w:divBdr>
        <w:top w:val="none" w:sz="0" w:space="0" w:color="auto"/>
        <w:left w:val="none" w:sz="0" w:space="0" w:color="auto"/>
        <w:bottom w:val="none" w:sz="0" w:space="0" w:color="auto"/>
        <w:right w:val="none" w:sz="0" w:space="0" w:color="auto"/>
      </w:divBdr>
    </w:div>
    <w:div w:id="827014843">
      <w:bodyDiv w:val="1"/>
      <w:marLeft w:val="0"/>
      <w:marRight w:val="0"/>
      <w:marTop w:val="0"/>
      <w:marBottom w:val="0"/>
      <w:divBdr>
        <w:top w:val="none" w:sz="0" w:space="0" w:color="auto"/>
        <w:left w:val="none" w:sz="0" w:space="0" w:color="auto"/>
        <w:bottom w:val="none" w:sz="0" w:space="0" w:color="auto"/>
        <w:right w:val="none" w:sz="0" w:space="0" w:color="auto"/>
      </w:divBdr>
    </w:div>
    <w:div w:id="849177793">
      <w:bodyDiv w:val="1"/>
      <w:marLeft w:val="0"/>
      <w:marRight w:val="0"/>
      <w:marTop w:val="0"/>
      <w:marBottom w:val="0"/>
      <w:divBdr>
        <w:top w:val="none" w:sz="0" w:space="0" w:color="auto"/>
        <w:left w:val="none" w:sz="0" w:space="0" w:color="auto"/>
        <w:bottom w:val="none" w:sz="0" w:space="0" w:color="auto"/>
        <w:right w:val="none" w:sz="0" w:space="0" w:color="auto"/>
      </w:divBdr>
    </w:div>
    <w:div w:id="872309261">
      <w:bodyDiv w:val="1"/>
      <w:marLeft w:val="0"/>
      <w:marRight w:val="0"/>
      <w:marTop w:val="0"/>
      <w:marBottom w:val="0"/>
      <w:divBdr>
        <w:top w:val="none" w:sz="0" w:space="0" w:color="auto"/>
        <w:left w:val="none" w:sz="0" w:space="0" w:color="auto"/>
        <w:bottom w:val="none" w:sz="0" w:space="0" w:color="auto"/>
        <w:right w:val="none" w:sz="0" w:space="0" w:color="auto"/>
      </w:divBdr>
    </w:div>
    <w:div w:id="880438856">
      <w:bodyDiv w:val="1"/>
      <w:marLeft w:val="0"/>
      <w:marRight w:val="0"/>
      <w:marTop w:val="0"/>
      <w:marBottom w:val="0"/>
      <w:divBdr>
        <w:top w:val="none" w:sz="0" w:space="0" w:color="auto"/>
        <w:left w:val="none" w:sz="0" w:space="0" w:color="auto"/>
        <w:bottom w:val="none" w:sz="0" w:space="0" w:color="auto"/>
        <w:right w:val="none" w:sz="0" w:space="0" w:color="auto"/>
      </w:divBdr>
    </w:div>
    <w:div w:id="951791218">
      <w:bodyDiv w:val="1"/>
      <w:marLeft w:val="0"/>
      <w:marRight w:val="0"/>
      <w:marTop w:val="0"/>
      <w:marBottom w:val="0"/>
      <w:divBdr>
        <w:top w:val="none" w:sz="0" w:space="0" w:color="auto"/>
        <w:left w:val="none" w:sz="0" w:space="0" w:color="auto"/>
        <w:bottom w:val="none" w:sz="0" w:space="0" w:color="auto"/>
        <w:right w:val="none" w:sz="0" w:space="0" w:color="auto"/>
      </w:divBdr>
    </w:div>
    <w:div w:id="975335388">
      <w:bodyDiv w:val="1"/>
      <w:marLeft w:val="0"/>
      <w:marRight w:val="0"/>
      <w:marTop w:val="0"/>
      <w:marBottom w:val="0"/>
      <w:divBdr>
        <w:top w:val="none" w:sz="0" w:space="0" w:color="auto"/>
        <w:left w:val="none" w:sz="0" w:space="0" w:color="auto"/>
        <w:bottom w:val="none" w:sz="0" w:space="0" w:color="auto"/>
        <w:right w:val="none" w:sz="0" w:space="0" w:color="auto"/>
      </w:divBdr>
    </w:div>
    <w:div w:id="1009526812">
      <w:bodyDiv w:val="1"/>
      <w:marLeft w:val="0"/>
      <w:marRight w:val="0"/>
      <w:marTop w:val="0"/>
      <w:marBottom w:val="0"/>
      <w:divBdr>
        <w:top w:val="none" w:sz="0" w:space="0" w:color="auto"/>
        <w:left w:val="none" w:sz="0" w:space="0" w:color="auto"/>
        <w:bottom w:val="none" w:sz="0" w:space="0" w:color="auto"/>
        <w:right w:val="none" w:sz="0" w:space="0" w:color="auto"/>
      </w:divBdr>
    </w:div>
    <w:div w:id="1047873397">
      <w:bodyDiv w:val="1"/>
      <w:marLeft w:val="0"/>
      <w:marRight w:val="0"/>
      <w:marTop w:val="0"/>
      <w:marBottom w:val="0"/>
      <w:divBdr>
        <w:top w:val="none" w:sz="0" w:space="0" w:color="auto"/>
        <w:left w:val="none" w:sz="0" w:space="0" w:color="auto"/>
        <w:bottom w:val="none" w:sz="0" w:space="0" w:color="auto"/>
        <w:right w:val="none" w:sz="0" w:space="0" w:color="auto"/>
      </w:divBdr>
    </w:div>
    <w:div w:id="1099713746">
      <w:bodyDiv w:val="1"/>
      <w:marLeft w:val="0"/>
      <w:marRight w:val="0"/>
      <w:marTop w:val="0"/>
      <w:marBottom w:val="0"/>
      <w:divBdr>
        <w:top w:val="none" w:sz="0" w:space="0" w:color="auto"/>
        <w:left w:val="none" w:sz="0" w:space="0" w:color="auto"/>
        <w:bottom w:val="none" w:sz="0" w:space="0" w:color="auto"/>
        <w:right w:val="none" w:sz="0" w:space="0" w:color="auto"/>
      </w:divBdr>
    </w:div>
    <w:div w:id="1138959438">
      <w:bodyDiv w:val="1"/>
      <w:marLeft w:val="0"/>
      <w:marRight w:val="0"/>
      <w:marTop w:val="0"/>
      <w:marBottom w:val="0"/>
      <w:divBdr>
        <w:top w:val="none" w:sz="0" w:space="0" w:color="auto"/>
        <w:left w:val="none" w:sz="0" w:space="0" w:color="auto"/>
        <w:bottom w:val="none" w:sz="0" w:space="0" w:color="auto"/>
        <w:right w:val="none" w:sz="0" w:space="0" w:color="auto"/>
      </w:divBdr>
    </w:div>
    <w:div w:id="1250117116">
      <w:bodyDiv w:val="1"/>
      <w:marLeft w:val="0"/>
      <w:marRight w:val="0"/>
      <w:marTop w:val="0"/>
      <w:marBottom w:val="0"/>
      <w:divBdr>
        <w:top w:val="none" w:sz="0" w:space="0" w:color="auto"/>
        <w:left w:val="none" w:sz="0" w:space="0" w:color="auto"/>
        <w:bottom w:val="none" w:sz="0" w:space="0" w:color="auto"/>
        <w:right w:val="none" w:sz="0" w:space="0" w:color="auto"/>
      </w:divBdr>
    </w:div>
    <w:div w:id="1372458099">
      <w:bodyDiv w:val="1"/>
      <w:marLeft w:val="0"/>
      <w:marRight w:val="0"/>
      <w:marTop w:val="0"/>
      <w:marBottom w:val="0"/>
      <w:divBdr>
        <w:top w:val="none" w:sz="0" w:space="0" w:color="auto"/>
        <w:left w:val="none" w:sz="0" w:space="0" w:color="auto"/>
        <w:bottom w:val="none" w:sz="0" w:space="0" w:color="auto"/>
        <w:right w:val="none" w:sz="0" w:space="0" w:color="auto"/>
      </w:divBdr>
    </w:div>
    <w:div w:id="1485703853">
      <w:bodyDiv w:val="1"/>
      <w:marLeft w:val="0"/>
      <w:marRight w:val="0"/>
      <w:marTop w:val="0"/>
      <w:marBottom w:val="0"/>
      <w:divBdr>
        <w:top w:val="none" w:sz="0" w:space="0" w:color="auto"/>
        <w:left w:val="none" w:sz="0" w:space="0" w:color="auto"/>
        <w:bottom w:val="none" w:sz="0" w:space="0" w:color="auto"/>
        <w:right w:val="none" w:sz="0" w:space="0" w:color="auto"/>
      </w:divBdr>
    </w:div>
    <w:div w:id="1631785653">
      <w:bodyDiv w:val="1"/>
      <w:marLeft w:val="0"/>
      <w:marRight w:val="0"/>
      <w:marTop w:val="0"/>
      <w:marBottom w:val="0"/>
      <w:divBdr>
        <w:top w:val="none" w:sz="0" w:space="0" w:color="auto"/>
        <w:left w:val="none" w:sz="0" w:space="0" w:color="auto"/>
        <w:bottom w:val="none" w:sz="0" w:space="0" w:color="auto"/>
        <w:right w:val="none" w:sz="0" w:space="0" w:color="auto"/>
      </w:divBdr>
    </w:div>
    <w:div w:id="1660228708">
      <w:bodyDiv w:val="1"/>
      <w:marLeft w:val="0"/>
      <w:marRight w:val="0"/>
      <w:marTop w:val="0"/>
      <w:marBottom w:val="0"/>
      <w:divBdr>
        <w:top w:val="none" w:sz="0" w:space="0" w:color="auto"/>
        <w:left w:val="none" w:sz="0" w:space="0" w:color="auto"/>
        <w:bottom w:val="none" w:sz="0" w:space="0" w:color="auto"/>
        <w:right w:val="none" w:sz="0" w:space="0" w:color="auto"/>
      </w:divBdr>
    </w:div>
    <w:div w:id="1692679881">
      <w:bodyDiv w:val="1"/>
      <w:marLeft w:val="0"/>
      <w:marRight w:val="0"/>
      <w:marTop w:val="0"/>
      <w:marBottom w:val="0"/>
      <w:divBdr>
        <w:top w:val="none" w:sz="0" w:space="0" w:color="auto"/>
        <w:left w:val="none" w:sz="0" w:space="0" w:color="auto"/>
        <w:bottom w:val="none" w:sz="0" w:space="0" w:color="auto"/>
        <w:right w:val="none" w:sz="0" w:space="0" w:color="auto"/>
      </w:divBdr>
    </w:div>
    <w:div w:id="1778023427">
      <w:bodyDiv w:val="1"/>
      <w:marLeft w:val="0"/>
      <w:marRight w:val="0"/>
      <w:marTop w:val="0"/>
      <w:marBottom w:val="0"/>
      <w:divBdr>
        <w:top w:val="none" w:sz="0" w:space="0" w:color="auto"/>
        <w:left w:val="none" w:sz="0" w:space="0" w:color="auto"/>
        <w:bottom w:val="none" w:sz="0" w:space="0" w:color="auto"/>
        <w:right w:val="none" w:sz="0" w:space="0" w:color="auto"/>
      </w:divBdr>
    </w:div>
    <w:div w:id="1816723828">
      <w:bodyDiv w:val="1"/>
      <w:marLeft w:val="0"/>
      <w:marRight w:val="0"/>
      <w:marTop w:val="0"/>
      <w:marBottom w:val="0"/>
      <w:divBdr>
        <w:top w:val="none" w:sz="0" w:space="0" w:color="auto"/>
        <w:left w:val="none" w:sz="0" w:space="0" w:color="auto"/>
        <w:bottom w:val="none" w:sz="0" w:space="0" w:color="auto"/>
        <w:right w:val="none" w:sz="0" w:space="0" w:color="auto"/>
      </w:divBdr>
    </w:div>
    <w:div w:id="1889607379">
      <w:bodyDiv w:val="1"/>
      <w:marLeft w:val="0"/>
      <w:marRight w:val="0"/>
      <w:marTop w:val="0"/>
      <w:marBottom w:val="0"/>
      <w:divBdr>
        <w:top w:val="none" w:sz="0" w:space="0" w:color="auto"/>
        <w:left w:val="none" w:sz="0" w:space="0" w:color="auto"/>
        <w:bottom w:val="none" w:sz="0" w:space="0" w:color="auto"/>
        <w:right w:val="none" w:sz="0" w:space="0" w:color="auto"/>
      </w:divBdr>
    </w:div>
    <w:div w:id="1902672174">
      <w:bodyDiv w:val="1"/>
      <w:marLeft w:val="0"/>
      <w:marRight w:val="0"/>
      <w:marTop w:val="0"/>
      <w:marBottom w:val="0"/>
      <w:divBdr>
        <w:top w:val="none" w:sz="0" w:space="0" w:color="auto"/>
        <w:left w:val="none" w:sz="0" w:space="0" w:color="auto"/>
        <w:bottom w:val="none" w:sz="0" w:space="0" w:color="auto"/>
        <w:right w:val="none" w:sz="0" w:space="0" w:color="auto"/>
      </w:divBdr>
    </w:div>
    <w:div w:id="1934821413">
      <w:bodyDiv w:val="1"/>
      <w:marLeft w:val="0"/>
      <w:marRight w:val="0"/>
      <w:marTop w:val="0"/>
      <w:marBottom w:val="0"/>
      <w:divBdr>
        <w:top w:val="none" w:sz="0" w:space="0" w:color="auto"/>
        <w:left w:val="none" w:sz="0" w:space="0" w:color="auto"/>
        <w:bottom w:val="none" w:sz="0" w:space="0" w:color="auto"/>
        <w:right w:val="none" w:sz="0" w:space="0" w:color="auto"/>
      </w:divBdr>
    </w:div>
    <w:div w:id="1961299925">
      <w:bodyDiv w:val="1"/>
      <w:marLeft w:val="0"/>
      <w:marRight w:val="0"/>
      <w:marTop w:val="0"/>
      <w:marBottom w:val="0"/>
      <w:divBdr>
        <w:top w:val="none" w:sz="0" w:space="0" w:color="auto"/>
        <w:left w:val="none" w:sz="0" w:space="0" w:color="auto"/>
        <w:bottom w:val="none" w:sz="0" w:space="0" w:color="auto"/>
        <w:right w:val="none" w:sz="0" w:space="0" w:color="auto"/>
      </w:divBdr>
    </w:div>
    <w:div w:id="1998611753">
      <w:bodyDiv w:val="1"/>
      <w:marLeft w:val="0"/>
      <w:marRight w:val="0"/>
      <w:marTop w:val="0"/>
      <w:marBottom w:val="0"/>
      <w:divBdr>
        <w:top w:val="none" w:sz="0" w:space="0" w:color="auto"/>
        <w:left w:val="none" w:sz="0" w:space="0" w:color="auto"/>
        <w:bottom w:val="none" w:sz="0" w:space="0" w:color="auto"/>
        <w:right w:val="none" w:sz="0" w:space="0" w:color="auto"/>
      </w:divBdr>
    </w:div>
    <w:div w:id="2091921516">
      <w:bodyDiv w:val="1"/>
      <w:marLeft w:val="0"/>
      <w:marRight w:val="0"/>
      <w:marTop w:val="0"/>
      <w:marBottom w:val="0"/>
      <w:divBdr>
        <w:top w:val="none" w:sz="0" w:space="0" w:color="auto"/>
        <w:left w:val="none" w:sz="0" w:space="0" w:color="auto"/>
        <w:bottom w:val="none" w:sz="0" w:space="0" w:color="auto"/>
        <w:right w:val="none" w:sz="0" w:space="0" w:color="auto"/>
      </w:divBdr>
    </w:div>
    <w:div w:id="2112164585">
      <w:bodyDiv w:val="1"/>
      <w:marLeft w:val="0"/>
      <w:marRight w:val="0"/>
      <w:marTop w:val="0"/>
      <w:marBottom w:val="0"/>
      <w:divBdr>
        <w:top w:val="none" w:sz="0" w:space="0" w:color="auto"/>
        <w:left w:val="none" w:sz="0" w:space="0" w:color="auto"/>
        <w:bottom w:val="none" w:sz="0" w:space="0" w:color="auto"/>
        <w:right w:val="none" w:sz="0" w:space="0" w:color="auto"/>
      </w:divBdr>
      <w:divsChild>
        <w:div w:id="1679232925">
          <w:marLeft w:val="0"/>
          <w:marRight w:val="0"/>
          <w:marTop w:val="0"/>
          <w:marBottom w:val="0"/>
          <w:divBdr>
            <w:top w:val="none" w:sz="0" w:space="0" w:color="auto"/>
            <w:left w:val="none" w:sz="0" w:space="0" w:color="auto"/>
            <w:bottom w:val="none" w:sz="0" w:space="0" w:color="auto"/>
            <w:right w:val="none" w:sz="0" w:space="0" w:color="auto"/>
          </w:divBdr>
          <w:divsChild>
            <w:div w:id="373966779">
              <w:marLeft w:val="0"/>
              <w:marRight w:val="0"/>
              <w:marTop w:val="0"/>
              <w:marBottom w:val="0"/>
              <w:divBdr>
                <w:top w:val="none" w:sz="0" w:space="0" w:color="auto"/>
                <w:left w:val="none" w:sz="0" w:space="0" w:color="auto"/>
                <w:bottom w:val="none" w:sz="0" w:space="0" w:color="auto"/>
                <w:right w:val="none" w:sz="0" w:space="0" w:color="auto"/>
              </w:divBdr>
              <w:divsChild>
                <w:div w:id="1200778135">
                  <w:marLeft w:val="0"/>
                  <w:marRight w:val="0"/>
                  <w:marTop w:val="0"/>
                  <w:marBottom w:val="0"/>
                  <w:divBdr>
                    <w:top w:val="none" w:sz="0" w:space="0" w:color="auto"/>
                    <w:left w:val="none" w:sz="0" w:space="0" w:color="auto"/>
                    <w:bottom w:val="none" w:sz="0" w:space="0" w:color="auto"/>
                    <w:right w:val="none" w:sz="0" w:space="0" w:color="auto"/>
                  </w:divBdr>
                  <w:divsChild>
                    <w:div w:id="531721729">
                      <w:marLeft w:val="0"/>
                      <w:marRight w:val="0"/>
                      <w:marTop w:val="0"/>
                      <w:marBottom w:val="0"/>
                      <w:divBdr>
                        <w:top w:val="none" w:sz="0" w:space="0" w:color="auto"/>
                        <w:left w:val="none" w:sz="0" w:space="0" w:color="auto"/>
                        <w:bottom w:val="none" w:sz="0" w:space="0" w:color="auto"/>
                        <w:right w:val="none" w:sz="0" w:space="0" w:color="auto"/>
                      </w:divBdr>
                      <w:divsChild>
                        <w:div w:id="1740901050">
                          <w:marLeft w:val="0"/>
                          <w:marRight w:val="0"/>
                          <w:marTop w:val="0"/>
                          <w:marBottom w:val="0"/>
                          <w:divBdr>
                            <w:top w:val="none" w:sz="0" w:space="0" w:color="auto"/>
                            <w:left w:val="none" w:sz="0" w:space="0" w:color="auto"/>
                            <w:bottom w:val="none" w:sz="0" w:space="0" w:color="auto"/>
                            <w:right w:val="none" w:sz="0" w:space="0" w:color="auto"/>
                          </w:divBdr>
                          <w:divsChild>
                            <w:div w:id="1765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emf"/><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3CCF721952E7734AA5A9863F4F962A00" ma:contentTypeVersion="0" ma:contentTypeDescription="A content type to manage public (operations) IDB documents" ma:contentTypeScope="" ma:versionID="70b68a90237f5debefe154d05841b49f">
  <xsd:schema xmlns:xsd="http://www.w3.org/2001/XMLSchema" xmlns:xs="http://www.w3.org/2001/XMLSchema" xmlns:p="http://schemas.microsoft.com/office/2006/metadata/properties" xmlns:ns2="9c571b2f-e523-4ab2-ba2e-09e151a03ef4" targetNamespace="http://schemas.microsoft.com/office/2006/metadata/properties" ma:root="true" ma:fieldsID="9cff07d7d5f507af60e4c1026fc57ed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83784aa-74ed-4296-b3f7-10d44e6886d3}" ma:internalName="TaxCatchAll" ma:showField="CatchAllData" ma:web="4739d0af-5d72-4c36-83d8-96d7c4d14d5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83784aa-74ed-4296-b3f7-10d44e6886d3}" ma:internalName="TaxCatchAllLabel" ma:readOnly="true" ma:showField="CatchAllDataLabel" ma:web="4739d0af-5d72-4c36-83d8-96d7c4d14d5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Record_x0020_Number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INE/TSP</Division_x0020_or_x0020_Unit>
    <Other_x0020_Author xmlns="9c571b2f-e523-4ab2-ba2e-09e151a03ef4" xsi:nil="true"/>
    <Region xmlns="9c571b2f-e523-4ab2-ba2e-09e151a03ef4" xsi:nil="true"/>
    <IDBDocs_x0020_Number xmlns="9c571b2f-e523-4ab2-ba2e-09e151a03ef4">37908834</IDBDocs_x0020_Number>
    <Document_x0020_Author xmlns="9c571b2f-e523-4ab2-ba2e-09e151a03ef4">Caldo, Alejandra Anahi</Document_x0020_Author>
    <Publication_x0020_Type xmlns="9c571b2f-e523-4ab2-ba2e-09e151a03ef4" xsi:nil="true"/>
    <Operation_x0020_Type xmlns="9c571b2f-e523-4ab2-ba2e-09e151a03ef4" xsi:nil="true"/>
    <TaxCatchAll xmlns="9c571b2f-e523-4ab2-ba2e-09e151a03ef4">
      <Value>19</Value>
      <Value>2</Value>
      <Value>1</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CR-L1032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Loan Proposal</TermName>
          <TermId xmlns="http://schemas.microsoft.com/office/infopath/2007/PartnerControls">6ee86b6f-6e46-485b-8bfb-87a1f44622ac</TermId>
        </TermInfo>
      </Terms>
    </o5138a91267540169645e33d09c9ddc6>
    <Package_x0020_Code xmlns="9c571b2f-e523-4ab2-ba2e-09e151a03ef4" xsi:nil="true"/>
    <Migration_x0020_Info xmlns="9c571b2f-e523-4ab2-ba2e-09e151a03ef4">&lt;Data&gt;&lt;APPLICATION&gt;MS WORD&lt;/APPLICATION&gt;&lt;STAGE_CODE&gt;LP&lt;/STAGE_CODE&gt;&lt;USER_STAGE&gt;Loan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Highways and Roads;Transportation</Webtopic>
    <Identifier xmlns="9c571b2f-e523-4ab2-ba2e-09e151a03ef4"> TECFILE</Identifier>
    <Publishing_x0020_House xmlns="9c571b2f-e523-4ab2-ba2e-09e151a03ef4" xsi:nil="true"/>
    <Disclosed xmlns="9c571b2f-e523-4ab2-ba2e-09e151a03ef4">false</Disclosed>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TermInfo xmlns="http://schemas.microsoft.com/office/infopath/2007/PartnerControls">
          <TermName xmlns="http://schemas.microsoft.com/office/infopath/2007/PartnerControls">Costa Rica</TermName>
          <TermId xmlns="http://schemas.microsoft.com/office/infopath/2007/PartnerControls">70401352-ba64-401d-af16-55c448a66295</TermId>
        </TermInfo>
      </Terms>
    </j8b96605ee2f4c4e988849e658583fee>
  </documentManagement>
</p:properties>
</file>

<file path=customXml/itemProps1.xml><?xml version="1.0" encoding="utf-8"?>
<ds:datastoreItem xmlns:ds="http://schemas.openxmlformats.org/officeDocument/2006/customXml" ds:itemID="{B721C097-AF4F-46F8-BFFB-F26DA42E02CF}"/>
</file>

<file path=customXml/itemProps2.xml><?xml version="1.0" encoding="utf-8"?>
<ds:datastoreItem xmlns:ds="http://schemas.openxmlformats.org/officeDocument/2006/customXml" ds:itemID="{1F1EC0FC-B36F-4C40-8644-15125B9396A9}"/>
</file>

<file path=customXml/itemProps3.xml><?xml version="1.0" encoding="utf-8"?>
<ds:datastoreItem xmlns:ds="http://schemas.openxmlformats.org/officeDocument/2006/customXml" ds:itemID="{9F728E41-072A-4EF0-B0A9-79518F9D9E38}"/>
</file>

<file path=customXml/itemProps4.xml><?xml version="1.0" encoding="utf-8"?>
<ds:datastoreItem xmlns:ds="http://schemas.openxmlformats.org/officeDocument/2006/customXml" ds:itemID="{831CB55A-660F-4D70-9B0F-FD8EE4119DEF}"/>
</file>

<file path=customXml/itemProps5.xml><?xml version="1.0" encoding="utf-8"?>
<ds:datastoreItem xmlns:ds="http://schemas.openxmlformats.org/officeDocument/2006/customXml" ds:itemID="{5A825AD8-2C98-4D5C-B66C-A5FD233A3ABE}"/>
</file>

<file path=customXml/itemProps6.xml><?xml version="1.0" encoding="utf-8"?>
<ds:datastoreItem xmlns:ds="http://schemas.openxmlformats.org/officeDocument/2006/customXml" ds:itemID="{1FE75B4A-B608-40DB-A19D-195BC2514BDC}"/>
</file>

<file path=docProps/app.xml><?xml version="1.0" encoding="utf-8"?>
<Properties xmlns="http://schemas.openxmlformats.org/officeDocument/2006/extended-properties" xmlns:vt="http://schemas.openxmlformats.org/officeDocument/2006/docPropsVTypes">
  <Template>Normal.dotm</Template>
  <TotalTime>502</TotalTime>
  <Pages>30</Pages>
  <Words>4848</Words>
  <Characters>26230</Characters>
  <Application>Microsoft Office Word</Application>
  <DocSecurity>0</DocSecurity>
  <Lines>218</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HONDURAS</vt:lpstr>
      <vt:lpstr>HONDURAS</vt:lpstr>
    </vt:vector>
  </TitlesOfParts>
  <Company/>
  <LinksUpToDate>false</LinksUpToDate>
  <CharactersWithSpaces>31016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Electrónico Opcional _4_ Evaluación económica Terminales Transbordadoras</dc:title>
  <dc:creator>R Suárez Nicolini</dc:creator>
  <cp:lastModifiedBy>Inter-American Development Bank</cp:lastModifiedBy>
  <cp:revision>27</cp:revision>
  <cp:lastPrinted>2013-03-06T21:00:00Z</cp:lastPrinted>
  <dcterms:created xsi:type="dcterms:W3CDTF">2013-06-21T15:33:00Z</dcterms:created>
  <dcterms:modified xsi:type="dcterms:W3CDTF">2013-07-19T00:39:00Z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0x01010046CF21643EE8D14686A648AA6DAD0892003CCF721952E7734AA5A9863F4F962A00</vt:lpwstr>
  </property>
  <property fmtid="{D5CDD505-2E9C-101B-9397-08002B2CF9AE}" pid="5" name="TaxKeywordTaxHTField">
    <vt:lpwstr/>
  </property>
  <property fmtid="{D5CDD505-2E9C-101B-9397-08002B2CF9AE}" pid="6" name="Series Operations IDB">
    <vt:lpwstr>19;#Loan Proposal|6ee86b6f-6e46-485b-8bfb-87a1f44622ac</vt:lpwstr>
  </property>
  <property fmtid="{D5CDD505-2E9C-101B-9397-08002B2CF9AE}" pid="7" name="Sub-Sector">
    <vt:lpwstr/>
  </property>
  <property fmtid="{D5CDD505-2E9C-101B-9397-08002B2CF9AE}" pid="8" name="Country">
    <vt:lpwstr>2;#Costa Rica|70401352-ba64-401d-af16-55c448a66295</vt:lpwstr>
  </property>
  <property fmtid="{D5CDD505-2E9C-101B-9397-08002B2CF9AE}" pid="9" name="Fund IDB">
    <vt:lpwstr/>
  </property>
  <property fmtid="{D5CDD505-2E9C-101B-9397-08002B2CF9AE}" pid="10" name="Series_x0020_Operations_x0020_IDB">
    <vt:lpwstr>19;#Loan Proposal|6ee86b6f-6e46-485b-8bfb-87a1f44622ac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1;#Project Preparation, Planning and Design|29ca0c72-1fc4-435f-a09c-28585cb5eac9</vt:lpwstr>
  </property>
</Properties>
</file>