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E6" w:rsidRPr="00767435" w:rsidRDefault="005905E6" w:rsidP="0096418A">
      <w:pPr>
        <w:pStyle w:val="Title"/>
        <w:tabs>
          <w:tab w:val="clear" w:pos="1440"/>
          <w:tab w:val="clear" w:pos="3060"/>
        </w:tabs>
        <w:outlineLvl w:val="9"/>
        <w:rPr>
          <w:smallCaps/>
          <w:szCs w:val="24"/>
          <w:lang w:val="es-ES"/>
        </w:rPr>
      </w:pPr>
      <w:r w:rsidRPr="00767435">
        <w:rPr>
          <w:smallCaps/>
          <w:szCs w:val="24"/>
          <w:lang w:val="es-ES"/>
        </w:rPr>
        <w:t>Documento del Banco Interamericano de Desarrollo</w:t>
      </w:r>
    </w:p>
    <w:p w:rsidR="005905E6" w:rsidRPr="00767435" w:rsidRDefault="005905E6" w:rsidP="0096418A">
      <w:pPr>
        <w:tabs>
          <w:tab w:val="left" w:pos="1440"/>
          <w:tab w:val="left" w:pos="3060"/>
        </w:tabs>
        <w:jc w:val="center"/>
        <w:rPr>
          <w:b/>
          <w:smallCaps/>
          <w:szCs w:val="24"/>
          <w:lang w:val="es-ES"/>
        </w:rPr>
      </w:pPr>
    </w:p>
    <w:p w:rsidR="005905E6" w:rsidRPr="00767435" w:rsidRDefault="005905E6" w:rsidP="0096418A">
      <w:pPr>
        <w:tabs>
          <w:tab w:val="left" w:pos="1440"/>
          <w:tab w:val="left" w:pos="3060"/>
        </w:tabs>
        <w:jc w:val="center"/>
        <w:rPr>
          <w:b/>
          <w:smallCaps/>
          <w:szCs w:val="24"/>
          <w:lang w:val="es-ES"/>
        </w:rPr>
      </w:pPr>
    </w:p>
    <w:p w:rsidR="005905E6" w:rsidRPr="00767435" w:rsidRDefault="005905E6" w:rsidP="0096418A">
      <w:pPr>
        <w:tabs>
          <w:tab w:val="left" w:pos="1440"/>
          <w:tab w:val="left" w:pos="3060"/>
        </w:tabs>
        <w:jc w:val="center"/>
        <w:rPr>
          <w:b/>
          <w:smallCaps/>
          <w:szCs w:val="24"/>
          <w:lang w:val="es-ES"/>
        </w:rPr>
      </w:pPr>
    </w:p>
    <w:p w:rsidR="005905E6" w:rsidRPr="00767435" w:rsidRDefault="005905E6" w:rsidP="0096418A">
      <w:pPr>
        <w:tabs>
          <w:tab w:val="left" w:pos="1440"/>
          <w:tab w:val="left" w:pos="3060"/>
        </w:tabs>
        <w:jc w:val="center"/>
        <w:rPr>
          <w:b/>
          <w:smallCaps/>
          <w:szCs w:val="24"/>
          <w:lang w:val="es-ES"/>
        </w:rPr>
      </w:pPr>
    </w:p>
    <w:p w:rsidR="005905E6" w:rsidRPr="00767435" w:rsidRDefault="005905E6" w:rsidP="00AB305A">
      <w:pPr>
        <w:tabs>
          <w:tab w:val="left" w:pos="1440"/>
          <w:tab w:val="left" w:pos="3060"/>
        </w:tabs>
        <w:jc w:val="center"/>
        <w:rPr>
          <w:rFonts w:cs="Arial"/>
          <w:b/>
          <w:smallCaps/>
          <w:lang w:val="es-ES"/>
        </w:rPr>
      </w:pPr>
    </w:p>
    <w:p w:rsidR="005905E6" w:rsidRPr="00767435" w:rsidRDefault="005905E6" w:rsidP="00AB305A">
      <w:pPr>
        <w:tabs>
          <w:tab w:val="left" w:pos="1440"/>
          <w:tab w:val="left" w:pos="3060"/>
        </w:tabs>
        <w:jc w:val="center"/>
        <w:rPr>
          <w:rFonts w:cs="Arial"/>
          <w:b/>
          <w:smallCaps/>
          <w:lang w:val="es-ES"/>
        </w:rPr>
      </w:pPr>
      <w:r w:rsidRPr="00767435">
        <w:rPr>
          <w:rFonts w:cs="Arial"/>
          <w:b/>
          <w:smallCaps/>
          <w:lang w:val="es-ES"/>
        </w:rPr>
        <w:t>Argentina</w:t>
      </w:r>
    </w:p>
    <w:p w:rsidR="005905E6" w:rsidRPr="00767435" w:rsidRDefault="005905E6" w:rsidP="00AB305A">
      <w:pPr>
        <w:tabs>
          <w:tab w:val="left" w:pos="1440"/>
          <w:tab w:val="left" w:pos="3060"/>
        </w:tabs>
        <w:jc w:val="center"/>
        <w:rPr>
          <w:rFonts w:cs="Arial"/>
          <w:b/>
          <w:smallCaps/>
          <w:lang w:val="es-ES"/>
        </w:rPr>
      </w:pPr>
    </w:p>
    <w:p w:rsidR="005905E6" w:rsidRPr="00767435" w:rsidRDefault="005905E6" w:rsidP="00C141E5">
      <w:pPr>
        <w:tabs>
          <w:tab w:val="left" w:pos="1440"/>
          <w:tab w:val="left" w:pos="3060"/>
        </w:tabs>
        <w:jc w:val="center"/>
        <w:rPr>
          <w:rFonts w:cs="Arial"/>
          <w:b/>
          <w:smallCaps/>
          <w:lang w:val="es-ES"/>
        </w:rPr>
      </w:pPr>
      <w:r w:rsidRPr="00767435">
        <w:rPr>
          <w:rFonts w:cs="Arial"/>
          <w:b/>
          <w:smallCaps/>
          <w:lang w:val="es-ES"/>
        </w:rPr>
        <w:t xml:space="preserve">Proyecto de Mejora Integral del Ferrocarril Gral. Roca: Ramal Constitución - </w:t>
      </w:r>
      <w:smartTag w:uri="urn:schemas-microsoft-com:office:smarttags" w:element="PersonName">
        <w:smartTagPr>
          <w:attr w:name="ProductID" w:val="LA PLATA"/>
        </w:smartTagPr>
        <w:r w:rsidRPr="00767435">
          <w:rPr>
            <w:rFonts w:cs="Arial"/>
            <w:b/>
            <w:smallCaps/>
            <w:lang w:val="es-ES"/>
          </w:rPr>
          <w:t>La Plata</w:t>
        </w:r>
      </w:smartTag>
    </w:p>
    <w:p w:rsidR="005905E6" w:rsidRPr="00767435" w:rsidRDefault="005905E6" w:rsidP="00C141E5">
      <w:pPr>
        <w:tabs>
          <w:tab w:val="left" w:pos="1440"/>
          <w:tab w:val="left" w:pos="3060"/>
        </w:tabs>
        <w:jc w:val="center"/>
        <w:rPr>
          <w:rFonts w:cs="Arial"/>
          <w:b/>
          <w:smallCaps/>
          <w:lang w:val="es-ES"/>
        </w:rPr>
      </w:pPr>
    </w:p>
    <w:p w:rsidR="005905E6" w:rsidRPr="00767435" w:rsidRDefault="005905E6" w:rsidP="00C141E5">
      <w:pPr>
        <w:tabs>
          <w:tab w:val="left" w:pos="1440"/>
          <w:tab w:val="left" w:pos="3060"/>
        </w:tabs>
        <w:jc w:val="center"/>
        <w:rPr>
          <w:smallCaps/>
          <w:szCs w:val="24"/>
          <w:lang w:val="es-ES"/>
        </w:rPr>
      </w:pPr>
      <w:r w:rsidRPr="00767435">
        <w:rPr>
          <w:rFonts w:cs="Arial"/>
          <w:b/>
          <w:smallCaps/>
          <w:lang w:val="es-ES"/>
        </w:rPr>
        <w:t>(AR-L1158)</w:t>
      </w:r>
    </w:p>
    <w:p w:rsidR="005905E6" w:rsidRPr="00767435" w:rsidRDefault="005905E6" w:rsidP="0096418A">
      <w:pPr>
        <w:tabs>
          <w:tab w:val="left" w:pos="1440"/>
          <w:tab w:val="left" w:pos="3060"/>
        </w:tabs>
        <w:jc w:val="center"/>
        <w:rPr>
          <w:smallCaps/>
          <w:szCs w:val="24"/>
          <w:lang w:val="es-ES"/>
        </w:rPr>
      </w:pPr>
    </w:p>
    <w:p w:rsidR="005905E6" w:rsidRPr="00767435" w:rsidRDefault="005905E6" w:rsidP="0096418A">
      <w:pPr>
        <w:tabs>
          <w:tab w:val="left" w:pos="1440"/>
          <w:tab w:val="left" w:pos="3060"/>
        </w:tabs>
        <w:jc w:val="center"/>
        <w:rPr>
          <w:smallCaps/>
          <w:szCs w:val="24"/>
          <w:lang w:val="es-ES"/>
        </w:rPr>
      </w:pPr>
    </w:p>
    <w:p w:rsidR="005905E6" w:rsidRPr="00767435" w:rsidRDefault="005905E6" w:rsidP="0096418A">
      <w:pPr>
        <w:tabs>
          <w:tab w:val="left" w:pos="1440"/>
          <w:tab w:val="left" w:pos="3060"/>
        </w:tabs>
        <w:jc w:val="center"/>
        <w:rPr>
          <w:smallCaps/>
          <w:szCs w:val="24"/>
          <w:lang w:val="es-ES"/>
        </w:rPr>
      </w:pPr>
    </w:p>
    <w:p w:rsidR="005905E6" w:rsidRPr="00767435" w:rsidRDefault="005905E6" w:rsidP="0096418A">
      <w:pPr>
        <w:tabs>
          <w:tab w:val="left" w:pos="1440"/>
          <w:tab w:val="left" w:pos="3060"/>
        </w:tabs>
        <w:jc w:val="center"/>
        <w:rPr>
          <w:smallCaps/>
          <w:szCs w:val="24"/>
          <w:lang w:val="es-ES"/>
        </w:rPr>
      </w:pPr>
    </w:p>
    <w:p w:rsidR="005905E6" w:rsidRPr="00767435" w:rsidRDefault="005905E6" w:rsidP="0096418A">
      <w:pPr>
        <w:tabs>
          <w:tab w:val="left" w:pos="1440"/>
          <w:tab w:val="left" w:pos="3060"/>
        </w:tabs>
        <w:jc w:val="center"/>
        <w:outlineLvl w:val="0"/>
        <w:rPr>
          <w:b/>
          <w:smallCaps/>
          <w:szCs w:val="24"/>
          <w:lang w:val="es-ES"/>
        </w:rPr>
      </w:pPr>
      <w:r w:rsidRPr="00767435">
        <w:rPr>
          <w:b/>
          <w:smallCaps/>
          <w:szCs w:val="24"/>
          <w:lang w:val="es-ES"/>
        </w:rPr>
        <w:t xml:space="preserve">Plan de Seguimiento y Evaluación </w:t>
      </w:r>
    </w:p>
    <w:p w:rsidR="005905E6" w:rsidRPr="00767435" w:rsidRDefault="005905E6" w:rsidP="0096418A">
      <w:pPr>
        <w:tabs>
          <w:tab w:val="left" w:pos="1440"/>
          <w:tab w:val="left" w:pos="3060"/>
        </w:tabs>
        <w:outlineLvl w:val="0"/>
        <w:rPr>
          <w:b/>
          <w:smallCaps/>
          <w:szCs w:val="24"/>
          <w:lang w:val="es-ES"/>
        </w:rPr>
      </w:pPr>
    </w:p>
    <w:p w:rsidR="005905E6" w:rsidRPr="00767435" w:rsidRDefault="005905E6" w:rsidP="0096418A">
      <w:pPr>
        <w:pStyle w:val="ColorfulList-Accent11"/>
        <w:ind w:left="0"/>
        <w:jc w:val="center"/>
        <w:rPr>
          <w:rFonts w:ascii="Times New Roman" w:hAnsi="Times New Roman"/>
          <w:b/>
          <w:sz w:val="24"/>
          <w:szCs w:val="24"/>
          <w:lang w:val="es-ES"/>
        </w:rPr>
      </w:pPr>
    </w:p>
    <w:p w:rsidR="005905E6" w:rsidRPr="00767435" w:rsidRDefault="005905E6" w:rsidP="0096418A">
      <w:pPr>
        <w:pStyle w:val="ColorfulList-Accent11"/>
        <w:ind w:left="0"/>
        <w:jc w:val="center"/>
        <w:rPr>
          <w:rFonts w:ascii="Times New Roman" w:hAnsi="Times New Roman"/>
          <w:b/>
          <w:sz w:val="24"/>
          <w:szCs w:val="24"/>
          <w:lang w:val="es-ES"/>
        </w:rPr>
      </w:pPr>
    </w:p>
    <w:p w:rsidR="005905E6" w:rsidRPr="00767435" w:rsidRDefault="005905E6" w:rsidP="0096418A">
      <w:pPr>
        <w:pStyle w:val="ColorfulList-Accent11"/>
        <w:ind w:left="0"/>
        <w:jc w:val="center"/>
        <w:rPr>
          <w:rFonts w:ascii="Times New Roman" w:hAnsi="Times New Roman"/>
          <w:b/>
          <w:sz w:val="24"/>
          <w:szCs w:val="24"/>
          <w:lang w:val="es-ES"/>
        </w:rPr>
      </w:pPr>
    </w:p>
    <w:p w:rsidR="005905E6" w:rsidRPr="00767435" w:rsidRDefault="005905E6" w:rsidP="0096418A">
      <w:pPr>
        <w:pStyle w:val="ColorfulList-Accent11"/>
        <w:ind w:left="0"/>
        <w:jc w:val="center"/>
        <w:rPr>
          <w:rFonts w:ascii="Times New Roman" w:hAnsi="Times New Roman"/>
          <w:b/>
          <w:sz w:val="24"/>
          <w:szCs w:val="24"/>
          <w:lang w:val="es-ES"/>
        </w:rPr>
      </w:pPr>
    </w:p>
    <w:p w:rsidR="005905E6" w:rsidRPr="00767435" w:rsidRDefault="005905E6" w:rsidP="0096418A">
      <w:pPr>
        <w:tabs>
          <w:tab w:val="left" w:pos="1440"/>
          <w:tab w:val="left" w:pos="3060"/>
        </w:tabs>
        <w:jc w:val="center"/>
        <w:rPr>
          <w:szCs w:val="24"/>
          <w:lang w:val="es-ES"/>
        </w:rPr>
      </w:pPr>
    </w:p>
    <w:p w:rsidR="005905E6" w:rsidRPr="00767435" w:rsidRDefault="005905E6" w:rsidP="00C141E5">
      <w:pPr>
        <w:pBdr>
          <w:top w:val="single" w:sz="4" w:space="1" w:color="auto"/>
          <w:left w:val="single" w:sz="4" w:space="4" w:color="auto"/>
          <w:bottom w:val="single" w:sz="4" w:space="1" w:color="auto"/>
          <w:right w:val="single" w:sz="4" w:space="4" w:color="auto"/>
        </w:pBdr>
        <w:jc w:val="both"/>
        <w:rPr>
          <w:smallCaps/>
          <w:lang w:val="es-ES"/>
        </w:rPr>
      </w:pPr>
      <w:r w:rsidRPr="00767435">
        <w:rPr>
          <w:lang w:val="es-ES"/>
        </w:rPr>
        <w:t xml:space="preserve">Este documento fue preparado por el Equipo de Proyecto compuesto por: </w:t>
      </w:r>
      <w:r w:rsidRPr="00767435">
        <w:rPr>
          <w:sz w:val="22"/>
          <w:szCs w:val="22"/>
          <w:lang w:val="es-ES"/>
        </w:rPr>
        <w:t>Vera Lucía Vicentini (TSP/CAR), Jefe de Equipo; Alejandro Taddia (INE/TSP), Jefe de Equipo Alterno; Juan Manuel Salvatierra (TSP/CAR), Nicolás Dei Castelli, y Caterina Vecco (INE/TSP); Ernesto Monter y Luciano Bornholdt (VPS/ESG); Gumersindo Velázquez e Ignacio Vinocur (FMP/CAR); Francisco Mejía (SPD/SDV); y Javier Cayo (LEG/SGO).</w:t>
      </w:r>
    </w:p>
    <w:p w:rsidR="005905E6" w:rsidRPr="00767435" w:rsidRDefault="005905E6" w:rsidP="001C1C5A">
      <w:pPr>
        <w:pStyle w:val="BodyText"/>
        <w:pBdr>
          <w:top w:val="single" w:sz="4" w:space="1" w:color="auto"/>
          <w:left w:val="single" w:sz="4" w:space="4" w:color="auto"/>
          <w:bottom w:val="single" w:sz="4" w:space="1" w:color="auto"/>
          <w:right w:val="single" w:sz="4" w:space="4" w:color="auto"/>
        </w:pBdr>
        <w:tabs>
          <w:tab w:val="clear" w:pos="3060"/>
        </w:tabs>
        <w:jc w:val="both"/>
        <w:rPr>
          <w:smallCaps/>
          <w:szCs w:val="24"/>
          <w:lang w:val="es-ES"/>
        </w:rPr>
        <w:sectPr w:rsidR="005905E6" w:rsidRPr="00767435" w:rsidSect="00517CE4">
          <w:headerReference w:type="default" r:id="rId8"/>
          <w:pgSz w:w="12240" w:h="15840"/>
          <w:pgMar w:top="1440" w:right="1800" w:bottom="1440" w:left="1800" w:header="720" w:footer="720" w:gutter="0"/>
          <w:cols w:space="720"/>
          <w:vAlign w:val="both"/>
          <w:rtlGutter/>
          <w:docGrid w:linePitch="360"/>
        </w:sectPr>
      </w:pPr>
    </w:p>
    <w:p w:rsidR="005905E6" w:rsidRPr="00767435" w:rsidRDefault="005905E6" w:rsidP="00B2260C">
      <w:pPr>
        <w:pStyle w:val="ColorfulList-Accent11"/>
        <w:ind w:left="0"/>
        <w:jc w:val="center"/>
        <w:rPr>
          <w:rFonts w:ascii="Times New Roman" w:hAnsi="Times New Roman"/>
          <w:smallCaps/>
          <w:sz w:val="24"/>
          <w:szCs w:val="24"/>
          <w:lang w:val="es-ES"/>
        </w:rPr>
      </w:pPr>
    </w:p>
    <w:p w:rsidR="005905E6" w:rsidRPr="00767435" w:rsidRDefault="005905E6" w:rsidP="00B2260C">
      <w:pPr>
        <w:pStyle w:val="ColorfulList-Accent11"/>
        <w:ind w:left="0"/>
        <w:jc w:val="center"/>
        <w:rPr>
          <w:rFonts w:ascii="Times New Roman" w:hAnsi="Times New Roman"/>
          <w:smallCaps/>
          <w:sz w:val="24"/>
          <w:szCs w:val="24"/>
          <w:lang w:val="es-ES"/>
        </w:rPr>
      </w:pPr>
    </w:p>
    <w:p w:rsidR="005905E6" w:rsidRPr="00767435" w:rsidRDefault="005905E6" w:rsidP="00B2260C">
      <w:pPr>
        <w:pStyle w:val="ColorfulList-Accent11"/>
        <w:ind w:left="0"/>
        <w:jc w:val="center"/>
        <w:rPr>
          <w:rFonts w:ascii="Times New Roman" w:hAnsi="Times New Roman"/>
          <w:smallCaps/>
          <w:sz w:val="24"/>
          <w:szCs w:val="24"/>
          <w:lang w:val="es-ES"/>
        </w:rPr>
      </w:pPr>
    </w:p>
    <w:p w:rsidR="005905E6" w:rsidRPr="00767435" w:rsidRDefault="005905E6" w:rsidP="00B87A39">
      <w:pPr>
        <w:pStyle w:val="heading-b24"/>
        <w:rPr>
          <w:szCs w:val="24"/>
          <w:lang w:val="es-ES"/>
        </w:rPr>
      </w:pPr>
      <w:r w:rsidRPr="00767435">
        <w:rPr>
          <w:rFonts w:eastAsia="Arial Unicode MS"/>
          <w:szCs w:val="24"/>
          <w:lang w:val="es-ES"/>
        </w:rPr>
        <w:t>Siglas y Abreviaturas</w:t>
      </w:r>
    </w:p>
    <w:tbl>
      <w:tblPr>
        <w:tblW w:w="4878" w:type="pct"/>
        <w:tblInd w:w="468" w:type="dxa"/>
        <w:tblLook w:val="0000" w:firstRow="0" w:lastRow="0" w:firstColumn="0" w:lastColumn="0" w:noHBand="0" w:noVBand="0"/>
      </w:tblPr>
      <w:tblGrid>
        <w:gridCol w:w="1862"/>
        <w:gridCol w:w="7744"/>
      </w:tblGrid>
      <w:tr w:rsidR="005905E6" w:rsidRPr="00767435" w:rsidTr="00C141E5">
        <w:tc>
          <w:tcPr>
            <w:tcW w:w="969" w:type="pct"/>
            <w:vAlign w:val="bottom"/>
          </w:tcPr>
          <w:p w:rsidR="005905E6" w:rsidRPr="00767435" w:rsidRDefault="005905E6" w:rsidP="000E34D5">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BID</w:t>
            </w:r>
          </w:p>
        </w:tc>
        <w:tc>
          <w:tcPr>
            <w:tcW w:w="4031" w:type="pct"/>
            <w:vAlign w:val="bottom"/>
          </w:tcPr>
          <w:p w:rsidR="005905E6" w:rsidRPr="00767435" w:rsidRDefault="005905E6" w:rsidP="000E34D5">
            <w:pPr>
              <w:keepNext/>
              <w:widowControl w:val="0"/>
              <w:spacing w:before="100" w:after="100"/>
              <w:ind w:right="-108"/>
              <w:rPr>
                <w:rFonts w:eastAsia="Arial Unicode MS"/>
                <w:szCs w:val="24"/>
                <w:lang w:val="es-ES"/>
              </w:rPr>
            </w:pPr>
            <w:r w:rsidRPr="00767435">
              <w:rPr>
                <w:szCs w:val="24"/>
                <w:lang w:val="es-ES"/>
              </w:rPr>
              <w:t>Banco Interamericano de Desarrollo</w:t>
            </w:r>
          </w:p>
        </w:tc>
      </w:tr>
      <w:tr w:rsidR="005905E6" w:rsidRPr="00767435" w:rsidTr="00C141E5">
        <w:tc>
          <w:tcPr>
            <w:tcW w:w="969" w:type="pct"/>
            <w:vAlign w:val="bottom"/>
          </w:tcPr>
          <w:p w:rsidR="005905E6" w:rsidRPr="00767435" w:rsidRDefault="005905E6" w:rsidP="000E34D5">
            <w:pPr>
              <w:keepNext/>
              <w:widowControl w:val="0"/>
              <w:spacing w:before="100" w:after="100"/>
              <w:ind w:right="-108"/>
              <w:rPr>
                <w:rFonts w:ascii="TimesNewRoman" w:hAnsi="TimesNewRoman" w:cs="TimesNewRoman"/>
                <w:szCs w:val="24"/>
                <w:lang w:val="es-ES" w:eastAsia="es-ES_tradnl"/>
              </w:rPr>
            </w:pPr>
            <w:r w:rsidRPr="00767435">
              <w:rPr>
                <w:rFonts w:ascii="TimesNewRoman" w:hAnsi="TimesNewRoman" w:cs="TimesNewRoman"/>
                <w:szCs w:val="24"/>
                <w:lang w:val="es-ES" w:eastAsia="es-ES_tradnl"/>
              </w:rPr>
              <w:t>GdA</w:t>
            </w:r>
          </w:p>
        </w:tc>
        <w:tc>
          <w:tcPr>
            <w:tcW w:w="4031" w:type="pct"/>
            <w:vAlign w:val="bottom"/>
          </w:tcPr>
          <w:p w:rsidR="005905E6" w:rsidRPr="00767435" w:rsidRDefault="005905E6" w:rsidP="00C141E5">
            <w:pPr>
              <w:keepNext/>
              <w:widowControl w:val="0"/>
              <w:spacing w:before="100" w:after="100"/>
              <w:ind w:right="-108"/>
              <w:rPr>
                <w:rFonts w:ascii="TimesNewRoman" w:hAnsi="TimesNewRoman" w:cs="TimesNewRoman"/>
                <w:szCs w:val="24"/>
                <w:lang w:val="es-ES" w:eastAsia="es-ES_tradnl"/>
              </w:rPr>
            </w:pPr>
            <w:r w:rsidRPr="00767435">
              <w:rPr>
                <w:szCs w:val="24"/>
                <w:lang w:val="es-ES"/>
              </w:rPr>
              <w:t>Gobierno de Argentina</w:t>
            </w:r>
          </w:p>
        </w:tc>
      </w:tr>
      <w:tr w:rsidR="005905E6" w:rsidRPr="00767435" w:rsidTr="00C141E5">
        <w:tc>
          <w:tcPr>
            <w:tcW w:w="969" w:type="pct"/>
            <w:vAlign w:val="bottom"/>
          </w:tcPr>
          <w:p w:rsidR="005905E6" w:rsidRPr="00767435" w:rsidRDefault="005905E6" w:rsidP="000E34D5">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POA</w:t>
            </w:r>
          </w:p>
        </w:tc>
        <w:tc>
          <w:tcPr>
            <w:tcW w:w="4031" w:type="pct"/>
            <w:vAlign w:val="bottom"/>
          </w:tcPr>
          <w:p w:rsidR="005905E6" w:rsidRPr="00767435" w:rsidRDefault="005905E6" w:rsidP="000E34D5">
            <w:pPr>
              <w:keepNext/>
              <w:widowControl w:val="0"/>
              <w:spacing w:before="100" w:after="100"/>
              <w:ind w:right="-108"/>
              <w:rPr>
                <w:rFonts w:ascii="TimesNewRoman" w:hAnsi="TimesNewRoman" w:cs="TimesNewRoman"/>
                <w:szCs w:val="24"/>
                <w:lang w:val="es-ES" w:eastAsia="es-ES_tradnl"/>
              </w:rPr>
            </w:pPr>
            <w:r w:rsidRPr="00767435">
              <w:rPr>
                <w:szCs w:val="24"/>
                <w:lang w:val="es-ES"/>
              </w:rPr>
              <w:t>Plan Operativo Anual</w:t>
            </w:r>
          </w:p>
        </w:tc>
      </w:tr>
      <w:tr w:rsidR="005905E6" w:rsidRPr="00767435" w:rsidTr="00C141E5">
        <w:tc>
          <w:tcPr>
            <w:tcW w:w="969" w:type="pct"/>
            <w:vAlign w:val="bottom"/>
          </w:tcPr>
          <w:p w:rsidR="005905E6" w:rsidRPr="00767435" w:rsidRDefault="005905E6" w:rsidP="000E34D5">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PEP</w:t>
            </w:r>
          </w:p>
        </w:tc>
        <w:tc>
          <w:tcPr>
            <w:tcW w:w="4031" w:type="pct"/>
          </w:tcPr>
          <w:p w:rsidR="005905E6" w:rsidRPr="00767435" w:rsidRDefault="005905E6">
            <w:pPr>
              <w:keepNext/>
              <w:widowControl w:val="0"/>
              <w:spacing w:before="100" w:after="100"/>
              <w:ind w:right="-108"/>
              <w:rPr>
                <w:szCs w:val="24"/>
                <w:lang w:val="es-ES"/>
              </w:rPr>
            </w:pPr>
            <w:r w:rsidRPr="00767435">
              <w:rPr>
                <w:szCs w:val="24"/>
                <w:lang w:val="es-ES"/>
              </w:rPr>
              <w:t>Plan de Ejecución del Proyecto</w:t>
            </w:r>
            <w:r w:rsidRPr="00767435">
              <w:rPr>
                <w:b/>
                <w:iCs/>
                <w:szCs w:val="24"/>
                <w:lang w:val="es-ES"/>
              </w:rPr>
              <w:t xml:space="preserve"> </w:t>
            </w:r>
          </w:p>
        </w:tc>
      </w:tr>
      <w:tr w:rsidR="005905E6" w:rsidRPr="00767435" w:rsidTr="00C141E5">
        <w:tc>
          <w:tcPr>
            <w:tcW w:w="969" w:type="pct"/>
            <w:vAlign w:val="bottom"/>
          </w:tcPr>
          <w:p w:rsidR="005905E6" w:rsidRPr="00767435" w:rsidRDefault="005905E6">
            <w:pPr>
              <w:pStyle w:val="FootnoteText"/>
              <w:widowControl w:val="0"/>
              <w:tabs>
                <w:tab w:val="left" w:pos="1080"/>
              </w:tabs>
              <w:spacing w:before="100" w:after="100"/>
              <w:ind w:left="0" w:right="-1080" w:firstLine="0"/>
              <w:rPr>
                <w:sz w:val="24"/>
                <w:szCs w:val="24"/>
                <w:lang w:val="es-ES" w:eastAsia="en-US"/>
              </w:rPr>
            </w:pPr>
            <w:r w:rsidRPr="00767435">
              <w:rPr>
                <w:sz w:val="24"/>
                <w:szCs w:val="24"/>
                <w:lang w:val="es-ES" w:eastAsia="en-US"/>
              </w:rPr>
              <w:t>TIRE</w:t>
            </w:r>
          </w:p>
        </w:tc>
        <w:tc>
          <w:tcPr>
            <w:tcW w:w="4031" w:type="pct"/>
            <w:vAlign w:val="bottom"/>
          </w:tcPr>
          <w:p w:rsidR="005905E6" w:rsidRPr="00767435" w:rsidRDefault="005905E6" w:rsidP="000E34D5">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 xml:space="preserve">Tasa Interna de Rentabilidad Económica </w:t>
            </w:r>
          </w:p>
        </w:tc>
      </w:tr>
      <w:tr w:rsidR="005905E6" w:rsidRPr="00767435" w:rsidTr="00C141E5">
        <w:tc>
          <w:tcPr>
            <w:tcW w:w="969" w:type="pct"/>
            <w:vAlign w:val="bottom"/>
          </w:tcPr>
          <w:p w:rsidR="005905E6" w:rsidRPr="00767435" w:rsidRDefault="005905E6" w:rsidP="000E34D5">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VPN</w:t>
            </w:r>
          </w:p>
        </w:tc>
        <w:tc>
          <w:tcPr>
            <w:tcW w:w="4031" w:type="pct"/>
            <w:vAlign w:val="bottom"/>
          </w:tcPr>
          <w:p w:rsidR="005905E6" w:rsidRPr="00767435" w:rsidRDefault="005905E6" w:rsidP="000E34D5">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Valor Presente Neto</w:t>
            </w:r>
          </w:p>
        </w:tc>
      </w:tr>
      <w:tr w:rsidR="005905E6" w:rsidRPr="00767435" w:rsidTr="00C141E5">
        <w:tc>
          <w:tcPr>
            <w:tcW w:w="969" w:type="pct"/>
            <w:vAlign w:val="bottom"/>
          </w:tcPr>
          <w:p w:rsidR="005905E6" w:rsidRPr="00767435" w:rsidRDefault="005905E6" w:rsidP="000E34D5">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POD</w:t>
            </w:r>
          </w:p>
        </w:tc>
        <w:tc>
          <w:tcPr>
            <w:tcW w:w="4031" w:type="pct"/>
            <w:vAlign w:val="bottom"/>
          </w:tcPr>
          <w:p w:rsidR="005905E6" w:rsidRPr="00767435" w:rsidRDefault="005905E6" w:rsidP="00A965FB">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Propuesta de Desarrollo de la Operación</w:t>
            </w:r>
          </w:p>
        </w:tc>
      </w:tr>
      <w:tr w:rsidR="005905E6" w:rsidRPr="00767435" w:rsidTr="00C141E5">
        <w:tc>
          <w:tcPr>
            <w:tcW w:w="969" w:type="pct"/>
            <w:vAlign w:val="bottom"/>
          </w:tcPr>
          <w:p w:rsidR="005905E6" w:rsidRPr="00767435" w:rsidRDefault="005905E6" w:rsidP="000E34D5">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PCR</w:t>
            </w:r>
          </w:p>
        </w:tc>
        <w:tc>
          <w:tcPr>
            <w:tcW w:w="4031" w:type="pct"/>
            <w:vAlign w:val="bottom"/>
          </w:tcPr>
          <w:p w:rsidR="005905E6" w:rsidRPr="00767435" w:rsidRDefault="005905E6" w:rsidP="00A965FB">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Reporte Final de Proyecto</w:t>
            </w:r>
          </w:p>
        </w:tc>
      </w:tr>
      <w:tr w:rsidR="005905E6" w:rsidRPr="00767435" w:rsidTr="00C141E5">
        <w:tc>
          <w:tcPr>
            <w:tcW w:w="969" w:type="pct"/>
            <w:vAlign w:val="bottom"/>
          </w:tcPr>
          <w:p w:rsidR="005905E6" w:rsidRPr="00767435" w:rsidRDefault="005905E6" w:rsidP="000E34D5">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PMR</w:t>
            </w:r>
          </w:p>
        </w:tc>
        <w:tc>
          <w:tcPr>
            <w:tcW w:w="4031" w:type="pct"/>
            <w:vAlign w:val="bottom"/>
          </w:tcPr>
          <w:p w:rsidR="005905E6" w:rsidRPr="00767435" w:rsidRDefault="005905E6" w:rsidP="00A965FB">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Reporte de Monitoreo del Proyecto</w:t>
            </w:r>
          </w:p>
        </w:tc>
      </w:tr>
      <w:tr w:rsidR="005905E6" w:rsidRPr="00767435" w:rsidTr="00C141E5">
        <w:tc>
          <w:tcPr>
            <w:tcW w:w="969" w:type="pct"/>
            <w:vAlign w:val="bottom"/>
          </w:tcPr>
          <w:p w:rsidR="005905E6" w:rsidRPr="00767435" w:rsidRDefault="005905E6" w:rsidP="000E34D5">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PA</w:t>
            </w:r>
          </w:p>
        </w:tc>
        <w:tc>
          <w:tcPr>
            <w:tcW w:w="4031" w:type="pct"/>
            <w:vAlign w:val="bottom"/>
          </w:tcPr>
          <w:p w:rsidR="005905E6" w:rsidRPr="00767435" w:rsidRDefault="005905E6" w:rsidP="00A965FB">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Plan de Adquisiciones</w:t>
            </w:r>
          </w:p>
        </w:tc>
      </w:tr>
      <w:tr w:rsidR="005905E6" w:rsidRPr="00767435" w:rsidTr="00D3708A">
        <w:tc>
          <w:tcPr>
            <w:tcW w:w="969" w:type="pct"/>
            <w:vAlign w:val="bottom"/>
          </w:tcPr>
          <w:p w:rsidR="005905E6" w:rsidRPr="00767435" w:rsidRDefault="005905E6" w:rsidP="00D3708A">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RMBA</w:t>
            </w:r>
          </w:p>
        </w:tc>
        <w:tc>
          <w:tcPr>
            <w:tcW w:w="4031" w:type="pct"/>
            <w:vAlign w:val="bottom"/>
          </w:tcPr>
          <w:p w:rsidR="005905E6" w:rsidRPr="00767435" w:rsidRDefault="005905E6" w:rsidP="00852A85">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Región Metropolitana de Buenos Aires</w:t>
            </w:r>
          </w:p>
        </w:tc>
      </w:tr>
      <w:tr w:rsidR="005905E6" w:rsidRPr="00767435" w:rsidTr="00C141E5">
        <w:tc>
          <w:tcPr>
            <w:tcW w:w="969" w:type="pct"/>
            <w:vAlign w:val="bottom"/>
          </w:tcPr>
          <w:p w:rsidR="005905E6" w:rsidRPr="00767435" w:rsidRDefault="005905E6" w:rsidP="000E34D5">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SEPA</w:t>
            </w:r>
          </w:p>
        </w:tc>
        <w:tc>
          <w:tcPr>
            <w:tcW w:w="4031" w:type="pct"/>
            <w:vAlign w:val="bottom"/>
          </w:tcPr>
          <w:p w:rsidR="005905E6" w:rsidRPr="00767435" w:rsidRDefault="005905E6" w:rsidP="00C141E5">
            <w:pPr>
              <w:pStyle w:val="FootnoteText"/>
              <w:widowControl w:val="0"/>
              <w:tabs>
                <w:tab w:val="left" w:pos="1080"/>
              </w:tabs>
              <w:spacing w:before="100" w:after="100"/>
              <w:ind w:right="-1080"/>
              <w:rPr>
                <w:sz w:val="24"/>
                <w:szCs w:val="24"/>
                <w:lang w:val="es-ES" w:eastAsia="en-US"/>
              </w:rPr>
            </w:pPr>
            <w:r w:rsidRPr="00767435">
              <w:rPr>
                <w:sz w:val="24"/>
                <w:szCs w:val="24"/>
                <w:lang w:val="es-ES" w:eastAsia="en-US"/>
              </w:rPr>
              <w:t>Sistema de Ejecución de Planes de Adquisiciones</w:t>
            </w:r>
          </w:p>
        </w:tc>
      </w:tr>
    </w:tbl>
    <w:p w:rsidR="005905E6" w:rsidRPr="00767435" w:rsidRDefault="005905E6" w:rsidP="00332D8A">
      <w:pPr>
        <w:pStyle w:val="ColorfulList-Accent11"/>
        <w:ind w:left="1080"/>
        <w:jc w:val="both"/>
        <w:rPr>
          <w:rFonts w:ascii="Times New Roman" w:hAnsi="Times New Roman"/>
          <w:b/>
          <w:sz w:val="24"/>
          <w:szCs w:val="24"/>
          <w:lang w:val="es-ES"/>
        </w:rPr>
      </w:pPr>
      <w:r w:rsidRPr="00767435">
        <w:rPr>
          <w:rFonts w:ascii="Times New Roman" w:hAnsi="Times New Roman"/>
          <w:b/>
          <w:sz w:val="24"/>
          <w:szCs w:val="24"/>
          <w:lang w:val="es-ES"/>
        </w:rPr>
        <w:br w:type="page"/>
      </w:r>
    </w:p>
    <w:p w:rsidR="005905E6" w:rsidRPr="00767435" w:rsidRDefault="005905E6" w:rsidP="00AB305A">
      <w:pPr>
        <w:pStyle w:val="Heading1"/>
        <w:tabs>
          <w:tab w:val="clear" w:pos="360"/>
        </w:tabs>
        <w:ind w:left="720" w:hanging="720"/>
        <w:jc w:val="left"/>
        <w:rPr>
          <w:lang w:val="es-ES"/>
        </w:rPr>
      </w:pPr>
      <w:r w:rsidRPr="00767435">
        <w:rPr>
          <w:lang w:val="es-ES"/>
        </w:rPr>
        <w:lastRenderedPageBreak/>
        <w:t>Introducción</w:t>
      </w:r>
    </w:p>
    <w:p w:rsidR="005F79E9" w:rsidRPr="00767435" w:rsidRDefault="005F79E9" w:rsidP="005F79E9">
      <w:pPr>
        <w:pStyle w:val="AutoNumpara"/>
        <w:numPr>
          <w:ilvl w:val="1"/>
          <w:numId w:val="9"/>
        </w:numPr>
        <w:rPr>
          <w:lang w:val="es-ES"/>
        </w:rPr>
      </w:pPr>
      <w:r w:rsidRPr="00767435">
        <w:rPr>
          <w:lang w:val="es-ES"/>
        </w:rPr>
        <w:t>El objetivo de la Línea de Crédito Condicional para Programas de Inversión (CCLIP), es apoyar al Gobierno de Argentina (GdA) en la recuperación de los ferrocarriles metropolitanos, contribuyendo a la mejora de los servicios de transporte público de la Región Metropolitana de Buenos Aires (RMBA) y de la calidad de vida de la población.</w:t>
      </w:r>
    </w:p>
    <w:p w:rsidR="005905E6" w:rsidRPr="00767435" w:rsidRDefault="005F79E9" w:rsidP="005F79E9">
      <w:pPr>
        <w:pStyle w:val="AutoNumpara"/>
        <w:numPr>
          <w:ilvl w:val="1"/>
          <w:numId w:val="9"/>
        </w:numPr>
        <w:rPr>
          <w:lang w:val="es-ES"/>
        </w:rPr>
      </w:pPr>
      <w:r w:rsidRPr="00767435">
        <w:rPr>
          <w:lang w:val="es-ES"/>
        </w:rPr>
        <w:t>El primer proyecto coadyuva al objetivo general del CCLIP mediante la renovación y electrificación del servicio ferroviario de pasajeros del Ramal Constitución – La Plata del Ferrocarril Roca (52,6 km de extensión). Específicamente, el Proyecto tiene por objetivo contribuir a la reducción de tiempos de viajes y niveles de accidentalidad, y la mejora de la confiabilidad y confort del servicio, incrementando como resultado la participación modal de este ramal ferroviario en el transporte de pasajeros del corredor Buenos Aires – La Plata.</w:t>
      </w:r>
    </w:p>
    <w:p w:rsidR="005905E6" w:rsidRPr="00767435" w:rsidRDefault="005905E6" w:rsidP="005F79E9">
      <w:pPr>
        <w:pStyle w:val="AutoNumpara"/>
        <w:numPr>
          <w:ilvl w:val="1"/>
          <w:numId w:val="9"/>
        </w:numPr>
        <w:rPr>
          <w:lang w:val="es-ES"/>
        </w:rPr>
      </w:pPr>
      <w:r w:rsidRPr="00767435">
        <w:rPr>
          <w:lang w:val="es-ES"/>
        </w:rPr>
        <w:t xml:space="preserve">El esquema de monitoreo incluye visitas de inspección, misiones de administración, informes de progreso </w:t>
      </w:r>
      <w:r w:rsidR="00932FD7">
        <w:rPr>
          <w:lang w:val="es-ES"/>
        </w:rPr>
        <w:t>tri</w:t>
      </w:r>
      <w:r w:rsidRPr="00767435">
        <w:rPr>
          <w:lang w:val="es-ES"/>
        </w:rPr>
        <w:t>mestrales, el plan operativo anual y auditorías anuales externas, realizándose el seguimiento de los indicadores de avance definidos en la matriz de resultados. La evaluación del Programa se realizará con la utilización de dos instrumentos: (i) evaluación económica o costo beneficio ex post y (ii) evaluación de impacto cuasi-experimental con base en la utilización de una metodología de diferencias en diferencias.</w:t>
      </w:r>
    </w:p>
    <w:p w:rsidR="005905E6" w:rsidRPr="00767435" w:rsidRDefault="005905E6" w:rsidP="00AB305A">
      <w:pPr>
        <w:pStyle w:val="Heading1"/>
        <w:tabs>
          <w:tab w:val="clear" w:pos="360"/>
        </w:tabs>
        <w:ind w:left="720" w:hanging="720"/>
        <w:jc w:val="left"/>
        <w:rPr>
          <w:lang w:val="es-ES"/>
        </w:rPr>
      </w:pPr>
      <w:r w:rsidRPr="00767435">
        <w:rPr>
          <w:lang w:val="es-ES"/>
        </w:rPr>
        <w:t xml:space="preserve">Monitoreo y Seguimiento a </w:t>
      </w:r>
      <w:smartTag w:uri="urn:schemas-microsoft-com:office:smarttags" w:element="PersonName">
        <w:smartTagPr>
          <w:attr w:name="ProductID" w:val="la Ejecución."/>
        </w:smartTagPr>
        <w:r w:rsidRPr="00767435">
          <w:rPr>
            <w:lang w:val="es-ES"/>
          </w:rPr>
          <w:t>la Ejecución.</w:t>
        </w:r>
      </w:smartTag>
    </w:p>
    <w:p w:rsidR="005905E6" w:rsidRPr="00767435" w:rsidRDefault="005905E6" w:rsidP="00434235">
      <w:pPr>
        <w:pStyle w:val="Heading4"/>
        <w:tabs>
          <w:tab w:val="clear" w:pos="1440"/>
          <w:tab w:val="clear" w:pos="1800"/>
          <w:tab w:val="num" w:pos="720"/>
        </w:tabs>
        <w:ind w:left="720" w:hanging="720"/>
        <w:rPr>
          <w:noProof w:val="0"/>
          <w:lang w:val="es-ES"/>
        </w:rPr>
      </w:pPr>
      <w:r w:rsidRPr="00767435">
        <w:rPr>
          <w:noProof w:val="0"/>
          <w:lang w:val="es-ES"/>
        </w:rPr>
        <w:t>Resultados, Indicadores, Productos, Hitos y Factores Determinantes en la ejecución del Proyecto.</w:t>
      </w:r>
    </w:p>
    <w:p w:rsidR="005905E6" w:rsidRPr="00767435" w:rsidRDefault="005905E6" w:rsidP="0038482D">
      <w:pPr>
        <w:pStyle w:val="AutoNumpara"/>
        <w:numPr>
          <w:ilvl w:val="1"/>
          <w:numId w:val="9"/>
        </w:numPr>
        <w:rPr>
          <w:lang w:val="es-ES"/>
        </w:rPr>
      </w:pPr>
      <w:r w:rsidRPr="00767435">
        <w:rPr>
          <w:lang w:val="es-ES"/>
        </w:rPr>
        <w:t>El monitoreo y seguimiento del Proyecto se realizará sobre la base de Hitos Verificables Específicos por Producto, en relación directa con los Resultados programados, con mediciones trimestrales</w:t>
      </w:r>
      <w:r w:rsidRPr="00767435">
        <w:rPr>
          <w:rStyle w:val="FootnoteReference"/>
          <w:lang w:val="es-ES"/>
        </w:rPr>
        <w:footnoteReference w:id="1"/>
      </w:r>
      <w:r w:rsidRPr="00767435">
        <w:rPr>
          <w:lang w:val="es-ES"/>
        </w:rPr>
        <w:t>, semestrales y anuales durante su implementación, dirigidas a determinar el cumplimiento de metas y la materialización de productos en los plazos previstos.</w:t>
      </w:r>
    </w:p>
    <w:p w:rsidR="005905E6" w:rsidRPr="00767435" w:rsidRDefault="005905E6" w:rsidP="0038482D">
      <w:pPr>
        <w:pStyle w:val="AutoNumpara"/>
        <w:numPr>
          <w:ilvl w:val="1"/>
          <w:numId w:val="9"/>
        </w:numPr>
        <w:rPr>
          <w:lang w:val="es-ES"/>
        </w:rPr>
      </w:pPr>
      <w:r w:rsidRPr="00767435">
        <w:rPr>
          <w:lang w:val="es-ES"/>
        </w:rPr>
        <w:t xml:space="preserve">El Anexo II del POD – Matriz de Resultados del Proyecto, contiene la programación anual detallada de los indicadores de resultado, productos esperados e hitos verificables, de acuerdo con el Plan Operativo Anual (POA) y Programa de Ejecución del Proyecto (PEP), considerando la información de línea de base respecto de la cual se medirá la ejecución y desempeño de la operación a lo largo del período de ejecución; las unidades de medida definidas, costos asociados, metas anuales y de fin de proyecto. </w:t>
      </w:r>
    </w:p>
    <w:p w:rsidR="005905E6" w:rsidRPr="00767435" w:rsidRDefault="005905E6" w:rsidP="0038482D">
      <w:pPr>
        <w:pStyle w:val="AutoNumpara"/>
        <w:numPr>
          <w:ilvl w:val="1"/>
          <w:numId w:val="9"/>
        </w:numPr>
        <w:rPr>
          <w:lang w:val="es-ES"/>
        </w:rPr>
      </w:pPr>
      <w:r w:rsidRPr="00767435">
        <w:rPr>
          <w:lang w:val="es-ES"/>
        </w:rPr>
        <w:t xml:space="preserve">Los resultados, productos e hitos determinados, las metas y costos asociados programados, factores determinantes en la ejecución y lecciones aprendidas, seran considerados dentro del </w:t>
      </w:r>
      <w:r w:rsidRPr="00767435">
        <w:rPr>
          <w:sz w:val="22"/>
          <w:szCs w:val="22"/>
          <w:lang w:val="es-ES"/>
        </w:rPr>
        <w:t>Reporte de Monitoreo del Proyecto</w:t>
      </w:r>
      <w:r w:rsidRPr="00767435">
        <w:rPr>
          <w:lang w:val="es-ES"/>
        </w:rPr>
        <w:t xml:space="preserve"> (PMR) de la operación.   </w:t>
      </w:r>
    </w:p>
    <w:p w:rsidR="005905E6" w:rsidRPr="00767435" w:rsidRDefault="005905E6" w:rsidP="0038482D">
      <w:pPr>
        <w:pStyle w:val="AutoNumpara"/>
        <w:numPr>
          <w:ilvl w:val="1"/>
          <w:numId w:val="9"/>
        </w:numPr>
        <w:rPr>
          <w:noProof w:val="0"/>
          <w:lang w:val="es-ES"/>
        </w:rPr>
      </w:pPr>
      <w:r w:rsidRPr="00767435">
        <w:rPr>
          <w:noProof w:val="0"/>
          <w:lang w:val="es-ES"/>
        </w:rPr>
        <w:t>La evolución de los indicadores, productos e hitos verificables, será recogida de forma semestral en los informes de avance de proyecto que preparará el ejecutor y serán reflejados en los informes PMR a preparar por el Especialista Sectorial y Analista de Operaciones a cargo.</w:t>
      </w:r>
    </w:p>
    <w:p w:rsidR="005905E6" w:rsidRPr="00767435" w:rsidRDefault="005905E6" w:rsidP="0038482D">
      <w:pPr>
        <w:pStyle w:val="AutoNumpara"/>
        <w:numPr>
          <w:ilvl w:val="1"/>
          <w:numId w:val="9"/>
        </w:numPr>
        <w:rPr>
          <w:noProof w:val="0"/>
          <w:lang w:val="es-ES"/>
        </w:rPr>
      </w:pPr>
      <w:r w:rsidRPr="00767435">
        <w:rPr>
          <w:noProof w:val="0"/>
          <w:lang w:val="es-ES"/>
        </w:rPr>
        <w:t xml:space="preserve">A continuación se presentan los indicadores definidos en </w:t>
      </w:r>
      <w:smartTag w:uri="urn:schemas-microsoft-com:office:smarttags" w:element="PersonName">
        <w:smartTagPr>
          <w:attr w:name="ProductID" w:val="la Matriz"/>
        </w:smartTagPr>
        <w:r w:rsidRPr="00767435">
          <w:rPr>
            <w:noProof w:val="0"/>
            <w:lang w:val="es-ES"/>
          </w:rPr>
          <w:t>la Matriz</w:t>
        </w:r>
      </w:smartTag>
      <w:r w:rsidRPr="00767435">
        <w:rPr>
          <w:noProof w:val="0"/>
          <w:lang w:val="es-ES"/>
        </w:rPr>
        <w:t xml:space="preserve"> de Resultados del Proyecto para el monitoreo del avance en la implementación de los principales productos del “Proyecto para </w:t>
      </w:r>
      <w:smartTag w:uri="urn:schemas-microsoft-com:office:smarttags" w:element="PersonName">
        <w:smartTagPr>
          <w:attr w:name="ProductID" w:val="la Mejora Integral"/>
        </w:smartTagPr>
        <w:r w:rsidRPr="00767435">
          <w:rPr>
            <w:noProof w:val="0"/>
            <w:lang w:val="es-ES"/>
          </w:rPr>
          <w:t>la Mejora Integral</w:t>
        </w:r>
      </w:smartTag>
      <w:r w:rsidRPr="00767435">
        <w:rPr>
          <w:noProof w:val="0"/>
          <w:lang w:val="es-ES"/>
        </w:rPr>
        <w:t xml:space="preserve"> del Ferrocarril General Roca: Ramal Plaza Constitución – </w:t>
      </w:r>
      <w:smartTag w:uri="urn:schemas-microsoft-com:office:smarttags" w:element="PersonName">
        <w:smartTagPr>
          <w:attr w:name="ProductID" w:val="LA PLATA"/>
        </w:smartTagPr>
        <w:r w:rsidRPr="00767435">
          <w:rPr>
            <w:noProof w:val="0"/>
            <w:lang w:val="es-ES"/>
          </w:rPr>
          <w:t>La Plata</w:t>
        </w:r>
      </w:smartTag>
      <w:r w:rsidRPr="00767435">
        <w:rPr>
          <w:noProof w:val="0"/>
          <w:lang w:val="es-ES"/>
        </w:rPr>
        <w:t>” (AR-L 1158).</w:t>
      </w:r>
    </w:p>
    <w:p w:rsidR="005905E6" w:rsidRPr="00767435" w:rsidRDefault="005905E6" w:rsidP="00DA0CD0">
      <w:pPr>
        <w:jc w:val="center"/>
        <w:rPr>
          <w:b/>
          <w:sz w:val="20"/>
          <w:lang w:val="es-ES"/>
        </w:rPr>
      </w:pPr>
    </w:p>
    <w:p w:rsidR="005905E6" w:rsidRPr="00767435" w:rsidRDefault="005905E6" w:rsidP="00DA0CD0">
      <w:pPr>
        <w:jc w:val="center"/>
        <w:rPr>
          <w:b/>
          <w:sz w:val="20"/>
          <w:lang w:val="es-ES"/>
        </w:rPr>
      </w:pPr>
      <w:r w:rsidRPr="00767435">
        <w:rPr>
          <w:b/>
          <w:sz w:val="20"/>
          <w:lang w:val="es-ES"/>
        </w:rPr>
        <w:t>Cuadro 1. Indicadores de Producto por Componente</w:t>
      </w:r>
    </w:p>
    <w:p w:rsidR="005905E6" w:rsidRPr="00767435" w:rsidRDefault="005905E6" w:rsidP="00DA0CD0">
      <w:pPr>
        <w:jc w:val="center"/>
        <w:rPr>
          <w:b/>
          <w:sz w:val="20"/>
          <w:lang w:val="es-ES"/>
        </w:rPr>
      </w:pPr>
    </w:p>
    <w:tbl>
      <w:tblPr>
        <w:tblW w:w="0" w:type="auto"/>
        <w:tblLayout w:type="fixed"/>
        <w:tblLook w:val="04A0" w:firstRow="1" w:lastRow="0" w:firstColumn="1" w:lastColumn="0" w:noHBand="0" w:noVBand="1"/>
      </w:tblPr>
      <w:tblGrid>
        <w:gridCol w:w="3618"/>
        <w:gridCol w:w="1170"/>
        <w:gridCol w:w="900"/>
        <w:gridCol w:w="900"/>
        <w:gridCol w:w="3258"/>
      </w:tblGrid>
      <w:tr w:rsidR="00767435" w:rsidRPr="00767435" w:rsidTr="00044D97">
        <w:trPr>
          <w:trHeight w:val="330"/>
        </w:trPr>
        <w:tc>
          <w:tcPr>
            <w:tcW w:w="9846" w:type="dxa"/>
            <w:gridSpan w:val="5"/>
            <w:tcBorders>
              <w:top w:val="single" w:sz="8" w:space="0" w:color="auto"/>
              <w:left w:val="single" w:sz="8" w:space="0" w:color="auto"/>
              <w:bottom w:val="nil"/>
              <w:right w:val="single" w:sz="8" w:space="0" w:color="000000"/>
            </w:tcBorders>
            <w:shd w:val="clear" w:color="000000" w:fill="C0C0C0"/>
            <w:vAlign w:val="bottom"/>
            <w:hideMark/>
          </w:tcPr>
          <w:p w:rsidR="006B490B" w:rsidRPr="00767435" w:rsidRDefault="006B490B" w:rsidP="00932FD7">
            <w:pPr>
              <w:jc w:val="center"/>
              <w:rPr>
                <w:b/>
                <w:bCs/>
                <w:sz w:val="20"/>
                <w:lang w:val="es-ES"/>
              </w:rPr>
            </w:pPr>
            <w:r w:rsidRPr="00767435">
              <w:rPr>
                <w:b/>
                <w:bCs/>
                <w:sz w:val="20"/>
                <w:lang w:val="es-ES"/>
              </w:rPr>
              <w:t>Indicadores de Productos</w:t>
            </w:r>
          </w:p>
        </w:tc>
      </w:tr>
      <w:tr w:rsidR="00767435" w:rsidRPr="00767435" w:rsidTr="00044D97">
        <w:trPr>
          <w:trHeight w:val="538"/>
        </w:trPr>
        <w:tc>
          <w:tcPr>
            <w:tcW w:w="3618" w:type="dxa"/>
            <w:tcBorders>
              <w:top w:val="single" w:sz="8" w:space="0" w:color="auto"/>
              <w:left w:val="single" w:sz="8" w:space="0" w:color="auto"/>
              <w:bottom w:val="single" w:sz="8" w:space="0" w:color="000000"/>
              <w:right w:val="single" w:sz="8" w:space="0" w:color="auto"/>
            </w:tcBorders>
            <w:shd w:val="clear" w:color="000000" w:fill="003366"/>
            <w:vAlign w:val="center"/>
            <w:hideMark/>
          </w:tcPr>
          <w:p w:rsidR="00044D97" w:rsidRPr="00767435" w:rsidRDefault="00044D97" w:rsidP="00932FD7">
            <w:pPr>
              <w:jc w:val="center"/>
              <w:rPr>
                <w:b/>
                <w:bCs/>
                <w:sz w:val="20"/>
                <w:lang w:val="es-ES"/>
              </w:rPr>
            </w:pPr>
            <w:r w:rsidRPr="00767435">
              <w:rPr>
                <w:b/>
                <w:bCs/>
                <w:sz w:val="20"/>
                <w:lang w:val="es-ES"/>
              </w:rPr>
              <w:t>Productos/Indicadores</w:t>
            </w:r>
          </w:p>
        </w:tc>
        <w:tc>
          <w:tcPr>
            <w:tcW w:w="1170" w:type="dxa"/>
            <w:tcBorders>
              <w:top w:val="single" w:sz="8" w:space="0" w:color="auto"/>
              <w:left w:val="nil"/>
              <w:bottom w:val="single" w:sz="8" w:space="0" w:color="000000"/>
              <w:right w:val="nil"/>
            </w:tcBorders>
            <w:shd w:val="clear" w:color="000000" w:fill="003366"/>
            <w:vAlign w:val="center"/>
            <w:hideMark/>
          </w:tcPr>
          <w:p w:rsidR="00044D97" w:rsidRPr="00767435" w:rsidRDefault="00044D97" w:rsidP="00932FD7">
            <w:pPr>
              <w:jc w:val="center"/>
              <w:rPr>
                <w:b/>
                <w:bCs/>
                <w:sz w:val="20"/>
                <w:lang w:val="es-ES"/>
              </w:rPr>
            </w:pPr>
            <w:r w:rsidRPr="00767435">
              <w:rPr>
                <w:b/>
                <w:bCs/>
                <w:sz w:val="20"/>
                <w:lang w:val="es-ES"/>
              </w:rPr>
              <w:t>Unidad</w:t>
            </w:r>
          </w:p>
        </w:tc>
        <w:tc>
          <w:tcPr>
            <w:tcW w:w="900" w:type="dxa"/>
            <w:tcBorders>
              <w:top w:val="single" w:sz="8" w:space="0" w:color="auto"/>
              <w:left w:val="single" w:sz="8" w:space="0" w:color="auto"/>
              <w:bottom w:val="single" w:sz="8" w:space="0" w:color="000000"/>
              <w:right w:val="single" w:sz="8" w:space="0" w:color="auto"/>
            </w:tcBorders>
            <w:shd w:val="clear" w:color="000000" w:fill="003366"/>
            <w:vAlign w:val="center"/>
            <w:hideMark/>
          </w:tcPr>
          <w:p w:rsidR="00044D97" w:rsidRPr="00767435" w:rsidRDefault="00044D97" w:rsidP="00932FD7">
            <w:pPr>
              <w:jc w:val="center"/>
              <w:rPr>
                <w:b/>
                <w:bCs/>
                <w:sz w:val="20"/>
                <w:lang w:val="es-ES"/>
              </w:rPr>
            </w:pPr>
            <w:r w:rsidRPr="00767435">
              <w:rPr>
                <w:b/>
                <w:bCs/>
                <w:sz w:val="20"/>
                <w:lang w:val="es-ES"/>
              </w:rPr>
              <w:t>Base</w:t>
            </w:r>
          </w:p>
        </w:tc>
        <w:tc>
          <w:tcPr>
            <w:tcW w:w="900" w:type="dxa"/>
            <w:tcBorders>
              <w:top w:val="single" w:sz="8" w:space="0" w:color="auto"/>
              <w:left w:val="nil"/>
              <w:bottom w:val="single" w:sz="4" w:space="0" w:color="auto"/>
              <w:right w:val="single" w:sz="8" w:space="0" w:color="auto"/>
            </w:tcBorders>
            <w:shd w:val="clear" w:color="000000" w:fill="003366"/>
            <w:vAlign w:val="center"/>
            <w:hideMark/>
          </w:tcPr>
          <w:p w:rsidR="00044D97" w:rsidRPr="00767435" w:rsidRDefault="00044D97" w:rsidP="00044D97">
            <w:pPr>
              <w:jc w:val="center"/>
              <w:rPr>
                <w:b/>
                <w:bCs/>
                <w:sz w:val="20"/>
                <w:lang w:val="es-ES"/>
              </w:rPr>
            </w:pPr>
            <w:r w:rsidRPr="00767435">
              <w:rPr>
                <w:b/>
                <w:bCs/>
                <w:sz w:val="20"/>
                <w:lang w:val="es-ES"/>
              </w:rPr>
              <w:t xml:space="preserve">Meta </w:t>
            </w:r>
          </w:p>
        </w:tc>
        <w:tc>
          <w:tcPr>
            <w:tcW w:w="3258" w:type="dxa"/>
            <w:tcBorders>
              <w:top w:val="single" w:sz="8" w:space="0" w:color="auto"/>
              <w:left w:val="single" w:sz="8" w:space="0" w:color="auto"/>
              <w:bottom w:val="single" w:sz="8" w:space="0" w:color="000000"/>
              <w:right w:val="single" w:sz="8" w:space="0" w:color="auto"/>
            </w:tcBorders>
            <w:shd w:val="clear" w:color="000000" w:fill="003366"/>
            <w:vAlign w:val="center"/>
            <w:hideMark/>
          </w:tcPr>
          <w:p w:rsidR="00044D97" w:rsidRPr="00767435" w:rsidRDefault="00044D97" w:rsidP="00932FD7">
            <w:pPr>
              <w:jc w:val="center"/>
              <w:rPr>
                <w:b/>
                <w:bCs/>
                <w:sz w:val="20"/>
                <w:lang w:val="es-ES"/>
              </w:rPr>
            </w:pPr>
            <w:r w:rsidRPr="00767435">
              <w:rPr>
                <w:b/>
                <w:bCs/>
                <w:sz w:val="20"/>
                <w:lang w:val="es-ES"/>
              </w:rPr>
              <w:t>Observaciones/ Medio de verificación</w:t>
            </w:r>
          </w:p>
        </w:tc>
      </w:tr>
      <w:tr w:rsidR="00767435" w:rsidRPr="00767435" w:rsidTr="00044D97">
        <w:trPr>
          <w:trHeight w:val="315"/>
        </w:trPr>
        <w:tc>
          <w:tcPr>
            <w:tcW w:w="9846" w:type="dxa"/>
            <w:gridSpan w:val="5"/>
            <w:tcBorders>
              <w:top w:val="nil"/>
              <w:left w:val="single" w:sz="8" w:space="0" w:color="auto"/>
              <w:bottom w:val="single" w:sz="8" w:space="0" w:color="auto"/>
              <w:right w:val="single" w:sz="8" w:space="0" w:color="000000"/>
            </w:tcBorders>
            <w:shd w:val="clear" w:color="000000" w:fill="C0C0C0"/>
            <w:vAlign w:val="bottom"/>
            <w:hideMark/>
          </w:tcPr>
          <w:p w:rsidR="006B490B" w:rsidRPr="00767435" w:rsidRDefault="006B490B" w:rsidP="00932FD7">
            <w:pPr>
              <w:rPr>
                <w:b/>
                <w:bCs/>
                <w:sz w:val="20"/>
                <w:lang w:val="es-ES"/>
              </w:rPr>
            </w:pPr>
            <w:r w:rsidRPr="00767435">
              <w:rPr>
                <w:b/>
                <w:bCs/>
                <w:sz w:val="20"/>
                <w:lang w:val="es-ES"/>
              </w:rPr>
              <w:t>COMPONENTE 1. Ingeniería y Administración</w:t>
            </w:r>
          </w:p>
        </w:tc>
      </w:tr>
      <w:tr w:rsidR="00767435" w:rsidRPr="00767435" w:rsidTr="00044D97">
        <w:trPr>
          <w:trHeight w:val="403"/>
        </w:trPr>
        <w:tc>
          <w:tcPr>
            <w:tcW w:w="36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B490B" w:rsidRPr="00767435" w:rsidRDefault="006B490B" w:rsidP="00DD34BD">
            <w:pPr>
              <w:rPr>
                <w:sz w:val="20"/>
                <w:lang w:val="es-ES"/>
              </w:rPr>
            </w:pPr>
            <w:r w:rsidRPr="00767435">
              <w:rPr>
                <w:sz w:val="20"/>
                <w:lang w:val="es-ES"/>
              </w:rPr>
              <w:t>Estudios técnicos</w:t>
            </w:r>
          </w:p>
        </w:tc>
        <w:tc>
          <w:tcPr>
            <w:tcW w:w="117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B490B" w:rsidRPr="00767435" w:rsidRDefault="006B490B" w:rsidP="00932FD7">
            <w:pPr>
              <w:jc w:val="center"/>
              <w:rPr>
                <w:sz w:val="20"/>
                <w:lang w:val="es-ES"/>
              </w:rPr>
            </w:pPr>
            <w:r w:rsidRPr="00767435">
              <w:rPr>
                <w:sz w:val="20"/>
                <w:lang w:val="es-ES"/>
              </w:rPr>
              <w:t xml:space="preserve">Unidad </w:t>
            </w:r>
          </w:p>
        </w:tc>
        <w:tc>
          <w:tcPr>
            <w:tcW w:w="90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B490B" w:rsidRPr="00767435" w:rsidRDefault="006B490B" w:rsidP="00932FD7">
            <w:pPr>
              <w:jc w:val="center"/>
              <w:rPr>
                <w:sz w:val="20"/>
                <w:lang w:val="es-ES"/>
              </w:rPr>
            </w:pPr>
            <w:r w:rsidRPr="00767435">
              <w:rPr>
                <w:sz w:val="20"/>
                <w:lang w:val="es-ES"/>
              </w:rPr>
              <w:t>0</w:t>
            </w:r>
          </w:p>
        </w:tc>
        <w:tc>
          <w:tcPr>
            <w:tcW w:w="90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B490B" w:rsidRPr="00767435" w:rsidRDefault="006B490B" w:rsidP="00932FD7">
            <w:pPr>
              <w:jc w:val="center"/>
              <w:rPr>
                <w:sz w:val="20"/>
                <w:lang w:val="es-ES"/>
              </w:rPr>
            </w:pPr>
            <w:r w:rsidRPr="00767435">
              <w:rPr>
                <w:sz w:val="20"/>
                <w:lang w:val="es-ES"/>
              </w:rPr>
              <w:t>6</w:t>
            </w:r>
          </w:p>
        </w:tc>
        <w:tc>
          <w:tcPr>
            <w:tcW w:w="3258" w:type="dxa"/>
            <w:tcBorders>
              <w:top w:val="nil"/>
              <w:left w:val="nil"/>
              <w:bottom w:val="single" w:sz="4" w:space="0" w:color="auto"/>
              <w:right w:val="single" w:sz="8" w:space="0" w:color="auto"/>
            </w:tcBorders>
            <w:shd w:val="clear" w:color="auto" w:fill="auto"/>
            <w:vAlign w:val="center"/>
          </w:tcPr>
          <w:p w:rsidR="006B490B" w:rsidRPr="00767435" w:rsidRDefault="006B490B" w:rsidP="00932FD7">
            <w:pPr>
              <w:jc w:val="both"/>
              <w:rPr>
                <w:sz w:val="20"/>
                <w:lang w:val="es-ES"/>
              </w:rPr>
            </w:pPr>
            <w:r w:rsidRPr="00767435">
              <w:rPr>
                <w:sz w:val="20"/>
                <w:lang w:val="es-ES"/>
              </w:rPr>
              <w:t>Se verificará a través de los informes semestrales preparados por el ejecutor.</w:t>
            </w:r>
          </w:p>
        </w:tc>
      </w:tr>
      <w:tr w:rsidR="00767435" w:rsidRPr="00767435" w:rsidTr="00044D97">
        <w:trPr>
          <w:trHeight w:val="556"/>
        </w:trPr>
        <w:tc>
          <w:tcPr>
            <w:tcW w:w="3618" w:type="dxa"/>
            <w:tcBorders>
              <w:top w:val="nil"/>
              <w:left w:val="single" w:sz="8" w:space="0" w:color="auto"/>
              <w:bottom w:val="single" w:sz="8" w:space="0" w:color="auto"/>
              <w:right w:val="single" w:sz="8" w:space="0" w:color="auto"/>
            </w:tcBorders>
            <w:shd w:val="clear" w:color="auto" w:fill="auto"/>
            <w:vAlign w:val="center"/>
            <w:hideMark/>
          </w:tcPr>
          <w:p w:rsidR="006B490B" w:rsidRPr="00767435" w:rsidRDefault="006B490B" w:rsidP="00932FD7">
            <w:pPr>
              <w:jc w:val="both"/>
              <w:rPr>
                <w:sz w:val="20"/>
                <w:lang w:val="es-ES"/>
              </w:rPr>
            </w:pPr>
            <w:r w:rsidRPr="00767435">
              <w:rPr>
                <w:sz w:val="20"/>
                <w:lang w:val="es-ES"/>
              </w:rPr>
              <w:t>Seguimiento y evaluación / consultorías contratadas</w:t>
            </w:r>
          </w:p>
        </w:tc>
        <w:tc>
          <w:tcPr>
            <w:tcW w:w="1170" w:type="dxa"/>
            <w:tcBorders>
              <w:top w:val="nil"/>
              <w:left w:val="nil"/>
              <w:bottom w:val="single" w:sz="8" w:space="0" w:color="auto"/>
              <w:right w:val="single" w:sz="8" w:space="0" w:color="auto"/>
            </w:tcBorders>
            <w:shd w:val="clear" w:color="auto" w:fill="auto"/>
            <w:vAlign w:val="center"/>
            <w:hideMark/>
          </w:tcPr>
          <w:p w:rsidR="006B490B" w:rsidRPr="00767435" w:rsidRDefault="006B490B" w:rsidP="00932FD7">
            <w:pPr>
              <w:jc w:val="center"/>
              <w:rPr>
                <w:sz w:val="20"/>
                <w:lang w:val="es-ES"/>
              </w:rPr>
            </w:pPr>
            <w:r w:rsidRPr="00767435">
              <w:rPr>
                <w:sz w:val="20"/>
                <w:lang w:val="es-ES"/>
              </w:rPr>
              <w:t>Número de informes</w:t>
            </w:r>
          </w:p>
        </w:tc>
        <w:tc>
          <w:tcPr>
            <w:tcW w:w="900" w:type="dxa"/>
            <w:tcBorders>
              <w:top w:val="nil"/>
              <w:left w:val="nil"/>
              <w:bottom w:val="single" w:sz="8" w:space="0" w:color="auto"/>
              <w:right w:val="single" w:sz="8" w:space="0" w:color="auto"/>
            </w:tcBorders>
            <w:shd w:val="clear" w:color="auto" w:fill="auto"/>
            <w:vAlign w:val="center"/>
            <w:hideMark/>
          </w:tcPr>
          <w:p w:rsidR="006B490B" w:rsidRPr="00767435" w:rsidRDefault="006B490B" w:rsidP="00932FD7">
            <w:pPr>
              <w:jc w:val="center"/>
              <w:rPr>
                <w:sz w:val="20"/>
                <w:lang w:val="es-ES"/>
              </w:rPr>
            </w:pPr>
            <w:r w:rsidRPr="00767435">
              <w:rPr>
                <w:sz w:val="20"/>
                <w:lang w:val="es-ES"/>
              </w:rPr>
              <w:t>0</w:t>
            </w:r>
          </w:p>
        </w:tc>
        <w:tc>
          <w:tcPr>
            <w:tcW w:w="900" w:type="dxa"/>
            <w:tcBorders>
              <w:top w:val="nil"/>
              <w:left w:val="nil"/>
              <w:bottom w:val="single" w:sz="8" w:space="0" w:color="auto"/>
              <w:right w:val="single" w:sz="8" w:space="0" w:color="auto"/>
            </w:tcBorders>
            <w:shd w:val="clear" w:color="auto" w:fill="auto"/>
            <w:vAlign w:val="center"/>
            <w:hideMark/>
          </w:tcPr>
          <w:p w:rsidR="006B490B" w:rsidRPr="00767435" w:rsidRDefault="006B490B" w:rsidP="00932FD7">
            <w:pPr>
              <w:jc w:val="center"/>
              <w:rPr>
                <w:sz w:val="20"/>
                <w:lang w:val="es-ES"/>
              </w:rPr>
            </w:pPr>
            <w:r w:rsidRPr="00767435">
              <w:rPr>
                <w:sz w:val="20"/>
                <w:lang w:val="es-ES"/>
              </w:rPr>
              <w:t>20</w:t>
            </w:r>
          </w:p>
        </w:tc>
        <w:tc>
          <w:tcPr>
            <w:tcW w:w="3258" w:type="dxa"/>
            <w:tcBorders>
              <w:top w:val="nil"/>
              <w:left w:val="nil"/>
              <w:bottom w:val="single" w:sz="8" w:space="0" w:color="auto"/>
              <w:right w:val="single" w:sz="8" w:space="0" w:color="auto"/>
            </w:tcBorders>
            <w:shd w:val="clear" w:color="auto" w:fill="auto"/>
            <w:vAlign w:val="center"/>
            <w:hideMark/>
          </w:tcPr>
          <w:p w:rsidR="006B490B" w:rsidRPr="00767435" w:rsidRDefault="006B490B" w:rsidP="00932FD7">
            <w:pPr>
              <w:rPr>
                <w:sz w:val="20"/>
                <w:lang w:val="es-ES"/>
              </w:rPr>
            </w:pPr>
            <w:r w:rsidRPr="00767435">
              <w:rPr>
                <w:sz w:val="20"/>
                <w:lang w:val="es-ES"/>
              </w:rPr>
              <w:t>Se verificará a través de los informes semestrales preparados por el ejecutor.</w:t>
            </w:r>
          </w:p>
        </w:tc>
      </w:tr>
      <w:tr w:rsidR="00767435" w:rsidRPr="00767435" w:rsidTr="00044D97">
        <w:trPr>
          <w:trHeight w:val="430"/>
        </w:trPr>
        <w:tc>
          <w:tcPr>
            <w:tcW w:w="3618" w:type="dxa"/>
            <w:tcBorders>
              <w:top w:val="nil"/>
              <w:left w:val="single" w:sz="8" w:space="0" w:color="auto"/>
              <w:bottom w:val="single" w:sz="8" w:space="0" w:color="auto"/>
              <w:right w:val="single" w:sz="8" w:space="0" w:color="auto"/>
            </w:tcBorders>
            <w:shd w:val="clear" w:color="auto" w:fill="auto"/>
            <w:vAlign w:val="center"/>
            <w:hideMark/>
          </w:tcPr>
          <w:p w:rsidR="006B490B" w:rsidRPr="00767435" w:rsidRDefault="006B490B" w:rsidP="00932FD7">
            <w:pPr>
              <w:jc w:val="both"/>
              <w:rPr>
                <w:sz w:val="20"/>
                <w:lang w:val="es-ES"/>
              </w:rPr>
            </w:pPr>
            <w:r w:rsidRPr="00767435">
              <w:rPr>
                <w:sz w:val="20"/>
                <w:lang w:val="es-ES"/>
              </w:rPr>
              <w:t xml:space="preserve">Auditoría externa / consultorías </w:t>
            </w:r>
          </w:p>
        </w:tc>
        <w:tc>
          <w:tcPr>
            <w:tcW w:w="1170" w:type="dxa"/>
            <w:tcBorders>
              <w:top w:val="nil"/>
              <w:left w:val="nil"/>
              <w:bottom w:val="single" w:sz="8" w:space="0" w:color="auto"/>
              <w:right w:val="single" w:sz="8" w:space="0" w:color="auto"/>
            </w:tcBorders>
            <w:shd w:val="clear" w:color="auto" w:fill="auto"/>
            <w:vAlign w:val="center"/>
            <w:hideMark/>
          </w:tcPr>
          <w:p w:rsidR="006B490B" w:rsidRPr="00767435" w:rsidRDefault="006B490B" w:rsidP="00932FD7">
            <w:pPr>
              <w:jc w:val="center"/>
              <w:rPr>
                <w:sz w:val="20"/>
                <w:lang w:val="es-ES"/>
              </w:rPr>
            </w:pPr>
            <w:r w:rsidRPr="00767435">
              <w:rPr>
                <w:sz w:val="20"/>
                <w:lang w:val="es-ES"/>
              </w:rPr>
              <w:t>Número de informes</w:t>
            </w:r>
          </w:p>
        </w:tc>
        <w:tc>
          <w:tcPr>
            <w:tcW w:w="900" w:type="dxa"/>
            <w:tcBorders>
              <w:top w:val="nil"/>
              <w:left w:val="nil"/>
              <w:bottom w:val="single" w:sz="8" w:space="0" w:color="auto"/>
              <w:right w:val="single" w:sz="8" w:space="0" w:color="auto"/>
            </w:tcBorders>
            <w:shd w:val="clear" w:color="auto" w:fill="auto"/>
            <w:vAlign w:val="center"/>
            <w:hideMark/>
          </w:tcPr>
          <w:p w:rsidR="006B490B" w:rsidRPr="00767435" w:rsidRDefault="006B490B" w:rsidP="00932FD7">
            <w:pPr>
              <w:jc w:val="center"/>
              <w:rPr>
                <w:sz w:val="20"/>
                <w:lang w:val="es-ES"/>
              </w:rPr>
            </w:pPr>
            <w:r w:rsidRPr="00767435">
              <w:rPr>
                <w:sz w:val="20"/>
                <w:lang w:val="es-ES"/>
              </w:rPr>
              <w:t>0</w:t>
            </w:r>
          </w:p>
        </w:tc>
        <w:tc>
          <w:tcPr>
            <w:tcW w:w="900" w:type="dxa"/>
            <w:tcBorders>
              <w:top w:val="nil"/>
              <w:left w:val="nil"/>
              <w:bottom w:val="single" w:sz="8" w:space="0" w:color="auto"/>
              <w:right w:val="single" w:sz="8" w:space="0" w:color="auto"/>
            </w:tcBorders>
            <w:shd w:val="clear" w:color="auto" w:fill="auto"/>
            <w:vAlign w:val="center"/>
            <w:hideMark/>
          </w:tcPr>
          <w:p w:rsidR="006B490B" w:rsidRPr="00767435" w:rsidRDefault="006B490B" w:rsidP="00932FD7">
            <w:pPr>
              <w:jc w:val="center"/>
              <w:rPr>
                <w:sz w:val="20"/>
                <w:lang w:val="es-ES"/>
              </w:rPr>
            </w:pPr>
            <w:r w:rsidRPr="00767435">
              <w:rPr>
                <w:sz w:val="20"/>
                <w:lang w:val="es-ES"/>
              </w:rPr>
              <w:t>5</w:t>
            </w:r>
          </w:p>
        </w:tc>
        <w:tc>
          <w:tcPr>
            <w:tcW w:w="3258" w:type="dxa"/>
            <w:tcBorders>
              <w:top w:val="nil"/>
              <w:left w:val="nil"/>
              <w:bottom w:val="single" w:sz="8" w:space="0" w:color="auto"/>
              <w:right w:val="single" w:sz="8" w:space="0" w:color="auto"/>
            </w:tcBorders>
            <w:shd w:val="clear" w:color="auto" w:fill="auto"/>
            <w:vAlign w:val="center"/>
            <w:hideMark/>
          </w:tcPr>
          <w:p w:rsidR="006B490B" w:rsidRPr="00767435" w:rsidRDefault="006B490B" w:rsidP="00932FD7">
            <w:pPr>
              <w:rPr>
                <w:sz w:val="20"/>
                <w:lang w:val="es-ES"/>
              </w:rPr>
            </w:pPr>
            <w:r w:rsidRPr="00767435">
              <w:rPr>
                <w:sz w:val="20"/>
                <w:lang w:val="es-ES"/>
              </w:rPr>
              <w:t>Se verificará a través de los informes semestrales preparados por el ejecutor.</w:t>
            </w:r>
          </w:p>
        </w:tc>
      </w:tr>
    </w:tbl>
    <w:p w:rsidR="005905E6" w:rsidRPr="00767435" w:rsidRDefault="005905E6" w:rsidP="00DA0CD0">
      <w:pPr>
        <w:jc w:val="center"/>
        <w:rPr>
          <w:b/>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170"/>
        <w:gridCol w:w="900"/>
        <w:gridCol w:w="900"/>
        <w:gridCol w:w="3258"/>
      </w:tblGrid>
      <w:tr w:rsidR="00767435" w:rsidRPr="00767435" w:rsidTr="00044D97">
        <w:trPr>
          <w:trHeight w:val="555"/>
        </w:trPr>
        <w:tc>
          <w:tcPr>
            <w:tcW w:w="3618" w:type="dxa"/>
            <w:vMerge w:val="restart"/>
            <w:shd w:val="clear" w:color="000000" w:fill="003366"/>
            <w:vAlign w:val="center"/>
            <w:hideMark/>
          </w:tcPr>
          <w:p w:rsidR="006B490B" w:rsidRPr="00767435" w:rsidRDefault="006B490B" w:rsidP="00932FD7">
            <w:pPr>
              <w:jc w:val="center"/>
              <w:rPr>
                <w:b/>
                <w:bCs/>
                <w:sz w:val="20"/>
                <w:lang w:val="es-ES"/>
              </w:rPr>
            </w:pPr>
            <w:r w:rsidRPr="00767435">
              <w:rPr>
                <w:b/>
                <w:bCs/>
                <w:sz w:val="20"/>
                <w:lang w:val="es-ES"/>
              </w:rPr>
              <w:t>PRODUCTOS</w:t>
            </w:r>
          </w:p>
        </w:tc>
        <w:tc>
          <w:tcPr>
            <w:tcW w:w="1170" w:type="dxa"/>
            <w:vMerge w:val="restart"/>
            <w:shd w:val="clear" w:color="000000" w:fill="003366"/>
            <w:vAlign w:val="center"/>
            <w:hideMark/>
          </w:tcPr>
          <w:p w:rsidR="006B490B" w:rsidRPr="00767435" w:rsidRDefault="006B490B" w:rsidP="00932FD7">
            <w:pPr>
              <w:jc w:val="center"/>
              <w:rPr>
                <w:b/>
                <w:bCs/>
                <w:sz w:val="20"/>
                <w:lang w:val="es-ES"/>
              </w:rPr>
            </w:pPr>
            <w:r w:rsidRPr="00767435">
              <w:rPr>
                <w:b/>
                <w:bCs/>
                <w:sz w:val="20"/>
                <w:lang w:val="es-ES"/>
              </w:rPr>
              <w:t>Unidad</w:t>
            </w:r>
          </w:p>
        </w:tc>
        <w:tc>
          <w:tcPr>
            <w:tcW w:w="900" w:type="dxa"/>
            <w:vMerge w:val="restart"/>
            <w:shd w:val="clear" w:color="000000" w:fill="003366"/>
            <w:vAlign w:val="center"/>
            <w:hideMark/>
          </w:tcPr>
          <w:p w:rsidR="006B490B" w:rsidRPr="00767435" w:rsidRDefault="006B490B" w:rsidP="00932FD7">
            <w:pPr>
              <w:jc w:val="center"/>
              <w:rPr>
                <w:b/>
                <w:bCs/>
                <w:sz w:val="20"/>
                <w:lang w:val="es-ES"/>
              </w:rPr>
            </w:pPr>
            <w:r w:rsidRPr="00767435">
              <w:rPr>
                <w:b/>
                <w:bCs/>
                <w:sz w:val="20"/>
                <w:lang w:val="es-ES"/>
              </w:rPr>
              <w:t>Base</w:t>
            </w:r>
          </w:p>
        </w:tc>
        <w:tc>
          <w:tcPr>
            <w:tcW w:w="900" w:type="dxa"/>
            <w:vMerge w:val="restart"/>
            <w:shd w:val="clear" w:color="000000" w:fill="003366"/>
            <w:vAlign w:val="center"/>
            <w:hideMark/>
          </w:tcPr>
          <w:p w:rsidR="006B490B" w:rsidRPr="00767435" w:rsidRDefault="006B490B" w:rsidP="00932FD7">
            <w:pPr>
              <w:jc w:val="center"/>
              <w:rPr>
                <w:b/>
                <w:bCs/>
                <w:sz w:val="20"/>
                <w:lang w:val="es-ES"/>
              </w:rPr>
            </w:pPr>
            <w:r w:rsidRPr="00767435">
              <w:rPr>
                <w:b/>
                <w:bCs/>
                <w:sz w:val="20"/>
                <w:lang w:val="es-ES"/>
              </w:rPr>
              <w:t xml:space="preserve">Meta </w:t>
            </w:r>
          </w:p>
        </w:tc>
        <w:tc>
          <w:tcPr>
            <w:tcW w:w="3258" w:type="dxa"/>
            <w:vMerge w:val="restart"/>
            <w:shd w:val="clear" w:color="000000" w:fill="003366"/>
            <w:vAlign w:val="center"/>
            <w:hideMark/>
          </w:tcPr>
          <w:p w:rsidR="006B490B" w:rsidRPr="00767435" w:rsidRDefault="006B490B" w:rsidP="00932FD7">
            <w:pPr>
              <w:jc w:val="center"/>
              <w:rPr>
                <w:b/>
                <w:bCs/>
                <w:sz w:val="20"/>
                <w:lang w:val="es-ES"/>
              </w:rPr>
            </w:pPr>
            <w:r w:rsidRPr="00767435">
              <w:rPr>
                <w:b/>
                <w:bCs/>
                <w:sz w:val="20"/>
                <w:lang w:val="es-ES"/>
              </w:rPr>
              <w:t>Observaciones/ Medio de verificación</w:t>
            </w:r>
          </w:p>
        </w:tc>
      </w:tr>
      <w:tr w:rsidR="00767435" w:rsidRPr="00767435" w:rsidTr="00044D97">
        <w:trPr>
          <w:trHeight w:val="285"/>
        </w:trPr>
        <w:tc>
          <w:tcPr>
            <w:tcW w:w="3618" w:type="dxa"/>
            <w:vMerge/>
            <w:vAlign w:val="center"/>
            <w:hideMark/>
          </w:tcPr>
          <w:p w:rsidR="006B490B" w:rsidRPr="00767435" w:rsidRDefault="006B490B" w:rsidP="00932FD7">
            <w:pPr>
              <w:rPr>
                <w:b/>
                <w:bCs/>
                <w:sz w:val="20"/>
                <w:lang w:val="es-ES"/>
              </w:rPr>
            </w:pPr>
          </w:p>
        </w:tc>
        <w:tc>
          <w:tcPr>
            <w:tcW w:w="1170" w:type="dxa"/>
            <w:vMerge/>
            <w:vAlign w:val="center"/>
            <w:hideMark/>
          </w:tcPr>
          <w:p w:rsidR="006B490B" w:rsidRPr="00767435" w:rsidRDefault="006B490B" w:rsidP="00932FD7">
            <w:pPr>
              <w:rPr>
                <w:b/>
                <w:bCs/>
                <w:sz w:val="20"/>
                <w:lang w:val="es-ES"/>
              </w:rPr>
            </w:pPr>
          </w:p>
        </w:tc>
        <w:tc>
          <w:tcPr>
            <w:tcW w:w="900" w:type="dxa"/>
            <w:vMerge/>
            <w:vAlign w:val="center"/>
            <w:hideMark/>
          </w:tcPr>
          <w:p w:rsidR="006B490B" w:rsidRPr="00767435" w:rsidRDefault="006B490B" w:rsidP="00932FD7">
            <w:pPr>
              <w:rPr>
                <w:b/>
                <w:bCs/>
                <w:sz w:val="20"/>
                <w:lang w:val="es-ES"/>
              </w:rPr>
            </w:pPr>
          </w:p>
        </w:tc>
        <w:tc>
          <w:tcPr>
            <w:tcW w:w="900" w:type="dxa"/>
            <w:vMerge/>
            <w:vAlign w:val="center"/>
            <w:hideMark/>
          </w:tcPr>
          <w:p w:rsidR="006B490B" w:rsidRPr="00767435" w:rsidRDefault="006B490B" w:rsidP="00932FD7">
            <w:pPr>
              <w:rPr>
                <w:b/>
                <w:bCs/>
                <w:sz w:val="20"/>
                <w:lang w:val="es-ES"/>
              </w:rPr>
            </w:pPr>
          </w:p>
        </w:tc>
        <w:tc>
          <w:tcPr>
            <w:tcW w:w="3258" w:type="dxa"/>
            <w:vMerge/>
            <w:vAlign w:val="center"/>
            <w:hideMark/>
          </w:tcPr>
          <w:p w:rsidR="006B490B" w:rsidRPr="00767435" w:rsidRDefault="006B490B" w:rsidP="00932FD7">
            <w:pPr>
              <w:rPr>
                <w:b/>
                <w:bCs/>
                <w:sz w:val="20"/>
                <w:lang w:val="es-ES"/>
              </w:rPr>
            </w:pPr>
          </w:p>
        </w:tc>
      </w:tr>
      <w:tr w:rsidR="00767435" w:rsidRPr="00767435" w:rsidTr="00044D97">
        <w:trPr>
          <w:trHeight w:val="285"/>
        </w:trPr>
        <w:tc>
          <w:tcPr>
            <w:tcW w:w="9846" w:type="dxa"/>
            <w:gridSpan w:val="5"/>
            <w:shd w:val="clear" w:color="000000" w:fill="C0C0C0"/>
            <w:vAlign w:val="center"/>
            <w:hideMark/>
          </w:tcPr>
          <w:p w:rsidR="006B490B" w:rsidRPr="00767435" w:rsidRDefault="006B490B" w:rsidP="00932FD7">
            <w:pPr>
              <w:rPr>
                <w:b/>
                <w:bCs/>
                <w:sz w:val="20"/>
                <w:lang w:val="es-ES"/>
              </w:rPr>
            </w:pPr>
            <w:r w:rsidRPr="00767435">
              <w:rPr>
                <w:b/>
                <w:bCs/>
                <w:sz w:val="20"/>
                <w:lang w:val="es-ES"/>
              </w:rPr>
              <w:t>COMPONENTE 2. Construcción y adecuación de la infra y superestructura ferroviaria</w:t>
            </w:r>
          </w:p>
        </w:tc>
      </w:tr>
      <w:tr w:rsidR="00767435" w:rsidRPr="00767435" w:rsidTr="00044D97">
        <w:trPr>
          <w:trHeight w:val="285"/>
        </w:trPr>
        <w:tc>
          <w:tcPr>
            <w:tcW w:w="3618" w:type="dxa"/>
            <w:shd w:val="clear" w:color="auto" w:fill="auto"/>
            <w:vAlign w:val="center"/>
            <w:hideMark/>
          </w:tcPr>
          <w:p w:rsidR="006B490B" w:rsidRPr="00767435" w:rsidRDefault="006B490B" w:rsidP="00932FD7">
            <w:pPr>
              <w:rPr>
                <w:sz w:val="20"/>
                <w:lang w:val="es-ES"/>
              </w:rPr>
            </w:pPr>
            <w:r w:rsidRPr="00767435">
              <w:rPr>
                <w:sz w:val="20"/>
                <w:lang w:val="es-ES"/>
              </w:rPr>
              <w:t>Electrificación: sistema de catenaria</w:t>
            </w:r>
          </w:p>
        </w:tc>
        <w:tc>
          <w:tcPr>
            <w:tcW w:w="1170" w:type="dxa"/>
            <w:shd w:val="clear" w:color="auto" w:fill="auto"/>
            <w:vAlign w:val="center"/>
            <w:hideMark/>
          </w:tcPr>
          <w:p w:rsidR="006B490B" w:rsidRPr="00767435" w:rsidRDefault="006B490B" w:rsidP="00932FD7">
            <w:pPr>
              <w:jc w:val="center"/>
              <w:rPr>
                <w:sz w:val="20"/>
                <w:lang w:val="es-ES"/>
              </w:rPr>
            </w:pPr>
            <w:r w:rsidRPr="00767435">
              <w:rPr>
                <w:sz w:val="20"/>
                <w:lang w:val="es-ES"/>
              </w:rPr>
              <w:t>km</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0</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98</w:t>
            </w:r>
          </w:p>
        </w:tc>
        <w:tc>
          <w:tcPr>
            <w:tcW w:w="3258" w:type="dxa"/>
            <w:vMerge w:val="restart"/>
            <w:shd w:val="clear" w:color="auto" w:fill="auto"/>
            <w:vAlign w:val="center"/>
            <w:hideMark/>
          </w:tcPr>
          <w:p w:rsidR="006B490B" w:rsidRPr="00767435" w:rsidRDefault="006B490B" w:rsidP="00932FD7">
            <w:pPr>
              <w:rPr>
                <w:sz w:val="20"/>
                <w:lang w:val="es-ES"/>
              </w:rPr>
            </w:pPr>
            <w:r w:rsidRPr="00767435">
              <w:rPr>
                <w:sz w:val="20"/>
                <w:lang w:val="es-ES"/>
              </w:rPr>
              <w:t>Se verificará la ejecución mediante informes de avance de obra elaborados por la Supervisión y aprobados por el Ejecutor. Las metas serán verificadas en el Informe final de aceptación de la ejecución de las obras. Estos valores serán refinados y adecuados de acuerdo a los estudios técnicos.</w:t>
            </w:r>
          </w:p>
        </w:tc>
      </w:tr>
      <w:tr w:rsidR="00767435" w:rsidRPr="00767435" w:rsidTr="00044D97">
        <w:trPr>
          <w:trHeight w:val="285"/>
        </w:trPr>
        <w:tc>
          <w:tcPr>
            <w:tcW w:w="3618" w:type="dxa"/>
            <w:shd w:val="clear" w:color="auto" w:fill="auto"/>
            <w:vAlign w:val="center"/>
            <w:hideMark/>
          </w:tcPr>
          <w:p w:rsidR="006B490B" w:rsidRPr="00767435" w:rsidRDefault="006B490B" w:rsidP="00932FD7">
            <w:pPr>
              <w:rPr>
                <w:sz w:val="20"/>
                <w:lang w:val="es-ES"/>
              </w:rPr>
            </w:pPr>
            <w:r w:rsidRPr="00767435">
              <w:rPr>
                <w:sz w:val="20"/>
                <w:lang w:val="es-ES"/>
              </w:rPr>
              <w:t>Electrificación: subestación transformadora</w:t>
            </w:r>
          </w:p>
        </w:tc>
        <w:tc>
          <w:tcPr>
            <w:tcW w:w="1170" w:type="dxa"/>
            <w:shd w:val="clear" w:color="auto" w:fill="auto"/>
            <w:vAlign w:val="center"/>
            <w:hideMark/>
          </w:tcPr>
          <w:p w:rsidR="006B490B" w:rsidRPr="00767435" w:rsidRDefault="006B490B" w:rsidP="00932FD7">
            <w:pPr>
              <w:jc w:val="center"/>
              <w:rPr>
                <w:sz w:val="20"/>
                <w:lang w:val="es-ES"/>
              </w:rPr>
            </w:pPr>
            <w:r w:rsidRPr="00767435">
              <w:rPr>
                <w:sz w:val="20"/>
                <w:lang w:val="es-ES"/>
              </w:rPr>
              <w:t>unidad</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0</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1</w:t>
            </w:r>
          </w:p>
        </w:tc>
        <w:tc>
          <w:tcPr>
            <w:tcW w:w="3258" w:type="dxa"/>
            <w:vMerge/>
            <w:vAlign w:val="center"/>
            <w:hideMark/>
          </w:tcPr>
          <w:p w:rsidR="006B490B" w:rsidRPr="00767435" w:rsidRDefault="006B490B" w:rsidP="00932FD7">
            <w:pPr>
              <w:rPr>
                <w:sz w:val="20"/>
                <w:lang w:val="es-ES"/>
              </w:rPr>
            </w:pPr>
          </w:p>
        </w:tc>
      </w:tr>
      <w:tr w:rsidR="00DD34BD" w:rsidRPr="00767435" w:rsidTr="00DD34BD">
        <w:trPr>
          <w:trHeight w:val="285"/>
        </w:trPr>
        <w:tc>
          <w:tcPr>
            <w:tcW w:w="3618" w:type="dxa"/>
            <w:shd w:val="clear" w:color="auto" w:fill="auto"/>
            <w:vAlign w:val="center"/>
            <w:hideMark/>
          </w:tcPr>
          <w:p w:rsidR="00DD34BD" w:rsidRPr="00767435" w:rsidRDefault="00DD34BD" w:rsidP="00932FD7">
            <w:pPr>
              <w:rPr>
                <w:sz w:val="20"/>
                <w:lang w:val="es-ES"/>
              </w:rPr>
            </w:pPr>
            <w:r w:rsidRPr="00767435">
              <w:rPr>
                <w:sz w:val="20"/>
                <w:lang w:val="es-ES"/>
              </w:rPr>
              <w:t>Electrificación Transformadores Menores</w:t>
            </w:r>
          </w:p>
        </w:tc>
        <w:tc>
          <w:tcPr>
            <w:tcW w:w="1170" w:type="dxa"/>
            <w:shd w:val="clear" w:color="auto" w:fill="auto"/>
            <w:vAlign w:val="center"/>
            <w:hideMark/>
          </w:tcPr>
          <w:p w:rsidR="00DD34BD" w:rsidRPr="00767435" w:rsidRDefault="00DD34BD" w:rsidP="00932FD7">
            <w:pPr>
              <w:jc w:val="center"/>
              <w:rPr>
                <w:sz w:val="20"/>
                <w:lang w:val="es-ES"/>
              </w:rPr>
            </w:pPr>
            <w:r w:rsidRPr="00767435">
              <w:rPr>
                <w:sz w:val="20"/>
                <w:lang w:val="es-ES"/>
              </w:rPr>
              <w:t>Unidad</w:t>
            </w:r>
          </w:p>
        </w:tc>
        <w:tc>
          <w:tcPr>
            <w:tcW w:w="900" w:type="dxa"/>
            <w:shd w:val="clear" w:color="auto" w:fill="auto"/>
            <w:vAlign w:val="center"/>
            <w:hideMark/>
          </w:tcPr>
          <w:p w:rsidR="00DD34BD" w:rsidRDefault="00DD34BD" w:rsidP="00DD34BD">
            <w:pPr>
              <w:jc w:val="center"/>
            </w:pPr>
            <w:r w:rsidRPr="007771FB">
              <w:rPr>
                <w:sz w:val="20"/>
                <w:lang w:val="es-ES"/>
              </w:rPr>
              <w:t>0</w:t>
            </w:r>
          </w:p>
        </w:tc>
        <w:tc>
          <w:tcPr>
            <w:tcW w:w="900" w:type="dxa"/>
            <w:shd w:val="clear" w:color="auto" w:fill="auto"/>
            <w:vAlign w:val="center"/>
            <w:hideMark/>
          </w:tcPr>
          <w:p w:rsidR="00DD34BD" w:rsidRPr="00767435" w:rsidRDefault="00DD34BD" w:rsidP="00932FD7">
            <w:pPr>
              <w:jc w:val="center"/>
              <w:rPr>
                <w:sz w:val="20"/>
                <w:lang w:val="es-ES"/>
              </w:rPr>
            </w:pPr>
            <w:r w:rsidRPr="00767435">
              <w:rPr>
                <w:sz w:val="20"/>
                <w:lang w:val="es-ES"/>
              </w:rPr>
              <w:t>6</w:t>
            </w:r>
          </w:p>
        </w:tc>
        <w:tc>
          <w:tcPr>
            <w:tcW w:w="3258" w:type="dxa"/>
            <w:vMerge/>
            <w:vAlign w:val="center"/>
            <w:hideMark/>
          </w:tcPr>
          <w:p w:rsidR="00DD34BD" w:rsidRPr="00767435" w:rsidRDefault="00DD34BD" w:rsidP="00932FD7">
            <w:pPr>
              <w:rPr>
                <w:sz w:val="20"/>
                <w:lang w:val="es-ES"/>
              </w:rPr>
            </w:pPr>
          </w:p>
        </w:tc>
      </w:tr>
      <w:tr w:rsidR="00DD34BD" w:rsidRPr="00767435" w:rsidTr="00DD34BD">
        <w:trPr>
          <w:trHeight w:val="268"/>
        </w:trPr>
        <w:tc>
          <w:tcPr>
            <w:tcW w:w="3618" w:type="dxa"/>
            <w:shd w:val="clear" w:color="000000" w:fill="FFFFFF"/>
            <w:vAlign w:val="center"/>
            <w:hideMark/>
          </w:tcPr>
          <w:p w:rsidR="00DD34BD" w:rsidRPr="00767435" w:rsidRDefault="00DD34BD" w:rsidP="00932FD7">
            <w:pPr>
              <w:rPr>
                <w:sz w:val="20"/>
                <w:lang w:val="es-ES"/>
              </w:rPr>
            </w:pPr>
            <w:r w:rsidRPr="00767435">
              <w:rPr>
                <w:sz w:val="20"/>
                <w:lang w:val="es-ES"/>
              </w:rPr>
              <w:t>Señalamiento y Comunicaciones</w:t>
            </w:r>
          </w:p>
        </w:tc>
        <w:tc>
          <w:tcPr>
            <w:tcW w:w="1170" w:type="dxa"/>
            <w:shd w:val="clear" w:color="000000" w:fill="FFFFFF"/>
            <w:vAlign w:val="center"/>
            <w:hideMark/>
          </w:tcPr>
          <w:p w:rsidR="00DD34BD" w:rsidRPr="00767435" w:rsidRDefault="00DD34BD" w:rsidP="00932FD7">
            <w:pPr>
              <w:rPr>
                <w:sz w:val="20"/>
                <w:lang w:val="es-ES"/>
              </w:rPr>
            </w:pPr>
            <w:r w:rsidRPr="00767435">
              <w:rPr>
                <w:sz w:val="20"/>
                <w:lang w:val="es-ES"/>
              </w:rPr>
              <w:t> </w:t>
            </w:r>
          </w:p>
        </w:tc>
        <w:tc>
          <w:tcPr>
            <w:tcW w:w="900" w:type="dxa"/>
            <w:shd w:val="clear" w:color="auto" w:fill="auto"/>
            <w:vAlign w:val="center"/>
            <w:hideMark/>
          </w:tcPr>
          <w:p w:rsidR="00DD34BD" w:rsidRDefault="00DD34BD" w:rsidP="00DD34BD">
            <w:pPr>
              <w:jc w:val="center"/>
            </w:pPr>
            <w:r w:rsidRPr="007771FB">
              <w:rPr>
                <w:sz w:val="20"/>
                <w:lang w:val="es-ES"/>
              </w:rPr>
              <w:t>0</w:t>
            </w:r>
          </w:p>
        </w:tc>
        <w:tc>
          <w:tcPr>
            <w:tcW w:w="900" w:type="dxa"/>
            <w:shd w:val="clear" w:color="auto" w:fill="auto"/>
            <w:vAlign w:val="center"/>
            <w:hideMark/>
          </w:tcPr>
          <w:p w:rsidR="00DD34BD" w:rsidRPr="00767435" w:rsidRDefault="00DD34BD" w:rsidP="00932FD7">
            <w:pPr>
              <w:rPr>
                <w:sz w:val="20"/>
                <w:lang w:val="es-ES"/>
              </w:rPr>
            </w:pPr>
            <w:r w:rsidRPr="00767435">
              <w:rPr>
                <w:sz w:val="20"/>
                <w:lang w:val="es-ES"/>
              </w:rPr>
              <w:t> </w:t>
            </w:r>
          </w:p>
        </w:tc>
        <w:tc>
          <w:tcPr>
            <w:tcW w:w="3258" w:type="dxa"/>
            <w:vMerge/>
            <w:vAlign w:val="center"/>
            <w:hideMark/>
          </w:tcPr>
          <w:p w:rsidR="00DD34BD" w:rsidRPr="00767435" w:rsidRDefault="00DD34BD" w:rsidP="00932FD7">
            <w:pPr>
              <w:rPr>
                <w:sz w:val="20"/>
                <w:lang w:val="es-ES"/>
              </w:rPr>
            </w:pPr>
          </w:p>
        </w:tc>
      </w:tr>
      <w:tr w:rsidR="00DD34BD" w:rsidRPr="00767435" w:rsidTr="00DD34BD">
        <w:trPr>
          <w:trHeight w:val="160"/>
        </w:trPr>
        <w:tc>
          <w:tcPr>
            <w:tcW w:w="3618" w:type="dxa"/>
            <w:shd w:val="clear" w:color="000000" w:fill="FFFFFF"/>
            <w:vAlign w:val="center"/>
            <w:hideMark/>
          </w:tcPr>
          <w:p w:rsidR="00DD34BD" w:rsidRPr="00767435" w:rsidRDefault="00DD34BD" w:rsidP="006B490B">
            <w:pPr>
              <w:ind w:firstLineChars="100" w:firstLine="197"/>
              <w:rPr>
                <w:sz w:val="20"/>
                <w:lang w:val="es-ES"/>
              </w:rPr>
            </w:pPr>
            <w:r w:rsidRPr="00767435">
              <w:rPr>
                <w:sz w:val="20"/>
                <w:lang w:val="es-ES"/>
              </w:rPr>
              <w:t xml:space="preserve"> - Proyecto Aprobado</w:t>
            </w:r>
          </w:p>
        </w:tc>
        <w:tc>
          <w:tcPr>
            <w:tcW w:w="1170" w:type="dxa"/>
            <w:shd w:val="clear" w:color="000000" w:fill="FFFFFF"/>
            <w:vAlign w:val="center"/>
            <w:hideMark/>
          </w:tcPr>
          <w:p w:rsidR="00DD34BD" w:rsidRPr="00767435" w:rsidRDefault="00DD34BD" w:rsidP="00932FD7">
            <w:pPr>
              <w:jc w:val="center"/>
              <w:rPr>
                <w:sz w:val="20"/>
                <w:lang w:val="es-ES"/>
              </w:rPr>
            </w:pPr>
            <w:r w:rsidRPr="00767435">
              <w:rPr>
                <w:sz w:val="20"/>
                <w:lang w:val="es-ES"/>
              </w:rPr>
              <w:t>unidad</w:t>
            </w:r>
          </w:p>
        </w:tc>
        <w:tc>
          <w:tcPr>
            <w:tcW w:w="900" w:type="dxa"/>
            <w:shd w:val="clear" w:color="000000" w:fill="FFFFFF"/>
            <w:vAlign w:val="center"/>
            <w:hideMark/>
          </w:tcPr>
          <w:p w:rsidR="00DD34BD" w:rsidRDefault="00DD34BD" w:rsidP="00DD34BD">
            <w:pPr>
              <w:jc w:val="center"/>
            </w:pPr>
            <w:r w:rsidRPr="007771FB">
              <w:rPr>
                <w:sz w:val="20"/>
                <w:lang w:val="es-ES"/>
              </w:rPr>
              <w:t>0</w:t>
            </w:r>
          </w:p>
        </w:tc>
        <w:tc>
          <w:tcPr>
            <w:tcW w:w="900" w:type="dxa"/>
            <w:shd w:val="clear" w:color="000000" w:fill="FFFFFF"/>
            <w:vAlign w:val="center"/>
            <w:hideMark/>
          </w:tcPr>
          <w:p w:rsidR="00DD34BD" w:rsidRPr="00767435" w:rsidRDefault="00DD34BD" w:rsidP="00932FD7">
            <w:pPr>
              <w:jc w:val="center"/>
              <w:rPr>
                <w:sz w:val="20"/>
                <w:lang w:val="es-ES"/>
              </w:rPr>
            </w:pPr>
            <w:r w:rsidRPr="00767435">
              <w:rPr>
                <w:sz w:val="20"/>
                <w:lang w:val="es-ES"/>
              </w:rPr>
              <w:t>1</w:t>
            </w:r>
          </w:p>
        </w:tc>
        <w:tc>
          <w:tcPr>
            <w:tcW w:w="3258" w:type="dxa"/>
            <w:vMerge/>
            <w:vAlign w:val="center"/>
            <w:hideMark/>
          </w:tcPr>
          <w:p w:rsidR="00DD34BD" w:rsidRPr="00767435" w:rsidRDefault="00DD34BD" w:rsidP="00932FD7">
            <w:pPr>
              <w:rPr>
                <w:sz w:val="20"/>
                <w:lang w:val="es-ES"/>
              </w:rPr>
            </w:pPr>
          </w:p>
        </w:tc>
      </w:tr>
      <w:tr w:rsidR="00DD34BD" w:rsidRPr="00767435" w:rsidTr="00DD34BD">
        <w:trPr>
          <w:trHeight w:val="88"/>
        </w:trPr>
        <w:tc>
          <w:tcPr>
            <w:tcW w:w="3618" w:type="dxa"/>
            <w:shd w:val="clear" w:color="000000" w:fill="FFFFFF"/>
            <w:vAlign w:val="center"/>
            <w:hideMark/>
          </w:tcPr>
          <w:p w:rsidR="00DD34BD" w:rsidRPr="00767435" w:rsidRDefault="00DD34BD" w:rsidP="006B490B">
            <w:pPr>
              <w:ind w:firstLineChars="100" w:firstLine="197"/>
              <w:rPr>
                <w:sz w:val="20"/>
                <w:lang w:val="es-ES"/>
              </w:rPr>
            </w:pPr>
            <w:r w:rsidRPr="00767435">
              <w:rPr>
                <w:sz w:val="20"/>
                <w:lang w:val="es-ES"/>
              </w:rPr>
              <w:t xml:space="preserve"> - Terminación Obras Civiles</w:t>
            </w:r>
          </w:p>
        </w:tc>
        <w:tc>
          <w:tcPr>
            <w:tcW w:w="1170" w:type="dxa"/>
            <w:shd w:val="clear" w:color="000000" w:fill="FFFFFF"/>
            <w:vAlign w:val="center"/>
            <w:hideMark/>
          </w:tcPr>
          <w:p w:rsidR="00DD34BD" w:rsidRPr="00767435" w:rsidRDefault="00DD34BD" w:rsidP="00932FD7">
            <w:pPr>
              <w:jc w:val="center"/>
              <w:rPr>
                <w:sz w:val="20"/>
                <w:lang w:val="es-ES"/>
              </w:rPr>
            </w:pPr>
            <w:r w:rsidRPr="00767435">
              <w:rPr>
                <w:sz w:val="20"/>
                <w:lang w:val="es-ES"/>
              </w:rPr>
              <w:t>unidad</w:t>
            </w:r>
          </w:p>
        </w:tc>
        <w:tc>
          <w:tcPr>
            <w:tcW w:w="900" w:type="dxa"/>
            <w:shd w:val="clear" w:color="000000" w:fill="FFFFFF"/>
            <w:vAlign w:val="center"/>
            <w:hideMark/>
          </w:tcPr>
          <w:p w:rsidR="00DD34BD" w:rsidRDefault="00DD34BD" w:rsidP="00DD34BD">
            <w:pPr>
              <w:jc w:val="center"/>
            </w:pPr>
            <w:r w:rsidRPr="007771FB">
              <w:rPr>
                <w:sz w:val="20"/>
                <w:lang w:val="es-ES"/>
              </w:rPr>
              <w:t>0</w:t>
            </w:r>
          </w:p>
        </w:tc>
        <w:tc>
          <w:tcPr>
            <w:tcW w:w="900" w:type="dxa"/>
            <w:shd w:val="clear" w:color="000000" w:fill="FFFFFF"/>
            <w:vAlign w:val="center"/>
            <w:hideMark/>
          </w:tcPr>
          <w:p w:rsidR="00DD34BD" w:rsidRPr="00767435" w:rsidRDefault="00DD34BD" w:rsidP="00932FD7">
            <w:pPr>
              <w:jc w:val="center"/>
              <w:rPr>
                <w:sz w:val="20"/>
                <w:lang w:val="es-ES"/>
              </w:rPr>
            </w:pPr>
            <w:r w:rsidRPr="00767435">
              <w:rPr>
                <w:sz w:val="20"/>
                <w:lang w:val="es-ES"/>
              </w:rPr>
              <w:t>1</w:t>
            </w:r>
          </w:p>
        </w:tc>
        <w:tc>
          <w:tcPr>
            <w:tcW w:w="3258" w:type="dxa"/>
            <w:vMerge/>
            <w:vAlign w:val="center"/>
            <w:hideMark/>
          </w:tcPr>
          <w:p w:rsidR="00DD34BD" w:rsidRPr="00767435" w:rsidRDefault="00DD34BD" w:rsidP="00932FD7">
            <w:pPr>
              <w:rPr>
                <w:sz w:val="20"/>
                <w:lang w:val="es-ES"/>
              </w:rPr>
            </w:pPr>
          </w:p>
        </w:tc>
      </w:tr>
      <w:tr w:rsidR="00DD34BD" w:rsidRPr="00767435" w:rsidTr="00DD34BD">
        <w:trPr>
          <w:trHeight w:val="60"/>
        </w:trPr>
        <w:tc>
          <w:tcPr>
            <w:tcW w:w="3618" w:type="dxa"/>
            <w:shd w:val="clear" w:color="000000" w:fill="FFFFFF"/>
            <w:vAlign w:val="center"/>
            <w:hideMark/>
          </w:tcPr>
          <w:p w:rsidR="00DD34BD" w:rsidRPr="00767435" w:rsidRDefault="00DD34BD" w:rsidP="006B490B">
            <w:pPr>
              <w:ind w:firstLineChars="100" w:firstLine="197"/>
              <w:rPr>
                <w:sz w:val="20"/>
                <w:lang w:val="es-ES"/>
              </w:rPr>
            </w:pPr>
            <w:r w:rsidRPr="00767435">
              <w:rPr>
                <w:sz w:val="20"/>
                <w:lang w:val="es-ES"/>
              </w:rPr>
              <w:t xml:space="preserve"> - Montajes Balizas, Señales, mecanismos</w:t>
            </w:r>
          </w:p>
        </w:tc>
        <w:tc>
          <w:tcPr>
            <w:tcW w:w="1170" w:type="dxa"/>
            <w:shd w:val="clear" w:color="000000" w:fill="FFFFFF"/>
            <w:vAlign w:val="center"/>
            <w:hideMark/>
          </w:tcPr>
          <w:p w:rsidR="00DD34BD" w:rsidRPr="00767435" w:rsidRDefault="00DD34BD" w:rsidP="00932FD7">
            <w:pPr>
              <w:jc w:val="center"/>
              <w:rPr>
                <w:sz w:val="20"/>
                <w:lang w:val="es-ES"/>
              </w:rPr>
            </w:pPr>
            <w:r w:rsidRPr="00767435">
              <w:rPr>
                <w:sz w:val="20"/>
                <w:lang w:val="es-ES"/>
              </w:rPr>
              <w:t>Km</w:t>
            </w:r>
          </w:p>
        </w:tc>
        <w:tc>
          <w:tcPr>
            <w:tcW w:w="900" w:type="dxa"/>
            <w:shd w:val="clear" w:color="000000" w:fill="FFFFFF"/>
            <w:vAlign w:val="center"/>
            <w:hideMark/>
          </w:tcPr>
          <w:p w:rsidR="00DD34BD" w:rsidRDefault="00DD34BD" w:rsidP="00DD34BD">
            <w:pPr>
              <w:jc w:val="center"/>
            </w:pPr>
            <w:r w:rsidRPr="007771FB">
              <w:rPr>
                <w:sz w:val="20"/>
                <w:lang w:val="es-ES"/>
              </w:rPr>
              <w:t>0</w:t>
            </w:r>
          </w:p>
        </w:tc>
        <w:tc>
          <w:tcPr>
            <w:tcW w:w="900" w:type="dxa"/>
            <w:shd w:val="clear" w:color="000000" w:fill="FFFFFF"/>
            <w:vAlign w:val="center"/>
            <w:hideMark/>
          </w:tcPr>
          <w:p w:rsidR="00DD34BD" w:rsidRPr="00767435" w:rsidRDefault="00DD34BD" w:rsidP="00932FD7">
            <w:pPr>
              <w:jc w:val="center"/>
              <w:rPr>
                <w:sz w:val="20"/>
                <w:lang w:val="es-ES"/>
              </w:rPr>
            </w:pPr>
            <w:r w:rsidRPr="00767435">
              <w:rPr>
                <w:sz w:val="20"/>
                <w:lang w:val="es-ES"/>
              </w:rPr>
              <w:t>48</w:t>
            </w:r>
          </w:p>
        </w:tc>
        <w:tc>
          <w:tcPr>
            <w:tcW w:w="3258" w:type="dxa"/>
            <w:vMerge/>
            <w:vAlign w:val="center"/>
            <w:hideMark/>
          </w:tcPr>
          <w:p w:rsidR="00DD34BD" w:rsidRPr="00767435" w:rsidRDefault="00DD34BD" w:rsidP="00932FD7">
            <w:pPr>
              <w:rPr>
                <w:sz w:val="20"/>
                <w:lang w:val="es-ES"/>
              </w:rPr>
            </w:pPr>
          </w:p>
        </w:tc>
      </w:tr>
      <w:tr w:rsidR="00DD34BD" w:rsidRPr="00767435" w:rsidTr="00DD34BD">
        <w:trPr>
          <w:trHeight w:val="277"/>
        </w:trPr>
        <w:tc>
          <w:tcPr>
            <w:tcW w:w="3618" w:type="dxa"/>
            <w:shd w:val="clear" w:color="000000" w:fill="FFFFFF"/>
            <w:vAlign w:val="center"/>
            <w:hideMark/>
          </w:tcPr>
          <w:p w:rsidR="00DD34BD" w:rsidRPr="00767435" w:rsidRDefault="00DD34BD" w:rsidP="006B490B">
            <w:pPr>
              <w:ind w:firstLineChars="100" w:firstLine="197"/>
              <w:rPr>
                <w:sz w:val="20"/>
                <w:lang w:val="es-ES"/>
              </w:rPr>
            </w:pPr>
            <w:r w:rsidRPr="00767435">
              <w:rPr>
                <w:sz w:val="20"/>
                <w:lang w:val="es-ES"/>
              </w:rPr>
              <w:t xml:space="preserve"> - Recepción Provisoria</w:t>
            </w:r>
          </w:p>
        </w:tc>
        <w:tc>
          <w:tcPr>
            <w:tcW w:w="1170" w:type="dxa"/>
            <w:shd w:val="clear" w:color="auto" w:fill="auto"/>
            <w:vAlign w:val="center"/>
            <w:hideMark/>
          </w:tcPr>
          <w:p w:rsidR="00DD34BD" w:rsidRPr="00767435" w:rsidRDefault="00DD34BD" w:rsidP="00932FD7">
            <w:pPr>
              <w:jc w:val="center"/>
              <w:rPr>
                <w:sz w:val="20"/>
                <w:lang w:val="es-ES"/>
              </w:rPr>
            </w:pPr>
            <w:r w:rsidRPr="00767435">
              <w:rPr>
                <w:sz w:val="20"/>
                <w:lang w:val="es-ES"/>
              </w:rPr>
              <w:t>unidad</w:t>
            </w:r>
          </w:p>
        </w:tc>
        <w:tc>
          <w:tcPr>
            <w:tcW w:w="900" w:type="dxa"/>
            <w:shd w:val="clear" w:color="000000" w:fill="FFFFFF"/>
            <w:vAlign w:val="center"/>
            <w:hideMark/>
          </w:tcPr>
          <w:p w:rsidR="00DD34BD" w:rsidRDefault="00DD34BD" w:rsidP="00DD34BD">
            <w:pPr>
              <w:jc w:val="center"/>
            </w:pPr>
            <w:r w:rsidRPr="007771FB">
              <w:rPr>
                <w:sz w:val="20"/>
                <w:lang w:val="es-ES"/>
              </w:rPr>
              <w:t>0</w:t>
            </w:r>
          </w:p>
        </w:tc>
        <w:tc>
          <w:tcPr>
            <w:tcW w:w="900" w:type="dxa"/>
            <w:shd w:val="clear" w:color="000000" w:fill="FFFFFF"/>
            <w:vAlign w:val="center"/>
            <w:hideMark/>
          </w:tcPr>
          <w:p w:rsidR="00DD34BD" w:rsidRPr="00767435" w:rsidRDefault="00DD34BD" w:rsidP="00932FD7">
            <w:pPr>
              <w:jc w:val="center"/>
              <w:rPr>
                <w:sz w:val="20"/>
                <w:lang w:val="es-ES"/>
              </w:rPr>
            </w:pPr>
            <w:r w:rsidRPr="00767435">
              <w:rPr>
                <w:sz w:val="20"/>
                <w:lang w:val="es-ES"/>
              </w:rPr>
              <w:t>1</w:t>
            </w:r>
          </w:p>
        </w:tc>
        <w:tc>
          <w:tcPr>
            <w:tcW w:w="3258" w:type="dxa"/>
            <w:vMerge/>
            <w:vAlign w:val="center"/>
            <w:hideMark/>
          </w:tcPr>
          <w:p w:rsidR="00DD34BD" w:rsidRPr="00767435" w:rsidRDefault="00DD34BD" w:rsidP="00932FD7">
            <w:pPr>
              <w:rPr>
                <w:sz w:val="20"/>
                <w:lang w:val="es-ES"/>
              </w:rPr>
            </w:pPr>
          </w:p>
        </w:tc>
      </w:tr>
      <w:tr w:rsidR="00767435" w:rsidRPr="00767435" w:rsidTr="00044D97">
        <w:trPr>
          <w:trHeight w:val="285"/>
        </w:trPr>
        <w:tc>
          <w:tcPr>
            <w:tcW w:w="3618" w:type="dxa"/>
            <w:shd w:val="clear" w:color="auto" w:fill="auto"/>
            <w:vAlign w:val="center"/>
            <w:hideMark/>
          </w:tcPr>
          <w:p w:rsidR="006B490B" w:rsidRPr="00767435" w:rsidRDefault="006B490B" w:rsidP="00932FD7">
            <w:pPr>
              <w:rPr>
                <w:sz w:val="20"/>
                <w:lang w:val="es-ES"/>
              </w:rPr>
            </w:pPr>
            <w:r w:rsidRPr="00767435">
              <w:rPr>
                <w:sz w:val="20"/>
                <w:lang w:val="es-ES"/>
              </w:rPr>
              <w:t>Estaciones (elevación de andenes)</w:t>
            </w:r>
          </w:p>
        </w:tc>
        <w:tc>
          <w:tcPr>
            <w:tcW w:w="1170" w:type="dxa"/>
            <w:shd w:val="clear" w:color="auto" w:fill="auto"/>
            <w:vAlign w:val="center"/>
            <w:hideMark/>
          </w:tcPr>
          <w:p w:rsidR="006B490B" w:rsidRPr="00767435" w:rsidRDefault="006B490B" w:rsidP="00932FD7">
            <w:pPr>
              <w:jc w:val="center"/>
              <w:rPr>
                <w:sz w:val="20"/>
                <w:lang w:val="es-ES"/>
              </w:rPr>
            </w:pPr>
            <w:r w:rsidRPr="00767435">
              <w:rPr>
                <w:sz w:val="20"/>
                <w:lang w:val="es-ES"/>
              </w:rPr>
              <w:t>andenes</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0</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42</w:t>
            </w:r>
          </w:p>
        </w:tc>
        <w:tc>
          <w:tcPr>
            <w:tcW w:w="3258" w:type="dxa"/>
            <w:vMerge/>
            <w:vAlign w:val="center"/>
            <w:hideMark/>
          </w:tcPr>
          <w:p w:rsidR="006B490B" w:rsidRPr="00767435" w:rsidRDefault="006B490B" w:rsidP="00932FD7">
            <w:pPr>
              <w:rPr>
                <w:sz w:val="20"/>
                <w:lang w:val="es-ES"/>
              </w:rPr>
            </w:pPr>
          </w:p>
        </w:tc>
      </w:tr>
      <w:tr w:rsidR="00767435" w:rsidRPr="00767435" w:rsidTr="00044D97">
        <w:trPr>
          <w:trHeight w:val="555"/>
        </w:trPr>
        <w:tc>
          <w:tcPr>
            <w:tcW w:w="3618" w:type="dxa"/>
            <w:shd w:val="clear" w:color="auto" w:fill="auto"/>
            <w:vAlign w:val="center"/>
            <w:hideMark/>
          </w:tcPr>
          <w:p w:rsidR="006B490B" w:rsidRPr="00767435" w:rsidRDefault="006B490B" w:rsidP="00932FD7">
            <w:pPr>
              <w:rPr>
                <w:sz w:val="20"/>
                <w:lang w:val="es-ES"/>
              </w:rPr>
            </w:pPr>
            <w:r w:rsidRPr="00767435">
              <w:rPr>
                <w:sz w:val="20"/>
                <w:lang w:val="es-ES"/>
              </w:rPr>
              <w:t>Material rodante (adecuación de puertas y escaleras)</w:t>
            </w:r>
          </w:p>
        </w:tc>
        <w:tc>
          <w:tcPr>
            <w:tcW w:w="1170" w:type="dxa"/>
            <w:shd w:val="clear" w:color="auto" w:fill="auto"/>
            <w:vAlign w:val="center"/>
            <w:hideMark/>
          </w:tcPr>
          <w:p w:rsidR="006B490B" w:rsidRPr="00767435" w:rsidRDefault="006B490B" w:rsidP="00932FD7">
            <w:pPr>
              <w:jc w:val="center"/>
              <w:rPr>
                <w:sz w:val="20"/>
                <w:lang w:val="es-ES"/>
              </w:rPr>
            </w:pPr>
            <w:r w:rsidRPr="00767435">
              <w:rPr>
                <w:sz w:val="20"/>
                <w:lang w:val="es-ES"/>
              </w:rPr>
              <w:t>coches</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0</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45</w:t>
            </w:r>
          </w:p>
        </w:tc>
        <w:tc>
          <w:tcPr>
            <w:tcW w:w="3258" w:type="dxa"/>
            <w:vMerge/>
            <w:vAlign w:val="center"/>
            <w:hideMark/>
          </w:tcPr>
          <w:p w:rsidR="006B490B" w:rsidRPr="00767435" w:rsidRDefault="006B490B" w:rsidP="00932FD7">
            <w:pPr>
              <w:rPr>
                <w:sz w:val="20"/>
                <w:lang w:val="es-ES"/>
              </w:rPr>
            </w:pPr>
          </w:p>
        </w:tc>
      </w:tr>
      <w:tr w:rsidR="00767435" w:rsidRPr="00767435" w:rsidTr="00044D97">
        <w:trPr>
          <w:trHeight w:val="467"/>
        </w:trPr>
        <w:tc>
          <w:tcPr>
            <w:tcW w:w="3618" w:type="dxa"/>
            <w:shd w:val="clear" w:color="auto" w:fill="auto"/>
            <w:vAlign w:val="center"/>
            <w:hideMark/>
          </w:tcPr>
          <w:p w:rsidR="00044D97" w:rsidRPr="00767435" w:rsidRDefault="00044D97" w:rsidP="00932FD7">
            <w:pPr>
              <w:rPr>
                <w:sz w:val="20"/>
                <w:lang w:val="es-ES"/>
              </w:rPr>
            </w:pPr>
            <w:r w:rsidRPr="00767435">
              <w:rPr>
                <w:sz w:val="20"/>
                <w:lang w:val="es-ES"/>
              </w:rPr>
              <w:t>Renovación y mejoramiento de vías: construcción de vías para sobrepaso</w:t>
            </w:r>
          </w:p>
        </w:tc>
        <w:tc>
          <w:tcPr>
            <w:tcW w:w="1170" w:type="dxa"/>
            <w:shd w:val="clear" w:color="000000" w:fill="FFFFFF"/>
            <w:vAlign w:val="center"/>
            <w:hideMark/>
          </w:tcPr>
          <w:p w:rsidR="00044D97" w:rsidRPr="00767435" w:rsidRDefault="00044D97" w:rsidP="00932FD7">
            <w:pPr>
              <w:jc w:val="center"/>
              <w:rPr>
                <w:sz w:val="20"/>
                <w:lang w:val="es-ES"/>
              </w:rPr>
            </w:pPr>
            <w:r w:rsidRPr="00767435">
              <w:rPr>
                <w:sz w:val="20"/>
                <w:lang w:val="es-ES"/>
              </w:rPr>
              <w:t>km</w:t>
            </w:r>
          </w:p>
          <w:p w:rsidR="00044D97" w:rsidRPr="00767435" w:rsidRDefault="00044D97" w:rsidP="00932FD7">
            <w:pPr>
              <w:jc w:val="center"/>
              <w:rPr>
                <w:sz w:val="20"/>
                <w:lang w:val="es-ES"/>
              </w:rPr>
            </w:pPr>
            <w:r w:rsidRPr="00767435">
              <w:rPr>
                <w:sz w:val="20"/>
                <w:lang w:val="es-ES"/>
              </w:rPr>
              <w:t>(vía simple)</w:t>
            </w:r>
          </w:p>
        </w:tc>
        <w:tc>
          <w:tcPr>
            <w:tcW w:w="900" w:type="dxa"/>
            <w:shd w:val="clear" w:color="auto" w:fill="auto"/>
            <w:vAlign w:val="center"/>
            <w:hideMark/>
          </w:tcPr>
          <w:p w:rsidR="00044D97" w:rsidRPr="00767435" w:rsidRDefault="00044D97" w:rsidP="00932FD7">
            <w:pPr>
              <w:jc w:val="center"/>
              <w:rPr>
                <w:sz w:val="20"/>
                <w:lang w:val="es-ES"/>
              </w:rPr>
            </w:pPr>
            <w:r w:rsidRPr="00767435">
              <w:rPr>
                <w:sz w:val="20"/>
                <w:lang w:val="es-ES"/>
              </w:rPr>
              <w:t>0</w:t>
            </w:r>
          </w:p>
        </w:tc>
        <w:tc>
          <w:tcPr>
            <w:tcW w:w="900" w:type="dxa"/>
            <w:shd w:val="clear" w:color="auto" w:fill="auto"/>
            <w:vAlign w:val="center"/>
            <w:hideMark/>
          </w:tcPr>
          <w:p w:rsidR="00044D97" w:rsidRPr="00767435" w:rsidRDefault="00044D97" w:rsidP="00932FD7">
            <w:pPr>
              <w:jc w:val="center"/>
              <w:rPr>
                <w:sz w:val="20"/>
                <w:lang w:val="es-ES"/>
              </w:rPr>
            </w:pPr>
            <w:r w:rsidRPr="00767435">
              <w:rPr>
                <w:sz w:val="20"/>
                <w:lang w:val="es-ES"/>
              </w:rPr>
              <w:t>10</w:t>
            </w:r>
          </w:p>
        </w:tc>
        <w:tc>
          <w:tcPr>
            <w:tcW w:w="3258" w:type="dxa"/>
            <w:vMerge/>
            <w:vAlign w:val="center"/>
            <w:hideMark/>
          </w:tcPr>
          <w:p w:rsidR="00044D97" w:rsidRPr="00767435" w:rsidRDefault="00044D97" w:rsidP="00932FD7">
            <w:pPr>
              <w:rPr>
                <w:sz w:val="20"/>
                <w:lang w:val="es-ES"/>
              </w:rPr>
            </w:pPr>
          </w:p>
        </w:tc>
      </w:tr>
      <w:tr w:rsidR="00767435" w:rsidRPr="00767435" w:rsidTr="00044D97">
        <w:trPr>
          <w:trHeight w:val="539"/>
        </w:trPr>
        <w:tc>
          <w:tcPr>
            <w:tcW w:w="3618" w:type="dxa"/>
            <w:shd w:val="clear" w:color="auto" w:fill="auto"/>
            <w:vAlign w:val="center"/>
            <w:hideMark/>
          </w:tcPr>
          <w:p w:rsidR="00044D97" w:rsidRPr="00767435" w:rsidRDefault="00044D97" w:rsidP="00932FD7">
            <w:pPr>
              <w:rPr>
                <w:sz w:val="20"/>
                <w:lang w:val="es-ES"/>
              </w:rPr>
            </w:pPr>
            <w:r w:rsidRPr="00767435">
              <w:rPr>
                <w:sz w:val="20"/>
                <w:lang w:val="es-ES"/>
              </w:rPr>
              <w:t>Renovación y mejoramiento de vías: mejoramiento de vías</w:t>
            </w:r>
          </w:p>
        </w:tc>
        <w:tc>
          <w:tcPr>
            <w:tcW w:w="1170" w:type="dxa"/>
            <w:shd w:val="clear" w:color="000000" w:fill="FFFFFF"/>
            <w:vAlign w:val="center"/>
            <w:hideMark/>
          </w:tcPr>
          <w:p w:rsidR="00044D97" w:rsidRPr="00767435" w:rsidRDefault="00044D97" w:rsidP="00932FD7">
            <w:pPr>
              <w:jc w:val="center"/>
              <w:rPr>
                <w:sz w:val="20"/>
                <w:lang w:val="es-ES"/>
              </w:rPr>
            </w:pPr>
            <w:r w:rsidRPr="00767435">
              <w:rPr>
                <w:sz w:val="20"/>
                <w:lang w:val="es-ES"/>
              </w:rPr>
              <w:t>km</w:t>
            </w:r>
          </w:p>
          <w:p w:rsidR="00044D97" w:rsidRPr="00767435" w:rsidRDefault="00044D97" w:rsidP="00932FD7">
            <w:pPr>
              <w:jc w:val="center"/>
              <w:rPr>
                <w:sz w:val="20"/>
                <w:lang w:val="es-ES"/>
              </w:rPr>
            </w:pPr>
            <w:r w:rsidRPr="00767435">
              <w:rPr>
                <w:sz w:val="20"/>
                <w:lang w:val="es-ES"/>
              </w:rPr>
              <w:t>(vía doble)</w:t>
            </w:r>
          </w:p>
        </w:tc>
        <w:tc>
          <w:tcPr>
            <w:tcW w:w="900" w:type="dxa"/>
            <w:shd w:val="clear" w:color="auto" w:fill="auto"/>
            <w:vAlign w:val="center"/>
            <w:hideMark/>
          </w:tcPr>
          <w:p w:rsidR="00044D97" w:rsidRPr="00767435" w:rsidRDefault="00044D97" w:rsidP="00932FD7">
            <w:pPr>
              <w:jc w:val="center"/>
              <w:rPr>
                <w:sz w:val="20"/>
                <w:lang w:val="es-ES"/>
              </w:rPr>
            </w:pPr>
            <w:r w:rsidRPr="00767435">
              <w:rPr>
                <w:sz w:val="20"/>
                <w:lang w:val="es-ES"/>
              </w:rPr>
              <w:t>0</w:t>
            </w:r>
          </w:p>
        </w:tc>
        <w:tc>
          <w:tcPr>
            <w:tcW w:w="900" w:type="dxa"/>
            <w:shd w:val="clear" w:color="auto" w:fill="auto"/>
            <w:vAlign w:val="center"/>
            <w:hideMark/>
          </w:tcPr>
          <w:p w:rsidR="00044D97" w:rsidRPr="00767435" w:rsidRDefault="00044D97" w:rsidP="00932FD7">
            <w:pPr>
              <w:jc w:val="center"/>
              <w:rPr>
                <w:sz w:val="20"/>
                <w:lang w:val="es-ES"/>
              </w:rPr>
            </w:pPr>
            <w:r w:rsidRPr="00767435">
              <w:rPr>
                <w:sz w:val="20"/>
                <w:lang w:val="es-ES"/>
              </w:rPr>
              <w:t>30</w:t>
            </w:r>
          </w:p>
        </w:tc>
        <w:tc>
          <w:tcPr>
            <w:tcW w:w="3258" w:type="dxa"/>
            <w:vMerge/>
            <w:vAlign w:val="center"/>
            <w:hideMark/>
          </w:tcPr>
          <w:p w:rsidR="00044D97" w:rsidRPr="00767435" w:rsidRDefault="00044D97" w:rsidP="00932FD7">
            <w:pPr>
              <w:rPr>
                <w:sz w:val="20"/>
                <w:lang w:val="es-ES"/>
              </w:rPr>
            </w:pPr>
          </w:p>
        </w:tc>
      </w:tr>
      <w:tr w:rsidR="00767435" w:rsidRPr="00767435" w:rsidTr="00044D97">
        <w:trPr>
          <w:trHeight w:val="555"/>
        </w:trPr>
        <w:tc>
          <w:tcPr>
            <w:tcW w:w="3618" w:type="dxa"/>
            <w:shd w:val="clear" w:color="auto" w:fill="auto"/>
            <w:vAlign w:val="center"/>
            <w:hideMark/>
          </w:tcPr>
          <w:p w:rsidR="006B490B" w:rsidRPr="00767435" w:rsidRDefault="006B490B" w:rsidP="00932FD7">
            <w:pPr>
              <w:rPr>
                <w:sz w:val="20"/>
                <w:lang w:val="es-ES"/>
              </w:rPr>
            </w:pPr>
            <w:r w:rsidRPr="00767435">
              <w:rPr>
                <w:sz w:val="20"/>
                <w:lang w:val="es-ES"/>
              </w:rPr>
              <w:t>Renovación y mejoramiento de aparatos de vías</w:t>
            </w:r>
          </w:p>
        </w:tc>
        <w:tc>
          <w:tcPr>
            <w:tcW w:w="1170" w:type="dxa"/>
            <w:shd w:val="clear" w:color="auto" w:fill="auto"/>
            <w:vAlign w:val="center"/>
            <w:hideMark/>
          </w:tcPr>
          <w:p w:rsidR="006B490B" w:rsidRPr="00767435" w:rsidRDefault="006B490B" w:rsidP="00932FD7">
            <w:pPr>
              <w:jc w:val="center"/>
              <w:rPr>
                <w:sz w:val="20"/>
                <w:lang w:val="es-ES"/>
              </w:rPr>
            </w:pPr>
            <w:r w:rsidRPr="00767435">
              <w:rPr>
                <w:sz w:val="20"/>
                <w:lang w:val="es-ES"/>
              </w:rPr>
              <w:t>unidad</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0</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70</w:t>
            </w:r>
          </w:p>
        </w:tc>
        <w:tc>
          <w:tcPr>
            <w:tcW w:w="3258" w:type="dxa"/>
            <w:vMerge/>
            <w:vAlign w:val="center"/>
            <w:hideMark/>
          </w:tcPr>
          <w:p w:rsidR="006B490B" w:rsidRPr="00767435" w:rsidRDefault="006B490B" w:rsidP="00932FD7">
            <w:pPr>
              <w:rPr>
                <w:sz w:val="20"/>
                <w:lang w:val="es-ES"/>
              </w:rPr>
            </w:pPr>
          </w:p>
        </w:tc>
      </w:tr>
      <w:tr w:rsidR="00767435" w:rsidRPr="00767435" w:rsidTr="00044D97">
        <w:trPr>
          <w:trHeight w:val="345"/>
        </w:trPr>
        <w:tc>
          <w:tcPr>
            <w:tcW w:w="3618" w:type="dxa"/>
            <w:shd w:val="clear" w:color="auto" w:fill="auto"/>
            <w:vAlign w:val="center"/>
            <w:hideMark/>
          </w:tcPr>
          <w:p w:rsidR="006B490B" w:rsidRPr="00767435" w:rsidRDefault="006B490B" w:rsidP="00932FD7">
            <w:pPr>
              <w:rPr>
                <w:sz w:val="20"/>
                <w:lang w:val="es-ES"/>
              </w:rPr>
            </w:pPr>
            <w:r w:rsidRPr="00767435">
              <w:rPr>
                <w:sz w:val="20"/>
                <w:lang w:val="es-ES"/>
              </w:rPr>
              <w:t>Talleres</w:t>
            </w:r>
          </w:p>
        </w:tc>
        <w:tc>
          <w:tcPr>
            <w:tcW w:w="1170" w:type="dxa"/>
            <w:shd w:val="clear" w:color="auto" w:fill="auto"/>
            <w:vAlign w:val="center"/>
            <w:hideMark/>
          </w:tcPr>
          <w:p w:rsidR="006B490B" w:rsidRPr="00767435" w:rsidRDefault="006B490B" w:rsidP="00932FD7">
            <w:pPr>
              <w:jc w:val="center"/>
              <w:rPr>
                <w:sz w:val="20"/>
                <w:lang w:val="es-ES"/>
              </w:rPr>
            </w:pPr>
            <w:r w:rsidRPr="00767435">
              <w:rPr>
                <w:sz w:val="20"/>
                <w:lang w:val="es-ES"/>
              </w:rPr>
              <w:t>m</w:t>
            </w:r>
            <w:r w:rsidRPr="00767435">
              <w:rPr>
                <w:sz w:val="20"/>
                <w:vertAlign w:val="superscript"/>
                <w:lang w:val="es-ES"/>
              </w:rPr>
              <w:t>2</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0</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10.000</w:t>
            </w:r>
          </w:p>
        </w:tc>
        <w:tc>
          <w:tcPr>
            <w:tcW w:w="3258" w:type="dxa"/>
            <w:vMerge/>
            <w:vAlign w:val="center"/>
            <w:hideMark/>
          </w:tcPr>
          <w:p w:rsidR="006B490B" w:rsidRPr="00767435" w:rsidRDefault="006B490B" w:rsidP="00932FD7">
            <w:pPr>
              <w:rPr>
                <w:sz w:val="20"/>
                <w:lang w:val="es-ES"/>
              </w:rPr>
            </w:pPr>
          </w:p>
        </w:tc>
      </w:tr>
      <w:tr w:rsidR="00767435" w:rsidRPr="00767435" w:rsidTr="00044D97">
        <w:trPr>
          <w:trHeight w:val="345"/>
        </w:trPr>
        <w:tc>
          <w:tcPr>
            <w:tcW w:w="3618" w:type="dxa"/>
            <w:shd w:val="clear" w:color="auto" w:fill="auto"/>
            <w:vAlign w:val="center"/>
            <w:hideMark/>
          </w:tcPr>
          <w:p w:rsidR="006B490B" w:rsidRPr="00767435" w:rsidRDefault="006B490B" w:rsidP="00932FD7">
            <w:pPr>
              <w:rPr>
                <w:sz w:val="20"/>
                <w:lang w:val="es-ES"/>
              </w:rPr>
            </w:pPr>
            <w:r w:rsidRPr="00767435">
              <w:rPr>
                <w:sz w:val="20"/>
                <w:lang w:val="es-ES"/>
              </w:rPr>
              <w:t>Depósitos</w:t>
            </w:r>
          </w:p>
        </w:tc>
        <w:tc>
          <w:tcPr>
            <w:tcW w:w="1170" w:type="dxa"/>
            <w:shd w:val="clear" w:color="auto" w:fill="auto"/>
            <w:vAlign w:val="center"/>
            <w:hideMark/>
          </w:tcPr>
          <w:p w:rsidR="006B490B" w:rsidRPr="00767435" w:rsidRDefault="006B490B" w:rsidP="00932FD7">
            <w:pPr>
              <w:jc w:val="center"/>
              <w:rPr>
                <w:sz w:val="20"/>
                <w:lang w:val="es-ES"/>
              </w:rPr>
            </w:pPr>
            <w:r w:rsidRPr="00767435">
              <w:rPr>
                <w:sz w:val="20"/>
                <w:lang w:val="es-ES"/>
              </w:rPr>
              <w:t>m</w:t>
            </w:r>
            <w:r w:rsidRPr="00767435">
              <w:rPr>
                <w:sz w:val="20"/>
                <w:vertAlign w:val="superscript"/>
                <w:lang w:val="es-ES"/>
              </w:rPr>
              <w:t>2</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0</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10.000</w:t>
            </w:r>
          </w:p>
        </w:tc>
        <w:tc>
          <w:tcPr>
            <w:tcW w:w="3258" w:type="dxa"/>
            <w:vMerge/>
            <w:vAlign w:val="center"/>
            <w:hideMark/>
          </w:tcPr>
          <w:p w:rsidR="006B490B" w:rsidRPr="00767435" w:rsidRDefault="006B490B" w:rsidP="00932FD7">
            <w:pPr>
              <w:rPr>
                <w:sz w:val="20"/>
                <w:lang w:val="es-ES"/>
              </w:rPr>
            </w:pPr>
          </w:p>
        </w:tc>
      </w:tr>
      <w:tr w:rsidR="00767435" w:rsidRPr="00767435" w:rsidTr="00044D97">
        <w:trPr>
          <w:trHeight w:val="285"/>
        </w:trPr>
        <w:tc>
          <w:tcPr>
            <w:tcW w:w="3618" w:type="dxa"/>
            <w:shd w:val="clear" w:color="auto" w:fill="auto"/>
            <w:vAlign w:val="center"/>
            <w:hideMark/>
          </w:tcPr>
          <w:p w:rsidR="006B490B" w:rsidRPr="00767435" w:rsidRDefault="006B490B" w:rsidP="00932FD7">
            <w:pPr>
              <w:rPr>
                <w:sz w:val="20"/>
                <w:lang w:val="es-ES"/>
              </w:rPr>
            </w:pPr>
            <w:r w:rsidRPr="00767435">
              <w:rPr>
                <w:sz w:val="20"/>
                <w:lang w:val="es-ES"/>
              </w:rPr>
              <w:t>Cercos perimetrales</w:t>
            </w:r>
          </w:p>
        </w:tc>
        <w:tc>
          <w:tcPr>
            <w:tcW w:w="1170" w:type="dxa"/>
            <w:shd w:val="clear" w:color="auto" w:fill="auto"/>
            <w:vAlign w:val="center"/>
            <w:hideMark/>
          </w:tcPr>
          <w:p w:rsidR="006B490B" w:rsidRPr="00767435" w:rsidRDefault="006B490B" w:rsidP="00932FD7">
            <w:pPr>
              <w:jc w:val="center"/>
              <w:rPr>
                <w:sz w:val="20"/>
                <w:lang w:val="es-ES"/>
              </w:rPr>
            </w:pPr>
            <w:r w:rsidRPr="00767435">
              <w:rPr>
                <w:sz w:val="20"/>
                <w:lang w:val="es-ES"/>
              </w:rPr>
              <w:t>km</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0</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60</w:t>
            </w:r>
          </w:p>
        </w:tc>
        <w:tc>
          <w:tcPr>
            <w:tcW w:w="3258" w:type="dxa"/>
            <w:vMerge/>
            <w:vAlign w:val="center"/>
            <w:hideMark/>
          </w:tcPr>
          <w:p w:rsidR="006B490B" w:rsidRPr="00767435" w:rsidRDefault="006B490B" w:rsidP="00932FD7">
            <w:pPr>
              <w:rPr>
                <w:sz w:val="20"/>
                <w:lang w:val="es-ES"/>
              </w:rPr>
            </w:pPr>
          </w:p>
        </w:tc>
      </w:tr>
      <w:tr w:rsidR="00767435" w:rsidRPr="00767435" w:rsidTr="00044D97">
        <w:trPr>
          <w:trHeight w:val="285"/>
        </w:trPr>
        <w:tc>
          <w:tcPr>
            <w:tcW w:w="3618" w:type="dxa"/>
            <w:shd w:val="clear" w:color="auto" w:fill="auto"/>
            <w:vAlign w:val="center"/>
            <w:hideMark/>
          </w:tcPr>
          <w:p w:rsidR="006B490B" w:rsidRPr="00767435" w:rsidRDefault="006B490B" w:rsidP="00932FD7">
            <w:pPr>
              <w:rPr>
                <w:sz w:val="20"/>
                <w:lang w:val="es-ES"/>
              </w:rPr>
            </w:pPr>
            <w:r w:rsidRPr="00767435">
              <w:rPr>
                <w:sz w:val="20"/>
                <w:lang w:val="es-ES"/>
              </w:rPr>
              <w:t>Reparación Integral Obras de arte</w:t>
            </w:r>
          </w:p>
        </w:tc>
        <w:tc>
          <w:tcPr>
            <w:tcW w:w="1170" w:type="dxa"/>
            <w:shd w:val="clear" w:color="auto" w:fill="auto"/>
            <w:vAlign w:val="center"/>
            <w:hideMark/>
          </w:tcPr>
          <w:p w:rsidR="006B490B" w:rsidRPr="00767435" w:rsidRDefault="006B490B" w:rsidP="00932FD7">
            <w:pPr>
              <w:jc w:val="center"/>
              <w:rPr>
                <w:sz w:val="20"/>
                <w:lang w:val="es-ES"/>
              </w:rPr>
            </w:pPr>
            <w:r w:rsidRPr="00767435">
              <w:rPr>
                <w:sz w:val="20"/>
                <w:lang w:val="es-ES"/>
              </w:rPr>
              <w:t>unidad</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17</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87</w:t>
            </w:r>
          </w:p>
        </w:tc>
        <w:tc>
          <w:tcPr>
            <w:tcW w:w="3258" w:type="dxa"/>
            <w:vMerge/>
            <w:vAlign w:val="center"/>
            <w:hideMark/>
          </w:tcPr>
          <w:p w:rsidR="006B490B" w:rsidRPr="00767435" w:rsidRDefault="006B490B" w:rsidP="00932FD7">
            <w:pPr>
              <w:rPr>
                <w:sz w:val="20"/>
                <w:lang w:val="es-ES"/>
              </w:rPr>
            </w:pPr>
          </w:p>
        </w:tc>
      </w:tr>
      <w:tr w:rsidR="00767435" w:rsidRPr="00767435" w:rsidTr="00044D97">
        <w:trPr>
          <w:trHeight w:val="223"/>
        </w:trPr>
        <w:tc>
          <w:tcPr>
            <w:tcW w:w="3618" w:type="dxa"/>
            <w:shd w:val="clear" w:color="auto" w:fill="auto"/>
            <w:vAlign w:val="center"/>
            <w:hideMark/>
          </w:tcPr>
          <w:p w:rsidR="006B490B" w:rsidRPr="00767435" w:rsidRDefault="006B490B" w:rsidP="00932FD7">
            <w:pPr>
              <w:rPr>
                <w:sz w:val="20"/>
                <w:lang w:val="es-ES"/>
              </w:rPr>
            </w:pPr>
            <w:r w:rsidRPr="00767435">
              <w:rPr>
                <w:sz w:val="20"/>
                <w:lang w:val="es-ES"/>
              </w:rPr>
              <w:t>Viaductos</w:t>
            </w:r>
          </w:p>
        </w:tc>
        <w:tc>
          <w:tcPr>
            <w:tcW w:w="1170" w:type="dxa"/>
            <w:shd w:val="clear" w:color="auto" w:fill="auto"/>
            <w:vAlign w:val="center"/>
            <w:hideMark/>
          </w:tcPr>
          <w:p w:rsidR="006B490B" w:rsidRPr="00767435" w:rsidRDefault="006B490B" w:rsidP="00932FD7">
            <w:pPr>
              <w:jc w:val="center"/>
              <w:rPr>
                <w:sz w:val="20"/>
                <w:lang w:val="es-ES"/>
              </w:rPr>
            </w:pPr>
            <w:r w:rsidRPr="00767435">
              <w:rPr>
                <w:sz w:val="20"/>
                <w:lang w:val="es-ES"/>
              </w:rPr>
              <w:t>km</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0</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3</w:t>
            </w:r>
          </w:p>
        </w:tc>
        <w:tc>
          <w:tcPr>
            <w:tcW w:w="3258" w:type="dxa"/>
            <w:vMerge/>
            <w:vAlign w:val="center"/>
            <w:hideMark/>
          </w:tcPr>
          <w:p w:rsidR="006B490B" w:rsidRPr="00767435" w:rsidRDefault="006B490B" w:rsidP="00932FD7">
            <w:pPr>
              <w:rPr>
                <w:sz w:val="20"/>
                <w:lang w:val="es-ES"/>
              </w:rPr>
            </w:pPr>
          </w:p>
        </w:tc>
      </w:tr>
      <w:tr w:rsidR="00767435" w:rsidRPr="00767435" w:rsidTr="00044D97">
        <w:trPr>
          <w:trHeight w:val="285"/>
        </w:trPr>
        <w:tc>
          <w:tcPr>
            <w:tcW w:w="3618" w:type="dxa"/>
            <w:shd w:val="clear" w:color="auto" w:fill="auto"/>
            <w:vAlign w:val="center"/>
            <w:hideMark/>
          </w:tcPr>
          <w:p w:rsidR="006B490B" w:rsidRPr="00767435" w:rsidRDefault="006B490B" w:rsidP="00932FD7">
            <w:pPr>
              <w:rPr>
                <w:sz w:val="20"/>
                <w:lang w:val="es-ES"/>
              </w:rPr>
            </w:pPr>
            <w:r w:rsidRPr="00767435">
              <w:rPr>
                <w:sz w:val="20"/>
                <w:lang w:val="es-ES"/>
              </w:rPr>
              <w:t>Pasos bajo nivel</w:t>
            </w:r>
          </w:p>
        </w:tc>
        <w:tc>
          <w:tcPr>
            <w:tcW w:w="1170" w:type="dxa"/>
            <w:shd w:val="clear" w:color="auto" w:fill="auto"/>
            <w:vAlign w:val="center"/>
            <w:hideMark/>
          </w:tcPr>
          <w:p w:rsidR="006B490B" w:rsidRPr="00767435" w:rsidRDefault="006B490B" w:rsidP="00932FD7">
            <w:pPr>
              <w:jc w:val="center"/>
              <w:rPr>
                <w:sz w:val="20"/>
                <w:lang w:val="es-ES"/>
              </w:rPr>
            </w:pPr>
            <w:r w:rsidRPr="00767435">
              <w:rPr>
                <w:sz w:val="20"/>
                <w:lang w:val="es-ES"/>
              </w:rPr>
              <w:t>unidad</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0</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2</w:t>
            </w:r>
          </w:p>
        </w:tc>
        <w:tc>
          <w:tcPr>
            <w:tcW w:w="3258" w:type="dxa"/>
            <w:vMerge/>
            <w:vAlign w:val="center"/>
            <w:hideMark/>
          </w:tcPr>
          <w:p w:rsidR="006B490B" w:rsidRPr="00767435" w:rsidRDefault="006B490B" w:rsidP="00932FD7">
            <w:pPr>
              <w:rPr>
                <w:sz w:val="20"/>
                <w:lang w:val="es-ES"/>
              </w:rPr>
            </w:pPr>
          </w:p>
        </w:tc>
      </w:tr>
      <w:tr w:rsidR="00767435" w:rsidRPr="00767435" w:rsidTr="00044D97">
        <w:trPr>
          <w:trHeight w:val="270"/>
        </w:trPr>
        <w:tc>
          <w:tcPr>
            <w:tcW w:w="3618" w:type="dxa"/>
            <w:shd w:val="clear" w:color="auto" w:fill="auto"/>
            <w:vAlign w:val="center"/>
            <w:hideMark/>
          </w:tcPr>
          <w:p w:rsidR="006B490B" w:rsidRPr="00767435" w:rsidRDefault="006B490B" w:rsidP="00932FD7">
            <w:pPr>
              <w:rPr>
                <w:sz w:val="20"/>
                <w:lang w:val="es-ES"/>
              </w:rPr>
            </w:pPr>
            <w:r w:rsidRPr="00767435">
              <w:rPr>
                <w:sz w:val="20"/>
                <w:lang w:val="es-ES"/>
              </w:rPr>
              <w:t>Obras suplementarias de drenaje:</w:t>
            </w:r>
          </w:p>
        </w:tc>
        <w:tc>
          <w:tcPr>
            <w:tcW w:w="1170" w:type="dxa"/>
            <w:shd w:val="clear" w:color="auto" w:fill="auto"/>
            <w:vAlign w:val="center"/>
            <w:hideMark/>
          </w:tcPr>
          <w:p w:rsidR="006B490B" w:rsidRPr="00767435" w:rsidRDefault="006B490B" w:rsidP="00932FD7">
            <w:pPr>
              <w:jc w:val="center"/>
              <w:rPr>
                <w:sz w:val="20"/>
                <w:lang w:val="es-ES"/>
              </w:rPr>
            </w:pPr>
            <w:r w:rsidRPr="00767435">
              <w:rPr>
                <w:sz w:val="20"/>
                <w:lang w:val="es-ES"/>
              </w:rPr>
              <w:t>unidad</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0</w:t>
            </w:r>
          </w:p>
        </w:tc>
        <w:tc>
          <w:tcPr>
            <w:tcW w:w="900" w:type="dxa"/>
            <w:shd w:val="clear" w:color="auto" w:fill="auto"/>
            <w:vAlign w:val="center"/>
            <w:hideMark/>
          </w:tcPr>
          <w:p w:rsidR="006B490B" w:rsidRPr="00767435" w:rsidRDefault="006B490B" w:rsidP="00932FD7">
            <w:pPr>
              <w:jc w:val="center"/>
              <w:rPr>
                <w:sz w:val="20"/>
                <w:lang w:val="es-ES"/>
              </w:rPr>
            </w:pPr>
            <w:r w:rsidRPr="00767435">
              <w:rPr>
                <w:sz w:val="20"/>
                <w:lang w:val="es-ES"/>
              </w:rPr>
              <w:t>2</w:t>
            </w:r>
          </w:p>
        </w:tc>
        <w:tc>
          <w:tcPr>
            <w:tcW w:w="3258" w:type="dxa"/>
            <w:vMerge/>
            <w:vAlign w:val="center"/>
            <w:hideMark/>
          </w:tcPr>
          <w:p w:rsidR="006B490B" w:rsidRPr="00767435" w:rsidRDefault="006B490B" w:rsidP="00932FD7">
            <w:pPr>
              <w:rPr>
                <w:sz w:val="20"/>
                <w:lang w:val="es-ES"/>
              </w:rPr>
            </w:pPr>
          </w:p>
        </w:tc>
      </w:tr>
    </w:tbl>
    <w:p w:rsidR="005905E6" w:rsidRPr="00767435" w:rsidRDefault="005905E6" w:rsidP="000B72C4">
      <w:pPr>
        <w:pStyle w:val="Heading4"/>
        <w:tabs>
          <w:tab w:val="clear" w:pos="1440"/>
          <w:tab w:val="left" w:pos="720"/>
        </w:tabs>
        <w:ind w:hanging="1800"/>
        <w:rPr>
          <w:noProof w:val="0"/>
          <w:lang w:val="es-ES"/>
        </w:rPr>
      </w:pPr>
      <w:r w:rsidRPr="00767435">
        <w:rPr>
          <w:noProof w:val="0"/>
          <w:lang w:val="es-ES"/>
        </w:rPr>
        <w:t>Recopilación de datos e instrumentos</w:t>
      </w:r>
    </w:p>
    <w:p w:rsidR="005905E6" w:rsidRPr="00767435" w:rsidRDefault="005905E6" w:rsidP="00403DDE">
      <w:pPr>
        <w:pStyle w:val="AutoNumpara"/>
        <w:spacing w:before="80" w:after="80"/>
        <w:rPr>
          <w:noProof w:val="0"/>
          <w:lang w:val="es-ES"/>
        </w:rPr>
      </w:pPr>
      <w:r w:rsidRPr="00767435">
        <w:rPr>
          <w:noProof w:val="0"/>
          <w:lang w:val="es-ES"/>
        </w:rPr>
        <w:t xml:space="preserve">Los resultados serán monitoreados en función de los términos establecidos en el proyecto (anualmente, de medio término y al cierre), mientras que los productos serán monitoreados durante la ejecución del proyecto, a partir de hitos verificables, teniendo como insumos los informes trimestrales y semestrales, visitas de inspección y misiones de administración. </w:t>
      </w:r>
      <w:smartTag w:uri="urn:schemas-microsoft-com:office:smarttags" w:element="PersonName">
        <w:smartTagPr>
          <w:attr w:name="ProductID" w:val="la Representación"/>
        </w:smartTagPr>
        <w:r w:rsidRPr="00767435">
          <w:rPr>
            <w:noProof w:val="0"/>
            <w:lang w:val="es-ES"/>
          </w:rPr>
          <w:t>La Matriz</w:t>
        </w:r>
      </w:smartTag>
      <w:r w:rsidRPr="00767435">
        <w:rPr>
          <w:noProof w:val="0"/>
          <w:lang w:val="es-ES"/>
        </w:rPr>
        <w:t xml:space="preserve"> de Resultados provee hitos anuales y seguirá el progreso de los productos con unidades de medida claramente definidas y costos, y reportará el progreso respecto de la línea de base definida.</w:t>
      </w:r>
    </w:p>
    <w:p w:rsidR="005905E6" w:rsidRPr="00767435" w:rsidRDefault="005905E6" w:rsidP="005029F0">
      <w:pPr>
        <w:pStyle w:val="AutoNumpara"/>
        <w:spacing w:before="80" w:after="80"/>
        <w:rPr>
          <w:noProof w:val="0"/>
          <w:lang w:val="es-ES"/>
        </w:rPr>
      </w:pPr>
      <w:r w:rsidRPr="00767435">
        <w:rPr>
          <w:szCs w:val="24"/>
          <w:lang w:val="es-ES"/>
        </w:rPr>
        <w:t xml:space="preserve">Los indicadores de resultado y los productos y medios de verificación propuestos, optimizan el uso de la información que el ejecutor recolectará o preparará durante la ejecución del proyecto y aquella que será obtenida directa o indirectamente durante la ejecución de las actividades correspondientes. La totalidad de los productos y sus hitos, serán verificados en forma directa a partir de los informes de supervisión de las obras, los cuales se presentarán trimestralmente. </w:t>
      </w:r>
    </w:p>
    <w:p w:rsidR="005905E6" w:rsidRPr="00767435" w:rsidRDefault="005905E6" w:rsidP="00DA26D7">
      <w:pPr>
        <w:pStyle w:val="AutoNumpara"/>
        <w:tabs>
          <w:tab w:val="left" w:pos="720"/>
        </w:tabs>
        <w:spacing w:before="80" w:after="80"/>
        <w:rPr>
          <w:noProof w:val="0"/>
          <w:lang w:val="es-ES"/>
        </w:rPr>
      </w:pPr>
      <w:r w:rsidRPr="00767435">
        <w:rPr>
          <w:noProof w:val="0"/>
          <w:lang w:val="es-ES"/>
        </w:rPr>
        <w:t>Los reportes de ejecución trimestrales que preparará el ejecutor y que presentará al Banco en marzo y septiembre de cada año, contendrán un resumen de los informes de la supervisión de obras contratada.</w:t>
      </w:r>
    </w:p>
    <w:p w:rsidR="005905E6" w:rsidRPr="00767435" w:rsidRDefault="005905E6" w:rsidP="00DA26D7">
      <w:pPr>
        <w:pStyle w:val="AutoNumpara"/>
        <w:tabs>
          <w:tab w:val="left" w:pos="720"/>
        </w:tabs>
        <w:spacing w:before="80" w:after="80"/>
        <w:rPr>
          <w:noProof w:val="0"/>
          <w:lang w:val="es-ES"/>
        </w:rPr>
      </w:pPr>
      <w:r w:rsidRPr="00767435">
        <w:rPr>
          <w:noProof w:val="0"/>
          <w:lang w:val="es-ES"/>
        </w:rPr>
        <w:t xml:space="preserve">El costo de preparación de información para el seguimiento de la operación está mayormente incluido en el financiamiento del Banco (a través de los contratos de supervisión externa de obras) y el remanente forma parte del trabajo normal del ejecutor (seguimiento de contratos de consultoría). </w:t>
      </w:r>
    </w:p>
    <w:p w:rsidR="005905E6" w:rsidRPr="00767435" w:rsidRDefault="005905E6">
      <w:pPr>
        <w:pStyle w:val="AutoNumpara"/>
        <w:rPr>
          <w:noProof w:val="0"/>
          <w:lang w:val="es-ES"/>
        </w:rPr>
      </w:pPr>
      <w:r w:rsidRPr="00767435">
        <w:rPr>
          <w:noProof w:val="0"/>
          <w:lang w:val="es-ES"/>
        </w:rPr>
        <w:t>Para el seguimiento de la ejecución del Programa se utilizarán los siguientes instrumentos:</w:t>
      </w:r>
    </w:p>
    <w:p w:rsidR="005905E6" w:rsidRPr="00767435" w:rsidRDefault="005905E6" w:rsidP="00B10C03">
      <w:pPr>
        <w:pStyle w:val="AutoNumpara"/>
        <w:numPr>
          <w:ilvl w:val="0"/>
          <w:numId w:val="0"/>
        </w:numPr>
        <w:ind w:left="720"/>
        <w:rPr>
          <w:iCs/>
          <w:szCs w:val="24"/>
        </w:rPr>
      </w:pPr>
      <w:r w:rsidRPr="00767435">
        <w:rPr>
          <w:b/>
          <w:bCs/>
          <w:iCs/>
          <w:szCs w:val="24"/>
        </w:rPr>
        <w:t>Informe trimestral de progreso. </w:t>
      </w:r>
      <w:r w:rsidRPr="00767435">
        <w:rPr>
          <w:iCs/>
          <w:szCs w:val="24"/>
        </w:rPr>
        <w:t xml:space="preserve">Este informe tiene por finalidad presentar al Banco trimestralmente, los resultados alcanzados en la ejecución del proyecto en relación a la planificación del POA y el PA vigentes, incluyendo información sobre el estado de ejecución de los contratos y programa de inversiones del Proyecto. Asimismo, dichos informes indicarán los avances logrados en cada uno de los componentes en base a los indicadores de productos acordados bajo </w:t>
      </w:r>
      <w:smartTag w:uri="urn:schemas-microsoft-com:office:smarttags" w:element="PersonName">
        <w:smartTagPr>
          <w:attr w:name="ProductID" w:val="la Matriz"/>
        </w:smartTagPr>
        <w:r w:rsidRPr="00767435">
          <w:rPr>
            <w:iCs/>
            <w:szCs w:val="24"/>
          </w:rPr>
          <w:t>la Matriz</w:t>
        </w:r>
      </w:smartTag>
      <w:r w:rsidRPr="00767435">
        <w:rPr>
          <w:iCs/>
          <w:szCs w:val="24"/>
        </w:rPr>
        <w:t xml:space="preserve"> de Resultados del Proyecto. Los informes serán elaborados por </w:t>
      </w:r>
      <w:smartTag w:uri="urn:schemas-microsoft-com:office:smarttags" w:element="PersonName">
        <w:smartTagPr>
          <w:attr w:name="ProductID" w:val="la UEC"/>
        </w:smartTagPr>
        <w:r w:rsidRPr="00767435">
          <w:rPr>
            <w:iCs/>
            <w:szCs w:val="24"/>
          </w:rPr>
          <w:t>la UEC</w:t>
        </w:r>
      </w:smartTag>
      <w:r w:rsidRPr="00767435">
        <w:rPr>
          <w:iCs/>
          <w:szCs w:val="24"/>
        </w:rPr>
        <w:t xml:space="preserve"> y presentados al Banco a más tardar 30 días posteriores al cierre del primer y el tercer tirmestre del año.</w:t>
      </w:r>
    </w:p>
    <w:p w:rsidR="005905E6" w:rsidRPr="00767435" w:rsidRDefault="005905E6" w:rsidP="00B10C03">
      <w:pPr>
        <w:pStyle w:val="AutoNumpara"/>
        <w:numPr>
          <w:ilvl w:val="0"/>
          <w:numId w:val="0"/>
        </w:numPr>
        <w:ind w:left="720"/>
        <w:rPr>
          <w:iCs/>
          <w:szCs w:val="24"/>
        </w:rPr>
      </w:pPr>
      <w:r w:rsidRPr="00767435">
        <w:rPr>
          <w:iCs/>
          <w:szCs w:val="24"/>
          <w:lang w:val="es-ES"/>
        </w:rPr>
        <w:t xml:space="preserve">Este informe se presenta de acuerdo a un formato definido entre </w:t>
      </w:r>
      <w:smartTag w:uri="urn:schemas-microsoft-com:office:smarttags" w:element="PersonName">
        <w:smartTagPr>
          <w:attr w:name="ProductID" w:val="la Representación"/>
        </w:smartTagPr>
        <w:r w:rsidRPr="00767435">
          <w:rPr>
            <w:iCs/>
            <w:szCs w:val="24"/>
            <w:lang w:val="es-ES"/>
          </w:rPr>
          <w:t>la Representación</w:t>
        </w:r>
      </w:smartTag>
      <w:r w:rsidRPr="00767435">
        <w:rPr>
          <w:iCs/>
          <w:szCs w:val="24"/>
          <w:lang w:val="es-ES"/>
        </w:rPr>
        <w:t xml:space="preserve"> del Banco en Argentina y el prestatario, y se compone de:</w:t>
      </w:r>
    </w:p>
    <w:p w:rsidR="005905E6" w:rsidRPr="00767435" w:rsidRDefault="005905E6" w:rsidP="00B10C03">
      <w:pPr>
        <w:pStyle w:val="AutoNumpara"/>
        <w:numPr>
          <w:ilvl w:val="0"/>
          <w:numId w:val="17"/>
        </w:numPr>
        <w:rPr>
          <w:iCs/>
          <w:szCs w:val="24"/>
          <w:lang w:val="es-ES"/>
        </w:rPr>
      </w:pPr>
      <w:r w:rsidRPr="00767435">
        <w:rPr>
          <w:b/>
          <w:iCs/>
          <w:szCs w:val="24"/>
          <w:lang w:val="es-ES"/>
        </w:rPr>
        <w:t>Reporte Trimestral de Monitoreo.  </w:t>
      </w:r>
      <w:r w:rsidRPr="00767435">
        <w:rPr>
          <w:iCs/>
          <w:szCs w:val="24"/>
          <w:lang w:val="es-ES"/>
        </w:rPr>
        <w:t xml:space="preserve">Analiza la programación desarrollada vs. la planificada en referencia a los resultados del proyecto para el trimestre. Analiza el avance y logro de los productos e hitos definidos en la matriz de resultados, tanto física como financieramente. </w:t>
      </w:r>
    </w:p>
    <w:p w:rsidR="005905E6" w:rsidRPr="00767435" w:rsidRDefault="005905E6" w:rsidP="00F734B7">
      <w:pPr>
        <w:pStyle w:val="AutoNumpara"/>
        <w:numPr>
          <w:ilvl w:val="0"/>
          <w:numId w:val="0"/>
        </w:numPr>
        <w:ind w:left="720"/>
        <w:rPr>
          <w:b/>
          <w:iCs/>
          <w:szCs w:val="24"/>
          <w:lang w:val="es-ES"/>
        </w:rPr>
      </w:pPr>
    </w:p>
    <w:p w:rsidR="005905E6" w:rsidRPr="00767435" w:rsidRDefault="005905E6" w:rsidP="00F734B7">
      <w:pPr>
        <w:pStyle w:val="AutoNumpara"/>
        <w:numPr>
          <w:ilvl w:val="0"/>
          <w:numId w:val="0"/>
        </w:numPr>
        <w:ind w:left="720"/>
        <w:rPr>
          <w:iCs/>
          <w:szCs w:val="24"/>
          <w:lang w:val="es-ES"/>
        </w:rPr>
      </w:pPr>
      <w:r w:rsidRPr="00767435">
        <w:rPr>
          <w:b/>
          <w:iCs/>
          <w:szCs w:val="24"/>
          <w:lang w:val="es-ES"/>
        </w:rPr>
        <w:t xml:space="preserve">Informe semestral de progreso. </w:t>
      </w:r>
      <w:r w:rsidRPr="00767435">
        <w:rPr>
          <w:iCs/>
          <w:szCs w:val="24"/>
          <w:lang w:val="es-ES"/>
        </w:rPr>
        <w:t>Este instrumento, complementario a los informes trimestrales, tiene por finalidad presentar un reporte de la ejecución del proyecto, semestralmente, e incluye, además de lo contemplado en los informes trimestrales,  un análisis de los fondos desembolsados, el cumplimiento de las recomendaciones de auditoría externa, temas generales, lecciones aprendidas y los próximos pasos a seguir.</w:t>
      </w:r>
      <w:r w:rsidRPr="00767435">
        <w:rPr>
          <w:rStyle w:val="FootnoteReference"/>
          <w:iCs/>
          <w:szCs w:val="24"/>
          <w:lang w:val="es-ES"/>
        </w:rPr>
        <w:footnoteReference w:id="2"/>
      </w:r>
      <w:r w:rsidRPr="00767435">
        <w:rPr>
          <w:iCs/>
          <w:szCs w:val="24"/>
          <w:lang w:val="es-ES"/>
        </w:rPr>
        <w:t xml:space="preserve"> Los informes serán elaborados por </w:t>
      </w:r>
      <w:smartTag w:uri="urn:schemas-microsoft-com:office:smarttags" w:element="PersonName">
        <w:smartTagPr>
          <w:attr w:name="ProductID" w:val="la Representación"/>
        </w:smartTagPr>
        <w:r w:rsidRPr="00767435">
          <w:rPr>
            <w:iCs/>
            <w:szCs w:val="24"/>
            <w:lang w:val="es-ES"/>
          </w:rPr>
          <w:t>la UEC</w:t>
        </w:r>
      </w:smartTag>
      <w:r w:rsidRPr="00767435">
        <w:rPr>
          <w:iCs/>
          <w:szCs w:val="24"/>
          <w:lang w:val="es-ES"/>
        </w:rPr>
        <w:t xml:space="preserve"> y presentados al Banco a más tardar 30 días posteriores al cierre del segundo y cuarto trimestre del año. </w:t>
      </w:r>
    </w:p>
    <w:p w:rsidR="005905E6" w:rsidRPr="00767435" w:rsidRDefault="005905E6" w:rsidP="00F734B7">
      <w:pPr>
        <w:pStyle w:val="AutoNumpara"/>
        <w:numPr>
          <w:ilvl w:val="0"/>
          <w:numId w:val="0"/>
        </w:numPr>
        <w:ind w:left="720"/>
        <w:rPr>
          <w:iCs/>
          <w:szCs w:val="24"/>
          <w:lang w:val="es-ES"/>
        </w:rPr>
      </w:pPr>
      <w:r w:rsidRPr="00767435">
        <w:rPr>
          <w:iCs/>
          <w:szCs w:val="24"/>
          <w:lang w:val="es-ES"/>
        </w:rPr>
        <w:t xml:space="preserve">Este informe se presenta de acuerdo a un formato definido entre </w:t>
      </w:r>
      <w:smartTag w:uri="urn:schemas-microsoft-com:office:smarttags" w:element="PersonName">
        <w:smartTagPr>
          <w:attr w:name="ProductID" w:val="la Representación"/>
        </w:smartTagPr>
        <w:r w:rsidRPr="00767435">
          <w:rPr>
            <w:iCs/>
            <w:szCs w:val="24"/>
            <w:lang w:val="es-ES"/>
          </w:rPr>
          <w:t>la Representación</w:t>
        </w:r>
      </w:smartTag>
      <w:r w:rsidRPr="00767435">
        <w:rPr>
          <w:iCs/>
          <w:szCs w:val="24"/>
          <w:lang w:val="es-ES"/>
        </w:rPr>
        <w:t xml:space="preserve"> del Banco en Argentina y el prestatario, y se compone de los siguientes segmentos:</w:t>
      </w:r>
    </w:p>
    <w:p w:rsidR="005905E6" w:rsidRPr="00767435" w:rsidRDefault="005905E6" w:rsidP="003143AF">
      <w:pPr>
        <w:pStyle w:val="AutoNumpara"/>
        <w:numPr>
          <w:ilvl w:val="0"/>
          <w:numId w:val="44"/>
        </w:numPr>
        <w:rPr>
          <w:b/>
          <w:iCs/>
          <w:szCs w:val="24"/>
          <w:lang w:val="es-ES"/>
        </w:rPr>
      </w:pPr>
      <w:r w:rsidRPr="00767435">
        <w:rPr>
          <w:b/>
          <w:iCs/>
          <w:szCs w:val="24"/>
          <w:lang w:val="es-ES"/>
        </w:rPr>
        <w:t xml:space="preserve">Resumen Ejecutivo. </w:t>
      </w:r>
      <w:r w:rsidRPr="00767435">
        <w:rPr>
          <w:iCs/>
          <w:szCs w:val="24"/>
          <w:lang w:val="es-ES"/>
        </w:rPr>
        <w:t xml:space="preserve">Analiza la ejecución física y financiera del proyecto, y los contenidos desarrollados en el Reporte de Monitoreo del perìodo correspondiente. Incluye un análisis de los fondos desembolsados, el cumplimiento de las recomendaciones de auditoría externa, temas generales, lecciones aprendidas y los próximos pasos a seguir. </w:t>
      </w:r>
    </w:p>
    <w:p w:rsidR="005905E6" w:rsidRPr="00767435" w:rsidRDefault="005905E6" w:rsidP="00C462A4">
      <w:pPr>
        <w:pStyle w:val="AutoNumpara"/>
        <w:numPr>
          <w:ilvl w:val="0"/>
          <w:numId w:val="44"/>
        </w:numPr>
        <w:rPr>
          <w:b/>
          <w:iCs/>
          <w:szCs w:val="24"/>
          <w:lang w:val="es-ES"/>
        </w:rPr>
      </w:pPr>
      <w:r w:rsidRPr="00767435">
        <w:rPr>
          <w:b/>
          <w:iCs/>
          <w:szCs w:val="24"/>
          <w:lang w:val="es-ES"/>
        </w:rPr>
        <w:t xml:space="preserve">Reporte de Monitoreo. </w:t>
      </w:r>
      <w:r w:rsidRPr="00767435">
        <w:rPr>
          <w:iCs/>
          <w:szCs w:val="24"/>
          <w:lang w:val="es-ES"/>
        </w:rPr>
        <w:t>Provee la información general y de detalle de la operación. Analiza la programación desarrollada vs. la planificada en referencia a los resultados del proyecto. Analiza el avance y logro de los productos e hitos definidos en la matriz de resultados, tanto física como financieramente. Deberá incluir, como mínimo: i) cumplimiento de las condiciones contractuales; ii) descripción e información general sobre las actividades realizadas; iii) progreso en relación con los indicadores de ejecución y calendario de desembolsos convenido; iv) resumen de la situación financiera del Proyecto, incluyendo el pari passu del mismo; vi) descripción de los procesos de licitación llevados a cabo; vii) una sección sobre la gestión socioambiental del proyecto, incluyendo cronogramas, resultados y medidas implementadas para dar cumplimiento al IGAS.</w:t>
      </w:r>
    </w:p>
    <w:p w:rsidR="005905E6" w:rsidRPr="00767435" w:rsidRDefault="005905E6" w:rsidP="00C400B2">
      <w:pPr>
        <w:pStyle w:val="AutoNumpara"/>
        <w:numPr>
          <w:ilvl w:val="0"/>
          <w:numId w:val="44"/>
        </w:numPr>
        <w:rPr>
          <w:b/>
          <w:iCs/>
          <w:szCs w:val="24"/>
          <w:lang w:val="es-ES"/>
        </w:rPr>
      </w:pPr>
      <w:r w:rsidRPr="00767435">
        <w:rPr>
          <w:b/>
          <w:iCs/>
          <w:szCs w:val="24"/>
          <w:lang w:val="es-ES"/>
        </w:rPr>
        <w:t xml:space="preserve">Plan de Ejecución del Proyecto (PEP) y Plan Operativo Anual  (POA). </w:t>
      </w:r>
      <w:r w:rsidRPr="00767435">
        <w:rPr>
          <w:iCs/>
          <w:szCs w:val="24"/>
          <w:lang w:val="es-ES"/>
        </w:rPr>
        <w:t>El PEP se refiere a la planificación macro del proyecto y debe ser considerada plurianualmente.</w:t>
      </w:r>
    </w:p>
    <w:p w:rsidR="005905E6" w:rsidRPr="00767435" w:rsidRDefault="005905E6">
      <w:pPr>
        <w:pStyle w:val="AutoNumpara"/>
        <w:numPr>
          <w:ilvl w:val="0"/>
          <w:numId w:val="0"/>
        </w:numPr>
        <w:tabs>
          <w:tab w:val="left" w:pos="1080"/>
        </w:tabs>
        <w:ind w:left="1080"/>
        <w:rPr>
          <w:iCs/>
          <w:szCs w:val="24"/>
          <w:lang w:val="es-ES"/>
        </w:rPr>
      </w:pPr>
      <w:r w:rsidRPr="00767435">
        <w:rPr>
          <w:iCs/>
          <w:szCs w:val="24"/>
          <w:lang w:val="es-ES"/>
        </w:rPr>
        <w:t xml:space="preserve">El POA se refiere a la planificación físico-financiera anual y en detalle de la operación, de acuerdo a la gestión en la que se está desarrollando el proyecto. Las actividades desarrolladas en el POA, deben reflejar todas las consideradas, ya sean estas innherentes a los procesos de adquisición o no, para el logro de los hitos y productos correspondientes definidos. </w:t>
      </w:r>
    </w:p>
    <w:p w:rsidR="005905E6" w:rsidRPr="00767435" w:rsidRDefault="005905E6">
      <w:pPr>
        <w:pStyle w:val="AutoNumpara"/>
        <w:numPr>
          <w:ilvl w:val="0"/>
          <w:numId w:val="0"/>
        </w:numPr>
        <w:tabs>
          <w:tab w:val="left" w:pos="1080"/>
        </w:tabs>
        <w:ind w:left="1080"/>
        <w:rPr>
          <w:iCs/>
          <w:szCs w:val="24"/>
          <w:lang w:val="es-ES"/>
        </w:rPr>
      </w:pPr>
      <w:r w:rsidRPr="00767435">
        <w:rPr>
          <w:iCs/>
          <w:szCs w:val="24"/>
          <w:lang w:val="es-ES"/>
        </w:rPr>
        <w:t xml:space="preserve">Del POA, se determinará una línea base, la cual marcará el inicio de la operación y que servirá de punto de comparación con lo ejecutado efectivamente. Si bien el POA se presenta con el informe semestral de forma oficial, esta planificación es desarrollada como una herramienta de monitoreo y seguimiento continuo.  </w:t>
      </w:r>
    </w:p>
    <w:p w:rsidR="005905E6" w:rsidRPr="00767435" w:rsidRDefault="005905E6" w:rsidP="00FA4143">
      <w:pPr>
        <w:pStyle w:val="AutoNumpara"/>
        <w:numPr>
          <w:ilvl w:val="0"/>
          <w:numId w:val="0"/>
        </w:numPr>
        <w:tabs>
          <w:tab w:val="left" w:pos="1080"/>
        </w:tabs>
        <w:ind w:left="1080"/>
        <w:rPr>
          <w:iCs/>
          <w:szCs w:val="24"/>
          <w:lang w:val="es-ES"/>
        </w:rPr>
      </w:pPr>
      <w:r w:rsidRPr="00767435">
        <w:rPr>
          <w:iCs/>
          <w:szCs w:val="24"/>
          <w:lang w:val="es-ES"/>
        </w:rPr>
        <w:t>Tanto el PEP como el POA se desarrollan a partir de los productos definidos en la matriz de resultados.</w:t>
      </w:r>
    </w:p>
    <w:p w:rsidR="005905E6" w:rsidRPr="00767435" w:rsidRDefault="005905E6" w:rsidP="00C400B2">
      <w:pPr>
        <w:pStyle w:val="AutoNumpara"/>
        <w:numPr>
          <w:ilvl w:val="0"/>
          <w:numId w:val="44"/>
        </w:numPr>
        <w:rPr>
          <w:iCs/>
          <w:szCs w:val="24"/>
          <w:lang w:val="es-ES"/>
        </w:rPr>
      </w:pPr>
      <w:r w:rsidRPr="00767435">
        <w:rPr>
          <w:b/>
          <w:iCs/>
          <w:szCs w:val="24"/>
          <w:lang w:val="es-ES"/>
        </w:rPr>
        <w:t xml:space="preserve">Matriz de Riesgos, de acuerdo a la Gestión de Riesgos del Proyecto. </w:t>
      </w:r>
      <w:r w:rsidRPr="00767435">
        <w:rPr>
          <w:iCs/>
          <w:szCs w:val="24"/>
          <w:lang w:val="es-ES"/>
        </w:rPr>
        <w:t xml:space="preserve">La matriz de riesgos es un reflejo de la gestión de riesgos del proyecto y un recurso que integra los conocimientos, la experiencia y el interés por el manejo eficiente y eficaz de los recursos públicos. Como resultado del ejercicio de la Matriz de Riesgos se obtienen un conjunto de acciones que pueden mitigar o contrarrestar los riesgos que pueden afectar al proyecto. La matriz de riesgos se deberá actualizar de acuerdo al período que se determine en la operación, y se considerará la revisión de los riesgos identificados en cuanto a su probabilidad, impacto y causa; y la posibilidad de incorporar un nuevo riesgo o bien retirar alguno totalmente mitigado o evitado.  </w:t>
      </w:r>
    </w:p>
    <w:p w:rsidR="005905E6" w:rsidRPr="00767435" w:rsidRDefault="005905E6" w:rsidP="00C400B2">
      <w:pPr>
        <w:pStyle w:val="AutoNumpara"/>
        <w:numPr>
          <w:ilvl w:val="0"/>
          <w:numId w:val="44"/>
        </w:numPr>
        <w:rPr>
          <w:iCs/>
          <w:szCs w:val="24"/>
          <w:lang w:val="es-ES"/>
        </w:rPr>
      </w:pPr>
      <w:r w:rsidRPr="00767435">
        <w:rPr>
          <w:b/>
          <w:iCs/>
          <w:szCs w:val="24"/>
          <w:lang w:val="es-ES"/>
        </w:rPr>
        <w:t xml:space="preserve">Plan de Adquisiciones (PA). </w:t>
      </w:r>
      <w:r w:rsidRPr="00767435">
        <w:rPr>
          <w:iCs/>
          <w:szCs w:val="24"/>
          <w:lang w:val="es-ES"/>
        </w:rPr>
        <w:t xml:space="preserve"> Este instrumento tiene por finalidad  presentar al Banco y hacer público el detalle de todas las adquisiciones y contrataciones que serán efectuadas en un determinado periodo de ejecución del Programa. El PA informa sobre las adquisiciones y contratos que se ejecutaran de conformidad con las Políticas para  Adquisiciones de bienes y obras financiadas por el  Banco” (GN-2349-9) y las “Políticas para a Selección y contratación de consultorías financiadas por el Banco (GN-2350-9) de conformidad con lo establecido en el Contrato de Préstamo. El PA debe ser presentado junto con el POA, para consideración del Banco, y debe ser actualizado semestralmente o cuando sea  necesario, durante todo el período de ejecución del Programa, a través del Sistema de Ejecución de Planes de Adquisiciones (SEPA). </w:t>
      </w:r>
    </w:p>
    <w:p w:rsidR="005905E6" w:rsidRPr="00767435" w:rsidRDefault="005905E6" w:rsidP="0008547B">
      <w:pPr>
        <w:pStyle w:val="AutoNumpara"/>
        <w:rPr>
          <w:iCs/>
          <w:szCs w:val="24"/>
          <w:lang w:val="es-ES"/>
        </w:rPr>
      </w:pPr>
      <w:r w:rsidRPr="00767435">
        <w:rPr>
          <w:b/>
          <w:lang w:val="es-ES"/>
        </w:rPr>
        <w:t>Visitas de</w:t>
      </w:r>
      <w:r w:rsidRPr="00767435">
        <w:rPr>
          <w:b/>
          <w:bCs/>
          <w:lang w:val="es-ES"/>
        </w:rPr>
        <w:t xml:space="preserve"> Inspección Técnicas y Fiduciarias:</w:t>
      </w:r>
      <w:r w:rsidRPr="00767435">
        <w:rPr>
          <w:lang w:val="es-ES"/>
        </w:rPr>
        <w:t xml:space="preserve"> Serán realizadas por el Banco, con la finalidad de hacer seguimiento y monitorear la ejecución de las actividades del Programa. Estas visitas se podrán ver reflejadas en los planes de supervisión anuales desarrollados.</w:t>
      </w:r>
    </w:p>
    <w:p w:rsidR="005905E6" w:rsidRPr="00767435" w:rsidRDefault="005905E6" w:rsidP="0008547B">
      <w:pPr>
        <w:pStyle w:val="AutoNumpara"/>
        <w:rPr>
          <w:lang w:val="es-ES"/>
        </w:rPr>
      </w:pPr>
      <w:r w:rsidRPr="00767435">
        <w:rPr>
          <w:b/>
          <w:bCs/>
          <w:lang w:val="es-ES"/>
        </w:rPr>
        <w:t>Misión de Administración:</w:t>
      </w:r>
      <w:r w:rsidRPr="00767435">
        <w:rPr>
          <w:lang w:val="es-ES"/>
        </w:rPr>
        <w:t xml:space="preserve"> El Banco realizará anualmente misiones de Administración con el fin de analizar los avances del programa y  tratar temas  específicos identificados.</w:t>
      </w:r>
    </w:p>
    <w:p w:rsidR="005905E6" w:rsidRPr="00767435" w:rsidRDefault="005905E6" w:rsidP="005D1F9D">
      <w:pPr>
        <w:pStyle w:val="Heading4"/>
        <w:tabs>
          <w:tab w:val="clear" w:pos="1440"/>
          <w:tab w:val="left" w:pos="720"/>
        </w:tabs>
        <w:ind w:hanging="1800"/>
        <w:rPr>
          <w:noProof w:val="0"/>
          <w:lang w:val="es-ES"/>
        </w:rPr>
      </w:pPr>
      <w:r w:rsidRPr="00767435">
        <w:rPr>
          <w:noProof w:val="0"/>
          <w:lang w:val="es-ES"/>
        </w:rPr>
        <w:t>Reportes</w:t>
      </w:r>
    </w:p>
    <w:p w:rsidR="005905E6" w:rsidRPr="00767435" w:rsidRDefault="005905E6" w:rsidP="005D1F9D">
      <w:pPr>
        <w:pStyle w:val="AutoNumpara"/>
        <w:spacing w:before="80" w:after="80"/>
        <w:rPr>
          <w:noProof w:val="0"/>
          <w:lang w:val="es-ES"/>
        </w:rPr>
      </w:pPr>
      <w:r w:rsidRPr="00767435">
        <w:rPr>
          <w:b/>
          <w:noProof w:val="0"/>
          <w:lang w:val="es-ES"/>
        </w:rPr>
        <w:t>Informes trimestrales y semestrales de Progreso</w:t>
      </w:r>
      <w:r w:rsidRPr="00767435">
        <w:rPr>
          <w:noProof w:val="0"/>
          <w:lang w:val="es-ES"/>
        </w:rPr>
        <w:t>. El ejecutor elaborará y presentará los informes de progreso de la ejecución de la operación de conformidad con las normas que al respecto acuerden con el Banco, y a lo indicado en la sección precedente. Estos reportes servirán de insumo para la elaboración del PMR.</w:t>
      </w:r>
    </w:p>
    <w:p w:rsidR="005905E6" w:rsidRPr="00767435" w:rsidRDefault="005905E6" w:rsidP="005D1F9D">
      <w:pPr>
        <w:pStyle w:val="AutoNumpara"/>
        <w:spacing w:before="80" w:after="80"/>
        <w:rPr>
          <w:noProof w:val="0"/>
          <w:lang w:val="es-ES"/>
        </w:rPr>
      </w:pPr>
      <w:r w:rsidRPr="00767435">
        <w:rPr>
          <w:noProof w:val="0"/>
          <w:lang w:val="es-ES"/>
        </w:rPr>
        <w:t>Los resultados de seguimiento estarán disponibles cuando se aprueben los informes PMR y a través de los mecanismos de acceso a la información que se les atribuyan. En casos especiales, o siempre que sea necesario, los resúmenes de los informes PMR podrán ser distribuidos para cumplir con necesidades particulares de comunicación de información de seguimiento.</w:t>
      </w:r>
    </w:p>
    <w:p w:rsidR="005905E6" w:rsidRPr="00767435" w:rsidRDefault="005905E6" w:rsidP="005D1F9D">
      <w:pPr>
        <w:pStyle w:val="Heading4"/>
        <w:tabs>
          <w:tab w:val="clear" w:pos="1440"/>
          <w:tab w:val="left" w:pos="720"/>
        </w:tabs>
        <w:ind w:hanging="1800"/>
        <w:rPr>
          <w:noProof w:val="0"/>
          <w:lang w:val="es-ES"/>
        </w:rPr>
      </w:pPr>
      <w:r w:rsidRPr="00767435">
        <w:rPr>
          <w:noProof w:val="0"/>
          <w:lang w:val="es-ES"/>
        </w:rPr>
        <w:t>Coordinación, plan de trabajo y presupuesto del seguimiento</w:t>
      </w:r>
    </w:p>
    <w:p w:rsidR="005905E6" w:rsidRPr="00767435" w:rsidRDefault="005905E6" w:rsidP="00064E6E">
      <w:pPr>
        <w:pStyle w:val="AutoNumpara"/>
        <w:rPr>
          <w:szCs w:val="24"/>
          <w:lang w:val="es-ES"/>
        </w:rPr>
      </w:pPr>
      <w:r w:rsidRPr="00767435">
        <w:rPr>
          <w:lang w:val="es-ES"/>
        </w:rPr>
        <w:t xml:space="preserve">El seguimiento consistirá en verificar si las actividades realizadas se ajustan a lo previsto en el POA y PEP de la operación, y si se han cumplido los objetivos específicos de acuerdo a la Matriz de Resultados de la misma. El seguimiento se enfocará, entre otras, a constatar </w:t>
      </w:r>
      <w:r w:rsidRPr="00767435">
        <w:rPr>
          <w:szCs w:val="24"/>
          <w:lang w:val="es-ES"/>
        </w:rPr>
        <w:t xml:space="preserve">los avances físicos de las obras, y el cumplimiento de las salvaguardas ambientales y sociales, es decir si se produjeron las obras originalmente planeadas en los plazos programados, y si se ajustan a los productos y objetivos originalmente propuestos, con las medidas de mitigación diseñadas. </w:t>
      </w:r>
    </w:p>
    <w:p w:rsidR="005905E6" w:rsidRPr="00767435" w:rsidRDefault="005905E6" w:rsidP="00064E6E">
      <w:pPr>
        <w:pStyle w:val="AutoNumpara"/>
        <w:rPr>
          <w:noProof w:val="0"/>
          <w:lang w:val="es-ES"/>
        </w:rPr>
      </w:pPr>
      <w:r w:rsidRPr="00767435">
        <w:rPr>
          <w:szCs w:val="24"/>
          <w:lang w:val="es-ES"/>
        </w:rPr>
        <w:t>Asimismo, el ejecutor presentará, a más tardar el 30 de noviembre de cada año, el Plan Operativo Anual (POA) para el año siguiente incluyendo actividades y proyectos a ser financiados, cronograma y presupuesto estimado</w:t>
      </w:r>
    </w:p>
    <w:p w:rsidR="005905E6" w:rsidRPr="00767435" w:rsidRDefault="005905E6">
      <w:pPr>
        <w:pStyle w:val="AutoNumpara"/>
        <w:rPr>
          <w:lang w:val="es-ES"/>
        </w:rPr>
      </w:pPr>
      <w:r w:rsidRPr="00767435">
        <w:rPr>
          <w:lang w:val="es-ES"/>
        </w:rPr>
        <w:t xml:space="preserve">Se realizarán anualmente auditorías externas que se encargarán de los aspectos financieros. La auditoría será desempeñada por una firma independiente y aceptable por el Banco. Los estados financieros anuales de la operación serán presentados durante los primeros 120 días del año. El costo de las auditorias está incluido en el Préstamo.  </w:t>
      </w:r>
    </w:p>
    <w:p w:rsidR="005905E6" w:rsidRPr="00767435" w:rsidRDefault="005905E6">
      <w:pPr>
        <w:pStyle w:val="AutoNumpara"/>
        <w:rPr>
          <w:szCs w:val="24"/>
          <w:lang w:val="es-ES"/>
        </w:rPr>
      </w:pPr>
      <w:r w:rsidRPr="00767435">
        <w:rPr>
          <w:lang w:val="es-ES"/>
        </w:rPr>
        <w:t xml:space="preserve">El ejecutor verificará el progreso de las actividades del programa. Para lo cual realizará las siguientes funciones: (i) compilar la información periódica de avance físico (actividades) y financiero (fondos disponibles e invertidos); y (ii) mantener de forma, actualizada y relevante la información sobre la ejecución de las actividades del programa y sus recursos. </w:t>
      </w:r>
    </w:p>
    <w:p w:rsidR="005905E6" w:rsidRPr="00767435" w:rsidRDefault="005905E6" w:rsidP="005029F0">
      <w:pPr>
        <w:pStyle w:val="AutoNumpara"/>
        <w:spacing w:before="80" w:after="80"/>
        <w:rPr>
          <w:noProof w:val="0"/>
          <w:lang w:val="es-ES"/>
        </w:rPr>
      </w:pPr>
      <w:r w:rsidRPr="00767435">
        <w:rPr>
          <w:noProof w:val="0"/>
          <w:lang w:val="es-ES"/>
        </w:rPr>
        <w:t>El Especialista de Sector y Analista de Operaciones del Banco a cargo del Proyecto y el ejecutor trabajarán coordinadamente para asegurar y verificar la ejecución del cronograma del proyecto.</w:t>
      </w:r>
    </w:p>
    <w:p w:rsidR="005905E6" w:rsidRPr="00767435" w:rsidRDefault="005905E6" w:rsidP="005029F0">
      <w:pPr>
        <w:pStyle w:val="AutoNumpara"/>
        <w:spacing w:before="80" w:after="80"/>
        <w:rPr>
          <w:noProof w:val="0"/>
          <w:lang w:val="es-ES"/>
        </w:rPr>
      </w:pPr>
      <w:r w:rsidRPr="00767435">
        <w:rPr>
          <w:noProof w:val="0"/>
          <w:lang w:val="es-ES"/>
        </w:rPr>
        <w:t>El seguimiento del Programa se realizará de forma continua a partir de la elegibilidad de la operación y hasta la finalización del mismo, pautada para 2018.</w:t>
      </w:r>
    </w:p>
    <w:p w:rsidR="005905E6" w:rsidRPr="00767435" w:rsidRDefault="005905E6" w:rsidP="005029F0">
      <w:pPr>
        <w:pStyle w:val="AutoNumpara"/>
        <w:spacing w:before="80" w:after="80"/>
        <w:rPr>
          <w:noProof w:val="0"/>
          <w:lang w:val="es-ES"/>
        </w:rPr>
      </w:pPr>
      <w:r w:rsidRPr="00767435">
        <w:rPr>
          <w:noProof w:val="0"/>
          <w:lang w:val="es-ES"/>
        </w:rPr>
        <w:t>El financiamiento del seguimiento del Programa queda asegurado por el financiamiento del Banco y por los presupuestos de funcionamiento del ejecutor.</w:t>
      </w:r>
    </w:p>
    <w:p w:rsidR="005905E6" w:rsidRPr="00767435" w:rsidRDefault="005905E6" w:rsidP="00332D8A">
      <w:pPr>
        <w:pStyle w:val="ColorfulList-Accent11"/>
        <w:ind w:left="0"/>
        <w:rPr>
          <w:rFonts w:ascii="Times New Roman" w:hAnsi="Times New Roman"/>
          <w:sz w:val="24"/>
          <w:szCs w:val="24"/>
          <w:lang w:val="es-ES"/>
        </w:rPr>
        <w:sectPr w:rsidR="005905E6" w:rsidRPr="00767435" w:rsidSect="00517CE4">
          <w:pgSz w:w="12240" w:h="15840"/>
          <w:pgMar w:top="720" w:right="1170" w:bottom="1350" w:left="1440" w:header="720" w:footer="720" w:gutter="0"/>
          <w:cols w:space="720"/>
          <w:docGrid w:linePitch="360"/>
        </w:sectPr>
      </w:pPr>
    </w:p>
    <w:p w:rsidR="005905E6" w:rsidRPr="00767435" w:rsidRDefault="005905E6" w:rsidP="00D03B40">
      <w:pPr>
        <w:jc w:val="center"/>
        <w:rPr>
          <w:b/>
          <w:sz w:val="20"/>
          <w:lang w:val="es-ES"/>
        </w:rPr>
      </w:pPr>
      <w:r w:rsidRPr="00767435">
        <w:rPr>
          <w:b/>
          <w:sz w:val="20"/>
          <w:lang w:val="es-ES"/>
        </w:rPr>
        <w:t>Cuadro 2</w:t>
      </w:r>
      <w:r w:rsidRPr="00767435">
        <w:rPr>
          <w:b/>
          <w:sz w:val="20"/>
          <w:lang w:val="es-ES"/>
        </w:rPr>
        <w:br/>
        <w:t>Plan de trabajo de seguimiento</w:t>
      </w:r>
    </w:p>
    <w:tbl>
      <w:tblPr>
        <w:tblW w:w="14508" w:type="dxa"/>
        <w:tblLook w:val="00A0" w:firstRow="1" w:lastRow="0" w:firstColumn="1" w:lastColumn="0" w:noHBand="0" w:noVBand="0"/>
      </w:tblPr>
      <w:tblGrid>
        <w:gridCol w:w="3059"/>
        <w:gridCol w:w="339"/>
        <w:gridCol w:w="339"/>
        <w:gridCol w:w="339"/>
        <w:gridCol w:w="340"/>
        <w:gridCol w:w="340"/>
        <w:gridCol w:w="340"/>
        <w:gridCol w:w="341"/>
        <w:gridCol w:w="341"/>
        <w:gridCol w:w="341"/>
        <w:gridCol w:w="341"/>
        <w:gridCol w:w="341"/>
        <w:gridCol w:w="341"/>
        <w:gridCol w:w="341"/>
        <w:gridCol w:w="341"/>
        <w:gridCol w:w="341"/>
        <w:gridCol w:w="341"/>
        <w:gridCol w:w="306"/>
        <w:gridCol w:w="306"/>
        <w:gridCol w:w="306"/>
        <w:gridCol w:w="306"/>
        <w:gridCol w:w="1178"/>
        <w:gridCol w:w="1906"/>
        <w:gridCol w:w="1694"/>
      </w:tblGrid>
      <w:tr w:rsidR="005905E6" w:rsidRPr="00767435" w:rsidTr="00E872A9">
        <w:trPr>
          <w:trHeight w:val="315"/>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spacing w:val="0"/>
                <w:sz w:val="18"/>
                <w:szCs w:val="18"/>
                <w:lang w:val="es-ES"/>
              </w:rPr>
              <w:t>Actividades de Monitoreo</w:t>
            </w:r>
          </w:p>
        </w:tc>
        <w:tc>
          <w:tcPr>
            <w:tcW w:w="1357" w:type="dxa"/>
            <w:gridSpan w:val="4"/>
            <w:tcBorders>
              <w:top w:val="single" w:sz="4" w:space="0" w:color="auto"/>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2014</w:t>
            </w:r>
          </w:p>
        </w:tc>
        <w:tc>
          <w:tcPr>
            <w:tcW w:w="1362" w:type="dxa"/>
            <w:gridSpan w:val="4"/>
            <w:tcBorders>
              <w:top w:val="single" w:sz="4" w:space="0" w:color="auto"/>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2015</w:t>
            </w:r>
          </w:p>
        </w:tc>
        <w:tc>
          <w:tcPr>
            <w:tcW w:w="1364" w:type="dxa"/>
            <w:gridSpan w:val="4"/>
            <w:tcBorders>
              <w:top w:val="single" w:sz="4" w:space="0" w:color="auto"/>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spacing w:val="0"/>
                <w:sz w:val="18"/>
                <w:szCs w:val="18"/>
                <w:lang w:val="es-ES"/>
              </w:rPr>
              <w:t>2016</w:t>
            </w:r>
          </w:p>
        </w:tc>
        <w:tc>
          <w:tcPr>
            <w:tcW w:w="1364" w:type="dxa"/>
            <w:gridSpan w:val="4"/>
            <w:tcBorders>
              <w:top w:val="single" w:sz="4" w:space="0" w:color="auto"/>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spacing w:val="0"/>
                <w:sz w:val="18"/>
                <w:szCs w:val="18"/>
                <w:lang w:val="es-ES"/>
              </w:rPr>
              <w:t>2017</w:t>
            </w:r>
          </w:p>
        </w:tc>
        <w:tc>
          <w:tcPr>
            <w:tcW w:w="1224" w:type="dxa"/>
            <w:gridSpan w:val="4"/>
            <w:tcBorders>
              <w:top w:val="single" w:sz="4" w:space="0" w:color="auto"/>
              <w:left w:val="single" w:sz="4" w:space="0" w:color="auto"/>
              <w:bottom w:val="single" w:sz="4" w:space="0" w:color="auto"/>
              <w:right w:val="single" w:sz="4" w:space="0" w:color="auto"/>
            </w:tcBorders>
            <w:vAlign w:val="center"/>
          </w:tcPr>
          <w:p w:rsidR="005905E6" w:rsidRPr="00767435" w:rsidRDefault="005905E6" w:rsidP="003D6D05">
            <w:pPr>
              <w:jc w:val="center"/>
              <w:rPr>
                <w:spacing w:val="0"/>
                <w:sz w:val="18"/>
                <w:szCs w:val="18"/>
                <w:lang w:val="es-ES"/>
              </w:rPr>
            </w:pPr>
            <w:r w:rsidRPr="00767435">
              <w:rPr>
                <w:spacing w:val="0"/>
                <w:sz w:val="18"/>
                <w:szCs w:val="18"/>
                <w:lang w:val="es-ES"/>
              </w:rPr>
              <w:t>2018</w:t>
            </w:r>
          </w:p>
        </w:tc>
        <w:tc>
          <w:tcPr>
            <w:tcW w:w="1178"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spacing w:val="0"/>
                <w:sz w:val="18"/>
                <w:szCs w:val="18"/>
                <w:lang w:val="es-ES"/>
              </w:rPr>
              <w:t>Fuente</w:t>
            </w:r>
          </w:p>
        </w:tc>
        <w:tc>
          <w:tcPr>
            <w:tcW w:w="1906"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Costo</w:t>
            </w:r>
          </w:p>
        </w:tc>
        <w:tc>
          <w:tcPr>
            <w:tcW w:w="1694" w:type="dxa"/>
            <w:tcBorders>
              <w:top w:val="single" w:sz="4" w:space="0" w:color="auto"/>
              <w:left w:val="single" w:sz="4" w:space="0" w:color="auto"/>
              <w:bottom w:val="single" w:sz="4" w:space="0" w:color="auto"/>
              <w:right w:val="single" w:sz="4" w:space="0" w:color="auto"/>
            </w:tcBorders>
            <w:vAlign w:val="center"/>
          </w:tcPr>
          <w:p w:rsidR="005905E6" w:rsidRPr="00767435" w:rsidRDefault="006D7DD7" w:rsidP="00592966">
            <w:pPr>
              <w:jc w:val="center"/>
              <w:rPr>
                <w:spacing w:val="0"/>
                <w:sz w:val="18"/>
                <w:szCs w:val="18"/>
                <w:lang w:val="es-ES"/>
              </w:rPr>
            </w:pPr>
            <w:r>
              <w:rPr>
                <w:rFonts w:eastAsia="Batang"/>
                <w:spacing w:val="0"/>
                <w:sz w:val="18"/>
                <w:szCs w:val="18"/>
                <w:lang w:val="es-ES"/>
              </w:rPr>
              <w:t>Financiación</w:t>
            </w:r>
          </w:p>
        </w:tc>
      </w:tr>
      <w:tr w:rsidR="005905E6" w:rsidRPr="00767435" w:rsidTr="008C2E13">
        <w:trPr>
          <w:trHeight w:val="300"/>
        </w:trPr>
        <w:tc>
          <w:tcPr>
            <w:tcW w:w="3059" w:type="dxa"/>
            <w:vMerge/>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rPr>
                <w:spacing w:val="0"/>
                <w:sz w:val="18"/>
                <w:szCs w:val="18"/>
                <w:lang w:val="es-ES"/>
              </w:rPr>
            </w:pPr>
          </w:p>
        </w:tc>
        <w:tc>
          <w:tcPr>
            <w:tcW w:w="339"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1</w:t>
            </w:r>
          </w:p>
        </w:tc>
        <w:tc>
          <w:tcPr>
            <w:tcW w:w="339"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2</w:t>
            </w:r>
          </w:p>
        </w:tc>
        <w:tc>
          <w:tcPr>
            <w:tcW w:w="339"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3</w:t>
            </w:r>
          </w:p>
        </w:tc>
        <w:tc>
          <w:tcPr>
            <w:tcW w:w="340"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4</w:t>
            </w:r>
          </w:p>
        </w:tc>
        <w:tc>
          <w:tcPr>
            <w:tcW w:w="340"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1</w:t>
            </w:r>
          </w:p>
        </w:tc>
        <w:tc>
          <w:tcPr>
            <w:tcW w:w="340"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2</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3</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4</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1</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2</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3</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4</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1</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2</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3</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jc w:val="center"/>
              <w:rPr>
                <w:spacing w:val="0"/>
                <w:sz w:val="18"/>
                <w:szCs w:val="18"/>
                <w:lang w:val="es-ES"/>
              </w:rPr>
            </w:pPr>
            <w:r w:rsidRPr="00767435">
              <w:rPr>
                <w:rFonts w:eastAsia="Batang"/>
                <w:spacing w:val="0"/>
                <w:sz w:val="18"/>
                <w:szCs w:val="18"/>
                <w:lang w:val="es-ES"/>
              </w:rPr>
              <w:t>4</w:t>
            </w:r>
          </w:p>
        </w:tc>
        <w:tc>
          <w:tcPr>
            <w:tcW w:w="306"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D3708A">
            <w:pPr>
              <w:jc w:val="center"/>
              <w:rPr>
                <w:spacing w:val="0"/>
                <w:sz w:val="18"/>
                <w:szCs w:val="18"/>
                <w:lang w:val="es-ES"/>
              </w:rPr>
            </w:pPr>
            <w:r w:rsidRPr="00767435">
              <w:rPr>
                <w:rFonts w:eastAsia="Batang"/>
                <w:spacing w:val="0"/>
                <w:sz w:val="18"/>
                <w:szCs w:val="18"/>
                <w:lang w:val="es-ES"/>
              </w:rPr>
              <w:t>1</w:t>
            </w:r>
          </w:p>
        </w:tc>
        <w:tc>
          <w:tcPr>
            <w:tcW w:w="306"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D3708A">
            <w:pPr>
              <w:jc w:val="center"/>
              <w:rPr>
                <w:spacing w:val="0"/>
                <w:sz w:val="18"/>
                <w:szCs w:val="18"/>
                <w:lang w:val="es-ES"/>
              </w:rPr>
            </w:pPr>
            <w:r w:rsidRPr="00767435">
              <w:rPr>
                <w:rFonts w:eastAsia="Batang"/>
                <w:spacing w:val="0"/>
                <w:sz w:val="18"/>
                <w:szCs w:val="18"/>
                <w:lang w:val="es-ES"/>
              </w:rPr>
              <w:t>2</w:t>
            </w:r>
          </w:p>
        </w:tc>
        <w:tc>
          <w:tcPr>
            <w:tcW w:w="306"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D3708A">
            <w:pPr>
              <w:jc w:val="center"/>
              <w:rPr>
                <w:spacing w:val="0"/>
                <w:sz w:val="18"/>
                <w:szCs w:val="18"/>
                <w:lang w:val="es-ES"/>
              </w:rPr>
            </w:pPr>
            <w:r w:rsidRPr="00767435">
              <w:rPr>
                <w:rFonts w:eastAsia="Batang"/>
                <w:spacing w:val="0"/>
                <w:sz w:val="18"/>
                <w:szCs w:val="18"/>
                <w:lang w:val="es-ES"/>
              </w:rPr>
              <w:t>3</w:t>
            </w:r>
          </w:p>
        </w:tc>
        <w:tc>
          <w:tcPr>
            <w:tcW w:w="306"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D3708A">
            <w:pPr>
              <w:jc w:val="center"/>
              <w:rPr>
                <w:spacing w:val="0"/>
                <w:sz w:val="18"/>
                <w:szCs w:val="18"/>
                <w:lang w:val="es-ES"/>
              </w:rPr>
            </w:pPr>
            <w:r w:rsidRPr="00767435">
              <w:rPr>
                <w:rFonts w:eastAsia="Batang"/>
                <w:spacing w:val="0"/>
                <w:sz w:val="18"/>
                <w:szCs w:val="18"/>
                <w:lang w:val="es-ES"/>
              </w:rPr>
              <w:t>4</w:t>
            </w:r>
          </w:p>
        </w:tc>
        <w:tc>
          <w:tcPr>
            <w:tcW w:w="1178"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rPr>
                <w:spacing w:val="0"/>
                <w:sz w:val="18"/>
                <w:szCs w:val="18"/>
                <w:lang w:val="es-ES"/>
              </w:rPr>
            </w:pPr>
          </w:p>
        </w:tc>
        <w:tc>
          <w:tcPr>
            <w:tcW w:w="1906"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rPr>
                <w:spacing w:val="0"/>
                <w:sz w:val="18"/>
                <w:szCs w:val="18"/>
                <w:lang w:val="es-ES"/>
              </w:rPr>
            </w:pPr>
          </w:p>
        </w:tc>
        <w:tc>
          <w:tcPr>
            <w:tcW w:w="1694"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rPr>
                <w:spacing w:val="0"/>
                <w:sz w:val="18"/>
                <w:szCs w:val="18"/>
                <w:lang w:val="es-ES"/>
              </w:rPr>
            </w:pPr>
          </w:p>
        </w:tc>
      </w:tr>
      <w:tr w:rsidR="005905E6" w:rsidRPr="00767435" w:rsidTr="008C2E13">
        <w:trPr>
          <w:trHeight w:val="675"/>
        </w:trPr>
        <w:tc>
          <w:tcPr>
            <w:tcW w:w="3059"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Preparación Plan Operativo Anual</w:t>
            </w:r>
          </w:p>
        </w:tc>
        <w:tc>
          <w:tcPr>
            <w:tcW w:w="339"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rFonts w:ascii="Baskerville Old Face" w:hAnsi="Baskerville Old Face" w:cs="Calibri"/>
                <w:spacing w:val="0"/>
                <w:sz w:val="18"/>
                <w:szCs w:val="18"/>
                <w:lang w:val="es-ES"/>
              </w:rPr>
            </w:pPr>
            <w:r w:rsidRPr="00767435">
              <w:rPr>
                <w:rFonts w:ascii="Baskerville Old Face" w:hAnsi="Baskerville Old Face" w:cs="Calibri"/>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06" w:type="dxa"/>
            <w:tcBorders>
              <w:top w:val="single" w:sz="4" w:space="0" w:color="auto"/>
              <w:left w:val="nil"/>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ST</w:t>
            </w:r>
          </w:p>
        </w:tc>
        <w:tc>
          <w:tcPr>
            <w:tcW w:w="1906" w:type="dxa"/>
            <w:tcBorders>
              <w:top w:val="nil"/>
              <w:left w:val="nil"/>
              <w:bottom w:val="single" w:sz="4" w:space="0" w:color="auto"/>
              <w:right w:val="single" w:sz="4" w:space="0" w:color="auto"/>
            </w:tcBorders>
            <w:vAlign w:val="center"/>
          </w:tcPr>
          <w:p w:rsidR="005905E6" w:rsidRPr="00767435" w:rsidRDefault="005905E6" w:rsidP="008361EA">
            <w:pPr>
              <w:rPr>
                <w:spacing w:val="0"/>
                <w:sz w:val="16"/>
                <w:szCs w:val="16"/>
                <w:lang w:val="es-ES"/>
              </w:rPr>
            </w:pPr>
            <w:r w:rsidRPr="00767435">
              <w:rPr>
                <w:spacing w:val="0"/>
                <w:sz w:val="16"/>
                <w:szCs w:val="16"/>
                <w:lang w:val="es-ES"/>
              </w:rPr>
              <w:t>5 días/año x 2 persona  x 5 años  x US$250 = US$12.500</w:t>
            </w:r>
          </w:p>
        </w:tc>
        <w:tc>
          <w:tcPr>
            <w:tcW w:w="1694" w:type="dxa"/>
            <w:tcBorders>
              <w:top w:val="nil"/>
              <w:left w:val="nil"/>
              <w:bottom w:val="single" w:sz="4" w:space="0" w:color="auto"/>
              <w:right w:val="single" w:sz="4" w:space="0" w:color="auto"/>
            </w:tcBorders>
            <w:vAlign w:val="center"/>
          </w:tcPr>
          <w:p w:rsidR="005905E6" w:rsidRPr="00767435" w:rsidRDefault="005905E6" w:rsidP="00387327">
            <w:r w:rsidRPr="00767435">
              <w:rPr>
                <w:spacing w:val="0"/>
                <w:sz w:val="16"/>
                <w:szCs w:val="16"/>
                <w:lang w:val="es-ES"/>
              </w:rPr>
              <w:t>Componente 1 (Ingeniería y administración)</w:t>
            </w:r>
          </w:p>
        </w:tc>
      </w:tr>
      <w:tr w:rsidR="005905E6" w:rsidRPr="00767435" w:rsidTr="008C2E13">
        <w:trPr>
          <w:trHeight w:val="675"/>
        </w:trPr>
        <w:tc>
          <w:tcPr>
            <w:tcW w:w="3059"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Preparación Plan de Adquisiciones</w:t>
            </w:r>
          </w:p>
        </w:tc>
        <w:tc>
          <w:tcPr>
            <w:tcW w:w="339"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rFonts w:ascii="Baskerville Old Face" w:hAnsi="Baskerville Old Face" w:cs="Calibri"/>
                <w:spacing w:val="0"/>
                <w:sz w:val="18"/>
                <w:szCs w:val="18"/>
                <w:lang w:val="es-ES"/>
              </w:rPr>
            </w:pPr>
            <w:r w:rsidRPr="00767435">
              <w:rPr>
                <w:rFonts w:ascii="Baskerville Old Face" w:hAnsi="Baskerville Old Face" w:cs="Calibri"/>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06" w:type="dxa"/>
            <w:tcBorders>
              <w:top w:val="single" w:sz="4" w:space="0" w:color="auto"/>
              <w:left w:val="nil"/>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ST</w:t>
            </w:r>
          </w:p>
        </w:tc>
        <w:tc>
          <w:tcPr>
            <w:tcW w:w="1906" w:type="dxa"/>
            <w:tcBorders>
              <w:top w:val="nil"/>
              <w:left w:val="nil"/>
              <w:bottom w:val="single" w:sz="4" w:space="0" w:color="auto"/>
              <w:right w:val="single" w:sz="4" w:space="0" w:color="auto"/>
            </w:tcBorders>
            <w:vAlign w:val="center"/>
          </w:tcPr>
          <w:p w:rsidR="005905E6" w:rsidRPr="00767435" w:rsidRDefault="005905E6" w:rsidP="008361EA">
            <w:pPr>
              <w:rPr>
                <w:spacing w:val="0"/>
                <w:sz w:val="16"/>
                <w:szCs w:val="16"/>
                <w:lang w:val="es-ES"/>
              </w:rPr>
            </w:pPr>
            <w:r w:rsidRPr="00767435">
              <w:rPr>
                <w:spacing w:val="0"/>
                <w:sz w:val="16"/>
                <w:szCs w:val="16"/>
                <w:lang w:val="es-ES"/>
              </w:rPr>
              <w:t>5 días/año x 1 persona  x 5 años  x US$250 = US$6.250</w:t>
            </w:r>
          </w:p>
        </w:tc>
        <w:tc>
          <w:tcPr>
            <w:tcW w:w="1694" w:type="dxa"/>
            <w:tcBorders>
              <w:top w:val="nil"/>
              <w:left w:val="nil"/>
              <w:bottom w:val="single" w:sz="4" w:space="0" w:color="auto"/>
              <w:right w:val="single" w:sz="4" w:space="0" w:color="auto"/>
            </w:tcBorders>
            <w:vAlign w:val="center"/>
          </w:tcPr>
          <w:p w:rsidR="005905E6" w:rsidRPr="00767435" w:rsidRDefault="005905E6" w:rsidP="00387327">
            <w:r w:rsidRPr="00767435">
              <w:rPr>
                <w:spacing w:val="0"/>
                <w:sz w:val="16"/>
                <w:szCs w:val="16"/>
                <w:lang w:val="es-ES"/>
              </w:rPr>
              <w:t>Componente 1 (Ingeniería y administración)</w:t>
            </w:r>
          </w:p>
        </w:tc>
      </w:tr>
      <w:tr w:rsidR="005905E6" w:rsidRPr="00767435" w:rsidTr="00343816">
        <w:trPr>
          <w:trHeight w:val="675"/>
        </w:trPr>
        <w:tc>
          <w:tcPr>
            <w:tcW w:w="3059"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xml:space="preserve">Visitas de Campo </w:t>
            </w:r>
          </w:p>
        </w:tc>
        <w:tc>
          <w:tcPr>
            <w:tcW w:w="339"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06" w:type="dxa"/>
            <w:tcBorders>
              <w:top w:val="single" w:sz="4" w:space="0" w:color="auto"/>
              <w:left w:val="nil"/>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ST</w:t>
            </w:r>
          </w:p>
        </w:tc>
        <w:tc>
          <w:tcPr>
            <w:tcW w:w="1906" w:type="dxa"/>
            <w:tcBorders>
              <w:top w:val="nil"/>
              <w:left w:val="nil"/>
              <w:bottom w:val="single" w:sz="4" w:space="0" w:color="auto"/>
              <w:right w:val="single" w:sz="4" w:space="0" w:color="auto"/>
            </w:tcBorders>
            <w:vAlign w:val="center"/>
          </w:tcPr>
          <w:p w:rsidR="005905E6" w:rsidRPr="00767435" w:rsidRDefault="005905E6" w:rsidP="008361EA">
            <w:pPr>
              <w:rPr>
                <w:spacing w:val="0"/>
                <w:sz w:val="16"/>
                <w:szCs w:val="16"/>
                <w:lang w:val="es-ES"/>
              </w:rPr>
            </w:pPr>
            <w:r w:rsidRPr="00767435">
              <w:rPr>
                <w:spacing w:val="0"/>
                <w:sz w:val="16"/>
                <w:szCs w:val="16"/>
                <w:lang w:val="es-ES"/>
              </w:rPr>
              <w:t xml:space="preserve">48 días/año x 2 personas x 5 años x US$100 = US$48.000 </w:t>
            </w:r>
          </w:p>
        </w:tc>
        <w:tc>
          <w:tcPr>
            <w:tcW w:w="1694" w:type="dxa"/>
            <w:tcBorders>
              <w:top w:val="nil"/>
              <w:left w:val="nil"/>
              <w:bottom w:val="single" w:sz="4" w:space="0" w:color="auto"/>
              <w:right w:val="single" w:sz="4" w:space="0" w:color="auto"/>
            </w:tcBorders>
            <w:vAlign w:val="center"/>
          </w:tcPr>
          <w:p w:rsidR="005905E6" w:rsidRPr="00767435" w:rsidRDefault="005905E6" w:rsidP="00387327">
            <w:r w:rsidRPr="00767435">
              <w:rPr>
                <w:spacing w:val="0"/>
                <w:sz w:val="16"/>
                <w:szCs w:val="16"/>
                <w:lang w:val="es-ES"/>
              </w:rPr>
              <w:t>Componente 1 (Ingeniería y administración)</w:t>
            </w:r>
          </w:p>
        </w:tc>
      </w:tr>
      <w:tr w:rsidR="005905E6" w:rsidRPr="00767435" w:rsidTr="00252814">
        <w:trPr>
          <w:trHeight w:val="675"/>
        </w:trPr>
        <w:tc>
          <w:tcPr>
            <w:tcW w:w="3059"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Elaboración y Presentación de Informes Trimestrales y Semestrales</w:t>
            </w:r>
          </w:p>
        </w:tc>
        <w:tc>
          <w:tcPr>
            <w:tcW w:w="339"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06" w:type="dxa"/>
            <w:tcBorders>
              <w:top w:val="single" w:sz="4" w:space="0" w:color="auto"/>
              <w:left w:val="nil"/>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ST</w:t>
            </w:r>
          </w:p>
        </w:tc>
        <w:tc>
          <w:tcPr>
            <w:tcW w:w="1906" w:type="dxa"/>
            <w:tcBorders>
              <w:top w:val="nil"/>
              <w:left w:val="nil"/>
              <w:bottom w:val="single" w:sz="4" w:space="0" w:color="auto"/>
              <w:right w:val="single" w:sz="4" w:space="0" w:color="auto"/>
            </w:tcBorders>
            <w:vAlign w:val="center"/>
          </w:tcPr>
          <w:p w:rsidR="005905E6" w:rsidRPr="00767435" w:rsidRDefault="005905E6" w:rsidP="00343816">
            <w:pPr>
              <w:rPr>
                <w:spacing w:val="0"/>
                <w:sz w:val="16"/>
                <w:szCs w:val="16"/>
                <w:lang w:val="es-ES"/>
              </w:rPr>
            </w:pPr>
            <w:r w:rsidRPr="00767435">
              <w:rPr>
                <w:spacing w:val="0"/>
                <w:sz w:val="16"/>
                <w:szCs w:val="16"/>
                <w:lang w:val="es-ES"/>
              </w:rPr>
              <w:t>20 días/año x 3 personas x 5 años x US$100= US$30.000</w:t>
            </w:r>
          </w:p>
        </w:tc>
        <w:tc>
          <w:tcPr>
            <w:tcW w:w="1694" w:type="dxa"/>
            <w:tcBorders>
              <w:top w:val="nil"/>
              <w:left w:val="nil"/>
              <w:bottom w:val="single" w:sz="4" w:space="0" w:color="auto"/>
              <w:right w:val="single" w:sz="4" w:space="0" w:color="auto"/>
            </w:tcBorders>
            <w:vAlign w:val="center"/>
          </w:tcPr>
          <w:p w:rsidR="005905E6" w:rsidRPr="00767435" w:rsidRDefault="005905E6" w:rsidP="00387327">
            <w:r w:rsidRPr="00767435">
              <w:rPr>
                <w:spacing w:val="0"/>
                <w:sz w:val="16"/>
                <w:szCs w:val="16"/>
                <w:lang w:val="es-ES"/>
              </w:rPr>
              <w:t>Componente 1 (Ingeniería y administración)</w:t>
            </w:r>
          </w:p>
        </w:tc>
      </w:tr>
      <w:tr w:rsidR="005905E6" w:rsidRPr="00767435" w:rsidTr="00252814">
        <w:trPr>
          <w:trHeight w:val="675"/>
        </w:trPr>
        <w:tc>
          <w:tcPr>
            <w:tcW w:w="3059"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Analizar y aprobar los POAs y los PAs.</w:t>
            </w:r>
          </w:p>
        </w:tc>
        <w:tc>
          <w:tcPr>
            <w:tcW w:w="339"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06" w:type="dxa"/>
            <w:tcBorders>
              <w:top w:val="single" w:sz="4" w:space="0" w:color="auto"/>
              <w:left w:val="nil"/>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BID</w:t>
            </w:r>
          </w:p>
        </w:tc>
        <w:tc>
          <w:tcPr>
            <w:tcW w:w="1906" w:type="dxa"/>
            <w:tcBorders>
              <w:top w:val="nil"/>
              <w:left w:val="nil"/>
              <w:bottom w:val="single" w:sz="4" w:space="0" w:color="auto"/>
              <w:right w:val="single" w:sz="4" w:space="0" w:color="auto"/>
            </w:tcBorders>
            <w:vAlign w:val="center"/>
          </w:tcPr>
          <w:p w:rsidR="005905E6" w:rsidRPr="00767435" w:rsidRDefault="005905E6" w:rsidP="008361EA">
            <w:pPr>
              <w:rPr>
                <w:spacing w:val="0"/>
                <w:sz w:val="16"/>
                <w:szCs w:val="16"/>
                <w:lang w:val="es-ES"/>
              </w:rPr>
            </w:pPr>
            <w:r w:rsidRPr="00767435">
              <w:rPr>
                <w:spacing w:val="0"/>
                <w:sz w:val="16"/>
                <w:szCs w:val="16"/>
                <w:lang w:val="es-ES"/>
              </w:rPr>
              <w:t xml:space="preserve">4 días/año x 1 persona x 5 años x US$300= US$6.000 </w:t>
            </w:r>
          </w:p>
        </w:tc>
        <w:tc>
          <w:tcPr>
            <w:tcW w:w="1694" w:type="dxa"/>
            <w:tcBorders>
              <w:top w:val="nil"/>
              <w:left w:val="nil"/>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BID</w:t>
            </w:r>
          </w:p>
        </w:tc>
      </w:tr>
      <w:tr w:rsidR="005905E6" w:rsidRPr="00767435" w:rsidTr="00252814">
        <w:trPr>
          <w:trHeight w:val="675"/>
        </w:trPr>
        <w:tc>
          <w:tcPr>
            <w:tcW w:w="3059"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Analizar los Informes de Progreso, realizar reuniones de monitoreo y seguimiento y si es del caso formular recomendaciones.</w:t>
            </w:r>
          </w:p>
        </w:tc>
        <w:tc>
          <w:tcPr>
            <w:tcW w:w="339"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rFonts w:ascii="Baskerville Old Face" w:hAnsi="Baskerville Old Face" w:cs="Calibri"/>
                <w:spacing w:val="0"/>
                <w:sz w:val="18"/>
                <w:szCs w:val="18"/>
                <w:lang w:val="es-ES"/>
              </w:rPr>
            </w:pPr>
            <w:r w:rsidRPr="00767435">
              <w:rPr>
                <w:rFonts w:ascii="Baskerville Old Face" w:hAnsi="Baskerville Old Face" w:cs="Calibri"/>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06" w:type="dxa"/>
            <w:tcBorders>
              <w:top w:val="single" w:sz="4" w:space="0" w:color="auto"/>
              <w:left w:val="nil"/>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BID</w:t>
            </w:r>
          </w:p>
        </w:tc>
        <w:tc>
          <w:tcPr>
            <w:tcW w:w="1906" w:type="dxa"/>
            <w:tcBorders>
              <w:top w:val="nil"/>
              <w:left w:val="nil"/>
              <w:bottom w:val="single" w:sz="4" w:space="0" w:color="auto"/>
              <w:right w:val="single" w:sz="4" w:space="0" w:color="auto"/>
            </w:tcBorders>
            <w:vAlign w:val="center"/>
          </w:tcPr>
          <w:p w:rsidR="005905E6" w:rsidRPr="00767435" w:rsidRDefault="005905E6" w:rsidP="008361EA">
            <w:pPr>
              <w:rPr>
                <w:spacing w:val="0"/>
                <w:sz w:val="16"/>
                <w:szCs w:val="16"/>
                <w:lang w:val="es-ES"/>
              </w:rPr>
            </w:pPr>
            <w:r w:rsidRPr="00767435">
              <w:rPr>
                <w:spacing w:val="0"/>
                <w:sz w:val="16"/>
                <w:szCs w:val="16"/>
                <w:lang w:val="es-ES"/>
              </w:rPr>
              <w:t>20 días/ano x 1 persona x  5 años x US$300= US$30.000</w:t>
            </w:r>
          </w:p>
        </w:tc>
        <w:tc>
          <w:tcPr>
            <w:tcW w:w="1694" w:type="dxa"/>
            <w:tcBorders>
              <w:top w:val="nil"/>
              <w:left w:val="nil"/>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BID</w:t>
            </w:r>
          </w:p>
        </w:tc>
      </w:tr>
      <w:tr w:rsidR="005905E6" w:rsidRPr="00767435" w:rsidTr="00E872A9">
        <w:trPr>
          <w:trHeight w:val="675"/>
        </w:trPr>
        <w:tc>
          <w:tcPr>
            <w:tcW w:w="3059"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Analizar y revisar solicitudes de desembolso</w:t>
            </w:r>
          </w:p>
        </w:tc>
        <w:tc>
          <w:tcPr>
            <w:tcW w:w="339"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06" w:type="dxa"/>
            <w:tcBorders>
              <w:top w:val="single" w:sz="4" w:space="0" w:color="auto"/>
              <w:left w:val="nil"/>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BID</w:t>
            </w:r>
          </w:p>
        </w:tc>
        <w:tc>
          <w:tcPr>
            <w:tcW w:w="1906" w:type="dxa"/>
            <w:tcBorders>
              <w:top w:val="nil"/>
              <w:left w:val="nil"/>
              <w:bottom w:val="single" w:sz="4" w:space="0" w:color="auto"/>
              <w:right w:val="single" w:sz="4" w:space="0" w:color="auto"/>
            </w:tcBorders>
            <w:vAlign w:val="center"/>
          </w:tcPr>
          <w:p w:rsidR="005905E6" w:rsidRPr="00767435" w:rsidRDefault="005905E6" w:rsidP="008361EA">
            <w:pPr>
              <w:rPr>
                <w:spacing w:val="0"/>
                <w:sz w:val="16"/>
                <w:szCs w:val="16"/>
                <w:lang w:val="es-ES"/>
              </w:rPr>
            </w:pPr>
            <w:r w:rsidRPr="00767435">
              <w:rPr>
                <w:spacing w:val="0"/>
                <w:sz w:val="16"/>
                <w:szCs w:val="16"/>
                <w:lang w:val="es-ES"/>
              </w:rPr>
              <w:t>12 días/año  x 1 persona x 5 años x US$300= US$18.000</w:t>
            </w:r>
          </w:p>
        </w:tc>
        <w:tc>
          <w:tcPr>
            <w:tcW w:w="1694" w:type="dxa"/>
            <w:tcBorders>
              <w:top w:val="nil"/>
              <w:left w:val="nil"/>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BID</w:t>
            </w:r>
          </w:p>
        </w:tc>
      </w:tr>
      <w:tr w:rsidR="005905E6" w:rsidRPr="00767435" w:rsidTr="00E872A9">
        <w:trPr>
          <w:trHeight w:val="675"/>
        </w:trPr>
        <w:tc>
          <w:tcPr>
            <w:tcW w:w="3059"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xml:space="preserve">Analizar y revisar estados financieros auditados   </w:t>
            </w:r>
          </w:p>
        </w:tc>
        <w:tc>
          <w:tcPr>
            <w:tcW w:w="339"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rPr>
                <w:rFonts w:ascii="Baskerville Old Face" w:hAnsi="Baskerville Old Face" w:cs="Calibri"/>
                <w:spacing w:val="0"/>
                <w:sz w:val="18"/>
                <w:szCs w:val="18"/>
                <w:lang w:val="es-ES"/>
              </w:rPr>
            </w:pPr>
            <w:r w:rsidRPr="00767435">
              <w:rPr>
                <w:rFonts w:ascii="Baskerville Old Face" w:hAnsi="Baskerville Old Face" w:cs="Calibri"/>
                <w:spacing w:val="0"/>
                <w:sz w:val="18"/>
                <w:szCs w:val="18"/>
                <w:lang w:val="es-ES"/>
              </w:rPr>
              <w:t> </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auto"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06" w:type="dxa"/>
            <w:tcBorders>
              <w:top w:val="single" w:sz="4" w:space="0" w:color="auto"/>
              <w:left w:val="nil"/>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BID</w:t>
            </w:r>
          </w:p>
        </w:tc>
        <w:tc>
          <w:tcPr>
            <w:tcW w:w="1906" w:type="dxa"/>
            <w:tcBorders>
              <w:top w:val="nil"/>
              <w:left w:val="nil"/>
              <w:bottom w:val="single" w:sz="4" w:space="0" w:color="auto"/>
              <w:right w:val="single" w:sz="4" w:space="0" w:color="auto"/>
            </w:tcBorders>
            <w:vAlign w:val="center"/>
          </w:tcPr>
          <w:p w:rsidR="005905E6" w:rsidRPr="00767435" w:rsidRDefault="005905E6" w:rsidP="008361EA">
            <w:pPr>
              <w:rPr>
                <w:spacing w:val="0"/>
                <w:sz w:val="16"/>
                <w:szCs w:val="16"/>
                <w:lang w:val="es-ES"/>
              </w:rPr>
            </w:pPr>
            <w:r w:rsidRPr="00767435">
              <w:rPr>
                <w:spacing w:val="0"/>
                <w:sz w:val="16"/>
                <w:szCs w:val="16"/>
                <w:lang w:val="es-ES"/>
              </w:rPr>
              <w:t>5 días x 2 persona x 5 años x US$ 300= US$15.000</w:t>
            </w:r>
          </w:p>
        </w:tc>
        <w:tc>
          <w:tcPr>
            <w:tcW w:w="1694" w:type="dxa"/>
            <w:tcBorders>
              <w:top w:val="nil"/>
              <w:left w:val="nil"/>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BID</w:t>
            </w:r>
          </w:p>
        </w:tc>
      </w:tr>
      <w:tr w:rsidR="005905E6" w:rsidRPr="00767435" w:rsidTr="00E872A9">
        <w:trPr>
          <w:trHeight w:val="450"/>
        </w:trPr>
        <w:tc>
          <w:tcPr>
            <w:tcW w:w="3059"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Visita de Inspección</w:t>
            </w:r>
          </w:p>
        </w:tc>
        <w:tc>
          <w:tcPr>
            <w:tcW w:w="339"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06" w:type="dxa"/>
            <w:tcBorders>
              <w:top w:val="single" w:sz="4" w:space="0" w:color="auto"/>
              <w:left w:val="nil"/>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BID</w:t>
            </w:r>
          </w:p>
        </w:tc>
        <w:tc>
          <w:tcPr>
            <w:tcW w:w="1906" w:type="dxa"/>
            <w:tcBorders>
              <w:top w:val="nil"/>
              <w:left w:val="nil"/>
              <w:bottom w:val="single" w:sz="4" w:space="0" w:color="auto"/>
              <w:right w:val="single" w:sz="4" w:space="0" w:color="auto"/>
            </w:tcBorders>
            <w:vAlign w:val="center"/>
          </w:tcPr>
          <w:p w:rsidR="005905E6" w:rsidRPr="00767435" w:rsidRDefault="005905E6" w:rsidP="008361EA">
            <w:pPr>
              <w:rPr>
                <w:spacing w:val="0"/>
                <w:sz w:val="16"/>
                <w:szCs w:val="16"/>
                <w:lang w:val="es-ES"/>
              </w:rPr>
            </w:pPr>
            <w:r w:rsidRPr="00767435">
              <w:rPr>
                <w:spacing w:val="0"/>
                <w:sz w:val="16"/>
                <w:szCs w:val="16"/>
                <w:lang w:val="es-ES"/>
              </w:rPr>
              <w:t>75 días x 2 personas  x US$100=</w:t>
            </w:r>
          </w:p>
          <w:p w:rsidR="005905E6" w:rsidRPr="00767435" w:rsidRDefault="005905E6" w:rsidP="008361EA">
            <w:pPr>
              <w:rPr>
                <w:spacing w:val="0"/>
                <w:sz w:val="16"/>
                <w:szCs w:val="16"/>
                <w:lang w:val="es-ES"/>
              </w:rPr>
            </w:pPr>
            <w:r w:rsidRPr="00767435">
              <w:rPr>
                <w:spacing w:val="0"/>
                <w:sz w:val="16"/>
                <w:szCs w:val="16"/>
                <w:lang w:val="es-ES"/>
              </w:rPr>
              <w:t xml:space="preserve">US$15.000 </w:t>
            </w:r>
          </w:p>
        </w:tc>
        <w:tc>
          <w:tcPr>
            <w:tcW w:w="1694" w:type="dxa"/>
            <w:tcBorders>
              <w:top w:val="nil"/>
              <w:left w:val="nil"/>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BID</w:t>
            </w:r>
          </w:p>
        </w:tc>
      </w:tr>
      <w:tr w:rsidR="005905E6" w:rsidRPr="00767435" w:rsidTr="00E872A9">
        <w:trPr>
          <w:trHeight w:val="675"/>
        </w:trPr>
        <w:tc>
          <w:tcPr>
            <w:tcW w:w="3059" w:type="dxa"/>
            <w:tcBorders>
              <w:top w:val="single" w:sz="4" w:space="0" w:color="auto"/>
              <w:left w:val="single" w:sz="4" w:space="0" w:color="auto"/>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Misión de Administración</w:t>
            </w:r>
          </w:p>
        </w:tc>
        <w:tc>
          <w:tcPr>
            <w:tcW w:w="339"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39"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0"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rPr>
                <w:rFonts w:ascii="Baskerville Old Face" w:hAnsi="Baskerville Old Face" w:cs="Calibri"/>
                <w:spacing w:val="0"/>
                <w:sz w:val="18"/>
                <w:szCs w:val="18"/>
                <w:lang w:val="es-ES"/>
              </w:rPr>
            </w:pPr>
            <w:r w:rsidRPr="00767435">
              <w:rPr>
                <w:rFonts w:ascii="Baskerville Old Face" w:hAnsi="Baskerville Old Face" w:cs="Calibri"/>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rsidR="005905E6" w:rsidRPr="00767435" w:rsidRDefault="005905E6" w:rsidP="00592966">
            <w:pPr>
              <w:rPr>
                <w:spacing w:val="0"/>
                <w:sz w:val="18"/>
                <w:szCs w:val="18"/>
                <w:lang w:val="es-ES"/>
              </w:rPr>
            </w:pPr>
            <w:r w:rsidRPr="00767435">
              <w:rPr>
                <w:rFonts w:eastAsia="Batang"/>
                <w:spacing w:val="0"/>
                <w:sz w:val="18"/>
                <w:szCs w:val="18"/>
                <w:lang w:val="es-ES"/>
              </w:rPr>
              <w:t> </w:t>
            </w:r>
          </w:p>
        </w:tc>
        <w:tc>
          <w:tcPr>
            <w:tcW w:w="306" w:type="dxa"/>
            <w:tcBorders>
              <w:top w:val="single" w:sz="4" w:space="0" w:color="auto"/>
              <w:left w:val="nil"/>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rsidR="005905E6" w:rsidRPr="00767435" w:rsidRDefault="005905E6" w:rsidP="00204B7B">
            <w:pPr>
              <w:jc w:val="center"/>
              <w:rPr>
                <w:rFonts w:eastAsia="Batang"/>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rsidR="005905E6" w:rsidRPr="00767435" w:rsidRDefault="005905E6" w:rsidP="00204B7B">
            <w:pPr>
              <w:jc w:val="center"/>
              <w:rPr>
                <w:rFonts w:eastAsia="Batang"/>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BID</w:t>
            </w:r>
          </w:p>
        </w:tc>
        <w:tc>
          <w:tcPr>
            <w:tcW w:w="1906" w:type="dxa"/>
            <w:tcBorders>
              <w:top w:val="nil"/>
              <w:left w:val="nil"/>
              <w:bottom w:val="single" w:sz="4" w:space="0" w:color="auto"/>
              <w:right w:val="single" w:sz="4" w:space="0" w:color="auto"/>
            </w:tcBorders>
            <w:vAlign w:val="center"/>
          </w:tcPr>
          <w:p w:rsidR="005905E6" w:rsidRPr="00767435" w:rsidRDefault="005905E6" w:rsidP="008361EA">
            <w:pPr>
              <w:rPr>
                <w:spacing w:val="0"/>
                <w:sz w:val="16"/>
                <w:szCs w:val="16"/>
                <w:lang w:val="es-ES"/>
              </w:rPr>
            </w:pPr>
            <w:r w:rsidRPr="00767435">
              <w:rPr>
                <w:spacing w:val="0"/>
                <w:sz w:val="16"/>
                <w:szCs w:val="16"/>
                <w:lang w:val="es-ES"/>
              </w:rPr>
              <w:t>1 misión x 2 personas x 5 años x  US$ 2.500= US$ 25.000</w:t>
            </w:r>
          </w:p>
        </w:tc>
        <w:tc>
          <w:tcPr>
            <w:tcW w:w="1694" w:type="dxa"/>
            <w:tcBorders>
              <w:top w:val="nil"/>
              <w:left w:val="nil"/>
              <w:bottom w:val="single" w:sz="4" w:space="0" w:color="auto"/>
              <w:right w:val="single" w:sz="4" w:space="0" w:color="auto"/>
            </w:tcBorders>
            <w:vAlign w:val="center"/>
          </w:tcPr>
          <w:p w:rsidR="005905E6" w:rsidRPr="00767435" w:rsidRDefault="005905E6" w:rsidP="00204B7B">
            <w:pPr>
              <w:jc w:val="center"/>
              <w:rPr>
                <w:spacing w:val="0"/>
                <w:sz w:val="18"/>
                <w:szCs w:val="18"/>
                <w:lang w:val="es-ES"/>
              </w:rPr>
            </w:pPr>
            <w:r w:rsidRPr="00767435">
              <w:rPr>
                <w:rFonts w:eastAsia="Batang"/>
                <w:spacing w:val="0"/>
                <w:sz w:val="18"/>
                <w:szCs w:val="18"/>
                <w:lang w:val="es-ES"/>
              </w:rPr>
              <w:t>BID</w:t>
            </w:r>
          </w:p>
        </w:tc>
      </w:tr>
      <w:tr w:rsidR="005905E6" w:rsidRPr="00767435" w:rsidTr="00E872A9">
        <w:trPr>
          <w:trHeight w:val="314"/>
        </w:trPr>
        <w:tc>
          <w:tcPr>
            <w:tcW w:w="10908" w:type="dxa"/>
            <w:gridSpan w:val="22"/>
            <w:tcBorders>
              <w:top w:val="single" w:sz="4" w:space="0" w:color="auto"/>
              <w:left w:val="single" w:sz="4" w:space="0" w:color="auto"/>
              <w:bottom w:val="single" w:sz="4" w:space="0" w:color="auto"/>
              <w:right w:val="single" w:sz="4" w:space="0" w:color="auto"/>
            </w:tcBorders>
            <w:vAlign w:val="center"/>
          </w:tcPr>
          <w:p w:rsidR="005905E6" w:rsidRPr="00767435" w:rsidRDefault="005905E6" w:rsidP="00D3708A">
            <w:pPr>
              <w:jc w:val="right"/>
              <w:rPr>
                <w:rFonts w:eastAsia="Batang"/>
                <w:b/>
                <w:spacing w:val="0"/>
                <w:sz w:val="20"/>
                <w:lang w:val="es-ES"/>
              </w:rPr>
            </w:pPr>
            <w:r w:rsidRPr="00767435">
              <w:rPr>
                <w:rFonts w:eastAsia="Batang"/>
                <w:b/>
                <w:spacing w:val="0"/>
                <w:sz w:val="20"/>
                <w:lang w:val="es-ES"/>
              </w:rPr>
              <w:t>Costo Total ST (con cargo al programa)</w:t>
            </w:r>
          </w:p>
        </w:tc>
        <w:tc>
          <w:tcPr>
            <w:tcW w:w="3600" w:type="dxa"/>
            <w:gridSpan w:val="2"/>
            <w:tcBorders>
              <w:top w:val="single" w:sz="4" w:space="0" w:color="auto"/>
              <w:left w:val="nil"/>
              <w:bottom w:val="single" w:sz="4" w:space="0" w:color="auto"/>
              <w:right w:val="single" w:sz="4" w:space="0" w:color="auto"/>
            </w:tcBorders>
            <w:vAlign w:val="center"/>
          </w:tcPr>
          <w:p w:rsidR="005905E6" w:rsidRPr="00767435" w:rsidRDefault="005905E6" w:rsidP="00DD34BD">
            <w:pPr>
              <w:rPr>
                <w:rFonts w:eastAsia="Batang"/>
                <w:spacing w:val="0"/>
                <w:sz w:val="18"/>
                <w:szCs w:val="18"/>
                <w:lang w:val="es-ES"/>
              </w:rPr>
            </w:pPr>
            <w:r w:rsidRPr="00767435">
              <w:rPr>
                <w:b/>
                <w:spacing w:val="0"/>
                <w:sz w:val="20"/>
                <w:lang w:val="es-ES"/>
              </w:rPr>
              <w:t>US$</w:t>
            </w:r>
            <w:r w:rsidR="00DD34BD">
              <w:rPr>
                <w:b/>
                <w:spacing w:val="0"/>
                <w:sz w:val="20"/>
                <w:lang w:val="es-ES"/>
              </w:rPr>
              <w:t>9</w:t>
            </w:r>
            <w:r w:rsidRPr="00767435">
              <w:rPr>
                <w:b/>
                <w:spacing w:val="0"/>
                <w:sz w:val="20"/>
                <w:lang w:val="es-ES"/>
              </w:rPr>
              <w:t>6.750</w:t>
            </w:r>
          </w:p>
        </w:tc>
      </w:tr>
      <w:tr w:rsidR="005905E6" w:rsidRPr="00767435" w:rsidTr="00E872A9">
        <w:trPr>
          <w:trHeight w:val="269"/>
        </w:trPr>
        <w:tc>
          <w:tcPr>
            <w:tcW w:w="10908" w:type="dxa"/>
            <w:gridSpan w:val="22"/>
            <w:tcBorders>
              <w:top w:val="single" w:sz="4" w:space="0" w:color="auto"/>
              <w:left w:val="single" w:sz="4" w:space="0" w:color="auto"/>
              <w:bottom w:val="single" w:sz="4" w:space="0" w:color="auto"/>
              <w:right w:val="single" w:sz="4" w:space="0" w:color="auto"/>
            </w:tcBorders>
            <w:vAlign w:val="center"/>
          </w:tcPr>
          <w:p w:rsidR="005905E6" w:rsidRPr="00767435" w:rsidRDefault="005905E6" w:rsidP="00D3708A">
            <w:pPr>
              <w:jc w:val="right"/>
              <w:rPr>
                <w:rFonts w:eastAsia="Batang"/>
                <w:b/>
                <w:spacing w:val="0"/>
                <w:sz w:val="20"/>
                <w:lang w:val="es-ES"/>
              </w:rPr>
            </w:pPr>
            <w:r w:rsidRPr="00767435">
              <w:rPr>
                <w:rFonts w:eastAsia="Batang"/>
                <w:b/>
                <w:spacing w:val="0"/>
                <w:sz w:val="20"/>
                <w:lang w:val="es-ES"/>
              </w:rPr>
              <w:t>Costo Total Supervisión del Banco</w:t>
            </w:r>
          </w:p>
        </w:tc>
        <w:tc>
          <w:tcPr>
            <w:tcW w:w="3600" w:type="dxa"/>
            <w:gridSpan w:val="2"/>
            <w:tcBorders>
              <w:top w:val="single" w:sz="4" w:space="0" w:color="auto"/>
              <w:left w:val="nil"/>
              <w:bottom w:val="single" w:sz="4" w:space="0" w:color="auto"/>
              <w:right w:val="single" w:sz="4" w:space="0" w:color="auto"/>
            </w:tcBorders>
            <w:vAlign w:val="center"/>
          </w:tcPr>
          <w:p w:rsidR="005905E6" w:rsidRPr="00767435" w:rsidRDefault="005905E6" w:rsidP="00DD34BD">
            <w:pPr>
              <w:rPr>
                <w:rFonts w:eastAsia="Batang"/>
                <w:spacing w:val="0"/>
                <w:sz w:val="18"/>
                <w:szCs w:val="18"/>
                <w:lang w:val="es-ES"/>
              </w:rPr>
            </w:pPr>
            <w:r w:rsidRPr="00767435">
              <w:rPr>
                <w:b/>
                <w:spacing w:val="0"/>
                <w:sz w:val="20"/>
                <w:lang w:val="es-ES"/>
              </w:rPr>
              <w:t>US$</w:t>
            </w:r>
            <w:r w:rsidR="00DD34BD">
              <w:rPr>
                <w:b/>
                <w:spacing w:val="0"/>
                <w:sz w:val="20"/>
                <w:lang w:val="es-ES"/>
              </w:rPr>
              <w:t>109</w:t>
            </w:r>
            <w:r w:rsidRPr="00767435">
              <w:rPr>
                <w:b/>
                <w:spacing w:val="0"/>
                <w:sz w:val="20"/>
                <w:lang w:val="es-ES"/>
              </w:rPr>
              <w:t>.000</w:t>
            </w:r>
          </w:p>
        </w:tc>
      </w:tr>
    </w:tbl>
    <w:p w:rsidR="005905E6" w:rsidRPr="00767435" w:rsidRDefault="005905E6" w:rsidP="00520B2F">
      <w:pPr>
        <w:rPr>
          <w:smallCaps/>
          <w:lang w:val="es-ES"/>
        </w:rPr>
        <w:sectPr w:rsidR="005905E6" w:rsidRPr="00767435" w:rsidSect="00517CE4">
          <w:pgSz w:w="15840" w:h="12240" w:orient="landscape"/>
          <w:pgMar w:top="1440" w:right="720" w:bottom="720" w:left="720" w:header="720" w:footer="720" w:gutter="0"/>
          <w:cols w:space="720"/>
          <w:docGrid w:linePitch="360"/>
        </w:sectPr>
      </w:pPr>
    </w:p>
    <w:p w:rsidR="005905E6" w:rsidRPr="00767435" w:rsidRDefault="005905E6" w:rsidP="00AB305A">
      <w:pPr>
        <w:pStyle w:val="Heading1"/>
        <w:tabs>
          <w:tab w:val="clear" w:pos="360"/>
        </w:tabs>
        <w:ind w:left="720" w:hanging="720"/>
        <w:jc w:val="left"/>
        <w:rPr>
          <w:lang w:val="es-ES"/>
        </w:rPr>
      </w:pPr>
      <w:r w:rsidRPr="00767435">
        <w:rPr>
          <w:lang w:val="es-ES"/>
        </w:rPr>
        <w:t>Evaluación</w:t>
      </w:r>
    </w:p>
    <w:p w:rsidR="005905E6" w:rsidRPr="00767435" w:rsidRDefault="005905E6" w:rsidP="00423941">
      <w:pPr>
        <w:pStyle w:val="AutoNumpara"/>
        <w:rPr>
          <w:noProof w:val="0"/>
          <w:lang w:val="es-ES"/>
        </w:rPr>
      </w:pPr>
      <w:r w:rsidRPr="00767435">
        <w:rPr>
          <w:noProof w:val="0"/>
          <w:lang w:val="es-ES"/>
        </w:rPr>
        <w:t>La estrategia de monitoreo y evaluación del Proyecto incluye el fortalecimiento del sistema de monitoreo, lo que permitirá generar información para dar seguimiento al desempeño de las acciones del Proyecto, y será insumo para los estudios de evaluaciones, tanto económica ex</w:t>
      </w:r>
      <w:r w:rsidR="001D3D98">
        <w:rPr>
          <w:noProof w:val="0"/>
          <w:lang w:val="es-ES"/>
        </w:rPr>
        <w:t xml:space="preserve"> </w:t>
      </w:r>
      <w:r w:rsidRPr="00767435">
        <w:rPr>
          <w:noProof w:val="0"/>
          <w:lang w:val="es-ES"/>
        </w:rPr>
        <w:t>post como de resultados y de impacto. La evaluación del Proyecto se realizará con la utilización de dos instrumentos: (i) evaluación económica o costo beneficio ex post y (ii) evaluación de impacto cuasi-experimental con base en la utilización de una metodología de diferencias en diferencias</w:t>
      </w:r>
    </w:p>
    <w:p w:rsidR="005905E6" w:rsidRPr="00767435" w:rsidRDefault="005905E6" w:rsidP="001E3F1C">
      <w:pPr>
        <w:pStyle w:val="AutoNumpara"/>
        <w:numPr>
          <w:ilvl w:val="0"/>
          <w:numId w:val="0"/>
        </w:numPr>
        <w:rPr>
          <w:noProof w:val="0"/>
          <w:lang w:val="es-ES"/>
        </w:rPr>
      </w:pPr>
    </w:p>
    <w:p w:rsidR="005905E6" w:rsidRPr="00767435" w:rsidRDefault="005905E6" w:rsidP="0038482D">
      <w:pPr>
        <w:pStyle w:val="Heading4"/>
        <w:numPr>
          <w:ilvl w:val="2"/>
          <w:numId w:val="10"/>
        </w:numPr>
        <w:tabs>
          <w:tab w:val="clear" w:pos="1440"/>
          <w:tab w:val="clear" w:pos="1800"/>
          <w:tab w:val="num" w:pos="720"/>
        </w:tabs>
        <w:ind w:left="720" w:hanging="720"/>
        <w:rPr>
          <w:noProof w:val="0"/>
          <w:lang w:val="es-ES"/>
        </w:rPr>
      </w:pPr>
      <w:r w:rsidRPr="00767435">
        <w:rPr>
          <w:noProof w:val="0"/>
          <w:lang w:val="es-ES"/>
        </w:rPr>
        <w:t>Principales preguntas de evaluación</w:t>
      </w:r>
    </w:p>
    <w:p w:rsidR="005905E6" w:rsidRPr="00767435" w:rsidRDefault="005905E6" w:rsidP="00FA7605">
      <w:pPr>
        <w:pStyle w:val="AutoNumpara"/>
        <w:rPr>
          <w:noProof w:val="0"/>
          <w:lang w:val="es-ES"/>
        </w:rPr>
      </w:pPr>
      <w:r w:rsidRPr="00767435">
        <w:rPr>
          <w:noProof w:val="0"/>
          <w:lang w:val="es-ES"/>
        </w:rPr>
        <w:t>Además de la electrificación propiamente (catenarias, subestaciones etc.) de 52,5 kilómetros del corredor Plaza Constitución-La Plata de la Línea General Roca, el Proyecto incluye la renovación de la superestructura de vía (rieles, durmientes, balasto, fijaciones), la solución de problemas localizados de infraestructura de vías que presenta el corredor, las intervenciones en obras de arte, viaductos, la adecuación de las estaciones (con la modificación de la altura de los andenes), un nuevo sistema de señalización, la adecuación del material rodante, la construcción de cercos perimetrales y la construcción de y pasos a desnivel.</w:t>
      </w:r>
    </w:p>
    <w:p w:rsidR="005905E6" w:rsidRPr="00767435" w:rsidRDefault="005905E6" w:rsidP="00FA7605">
      <w:pPr>
        <w:pStyle w:val="AutoNumpara"/>
        <w:rPr>
          <w:noProof w:val="0"/>
          <w:lang w:val="es-ES"/>
        </w:rPr>
      </w:pPr>
      <w:r w:rsidRPr="00767435">
        <w:rPr>
          <w:noProof w:val="0"/>
          <w:lang w:val="es-ES"/>
        </w:rPr>
        <w:t>Estas mejoras permitirán incrementar la oferta de transporte y mejorar aspectos operativos que redundarán en una mejor frecuencia y regularidad del servicio, aumentando la cantidad de pasajeros que viajan en ellos y reduciendo los tiempos de viaje tanto de los nuevos usuarios provenientes del ómnibus como de quienes hoy en día ya viajan en los ramales diésel.  Adicionalmente a los beneficios que se esperan para los usuarios se estima reducir los costos de operación y mantenimiento, los gases de efecto invernadero y las emisiones contaminantes. Asimismo las obras complementarias de la electrificación, como la mejora de estaciones y vías, permitirá mejorar el confort y la seguridad del servicio, una de los motivos de quejas recurrentes de los pasajeros.</w:t>
      </w:r>
    </w:p>
    <w:p w:rsidR="005905E6" w:rsidRPr="00767435" w:rsidRDefault="001D3D98" w:rsidP="00FA7605">
      <w:pPr>
        <w:pStyle w:val="AutoNumpara"/>
        <w:rPr>
          <w:noProof w:val="0"/>
          <w:lang w:val="es-ES"/>
        </w:rPr>
      </w:pPr>
      <w:r>
        <w:rPr>
          <w:noProof w:val="0"/>
          <w:lang w:val="es-ES"/>
        </w:rPr>
        <w:t>La evaluación ex</w:t>
      </w:r>
      <w:r w:rsidR="005905E6" w:rsidRPr="00767435">
        <w:rPr>
          <w:noProof w:val="0"/>
          <w:lang w:val="es-ES"/>
        </w:rPr>
        <w:t xml:space="preserve"> ante realizada durante la preparación del proyecto se focalizó en cuantificar y valorar, con base en estimaciones de demanda, </w:t>
      </w:r>
      <w:r>
        <w:rPr>
          <w:noProof w:val="0"/>
          <w:lang w:val="es-ES"/>
        </w:rPr>
        <w:t>las reducciones de</w:t>
      </w:r>
      <w:r w:rsidR="005905E6" w:rsidRPr="00767435">
        <w:rPr>
          <w:noProof w:val="0"/>
          <w:lang w:val="es-ES"/>
        </w:rPr>
        <w:t xml:space="preserve"> tiempos de viajes</w:t>
      </w:r>
      <w:r>
        <w:rPr>
          <w:noProof w:val="0"/>
          <w:lang w:val="es-ES"/>
        </w:rPr>
        <w:t>, costos de operación, accidentes y emisiones de gases de efecto invernadero</w:t>
      </w:r>
      <w:r w:rsidR="005905E6" w:rsidRPr="00767435">
        <w:rPr>
          <w:noProof w:val="0"/>
          <w:lang w:val="es-ES"/>
        </w:rPr>
        <w:t xml:space="preserve"> </w:t>
      </w:r>
      <w:r>
        <w:rPr>
          <w:noProof w:val="0"/>
          <w:lang w:val="es-ES"/>
        </w:rPr>
        <w:t xml:space="preserve">en el ramal </w:t>
      </w:r>
      <w:r w:rsidR="005905E6" w:rsidRPr="00767435">
        <w:rPr>
          <w:noProof w:val="0"/>
          <w:lang w:val="es-ES"/>
        </w:rPr>
        <w:t xml:space="preserve">Constitución-La Plata.  </w:t>
      </w:r>
    </w:p>
    <w:p w:rsidR="005905E6" w:rsidRPr="00767435" w:rsidRDefault="005905E6" w:rsidP="00FA7605">
      <w:pPr>
        <w:pStyle w:val="AutoNumpara"/>
        <w:rPr>
          <w:noProof w:val="0"/>
          <w:lang w:val="es-ES"/>
        </w:rPr>
      </w:pPr>
      <w:r w:rsidRPr="00767435">
        <w:rPr>
          <w:noProof w:val="0"/>
          <w:lang w:val="es-ES"/>
        </w:rPr>
        <w:t>Las principales preguntas de evaluación son:</w:t>
      </w:r>
    </w:p>
    <w:p w:rsidR="005905E6" w:rsidRPr="00767435" w:rsidRDefault="005905E6" w:rsidP="00F53029">
      <w:pPr>
        <w:pStyle w:val="AutoNumpara"/>
        <w:numPr>
          <w:ilvl w:val="0"/>
          <w:numId w:val="32"/>
        </w:numPr>
        <w:rPr>
          <w:noProof w:val="0"/>
          <w:lang w:val="es-ES"/>
        </w:rPr>
      </w:pPr>
      <w:r w:rsidRPr="00767435">
        <w:rPr>
          <w:noProof w:val="0"/>
          <w:lang w:val="es-ES"/>
        </w:rPr>
        <w:t>¿Se redujo el tiempo de viaje efectivo entre las estaciones Plaza Constitución- La Plata?</w:t>
      </w:r>
    </w:p>
    <w:p w:rsidR="005905E6" w:rsidRPr="00767435" w:rsidRDefault="005905E6" w:rsidP="0075088E">
      <w:pPr>
        <w:pStyle w:val="AutoNumpara"/>
        <w:numPr>
          <w:ilvl w:val="0"/>
          <w:numId w:val="32"/>
        </w:numPr>
        <w:rPr>
          <w:noProof w:val="0"/>
          <w:lang w:val="es-ES"/>
        </w:rPr>
      </w:pPr>
      <w:r w:rsidRPr="00767435">
        <w:rPr>
          <w:noProof w:val="0"/>
          <w:lang w:val="es-ES"/>
        </w:rPr>
        <w:t>¿Se redujo el tiempo de espera entre trenes en los trayectos de las estaciones Plaza Constitución-Berazategui y las estaciones Plaza Constitución-La Plata?</w:t>
      </w:r>
    </w:p>
    <w:p w:rsidR="005905E6" w:rsidRPr="00767435" w:rsidRDefault="005905E6" w:rsidP="000F36E8">
      <w:pPr>
        <w:pStyle w:val="AutoNumpara"/>
        <w:numPr>
          <w:ilvl w:val="0"/>
          <w:numId w:val="32"/>
        </w:numPr>
        <w:rPr>
          <w:noProof w:val="0"/>
          <w:lang w:val="es-ES"/>
        </w:rPr>
      </w:pPr>
      <w:r w:rsidRPr="00767435">
        <w:rPr>
          <w:noProof w:val="0"/>
          <w:lang w:val="es-ES"/>
        </w:rPr>
        <w:t>¿Se mejoró la prestación efectiva del servicio (trenes a horario / trenes corridos) como consecuencia de la electrificación de la vía en el trayecto Plaza Constitución-La Plata?</w:t>
      </w:r>
    </w:p>
    <w:p w:rsidR="005905E6" w:rsidRPr="00767435" w:rsidRDefault="005905E6" w:rsidP="000F36E8">
      <w:pPr>
        <w:pStyle w:val="AutoNumpara"/>
        <w:numPr>
          <w:ilvl w:val="0"/>
          <w:numId w:val="32"/>
        </w:numPr>
        <w:rPr>
          <w:noProof w:val="0"/>
          <w:lang w:val="es-ES"/>
        </w:rPr>
      </w:pPr>
      <w:r w:rsidRPr="00767435">
        <w:rPr>
          <w:noProof w:val="0"/>
          <w:lang w:val="es-ES"/>
        </w:rPr>
        <w:t>¿Se mejoró la seguridad en términos de reducción de la cantidad de accidentes vinculados al movimiento de trenes?</w:t>
      </w:r>
    </w:p>
    <w:p w:rsidR="005905E6" w:rsidRPr="00767435" w:rsidRDefault="005905E6" w:rsidP="000F36E8">
      <w:pPr>
        <w:pStyle w:val="AutoNumpara"/>
        <w:numPr>
          <w:ilvl w:val="0"/>
          <w:numId w:val="32"/>
        </w:numPr>
        <w:rPr>
          <w:noProof w:val="0"/>
          <w:lang w:val="es-ES"/>
        </w:rPr>
      </w:pPr>
      <w:r w:rsidRPr="00767435">
        <w:rPr>
          <w:noProof w:val="0"/>
          <w:lang w:val="es-ES"/>
        </w:rPr>
        <w:t>¿Se mejoró el nivel de confort en términos de reducción del nivel de ocupación en el ramal?</w:t>
      </w:r>
    </w:p>
    <w:p w:rsidR="005905E6" w:rsidRPr="00767435" w:rsidRDefault="005905E6" w:rsidP="00E46B34">
      <w:pPr>
        <w:pStyle w:val="AutoNumpara"/>
        <w:numPr>
          <w:ilvl w:val="0"/>
          <w:numId w:val="0"/>
        </w:numPr>
        <w:ind w:left="720"/>
        <w:rPr>
          <w:noProof w:val="0"/>
          <w:lang w:val="es-ES"/>
        </w:rPr>
      </w:pPr>
    </w:p>
    <w:p w:rsidR="005905E6" w:rsidRPr="00767435" w:rsidRDefault="005905E6" w:rsidP="008A7A39">
      <w:pPr>
        <w:pStyle w:val="AutoNumpara"/>
        <w:rPr>
          <w:noProof w:val="0"/>
          <w:lang w:val="es-ES"/>
        </w:rPr>
      </w:pPr>
      <w:r w:rsidRPr="00767435">
        <w:rPr>
          <w:noProof w:val="0"/>
          <w:lang w:val="es-ES"/>
        </w:rPr>
        <w:t xml:space="preserve">La estrategia de evaluación del Proyecto se divide en dos componentes principales: (a) una evaluación ex-post Costo Beneficio para el Proyecto de inversiones del Ramal Constitución - La Plata; y (b) una evaluación de impacto utilizando </w:t>
      </w:r>
      <w:r w:rsidR="00A04C12">
        <w:rPr>
          <w:noProof w:val="0"/>
          <w:lang w:val="es-ES"/>
        </w:rPr>
        <w:t xml:space="preserve">una metodología de Diferencias en Diferencias y </w:t>
      </w:r>
      <w:r w:rsidRPr="00767435">
        <w:rPr>
          <w:noProof w:val="0"/>
          <w:lang w:val="es-ES"/>
        </w:rPr>
        <w:t>como grupo de comparación dos líneas Ramales de la Red que utilizan tecnologías Diésel similares</w:t>
      </w:r>
      <w:r w:rsidR="00A04C12">
        <w:rPr>
          <w:noProof w:val="0"/>
          <w:lang w:val="es-ES"/>
        </w:rPr>
        <w:t xml:space="preserve"> y que tienen parámetros de utilización, frecuencias, cargas de tráfico y eficiencia similares a la del Ramal Roca</w:t>
      </w:r>
      <w:r w:rsidRPr="00767435">
        <w:rPr>
          <w:noProof w:val="0"/>
          <w:lang w:val="es-ES"/>
        </w:rPr>
        <w:t xml:space="preserve">. </w:t>
      </w:r>
    </w:p>
    <w:p w:rsidR="005905E6" w:rsidRPr="00767435" w:rsidRDefault="005905E6" w:rsidP="008A7A39">
      <w:pPr>
        <w:pStyle w:val="AutoNumpara"/>
        <w:rPr>
          <w:noProof w:val="0"/>
          <w:lang w:val="es-ES"/>
        </w:rPr>
      </w:pPr>
      <w:r w:rsidRPr="00767435">
        <w:rPr>
          <w:noProof w:val="0"/>
          <w:lang w:val="es-ES"/>
        </w:rPr>
        <w:t>La verificación de los Indicadores de Resultados del Proyecto se realizará luego de seis meses de la finalización de las obras y la puesta en marcha del servicio electrificado. Los resultados que se obtengan permitirán al Banco y al ejecutor un mejor diseño de futuras operaciones y el ajuste de la estrategia del sector en el país (y contar con elementos para hacerlo en otros países de la región).</w:t>
      </w:r>
    </w:p>
    <w:p w:rsidR="005905E6" w:rsidRPr="00767435" w:rsidRDefault="005905E6" w:rsidP="00AF1F9F">
      <w:pPr>
        <w:pStyle w:val="AutoNumpara"/>
        <w:numPr>
          <w:ilvl w:val="0"/>
          <w:numId w:val="0"/>
        </w:numPr>
        <w:rPr>
          <w:noProof w:val="0"/>
          <w:lang w:val="es-ES"/>
        </w:rPr>
      </w:pPr>
    </w:p>
    <w:p w:rsidR="005905E6" w:rsidRPr="00767435" w:rsidRDefault="005905E6" w:rsidP="0038482D">
      <w:pPr>
        <w:pStyle w:val="Heading4"/>
        <w:numPr>
          <w:ilvl w:val="2"/>
          <w:numId w:val="10"/>
        </w:numPr>
        <w:tabs>
          <w:tab w:val="clear" w:pos="1440"/>
          <w:tab w:val="clear" w:pos="1800"/>
          <w:tab w:val="num" w:pos="720"/>
        </w:tabs>
        <w:ind w:left="720" w:hanging="720"/>
        <w:rPr>
          <w:noProof w:val="0"/>
          <w:lang w:val="es-ES"/>
        </w:rPr>
      </w:pPr>
      <w:r w:rsidRPr="00767435">
        <w:rPr>
          <w:noProof w:val="0"/>
          <w:lang w:val="es-ES"/>
        </w:rPr>
        <w:t>Conocimiento existente (evaluaciones previas, análisis económico ex</w:t>
      </w:r>
      <w:r w:rsidR="00A04C12">
        <w:rPr>
          <w:noProof w:val="0"/>
          <w:lang w:val="es-ES"/>
        </w:rPr>
        <w:t>-</w:t>
      </w:r>
      <w:r w:rsidRPr="00767435">
        <w:rPr>
          <w:noProof w:val="0"/>
          <w:lang w:val="es-ES"/>
        </w:rPr>
        <w:t>ante)</w:t>
      </w:r>
    </w:p>
    <w:p w:rsidR="00056E94" w:rsidRPr="00767435" w:rsidRDefault="00056E94" w:rsidP="00C7108E">
      <w:pPr>
        <w:pStyle w:val="AutoNumpara"/>
        <w:rPr>
          <w:noProof w:val="0"/>
          <w:lang w:val="es-ES"/>
        </w:rPr>
      </w:pPr>
      <w:r w:rsidRPr="00767435">
        <w:rPr>
          <w:lang w:val="es-ES"/>
        </w:rPr>
        <w:t xml:space="preserve">La evaluación económica del Proyecto cuantificó los beneficios del proyecto, en términos de </w:t>
      </w:r>
      <w:r w:rsidRPr="00767435">
        <w:t>reducción de costos de operación, ahorro de tiempo de los usuarios, reducción de accidentes y reducción de emisión de gases de efecto invernadero</w:t>
      </w:r>
      <w:r w:rsidRPr="00767435">
        <w:rPr>
          <w:lang w:val="es-ES"/>
        </w:rPr>
        <w:t xml:space="preserve"> resultantes de la implementación del proyecto. El período de análisis fue de 30 años. La tasa interna de retorno económica (TIRE) estimada para el Proyecto fue de 22,4%, y el valor presente neto (VPN) resultó de US$358 millones (descontados al 12%). Los análisis de sensibilidad realizados verificaron la robustez del Proyecto frente a escenarios más desfavorables, demostrando que un incremento del costo de inversión del 20% llevaría dicha TIRE al 20,1%, en tanto que en un escenario combinado de aumento del 20% del costo de inversión y reducción del 20% de los beneficios, la TIRE ha resultado 19,2%. Cabe destacar que la situación “sin proyecto” considerada consiste en la mejora del servicio diésel, incluyendo inversiones en vías, aparatos de vías, viaductos, nuevo material rodante, elevación de andenes, talleres, y señalización.</w:t>
      </w:r>
    </w:p>
    <w:p w:rsidR="005905E6" w:rsidRPr="00767435" w:rsidRDefault="005905E6" w:rsidP="00AC5FD4">
      <w:pPr>
        <w:pStyle w:val="AutoNumpara"/>
        <w:numPr>
          <w:ilvl w:val="0"/>
          <w:numId w:val="0"/>
        </w:numPr>
        <w:rPr>
          <w:noProof w:val="0"/>
          <w:lang w:val="es-ES"/>
        </w:rPr>
      </w:pPr>
    </w:p>
    <w:p w:rsidR="005905E6" w:rsidRPr="00767435" w:rsidRDefault="005905E6" w:rsidP="0038482D">
      <w:pPr>
        <w:pStyle w:val="Heading4"/>
        <w:numPr>
          <w:ilvl w:val="2"/>
          <w:numId w:val="10"/>
        </w:numPr>
        <w:tabs>
          <w:tab w:val="clear" w:pos="1440"/>
          <w:tab w:val="clear" w:pos="1800"/>
          <w:tab w:val="num" w:pos="720"/>
        </w:tabs>
        <w:ind w:left="720" w:hanging="720"/>
        <w:rPr>
          <w:noProof w:val="0"/>
          <w:lang w:val="es-ES"/>
        </w:rPr>
      </w:pPr>
      <w:r w:rsidRPr="00767435">
        <w:rPr>
          <w:noProof w:val="0"/>
          <w:lang w:val="es-ES"/>
        </w:rPr>
        <w:t>Indicadores de Resultados del Programa</w:t>
      </w:r>
    </w:p>
    <w:p w:rsidR="005905E6" w:rsidRPr="00767435" w:rsidRDefault="005905E6" w:rsidP="0055635B">
      <w:pPr>
        <w:pStyle w:val="AutoNumpara"/>
        <w:rPr>
          <w:lang w:val="es-ES"/>
        </w:rPr>
      </w:pPr>
      <w:r w:rsidRPr="00767435">
        <w:rPr>
          <w:lang w:val="es-ES"/>
        </w:rPr>
        <w:t>Los indicadores de resultados buscan cuantificar las mejoras que la implementación del proyecto producirá en tiempos de viaje y calidad del servicio ferroviario de pasajeros en el ramal Constitución-La Plata. Asimismo, los indicadores de impacto buscan cuantificar las  mejoras que el proyecto producirá en el área de influencia del ramal.</w:t>
      </w:r>
    </w:p>
    <w:p w:rsidR="005905E6" w:rsidRPr="00767435" w:rsidRDefault="005905E6" w:rsidP="008A7A39">
      <w:pPr>
        <w:pStyle w:val="AutoNumpara"/>
        <w:rPr>
          <w:noProof w:val="0"/>
          <w:lang w:val="es-ES"/>
        </w:rPr>
      </w:pPr>
      <w:r w:rsidRPr="00767435">
        <w:rPr>
          <w:noProof w:val="0"/>
          <w:lang w:val="es-ES"/>
        </w:rPr>
        <w:t>Por lo señalado, los indicadores de resultados que aparecen en el Cuadro No 3 han sido seleccionados para el Proyecto como forma de medir globalmente en el corto plazo los resultados directos de la implementación de todos sus componentes.</w:t>
      </w:r>
    </w:p>
    <w:p w:rsidR="005905E6" w:rsidRPr="00767435" w:rsidRDefault="005905E6" w:rsidP="00A608E1">
      <w:pPr>
        <w:pStyle w:val="AutoNumpara"/>
        <w:rPr>
          <w:lang w:val="es-ES"/>
        </w:rPr>
      </w:pPr>
      <w:r w:rsidRPr="00767435">
        <w:rPr>
          <w:lang w:val="es-ES"/>
        </w:rPr>
        <w:t>La verificación de dichos indicadores después de la ejecución de las intervenciones físicas a financiar permitirá medir el logro de los resultados del financiamiento. La verificación de que estos indicadores se mantienen en los niveles deseados y permitirán confirmar que los arreglos técnicos, financieros e institucionales a desarrollar con el Proyecto contribuyen al objetivo.</w:t>
      </w:r>
    </w:p>
    <w:p w:rsidR="005905E6" w:rsidRPr="00767435" w:rsidRDefault="005905E6" w:rsidP="008A7A39">
      <w:pPr>
        <w:pStyle w:val="AutoNumpara"/>
        <w:rPr>
          <w:noProof w:val="0"/>
          <w:lang w:val="es-ES"/>
        </w:rPr>
      </w:pPr>
      <w:r w:rsidRPr="00767435">
        <w:rPr>
          <w:noProof w:val="0"/>
          <w:lang w:val="es-ES"/>
        </w:rPr>
        <w:t>Los valores iniciales de los indicadores de resultado e impacto que aparecen en el Anexo II del POD se compararán contra su evolución y se reportará el resultado directo del Programa.</w:t>
      </w:r>
    </w:p>
    <w:p w:rsidR="001D3D98" w:rsidRDefault="001D3D98" w:rsidP="00A608E1">
      <w:pPr>
        <w:jc w:val="center"/>
        <w:rPr>
          <w:b/>
          <w:sz w:val="20"/>
          <w:lang w:val="es-ES"/>
        </w:rPr>
      </w:pPr>
    </w:p>
    <w:p w:rsidR="001D3D98" w:rsidRDefault="001D3D98" w:rsidP="00A608E1">
      <w:pPr>
        <w:jc w:val="center"/>
        <w:rPr>
          <w:b/>
          <w:sz w:val="20"/>
          <w:lang w:val="es-ES"/>
        </w:rPr>
      </w:pPr>
    </w:p>
    <w:p w:rsidR="001D3D98" w:rsidRDefault="001D3D98" w:rsidP="00A608E1">
      <w:pPr>
        <w:jc w:val="center"/>
        <w:rPr>
          <w:b/>
          <w:sz w:val="20"/>
          <w:lang w:val="es-ES"/>
        </w:rPr>
      </w:pPr>
    </w:p>
    <w:p w:rsidR="001D3D98" w:rsidRDefault="001D3D98" w:rsidP="00A608E1">
      <w:pPr>
        <w:jc w:val="center"/>
        <w:rPr>
          <w:b/>
          <w:sz w:val="20"/>
          <w:lang w:val="es-ES"/>
        </w:rPr>
      </w:pPr>
    </w:p>
    <w:p w:rsidR="005905E6" w:rsidRPr="00767435" w:rsidRDefault="005905E6" w:rsidP="00A608E1">
      <w:pPr>
        <w:jc w:val="center"/>
        <w:rPr>
          <w:b/>
          <w:sz w:val="20"/>
          <w:lang w:val="es-ES"/>
        </w:rPr>
      </w:pPr>
      <w:r w:rsidRPr="00767435">
        <w:rPr>
          <w:b/>
          <w:sz w:val="20"/>
          <w:lang w:val="es-ES"/>
        </w:rPr>
        <w:t xml:space="preserve">Cuadro </w:t>
      </w:r>
      <w:r w:rsidR="006D7DD7" w:rsidRPr="00767435">
        <w:rPr>
          <w:b/>
          <w:sz w:val="20"/>
          <w:lang w:val="es-ES"/>
        </w:rPr>
        <w:t>Nro.</w:t>
      </w:r>
      <w:r w:rsidRPr="00767435">
        <w:rPr>
          <w:b/>
          <w:sz w:val="20"/>
          <w:lang w:val="es-ES"/>
        </w:rPr>
        <w:t xml:space="preserve"> 3. Indicadores de Impactos y Resultados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061"/>
        <w:gridCol w:w="625"/>
        <w:gridCol w:w="671"/>
        <w:gridCol w:w="5632"/>
      </w:tblGrid>
      <w:tr w:rsidR="00767435" w:rsidRPr="00767435" w:rsidTr="00932FD7">
        <w:trPr>
          <w:jc w:val="center"/>
        </w:trPr>
        <w:tc>
          <w:tcPr>
            <w:tcW w:w="5000" w:type="pct"/>
            <w:gridSpan w:val="5"/>
          </w:tcPr>
          <w:p w:rsidR="00E25928" w:rsidRPr="00767435" w:rsidRDefault="00E25928" w:rsidP="00E25928">
            <w:pPr>
              <w:jc w:val="center"/>
              <w:rPr>
                <w:szCs w:val="21"/>
                <w:lang w:val="es-ES" w:eastAsia="es-BO"/>
              </w:rPr>
            </w:pPr>
            <w:r w:rsidRPr="00767435">
              <w:rPr>
                <w:b/>
                <w:szCs w:val="21"/>
                <w:lang w:val="es-ES" w:eastAsia="es-BO"/>
              </w:rPr>
              <w:t>Indicadores de impactos</w:t>
            </w:r>
          </w:p>
        </w:tc>
      </w:tr>
      <w:tr w:rsidR="00767435" w:rsidRPr="00767435" w:rsidTr="00E25928">
        <w:trPr>
          <w:jc w:val="center"/>
        </w:trPr>
        <w:tc>
          <w:tcPr>
            <w:tcW w:w="0" w:type="auto"/>
            <w:shd w:val="clear" w:color="auto" w:fill="17365D"/>
            <w:vAlign w:val="center"/>
          </w:tcPr>
          <w:p w:rsidR="00E25928" w:rsidRPr="00767435" w:rsidRDefault="00E25928" w:rsidP="00A47745">
            <w:pPr>
              <w:jc w:val="center"/>
              <w:rPr>
                <w:sz w:val="21"/>
                <w:szCs w:val="21"/>
                <w:lang w:val="es-ES"/>
              </w:rPr>
            </w:pPr>
            <w:r w:rsidRPr="00767435">
              <w:rPr>
                <w:b/>
                <w:sz w:val="21"/>
                <w:szCs w:val="21"/>
                <w:lang w:val="es-ES"/>
              </w:rPr>
              <w:t>Impacto/Indicador</w:t>
            </w:r>
          </w:p>
        </w:tc>
        <w:tc>
          <w:tcPr>
            <w:tcW w:w="0" w:type="auto"/>
            <w:shd w:val="clear" w:color="auto" w:fill="17365D"/>
            <w:vAlign w:val="center"/>
          </w:tcPr>
          <w:p w:rsidR="00E25928" w:rsidRPr="00767435" w:rsidRDefault="00E25928" w:rsidP="00A47745">
            <w:pPr>
              <w:jc w:val="center"/>
              <w:rPr>
                <w:b/>
                <w:sz w:val="21"/>
                <w:szCs w:val="21"/>
                <w:lang w:val="es-ES"/>
              </w:rPr>
            </w:pPr>
            <w:r w:rsidRPr="00767435">
              <w:rPr>
                <w:b/>
                <w:sz w:val="21"/>
                <w:szCs w:val="21"/>
                <w:lang w:val="es-ES"/>
              </w:rPr>
              <w:t>Unidad</w:t>
            </w:r>
          </w:p>
        </w:tc>
        <w:tc>
          <w:tcPr>
            <w:tcW w:w="0" w:type="auto"/>
            <w:shd w:val="clear" w:color="auto" w:fill="17365D"/>
            <w:vAlign w:val="center"/>
          </w:tcPr>
          <w:p w:rsidR="00E25928" w:rsidRPr="00767435" w:rsidRDefault="00E25928" w:rsidP="002F3289">
            <w:pPr>
              <w:jc w:val="center"/>
              <w:rPr>
                <w:b/>
                <w:sz w:val="21"/>
                <w:szCs w:val="21"/>
                <w:lang w:val="es-ES"/>
              </w:rPr>
            </w:pPr>
            <w:r w:rsidRPr="00767435">
              <w:rPr>
                <w:b/>
                <w:sz w:val="21"/>
                <w:szCs w:val="21"/>
                <w:lang w:val="es-ES"/>
              </w:rPr>
              <w:t>Base</w:t>
            </w:r>
          </w:p>
        </w:tc>
        <w:tc>
          <w:tcPr>
            <w:tcW w:w="0" w:type="auto"/>
            <w:shd w:val="clear" w:color="auto" w:fill="17365D"/>
            <w:vAlign w:val="center"/>
          </w:tcPr>
          <w:p w:rsidR="00E25928" w:rsidRPr="00767435" w:rsidRDefault="00E25928" w:rsidP="006D7DD7">
            <w:pPr>
              <w:jc w:val="center"/>
              <w:rPr>
                <w:b/>
                <w:noProof/>
                <w:sz w:val="21"/>
                <w:szCs w:val="21"/>
                <w:lang w:val="es-ES"/>
              </w:rPr>
            </w:pPr>
            <w:r w:rsidRPr="00767435">
              <w:rPr>
                <w:b/>
                <w:sz w:val="21"/>
                <w:szCs w:val="21"/>
                <w:lang w:val="es-ES"/>
              </w:rPr>
              <w:t>Meta</w:t>
            </w:r>
          </w:p>
        </w:tc>
        <w:tc>
          <w:tcPr>
            <w:tcW w:w="0" w:type="auto"/>
            <w:shd w:val="clear" w:color="auto" w:fill="17365D"/>
            <w:vAlign w:val="center"/>
          </w:tcPr>
          <w:p w:rsidR="00E25928" w:rsidRPr="00767435" w:rsidRDefault="00E25928" w:rsidP="00A47745">
            <w:pPr>
              <w:jc w:val="center"/>
              <w:rPr>
                <w:b/>
                <w:sz w:val="21"/>
                <w:szCs w:val="21"/>
                <w:lang w:val="es-ES"/>
              </w:rPr>
            </w:pPr>
            <w:r w:rsidRPr="00767435">
              <w:rPr>
                <w:b/>
                <w:sz w:val="21"/>
                <w:szCs w:val="21"/>
                <w:lang w:val="es-ES"/>
              </w:rPr>
              <w:t>Observaciones/Medio de verificación</w:t>
            </w:r>
          </w:p>
        </w:tc>
      </w:tr>
      <w:tr w:rsidR="00767435" w:rsidRPr="00767435" w:rsidTr="00E25928">
        <w:trPr>
          <w:jc w:val="center"/>
        </w:trPr>
        <w:tc>
          <w:tcPr>
            <w:tcW w:w="0" w:type="auto"/>
            <w:vAlign w:val="center"/>
          </w:tcPr>
          <w:p w:rsidR="00E25928" w:rsidRPr="00767435" w:rsidRDefault="00E25928" w:rsidP="00A47745">
            <w:pPr>
              <w:rPr>
                <w:sz w:val="21"/>
                <w:szCs w:val="21"/>
                <w:lang w:eastAsia="es-BO"/>
              </w:rPr>
            </w:pPr>
            <w:r w:rsidRPr="00767435">
              <w:rPr>
                <w:sz w:val="21"/>
                <w:szCs w:val="21"/>
                <w:lang w:val="es-ES" w:eastAsia="es-BO"/>
              </w:rPr>
              <w:t>Participación modal del ferrocarril en el corredor Buenos Aires-La Plata</w:t>
            </w:r>
          </w:p>
        </w:tc>
        <w:tc>
          <w:tcPr>
            <w:tcW w:w="0" w:type="auto"/>
            <w:vAlign w:val="center"/>
          </w:tcPr>
          <w:p w:rsidR="00E25928" w:rsidRPr="00767435" w:rsidRDefault="00E25928" w:rsidP="00A47745">
            <w:pPr>
              <w:autoSpaceDE w:val="0"/>
              <w:autoSpaceDN w:val="0"/>
              <w:adjustRightInd w:val="0"/>
              <w:jc w:val="center"/>
              <w:rPr>
                <w:sz w:val="21"/>
                <w:szCs w:val="21"/>
                <w:lang w:val="es-ES" w:eastAsia="es-BO"/>
              </w:rPr>
            </w:pPr>
            <w:r w:rsidRPr="00767435">
              <w:rPr>
                <w:sz w:val="21"/>
                <w:szCs w:val="21"/>
                <w:lang w:val="es-ES" w:eastAsia="es-BO"/>
              </w:rPr>
              <w:t>porcentaje</w:t>
            </w:r>
          </w:p>
        </w:tc>
        <w:tc>
          <w:tcPr>
            <w:tcW w:w="0" w:type="auto"/>
            <w:vAlign w:val="center"/>
          </w:tcPr>
          <w:p w:rsidR="00E25928" w:rsidRPr="00767435" w:rsidRDefault="002F3289" w:rsidP="00E25928">
            <w:pPr>
              <w:jc w:val="center"/>
              <w:rPr>
                <w:sz w:val="21"/>
                <w:szCs w:val="21"/>
                <w:lang w:val="es-ES" w:eastAsia="es-BO"/>
              </w:rPr>
            </w:pPr>
            <w:r>
              <w:rPr>
                <w:sz w:val="21"/>
                <w:szCs w:val="21"/>
                <w:lang w:val="es-ES" w:eastAsia="es-BO"/>
              </w:rPr>
              <w:t>32</w:t>
            </w:r>
          </w:p>
        </w:tc>
        <w:tc>
          <w:tcPr>
            <w:tcW w:w="0" w:type="auto"/>
            <w:vAlign w:val="center"/>
          </w:tcPr>
          <w:p w:rsidR="00E25928" w:rsidRPr="00767435" w:rsidRDefault="00E25928">
            <w:pPr>
              <w:jc w:val="center"/>
              <w:rPr>
                <w:sz w:val="21"/>
                <w:szCs w:val="21"/>
                <w:lang w:val="es-ES" w:eastAsia="es-BO"/>
              </w:rPr>
            </w:pPr>
            <w:r w:rsidRPr="00767435">
              <w:rPr>
                <w:sz w:val="21"/>
                <w:szCs w:val="21"/>
                <w:lang w:val="es-ES" w:eastAsia="es-BO"/>
              </w:rPr>
              <w:t>4</w:t>
            </w:r>
            <w:r w:rsidR="002F3289">
              <w:rPr>
                <w:sz w:val="21"/>
                <w:szCs w:val="21"/>
                <w:lang w:val="es-ES" w:eastAsia="es-BO"/>
              </w:rPr>
              <w:t>0</w:t>
            </w:r>
          </w:p>
        </w:tc>
        <w:tc>
          <w:tcPr>
            <w:tcW w:w="0" w:type="auto"/>
          </w:tcPr>
          <w:p w:rsidR="00E25928" w:rsidRPr="00767435" w:rsidRDefault="00E25928" w:rsidP="00A47745">
            <w:pPr>
              <w:jc w:val="both"/>
              <w:rPr>
                <w:sz w:val="21"/>
                <w:szCs w:val="21"/>
                <w:lang w:val="es-ES" w:eastAsia="es-BO"/>
              </w:rPr>
            </w:pPr>
            <w:r w:rsidRPr="00767435">
              <w:rPr>
                <w:sz w:val="21"/>
                <w:szCs w:val="21"/>
                <w:lang w:val="es-ES" w:eastAsia="es-BO"/>
              </w:rPr>
              <w:t>Línea base: “</w:t>
            </w:r>
            <w:r w:rsidRPr="00767435">
              <w:rPr>
                <w:i/>
                <w:sz w:val="21"/>
                <w:szCs w:val="21"/>
                <w:lang w:val="es-ES" w:eastAsia="es-BO"/>
              </w:rPr>
              <w:t>Estudio de Viabilidad Económica de la Electrificación del Corredor Plaza Constitución-La Plata, Línea Roca”</w:t>
            </w:r>
            <w:r w:rsidRPr="00767435">
              <w:rPr>
                <w:i/>
                <w:sz w:val="21"/>
                <w:szCs w:val="21"/>
                <w:vertAlign w:val="superscript"/>
                <w:lang w:val="es-ES" w:eastAsia="es-BO"/>
              </w:rPr>
              <w:footnoteReference w:id="3"/>
            </w:r>
            <w:r w:rsidRPr="00767435">
              <w:rPr>
                <w:sz w:val="21"/>
                <w:szCs w:val="21"/>
                <w:lang w:val="es-ES" w:eastAsia="es-BO"/>
              </w:rPr>
              <w:t>.</w:t>
            </w:r>
          </w:p>
          <w:p w:rsidR="00E25928" w:rsidRPr="00767435" w:rsidRDefault="00E25928" w:rsidP="00A47745">
            <w:pPr>
              <w:jc w:val="both"/>
              <w:rPr>
                <w:sz w:val="21"/>
                <w:szCs w:val="21"/>
                <w:lang w:val="es-ES" w:eastAsia="es-BO"/>
              </w:rPr>
            </w:pPr>
            <w:r w:rsidRPr="00767435">
              <w:rPr>
                <w:sz w:val="21"/>
                <w:szCs w:val="21"/>
                <w:lang w:val="es-ES" w:eastAsia="es-BO"/>
              </w:rPr>
              <w:t>La meta ha sido estimada en base a los parámetros y supuestos aplicados a la evaluación económica del proyecto, y será verificada a través de una encuesta a pasajeros a realizarse en 2018.</w:t>
            </w:r>
          </w:p>
        </w:tc>
      </w:tr>
    </w:tbl>
    <w:p w:rsidR="005905E6" w:rsidRPr="00767435" w:rsidRDefault="005905E6" w:rsidP="00A608E1">
      <w:pPr>
        <w:rPr>
          <w:sz w:val="21"/>
          <w:szCs w:val="21"/>
          <w:lang w:val="es-ES"/>
        </w:rPr>
      </w:pPr>
    </w:p>
    <w:p w:rsidR="00E25928" w:rsidRPr="00767435" w:rsidRDefault="00E25928" w:rsidP="00A608E1">
      <w:pPr>
        <w:rPr>
          <w:sz w:val="21"/>
          <w:szCs w:val="21"/>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1419"/>
        <w:gridCol w:w="758"/>
        <w:gridCol w:w="758"/>
        <w:gridCol w:w="3692"/>
      </w:tblGrid>
      <w:tr w:rsidR="00767435" w:rsidRPr="00767435" w:rsidTr="00E25928">
        <w:trPr>
          <w:jc w:val="center"/>
        </w:trPr>
        <w:tc>
          <w:tcPr>
            <w:tcW w:w="5000" w:type="pct"/>
            <w:gridSpan w:val="5"/>
          </w:tcPr>
          <w:p w:rsidR="005905E6" w:rsidRPr="00767435" w:rsidRDefault="005905E6" w:rsidP="00A47745">
            <w:pPr>
              <w:jc w:val="center"/>
              <w:rPr>
                <w:szCs w:val="21"/>
                <w:lang w:val="es-ES" w:eastAsia="es-BO"/>
              </w:rPr>
            </w:pPr>
            <w:r w:rsidRPr="00767435">
              <w:rPr>
                <w:b/>
                <w:szCs w:val="21"/>
                <w:lang w:val="es-ES" w:eastAsia="es-BO"/>
              </w:rPr>
              <w:t>Indicadores de resultados</w:t>
            </w:r>
          </w:p>
        </w:tc>
      </w:tr>
      <w:tr w:rsidR="00767435" w:rsidRPr="00767435" w:rsidTr="00E25928">
        <w:trPr>
          <w:jc w:val="center"/>
        </w:trPr>
        <w:tc>
          <w:tcPr>
            <w:tcW w:w="1635" w:type="pct"/>
            <w:shd w:val="clear" w:color="auto" w:fill="17365D"/>
            <w:vAlign w:val="center"/>
          </w:tcPr>
          <w:p w:rsidR="005905E6" w:rsidRPr="00767435" w:rsidRDefault="005905E6" w:rsidP="00A47745">
            <w:pPr>
              <w:jc w:val="center"/>
              <w:rPr>
                <w:sz w:val="21"/>
                <w:szCs w:val="21"/>
                <w:lang w:val="es-ES"/>
              </w:rPr>
            </w:pPr>
            <w:r w:rsidRPr="00767435">
              <w:rPr>
                <w:b/>
                <w:sz w:val="21"/>
                <w:szCs w:val="21"/>
                <w:lang w:val="es-ES"/>
              </w:rPr>
              <w:t>Resultado/Indicador</w:t>
            </w:r>
          </w:p>
        </w:tc>
        <w:tc>
          <w:tcPr>
            <w:tcW w:w="720" w:type="pct"/>
            <w:shd w:val="clear" w:color="auto" w:fill="17365D"/>
            <w:vAlign w:val="center"/>
          </w:tcPr>
          <w:p w:rsidR="005905E6" w:rsidRPr="00767435" w:rsidRDefault="005905E6" w:rsidP="00A47745">
            <w:pPr>
              <w:jc w:val="center"/>
              <w:rPr>
                <w:b/>
                <w:sz w:val="21"/>
                <w:szCs w:val="21"/>
                <w:lang w:val="es-ES"/>
              </w:rPr>
            </w:pPr>
            <w:r w:rsidRPr="00767435">
              <w:rPr>
                <w:b/>
                <w:sz w:val="21"/>
                <w:szCs w:val="21"/>
                <w:lang w:val="es-ES"/>
              </w:rPr>
              <w:t>Unidad</w:t>
            </w:r>
          </w:p>
        </w:tc>
        <w:tc>
          <w:tcPr>
            <w:tcW w:w="385" w:type="pct"/>
            <w:shd w:val="clear" w:color="auto" w:fill="17365D"/>
            <w:vAlign w:val="center"/>
          </w:tcPr>
          <w:p w:rsidR="005905E6" w:rsidRPr="00767435" w:rsidRDefault="005905E6" w:rsidP="00A47745">
            <w:pPr>
              <w:jc w:val="center"/>
              <w:rPr>
                <w:b/>
                <w:sz w:val="21"/>
                <w:szCs w:val="21"/>
                <w:lang w:val="es-ES"/>
              </w:rPr>
            </w:pPr>
            <w:r w:rsidRPr="00767435">
              <w:rPr>
                <w:b/>
                <w:sz w:val="21"/>
                <w:szCs w:val="21"/>
                <w:lang w:val="es-ES"/>
              </w:rPr>
              <w:t>Base</w:t>
            </w:r>
          </w:p>
          <w:p w:rsidR="005905E6" w:rsidRPr="00767435" w:rsidRDefault="005905E6" w:rsidP="00A47745">
            <w:pPr>
              <w:jc w:val="center"/>
              <w:rPr>
                <w:b/>
                <w:sz w:val="21"/>
                <w:szCs w:val="21"/>
                <w:lang w:val="es-ES"/>
              </w:rPr>
            </w:pPr>
            <w:r w:rsidRPr="00767435">
              <w:rPr>
                <w:b/>
                <w:sz w:val="21"/>
                <w:szCs w:val="21"/>
                <w:lang w:val="es-ES"/>
              </w:rPr>
              <w:t>(2012)</w:t>
            </w:r>
          </w:p>
        </w:tc>
        <w:tc>
          <w:tcPr>
            <w:tcW w:w="385" w:type="pct"/>
            <w:shd w:val="clear" w:color="auto" w:fill="17365D"/>
            <w:vAlign w:val="center"/>
          </w:tcPr>
          <w:p w:rsidR="005905E6" w:rsidRPr="00767435" w:rsidRDefault="005905E6" w:rsidP="00A47745">
            <w:pPr>
              <w:jc w:val="center"/>
              <w:rPr>
                <w:b/>
                <w:sz w:val="21"/>
                <w:szCs w:val="21"/>
                <w:lang w:val="es-ES"/>
              </w:rPr>
            </w:pPr>
            <w:r w:rsidRPr="00767435">
              <w:rPr>
                <w:b/>
                <w:sz w:val="21"/>
                <w:szCs w:val="21"/>
                <w:lang w:val="es-ES"/>
              </w:rPr>
              <w:t>Meta</w:t>
            </w:r>
          </w:p>
          <w:p w:rsidR="005905E6" w:rsidRPr="00767435" w:rsidRDefault="005905E6" w:rsidP="00A47745">
            <w:pPr>
              <w:jc w:val="center"/>
              <w:rPr>
                <w:b/>
                <w:sz w:val="21"/>
                <w:szCs w:val="21"/>
                <w:lang w:val="es-ES"/>
              </w:rPr>
            </w:pPr>
            <w:r w:rsidRPr="00767435">
              <w:rPr>
                <w:b/>
                <w:sz w:val="21"/>
                <w:szCs w:val="21"/>
                <w:lang w:val="es-ES"/>
              </w:rPr>
              <w:t>(2018)</w:t>
            </w:r>
          </w:p>
        </w:tc>
        <w:tc>
          <w:tcPr>
            <w:tcW w:w="1875" w:type="pct"/>
            <w:shd w:val="clear" w:color="auto" w:fill="17365D"/>
            <w:vAlign w:val="center"/>
          </w:tcPr>
          <w:p w:rsidR="005905E6" w:rsidRPr="00767435" w:rsidRDefault="005905E6" w:rsidP="00A47745">
            <w:pPr>
              <w:jc w:val="center"/>
              <w:rPr>
                <w:b/>
                <w:sz w:val="21"/>
                <w:szCs w:val="21"/>
                <w:lang w:val="es-ES"/>
              </w:rPr>
            </w:pPr>
            <w:r w:rsidRPr="00767435">
              <w:rPr>
                <w:b/>
                <w:sz w:val="21"/>
                <w:szCs w:val="21"/>
                <w:lang w:val="es-ES"/>
              </w:rPr>
              <w:t>Observaciones/Medio de verificación</w:t>
            </w:r>
          </w:p>
        </w:tc>
      </w:tr>
      <w:tr w:rsidR="00767435" w:rsidRPr="00767435" w:rsidTr="00E25928">
        <w:trPr>
          <w:jc w:val="center"/>
        </w:trPr>
        <w:tc>
          <w:tcPr>
            <w:tcW w:w="1635" w:type="pct"/>
            <w:vAlign w:val="center"/>
          </w:tcPr>
          <w:p w:rsidR="005905E6" w:rsidRPr="00767435" w:rsidRDefault="005905E6" w:rsidP="00A47745">
            <w:pPr>
              <w:rPr>
                <w:sz w:val="21"/>
                <w:szCs w:val="21"/>
                <w:lang w:val="es-ES" w:eastAsia="es-BO"/>
              </w:rPr>
            </w:pPr>
            <w:r w:rsidRPr="00767435">
              <w:rPr>
                <w:sz w:val="21"/>
                <w:szCs w:val="21"/>
                <w:lang w:val="es-ES" w:eastAsia="es-BO"/>
              </w:rPr>
              <w:t>Tiempos de viaje efectivo en el Ramal Constitución – La Plata en servicios con paradas en todas las estaciones</w:t>
            </w:r>
          </w:p>
        </w:tc>
        <w:tc>
          <w:tcPr>
            <w:tcW w:w="720" w:type="pct"/>
            <w:vAlign w:val="center"/>
          </w:tcPr>
          <w:p w:rsidR="005905E6" w:rsidRPr="00767435" w:rsidRDefault="005905E6" w:rsidP="00A47745">
            <w:pPr>
              <w:autoSpaceDE w:val="0"/>
              <w:autoSpaceDN w:val="0"/>
              <w:adjustRightInd w:val="0"/>
              <w:jc w:val="center"/>
              <w:rPr>
                <w:sz w:val="21"/>
                <w:szCs w:val="21"/>
                <w:lang w:val="es-ES" w:eastAsia="es-BO"/>
              </w:rPr>
            </w:pPr>
            <w:r w:rsidRPr="00767435">
              <w:rPr>
                <w:sz w:val="21"/>
                <w:szCs w:val="21"/>
                <w:lang w:val="es-ES" w:eastAsia="es-BO"/>
              </w:rPr>
              <w:t>Minutos</w:t>
            </w:r>
          </w:p>
        </w:tc>
        <w:tc>
          <w:tcPr>
            <w:tcW w:w="385" w:type="pct"/>
            <w:vAlign w:val="center"/>
          </w:tcPr>
          <w:p w:rsidR="005905E6" w:rsidRPr="00767435" w:rsidRDefault="008B4F6D" w:rsidP="00A47745">
            <w:pPr>
              <w:autoSpaceDE w:val="0"/>
              <w:autoSpaceDN w:val="0"/>
              <w:adjustRightInd w:val="0"/>
              <w:jc w:val="center"/>
              <w:rPr>
                <w:sz w:val="21"/>
                <w:szCs w:val="21"/>
                <w:lang w:val="es-ES" w:eastAsia="es-BO"/>
              </w:rPr>
            </w:pPr>
            <w:r w:rsidRPr="00767435">
              <w:rPr>
                <w:sz w:val="21"/>
                <w:szCs w:val="21"/>
                <w:lang w:val="es-ES" w:eastAsia="es-BO"/>
              </w:rPr>
              <w:t>80</w:t>
            </w:r>
          </w:p>
        </w:tc>
        <w:tc>
          <w:tcPr>
            <w:tcW w:w="385" w:type="pct"/>
            <w:vAlign w:val="center"/>
          </w:tcPr>
          <w:p w:rsidR="005905E6" w:rsidRPr="00767435" w:rsidRDefault="008B4F6D" w:rsidP="00A47745">
            <w:pPr>
              <w:autoSpaceDE w:val="0"/>
              <w:autoSpaceDN w:val="0"/>
              <w:adjustRightInd w:val="0"/>
              <w:jc w:val="center"/>
              <w:rPr>
                <w:sz w:val="21"/>
                <w:szCs w:val="21"/>
                <w:lang w:val="es-ES" w:eastAsia="es-BO"/>
              </w:rPr>
            </w:pPr>
            <w:r w:rsidRPr="00767435">
              <w:rPr>
                <w:sz w:val="21"/>
                <w:szCs w:val="21"/>
                <w:lang w:val="es-ES" w:eastAsia="es-BO"/>
              </w:rPr>
              <w:t>63</w:t>
            </w:r>
          </w:p>
        </w:tc>
        <w:tc>
          <w:tcPr>
            <w:tcW w:w="1875" w:type="pct"/>
            <w:vAlign w:val="center"/>
          </w:tcPr>
          <w:p w:rsidR="005905E6" w:rsidRPr="00767435" w:rsidRDefault="005905E6" w:rsidP="00A47745">
            <w:pPr>
              <w:rPr>
                <w:sz w:val="21"/>
                <w:szCs w:val="21"/>
                <w:lang w:val="es-ES" w:eastAsia="es-BO"/>
              </w:rPr>
            </w:pPr>
            <w:r w:rsidRPr="00767435">
              <w:rPr>
                <w:sz w:val="21"/>
                <w:szCs w:val="21"/>
                <w:lang w:val="es-ES" w:eastAsia="es-BO"/>
              </w:rPr>
              <w:t>Línea base: UGOFE - Programación de servicios</w:t>
            </w:r>
          </w:p>
          <w:p w:rsidR="005905E6" w:rsidRPr="00767435" w:rsidRDefault="005905E6" w:rsidP="00A47745">
            <w:pPr>
              <w:rPr>
                <w:sz w:val="21"/>
                <w:szCs w:val="21"/>
                <w:lang w:val="es-ES" w:eastAsia="es-BO"/>
              </w:rPr>
            </w:pPr>
            <w:r w:rsidRPr="00767435">
              <w:rPr>
                <w:sz w:val="21"/>
                <w:szCs w:val="21"/>
                <w:lang w:val="es-ES" w:eastAsia="es-BO"/>
              </w:rPr>
              <w:t>La meta será verificada 6 meses luego de concluidas las obras y el inicio de la operación del servicio electrificado.</w:t>
            </w:r>
          </w:p>
        </w:tc>
      </w:tr>
      <w:tr w:rsidR="00767435" w:rsidRPr="00767435" w:rsidTr="00E25928">
        <w:trPr>
          <w:trHeight w:val="125"/>
          <w:jc w:val="center"/>
        </w:trPr>
        <w:tc>
          <w:tcPr>
            <w:tcW w:w="1635" w:type="pct"/>
            <w:vAlign w:val="center"/>
          </w:tcPr>
          <w:p w:rsidR="005905E6" w:rsidRPr="00767435" w:rsidRDefault="005905E6" w:rsidP="00A47745">
            <w:pPr>
              <w:rPr>
                <w:sz w:val="21"/>
                <w:szCs w:val="21"/>
                <w:lang w:val="es-ES" w:eastAsia="es-BO"/>
              </w:rPr>
            </w:pPr>
            <w:r w:rsidRPr="00767435">
              <w:rPr>
                <w:sz w:val="21"/>
                <w:szCs w:val="21"/>
                <w:lang w:val="es-ES" w:eastAsia="es-BO"/>
              </w:rPr>
              <w:t>Tiempo de espera entre trenes en tramo Constitución – Berazategui(en hora pico)</w:t>
            </w:r>
          </w:p>
        </w:tc>
        <w:tc>
          <w:tcPr>
            <w:tcW w:w="720" w:type="pct"/>
            <w:vAlign w:val="center"/>
          </w:tcPr>
          <w:p w:rsidR="005905E6" w:rsidRPr="00767435" w:rsidRDefault="005905E6" w:rsidP="00A47745">
            <w:pPr>
              <w:autoSpaceDE w:val="0"/>
              <w:autoSpaceDN w:val="0"/>
              <w:adjustRightInd w:val="0"/>
              <w:jc w:val="center"/>
              <w:rPr>
                <w:sz w:val="21"/>
                <w:szCs w:val="21"/>
                <w:lang w:val="es-ES" w:eastAsia="es-BO"/>
              </w:rPr>
            </w:pPr>
            <w:r w:rsidRPr="00767435">
              <w:rPr>
                <w:sz w:val="21"/>
                <w:szCs w:val="21"/>
                <w:lang w:val="es-ES" w:eastAsia="es-BO"/>
              </w:rPr>
              <w:t>Minutos</w:t>
            </w:r>
          </w:p>
        </w:tc>
        <w:tc>
          <w:tcPr>
            <w:tcW w:w="385" w:type="pct"/>
            <w:vAlign w:val="center"/>
          </w:tcPr>
          <w:p w:rsidR="005905E6" w:rsidRPr="00767435" w:rsidRDefault="005905E6" w:rsidP="00A47745">
            <w:pPr>
              <w:autoSpaceDE w:val="0"/>
              <w:autoSpaceDN w:val="0"/>
              <w:adjustRightInd w:val="0"/>
              <w:jc w:val="center"/>
              <w:rPr>
                <w:sz w:val="21"/>
                <w:szCs w:val="21"/>
                <w:lang w:val="es-ES" w:eastAsia="es-BO"/>
              </w:rPr>
            </w:pPr>
            <w:r w:rsidRPr="00767435">
              <w:rPr>
                <w:sz w:val="21"/>
                <w:szCs w:val="21"/>
                <w:lang w:val="es-ES" w:eastAsia="es-BO"/>
              </w:rPr>
              <w:t>12</w:t>
            </w:r>
          </w:p>
        </w:tc>
        <w:tc>
          <w:tcPr>
            <w:tcW w:w="385" w:type="pct"/>
            <w:vAlign w:val="center"/>
          </w:tcPr>
          <w:p w:rsidR="005905E6" w:rsidRPr="00767435" w:rsidRDefault="005905E6" w:rsidP="00A47745">
            <w:pPr>
              <w:autoSpaceDE w:val="0"/>
              <w:autoSpaceDN w:val="0"/>
              <w:adjustRightInd w:val="0"/>
              <w:jc w:val="center"/>
              <w:rPr>
                <w:sz w:val="21"/>
                <w:szCs w:val="21"/>
                <w:lang w:val="es-ES" w:eastAsia="es-BO"/>
              </w:rPr>
            </w:pPr>
            <w:r w:rsidRPr="00767435">
              <w:rPr>
                <w:sz w:val="21"/>
                <w:szCs w:val="21"/>
                <w:lang w:val="es-ES" w:eastAsia="es-BO"/>
              </w:rPr>
              <w:t>8,5</w:t>
            </w:r>
          </w:p>
        </w:tc>
        <w:tc>
          <w:tcPr>
            <w:tcW w:w="1875" w:type="pct"/>
            <w:vAlign w:val="center"/>
          </w:tcPr>
          <w:p w:rsidR="005905E6" w:rsidRPr="00767435" w:rsidRDefault="005905E6" w:rsidP="00A47745">
            <w:pPr>
              <w:rPr>
                <w:sz w:val="21"/>
                <w:szCs w:val="21"/>
                <w:lang w:val="es-ES" w:eastAsia="es-BO"/>
              </w:rPr>
            </w:pPr>
            <w:r w:rsidRPr="00767435">
              <w:rPr>
                <w:sz w:val="21"/>
                <w:szCs w:val="21"/>
                <w:lang w:val="es-ES" w:eastAsia="es-BO"/>
              </w:rPr>
              <w:t>Línea base: UGOFE - Programación de servicios</w:t>
            </w:r>
          </w:p>
          <w:p w:rsidR="005905E6" w:rsidRPr="00767435" w:rsidRDefault="005905E6" w:rsidP="00A47745">
            <w:pPr>
              <w:rPr>
                <w:sz w:val="21"/>
                <w:szCs w:val="21"/>
                <w:lang w:val="es-ES" w:eastAsia="es-BO"/>
              </w:rPr>
            </w:pPr>
            <w:r w:rsidRPr="00767435">
              <w:rPr>
                <w:sz w:val="21"/>
                <w:szCs w:val="21"/>
                <w:lang w:val="es-ES" w:eastAsia="es-BO"/>
              </w:rPr>
              <w:t>La meta será verificada 6 meses luego de concluidas las obras y el inicio de la operación del servicio electrificado.</w:t>
            </w:r>
          </w:p>
        </w:tc>
      </w:tr>
      <w:tr w:rsidR="00767435" w:rsidRPr="00767435" w:rsidTr="00E25928">
        <w:trPr>
          <w:trHeight w:val="125"/>
          <w:jc w:val="center"/>
        </w:trPr>
        <w:tc>
          <w:tcPr>
            <w:tcW w:w="1635" w:type="pct"/>
            <w:vAlign w:val="center"/>
          </w:tcPr>
          <w:p w:rsidR="005905E6" w:rsidRPr="00767435" w:rsidRDefault="005905E6" w:rsidP="00A47745">
            <w:pPr>
              <w:rPr>
                <w:sz w:val="21"/>
                <w:szCs w:val="21"/>
                <w:lang w:val="es-ES" w:eastAsia="es-BO"/>
              </w:rPr>
            </w:pPr>
            <w:r w:rsidRPr="00767435">
              <w:rPr>
                <w:sz w:val="21"/>
                <w:szCs w:val="21"/>
                <w:lang w:val="es-ES" w:eastAsia="es-BO"/>
              </w:rPr>
              <w:t>Confiabilidad del servicio: cumplimiento de programación</w:t>
            </w:r>
          </w:p>
        </w:tc>
        <w:tc>
          <w:tcPr>
            <w:tcW w:w="720" w:type="pct"/>
            <w:vAlign w:val="center"/>
          </w:tcPr>
          <w:p w:rsidR="005905E6" w:rsidRPr="00767435" w:rsidRDefault="005905E6" w:rsidP="00A47745">
            <w:pPr>
              <w:autoSpaceDE w:val="0"/>
              <w:autoSpaceDN w:val="0"/>
              <w:adjustRightInd w:val="0"/>
              <w:jc w:val="center"/>
              <w:rPr>
                <w:sz w:val="21"/>
                <w:szCs w:val="21"/>
                <w:lang w:val="es-ES" w:eastAsia="es-BO"/>
              </w:rPr>
            </w:pPr>
            <w:r w:rsidRPr="00767435">
              <w:rPr>
                <w:sz w:val="21"/>
                <w:szCs w:val="21"/>
                <w:lang w:val="es-ES" w:eastAsia="es-BO"/>
              </w:rPr>
              <w:t>trenes corridos/trenes programados</w:t>
            </w:r>
          </w:p>
        </w:tc>
        <w:tc>
          <w:tcPr>
            <w:tcW w:w="385" w:type="pct"/>
            <w:vAlign w:val="center"/>
          </w:tcPr>
          <w:p w:rsidR="005905E6" w:rsidRPr="00767435" w:rsidRDefault="005905E6" w:rsidP="00A47745">
            <w:pPr>
              <w:autoSpaceDE w:val="0"/>
              <w:autoSpaceDN w:val="0"/>
              <w:adjustRightInd w:val="0"/>
              <w:jc w:val="center"/>
              <w:rPr>
                <w:sz w:val="21"/>
                <w:szCs w:val="21"/>
                <w:lang w:val="es-ES" w:eastAsia="es-BO"/>
              </w:rPr>
            </w:pPr>
            <w:r w:rsidRPr="00767435">
              <w:rPr>
                <w:sz w:val="21"/>
                <w:szCs w:val="21"/>
                <w:lang w:val="es-ES" w:eastAsia="es-BO"/>
              </w:rPr>
              <w:t>0,98</w:t>
            </w:r>
          </w:p>
        </w:tc>
        <w:tc>
          <w:tcPr>
            <w:tcW w:w="385" w:type="pct"/>
            <w:vAlign w:val="center"/>
          </w:tcPr>
          <w:p w:rsidR="005905E6" w:rsidRPr="00767435" w:rsidRDefault="005905E6" w:rsidP="00A47745">
            <w:pPr>
              <w:autoSpaceDE w:val="0"/>
              <w:autoSpaceDN w:val="0"/>
              <w:adjustRightInd w:val="0"/>
              <w:jc w:val="center"/>
              <w:rPr>
                <w:sz w:val="21"/>
                <w:szCs w:val="21"/>
                <w:lang w:val="es-ES" w:eastAsia="es-BO"/>
              </w:rPr>
            </w:pPr>
            <w:r w:rsidRPr="00767435">
              <w:rPr>
                <w:sz w:val="21"/>
                <w:szCs w:val="21"/>
                <w:lang w:val="es-ES" w:eastAsia="es-BO"/>
              </w:rPr>
              <w:t xml:space="preserve">   0,98</w:t>
            </w:r>
          </w:p>
        </w:tc>
        <w:tc>
          <w:tcPr>
            <w:tcW w:w="1875" w:type="pct"/>
            <w:vAlign w:val="center"/>
          </w:tcPr>
          <w:p w:rsidR="005905E6" w:rsidRPr="00767435" w:rsidRDefault="005905E6" w:rsidP="00A47745">
            <w:pPr>
              <w:rPr>
                <w:sz w:val="21"/>
                <w:szCs w:val="21"/>
                <w:lang w:val="es-ES" w:eastAsia="es-BO"/>
              </w:rPr>
            </w:pPr>
            <w:r w:rsidRPr="00767435">
              <w:rPr>
                <w:sz w:val="21"/>
                <w:szCs w:val="21"/>
                <w:lang w:val="es-ES" w:eastAsia="es-BO"/>
              </w:rPr>
              <w:t xml:space="preserve">Línea base: CNRT - Prestación efectiva del servicio. </w:t>
            </w:r>
          </w:p>
          <w:p w:rsidR="005905E6" w:rsidRPr="00767435" w:rsidRDefault="005905E6" w:rsidP="00A47745">
            <w:pPr>
              <w:rPr>
                <w:sz w:val="21"/>
                <w:szCs w:val="21"/>
                <w:lang w:val="es-ES" w:eastAsia="es-BO"/>
              </w:rPr>
            </w:pPr>
            <w:r w:rsidRPr="00767435">
              <w:rPr>
                <w:sz w:val="21"/>
                <w:szCs w:val="21"/>
                <w:lang w:val="es-ES" w:eastAsia="es-BO"/>
              </w:rPr>
              <w:t>La meta será verificada 6 meses luego de concluidas las obras y el inicio de la operación del servicio electrificado.</w:t>
            </w:r>
          </w:p>
        </w:tc>
      </w:tr>
      <w:tr w:rsidR="00767435" w:rsidRPr="00767435" w:rsidTr="00E25928">
        <w:trPr>
          <w:trHeight w:val="125"/>
          <w:jc w:val="center"/>
        </w:trPr>
        <w:tc>
          <w:tcPr>
            <w:tcW w:w="1635" w:type="pct"/>
            <w:vAlign w:val="center"/>
          </w:tcPr>
          <w:p w:rsidR="005905E6" w:rsidRPr="00767435" w:rsidRDefault="005905E6" w:rsidP="00A47745">
            <w:pPr>
              <w:rPr>
                <w:sz w:val="21"/>
                <w:szCs w:val="21"/>
                <w:lang w:val="es-ES" w:eastAsia="es-BO"/>
              </w:rPr>
            </w:pPr>
            <w:r w:rsidRPr="00767435">
              <w:rPr>
                <w:sz w:val="21"/>
                <w:szCs w:val="21"/>
                <w:lang w:val="es-ES" w:eastAsia="es-BO"/>
              </w:rPr>
              <w:t>Confiabilidad del servicio: demoras</w:t>
            </w:r>
          </w:p>
        </w:tc>
        <w:tc>
          <w:tcPr>
            <w:tcW w:w="720" w:type="pct"/>
            <w:vAlign w:val="center"/>
          </w:tcPr>
          <w:p w:rsidR="005905E6" w:rsidRPr="00767435" w:rsidRDefault="005905E6" w:rsidP="00A47745">
            <w:pPr>
              <w:autoSpaceDE w:val="0"/>
              <w:autoSpaceDN w:val="0"/>
              <w:adjustRightInd w:val="0"/>
              <w:jc w:val="center"/>
              <w:rPr>
                <w:sz w:val="21"/>
                <w:szCs w:val="21"/>
                <w:lang w:val="es-ES" w:eastAsia="es-BO"/>
              </w:rPr>
            </w:pPr>
            <w:r w:rsidRPr="00767435">
              <w:rPr>
                <w:sz w:val="21"/>
                <w:szCs w:val="21"/>
                <w:lang w:val="es-ES" w:eastAsia="es-BO"/>
              </w:rPr>
              <w:t>trenes a horario/trenes corridos</w:t>
            </w:r>
          </w:p>
        </w:tc>
        <w:tc>
          <w:tcPr>
            <w:tcW w:w="385" w:type="pct"/>
            <w:vAlign w:val="center"/>
          </w:tcPr>
          <w:p w:rsidR="005905E6" w:rsidRPr="00767435" w:rsidRDefault="005905E6" w:rsidP="00A47745">
            <w:pPr>
              <w:autoSpaceDE w:val="0"/>
              <w:autoSpaceDN w:val="0"/>
              <w:adjustRightInd w:val="0"/>
              <w:jc w:val="center"/>
              <w:rPr>
                <w:sz w:val="21"/>
                <w:szCs w:val="21"/>
                <w:lang w:val="es-ES" w:eastAsia="es-BO"/>
              </w:rPr>
            </w:pPr>
            <w:r w:rsidRPr="00767435">
              <w:rPr>
                <w:sz w:val="21"/>
                <w:szCs w:val="21"/>
                <w:lang w:val="es-ES" w:eastAsia="es-BO"/>
              </w:rPr>
              <w:t>0,73</w:t>
            </w:r>
          </w:p>
        </w:tc>
        <w:tc>
          <w:tcPr>
            <w:tcW w:w="385" w:type="pct"/>
            <w:vAlign w:val="center"/>
          </w:tcPr>
          <w:p w:rsidR="005905E6" w:rsidRPr="00767435" w:rsidRDefault="005905E6" w:rsidP="00A47745">
            <w:pPr>
              <w:autoSpaceDE w:val="0"/>
              <w:autoSpaceDN w:val="0"/>
              <w:adjustRightInd w:val="0"/>
              <w:jc w:val="center"/>
              <w:rPr>
                <w:sz w:val="21"/>
                <w:szCs w:val="21"/>
                <w:lang w:val="es-ES" w:eastAsia="es-BO"/>
              </w:rPr>
            </w:pPr>
            <w:r w:rsidRPr="00767435">
              <w:rPr>
                <w:sz w:val="21"/>
                <w:szCs w:val="21"/>
                <w:lang w:val="es-ES" w:eastAsia="es-BO"/>
              </w:rPr>
              <w:t>0,95</w:t>
            </w:r>
          </w:p>
        </w:tc>
        <w:tc>
          <w:tcPr>
            <w:tcW w:w="1875" w:type="pct"/>
            <w:vAlign w:val="center"/>
          </w:tcPr>
          <w:p w:rsidR="005905E6" w:rsidRPr="00767435" w:rsidRDefault="005905E6" w:rsidP="00A47745">
            <w:pPr>
              <w:rPr>
                <w:sz w:val="21"/>
                <w:szCs w:val="21"/>
                <w:lang w:val="es-ES" w:eastAsia="es-BO"/>
              </w:rPr>
            </w:pPr>
            <w:r w:rsidRPr="00767435">
              <w:rPr>
                <w:sz w:val="21"/>
                <w:szCs w:val="21"/>
                <w:lang w:val="es-ES" w:eastAsia="es-BO"/>
              </w:rPr>
              <w:t>Línea base: CNRT - Prestación efectiva del servicio.</w:t>
            </w:r>
          </w:p>
          <w:p w:rsidR="005905E6" w:rsidRPr="00767435" w:rsidRDefault="005905E6" w:rsidP="00A47745">
            <w:pPr>
              <w:rPr>
                <w:sz w:val="21"/>
                <w:szCs w:val="21"/>
                <w:lang w:val="es-ES" w:eastAsia="es-BO"/>
              </w:rPr>
            </w:pPr>
            <w:r w:rsidRPr="00767435">
              <w:rPr>
                <w:sz w:val="21"/>
                <w:szCs w:val="21"/>
                <w:lang w:val="es-ES" w:eastAsia="es-BO"/>
              </w:rPr>
              <w:t>La meta será verificada 6 meses luego de concluidas las obras y el inicio de la operación del servicio electrificado.</w:t>
            </w:r>
          </w:p>
        </w:tc>
      </w:tr>
      <w:tr w:rsidR="00767435" w:rsidRPr="00767435" w:rsidTr="00E25928">
        <w:trPr>
          <w:jc w:val="center"/>
        </w:trPr>
        <w:tc>
          <w:tcPr>
            <w:tcW w:w="1635" w:type="pct"/>
            <w:vAlign w:val="center"/>
          </w:tcPr>
          <w:p w:rsidR="005905E6" w:rsidRPr="00767435" w:rsidRDefault="005905E6" w:rsidP="00A47745">
            <w:pPr>
              <w:rPr>
                <w:sz w:val="21"/>
                <w:szCs w:val="21"/>
                <w:lang w:val="es-ES" w:eastAsia="es-BO"/>
              </w:rPr>
            </w:pPr>
            <w:r w:rsidRPr="00767435">
              <w:rPr>
                <w:sz w:val="21"/>
                <w:szCs w:val="21"/>
                <w:lang w:val="es-ES" w:eastAsia="es-BO"/>
              </w:rPr>
              <w:t>Seguridad: Accidentes de pasajeros asociados al movimiento de trenes</w:t>
            </w:r>
          </w:p>
          <w:p w:rsidR="005905E6" w:rsidRPr="00767435" w:rsidRDefault="005905E6" w:rsidP="00A47745">
            <w:pPr>
              <w:pStyle w:val="ListParagraph"/>
              <w:numPr>
                <w:ilvl w:val="0"/>
                <w:numId w:val="15"/>
              </w:numPr>
              <w:rPr>
                <w:sz w:val="21"/>
                <w:szCs w:val="21"/>
                <w:lang w:val="es-ES" w:eastAsia="es-BO"/>
              </w:rPr>
            </w:pPr>
            <w:r w:rsidRPr="00767435">
              <w:rPr>
                <w:sz w:val="21"/>
                <w:szCs w:val="21"/>
                <w:lang w:val="es-ES" w:eastAsia="es-BO"/>
              </w:rPr>
              <w:t>Casos</w:t>
            </w:r>
          </w:p>
        </w:tc>
        <w:tc>
          <w:tcPr>
            <w:tcW w:w="720" w:type="pct"/>
            <w:vAlign w:val="center"/>
          </w:tcPr>
          <w:p w:rsidR="005905E6" w:rsidRPr="00767435" w:rsidRDefault="005905E6" w:rsidP="00A47745">
            <w:pPr>
              <w:autoSpaceDE w:val="0"/>
              <w:autoSpaceDN w:val="0"/>
              <w:adjustRightInd w:val="0"/>
              <w:jc w:val="center"/>
              <w:rPr>
                <w:sz w:val="21"/>
                <w:szCs w:val="21"/>
                <w:lang w:val="es-ES" w:eastAsia="es-BO"/>
              </w:rPr>
            </w:pPr>
          </w:p>
          <w:p w:rsidR="005905E6" w:rsidRPr="00767435" w:rsidRDefault="005905E6" w:rsidP="00A47745">
            <w:pPr>
              <w:autoSpaceDE w:val="0"/>
              <w:autoSpaceDN w:val="0"/>
              <w:adjustRightInd w:val="0"/>
              <w:jc w:val="center"/>
              <w:rPr>
                <w:sz w:val="21"/>
                <w:szCs w:val="21"/>
                <w:lang w:val="es-ES" w:eastAsia="es-BO"/>
              </w:rPr>
            </w:pPr>
            <w:r w:rsidRPr="00767435">
              <w:rPr>
                <w:sz w:val="21"/>
                <w:szCs w:val="21"/>
                <w:lang w:val="es-ES" w:eastAsia="es-BO"/>
              </w:rPr>
              <w:t>Número</w:t>
            </w:r>
          </w:p>
          <w:p w:rsidR="005905E6" w:rsidRPr="00767435" w:rsidRDefault="005905E6" w:rsidP="00A47745">
            <w:pPr>
              <w:autoSpaceDE w:val="0"/>
              <w:autoSpaceDN w:val="0"/>
              <w:adjustRightInd w:val="0"/>
              <w:jc w:val="center"/>
              <w:rPr>
                <w:sz w:val="21"/>
                <w:szCs w:val="21"/>
                <w:lang w:val="es-ES" w:eastAsia="es-BO"/>
              </w:rPr>
            </w:pPr>
          </w:p>
        </w:tc>
        <w:tc>
          <w:tcPr>
            <w:tcW w:w="385" w:type="pct"/>
            <w:vAlign w:val="center"/>
          </w:tcPr>
          <w:p w:rsidR="005905E6" w:rsidRPr="00767435" w:rsidRDefault="005905E6" w:rsidP="00A47745">
            <w:pPr>
              <w:autoSpaceDE w:val="0"/>
              <w:autoSpaceDN w:val="0"/>
              <w:adjustRightInd w:val="0"/>
              <w:rPr>
                <w:sz w:val="21"/>
                <w:szCs w:val="21"/>
                <w:lang w:val="es-ES" w:eastAsia="es-BO"/>
              </w:rPr>
            </w:pPr>
          </w:p>
          <w:p w:rsidR="005905E6" w:rsidRPr="00767435" w:rsidRDefault="005905E6" w:rsidP="00A47745">
            <w:pPr>
              <w:autoSpaceDE w:val="0"/>
              <w:autoSpaceDN w:val="0"/>
              <w:adjustRightInd w:val="0"/>
              <w:jc w:val="center"/>
              <w:rPr>
                <w:sz w:val="21"/>
                <w:szCs w:val="21"/>
                <w:lang w:val="es-ES" w:eastAsia="es-BO"/>
              </w:rPr>
            </w:pPr>
            <w:r w:rsidRPr="00767435">
              <w:rPr>
                <w:sz w:val="21"/>
                <w:szCs w:val="21"/>
                <w:lang w:val="es-ES" w:eastAsia="es-BO"/>
              </w:rPr>
              <w:t>91</w:t>
            </w:r>
          </w:p>
          <w:p w:rsidR="005905E6" w:rsidRPr="00767435" w:rsidRDefault="005905E6" w:rsidP="00A47745">
            <w:pPr>
              <w:autoSpaceDE w:val="0"/>
              <w:autoSpaceDN w:val="0"/>
              <w:adjustRightInd w:val="0"/>
              <w:jc w:val="center"/>
              <w:rPr>
                <w:sz w:val="21"/>
                <w:szCs w:val="21"/>
                <w:lang w:val="es-ES" w:eastAsia="es-BO"/>
              </w:rPr>
            </w:pPr>
          </w:p>
        </w:tc>
        <w:tc>
          <w:tcPr>
            <w:tcW w:w="385" w:type="pct"/>
            <w:vAlign w:val="center"/>
          </w:tcPr>
          <w:p w:rsidR="005905E6" w:rsidRPr="00767435" w:rsidRDefault="0077135D" w:rsidP="00A47745">
            <w:pPr>
              <w:autoSpaceDE w:val="0"/>
              <w:autoSpaceDN w:val="0"/>
              <w:adjustRightInd w:val="0"/>
              <w:jc w:val="center"/>
              <w:rPr>
                <w:sz w:val="21"/>
                <w:szCs w:val="21"/>
                <w:lang w:val="es-ES" w:eastAsia="es-BO"/>
              </w:rPr>
            </w:pPr>
            <w:r>
              <w:rPr>
                <w:sz w:val="21"/>
                <w:szCs w:val="21"/>
                <w:lang w:val="es-ES" w:eastAsia="es-BO"/>
              </w:rPr>
              <w:t>98</w:t>
            </w:r>
          </w:p>
        </w:tc>
        <w:tc>
          <w:tcPr>
            <w:tcW w:w="1875" w:type="pct"/>
            <w:vAlign w:val="center"/>
          </w:tcPr>
          <w:p w:rsidR="005905E6" w:rsidRPr="00767435" w:rsidRDefault="005905E6" w:rsidP="00A47745">
            <w:pPr>
              <w:rPr>
                <w:sz w:val="21"/>
                <w:szCs w:val="21"/>
                <w:lang w:val="es-ES" w:eastAsia="es-BO"/>
              </w:rPr>
            </w:pPr>
            <w:r w:rsidRPr="00767435">
              <w:rPr>
                <w:sz w:val="21"/>
                <w:szCs w:val="21"/>
                <w:lang w:val="es-ES" w:eastAsia="es-BO"/>
              </w:rPr>
              <w:t>Línea base: Informe CNRT (2011)</w:t>
            </w:r>
          </w:p>
          <w:p w:rsidR="005905E6" w:rsidRPr="00767435" w:rsidRDefault="005905E6" w:rsidP="00A47745">
            <w:pPr>
              <w:rPr>
                <w:sz w:val="21"/>
                <w:szCs w:val="21"/>
                <w:lang w:val="es-ES" w:eastAsia="es-BO"/>
              </w:rPr>
            </w:pPr>
            <w:r w:rsidRPr="00767435">
              <w:rPr>
                <w:sz w:val="21"/>
                <w:szCs w:val="21"/>
                <w:lang w:val="es-ES" w:eastAsia="es-BO"/>
              </w:rPr>
              <w:t>La meta será verificada 6 meses luego de concluidas las obras y el inicio de la operación del servicio electrificado.</w:t>
            </w:r>
          </w:p>
        </w:tc>
      </w:tr>
      <w:tr w:rsidR="00767435" w:rsidRPr="00767435" w:rsidTr="00E25928">
        <w:trPr>
          <w:jc w:val="center"/>
        </w:trPr>
        <w:tc>
          <w:tcPr>
            <w:tcW w:w="1635" w:type="pct"/>
            <w:vAlign w:val="center"/>
          </w:tcPr>
          <w:p w:rsidR="005905E6" w:rsidRPr="00767435" w:rsidRDefault="005905E6" w:rsidP="00A47745">
            <w:pPr>
              <w:rPr>
                <w:sz w:val="21"/>
                <w:szCs w:val="21"/>
                <w:lang w:val="es-ES" w:eastAsia="es-BO"/>
              </w:rPr>
            </w:pPr>
            <w:r w:rsidRPr="00767435">
              <w:rPr>
                <w:sz w:val="21"/>
                <w:szCs w:val="21"/>
                <w:lang w:val="es-ES" w:eastAsia="es-BO"/>
              </w:rPr>
              <w:t>Confort: Nivel de ocupación</w:t>
            </w:r>
          </w:p>
        </w:tc>
        <w:tc>
          <w:tcPr>
            <w:tcW w:w="720" w:type="pct"/>
            <w:vAlign w:val="center"/>
          </w:tcPr>
          <w:p w:rsidR="005905E6" w:rsidRPr="00767435" w:rsidRDefault="005905E6" w:rsidP="00A47745">
            <w:pPr>
              <w:autoSpaceDE w:val="0"/>
              <w:autoSpaceDN w:val="0"/>
              <w:adjustRightInd w:val="0"/>
              <w:jc w:val="center"/>
              <w:rPr>
                <w:sz w:val="21"/>
                <w:szCs w:val="21"/>
                <w:lang w:val="es-ES" w:eastAsia="es-BO"/>
              </w:rPr>
            </w:pPr>
            <w:r w:rsidRPr="00767435">
              <w:rPr>
                <w:sz w:val="21"/>
                <w:szCs w:val="21"/>
                <w:lang w:val="es-ES" w:eastAsia="es-BO"/>
              </w:rPr>
              <w:t>Pasajeros/m</w:t>
            </w:r>
            <w:r w:rsidRPr="00767435">
              <w:rPr>
                <w:sz w:val="21"/>
                <w:szCs w:val="21"/>
                <w:vertAlign w:val="superscript"/>
                <w:lang w:val="es-ES" w:eastAsia="es-BO"/>
              </w:rPr>
              <w:t>2</w:t>
            </w:r>
          </w:p>
        </w:tc>
        <w:tc>
          <w:tcPr>
            <w:tcW w:w="385" w:type="pct"/>
            <w:vAlign w:val="center"/>
          </w:tcPr>
          <w:p w:rsidR="005905E6" w:rsidRPr="00767435" w:rsidRDefault="005905E6" w:rsidP="00A47745">
            <w:pPr>
              <w:autoSpaceDE w:val="0"/>
              <w:autoSpaceDN w:val="0"/>
              <w:adjustRightInd w:val="0"/>
              <w:jc w:val="center"/>
              <w:rPr>
                <w:sz w:val="21"/>
                <w:szCs w:val="21"/>
                <w:lang w:val="es-ES" w:eastAsia="es-BO"/>
              </w:rPr>
            </w:pPr>
            <w:r w:rsidRPr="00767435">
              <w:rPr>
                <w:sz w:val="21"/>
                <w:szCs w:val="21"/>
                <w:lang w:val="es-ES" w:eastAsia="es-BO"/>
              </w:rPr>
              <w:t>5</w:t>
            </w:r>
          </w:p>
        </w:tc>
        <w:tc>
          <w:tcPr>
            <w:tcW w:w="385" w:type="pct"/>
            <w:vAlign w:val="center"/>
          </w:tcPr>
          <w:p w:rsidR="005905E6" w:rsidRPr="00767435" w:rsidRDefault="005905E6" w:rsidP="00A47745">
            <w:pPr>
              <w:autoSpaceDE w:val="0"/>
              <w:autoSpaceDN w:val="0"/>
              <w:adjustRightInd w:val="0"/>
              <w:jc w:val="center"/>
              <w:rPr>
                <w:sz w:val="21"/>
                <w:szCs w:val="21"/>
                <w:lang w:val="es-ES" w:eastAsia="es-BO"/>
              </w:rPr>
            </w:pPr>
            <w:r w:rsidRPr="00767435">
              <w:rPr>
                <w:sz w:val="21"/>
                <w:szCs w:val="21"/>
                <w:lang w:val="es-ES" w:eastAsia="es-BO"/>
              </w:rPr>
              <w:t>4</w:t>
            </w:r>
          </w:p>
        </w:tc>
        <w:tc>
          <w:tcPr>
            <w:tcW w:w="1875" w:type="pct"/>
            <w:vAlign w:val="center"/>
          </w:tcPr>
          <w:p w:rsidR="005905E6" w:rsidRPr="00767435" w:rsidRDefault="005905E6" w:rsidP="00A47745">
            <w:pPr>
              <w:rPr>
                <w:sz w:val="21"/>
                <w:szCs w:val="21"/>
                <w:lang w:val="es-ES" w:eastAsia="es-BO"/>
              </w:rPr>
            </w:pPr>
            <w:r w:rsidRPr="00767435">
              <w:rPr>
                <w:sz w:val="21"/>
                <w:szCs w:val="21"/>
                <w:lang w:val="es-ES" w:eastAsia="es-BO"/>
              </w:rPr>
              <w:t>UGOFE: Reportes de servicio</w:t>
            </w:r>
          </w:p>
          <w:p w:rsidR="005905E6" w:rsidRPr="00767435" w:rsidRDefault="005905E6" w:rsidP="00A47745">
            <w:pPr>
              <w:rPr>
                <w:b/>
                <w:sz w:val="21"/>
                <w:szCs w:val="21"/>
                <w:lang w:val="es-ES" w:eastAsia="es-BO"/>
              </w:rPr>
            </w:pPr>
            <w:r w:rsidRPr="00767435">
              <w:rPr>
                <w:sz w:val="21"/>
                <w:szCs w:val="21"/>
                <w:lang w:val="es-ES" w:eastAsia="es-BO"/>
              </w:rPr>
              <w:t>La meta será verificada 6 meses luego de concluidas las obras y el inicio de la operación del servicio electrificado.</w:t>
            </w:r>
          </w:p>
        </w:tc>
      </w:tr>
    </w:tbl>
    <w:p w:rsidR="005905E6" w:rsidRPr="00767435" w:rsidRDefault="005905E6" w:rsidP="00A608E1">
      <w:pPr>
        <w:pStyle w:val="AutoNumpara"/>
        <w:numPr>
          <w:ilvl w:val="0"/>
          <w:numId w:val="0"/>
        </w:numPr>
        <w:rPr>
          <w:noProof w:val="0"/>
          <w:lang w:val="es-ES"/>
        </w:rPr>
      </w:pPr>
    </w:p>
    <w:p w:rsidR="005905E6" w:rsidRPr="00767435" w:rsidRDefault="005905E6" w:rsidP="00A608E1">
      <w:pPr>
        <w:pStyle w:val="Heading4"/>
        <w:numPr>
          <w:ilvl w:val="2"/>
          <w:numId w:val="10"/>
        </w:numPr>
        <w:tabs>
          <w:tab w:val="clear" w:pos="1440"/>
          <w:tab w:val="clear" w:pos="1800"/>
          <w:tab w:val="num" w:pos="720"/>
        </w:tabs>
        <w:ind w:left="720" w:hanging="720"/>
        <w:rPr>
          <w:noProof w:val="0"/>
          <w:lang w:val="es-ES"/>
        </w:rPr>
      </w:pPr>
      <w:r w:rsidRPr="00767435">
        <w:rPr>
          <w:noProof w:val="0"/>
          <w:lang w:val="es-ES"/>
        </w:rPr>
        <w:t>Metodología de Cálculo para los Indicadores de Resultados</w:t>
      </w:r>
    </w:p>
    <w:p w:rsidR="005905E6" w:rsidRPr="00767435" w:rsidRDefault="005905E6" w:rsidP="00A608E1">
      <w:pPr>
        <w:pStyle w:val="AutoNumpara"/>
        <w:numPr>
          <w:ilvl w:val="0"/>
          <w:numId w:val="0"/>
        </w:numPr>
        <w:rPr>
          <w:b/>
          <w:noProof w:val="0"/>
          <w:lang w:val="es-ES"/>
        </w:rPr>
      </w:pPr>
    </w:p>
    <w:p w:rsidR="005905E6" w:rsidRPr="00767435" w:rsidRDefault="005905E6" w:rsidP="00A608E1">
      <w:pPr>
        <w:pStyle w:val="AutoNumpara"/>
        <w:numPr>
          <w:ilvl w:val="1"/>
          <w:numId w:val="5"/>
        </w:numPr>
        <w:rPr>
          <w:lang w:val="es-ES"/>
        </w:rPr>
      </w:pPr>
      <w:r w:rsidRPr="00767435">
        <w:rPr>
          <w:lang w:val="es-ES"/>
        </w:rPr>
        <w:t>Indicadores de Impacto</w:t>
      </w:r>
    </w:p>
    <w:p w:rsidR="005905E6" w:rsidRPr="00767435" w:rsidRDefault="005905E6" w:rsidP="00A608E1">
      <w:pPr>
        <w:jc w:val="both"/>
        <w:rPr>
          <w:b/>
          <w:i/>
          <w:lang w:val="es-ES"/>
        </w:rPr>
      </w:pPr>
    </w:p>
    <w:p w:rsidR="005905E6" w:rsidRPr="00767435" w:rsidRDefault="005905E6" w:rsidP="00A608E1">
      <w:pPr>
        <w:jc w:val="both"/>
      </w:pPr>
      <w:r w:rsidRPr="00767435">
        <w:rPr>
          <w:lang w:val="es-ES"/>
        </w:rPr>
        <w:t xml:space="preserve">Los indicadores de impacto incluidos en la matriz de resultados solo representan una referencia a variables sobre las cuales el proyecto contribuiría. La mejora esperada no será considerada como una contribución exclusiva del proyecto sino como una referencia de magnitudes que </w:t>
      </w:r>
      <w:r w:rsidRPr="00767435">
        <w:t>permite inferir la contribución de las inversiones propuestas al objetivo de desarrollo del corredor La Plata-Buenos Aires.</w:t>
      </w:r>
    </w:p>
    <w:p w:rsidR="005905E6" w:rsidRPr="00767435" w:rsidRDefault="005905E6" w:rsidP="00A608E1">
      <w:pPr>
        <w:jc w:val="both"/>
      </w:pPr>
    </w:p>
    <w:p w:rsidR="005905E6" w:rsidRPr="00767435" w:rsidRDefault="005905E6" w:rsidP="00A608E1">
      <w:pPr>
        <w:jc w:val="both"/>
      </w:pPr>
      <w:r w:rsidRPr="00767435">
        <w:t>La concreción del Proyecto impactará de manera positiva en la vinculación entre dos ciudades cabeceras de gran importancia a nivel regional (Ciudad de Buenos Aires y Ciudad de La Plata), a la vez que tendrá efectos de mejora en la conexión entre las ciudades cabecera y otras localidades suburbanas. De esta manera se espera que el Proyecto mejore la accesibilidad de los ciudadanos residentes en toda el área de influencia.</w:t>
      </w:r>
    </w:p>
    <w:p w:rsidR="005905E6" w:rsidRPr="00767435" w:rsidRDefault="005905E6" w:rsidP="00A608E1">
      <w:pPr>
        <w:jc w:val="both"/>
      </w:pPr>
    </w:p>
    <w:p w:rsidR="005905E6" w:rsidRPr="00767435" w:rsidRDefault="005905E6" w:rsidP="00A608E1">
      <w:pPr>
        <w:jc w:val="both"/>
      </w:pPr>
      <w:r w:rsidRPr="00767435">
        <w:t>La mejora en la accesibilidad está relacionada de manera directa con el aumento de la cantidad de pasajeros que utilizarán el servicio ferroviario.</w:t>
      </w:r>
    </w:p>
    <w:p w:rsidR="005905E6" w:rsidRPr="00767435" w:rsidRDefault="005905E6" w:rsidP="00A608E1">
      <w:pPr>
        <w:jc w:val="both"/>
      </w:pPr>
    </w:p>
    <w:p w:rsidR="005905E6" w:rsidRPr="00767435" w:rsidRDefault="005905E6" w:rsidP="00A608E1">
      <w:pPr>
        <w:jc w:val="both"/>
        <w:rPr>
          <w:b/>
          <w:i/>
          <w:lang w:val="es-ES"/>
        </w:rPr>
      </w:pPr>
      <w:r w:rsidRPr="00767435">
        <w:rPr>
          <w:b/>
          <w:i/>
          <w:lang w:val="es-ES"/>
        </w:rPr>
        <w:t>i) Participación modal del ferrocarril en el corredor Buenos Aires-La Plata</w:t>
      </w:r>
    </w:p>
    <w:p w:rsidR="005905E6" w:rsidRPr="00767435" w:rsidRDefault="005905E6" w:rsidP="00A608E1">
      <w:pPr>
        <w:jc w:val="both"/>
        <w:rPr>
          <w:b/>
          <w:i/>
          <w:lang w:val="es-ES"/>
        </w:rPr>
      </w:pPr>
    </w:p>
    <w:p w:rsidR="005905E6" w:rsidRPr="00767435" w:rsidRDefault="005905E6" w:rsidP="00A608E1">
      <w:pPr>
        <w:jc w:val="both"/>
        <w:rPr>
          <w:lang w:val="es-ES"/>
        </w:rPr>
      </w:pPr>
      <w:r w:rsidRPr="00767435">
        <w:rPr>
          <w:lang w:val="es-ES"/>
        </w:rPr>
        <w:t>Como primer acercamiento se consideraron los datos de pasajeros pagos de 2012 provenientes de la CNRT para el ramal Constitución-La Plata. En 2012 el número total de pasajeros pagos anuales alcanzó un total de 8.337.354</w:t>
      </w:r>
      <w:r w:rsidRPr="00767435">
        <w:rPr>
          <w:vertAlign w:val="superscript"/>
          <w:lang w:val="es-ES"/>
        </w:rPr>
        <w:footnoteReference w:id="4"/>
      </w:r>
      <w:r w:rsidRPr="00767435">
        <w:rPr>
          <w:lang w:val="es-ES"/>
        </w:rPr>
        <w:t>. Esta cantidad de usuarios no refleja la real demanda actual del servicio en la traza debido al alto nivel de evasión del pago de boleto. Por este motivo para fijar la línea de base se recurrió a la información presentada en el “</w:t>
      </w:r>
      <w:r w:rsidRPr="00767435">
        <w:rPr>
          <w:i/>
          <w:lang w:val="es-ES"/>
        </w:rPr>
        <w:t>Estudio de Viabilidad Económica de la Electrificación del Corredor Plaza Constitución-La Plata, Línea Roca”</w:t>
      </w:r>
      <w:r w:rsidRPr="00767435">
        <w:rPr>
          <w:i/>
          <w:vertAlign w:val="superscript"/>
          <w:lang w:val="es-ES"/>
        </w:rPr>
        <w:footnoteReference w:id="5"/>
      </w:r>
      <w:r w:rsidRPr="00767435">
        <w:rPr>
          <w:lang w:val="es-ES"/>
        </w:rPr>
        <w:t xml:space="preserve">. </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 xml:space="preserve">La información respecto de la cantidad de pasajeros del ramal se calculó a partir de un relevamiento del factor de ocupación en la estación Sarandí en el horario de entre las 16 y las 19 horas. De acuerdo a este factor en la hora pico (de 18 a 19 horas) se registró un total de 6.000 pasajeros. Debido a la distribución observada en este Estudio el 65% de los pasajeros viajan en  sentido La Plata y el 35% viajan en sentido Plaza Constitución. A partir de esto, se generó un </w:t>
      </w:r>
      <w:r w:rsidRPr="00767435">
        <w:rPr>
          <w:i/>
          <w:lang w:val="es-ES"/>
        </w:rPr>
        <w:t>Factor de Renovación de Día</w:t>
      </w:r>
      <w:r w:rsidRPr="00767435">
        <w:rPr>
          <w:lang w:val="es-ES"/>
        </w:rPr>
        <w:t xml:space="preserve"> que se ajustó con la información de la hora pico (</w:t>
      </w:r>
      <w:r w:rsidRPr="00767435">
        <w:rPr>
          <w:i/>
          <w:lang w:val="es-ES"/>
        </w:rPr>
        <w:t>Factor de Hora Pico</w:t>
      </w:r>
      <w:r w:rsidRPr="00767435">
        <w:rPr>
          <w:lang w:val="es-ES"/>
        </w:rPr>
        <w:t>). Este factor permitió extender la cantidad de pasajeros en el tramo a la totalidad del ramal. De acuerdo a estas estimaciones en el ramal se transportan 144.024 pasajeros por día. De acuerdo con esta información el total anual de pasajeros es de 36.843.309.</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 xml:space="preserve">Al considerar esta cantidad de pasajeros anuales se estimó que la participación modal del ferrocarril en el corredor durante 2012 representó un 30% respecto de los otros modos. </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Respecto del modo buses se calculó la cantidad de pasajeros tomando como referencia las líneas de colectivo que comparten corredor con el ramal (líneas 10, 17, 22, 98, 129, 159, 195). La información sobre la cantidad de pasajeros se obtuvo a partir de las cancelaciones registradas con la tarjeta SUBE.</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 xml:space="preserve">Respecto del modo combis se calculó la cantidad de pasajeros utilizando la información del Estudio del Servicio de Oferta Libre elaborado por la CIABA. De acuerdo a este estudio la cantidad de pasajeros que transporta el servicio de combis en este corredor es de 10.000 diarios. </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 xml:space="preserve">Respecto del modo automóvil particular se consideraron los datos de la Encuesta de Movilidad Domiciliaria (ENMODO, 2009). Se tomaron los viajes con origen o destino en partidos del corredor, sin contabilizar los viajes intra-partido. El total de viajes diarios en el corredor es de 125.547. </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Debido a que el área de estudio de la ENMODO no incluía al partido La Plata fue necesario estimar los viajes desde y hacia este partido utilizando datos de otros municipios. Por lo dicho anteriormente la cantidad de viajes estaría subestimada.</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 xml:space="preserve">Considerando los pasajeros actuales de los buses, las combis y el automóvil particular en el corredor se espera que en 2018, luego de la concreción del Proyecto, la participación modal del ferrocarril alcance un 41%.  Esta estimación se  basa en el cálculo de derivación de pasajeros de estos modos hacia el ferrocarril.  </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La meta será</w:t>
      </w:r>
      <w:r w:rsidRPr="00767435">
        <w:t xml:space="preserve"> </w:t>
      </w:r>
      <w:r w:rsidRPr="00767435">
        <w:rPr>
          <w:lang w:val="es-ES"/>
        </w:rPr>
        <w:t>verificada a través de la información producida en el marco de la Evaluación Económica ex post que está prevista a realizarse en 2018 según lo estipulado en este Plan. Esta Evaluación será llevada a cabo mediante una consultoría para la que está previsto un presupuesto como parte del subcomponente “Ingeniería y Administración”.</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La meta será verificada 6 meses luego de concluidas las obras y del inicio de la operación del servicio electrificado.</w:t>
      </w:r>
    </w:p>
    <w:p w:rsidR="005905E6" w:rsidRPr="00767435" w:rsidRDefault="005905E6" w:rsidP="00A608E1">
      <w:pPr>
        <w:jc w:val="both"/>
        <w:rPr>
          <w:bCs/>
        </w:rPr>
      </w:pPr>
    </w:p>
    <w:p w:rsidR="002F3289" w:rsidRDefault="005905E6" w:rsidP="006D7DD7">
      <w:pPr>
        <w:jc w:val="center"/>
        <w:rPr>
          <w:b/>
          <w:bCs/>
          <w:sz w:val="22"/>
          <w:szCs w:val="22"/>
        </w:rPr>
      </w:pPr>
      <w:r w:rsidRPr="00767435">
        <w:rPr>
          <w:b/>
          <w:bCs/>
          <w:sz w:val="22"/>
          <w:szCs w:val="22"/>
        </w:rPr>
        <w:t xml:space="preserve">Estimación de demanda </w:t>
      </w:r>
      <w:r w:rsidR="002F3289">
        <w:rPr>
          <w:b/>
          <w:bCs/>
          <w:sz w:val="22"/>
          <w:szCs w:val="22"/>
        </w:rPr>
        <w:t xml:space="preserve">(pasajeros diarios) </w:t>
      </w:r>
      <w:r w:rsidRPr="00767435">
        <w:rPr>
          <w:b/>
          <w:bCs/>
          <w:sz w:val="22"/>
          <w:szCs w:val="22"/>
        </w:rPr>
        <w:t>del corredor Buenos Aires-La Plata,</w:t>
      </w:r>
    </w:p>
    <w:p w:rsidR="005905E6" w:rsidRDefault="005905E6" w:rsidP="006D7DD7">
      <w:pPr>
        <w:jc w:val="center"/>
        <w:rPr>
          <w:b/>
          <w:bCs/>
          <w:sz w:val="22"/>
          <w:szCs w:val="22"/>
        </w:rPr>
      </w:pPr>
      <w:r w:rsidRPr="00767435">
        <w:rPr>
          <w:b/>
          <w:bCs/>
          <w:sz w:val="22"/>
          <w:szCs w:val="22"/>
        </w:rPr>
        <w:t xml:space="preserve">sin proyecto </w:t>
      </w:r>
      <w:r w:rsidR="002F3289">
        <w:rPr>
          <w:b/>
          <w:bCs/>
          <w:sz w:val="22"/>
          <w:szCs w:val="22"/>
        </w:rPr>
        <w:t>para 2012,</w:t>
      </w:r>
      <w:r w:rsidRPr="00767435">
        <w:rPr>
          <w:b/>
          <w:bCs/>
          <w:sz w:val="22"/>
          <w:szCs w:val="22"/>
        </w:rPr>
        <w:t xml:space="preserve"> y </w:t>
      </w:r>
      <w:r w:rsidR="002F3289">
        <w:rPr>
          <w:b/>
          <w:bCs/>
          <w:sz w:val="22"/>
          <w:szCs w:val="22"/>
        </w:rPr>
        <w:t xml:space="preserve">sin y </w:t>
      </w:r>
      <w:r w:rsidRPr="00767435">
        <w:rPr>
          <w:b/>
          <w:bCs/>
          <w:sz w:val="22"/>
          <w:szCs w:val="22"/>
        </w:rPr>
        <w:t>con proyecto</w:t>
      </w:r>
      <w:r w:rsidR="002F3289">
        <w:rPr>
          <w:b/>
          <w:bCs/>
          <w:sz w:val="22"/>
          <w:szCs w:val="22"/>
        </w:rPr>
        <w:t xml:space="preserve"> para 2018</w:t>
      </w:r>
    </w:p>
    <w:p w:rsidR="002F3289" w:rsidRPr="00767435" w:rsidRDefault="002F3289" w:rsidP="006D7DD7">
      <w:pPr>
        <w:jc w:val="center"/>
        <w:rPr>
          <w:b/>
          <w:bCs/>
          <w:sz w:val="22"/>
          <w:szCs w:val="22"/>
        </w:rPr>
      </w:pPr>
      <w:r w:rsidRPr="006D7DD7">
        <w:rPr>
          <w:b/>
          <w:bCs/>
          <w:noProof/>
          <w:sz w:val="22"/>
          <w:szCs w:val="22"/>
          <w:lang w:val="en-US"/>
        </w:rPr>
        <mc:AlternateContent>
          <mc:Choice Requires="wps">
            <w:drawing>
              <wp:anchor distT="0" distB="0" distL="114300" distR="114300" simplePos="0" relativeHeight="251663360" behindDoc="0" locked="0" layoutInCell="1" allowOverlap="1" wp14:anchorId="737EE0C9" wp14:editId="658268BE">
                <wp:simplePos x="0" y="0"/>
                <wp:positionH relativeFrom="column">
                  <wp:posOffset>1019175</wp:posOffset>
                </wp:positionH>
                <wp:positionV relativeFrom="paragraph">
                  <wp:posOffset>1743075</wp:posOffset>
                </wp:positionV>
                <wp:extent cx="495300" cy="1403985"/>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solidFill>
                          <a:schemeClr val="accent1">
                            <a:lumMod val="50000"/>
                          </a:schemeClr>
                        </a:solidFill>
                        <a:ln w="9525">
                          <a:noFill/>
                          <a:miter lim="800000"/>
                          <a:headEnd/>
                          <a:tailEnd/>
                        </a:ln>
                      </wps:spPr>
                      <wps:txbx>
                        <w:txbxContent>
                          <w:p w:rsidR="002F3289" w:rsidRPr="006D7DD7" w:rsidRDefault="002F3289" w:rsidP="006D7DD7">
                            <w:pPr>
                              <w:jc w:val="center"/>
                              <w:rPr>
                                <w:rFonts w:asciiTheme="minorHAnsi" w:hAnsiTheme="minorHAnsi"/>
                                <w:b/>
                              </w:rPr>
                            </w:pPr>
                            <w:r>
                              <w:rPr>
                                <w:rFonts w:asciiTheme="minorHAnsi" w:hAnsiTheme="minorHAnsi"/>
                                <w:b/>
                              </w:rPr>
                              <w:t>CP</w:t>
                            </w:r>
                          </w:p>
                          <w:p w:rsidR="002F3289" w:rsidRPr="006D7DD7" w:rsidRDefault="002F3289" w:rsidP="006D7DD7">
                            <w:pPr>
                              <w:jc w:val="center"/>
                              <w:rPr>
                                <w:rFonts w:asciiTheme="minorHAnsi" w:hAnsiTheme="minorHAnsi"/>
                                <w:b/>
                              </w:rPr>
                            </w:pPr>
                          </w:p>
                          <w:p w:rsidR="002F3289" w:rsidRPr="006D7DD7" w:rsidRDefault="002F3289" w:rsidP="006D7DD7">
                            <w:pPr>
                              <w:jc w:val="center"/>
                              <w:rPr>
                                <w:rFonts w:asciiTheme="minorHAnsi" w:hAnsiTheme="minorHAnsi"/>
                                <w:b/>
                              </w:rPr>
                            </w:pPr>
                            <w:r w:rsidRPr="006D7DD7">
                              <w:rPr>
                                <w:rFonts w:asciiTheme="minorHAnsi" w:hAnsiTheme="minorHAnsi"/>
                                <w:b/>
                              </w:rPr>
                              <w:t>201</w:t>
                            </w:r>
                            <w:r>
                              <w:rPr>
                                <w:rFonts w:asciiTheme="minorHAnsi" w:hAnsiTheme="minorHAnsi"/>
                                <w:b/>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25pt;margin-top:137.25pt;width:3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" fillcolor="#243f60 [1604]" stroked="f">
                <v:textbox style="mso-fit-shape-to-text:t">
                  <w:txbxContent>
                    <w:p w:rsidR="002F3289" w:rsidRPr="006D7DD7" w:rsidRDefault="002F3289" w:rsidP="006D7DD7">
                      <w:pPr>
                        <w:jc w:val="center"/>
                        <w:rPr>
                          <w:rFonts w:asciiTheme="minorHAnsi" w:hAnsiTheme="minorHAnsi"/>
                          <w:b/>
                        </w:rPr>
                      </w:pPr>
                      <w:r>
                        <w:rPr>
                          <w:rFonts w:asciiTheme="minorHAnsi" w:hAnsiTheme="minorHAnsi"/>
                          <w:b/>
                        </w:rPr>
                        <w:t>CP</w:t>
                      </w:r>
                    </w:p>
                    <w:p w:rsidR="002F3289" w:rsidRPr="006D7DD7" w:rsidRDefault="002F3289" w:rsidP="006D7DD7">
                      <w:pPr>
                        <w:jc w:val="center"/>
                        <w:rPr>
                          <w:rFonts w:asciiTheme="minorHAnsi" w:hAnsiTheme="minorHAnsi"/>
                          <w:b/>
                        </w:rPr>
                      </w:pPr>
                    </w:p>
                    <w:p w:rsidR="002F3289" w:rsidRPr="006D7DD7" w:rsidRDefault="002F3289" w:rsidP="006D7DD7">
                      <w:pPr>
                        <w:jc w:val="center"/>
                        <w:rPr>
                          <w:rFonts w:asciiTheme="minorHAnsi" w:hAnsiTheme="minorHAnsi"/>
                          <w:b/>
                        </w:rPr>
                      </w:pPr>
                      <w:r w:rsidRPr="006D7DD7">
                        <w:rPr>
                          <w:rFonts w:asciiTheme="minorHAnsi" w:hAnsiTheme="minorHAnsi"/>
                          <w:b/>
                        </w:rPr>
                        <w:t>201</w:t>
                      </w:r>
                      <w:r>
                        <w:rPr>
                          <w:rFonts w:asciiTheme="minorHAnsi" w:hAnsiTheme="minorHAnsi"/>
                          <w:b/>
                        </w:rPr>
                        <w:t>8</w:t>
                      </w:r>
                    </w:p>
                  </w:txbxContent>
                </v:textbox>
              </v:shape>
            </w:pict>
          </mc:Fallback>
        </mc:AlternateContent>
      </w:r>
      <w:r w:rsidRPr="006D7DD7">
        <w:rPr>
          <w:b/>
          <w:bCs/>
          <w:noProof/>
          <w:sz w:val="22"/>
          <w:szCs w:val="22"/>
          <w:lang w:val="en-US"/>
        </w:rPr>
        <mc:AlternateContent>
          <mc:Choice Requires="wps">
            <w:drawing>
              <wp:anchor distT="0" distB="0" distL="114300" distR="114300" simplePos="0" relativeHeight="251661312" behindDoc="0" locked="0" layoutInCell="1" allowOverlap="1" wp14:anchorId="56F92640" wp14:editId="2F3D4E4D">
                <wp:simplePos x="0" y="0"/>
                <wp:positionH relativeFrom="column">
                  <wp:posOffset>1019175</wp:posOffset>
                </wp:positionH>
                <wp:positionV relativeFrom="paragraph">
                  <wp:posOffset>944245</wp:posOffset>
                </wp:positionV>
                <wp:extent cx="495300" cy="140398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solidFill>
                          <a:schemeClr val="accent1">
                            <a:lumMod val="50000"/>
                          </a:schemeClr>
                        </a:solidFill>
                        <a:ln w="9525">
                          <a:noFill/>
                          <a:miter lim="800000"/>
                          <a:headEnd/>
                          <a:tailEnd/>
                        </a:ln>
                      </wps:spPr>
                      <wps:txbx>
                        <w:txbxContent>
                          <w:p w:rsidR="002F3289" w:rsidRPr="006D7DD7" w:rsidRDefault="002F3289" w:rsidP="006D7DD7">
                            <w:pPr>
                              <w:jc w:val="center"/>
                              <w:rPr>
                                <w:rFonts w:asciiTheme="minorHAnsi" w:hAnsiTheme="minorHAnsi"/>
                                <w:b/>
                              </w:rPr>
                            </w:pPr>
                            <w:r w:rsidRPr="006D7DD7">
                              <w:rPr>
                                <w:rFonts w:asciiTheme="minorHAnsi" w:hAnsiTheme="minorHAnsi"/>
                                <w:b/>
                              </w:rPr>
                              <w:t>SP</w:t>
                            </w:r>
                          </w:p>
                          <w:p w:rsidR="002F3289" w:rsidRPr="006D7DD7" w:rsidRDefault="002F3289" w:rsidP="006D7DD7">
                            <w:pPr>
                              <w:jc w:val="center"/>
                              <w:rPr>
                                <w:rFonts w:asciiTheme="minorHAnsi" w:hAnsiTheme="minorHAnsi"/>
                                <w:b/>
                              </w:rPr>
                            </w:pPr>
                          </w:p>
                          <w:p w:rsidR="002F3289" w:rsidRPr="006D7DD7" w:rsidRDefault="002F3289" w:rsidP="006D7DD7">
                            <w:pPr>
                              <w:jc w:val="center"/>
                              <w:rPr>
                                <w:rFonts w:asciiTheme="minorHAnsi" w:hAnsiTheme="minorHAnsi"/>
                                <w:b/>
                              </w:rPr>
                            </w:pPr>
                            <w:r w:rsidRPr="006D7DD7">
                              <w:rPr>
                                <w:rFonts w:asciiTheme="minorHAnsi" w:hAnsiTheme="minorHAnsi"/>
                                <w:b/>
                              </w:rPr>
                              <w:t>201</w:t>
                            </w:r>
                            <w:r>
                              <w:rPr>
                                <w:rFonts w:asciiTheme="minorHAnsi" w:hAnsiTheme="minorHAnsi"/>
                                <w:b/>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0.25pt;margin-top:74.35pt;width:3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" fillcolor="#243f60 [1604]" stroked="f">
                <v:textbox style="mso-fit-shape-to-text:t">
                  <w:txbxContent>
                    <w:p w:rsidR="002F3289" w:rsidRPr="006D7DD7" w:rsidRDefault="002F3289" w:rsidP="006D7DD7">
                      <w:pPr>
                        <w:jc w:val="center"/>
                        <w:rPr>
                          <w:rFonts w:asciiTheme="minorHAnsi" w:hAnsiTheme="minorHAnsi"/>
                          <w:b/>
                        </w:rPr>
                      </w:pPr>
                      <w:r w:rsidRPr="006D7DD7">
                        <w:rPr>
                          <w:rFonts w:asciiTheme="minorHAnsi" w:hAnsiTheme="minorHAnsi"/>
                          <w:b/>
                        </w:rPr>
                        <w:t>SP</w:t>
                      </w:r>
                    </w:p>
                    <w:p w:rsidR="002F3289" w:rsidRPr="006D7DD7" w:rsidRDefault="002F3289" w:rsidP="006D7DD7">
                      <w:pPr>
                        <w:jc w:val="center"/>
                        <w:rPr>
                          <w:rFonts w:asciiTheme="minorHAnsi" w:hAnsiTheme="minorHAnsi"/>
                          <w:b/>
                        </w:rPr>
                      </w:pPr>
                    </w:p>
                    <w:p w:rsidR="002F3289" w:rsidRPr="006D7DD7" w:rsidRDefault="002F3289" w:rsidP="006D7DD7">
                      <w:pPr>
                        <w:jc w:val="center"/>
                        <w:rPr>
                          <w:rFonts w:asciiTheme="minorHAnsi" w:hAnsiTheme="minorHAnsi"/>
                          <w:b/>
                        </w:rPr>
                      </w:pPr>
                      <w:r w:rsidRPr="006D7DD7">
                        <w:rPr>
                          <w:rFonts w:asciiTheme="minorHAnsi" w:hAnsiTheme="minorHAnsi"/>
                          <w:b/>
                        </w:rPr>
                        <w:t>201</w:t>
                      </w:r>
                      <w:r>
                        <w:rPr>
                          <w:rFonts w:asciiTheme="minorHAnsi" w:hAnsiTheme="minorHAnsi"/>
                          <w:b/>
                        </w:rPr>
                        <w:t>8</w:t>
                      </w:r>
                    </w:p>
                  </w:txbxContent>
                </v:textbox>
              </v:shape>
            </w:pict>
          </mc:Fallback>
        </mc:AlternateContent>
      </w:r>
      <w:r w:rsidRPr="006D7DD7">
        <w:rPr>
          <w:b/>
          <w:bCs/>
          <w:noProof/>
          <w:sz w:val="22"/>
          <w:szCs w:val="22"/>
          <w:lang w:val="en-US"/>
        </w:rPr>
        <mc:AlternateContent>
          <mc:Choice Requires="wps">
            <w:drawing>
              <wp:anchor distT="0" distB="0" distL="114300" distR="114300" simplePos="0" relativeHeight="251659264" behindDoc="0" locked="0" layoutInCell="1" allowOverlap="1" wp14:anchorId="5DF1ACC6" wp14:editId="1B7E08BD">
                <wp:simplePos x="0" y="0"/>
                <wp:positionH relativeFrom="column">
                  <wp:posOffset>1019175</wp:posOffset>
                </wp:positionH>
                <wp:positionV relativeFrom="paragraph">
                  <wp:posOffset>133350</wp:posOffset>
                </wp:positionV>
                <wp:extent cx="495300"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solidFill>
                          <a:schemeClr val="accent1">
                            <a:lumMod val="50000"/>
                          </a:schemeClr>
                        </a:solidFill>
                        <a:ln w="9525">
                          <a:noFill/>
                          <a:miter lim="800000"/>
                          <a:headEnd/>
                          <a:tailEnd/>
                        </a:ln>
                      </wps:spPr>
                      <wps:txbx>
                        <w:txbxContent>
                          <w:p w:rsidR="002F3289" w:rsidRPr="006D7DD7" w:rsidRDefault="002F3289" w:rsidP="006D7DD7">
                            <w:pPr>
                              <w:jc w:val="center"/>
                              <w:rPr>
                                <w:rFonts w:asciiTheme="minorHAnsi" w:hAnsiTheme="minorHAnsi"/>
                                <w:b/>
                              </w:rPr>
                            </w:pPr>
                            <w:r w:rsidRPr="006D7DD7">
                              <w:rPr>
                                <w:rFonts w:asciiTheme="minorHAnsi" w:hAnsiTheme="minorHAnsi"/>
                                <w:b/>
                              </w:rPr>
                              <w:t>SP</w:t>
                            </w:r>
                          </w:p>
                          <w:p w:rsidR="002F3289" w:rsidRPr="006D7DD7" w:rsidRDefault="002F3289" w:rsidP="006D7DD7">
                            <w:pPr>
                              <w:jc w:val="center"/>
                              <w:rPr>
                                <w:rFonts w:asciiTheme="minorHAnsi" w:hAnsiTheme="minorHAnsi"/>
                                <w:b/>
                              </w:rPr>
                            </w:pPr>
                          </w:p>
                          <w:p w:rsidR="002F3289" w:rsidRPr="006D7DD7" w:rsidRDefault="002F3289" w:rsidP="006D7DD7">
                            <w:pPr>
                              <w:jc w:val="center"/>
                              <w:rPr>
                                <w:rFonts w:asciiTheme="minorHAnsi" w:hAnsiTheme="minorHAnsi"/>
                                <w:b/>
                              </w:rPr>
                            </w:pPr>
                            <w:r w:rsidRPr="006D7DD7">
                              <w:rPr>
                                <w:rFonts w:asciiTheme="minorHAnsi" w:hAnsiTheme="minorHAnsi"/>
                                <w:b/>
                              </w:rPr>
                              <w:t>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0.25pt;margin-top:10.5pt;width:3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" fillcolor="#243f60 [1604]" stroked="f">
                <v:textbox style="mso-fit-shape-to-text:t">
                  <w:txbxContent>
                    <w:p w:rsidR="002F3289" w:rsidRPr="006D7DD7" w:rsidRDefault="002F3289" w:rsidP="006D7DD7">
                      <w:pPr>
                        <w:jc w:val="center"/>
                        <w:rPr>
                          <w:rFonts w:asciiTheme="minorHAnsi" w:hAnsiTheme="minorHAnsi"/>
                          <w:b/>
                        </w:rPr>
                      </w:pPr>
                      <w:r w:rsidRPr="006D7DD7">
                        <w:rPr>
                          <w:rFonts w:asciiTheme="minorHAnsi" w:hAnsiTheme="minorHAnsi"/>
                          <w:b/>
                        </w:rPr>
                        <w:t>SP</w:t>
                      </w:r>
                    </w:p>
                    <w:p w:rsidR="002F3289" w:rsidRPr="006D7DD7" w:rsidRDefault="002F3289" w:rsidP="006D7DD7">
                      <w:pPr>
                        <w:jc w:val="center"/>
                        <w:rPr>
                          <w:rFonts w:asciiTheme="minorHAnsi" w:hAnsiTheme="minorHAnsi"/>
                          <w:b/>
                        </w:rPr>
                      </w:pPr>
                    </w:p>
                    <w:p w:rsidR="002F3289" w:rsidRPr="006D7DD7" w:rsidRDefault="002F3289" w:rsidP="006D7DD7">
                      <w:pPr>
                        <w:jc w:val="center"/>
                        <w:rPr>
                          <w:rFonts w:asciiTheme="minorHAnsi" w:hAnsiTheme="minorHAnsi"/>
                          <w:b/>
                        </w:rPr>
                      </w:pPr>
                      <w:r w:rsidRPr="006D7DD7">
                        <w:rPr>
                          <w:rFonts w:asciiTheme="minorHAnsi" w:hAnsiTheme="minorHAnsi"/>
                          <w:b/>
                        </w:rPr>
                        <w:t>2012</w:t>
                      </w:r>
                    </w:p>
                  </w:txbxContent>
                </v:textbox>
              </v:shape>
            </w:pict>
          </mc:Fallback>
        </mc:AlternateContent>
      </w:r>
      <w:r w:rsidRPr="00FD1DB6">
        <w:rPr>
          <w:noProof/>
          <w:lang w:val="en-US"/>
        </w:rPr>
        <w:drawing>
          <wp:inline distT="0" distB="0" distL="0" distR="0" wp14:anchorId="4D220836" wp14:editId="2DA1D962">
            <wp:extent cx="4253865" cy="2504440"/>
            <wp:effectExtent l="19050" t="0" r="0" b="0"/>
            <wp:docPr id="5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4253865" cy="2504440"/>
                    </a:xfrm>
                    <a:prstGeom prst="rect">
                      <a:avLst/>
                    </a:prstGeom>
                    <a:noFill/>
                    <a:ln w="9525">
                      <a:noFill/>
                      <a:miter lim="800000"/>
                      <a:headEnd/>
                      <a:tailEnd/>
                    </a:ln>
                  </pic:spPr>
                </pic:pic>
              </a:graphicData>
            </a:graphic>
          </wp:inline>
        </w:drawing>
      </w:r>
    </w:p>
    <w:p w:rsidR="005905E6" w:rsidRPr="00767435" w:rsidRDefault="005905E6" w:rsidP="006D7DD7">
      <w:pPr>
        <w:ind w:left="1530" w:right="1440"/>
        <w:rPr>
          <w:sz w:val="16"/>
          <w:szCs w:val="16"/>
          <w:lang w:val="es-ES"/>
        </w:rPr>
      </w:pPr>
      <w:r w:rsidRPr="00767435">
        <w:rPr>
          <w:sz w:val="16"/>
          <w:szCs w:val="16"/>
          <w:lang w:val="es-ES"/>
        </w:rPr>
        <w:t>Fuente: “Estudio de Viabilidad Económica de la Electrificación del Corredor Plaza Constitución-La Plata, Línea Roca”</w:t>
      </w:r>
      <w:r w:rsidRPr="00767435">
        <w:rPr>
          <w:sz w:val="16"/>
          <w:szCs w:val="16"/>
          <w:vertAlign w:val="superscript"/>
          <w:lang w:val="es-ES"/>
        </w:rPr>
        <w:footnoteReference w:id="6"/>
      </w:r>
      <w:r w:rsidRPr="00767435">
        <w:rPr>
          <w:sz w:val="16"/>
          <w:szCs w:val="16"/>
          <w:lang w:val="es-ES"/>
        </w:rPr>
        <w:t>.</w:t>
      </w:r>
    </w:p>
    <w:p w:rsidR="005905E6" w:rsidRPr="00767435" w:rsidRDefault="005905E6" w:rsidP="00A608E1">
      <w:pPr>
        <w:jc w:val="both"/>
        <w:rPr>
          <w:lang w:val="es-ES"/>
        </w:rPr>
      </w:pPr>
    </w:p>
    <w:p w:rsidR="005905E6" w:rsidRPr="00767435" w:rsidRDefault="005905E6" w:rsidP="00A608E1">
      <w:pPr>
        <w:jc w:val="both"/>
        <w:rPr>
          <w:u w:val="single"/>
          <w:lang w:val="es-ES"/>
        </w:rPr>
      </w:pPr>
      <w:r w:rsidRPr="00767435">
        <w:rPr>
          <w:u w:val="single"/>
          <w:lang w:val="es-ES"/>
        </w:rPr>
        <w:t xml:space="preserve">Metodología de cálculo del Indicador: </w:t>
      </w:r>
    </w:p>
    <w:p w:rsidR="005905E6" w:rsidRPr="00767435" w:rsidRDefault="005905E6" w:rsidP="00A608E1">
      <w:pPr>
        <w:jc w:val="both"/>
        <w:rPr>
          <w:lang w:val="es-ES"/>
        </w:rPr>
      </w:pPr>
    </w:p>
    <w:p w:rsidR="005905E6" w:rsidRPr="00767435" w:rsidRDefault="005905E6" w:rsidP="00A608E1">
      <w:pPr>
        <w:numPr>
          <w:ilvl w:val="0"/>
          <w:numId w:val="34"/>
        </w:numPr>
        <w:jc w:val="both"/>
        <w:rPr>
          <w:lang w:val="es-ES"/>
        </w:rPr>
      </w:pPr>
      <w:r w:rsidRPr="00767435">
        <w:rPr>
          <w:lang w:val="es-ES"/>
        </w:rPr>
        <w:t>La fuente de información es la Comisión Nacional de Regulación del Transporte (CNRT).</w:t>
      </w:r>
    </w:p>
    <w:p w:rsidR="005905E6" w:rsidRPr="00767435" w:rsidRDefault="005905E6" w:rsidP="00A608E1">
      <w:pPr>
        <w:numPr>
          <w:ilvl w:val="0"/>
          <w:numId w:val="34"/>
        </w:numPr>
        <w:jc w:val="both"/>
        <w:rPr>
          <w:lang w:val="es-ES"/>
        </w:rPr>
      </w:pPr>
      <w:r w:rsidRPr="00767435">
        <w:rPr>
          <w:lang w:val="es-ES"/>
        </w:rPr>
        <w:t xml:space="preserve">La fuente de información es el relevamiento del factor de ocupación en la estación Sarandí en el pico horario de entre las 16 y las 19 horas. </w:t>
      </w:r>
    </w:p>
    <w:p w:rsidR="005905E6" w:rsidRPr="00767435" w:rsidRDefault="005905E6" w:rsidP="00A608E1">
      <w:pPr>
        <w:numPr>
          <w:ilvl w:val="0"/>
          <w:numId w:val="34"/>
        </w:numPr>
        <w:jc w:val="both"/>
        <w:rPr>
          <w:lang w:val="es-ES"/>
        </w:rPr>
      </w:pPr>
      <w:r w:rsidRPr="00767435">
        <w:rPr>
          <w:lang w:val="es-ES"/>
        </w:rPr>
        <w:t>Se calcula un Factor de Renovación de Día y luego un ajuste con el Factor de Hora Pico.</w:t>
      </w:r>
    </w:p>
    <w:p w:rsidR="005905E6" w:rsidRPr="00767435" w:rsidRDefault="005905E6" w:rsidP="00A608E1">
      <w:pPr>
        <w:numPr>
          <w:ilvl w:val="0"/>
          <w:numId w:val="34"/>
        </w:numPr>
        <w:jc w:val="both"/>
        <w:rPr>
          <w:lang w:val="es-ES"/>
        </w:rPr>
      </w:pPr>
      <w:r w:rsidRPr="00767435">
        <w:rPr>
          <w:lang w:val="es-ES"/>
        </w:rPr>
        <w:t>Se expande a partir del Factor de Hora Pico la cantidad de pasajeros del tramo medido al total del ramal.</w:t>
      </w:r>
    </w:p>
    <w:p w:rsidR="005905E6" w:rsidRPr="00767435" w:rsidRDefault="005905E6" w:rsidP="00A608E1">
      <w:pPr>
        <w:numPr>
          <w:ilvl w:val="0"/>
          <w:numId w:val="34"/>
        </w:numPr>
        <w:jc w:val="both"/>
        <w:rPr>
          <w:lang w:val="es-ES"/>
        </w:rPr>
      </w:pPr>
      <w:r w:rsidRPr="00767435">
        <w:rPr>
          <w:lang w:val="es-ES"/>
        </w:rPr>
        <w:t>Se calcula la cantidad de pasajeros diarios de los buses a partir de las cancelaciones registradas con la tarjeta SUBE.</w:t>
      </w:r>
    </w:p>
    <w:p w:rsidR="005905E6" w:rsidRPr="00767435" w:rsidRDefault="005905E6" w:rsidP="00A608E1">
      <w:pPr>
        <w:numPr>
          <w:ilvl w:val="0"/>
          <w:numId w:val="34"/>
        </w:numPr>
        <w:jc w:val="both"/>
        <w:rPr>
          <w:lang w:val="es-ES"/>
        </w:rPr>
      </w:pPr>
      <w:r w:rsidRPr="00767435">
        <w:rPr>
          <w:lang w:val="es-ES"/>
        </w:rPr>
        <w:t>Se calcula la cantidad de pasajeros diarios de las combis a partir del Estudio del Servicio de Oferta Libre elaborado por la CIABA.</w:t>
      </w:r>
    </w:p>
    <w:p w:rsidR="005905E6" w:rsidRPr="00767435" w:rsidRDefault="005905E6" w:rsidP="00A608E1">
      <w:pPr>
        <w:numPr>
          <w:ilvl w:val="0"/>
          <w:numId w:val="34"/>
        </w:numPr>
        <w:jc w:val="both"/>
        <w:rPr>
          <w:lang w:val="es-ES"/>
        </w:rPr>
      </w:pPr>
      <w:r w:rsidRPr="00767435">
        <w:rPr>
          <w:lang w:val="es-ES"/>
        </w:rPr>
        <w:t>Se calcula la cantidad de viajes realizados diariamente en el corredor en vehículos particulares a partir de los datos de la ENMODO.</w:t>
      </w:r>
    </w:p>
    <w:p w:rsidR="005905E6" w:rsidRPr="00767435" w:rsidRDefault="005905E6" w:rsidP="00A608E1">
      <w:pPr>
        <w:numPr>
          <w:ilvl w:val="0"/>
          <w:numId w:val="34"/>
        </w:numPr>
        <w:jc w:val="both"/>
        <w:rPr>
          <w:lang w:val="es-ES"/>
        </w:rPr>
      </w:pPr>
      <w:r w:rsidRPr="00767435">
        <w:rPr>
          <w:lang w:val="es-ES"/>
        </w:rPr>
        <w:t>Se calcula la participación modal.</w:t>
      </w:r>
    </w:p>
    <w:p w:rsidR="005905E6" w:rsidRPr="00767435" w:rsidRDefault="005905E6" w:rsidP="00A608E1">
      <w:pPr>
        <w:numPr>
          <w:ilvl w:val="0"/>
          <w:numId w:val="34"/>
        </w:numPr>
        <w:jc w:val="both"/>
        <w:rPr>
          <w:lang w:val="es-ES"/>
        </w:rPr>
      </w:pPr>
      <w:r w:rsidRPr="00767435">
        <w:rPr>
          <w:lang w:val="es-ES"/>
        </w:rPr>
        <w:t xml:space="preserve">La meta de la participación del ferrocarril </w:t>
      </w:r>
      <w:r w:rsidR="005E61D2">
        <w:rPr>
          <w:lang w:val="es-ES"/>
        </w:rPr>
        <w:t>en la matriz modal del corredor Buenos Aires- La Plata</w:t>
      </w:r>
      <w:r w:rsidRPr="00767435">
        <w:rPr>
          <w:lang w:val="es-ES"/>
        </w:rPr>
        <w:t xml:space="preserve"> es del 41%. La meta será verificada a través de un conteo de pasajeros a realizarse en 2018.</w:t>
      </w:r>
    </w:p>
    <w:p w:rsidR="005905E6" w:rsidRPr="00767435" w:rsidRDefault="005905E6" w:rsidP="00A608E1">
      <w:pPr>
        <w:jc w:val="both"/>
        <w:rPr>
          <w:b/>
          <w:i/>
          <w:lang w:val="es-ES"/>
        </w:rPr>
      </w:pPr>
    </w:p>
    <w:p w:rsidR="005905E6" w:rsidRPr="00767435" w:rsidRDefault="005905E6" w:rsidP="00A608E1">
      <w:pPr>
        <w:pStyle w:val="AutoNumpara"/>
        <w:numPr>
          <w:ilvl w:val="1"/>
          <w:numId w:val="5"/>
        </w:numPr>
        <w:rPr>
          <w:lang w:val="es-ES"/>
        </w:rPr>
      </w:pPr>
      <w:r w:rsidRPr="00767435">
        <w:rPr>
          <w:lang w:val="es-ES"/>
        </w:rPr>
        <w:t xml:space="preserve">Indicadores de Resultados </w:t>
      </w:r>
    </w:p>
    <w:p w:rsidR="005905E6" w:rsidRPr="00767435" w:rsidRDefault="005905E6" w:rsidP="00A608E1">
      <w:pPr>
        <w:jc w:val="both"/>
        <w:rPr>
          <w:b/>
          <w:lang w:val="es-ES"/>
        </w:rPr>
      </w:pPr>
    </w:p>
    <w:p w:rsidR="005905E6" w:rsidRPr="00767435" w:rsidRDefault="005905E6" w:rsidP="00A608E1">
      <w:pPr>
        <w:numPr>
          <w:ilvl w:val="0"/>
          <w:numId w:val="35"/>
        </w:numPr>
        <w:jc w:val="both"/>
        <w:rPr>
          <w:b/>
          <w:i/>
          <w:lang w:val="es-ES"/>
        </w:rPr>
      </w:pPr>
      <w:r w:rsidRPr="00767435">
        <w:rPr>
          <w:b/>
          <w:i/>
          <w:lang w:val="es-ES"/>
        </w:rPr>
        <w:t>Tiempos de viaje efectivo en el Ramal Constitución – La Plata en servicios con paradas en todas las estaciones</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La información disponible para establecer la línea de base de este indicador proviene de la Unidad de Gestión Operativa Ferroviaria de Emergencia (UGOFE) teniendo en cuenta la grilla de horarios de  los días hábiles publicada en su sitio web [</w:t>
      </w:r>
      <w:r w:rsidRPr="00767435">
        <w:rPr>
          <w:i/>
          <w:lang w:val="es-ES"/>
        </w:rPr>
        <w:t>http://www.ugofe.com.ar/general_roca</w:t>
      </w:r>
      <w:r w:rsidRPr="00767435">
        <w:rPr>
          <w:lang w:val="es-ES"/>
        </w:rPr>
        <w:t>]. De acuerdo con dicha información el tiempo total de trayecto desde Constitución hasta La Plata es de 80 minutos.</w:t>
      </w:r>
    </w:p>
    <w:p w:rsidR="005905E6" w:rsidRPr="00767435" w:rsidRDefault="005905E6" w:rsidP="00A608E1">
      <w:pPr>
        <w:jc w:val="both"/>
        <w:rPr>
          <w:lang w:val="es-ES"/>
        </w:rPr>
      </w:pPr>
    </w:p>
    <w:p w:rsidR="005905E6" w:rsidRPr="00767435" w:rsidRDefault="005905E6" w:rsidP="00A608E1">
      <w:pPr>
        <w:jc w:val="both"/>
      </w:pPr>
      <w:r w:rsidRPr="00767435">
        <w:rPr>
          <w:lang w:val="es-ES"/>
        </w:rPr>
        <w:t>Para 2018, luego de la concreción del Proyecto, se estima que el tiempo de viaje de todo el corredor será de 63 minutos. Esta estimación se desprende del  “</w:t>
      </w:r>
      <w:r w:rsidRPr="00767435">
        <w:rPr>
          <w:i/>
          <w:lang w:val="es-ES"/>
        </w:rPr>
        <w:t>Estudio de Viabilidad Económica de la Electrificación del Corredor Plaza Constitución-La Plata, Línea Roca”</w:t>
      </w:r>
      <w:r w:rsidRPr="00767435">
        <w:rPr>
          <w:i/>
          <w:vertAlign w:val="superscript"/>
          <w:lang w:val="es-ES"/>
        </w:rPr>
        <w:footnoteReference w:id="7"/>
      </w:r>
      <w:r w:rsidRPr="00767435">
        <w:rPr>
          <w:lang w:val="es-ES"/>
        </w:rPr>
        <w:t xml:space="preserve">. Se utilizaron para este cálculo los siguientes datos: </w:t>
      </w:r>
      <w:r w:rsidRPr="00767435">
        <w:t>recorrido de 52,6km (el cual se mantiene con y sin proyecto) velocidad comercial actual (39,5km/hora</w:t>
      </w:r>
      <w:r w:rsidRPr="00767435">
        <w:rPr>
          <w:rStyle w:val="FootnoteReference"/>
        </w:rPr>
        <w:footnoteReference w:id="8"/>
      </w:r>
      <w:r w:rsidRPr="00767435">
        <w:t>), tiempo de viaje actual (80 minutos), velocidad comercial esperada con proyecto (50km/hora). Esta velocidad comercial se calculó al analizar los ramales eléctricos de la línea Roca y se consideró para la estimación de la meta que esta velocidad sería la que utilizará el ramal una vez el Proyecto entre en operación.</w:t>
      </w:r>
    </w:p>
    <w:p w:rsidR="005905E6" w:rsidRPr="00767435" w:rsidRDefault="005905E6" w:rsidP="00A608E1">
      <w:pPr>
        <w:jc w:val="both"/>
      </w:pPr>
    </w:p>
    <w:p w:rsidR="005905E6" w:rsidRPr="00767435" w:rsidRDefault="005905E6" w:rsidP="00A608E1">
      <w:pPr>
        <w:jc w:val="both"/>
        <w:rPr>
          <w:lang w:val="es-ES"/>
        </w:rPr>
      </w:pPr>
      <w:r w:rsidRPr="00767435">
        <w:t>A partir de toda esta información se realizó un cálculo de regla de tres indirecta y se obtuvo que el tiempo de viaje esperado rondará los 63 minutos.</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La meta será</w:t>
      </w:r>
      <w:r w:rsidRPr="00767435">
        <w:t xml:space="preserve"> </w:t>
      </w:r>
      <w:r w:rsidRPr="00767435">
        <w:rPr>
          <w:lang w:val="es-ES"/>
        </w:rPr>
        <w:t>verificada en 2018 a partir de dos fuentes de información. Por un lado, la que proviene de la Unidad de Gestión Operativa Ferroviaria de Emergencia (UGOFE) o de la empresa que fuera concesionaria del servicio al momento de la verificación.</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 xml:space="preserve">Asimismo se utilizará como medio de verificación la información producida en el marco de la Evaluación Económica ex post que está prevista a realizarse en 2018 según lo estipulado en este Plan. Esta Evaluación será llevada a cabo mediante una consultoría para la que está previsto un presupuesto como parte del </w:t>
      </w:r>
      <w:r w:rsidR="006F75A1" w:rsidRPr="00767435">
        <w:rPr>
          <w:lang w:val="es-ES"/>
        </w:rPr>
        <w:t>c</w:t>
      </w:r>
      <w:r w:rsidRPr="00767435">
        <w:rPr>
          <w:lang w:val="es-ES"/>
        </w:rPr>
        <w:t>omponente “Ingeniería y Administración”.</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La meta será verificada 6 meses luego de concluidas las obras y del inicio de la operación del servicio electrificado.</w:t>
      </w:r>
    </w:p>
    <w:p w:rsidR="005905E6" w:rsidRPr="00767435" w:rsidRDefault="005905E6" w:rsidP="00A608E1">
      <w:pPr>
        <w:jc w:val="both"/>
        <w:rPr>
          <w:lang w:val="es-ES"/>
        </w:rPr>
      </w:pPr>
    </w:p>
    <w:p w:rsidR="005905E6" w:rsidRPr="00767435" w:rsidRDefault="005905E6" w:rsidP="00A608E1">
      <w:pPr>
        <w:jc w:val="both"/>
        <w:rPr>
          <w:u w:val="single"/>
          <w:lang w:val="es-ES"/>
        </w:rPr>
      </w:pPr>
      <w:r w:rsidRPr="00767435">
        <w:rPr>
          <w:u w:val="single"/>
          <w:lang w:val="es-ES"/>
        </w:rPr>
        <w:t xml:space="preserve">Metodología de cálculo del Indicador: </w:t>
      </w:r>
    </w:p>
    <w:p w:rsidR="005905E6" w:rsidRPr="00767435" w:rsidRDefault="005905E6" w:rsidP="00A608E1">
      <w:pPr>
        <w:jc w:val="both"/>
        <w:rPr>
          <w:b/>
          <w:i/>
          <w:lang w:val="es-ES"/>
        </w:rPr>
      </w:pPr>
    </w:p>
    <w:p w:rsidR="005905E6" w:rsidRPr="00767435" w:rsidRDefault="005905E6" w:rsidP="00A608E1">
      <w:pPr>
        <w:numPr>
          <w:ilvl w:val="0"/>
          <w:numId w:val="36"/>
        </w:numPr>
        <w:jc w:val="both"/>
        <w:rPr>
          <w:lang w:val="es-ES"/>
        </w:rPr>
      </w:pPr>
      <w:r w:rsidRPr="00767435">
        <w:rPr>
          <w:lang w:val="es-ES"/>
        </w:rPr>
        <w:t>La fuente de información es la Unidad de Gestión Operativa Ferroviaria de Emergencia (UGOFE)</w:t>
      </w:r>
      <w:r w:rsidR="005E61D2">
        <w:rPr>
          <w:lang w:val="es-ES"/>
        </w:rPr>
        <w:t xml:space="preserve"> </w:t>
      </w:r>
      <w:r w:rsidR="005E61D2" w:rsidRPr="00767435">
        <w:rPr>
          <w:lang w:val="es-ES"/>
        </w:rPr>
        <w:t>o la empresa que fuera concesionaria del servicio al momento de la verificación.</w:t>
      </w:r>
    </w:p>
    <w:p w:rsidR="005905E6" w:rsidRPr="00767435" w:rsidRDefault="005905E6" w:rsidP="00A608E1">
      <w:pPr>
        <w:numPr>
          <w:ilvl w:val="0"/>
          <w:numId w:val="36"/>
        </w:numPr>
        <w:jc w:val="both"/>
        <w:rPr>
          <w:lang w:val="es-ES"/>
        </w:rPr>
      </w:pPr>
      <w:r w:rsidRPr="00767435">
        <w:rPr>
          <w:lang w:val="es-ES"/>
        </w:rPr>
        <w:t>Se descarga desde el sitio de Internet de la operadora la grilla horaria de los días hábiles. Se seleccionan los trenes que realizan todo el recorrido y se realiza el cálculo de la diferencia de tiempo del servicio en minutos desde una cabecera a la otra.</w:t>
      </w:r>
    </w:p>
    <w:p w:rsidR="005905E6" w:rsidRPr="00767435" w:rsidRDefault="005905E6" w:rsidP="00A608E1">
      <w:pPr>
        <w:numPr>
          <w:ilvl w:val="0"/>
          <w:numId w:val="36"/>
        </w:numPr>
        <w:jc w:val="both"/>
        <w:rPr>
          <w:lang w:val="es-ES"/>
        </w:rPr>
      </w:pPr>
      <w:r w:rsidRPr="00767435">
        <w:rPr>
          <w:lang w:val="es-ES"/>
        </w:rPr>
        <w:t>Se revisa el informe de la Evaluación Económica ex post.</w:t>
      </w:r>
    </w:p>
    <w:p w:rsidR="005905E6" w:rsidRPr="00767435" w:rsidRDefault="005905E6" w:rsidP="00A608E1">
      <w:pPr>
        <w:ind w:left="360"/>
        <w:jc w:val="both"/>
        <w:rPr>
          <w:lang w:val="es-ES"/>
        </w:rPr>
      </w:pPr>
    </w:p>
    <w:p w:rsidR="005905E6" w:rsidRPr="00767435" w:rsidRDefault="005905E6" w:rsidP="00A608E1">
      <w:pPr>
        <w:numPr>
          <w:ilvl w:val="0"/>
          <w:numId w:val="35"/>
        </w:numPr>
        <w:jc w:val="both"/>
        <w:rPr>
          <w:b/>
          <w:i/>
          <w:lang w:val="es-ES"/>
        </w:rPr>
      </w:pPr>
      <w:r w:rsidRPr="00767435">
        <w:rPr>
          <w:b/>
          <w:i/>
          <w:lang w:val="es-ES"/>
        </w:rPr>
        <w:t>Tiempo de espera entre trenes en tramo Constitución – Berazategui(en hora pico)</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La información disponible para establecer la línea de base de este indicador proviene de la Unidad de Gestión Operativa Ferroviaria de Emergencia (UGOFE) teniendo en cuenta la grilla de horarios de  los días hábiles publicada en su sitio web [</w:t>
      </w:r>
      <w:r w:rsidRPr="00767435">
        <w:rPr>
          <w:i/>
          <w:lang w:val="es-ES"/>
        </w:rPr>
        <w:t>http://www.ugofe.com.ar/general_roca</w:t>
      </w:r>
      <w:r w:rsidRPr="00767435">
        <w:rPr>
          <w:lang w:val="es-ES"/>
        </w:rPr>
        <w:t>]. De acuerdo con dicha información el tiempo de espera en la estación entre trenes es de 12 minutos. Esto se calcula de tomar un tren cada 24 minutos hacia La Plata exclusivamente e incluir en el conteo el tren que sale cada 12 minutos vía circuito (a Berazategui).</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Para 2018, momento de finalización del Proyecto se espera como meta un tiempo de espera entre trenes  de 8,5, de acuerdo al “</w:t>
      </w:r>
      <w:r w:rsidRPr="00767435">
        <w:rPr>
          <w:i/>
          <w:lang w:val="es-ES"/>
        </w:rPr>
        <w:t>Estudio de Viabilidad Económica de la Electrificación del Corredor Plaza Constitución-La Plata, Línea Roca”</w:t>
      </w:r>
      <w:r w:rsidRPr="00767435">
        <w:rPr>
          <w:i/>
          <w:vertAlign w:val="superscript"/>
          <w:lang w:val="es-ES"/>
        </w:rPr>
        <w:footnoteReference w:id="9"/>
      </w:r>
      <w:r w:rsidRPr="00767435">
        <w:rPr>
          <w:lang w:val="es-ES"/>
        </w:rPr>
        <w:t xml:space="preserve">. </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Para la verificación del tiempo de espera entre trenes se utilizará información proveniente de la Unidad de Gestión Operativa Ferroviaria de Emergencia (UGOFE) motivo por el cual no se prevé presupuesto para el relevamiento de datos.</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La meta será verificada 6 meses luego de concluidas las obras y del inicio de la operación del servicio electrificado.</w:t>
      </w:r>
    </w:p>
    <w:p w:rsidR="005905E6" w:rsidRPr="00767435" w:rsidRDefault="005905E6" w:rsidP="00A608E1">
      <w:pPr>
        <w:jc w:val="both"/>
        <w:rPr>
          <w:b/>
          <w:i/>
          <w:lang w:val="es-ES"/>
        </w:rPr>
      </w:pPr>
    </w:p>
    <w:p w:rsidR="005905E6" w:rsidRPr="00767435" w:rsidRDefault="005905E6" w:rsidP="00A608E1">
      <w:pPr>
        <w:jc w:val="both"/>
        <w:rPr>
          <w:u w:val="single"/>
          <w:lang w:val="es-ES"/>
        </w:rPr>
      </w:pPr>
      <w:r w:rsidRPr="00767435">
        <w:rPr>
          <w:u w:val="single"/>
          <w:lang w:val="es-ES"/>
        </w:rPr>
        <w:t xml:space="preserve">Metodología de cálculo del Indicador: </w:t>
      </w:r>
    </w:p>
    <w:p w:rsidR="005905E6" w:rsidRPr="00767435" w:rsidRDefault="005905E6" w:rsidP="00A608E1">
      <w:pPr>
        <w:jc w:val="both"/>
        <w:rPr>
          <w:b/>
          <w:i/>
          <w:lang w:val="es-ES"/>
        </w:rPr>
      </w:pPr>
    </w:p>
    <w:p w:rsidR="005905E6" w:rsidRPr="00767435" w:rsidRDefault="005905E6" w:rsidP="00A608E1">
      <w:pPr>
        <w:numPr>
          <w:ilvl w:val="0"/>
          <w:numId w:val="36"/>
        </w:numPr>
        <w:jc w:val="both"/>
        <w:rPr>
          <w:lang w:val="es-ES"/>
        </w:rPr>
      </w:pPr>
      <w:r w:rsidRPr="00767435">
        <w:rPr>
          <w:lang w:val="es-ES"/>
        </w:rPr>
        <w:t>La fuente de información es la Unidad de Gestión Operativa Ferroviaria de Emergencia (UGOFE)</w:t>
      </w:r>
      <w:r w:rsidR="005E61D2">
        <w:rPr>
          <w:lang w:val="es-ES"/>
        </w:rPr>
        <w:t xml:space="preserve"> </w:t>
      </w:r>
      <w:r w:rsidR="005E61D2" w:rsidRPr="00767435">
        <w:rPr>
          <w:lang w:val="es-ES"/>
        </w:rPr>
        <w:t>o la empresa que fuera concesionaria del servicio al momento de la verificación.</w:t>
      </w:r>
    </w:p>
    <w:p w:rsidR="005905E6" w:rsidRPr="00767435" w:rsidRDefault="005905E6" w:rsidP="00A608E1">
      <w:pPr>
        <w:numPr>
          <w:ilvl w:val="0"/>
          <w:numId w:val="36"/>
        </w:numPr>
        <w:jc w:val="both"/>
        <w:rPr>
          <w:lang w:val="es-ES"/>
        </w:rPr>
      </w:pPr>
      <w:r w:rsidRPr="00767435">
        <w:rPr>
          <w:lang w:val="es-ES"/>
        </w:rPr>
        <w:t xml:space="preserve">Se descarga desde el sitio de Internet de la operadora la grilla horaria de los días hábiles. Se seleccionan los trenes que realizan todo el recorrido y se realiza el cálculo de la diferencia de tiempo del servicio en minutos desde la salida de todos los trenes del día respecto de la salida del siguiente. </w:t>
      </w:r>
    </w:p>
    <w:p w:rsidR="005905E6" w:rsidRDefault="005905E6" w:rsidP="00A608E1">
      <w:pPr>
        <w:numPr>
          <w:ilvl w:val="0"/>
          <w:numId w:val="36"/>
        </w:numPr>
        <w:jc w:val="both"/>
        <w:rPr>
          <w:lang w:val="es-ES"/>
        </w:rPr>
      </w:pPr>
      <w:r w:rsidRPr="00767435">
        <w:rPr>
          <w:lang w:val="es-ES"/>
        </w:rPr>
        <w:t>Se calcula el promedio de tiempo entre trenes para la hora pico.</w:t>
      </w:r>
    </w:p>
    <w:p w:rsidR="005E61D2" w:rsidRPr="00767435" w:rsidRDefault="005E61D2" w:rsidP="005E61D2">
      <w:pPr>
        <w:ind w:left="720"/>
        <w:jc w:val="both"/>
        <w:rPr>
          <w:lang w:val="es-ES"/>
        </w:rPr>
      </w:pPr>
    </w:p>
    <w:p w:rsidR="005905E6" w:rsidRPr="00767435" w:rsidRDefault="005905E6" w:rsidP="00A608E1">
      <w:pPr>
        <w:numPr>
          <w:ilvl w:val="0"/>
          <w:numId w:val="35"/>
        </w:numPr>
        <w:jc w:val="both"/>
        <w:rPr>
          <w:b/>
          <w:i/>
          <w:lang w:val="es-ES"/>
        </w:rPr>
      </w:pPr>
      <w:r w:rsidRPr="00767435">
        <w:rPr>
          <w:b/>
          <w:i/>
          <w:lang w:val="es-ES"/>
        </w:rPr>
        <w:t>Confiabilidad del servicio: cumplimiento de programación</w:t>
      </w:r>
    </w:p>
    <w:p w:rsidR="005905E6" w:rsidRPr="00767435" w:rsidRDefault="005905E6" w:rsidP="00A608E1">
      <w:pPr>
        <w:jc w:val="both"/>
        <w:rPr>
          <w:b/>
          <w:i/>
          <w:lang w:val="es-ES"/>
        </w:rPr>
      </w:pPr>
    </w:p>
    <w:p w:rsidR="005905E6" w:rsidRPr="00767435" w:rsidRDefault="005905E6" w:rsidP="00A608E1">
      <w:pPr>
        <w:jc w:val="both"/>
        <w:rPr>
          <w:lang w:val="es-ES"/>
        </w:rPr>
      </w:pPr>
      <w:r w:rsidRPr="00767435">
        <w:rPr>
          <w:lang w:val="es-ES"/>
        </w:rPr>
        <w:t>La información disponible para establecer la línea de base de este indicador proviene de la Comisión Nacional de Regulación del Transporte (CNRT). De acuerdo con dicha información el cumplimiento de programación del ramal en octubre de 2012 es del 98%. Esto significa que del total de trenes programados que debieran cumplir el servicio entre las cabeceras, el 98% lo cumplen. Esta información es presentada por la CNRT como parte del reporte de “Prestación Efectiva”. Se solicita al Área Estadísticas de la CNRT, Gerencia de Concesiones Ferroviarias.</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Para 2018, luego de que ya se hubiera retomado el servicio con las mejoras y la electrificación que son parte del Proyecto, se espera que se mantenga el cumplimiento de la programación en el mismo valor, del 98%.</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Para la verificación de la meta se utilizará información proveniente de la Comisión Nacional de Regulación del Transporte (CNRT), motivo por el cual no se prevé presupuesto para el relevamiento de datos.</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La meta será verificada 6 meses luego de concluidas las obras y del inicio de la operación del servicio electrificado.</w:t>
      </w:r>
    </w:p>
    <w:p w:rsidR="005905E6" w:rsidRPr="00767435" w:rsidRDefault="005905E6" w:rsidP="00A608E1">
      <w:pPr>
        <w:jc w:val="both"/>
        <w:rPr>
          <w:b/>
          <w:i/>
          <w:lang w:val="es-ES"/>
        </w:rPr>
      </w:pPr>
    </w:p>
    <w:p w:rsidR="005905E6" w:rsidRPr="00767435" w:rsidRDefault="005905E6" w:rsidP="00A608E1">
      <w:pPr>
        <w:jc w:val="both"/>
        <w:rPr>
          <w:u w:val="single"/>
          <w:lang w:val="es-ES"/>
        </w:rPr>
      </w:pPr>
      <w:r w:rsidRPr="00767435">
        <w:rPr>
          <w:u w:val="single"/>
          <w:lang w:val="es-ES"/>
        </w:rPr>
        <w:t xml:space="preserve">Metodología de cálculo del Indicador: </w:t>
      </w:r>
    </w:p>
    <w:p w:rsidR="005905E6" w:rsidRPr="00767435" w:rsidRDefault="005905E6" w:rsidP="00A608E1">
      <w:pPr>
        <w:jc w:val="both"/>
        <w:rPr>
          <w:u w:val="single"/>
          <w:lang w:val="es-ES"/>
        </w:rPr>
      </w:pPr>
    </w:p>
    <w:p w:rsidR="005905E6" w:rsidRPr="00767435" w:rsidRDefault="005905E6" w:rsidP="00A608E1">
      <w:pPr>
        <w:numPr>
          <w:ilvl w:val="0"/>
          <w:numId w:val="37"/>
        </w:numPr>
        <w:jc w:val="both"/>
        <w:rPr>
          <w:lang w:val="es-ES"/>
        </w:rPr>
      </w:pPr>
      <w:r w:rsidRPr="00767435">
        <w:rPr>
          <w:lang w:val="es-ES"/>
        </w:rPr>
        <w:t>La fuente de información es la Comisión Nacional de Regulación del Transporte (CNRT).</w:t>
      </w:r>
    </w:p>
    <w:p w:rsidR="005905E6" w:rsidRPr="00767435" w:rsidRDefault="005905E6" w:rsidP="00A608E1">
      <w:pPr>
        <w:numPr>
          <w:ilvl w:val="0"/>
          <w:numId w:val="37"/>
        </w:numPr>
        <w:jc w:val="both"/>
        <w:rPr>
          <w:lang w:val="es-ES"/>
        </w:rPr>
      </w:pPr>
      <w:r w:rsidRPr="00767435">
        <w:rPr>
          <w:lang w:val="es-ES"/>
        </w:rPr>
        <w:t>Se debe solicitar dicha información al Área Estadísticas de la CNRT, Gerencia de Concesiones Ferroviarias.</w:t>
      </w:r>
    </w:p>
    <w:p w:rsidR="005905E6" w:rsidRPr="00767435" w:rsidRDefault="005905E6" w:rsidP="00A608E1">
      <w:pPr>
        <w:numPr>
          <w:ilvl w:val="0"/>
          <w:numId w:val="37"/>
        </w:numPr>
        <w:jc w:val="both"/>
        <w:rPr>
          <w:lang w:val="es-ES"/>
        </w:rPr>
      </w:pPr>
      <w:r w:rsidRPr="00767435">
        <w:rPr>
          <w:lang w:val="es-ES"/>
        </w:rPr>
        <w:t>Se debe calcular qué porcentaje representan los trenes corridos respecto de los trenes programados para un mes determinado que no sufra variaciones estacionales (ej: enero, febrero, diciembre).</w:t>
      </w:r>
    </w:p>
    <w:p w:rsidR="005905E6" w:rsidRPr="00767435" w:rsidRDefault="005905E6" w:rsidP="00A608E1">
      <w:pPr>
        <w:jc w:val="both"/>
        <w:rPr>
          <w:lang w:val="es-ES"/>
        </w:rPr>
      </w:pPr>
    </w:p>
    <w:p w:rsidR="005905E6" w:rsidRPr="00767435" w:rsidRDefault="005905E6" w:rsidP="00A608E1">
      <w:pPr>
        <w:numPr>
          <w:ilvl w:val="0"/>
          <w:numId w:val="35"/>
        </w:numPr>
        <w:jc w:val="both"/>
        <w:rPr>
          <w:b/>
          <w:i/>
          <w:lang w:val="es-ES"/>
        </w:rPr>
      </w:pPr>
      <w:r w:rsidRPr="00767435">
        <w:rPr>
          <w:b/>
          <w:i/>
          <w:lang w:val="es-ES"/>
        </w:rPr>
        <w:t>Confiabilidad del servicio: demoras</w:t>
      </w:r>
    </w:p>
    <w:p w:rsidR="005905E6" w:rsidRPr="00767435" w:rsidRDefault="005905E6" w:rsidP="00A608E1">
      <w:pPr>
        <w:jc w:val="both"/>
        <w:rPr>
          <w:b/>
          <w:i/>
          <w:lang w:val="es-ES"/>
        </w:rPr>
      </w:pPr>
    </w:p>
    <w:p w:rsidR="005905E6" w:rsidRPr="00767435" w:rsidRDefault="005905E6" w:rsidP="00A608E1">
      <w:pPr>
        <w:jc w:val="both"/>
        <w:rPr>
          <w:lang w:val="es-ES"/>
        </w:rPr>
      </w:pPr>
      <w:r w:rsidRPr="00767435">
        <w:rPr>
          <w:lang w:val="es-ES"/>
        </w:rPr>
        <w:t>La información disponible para establecer la línea de base de este indicador proviene de la Comisión Nacional de Regulación del Transporte (CNRT). De acuerdo con dicha información el cumplimiento de puntualidad del ramal en octubre de 2012 es del 73%. Esto significa que del total de trenes corridos entre las cabeceras, el 73% llegan a horario, es decir, no presentan demoras. Esta información es presentada por la CNRT como parte del reporte de “Prestación Efectiva”. Se solicita al Área Estadísticas de la CNRT, Gerencia de Concesiones Ferroviaria.</w:t>
      </w:r>
    </w:p>
    <w:p w:rsidR="005905E6" w:rsidRPr="00767435" w:rsidRDefault="005905E6" w:rsidP="00A608E1">
      <w:pPr>
        <w:jc w:val="both"/>
        <w:rPr>
          <w:u w:val="single"/>
          <w:lang w:val="es-ES"/>
        </w:rPr>
      </w:pPr>
    </w:p>
    <w:p w:rsidR="005905E6" w:rsidRPr="00767435" w:rsidRDefault="005905E6" w:rsidP="00A608E1">
      <w:pPr>
        <w:jc w:val="both"/>
        <w:rPr>
          <w:lang w:val="es-ES"/>
        </w:rPr>
      </w:pPr>
      <w:r w:rsidRPr="00767435">
        <w:rPr>
          <w:lang w:val="es-ES"/>
        </w:rPr>
        <w:t>Se espera en 2018 que el 95% de los trenes salgan a horario alcanzando la meta establecida de manera general en los contratos de concesión de la operación del servicio en el ramal.</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Para la verificación de la meta se utilizará información proveniente de la Comisión Nacional de Regulación del Transporte (CNRT), motivo por el cual no se prevé presupuesto para el relevamiento de datos.</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La meta será verificada 6 meses luego de concluidas las obras y del inicio de la operación del servicio electrificado.</w:t>
      </w:r>
    </w:p>
    <w:p w:rsidR="005905E6" w:rsidRPr="00767435" w:rsidRDefault="005905E6" w:rsidP="00A608E1">
      <w:pPr>
        <w:jc w:val="both"/>
        <w:rPr>
          <w:u w:val="single"/>
          <w:lang w:val="es-ES"/>
        </w:rPr>
      </w:pPr>
    </w:p>
    <w:p w:rsidR="005905E6" w:rsidRPr="00767435" w:rsidRDefault="005905E6" w:rsidP="00A608E1">
      <w:pPr>
        <w:jc w:val="both"/>
        <w:rPr>
          <w:u w:val="single"/>
          <w:lang w:val="es-ES"/>
        </w:rPr>
      </w:pPr>
      <w:r w:rsidRPr="00767435">
        <w:rPr>
          <w:u w:val="single"/>
          <w:lang w:val="es-ES"/>
        </w:rPr>
        <w:t xml:space="preserve">Metodología de cálculo del Indicador: </w:t>
      </w:r>
    </w:p>
    <w:p w:rsidR="005905E6" w:rsidRPr="00767435" w:rsidRDefault="005905E6" w:rsidP="00A608E1">
      <w:pPr>
        <w:jc w:val="both"/>
        <w:rPr>
          <w:u w:val="single"/>
          <w:lang w:val="es-ES"/>
        </w:rPr>
      </w:pPr>
    </w:p>
    <w:p w:rsidR="005905E6" w:rsidRPr="00767435" w:rsidRDefault="005905E6" w:rsidP="00A608E1">
      <w:pPr>
        <w:numPr>
          <w:ilvl w:val="0"/>
          <w:numId w:val="37"/>
        </w:numPr>
        <w:jc w:val="both"/>
        <w:rPr>
          <w:lang w:val="es-ES"/>
        </w:rPr>
      </w:pPr>
      <w:r w:rsidRPr="00767435">
        <w:rPr>
          <w:lang w:val="es-ES"/>
        </w:rPr>
        <w:t>La fuente de información es la Comisión Nacional de Regulación del Transporte (CNRT).</w:t>
      </w:r>
    </w:p>
    <w:p w:rsidR="005905E6" w:rsidRPr="00767435" w:rsidRDefault="005905E6" w:rsidP="00A608E1">
      <w:pPr>
        <w:numPr>
          <w:ilvl w:val="0"/>
          <w:numId w:val="37"/>
        </w:numPr>
        <w:jc w:val="both"/>
        <w:rPr>
          <w:lang w:val="es-ES"/>
        </w:rPr>
      </w:pPr>
      <w:r w:rsidRPr="00767435">
        <w:rPr>
          <w:lang w:val="es-ES"/>
        </w:rPr>
        <w:t>Se debe solicitar dicha información al Área Estadísticas de la CNRT, Gerencia de Concesiones Ferroviarias.</w:t>
      </w:r>
    </w:p>
    <w:p w:rsidR="005905E6" w:rsidRPr="00767435" w:rsidRDefault="005905E6" w:rsidP="00A608E1">
      <w:pPr>
        <w:numPr>
          <w:ilvl w:val="0"/>
          <w:numId w:val="37"/>
        </w:numPr>
        <w:jc w:val="both"/>
        <w:rPr>
          <w:lang w:val="es-ES"/>
        </w:rPr>
      </w:pPr>
      <w:r w:rsidRPr="00767435">
        <w:rPr>
          <w:lang w:val="es-ES"/>
        </w:rPr>
        <w:t xml:space="preserve">Se debe calcular qué porcentaje representan los trenes </w:t>
      </w:r>
      <w:r w:rsidR="005E61D2">
        <w:rPr>
          <w:lang w:val="es-ES"/>
        </w:rPr>
        <w:t>a horario</w:t>
      </w:r>
      <w:r w:rsidRPr="00767435">
        <w:rPr>
          <w:lang w:val="es-ES"/>
        </w:rPr>
        <w:t xml:space="preserve"> respecto de los trenes programados para un mes determinado que no sufra variaciones estacionales (ej: enero, febrero, diciembre).</w:t>
      </w:r>
    </w:p>
    <w:p w:rsidR="005905E6" w:rsidRPr="00767435" w:rsidRDefault="005905E6" w:rsidP="00A608E1">
      <w:pPr>
        <w:ind w:left="360"/>
        <w:jc w:val="both"/>
        <w:rPr>
          <w:lang w:val="es-ES"/>
        </w:rPr>
      </w:pPr>
    </w:p>
    <w:p w:rsidR="005905E6" w:rsidRPr="00767435" w:rsidRDefault="005905E6" w:rsidP="00A608E1">
      <w:pPr>
        <w:numPr>
          <w:ilvl w:val="0"/>
          <w:numId w:val="35"/>
        </w:numPr>
        <w:jc w:val="both"/>
        <w:rPr>
          <w:lang w:val="es-ES"/>
        </w:rPr>
      </w:pPr>
      <w:r w:rsidRPr="00767435">
        <w:rPr>
          <w:b/>
          <w:i/>
          <w:lang w:val="es-ES"/>
        </w:rPr>
        <w:t>Seguridad: Accidentes de pasajeros asociados al movimiento de trenes: casos</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La información disponible para establecer la línea de base de este indicador proviene de la Comisión Nacional de Regulación del Transporte (CNRT). De acuerdo con dicha información, el número de accidentes de pasajeros en el ramal para el año 2011 es de 91, diferenciados en 89 heridos y 2 muertos. Esta información es presentada por la CNRT como parte de los datos sobre accidentes ferroviarios. Se solicita a la Gerencia de Concesiones Ferroviarias de la CNRT.</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Se consideran para el análisis los accidentes: pasajeros golpeados o caídos. Se presenta a continuación una tabla con los totales de casos y un gráfico de líneas que muestra la tendencia de ocurrencia para el total de este tipo de accidentes para el ramal en el período 2004-2011.</w:t>
      </w:r>
    </w:p>
    <w:p w:rsidR="005905E6" w:rsidRPr="00767435" w:rsidRDefault="005905E6" w:rsidP="00A608E1">
      <w:pPr>
        <w:jc w:val="both"/>
        <w:rPr>
          <w:lang w:val="es-ES"/>
        </w:rPr>
      </w:pPr>
    </w:p>
    <w:p w:rsidR="005905E6" w:rsidRPr="00767435" w:rsidRDefault="006F75A1" w:rsidP="00A608E1">
      <w:pPr>
        <w:jc w:val="both"/>
        <w:rPr>
          <w:lang w:val="es-ES"/>
        </w:rPr>
      </w:pPr>
      <w:r w:rsidRPr="00767435">
        <w:rPr>
          <w:noProof/>
          <w:lang w:val="en-US"/>
        </w:rPr>
        <w:drawing>
          <wp:inline distT="0" distB="0" distL="0" distR="0" wp14:anchorId="351D4F4E" wp14:editId="407840D9">
            <wp:extent cx="60198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657225"/>
                    </a:xfrm>
                    <a:prstGeom prst="rect">
                      <a:avLst/>
                    </a:prstGeom>
                    <a:noFill/>
                    <a:ln>
                      <a:noFill/>
                    </a:ln>
                  </pic:spPr>
                </pic:pic>
              </a:graphicData>
            </a:graphic>
          </wp:inline>
        </w:drawing>
      </w:r>
    </w:p>
    <w:p w:rsidR="005905E6" w:rsidRPr="00767435" w:rsidRDefault="005905E6" w:rsidP="00A608E1">
      <w:pPr>
        <w:jc w:val="both"/>
        <w:rPr>
          <w:sz w:val="16"/>
          <w:szCs w:val="16"/>
          <w:lang w:val="es-ES"/>
        </w:rPr>
      </w:pPr>
      <w:r w:rsidRPr="00767435">
        <w:rPr>
          <w:sz w:val="16"/>
          <w:szCs w:val="16"/>
          <w:lang w:val="es-ES"/>
        </w:rPr>
        <w:t>Fuente: Gerencia de Concesiones Ferroviarias de la CNRT.</w:t>
      </w:r>
    </w:p>
    <w:p w:rsidR="005905E6" w:rsidRPr="00767435" w:rsidRDefault="005905E6" w:rsidP="00A608E1">
      <w:pPr>
        <w:jc w:val="both"/>
        <w:rPr>
          <w:sz w:val="16"/>
          <w:szCs w:val="16"/>
          <w:lang w:val="es-ES"/>
        </w:rPr>
      </w:pPr>
    </w:p>
    <w:p w:rsidR="005905E6" w:rsidRPr="00767435" w:rsidRDefault="006F75A1" w:rsidP="00A608E1">
      <w:pPr>
        <w:jc w:val="both"/>
        <w:rPr>
          <w:lang w:val="es-ES"/>
        </w:rPr>
      </w:pPr>
      <w:r w:rsidRPr="00767435">
        <w:rPr>
          <w:noProof/>
          <w:lang w:val="en-US"/>
        </w:rPr>
        <w:drawing>
          <wp:inline distT="0" distB="0" distL="0" distR="0" wp14:anchorId="605C92AE" wp14:editId="5A7412D9">
            <wp:extent cx="489585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b="9781"/>
                    <a:stretch>
                      <a:fillRect/>
                    </a:stretch>
                  </pic:blipFill>
                  <pic:spPr bwMode="auto">
                    <a:xfrm>
                      <a:off x="0" y="0"/>
                      <a:ext cx="4895850" cy="1828800"/>
                    </a:xfrm>
                    <a:prstGeom prst="rect">
                      <a:avLst/>
                    </a:prstGeom>
                    <a:noFill/>
                    <a:ln>
                      <a:noFill/>
                    </a:ln>
                  </pic:spPr>
                </pic:pic>
              </a:graphicData>
            </a:graphic>
          </wp:inline>
        </w:drawing>
      </w:r>
    </w:p>
    <w:p w:rsidR="005905E6" w:rsidRPr="00767435" w:rsidRDefault="005905E6" w:rsidP="00A608E1">
      <w:pPr>
        <w:jc w:val="both"/>
        <w:rPr>
          <w:sz w:val="16"/>
          <w:szCs w:val="16"/>
          <w:lang w:val="es-ES"/>
        </w:rPr>
      </w:pPr>
      <w:r w:rsidRPr="00767435">
        <w:rPr>
          <w:sz w:val="16"/>
          <w:szCs w:val="16"/>
          <w:lang w:val="es-ES"/>
        </w:rPr>
        <w:t>Fuente: Gerencia de Concesiones Ferroviarias de la CNRT.</w:t>
      </w:r>
    </w:p>
    <w:p w:rsidR="005905E6" w:rsidRPr="00767435" w:rsidRDefault="005905E6" w:rsidP="00A608E1">
      <w:pPr>
        <w:jc w:val="both"/>
        <w:rPr>
          <w:lang w:val="es-ES"/>
        </w:rPr>
      </w:pPr>
    </w:p>
    <w:p w:rsidR="005905E6" w:rsidRPr="00767435" w:rsidRDefault="005905E6" w:rsidP="00056E94">
      <w:pPr>
        <w:jc w:val="both"/>
        <w:rPr>
          <w:lang w:val="es-ES"/>
        </w:rPr>
      </w:pPr>
      <w:r w:rsidRPr="00767435">
        <w:rPr>
          <w:lang w:val="es-ES"/>
        </w:rPr>
        <w:t>Para establecer la meta se consider</w:t>
      </w:r>
      <w:r w:rsidR="00613500" w:rsidRPr="00767435">
        <w:rPr>
          <w:lang w:val="es-ES"/>
        </w:rPr>
        <w:t>ará</w:t>
      </w:r>
      <w:r w:rsidRPr="00767435">
        <w:rPr>
          <w:lang w:val="es-ES"/>
        </w:rPr>
        <w:t xml:space="preserve"> el análisis de los accidentes ferroviarios ocurridos en ramal Plaza Constitución - Alejandro Korn) entendiendo que éste, al estar electrificado, puede presentar un comportamiento similar al esperado para el ramal Constitución-La Plata una vez realizado el Proyecto. </w:t>
      </w:r>
      <w:r w:rsidR="00E25928" w:rsidRPr="00767435">
        <w:rPr>
          <w:lang w:val="es-ES"/>
        </w:rPr>
        <w:t xml:space="preserve">Se establecerá la razón entre accidentes por pasajero transportado, y se estimará la meta en base a la demanda proyectada del ramal Constitución-La Plata. </w:t>
      </w:r>
      <w:r w:rsidR="00056E94" w:rsidRPr="00767435">
        <w:rPr>
          <w:lang w:val="es-ES"/>
        </w:rPr>
        <w:t>Preliminarmente, se ha establecido como meta una reducción de 15%.</w:t>
      </w:r>
      <w:r w:rsidR="0077135D">
        <w:rPr>
          <w:lang w:val="es-ES"/>
        </w:rPr>
        <w:t xml:space="preserve"> Así, con un crecimiento de la demanda estimado de 27% entre 2011 y 2018, la meta de accidentes surge del producto de 91 accidentes en 2011 por 1,27 por 0,85, dando un valor de 98 accidentes esperados en 2018.</w:t>
      </w:r>
      <w:bookmarkStart w:id="0" w:name="_GoBack"/>
      <w:bookmarkEnd w:id="0"/>
    </w:p>
    <w:p w:rsidR="005905E6" w:rsidRPr="00767435" w:rsidRDefault="005905E6" w:rsidP="00A608E1">
      <w:pPr>
        <w:jc w:val="both"/>
        <w:rPr>
          <w:lang w:val="es-ES"/>
        </w:rPr>
      </w:pPr>
    </w:p>
    <w:p w:rsidR="005905E6" w:rsidRPr="00767435" w:rsidRDefault="005905E6" w:rsidP="00A608E1">
      <w:pPr>
        <w:jc w:val="both"/>
        <w:rPr>
          <w:u w:val="single"/>
          <w:lang w:val="es-ES"/>
        </w:rPr>
      </w:pPr>
      <w:r w:rsidRPr="00767435">
        <w:rPr>
          <w:u w:val="single"/>
          <w:lang w:val="es-ES"/>
        </w:rPr>
        <w:t xml:space="preserve">Metodología de cálculo del Indicador: </w:t>
      </w:r>
    </w:p>
    <w:p w:rsidR="005905E6" w:rsidRPr="00767435" w:rsidRDefault="005905E6" w:rsidP="00A608E1">
      <w:pPr>
        <w:jc w:val="both"/>
        <w:rPr>
          <w:u w:val="single"/>
          <w:lang w:val="es-ES"/>
        </w:rPr>
      </w:pPr>
    </w:p>
    <w:p w:rsidR="005905E6" w:rsidRPr="00767435" w:rsidRDefault="005905E6" w:rsidP="00A608E1">
      <w:pPr>
        <w:numPr>
          <w:ilvl w:val="0"/>
          <w:numId w:val="38"/>
        </w:numPr>
        <w:jc w:val="both"/>
        <w:rPr>
          <w:lang w:val="es-ES"/>
        </w:rPr>
      </w:pPr>
      <w:r w:rsidRPr="00767435">
        <w:rPr>
          <w:lang w:val="es-ES"/>
        </w:rPr>
        <w:t>La fuente de información es la Comisión Nacional de Regulación del Transporte (CNRT).</w:t>
      </w:r>
    </w:p>
    <w:p w:rsidR="005905E6" w:rsidRPr="00767435" w:rsidRDefault="005905E6" w:rsidP="00A608E1">
      <w:pPr>
        <w:numPr>
          <w:ilvl w:val="0"/>
          <w:numId w:val="38"/>
        </w:numPr>
        <w:jc w:val="both"/>
        <w:rPr>
          <w:lang w:val="es-ES"/>
        </w:rPr>
      </w:pPr>
      <w:r w:rsidRPr="00767435">
        <w:rPr>
          <w:lang w:val="es-ES"/>
        </w:rPr>
        <w:t>Se debe solicitar dicha información a la Gerencia de Concesiones Ferroviarias.</w:t>
      </w:r>
    </w:p>
    <w:p w:rsidR="005905E6" w:rsidRPr="00767435" w:rsidRDefault="005905E6" w:rsidP="00A608E1">
      <w:pPr>
        <w:numPr>
          <w:ilvl w:val="0"/>
          <w:numId w:val="38"/>
        </w:numPr>
        <w:jc w:val="both"/>
        <w:rPr>
          <w:lang w:val="es-ES"/>
        </w:rPr>
      </w:pPr>
      <w:r w:rsidRPr="00767435">
        <w:rPr>
          <w:lang w:val="es-AR"/>
        </w:rPr>
        <w:t xml:space="preserve">Seleccionar de dicha información de </w:t>
      </w:r>
      <w:r w:rsidRPr="00767435">
        <w:rPr>
          <w:lang w:val="es-ES"/>
        </w:rPr>
        <w:t>registro el número de accidentes de pasajeros golpeados o caídos</w:t>
      </w:r>
      <w:r w:rsidR="00056E94" w:rsidRPr="00767435">
        <w:rPr>
          <w:lang w:val="es-ES"/>
        </w:rPr>
        <w:t>, y el número de pasajeros transportados por año.</w:t>
      </w:r>
    </w:p>
    <w:p w:rsidR="005905E6" w:rsidRPr="00767435" w:rsidRDefault="005905E6" w:rsidP="00A608E1">
      <w:pPr>
        <w:jc w:val="both"/>
        <w:rPr>
          <w:b/>
          <w:i/>
          <w:lang w:val="es-ES"/>
        </w:rPr>
      </w:pPr>
    </w:p>
    <w:p w:rsidR="005905E6" w:rsidRPr="00767435" w:rsidRDefault="005905E6" w:rsidP="00A608E1">
      <w:pPr>
        <w:numPr>
          <w:ilvl w:val="0"/>
          <w:numId w:val="35"/>
        </w:numPr>
        <w:jc w:val="both"/>
        <w:rPr>
          <w:b/>
          <w:i/>
          <w:lang w:val="es-ES"/>
        </w:rPr>
      </w:pPr>
      <w:r w:rsidRPr="00767435">
        <w:rPr>
          <w:b/>
          <w:i/>
          <w:lang w:val="es-ES"/>
        </w:rPr>
        <w:t>Confort: Nivel de ocupación</w:t>
      </w:r>
    </w:p>
    <w:p w:rsidR="005905E6" w:rsidRPr="00767435" w:rsidRDefault="005905E6" w:rsidP="00A608E1">
      <w:pPr>
        <w:jc w:val="both"/>
        <w:rPr>
          <w:b/>
          <w:i/>
          <w:lang w:val="es-ES"/>
        </w:rPr>
      </w:pPr>
    </w:p>
    <w:p w:rsidR="005905E6" w:rsidRPr="00767435" w:rsidRDefault="005905E6" w:rsidP="00A608E1">
      <w:pPr>
        <w:jc w:val="both"/>
        <w:rPr>
          <w:lang w:val="es-ES"/>
        </w:rPr>
      </w:pPr>
      <w:r w:rsidRPr="00767435">
        <w:rPr>
          <w:lang w:val="es-ES"/>
        </w:rPr>
        <w:t>La información disponible para establecer la línea de base de este indicador proviene de la Unidad de Gestión Operativa Ferroviaria de Emergencia (UGOFE). De acuerdo con dicha información la ocupación de pasajeros por metro cuadrado es de 5. Esta información se obtiene de relacionar los metros cuadrados de superficie de cada vagón con respecto a la cantidad de pasajeros en hora pico.</w:t>
      </w:r>
    </w:p>
    <w:p w:rsidR="005905E6" w:rsidRPr="00767435" w:rsidRDefault="005905E6" w:rsidP="00A608E1">
      <w:pPr>
        <w:jc w:val="both"/>
        <w:rPr>
          <w:lang w:val="es-ES"/>
        </w:rPr>
      </w:pPr>
    </w:p>
    <w:p w:rsidR="005905E6" w:rsidRPr="00767435" w:rsidRDefault="005905E6" w:rsidP="00A608E1">
      <w:pPr>
        <w:rPr>
          <w:lang w:val="es-ES"/>
        </w:rPr>
      </w:pPr>
      <w:r w:rsidRPr="00767435">
        <w:rPr>
          <w:lang w:val="es-ES"/>
        </w:rPr>
        <w:t>Para el 2018, cuando el Proyecto haya finalizado se espera que la cantidad de pasajeros por metro cuadra sea de 4, de acuerdo al “</w:t>
      </w:r>
      <w:r w:rsidRPr="00767435">
        <w:rPr>
          <w:i/>
          <w:lang w:val="es-ES"/>
        </w:rPr>
        <w:t>Estudio de Viabilidad Económica de la Electrificación del Corredor Plaza Constitución-La Plata, Línea Roca”</w:t>
      </w:r>
      <w:r w:rsidRPr="00767435">
        <w:rPr>
          <w:i/>
          <w:vertAlign w:val="superscript"/>
          <w:lang w:val="es-ES"/>
        </w:rPr>
        <w:footnoteReference w:id="10"/>
      </w:r>
      <w:r w:rsidRPr="00767435">
        <w:rPr>
          <w:lang w:val="es-ES"/>
        </w:rPr>
        <w:t xml:space="preserve">. De acuerdo con este estudio el nivel de ocupación de 4 pax/m2 se estimó teniendo en cuenta una capacidad remanente que aún podría ser superada en algún tramo sin perder confort el servicio. </w:t>
      </w:r>
    </w:p>
    <w:p w:rsidR="005905E6" w:rsidRPr="00767435" w:rsidRDefault="005905E6" w:rsidP="00A608E1">
      <w:pPr>
        <w:jc w:val="both"/>
      </w:pPr>
    </w:p>
    <w:p w:rsidR="005905E6" w:rsidRPr="00767435" w:rsidRDefault="005905E6" w:rsidP="00A608E1">
      <w:pPr>
        <w:jc w:val="both"/>
        <w:rPr>
          <w:lang w:val="es-ES"/>
        </w:rPr>
      </w:pPr>
      <w:r w:rsidRPr="00767435">
        <w:rPr>
          <w:lang w:val="es-ES"/>
        </w:rPr>
        <w:t>La meta será</w:t>
      </w:r>
      <w:r w:rsidRPr="00767435">
        <w:t xml:space="preserve"> </w:t>
      </w:r>
      <w:r w:rsidRPr="00767435">
        <w:rPr>
          <w:lang w:val="es-ES"/>
        </w:rPr>
        <w:t>verificada en 2018 a partir de dos fuentes de información. Por un lado, la que proviene de la Unidad de Gestión Operativa Ferroviaria de Emergencia (UGOFE) o de la empresa que fuera concesionaria del servicio al momento de la verificación.</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Asimismo se utilizará como medio de verificación la información producida en el marco de la Evaluación Económica ex post que está prevista a realizarse en 2018 según lo estipulado en este Plan. Esta Evaluación será llevada a cabo mediante una consultoría para la que está previsto un presupuesto como parte del subcomponente “Ingeniería y Administración”.</w:t>
      </w:r>
    </w:p>
    <w:p w:rsidR="005905E6" w:rsidRPr="00767435" w:rsidRDefault="005905E6" w:rsidP="00A608E1">
      <w:pPr>
        <w:jc w:val="both"/>
        <w:rPr>
          <w:lang w:val="es-ES"/>
        </w:rPr>
      </w:pPr>
    </w:p>
    <w:p w:rsidR="005905E6" w:rsidRPr="00767435" w:rsidRDefault="005905E6" w:rsidP="00A608E1">
      <w:pPr>
        <w:jc w:val="both"/>
        <w:rPr>
          <w:lang w:val="es-ES"/>
        </w:rPr>
      </w:pPr>
      <w:r w:rsidRPr="00767435">
        <w:rPr>
          <w:lang w:val="es-ES"/>
        </w:rPr>
        <w:t>La meta será verificada 6 meses luego de concluidas las obras y del inicio de la operación del servicio electrificado.</w:t>
      </w:r>
    </w:p>
    <w:p w:rsidR="005905E6" w:rsidRPr="00767435" w:rsidRDefault="005905E6" w:rsidP="00A608E1">
      <w:pPr>
        <w:jc w:val="both"/>
        <w:rPr>
          <w:b/>
          <w:i/>
          <w:lang w:val="es-ES"/>
        </w:rPr>
      </w:pPr>
    </w:p>
    <w:p w:rsidR="005905E6" w:rsidRPr="00767435" w:rsidRDefault="005905E6" w:rsidP="00A608E1">
      <w:pPr>
        <w:jc w:val="both"/>
        <w:rPr>
          <w:u w:val="single"/>
          <w:lang w:val="es-ES"/>
        </w:rPr>
      </w:pPr>
      <w:r w:rsidRPr="00767435">
        <w:rPr>
          <w:u w:val="single"/>
          <w:lang w:val="es-ES"/>
        </w:rPr>
        <w:t xml:space="preserve">Metodología de cálculo del Indicador: </w:t>
      </w:r>
    </w:p>
    <w:p w:rsidR="005905E6" w:rsidRPr="00767435" w:rsidRDefault="005905E6" w:rsidP="00A608E1">
      <w:pPr>
        <w:jc w:val="both"/>
        <w:rPr>
          <w:u w:val="single"/>
          <w:lang w:val="es-ES"/>
        </w:rPr>
      </w:pPr>
    </w:p>
    <w:p w:rsidR="005905E6" w:rsidRPr="00767435" w:rsidRDefault="005905E6" w:rsidP="00A608E1">
      <w:pPr>
        <w:numPr>
          <w:ilvl w:val="0"/>
          <w:numId w:val="39"/>
        </w:numPr>
        <w:jc w:val="both"/>
        <w:rPr>
          <w:lang w:val="es-ES"/>
        </w:rPr>
      </w:pPr>
      <w:r w:rsidRPr="00767435">
        <w:rPr>
          <w:lang w:val="es-ES"/>
        </w:rPr>
        <w:t>La fuente de información es la Unidad de Gestión Operativa Ferroviaria de Emergencia (UGOFE)</w:t>
      </w:r>
      <w:r w:rsidR="005E61D2">
        <w:rPr>
          <w:lang w:val="es-ES"/>
        </w:rPr>
        <w:t xml:space="preserve"> </w:t>
      </w:r>
      <w:r w:rsidR="005E61D2" w:rsidRPr="00767435">
        <w:rPr>
          <w:lang w:val="es-ES"/>
        </w:rPr>
        <w:t>o la empresa que fuera concesionaria del servicio al momento de la verificación.</w:t>
      </w:r>
    </w:p>
    <w:p w:rsidR="005905E6" w:rsidRPr="00767435" w:rsidRDefault="005905E6" w:rsidP="00A608E1">
      <w:pPr>
        <w:numPr>
          <w:ilvl w:val="0"/>
          <w:numId w:val="39"/>
        </w:numPr>
        <w:jc w:val="both"/>
        <w:rPr>
          <w:lang w:val="es-ES"/>
        </w:rPr>
      </w:pPr>
      <w:r w:rsidRPr="00767435">
        <w:rPr>
          <w:lang w:val="es-ES"/>
        </w:rPr>
        <w:t xml:space="preserve">Se debe relevar el nivel de ocupación en la estación Sarandí en el pico horario de entre las 16 y las 19 horas. </w:t>
      </w:r>
    </w:p>
    <w:p w:rsidR="005905E6" w:rsidRPr="00767435" w:rsidRDefault="005905E6" w:rsidP="00A608E1">
      <w:pPr>
        <w:numPr>
          <w:ilvl w:val="0"/>
          <w:numId w:val="39"/>
        </w:numPr>
        <w:jc w:val="both"/>
        <w:rPr>
          <w:lang w:val="es-ES"/>
        </w:rPr>
      </w:pPr>
      <w:r w:rsidRPr="00767435">
        <w:rPr>
          <w:lang w:val="es-ES"/>
        </w:rPr>
        <w:t>Se solicita a la operadora las dimensiones de la superficie de los vagones promedio del ramal.</w:t>
      </w:r>
    </w:p>
    <w:p w:rsidR="005905E6" w:rsidRPr="00767435" w:rsidRDefault="005905E6" w:rsidP="00A608E1">
      <w:pPr>
        <w:pStyle w:val="AutoNumpara"/>
        <w:numPr>
          <w:ilvl w:val="0"/>
          <w:numId w:val="0"/>
        </w:numPr>
        <w:ind w:left="720" w:hanging="720"/>
        <w:rPr>
          <w:noProof w:val="0"/>
          <w:lang w:val="es-ES"/>
        </w:rPr>
      </w:pPr>
    </w:p>
    <w:p w:rsidR="005905E6" w:rsidRPr="00767435" w:rsidRDefault="005905E6" w:rsidP="0038482D">
      <w:pPr>
        <w:pStyle w:val="Heading4"/>
        <w:numPr>
          <w:ilvl w:val="2"/>
          <w:numId w:val="10"/>
        </w:numPr>
        <w:tabs>
          <w:tab w:val="clear" w:pos="1440"/>
          <w:tab w:val="clear" w:pos="1800"/>
          <w:tab w:val="num" w:pos="720"/>
        </w:tabs>
        <w:ind w:left="720" w:hanging="720"/>
        <w:rPr>
          <w:noProof w:val="0"/>
          <w:lang w:val="es-ES"/>
        </w:rPr>
      </w:pPr>
      <w:r w:rsidRPr="00767435">
        <w:rPr>
          <w:noProof w:val="0"/>
          <w:lang w:val="es-ES"/>
        </w:rPr>
        <w:t>Metodología de la evaluación</w:t>
      </w:r>
    </w:p>
    <w:p w:rsidR="00056E94" w:rsidRPr="00767435" w:rsidRDefault="005905E6" w:rsidP="00F53029">
      <w:pPr>
        <w:pStyle w:val="AutoNumpara"/>
        <w:rPr>
          <w:noProof w:val="0"/>
          <w:lang w:val="es-ES"/>
        </w:rPr>
      </w:pPr>
      <w:r w:rsidRPr="00767435">
        <w:rPr>
          <w:noProof w:val="0"/>
          <w:lang w:val="es-ES"/>
        </w:rPr>
        <w:t>La evaluación está dirigida a identificar y cuantificar los resultados e impactos que las inversiones y las obras tendrán sobre el sistema de transporte del corredor Constitución -La Plata. Los principales resultados (outcomes) esperados son: i) reducción de tiempos de viajes en el ramal Constitución-La Plata en su conjunto y entre las principales estaciones del trayecto; ii) incremento de la puntualidad del servicio ferroviario de pasajeros en el ramal</w:t>
      </w:r>
      <w:r w:rsidR="00056E94" w:rsidRPr="00767435">
        <w:rPr>
          <w:noProof w:val="0"/>
          <w:lang w:val="es-ES"/>
        </w:rPr>
        <w:t>.</w:t>
      </w:r>
    </w:p>
    <w:p w:rsidR="005905E6" w:rsidRPr="00767435" w:rsidRDefault="005905E6" w:rsidP="00F53029">
      <w:pPr>
        <w:pStyle w:val="AutoNumpara"/>
        <w:rPr>
          <w:noProof w:val="0"/>
          <w:lang w:val="es-ES"/>
        </w:rPr>
      </w:pPr>
      <w:r w:rsidRPr="00767435">
        <w:rPr>
          <w:noProof w:val="0"/>
          <w:lang w:val="es-ES"/>
        </w:rPr>
        <w:t>La evaluación del Proyecto se realizará con la utilización de dos instrumentos: (i) evaluación económica o costo beneficio ex post y (ii) evaluación de impacto cuasi-experimental con base en la utilización de una metodología de diferencias en diferencias</w:t>
      </w:r>
    </w:p>
    <w:p w:rsidR="005905E6" w:rsidRPr="00767435" w:rsidRDefault="005905E6" w:rsidP="00F41B26">
      <w:pPr>
        <w:pStyle w:val="AutoNumpara"/>
        <w:rPr>
          <w:noProof w:val="0"/>
          <w:lang w:val="es-ES"/>
        </w:rPr>
      </w:pPr>
      <w:r w:rsidRPr="00767435">
        <w:rPr>
          <w:szCs w:val="24"/>
          <w:lang w:val="es-ES"/>
        </w:rPr>
        <w:t xml:space="preserve">Se realizará una </w:t>
      </w:r>
      <w:r w:rsidRPr="00767435">
        <w:rPr>
          <w:szCs w:val="24"/>
          <w:u w:val="single"/>
          <w:lang w:val="es-ES"/>
        </w:rPr>
        <w:t>evaluación económica ex post</w:t>
      </w:r>
      <w:r w:rsidRPr="00767435">
        <w:rPr>
          <w:szCs w:val="24"/>
          <w:lang w:val="es-ES"/>
        </w:rPr>
        <w:t xml:space="preserve"> en base al modelo </w:t>
      </w:r>
      <w:r w:rsidR="00A04C12">
        <w:rPr>
          <w:szCs w:val="24"/>
          <w:lang w:val="es-ES"/>
        </w:rPr>
        <w:t xml:space="preserve">de estimación de Costo Beneficio </w:t>
      </w:r>
      <w:r w:rsidRPr="00767435">
        <w:rPr>
          <w:szCs w:val="24"/>
          <w:lang w:val="es-ES"/>
        </w:rPr>
        <w:t xml:space="preserve">desarrollado ex ante. Se utilizarán los costos reales del proyecto con base en los registros administrativos de la operación y los beneficios se calcularán en función de las mediciones de campo que realicen los consultores con base en la información y datos administrativos con los que cuenta el sistema. Las mediciones incluirán el volumen de pasajeros, kilómetros recorridos, y los tiempos medios de viajes en el ramal a los seis meses de concluidas las inversiones del </w:t>
      </w:r>
      <w:r w:rsidRPr="00767435">
        <w:rPr>
          <w:noProof w:val="0"/>
          <w:lang w:val="es-ES"/>
        </w:rPr>
        <w:t>Proyecto</w:t>
      </w:r>
      <w:r w:rsidRPr="00767435">
        <w:rPr>
          <w:szCs w:val="24"/>
          <w:lang w:val="es-ES"/>
        </w:rPr>
        <w:t>, una vez que el ramal ya electrificado se encuentre en pleno funcionamiento.</w:t>
      </w:r>
    </w:p>
    <w:p w:rsidR="005905E6" w:rsidRPr="00767435" w:rsidRDefault="005905E6" w:rsidP="00F41B26">
      <w:pPr>
        <w:pStyle w:val="AutoNumpara"/>
        <w:rPr>
          <w:noProof w:val="0"/>
          <w:lang w:val="es-ES"/>
        </w:rPr>
      </w:pPr>
      <w:r w:rsidRPr="00767435">
        <w:rPr>
          <w:szCs w:val="24"/>
          <w:lang w:val="es-ES"/>
        </w:rPr>
        <w:t xml:space="preserve">La evaluación de impacto se realizará con una </w:t>
      </w:r>
      <w:r w:rsidRPr="00767435">
        <w:rPr>
          <w:szCs w:val="24"/>
          <w:u w:val="single"/>
          <w:lang w:val="es-ES"/>
        </w:rPr>
        <w:t>metodología de diferencias en diferencias</w:t>
      </w:r>
      <w:r w:rsidRPr="00767435">
        <w:rPr>
          <w:szCs w:val="24"/>
          <w:lang w:val="es-ES"/>
        </w:rPr>
        <w:t xml:space="preserve"> utilizando como grupo de control los trayectos Diésel de las Líneas San Martin y Línea Belgrano Norte que tienen características de funcionamiento y operación similares a las del Ramal Constitución-La Plata. La evaluación comparará la Línea Roca con las dos líneas Diésel similares en cuanto a la variable de interés, particularmente en cuanto al tiempo de viaje real.</w:t>
      </w:r>
    </w:p>
    <w:p w:rsidR="005905E6" w:rsidRPr="00767435" w:rsidRDefault="005905E6" w:rsidP="00F41B26">
      <w:pPr>
        <w:pStyle w:val="AutoNumpara"/>
        <w:rPr>
          <w:noProof w:val="0"/>
          <w:lang w:val="es-ES"/>
        </w:rPr>
      </w:pPr>
      <w:r w:rsidRPr="00767435">
        <w:rPr>
          <w:szCs w:val="24"/>
          <w:lang w:val="es-ES"/>
        </w:rPr>
        <w:t>Las principales estadisticas descriptivas de los tres ramales son las siguientes:</w:t>
      </w:r>
    </w:p>
    <w:p w:rsidR="005905E6" w:rsidRPr="00767435" w:rsidRDefault="006F75A1" w:rsidP="00801F94">
      <w:pPr>
        <w:pStyle w:val="AutoNumpara"/>
        <w:numPr>
          <w:ilvl w:val="0"/>
          <w:numId w:val="0"/>
        </w:numPr>
        <w:ind w:left="720"/>
        <w:rPr>
          <w:lang w:val="en-US"/>
        </w:rPr>
      </w:pPr>
      <w:r w:rsidRPr="00767435">
        <w:rPr>
          <w:lang w:val="en-US"/>
        </w:rPr>
        <w:drawing>
          <wp:inline distT="0" distB="0" distL="0" distR="0" wp14:anchorId="010FCB34" wp14:editId="55F32CCE">
            <wp:extent cx="5610225" cy="4495800"/>
            <wp:effectExtent l="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4495800"/>
                    </a:xfrm>
                    <a:prstGeom prst="rect">
                      <a:avLst/>
                    </a:prstGeom>
                    <a:noFill/>
                    <a:ln>
                      <a:noFill/>
                    </a:ln>
                  </pic:spPr>
                </pic:pic>
              </a:graphicData>
            </a:graphic>
          </wp:inline>
        </w:drawing>
      </w:r>
    </w:p>
    <w:p w:rsidR="00643111" w:rsidRPr="00643111" w:rsidRDefault="00643111" w:rsidP="00643111">
      <w:pPr>
        <w:ind w:firstLine="720"/>
        <w:rPr>
          <w:spacing w:val="-2"/>
          <w:sz w:val="20"/>
          <w:lang w:val="es-ES"/>
        </w:rPr>
      </w:pPr>
      <w:r w:rsidRPr="00643111">
        <w:rPr>
          <w:spacing w:val="-2"/>
          <w:sz w:val="20"/>
          <w:lang w:val="es-ES"/>
        </w:rPr>
        <w:t>Fuente: Comisión Nacional de Regulación del Transporte (CNRT) e INTRUPUBA.</w:t>
      </w:r>
    </w:p>
    <w:p w:rsidR="005905E6" w:rsidRPr="00767435" w:rsidRDefault="005905E6" w:rsidP="00801F94">
      <w:pPr>
        <w:pStyle w:val="AutoNumpara"/>
        <w:numPr>
          <w:ilvl w:val="0"/>
          <w:numId w:val="0"/>
        </w:numPr>
        <w:ind w:left="720"/>
        <w:rPr>
          <w:noProof w:val="0"/>
          <w:lang w:val="es-ES"/>
        </w:rPr>
      </w:pPr>
    </w:p>
    <w:p w:rsidR="00852248" w:rsidRPr="006D7DD7" w:rsidRDefault="005905E6" w:rsidP="0076328C">
      <w:pPr>
        <w:pStyle w:val="AutoNumpara"/>
        <w:rPr>
          <w:noProof w:val="0"/>
          <w:lang w:val="es-ES"/>
        </w:rPr>
      </w:pPr>
      <w:r w:rsidRPr="00767435">
        <w:rPr>
          <w:lang w:val="es-ES"/>
        </w:rPr>
        <w:t xml:space="preserve">Para la realización de la evaluación de impacto se realizará una línea de base para las variables de interés en 2014. Igualmente se realizará </w:t>
      </w:r>
      <w:r w:rsidR="00A04C12">
        <w:rPr>
          <w:lang w:val="es-ES"/>
        </w:rPr>
        <w:t>una revisión de la</w:t>
      </w:r>
      <w:r w:rsidRPr="00767435">
        <w:rPr>
          <w:lang w:val="es-ES"/>
        </w:rPr>
        <w:t xml:space="preserve"> línea de base seis meses antes de la electrificación del Ramal e información de seguimiento seis meses posteriores a la electrificación del ramal. </w:t>
      </w:r>
      <w:r w:rsidR="00A04C12">
        <w:rPr>
          <w:lang w:val="es-ES"/>
        </w:rPr>
        <w:t xml:space="preserve">Este levantamiento de la información de línea de base se adelantará tanto para </w:t>
      </w:r>
      <w:r w:rsidR="00A04C12" w:rsidRPr="00767435">
        <w:rPr>
          <w:szCs w:val="24"/>
          <w:lang w:val="es-ES"/>
        </w:rPr>
        <w:t>Ramal Constitución-La Plata</w:t>
      </w:r>
      <w:r w:rsidR="00A04C12">
        <w:rPr>
          <w:szCs w:val="24"/>
          <w:lang w:val="es-ES"/>
        </w:rPr>
        <w:t xml:space="preserve"> como para el grupo de  líneas férreas que servirán de grupo de control y que a la fecha se estima serán </w:t>
      </w:r>
      <w:r w:rsidR="00A04C12" w:rsidRPr="00767435">
        <w:rPr>
          <w:szCs w:val="24"/>
          <w:lang w:val="es-ES"/>
        </w:rPr>
        <w:t>los trayectos Diésel de las Líneas San Martin y Línea Belgrano Norte</w:t>
      </w:r>
      <w:r w:rsidR="00A04C12">
        <w:rPr>
          <w:szCs w:val="24"/>
          <w:lang w:val="es-ES"/>
        </w:rPr>
        <w:t>. A fecha de 2013, se estima que los trayectos Diesel de las Líneas San Martín y Belgrano Norte son comparables en sus principales variables con  la Línea Constituciuón-La Plata. Sin embargo, si en la Línea de base con fecha 2014</w:t>
      </w:r>
      <w:r w:rsidR="003B2B67">
        <w:rPr>
          <w:szCs w:val="24"/>
          <w:lang w:val="es-ES"/>
        </w:rPr>
        <w:t xml:space="preserve"> y años (semestres) subsiguientes</w:t>
      </w:r>
      <w:r w:rsidR="00A04C12">
        <w:rPr>
          <w:szCs w:val="24"/>
          <w:lang w:val="es-ES"/>
        </w:rPr>
        <w:t>, los parám</w:t>
      </w:r>
      <w:r w:rsidR="003B2B67">
        <w:rPr>
          <w:szCs w:val="24"/>
          <w:lang w:val="es-ES"/>
        </w:rPr>
        <w:t>etros de operación (tiempos de viaje, tiempos de espera etc.)</w:t>
      </w:r>
      <w:r w:rsidR="00A04C12">
        <w:rPr>
          <w:szCs w:val="24"/>
          <w:lang w:val="es-ES"/>
        </w:rPr>
        <w:t xml:space="preserve"> de las </w:t>
      </w:r>
      <w:r w:rsidR="003B2B67">
        <w:rPr>
          <w:szCs w:val="24"/>
          <w:lang w:val="es-ES"/>
        </w:rPr>
        <w:t xml:space="preserve">dos líneas del grupo de control </w:t>
      </w:r>
      <w:r w:rsidR="00A04C12">
        <w:rPr>
          <w:szCs w:val="24"/>
          <w:lang w:val="es-ES"/>
        </w:rPr>
        <w:t>no son estadísticametne comparables</w:t>
      </w:r>
      <w:r w:rsidR="003B2B67">
        <w:rPr>
          <w:szCs w:val="24"/>
          <w:lang w:val="es-ES"/>
        </w:rPr>
        <w:t xml:space="preserve"> en su tendencia histórica (Trend) con la tendencia de el trayecto Constitución La Plata, se considerará la contrucción de un grupo de control sintético contruido a partir de las dos lineas mencioandas así como de cualquier otro trayecto Diesel de la Red Ferroviaria Matropolitana de Buenos Aires. </w:t>
      </w:r>
    </w:p>
    <w:p w:rsidR="00852248" w:rsidRDefault="00852248" w:rsidP="006D7DD7">
      <w:pPr>
        <w:pStyle w:val="AutoNumpara"/>
        <w:numPr>
          <w:ilvl w:val="0"/>
          <w:numId w:val="0"/>
        </w:numPr>
        <w:rPr>
          <w:noProof w:val="0"/>
          <w:lang w:val="es-ES"/>
        </w:rPr>
      </w:pPr>
    </w:p>
    <w:p w:rsidR="005905E6" w:rsidRPr="00767435" w:rsidRDefault="005905E6" w:rsidP="0076328C">
      <w:pPr>
        <w:pStyle w:val="AutoNumpara"/>
        <w:rPr>
          <w:noProof w:val="0"/>
          <w:lang w:val="es-ES"/>
        </w:rPr>
      </w:pPr>
      <w:r w:rsidRPr="00767435">
        <w:rPr>
          <w:lang w:val="es-ES"/>
        </w:rPr>
        <w:t>Se estima que las evaluaciones tendrán el siguiente costo: (i) Consultoría de relevamiento detallado de línea de base</w:t>
      </w:r>
      <w:r w:rsidR="00852248">
        <w:rPr>
          <w:lang w:val="es-ES"/>
        </w:rPr>
        <w:t>, con base en los registros administrativos del Ejecutor</w:t>
      </w:r>
      <w:r w:rsidRPr="00767435">
        <w:rPr>
          <w:lang w:val="es-ES"/>
        </w:rPr>
        <w:t xml:space="preserve"> para evaluación de impacto y detalle de bases de datos</w:t>
      </w:r>
      <w:r w:rsidR="00852248">
        <w:rPr>
          <w:lang w:val="es-ES"/>
        </w:rPr>
        <w:t xml:space="preserve"> (período 2014-2018)</w:t>
      </w:r>
      <w:r w:rsidRPr="00767435">
        <w:rPr>
          <w:lang w:val="es-ES"/>
        </w:rPr>
        <w:t xml:space="preserve"> por US$50,000; (ii) Consultoría de evaluación costo beneficio expost, US$50,000; (iii) Consultoría de evaluación de impacto US$100,000.</w:t>
      </w:r>
    </w:p>
    <w:p w:rsidR="005905E6" w:rsidRPr="00767435" w:rsidRDefault="005905E6" w:rsidP="008A7A39">
      <w:pPr>
        <w:pStyle w:val="Heading4"/>
        <w:tabs>
          <w:tab w:val="clear" w:pos="1440"/>
          <w:tab w:val="clear" w:pos="1800"/>
          <w:tab w:val="num" w:pos="720"/>
        </w:tabs>
        <w:ind w:left="720" w:hanging="720"/>
        <w:rPr>
          <w:lang w:val="es-ES"/>
        </w:rPr>
      </w:pPr>
      <w:r w:rsidRPr="00767435">
        <w:rPr>
          <w:lang w:val="es-ES"/>
        </w:rPr>
        <w:t xml:space="preserve">Reporte de Evaluaciones de Resultados  </w:t>
      </w:r>
    </w:p>
    <w:p w:rsidR="005905E6" w:rsidRPr="00767435" w:rsidRDefault="005905E6" w:rsidP="008A7A39">
      <w:pPr>
        <w:pStyle w:val="AutoNumpara"/>
        <w:rPr>
          <w:lang w:val="es-ES"/>
        </w:rPr>
      </w:pPr>
      <w:r w:rsidRPr="00767435">
        <w:rPr>
          <w:lang w:val="es-ES"/>
        </w:rPr>
        <w:t>El Organismo Ejecutor recopilará, almacenará y mantendrá consigo toda la información, indicadores y parámetros, incluyendo informes trimestrales y semestrales, los planes operativos anuales,  planes</w:t>
      </w:r>
      <w:r w:rsidR="00767435">
        <w:rPr>
          <w:lang w:val="es-ES"/>
        </w:rPr>
        <w:t xml:space="preserve"> de adquisiciones, y revisión </w:t>
      </w:r>
      <w:r w:rsidRPr="00767435">
        <w:rPr>
          <w:lang w:val="es-ES"/>
        </w:rPr>
        <w:t>final, necesarios para: i) contratar la evaluación de impacto y compartir sus resultados; ii) apoyar al Banco a preparar el Informe de Terminación de Operaciones (PCR); y ii) apoyar a la Oficina de Evaluación (OVE) del Banco a evaluar el impacto de esta operación.</w:t>
      </w:r>
    </w:p>
    <w:p w:rsidR="005905E6" w:rsidRPr="00767435" w:rsidRDefault="005905E6" w:rsidP="0038482D">
      <w:pPr>
        <w:pStyle w:val="Heading4"/>
        <w:numPr>
          <w:ilvl w:val="2"/>
          <w:numId w:val="10"/>
        </w:numPr>
        <w:tabs>
          <w:tab w:val="clear" w:pos="1440"/>
          <w:tab w:val="clear" w:pos="1800"/>
          <w:tab w:val="num" w:pos="720"/>
        </w:tabs>
        <w:ind w:left="720" w:hanging="720"/>
        <w:rPr>
          <w:noProof w:val="0"/>
          <w:lang w:val="es-ES"/>
        </w:rPr>
      </w:pPr>
      <w:r w:rsidRPr="00767435">
        <w:rPr>
          <w:noProof w:val="0"/>
          <w:lang w:val="es-ES"/>
        </w:rPr>
        <w:t>Información de los resultados</w:t>
      </w:r>
    </w:p>
    <w:p w:rsidR="005905E6" w:rsidRPr="00767435" w:rsidRDefault="005905E6" w:rsidP="00974965">
      <w:pPr>
        <w:pStyle w:val="AutoNumpara"/>
        <w:rPr>
          <w:bCs/>
          <w:lang w:val="es-ES"/>
        </w:rPr>
      </w:pPr>
      <w:r w:rsidRPr="00767435">
        <w:rPr>
          <w:b/>
          <w:lang w:val="es-ES"/>
        </w:rPr>
        <w:t>Informe Final de evaluación de Resultados del Préstamo.</w:t>
      </w:r>
      <w:r w:rsidRPr="00767435">
        <w:rPr>
          <w:lang w:val="es-ES"/>
        </w:rPr>
        <w:t xml:space="preserve"> El ejecutor preparará dentro de los 90 (noventa) días posteriores a la recepción definitiva de la Obra, un reporte de evaluación final del Proyecto, que deberá incluir, como mínimo: (a) los resultados de ejecución financiera por componente; (b) el cumplimiento de las metas establecidas, de acuerdo a los indicadores de resultado acordados; (c) el cumplimiento de compromisos contractuales; (d) desglose de costo de las obras por tipo de obra; (e) resultados de las evaluaciones de impacto y costo/beneficio ex post; (f) lecciones aprendidas; y (d) evaluación de la implementación de las obras según los aspectos socio-ambientales. Esta evaluacion será contratada externamente, la consultoría se encargará de recolectar los datos necesarios, tales como tiempos de viajes, confiabilidad del servicio, accidentalidad, etc. Los recursos para esta contratación están en el Componente 1, Ingeniería y Administración. </w:t>
      </w:r>
    </w:p>
    <w:p w:rsidR="005905E6" w:rsidRPr="00767435" w:rsidRDefault="005905E6" w:rsidP="006C25FF">
      <w:pPr>
        <w:pStyle w:val="AutoNumpara"/>
        <w:numPr>
          <w:ilvl w:val="0"/>
          <w:numId w:val="0"/>
        </w:numPr>
        <w:rPr>
          <w:bCs/>
          <w:lang w:val="es-ES"/>
        </w:rPr>
      </w:pPr>
    </w:p>
    <w:p w:rsidR="005905E6" w:rsidRPr="00767435" w:rsidRDefault="005905E6" w:rsidP="0038482D">
      <w:pPr>
        <w:pStyle w:val="Heading4"/>
        <w:numPr>
          <w:ilvl w:val="2"/>
          <w:numId w:val="10"/>
        </w:numPr>
        <w:tabs>
          <w:tab w:val="clear" w:pos="1440"/>
          <w:tab w:val="clear" w:pos="1800"/>
          <w:tab w:val="num" w:pos="720"/>
        </w:tabs>
        <w:ind w:left="720" w:hanging="720"/>
        <w:rPr>
          <w:noProof w:val="0"/>
          <w:lang w:val="es-ES"/>
        </w:rPr>
      </w:pPr>
      <w:r w:rsidRPr="00767435">
        <w:rPr>
          <w:noProof w:val="0"/>
          <w:lang w:val="es-ES"/>
        </w:rPr>
        <w:t>Coordinación, plan de trabajo y presupuesto de la evaluación</w:t>
      </w:r>
    </w:p>
    <w:p w:rsidR="005905E6" w:rsidRPr="00767435" w:rsidRDefault="005905E6" w:rsidP="00064E6E">
      <w:pPr>
        <w:pStyle w:val="AutoNumpara"/>
        <w:rPr>
          <w:lang w:val="es-ES"/>
        </w:rPr>
      </w:pPr>
      <w:r w:rsidRPr="00767435">
        <w:rPr>
          <w:lang w:val="es-ES"/>
        </w:rPr>
        <w:t>El Especialista del Banco en Argentina se encargará de la supervisión general de la implementación del Proyecto actuando coordinadamente con el ejecutor. La supervisión se enfocará en el cumplimiento de los diferentes productos y sus hitos, establecidos en el POA, para garantizar alcanzar las metas de los resultados del Proyecto. Para tal fin, además de los informes trimestrales y semestrales, el ejecutor</w:t>
      </w:r>
      <w:r w:rsidRPr="00767435">
        <w:rPr>
          <w:noProof w:val="0"/>
          <w:lang w:val="es-ES"/>
        </w:rPr>
        <w:t xml:space="preserve"> presentará, a más tardar el 30 de noviembre de cada año, el Plan Operativo Anual (POA) para el año siguiente.</w:t>
      </w:r>
    </w:p>
    <w:p w:rsidR="005905E6" w:rsidRPr="00767435" w:rsidRDefault="005905E6" w:rsidP="00E15F92">
      <w:pPr>
        <w:pStyle w:val="AutoNumpara"/>
        <w:rPr>
          <w:lang w:val="es-ES"/>
        </w:rPr>
      </w:pPr>
      <w:r w:rsidRPr="00767435">
        <w:rPr>
          <w:lang w:val="es-ES"/>
        </w:rPr>
        <w:t xml:space="preserve">Sobre la base de dichos informes de gestión y de las reuniones de análisis con los ejecutores, el Especialista a cargo del </w:t>
      </w:r>
      <w:r w:rsidRPr="00767435">
        <w:rPr>
          <w:noProof w:val="0"/>
          <w:lang w:val="es-ES"/>
        </w:rPr>
        <w:t>Proyecto</w:t>
      </w:r>
      <w:r w:rsidRPr="00767435">
        <w:rPr>
          <w:lang w:val="es-ES"/>
        </w:rPr>
        <w:t>, con la colaboración del Equipo de Proyecto y de la Representación en Argentina, será responsable de la preparación de los informes de gestión de la operación (PMR) y de cualquier otro que establezca el Banco para su ciclo de proyecto.</w:t>
      </w:r>
    </w:p>
    <w:p w:rsidR="005905E6" w:rsidRPr="00767435" w:rsidRDefault="005905E6" w:rsidP="00E15F92">
      <w:pPr>
        <w:pStyle w:val="AutoNumpara"/>
        <w:rPr>
          <w:lang w:val="es-ES"/>
        </w:rPr>
      </w:pPr>
      <w:r w:rsidRPr="00767435">
        <w:rPr>
          <w:lang w:val="es-ES"/>
        </w:rPr>
        <w:t xml:space="preserve">La evaluación final del </w:t>
      </w:r>
      <w:r w:rsidRPr="00767435">
        <w:rPr>
          <w:noProof w:val="0"/>
          <w:lang w:val="es-ES"/>
        </w:rPr>
        <w:t>Proyecto</w:t>
      </w:r>
      <w:r w:rsidRPr="00767435">
        <w:rPr>
          <w:lang w:val="es-ES"/>
        </w:rPr>
        <w:t xml:space="preserve"> quedará recogida en el Informe de Fin de Proyecto (XPCR) donde se examinará el grado de cumplimiento de los objetivos del Programa una vez se complete la ejecución de todos sus componentes. El XPCR servirá también para señalar las lecciones aprendidas a tener en cuenta en el diseño e implementación de futuras operaciones de transporte en el país y en la región.</w:t>
      </w:r>
    </w:p>
    <w:p w:rsidR="005905E6" w:rsidRPr="00767435" w:rsidRDefault="005905E6" w:rsidP="008A7A39">
      <w:pPr>
        <w:pStyle w:val="AutoNumpara"/>
        <w:rPr>
          <w:lang w:val="es-ES"/>
        </w:rPr>
      </w:pPr>
      <w:r w:rsidRPr="00767435">
        <w:rPr>
          <w:lang w:val="es-ES"/>
        </w:rPr>
        <w:t>A continuación se detalla el plan de trabajo por organismo responsable, con la periodicidad de las actividades a su cargo y presupuesto para su cumplimiento:</w:t>
      </w:r>
    </w:p>
    <w:p w:rsidR="005905E6" w:rsidRPr="00767435" w:rsidRDefault="005905E6" w:rsidP="008A7A39">
      <w:pPr>
        <w:jc w:val="center"/>
        <w:rPr>
          <w:b/>
          <w:sz w:val="20"/>
          <w:lang w:val="es-ES"/>
        </w:rPr>
      </w:pPr>
    </w:p>
    <w:p w:rsidR="005905E6" w:rsidRPr="00767435" w:rsidRDefault="005905E6">
      <w:pPr>
        <w:rPr>
          <w:b/>
          <w:sz w:val="20"/>
          <w:lang w:val="es-ES"/>
        </w:rPr>
        <w:sectPr w:rsidR="005905E6" w:rsidRPr="00767435" w:rsidSect="00517CE4">
          <w:pgSz w:w="12240" w:h="15840"/>
          <w:pgMar w:top="720" w:right="1170" w:bottom="1170" w:left="1440" w:header="720" w:footer="720" w:gutter="0"/>
          <w:cols w:space="720"/>
          <w:docGrid w:linePitch="360"/>
        </w:sectPr>
      </w:pPr>
    </w:p>
    <w:p w:rsidR="005905E6" w:rsidRPr="00767435" w:rsidRDefault="005905E6">
      <w:pPr>
        <w:rPr>
          <w:b/>
          <w:sz w:val="20"/>
          <w:lang w:val="es-ES"/>
        </w:rPr>
      </w:pPr>
    </w:p>
    <w:p w:rsidR="005905E6" w:rsidRPr="00767435" w:rsidRDefault="005905E6" w:rsidP="008A7A39">
      <w:pPr>
        <w:jc w:val="center"/>
        <w:rPr>
          <w:b/>
          <w:sz w:val="20"/>
          <w:lang w:val="es-ES"/>
        </w:rPr>
      </w:pPr>
      <w:r w:rsidRPr="00767435">
        <w:rPr>
          <w:b/>
          <w:sz w:val="20"/>
          <w:lang w:val="es-ES"/>
        </w:rPr>
        <w:t>Cuadro 5</w:t>
      </w:r>
      <w:r w:rsidRPr="00767435">
        <w:rPr>
          <w:b/>
          <w:sz w:val="20"/>
          <w:lang w:val="es-ES"/>
        </w:rPr>
        <w:br/>
        <w:t>Plan de trabajo y Presupuesto para Evaluación</w:t>
      </w:r>
    </w:p>
    <w:p w:rsidR="005905E6" w:rsidRPr="00767435" w:rsidRDefault="005905E6" w:rsidP="008A7A39">
      <w:pPr>
        <w:jc w:val="center"/>
        <w:rPr>
          <w:b/>
          <w:sz w:val="20"/>
          <w:lang w:val="es-ES"/>
        </w:rPr>
      </w:pPr>
    </w:p>
    <w:tbl>
      <w:tblPr>
        <w:tblW w:w="13243" w:type="dxa"/>
        <w:jc w:val="center"/>
        <w:tblInd w:w="-252" w:type="dxa"/>
        <w:tblLook w:val="00A0" w:firstRow="1" w:lastRow="0" w:firstColumn="1" w:lastColumn="0" w:noHBand="0" w:noVBand="0"/>
      </w:tblPr>
      <w:tblGrid>
        <w:gridCol w:w="1672"/>
        <w:gridCol w:w="354"/>
        <w:gridCol w:w="342"/>
        <w:gridCol w:w="342"/>
        <w:gridCol w:w="306"/>
        <w:gridCol w:w="343"/>
        <w:gridCol w:w="343"/>
        <w:gridCol w:w="343"/>
        <w:gridCol w:w="306"/>
        <w:gridCol w:w="344"/>
        <w:gridCol w:w="346"/>
        <w:gridCol w:w="346"/>
        <w:gridCol w:w="368"/>
        <w:gridCol w:w="349"/>
        <w:gridCol w:w="343"/>
        <w:gridCol w:w="343"/>
        <w:gridCol w:w="343"/>
        <w:gridCol w:w="343"/>
        <w:gridCol w:w="355"/>
        <w:gridCol w:w="343"/>
        <w:gridCol w:w="391"/>
        <w:gridCol w:w="1239"/>
        <w:gridCol w:w="1582"/>
        <w:gridCol w:w="1857"/>
      </w:tblGrid>
      <w:tr w:rsidR="006D7DD7" w:rsidRPr="00767435" w:rsidTr="006D7DD7">
        <w:trPr>
          <w:trHeight w:val="405"/>
          <w:jc w:val="center"/>
        </w:trPr>
        <w:tc>
          <w:tcPr>
            <w:tcW w:w="1672" w:type="dxa"/>
            <w:vMerge w:val="restart"/>
            <w:tcBorders>
              <w:top w:val="single" w:sz="4" w:space="0" w:color="auto"/>
              <w:left w:val="single" w:sz="4" w:space="0" w:color="auto"/>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b/>
                <w:bCs/>
                <w:spacing w:val="0"/>
                <w:sz w:val="18"/>
                <w:szCs w:val="18"/>
                <w:lang w:val="es-ES"/>
              </w:rPr>
              <w:t>Actividades de Monitoreo</w:t>
            </w:r>
          </w:p>
        </w:tc>
        <w:tc>
          <w:tcPr>
            <w:tcW w:w="1344" w:type="dxa"/>
            <w:gridSpan w:val="4"/>
            <w:tcBorders>
              <w:top w:val="single" w:sz="4" w:space="0" w:color="auto"/>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b/>
                <w:bCs/>
                <w:spacing w:val="0"/>
                <w:sz w:val="18"/>
                <w:szCs w:val="18"/>
                <w:lang w:val="es-ES"/>
              </w:rPr>
              <w:t>2014</w:t>
            </w:r>
          </w:p>
        </w:tc>
        <w:tc>
          <w:tcPr>
            <w:tcW w:w="1335" w:type="dxa"/>
            <w:gridSpan w:val="4"/>
            <w:tcBorders>
              <w:top w:val="single" w:sz="4" w:space="0" w:color="auto"/>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b/>
                <w:bCs/>
                <w:spacing w:val="0"/>
                <w:sz w:val="18"/>
                <w:szCs w:val="18"/>
                <w:lang w:val="es-ES"/>
              </w:rPr>
              <w:t>2015</w:t>
            </w:r>
          </w:p>
        </w:tc>
        <w:tc>
          <w:tcPr>
            <w:tcW w:w="1404" w:type="dxa"/>
            <w:gridSpan w:val="4"/>
            <w:tcBorders>
              <w:top w:val="single" w:sz="4" w:space="0" w:color="auto"/>
              <w:left w:val="nil"/>
              <w:bottom w:val="single" w:sz="4" w:space="0" w:color="auto"/>
              <w:right w:val="single" w:sz="4" w:space="0" w:color="auto"/>
            </w:tcBorders>
            <w:vAlign w:val="center"/>
          </w:tcPr>
          <w:p w:rsidR="006D7DD7" w:rsidRPr="00767435" w:rsidRDefault="006D7DD7" w:rsidP="000773FF">
            <w:pPr>
              <w:jc w:val="center"/>
              <w:rPr>
                <w:b/>
                <w:bCs/>
                <w:spacing w:val="0"/>
                <w:sz w:val="18"/>
                <w:szCs w:val="18"/>
                <w:lang w:val="es-ES"/>
              </w:rPr>
            </w:pPr>
            <w:r w:rsidRPr="00767435">
              <w:rPr>
                <w:b/>
                <w:bCs/>
                <w:spacing w:val="0"/>
                <w:sz w:val="18"/>
                <w:szCs w:val="18"/>
                <w:lang w:val="es-ES"/>
              </w:rPr>
              <w:t>2016</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6D7DD7" w:rsidRPr="00767435" w:rsidRDefault="006D7DD7" w:rsidP="000773FF">
            <w:pPr>
              <w:jc w:val="center"/>
              <w:rPr>
                <w:b/>
                <w:bCs/>
                <w:spacing w:val="0"/>
                <w:sz w:val="18"/>
                <w:szCs w:val="18"/>
                <w:lang w:val="es-ES"/>
              </w:rPr>
            </w:pPr>
            <w:r w:rsidRPr="00767435">
              <w:rPr>
                <w:b/>
                <w:bCs/>
                <w:spacing w:val="0"/>
                <w:sz w:val="18"/>
                <w:szCs w:val="18"/>
                <w:lang w:val="es-ES"/>
              </w:rPr>
              <w:t>2017</w:t>
            </w:r>
          </w:p>
        </w:tc>
        <w:tc>
          <w:tcPr>
            <w:tcW w:w="1432" w:type="dxa"/>
            <w:gridSpan w:val="4"/>
            <w:tcBorders>
              <w:top w:val="single" w:sz="4" w:space="0" w:color="auto"/>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b/>
                <w:bCs/>
                <w:spacing w:val="0"/>
                <w:sz w:val="18"/>
                <w:szCs w:val="18"/>
                <w:lang w:val="es-ES"/>
              </w:rPr>
              <w:t>2018</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Responsable</w:t>
            </w:r>
          </w:p>
        </w:tc>
        <w:tc>
          <w:tcPr>
            <w:tcW w:w="1582" w:type="dxa"/>
            <w:vMerge w:val="restart"/>
            <w:tcBorders>
              <w:top w:val="single" w:sz="4" w:space="0" w:color="auto"/>
              <w:left w:val="nil"/>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Costo</w:t>
            </w:r>
          </w:p>
          <w:p w:rsidR="006D7DD7" w:rsidRPr="00767435" w:rsidRDefault="006D7DD7" w:rsidP="00C76193">
            <w:pPr>
              <w:jc w:val="center"/>
              <w:rPr>
                <w:b/>
                <w:bCs/>
                <w:spacing w:val="0"/>
                <w:sz w:val="18"/>
                <w:szCs w:val="18"/>
                <w:lang w:val="es-ES"/>
              </w:rPr>
            </w:pPr>
          </w:p>
        </w:tc>
        <w:tc>
          <w:tcPr>
            <w:tcW w:w="1857" w:type="dxa"/>
            <w:vMerge w:val="restart"/>
            <w:tcBorders>
              <w:top w:val="single" w:sz="4" w:space="0" w:color="auto"/>
              <w:left w:val="single" w:sz="4" w:space="0" w:color="auto"/>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Pr>
                <w:rFonts w:eastAsia="Batang"/>
                <w:b/>
                <w:bCs/>
                <w:spacing w:val="0"/>
                <w:sz w:val="18"/>
                <w:szCs w:val="18"/>
                <w:lang w:val="es-ES"/>
              </w:rPr>
              <w:t>Financiación</w:t>
            </w:r>
          </w:p>
        </w:tc>
      </w:tr>
      <w:tr w:rsidR="006D7DD7" w:rsidRPr="00767435" w:rsidTr="006D7DD7">
        <w:trPr>
          <w:trHeight w:val="300"/>
          <w:jc w:val="center"/>
        </w:trPr>
        <w:tc>
          <w:tcPr>
            <w:tcW w:w="1672" w:type="dxa"/>
            <w:vMerge/>
            <w:tcBorders>
              <w:top w:val="single" w:sz="4" w:space="0" w:color="auto"/>
              <w:left w:val="single" w:sz="4" w:space="0" w:color="auto"/>
              <w:bottom w:val="single" w:sz="4" w:space="0" w:color="auto"/>
              <w:right w:val="single" w:sz="4" w:space="0" w:color="auto"/>
            </w:tcBorders>
            <w:vAlign w:val="center"/>
          </w:tcPr>
          <w:p w:rsidR="006D7DD7" w:rsidRPr="00767435" w:rsidRDefault="006D7DD7" w:rsidP="00C76193">
            <w:pPr>
              <w:rPr>
                <w:b/>
                <w:bCs/>
                <w:spacing w:val="0"/>
                <w:sz w:val="18"/>
                <w:szCs w:val="18"/>
                <w:lang w:val="es-ES"/>
              </w:rPr>
            </w:pPr>
          </w:p>
        </w:tc>
        <w:tc>
          <w:tcPr>
            <w:tcW w:w="354" w:type="dxa"/>
            <w:tcBorders>
              <w:top w:val="nil"/>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1</w:t>
            </w:r>
          </w:p>
        </w:tc>
        <w:tc>
          <w:tcPr>
            <w:tcW w:w="342" w:type="dxa"/>
            <w:tcBorders>
              <w:top w:val="nil"/>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2</w:t>
            </w:r>
          </w:p>
        </w:tc>
        <w:tc>
          <w:tcPr>
            <w:tcW w:w="342" w:type="dxa"/>
            <w:tcBorders>
              <w:top w:val="nil"/>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3</w:t>
            </w:r>
          </w:p>
        </w:tc>
        <w:tc>
          <w:tcPr>
            <w:tcW w:w="306" w:type="dxa"/>
            <w:tcBorders>
              <w:top w:val="nil"/>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4</w:t>
            </w:r>
          </w:p>
        </w:tc>
        <w:tc>
          <w:tcPr>
            <w:tcW w:w="343" w:type="dxa"/>
            <w:tcBorders>
              <w:top w:val="nil"/>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1</w:t>
            </w:r>
          </w:p>
        </w:tc>
        <w:tc>
          <w:tcPr>
            <w:tcW w:w="343" w:type="dxa"/>
            <w:tcBorders>
              <w:top w:val="nil"/>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2</w:t>
            </w:r>
          </w:p>
        </w:tc>
        <w:tc>
          <w:tcPr>
            <w:tcW w:w="343" w:type="dxa"/>
            <w:tcBorders>
              <w:top w:val="nil"/>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3</w:t>
            </w:r>
          </w:p>
        </w:tc>
        <w:tc>
          <w:tcPr>
            <w:tcW w:w="306" w:type="dxa"/>
            <w:tcBorders>
              <w:top w:val="nil"/>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4</w:t>
            </w:r>
          </w:p>
        </w:tc>
        <w:tc>
          <w:tcPr>
            <w:tcW w:w="344" w:type="dxa"/>
            <w:tcBorders>
              <w:top w:val="single" w:sz="4" w:space="0" w:color="auto"/>
              <w:left w:val="nil"/>
              <w:bottom w:val="single" w:sz="4" w:space="0" w:color="auto"/>
              <w:right w:val="single" w:sz="4" w:space="0" w:color="auto"/>
            </w:tcBorders>
            <w:vAlign w:val="center"/>
          </w:tcPr>
          <w:p w:rsidR="006D7DD7" w:rsidRPr="00767435" w:rsidRDefault="006D7DD7" w:rsidP="000773FF">
            <w:pPr>
              <w:jc w:val="center"/>
              <w:rPr>
                <w:b/>
                <w:bCs/>
                <w:spacing w:val="0"/>
                <w:sz w:val="18"/>
                <w:szCs w:val="18"/>
                <w:lang w:val="es-ES"/>
              </w:rPr>
            </w:pPr>
            <w:r w:rsidRPr="00767435">
              <w:rPr>
                <w:rFonts w:eastAsia="Batang"/>
                <w:b/>
                <w:bCs/>
                <w:spacing w:val="0"/>
                <w:sz w:val="18"/>
                <w:szCs w:val="18"/>
                <w:lang w:val="es-ES"/>
              </w:rPr>
              <w:t>1</w:t>
            </w:r>
          </w:p>
        </w:tc>
        <w:tc>
          <w:tcPr>
            <w:tcW w:w="346" w:type="dxa"/>
            <w:tcBorders>
              <w:top w:val="single" w:sz="4" w:space="0" w:color="auto"/>
              <w:left w:val="single" w:sz="4" w:space="0" w:color="auto"/>
              <w:bottom w:val="single" w:sz="4" w:space="0" w:color="auto"/>
              <w:right w:val="single" w:sz="4" w:space="0" w:color="auto"/>
            </w:tcBorders>
            <w:vAlign w:val="center"/>
          </w:tcPr>
          <w:p w:rsidR="006D7DD7" w:rsidRPr="00767435" w:rsidRDefault="006D7DD7" w:rsidP="000773FF">
            <w:pPr>
              <w:jc w:val="center"/>
              <w:rPr>
                <w:b/>
                <w:bCs/>
                <w:spacing w:val="0"/>
                <w:sz w:val="18"/>
                <w:szCs w:val="18"/>
                <w:lang w:val="es-ES"/>
              </w:rPr>
            </w:pPr>
            <w:r w:rsidRPr="00767435">
              <w:rPr>
                <w:rFonts w:eastAsia="Batang"/>
                <w:b/>
                <w:bCs/>
                <w:spacing w:val="0"/>
                <w:sz w:val="18"/>
                <w:szCs w:val="18"/>
                <w:lang w:val="es-ES"/>
              </w:rPr>
              <w:t>2</w:t>
            </w:r>
          </w:p>
        </w:tc>
        <w:tc>
          <w:tcPr>
            <w:tcW w:w="346" w:type="dxa"/>
            <w:tcBorders>
              <w:top w:val="single" w:sz="4" w:space="0" w:color="auto"/>
              <w:left w:val="single" w:sz="4" w:space="0" w:color="auto"/>
              <w:bottom w:val="single" w:sz="4" w:space="0" w:color="auto"/>
              <w:right w:val="single" w:sz="4" w:space="0" w:color="auto"/>
            </w:tcBorders>
            <w:vAlign w:val="center"/>
          </w:tcPr>
          <w:p w:rsidR="006D7DD7" w:rsidRPr="00767435" w:rsidRDefault="006D7DD7" w:rsidP="000773FF">
            <w:pPr>
              <w:jc w:val="center"/>
              <w:rPr>
                <w:b/>
                <w:bCs/>
                <w:spacing w:val="0"/>
                <w:sz w:val="18"/>
                <w:szCs w:val="18"/>
                <w:lang w:val="es-ES"/>
              </w:rPr>
            </w:pPr>
            <w:r w:rsidRPr="00767435">
              <w:rPr>
                <w:rFonts w:eastAsia="Batang"/>
                <w:b/>
                <w:bCs/>
                <w:spacing w:val="0"/>
                <w:sz w:val="18"/>
                <w:szCs w:val="18"/>
                <w:lang w:val="es-ES"/>
              </w:rPr>
              <w:t>3</w:t>
            </w:r>
          </w:p>
        </w:tc>
        <w:tc>
          <w:tcPr>
            <w:tcW w:w="368" w:type="dxa"/>
            <w:tcBorders>
              <w:top w:val="single" w:sz="4" w:space="0" w:color="auto"/>
              <w:left w:val="single" w:sz="4" w:space="0" w:color="auto"/>
              <w:bottom w:val="single" w:sz="4" w:space="0" w:color="auto"/>
              <w:right w:val="single" w:sz="4" w:space="0" w:color="auto"/>
            </w:tcBorders>
            <w:vAlign w:val="center"/>
          </w:tcPr>
          <w:p w:rsidR="006D7DD7" w:rsidRPr="00767435" w:rsidRDefault="006D7DD7" w:rsidP="000773FF">
            <w:pPr>
              <w:jc w:val="center"/>
              <w:rPr>
                <w:b/>
                <w:bCs/>
                <w:spacing w:val="0"/>
                <w:sz w:val="18"/>
                <w:szCs w:val="18"/>
                <w:lang w:val="es-ES"/>
              </w:rPr>
            </w:pPr>
            <w:r w:rsidRPr="00767435">
              <w:rPr>
                <w:rFonts w:eastAsia="Batang"/>
                <w:b/>
                <w:bCs/>
                <w:spacing w:val="0"/>
                <w:sz w:val="18"/>
                <w:szCs w:val="18"/>
                <w:lang w:val="es-ES"/>
              </w:rPr>
              <w:t>4</w:t>
            </w:r>
          </w:p>
        </w:tc>
        <w:tc>
          <w:tcPr>
            <w:tcW w:w="349" w:type="dxa"/>
            <w:tcBorders>
              <w:top w:val="nil"/>
              <w:left w:val="single" w:sz="4" w:space="0" w:color="auto"/>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1</w:t>
            </w:r>
          </w:p>
        </w:tc>
        <w:tc>
          <w:tcPr>
            <w:tcW w:w="343" w:type="dxa"/>
            <w:tcBorders>
              <w:top w:val="nil"/>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2</w:t>
            </w:r>
          </w:p>
        </w:tc>
        <w:tc>
          <w:tcPr>
            <w:tcW w:w="343" w:type="dxa"/>
            <w:tcBorders>
              <w:top w:val="nil"/>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3</w:t>
            </w:r>
          </w:p>
        </w:tc>
        <w:tc>
          <w:tcPr>
            <w:tcW w:w="343" w:type="dxa"/>
            <w:tcBorders>
              <w:top w:val="nil"/>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4</w:t>
            </w:r>
          </w:p>
        </w:tc>
        <w:tc>
          <w:tcPr>
            <w:tcW w:w="343" w:type="dxa"/>
            <w:tcBorders>
              <w:top w:val="nil"/>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1</w:t>
            </w:r>
          </w:p>
        </w:tc>
        <w:tc>
          <w:tcPr>
            <w:tcW w:w="355" w:type="dxa"/>
            <w:tcBorders>
              <w:top w:val="nil"/>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2</w:t>
            </w:r>
          </w:p>
        </w:tc>
        <w:tc>
          <w:tcPr>
            <w:tcW w:w="343" w:type="dxa"/>
            <w:tcBorders>
              <w:top w:val="nil"/>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3</w:t>
            </w:r>
          </w:p>
        </w:tc>
        <w:tc>
          <w:tcPr>
            <w:tcW w:w="391" w:type="dxa"/>
            <w:tcBorders>
              <w:top w:val="nil"/>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r w:rsidRPr="00767435">
              <w:rPr>
                <w:rFonts w:eastAsia="Batang"/>
                <w:b/>
                <w:bCs/>
                <w:spacing w:val="0"/>
                <w:sz w:val="18"/>
                <w:szCs w:val="18"/>
                <w:lang w:val="es-ES"/>
              </w:rPr>
              <w:t>4</w:t>
            </w:r>
          </w:p>
        </w:tc>
        <w:tc>
          <w:tcPr>
            <w:tcW w:w="1239" w:type="dxa"/>
            <w:vMerge/>
            <w:tcBorders>
              <w:top w:val="single" w:sz="4" w:space="0" w:color="auto"/>
              <w:left w:val="single" w:sz="4" w:space="0" w:color="auto"/>
              <w:bottom w:val="single" w:sz="4" w:space="0" w:color="auto"/>
              <w:right w:val="single" w:sz="4" w:space="0" w:color="auto"/>
            </w:tcBorders>
            <w:vAlign w:val="center"/>
          </w:tcPr>
          <w:p w:rsidR="006D7DD7" w:rsidRPr="00767435" w:rsidRDefault="006D7DD7" w:rsidP="00C76193">
            <w:pPr>
              <w:rPr>
                <w:b/>
                <w:bCs/>
                <w:spacing w:val="0"/>
                <w:sz w:val="18"/>
                <w:szCs w:val="18"/>
                <w:lang w:val="es-ES"/>
              </w:rPr>
            </w:pPr>
          </w:p>
        </w:tc>
        <w:tc>
          <w:tcPr>
            <w:tcW w:w="1582" w:type="dxa"/>
            <w:vMerge/>
            <w:tcBorders>
              <w:left w:val="nil"/>
              <w:bottom w:val="single" w:sz="4" w:space="0" w:color="auto"/>
              <w:right w:val="single" w:sz="4" w:space="0" w:color="auto"/>
            </w:tcBorders>
            <w:vAlign w:val="center"/>
          </w:tcPr>
          <w:p w:rsidR="006D7DD7" w:rsidRPr="00767435" w:rsidRDefault="006D7DD7" w:rsidP="00C76193">
            <w:pPr>
              <w:jc w:val="center"/>
              <w:rPr>
                <w:b/>
                <w:bCs/>
                <w:spacing w:val="0"/>
                <w:sz w:val="18"/>
                <w:szCs w:val="18"/>
                <w:lang w:val="es-ES"/>
              </w:rPr>
            </w:pPr>
          </w:p>
        </w:tc>
        <w:tc>
          <w:tcPr>
            <w:tcW w:w="1857" w:type="dxa"/>
            <w:vMerge/>
            <w:tcBorders>
              <w:top w:val="single" w:sz="4" w:space="0" w:color="auto"/>
              <w:left w:val="single" w:sz="4" w:space="0" w:color="auto"/>
              <w:bottom w:val="single" w:sz="4" w:space="0" w:color="auto"/>
              <w:right w:val="single" w:sz="4" w:space="0" w:color="auto"/>
            </w:tcBorders>
            <w:vAlign w:val="center"/>
          </w:tcPr>
          <w:p w:rsidR="006D7DD7" w:rsidRPr="00767435" w:rsidRDefault="006D7DD7" w:rsidP="00C76193">
            <w:pPr>
              <w:rPr>
                <w:b/>
                <w:bCs/>
                <w:spacing w:val="0"/>
                <w:sz w:val="18"/>
                <w:szCs w:val="18"/>
                <w:lang w:val="es-ES"/>
              </w:rPr>
            </w:pPr>
          </w:p>
        </w:tc>
      </w:tr>
      <w:tr w:rsidR="006D7DD7" w:rsidRPr="00767435" w:rsidTr="006D7DD7">
        <w:trPr>
          <w:trHeight w:val="480"/>
          <w:jc w:val="center"/>
        </w:trPr>
        <w:tc>
          <w:tcPr>
            <w:tcW w:w="1672" w:type="dxa"/>
            <w:tcBorders>
              <w:top w:val="nil"/>
              <w:left w:val="single" w:sz="4" w:space="0" w:color="auto"/>
              <w:bottom w:val="single" w:sz="4" w:space="0" w:color="auto"/>
              <w:right w:val="single" w:sz="4" w:space="0" w:color="auto"/>
            </w:tcBorders>
            <w:vAlign w:val="center"/>
          </w:tcPr>
          <w:p w:rsidR="005905E6" w:rsidRPr="00767435" w:rsidRDefault="005905E6" w:rsidP="00204B7B">
            <w:pPr>
              <w:rPr>
                <w:bCs/>
                <w:spacing w:val="0"/>
                <w:sz w:val="18"/>
                <w:szCs w:val="18"/>
                <w:lang w:val="es-ES"/>
              </w:rPr>
            </w:pPr>
            <w:r w:rsidRPr="00767435">
              <w:rPr>
                <w:rFonts w:eastAsia="Batang"/>
                <w:bCs/>
                <w:spacing w:val="0"/>
                <w:sz w:val="18"/>
                <w:szCs w:val="18"/>
                <w:lang w:val="es-ES"/>
              </w:rPr>
              <w:t>Medición de resultados y evaluación ex post</w:t>
            </w:r>
          </w:p>
        </w:tc>
        <w:tc>
          <w:tcPr>
            <w:tcW w:w="354"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X</w:t>
            </w:r>
          </w:p>
        </w:tc>
        <w:tc>
          <w:tcPr>
            <w:tcW w:w="342"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p>
        </w:tc>
        <w:tc>
          <w:tcPr>
            <w:tcW w:w="342"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p>
        </w:tc>
        <w:tc>
          <w:tcPr>
            <w:tcW w:w="306"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p>
        </w:tc>
        <w:tc>
          <w:tcPr>
            <w:tcW w:w="306"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p>
        </w:tc>
        <w:tc>
          <w:tcPr>
            <w:tcW w:w="344" w:type="dxa"/>
            <w:tcBorders>
              <w:top w:val="single" w:sz="4" w:space="0" w:color="auto"/>
              <w:left w:val="nil"/>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68" w:type="dxa"/>
            <w:tcBorders>
              <w:top w:val="single" w:sz="4" w:space="0" w:color="auto"/>
              <w:left w:val="single" w:sz="4" w:space="0" w:color="auto"/>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49" w:type="dxa"/>
            <w:tcBorders>
              <w:top w:val="nil"/>
              <w:left w:val="single" w:sz="4" w:space="0" w:color="auto"/>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p>
        </w:tc>
        <w:tc>
          <w:tcPr>
            <w:tcW w:w="355"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spacing w:val="0"/>
                <w:sz w:val="18"/>
                <w:szCs w:val="18"/>
                <w:lang w:val="es-ES"/>
              </w:rPr>
              <w:t>X</w:t>
            </w:r>
          </w:p>
        </w:tc>
        <w:tc>
          <w:tcPr>
            <w:tcW w:w="343" w:type="dxa"/>
            <w:tcBorders>
              <w:top w:val="single" w:sz="4" w:space="0" w:color="auto"/>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p>
        </w:tc>
        <w:tc>
          <w:tcPr>
            <w:tcW w:w="391" w:type="dxa"/>
            <w:tcBorders>
              <w:top w:val="nil"/>
              <w:left w:val="nil"/>
              <w:bottom w:val="single" w:sz="4" w:space="0" w:color="auto"/>
              <w:right w:val="single" w:sz="4" w:space="0" w:color="auto"/>
            </w:tcBorders>
            <w:noWrap/>
            <w:vAlign w:val="bottom"/>
          </w:tcPr>
          <w:p w:rsidR="005905E6" w:rsidRPr="00767435" w:rsidRDefault="005905E6" w:rsidP="00C76193">
            <w:pPr>
              <w:jc w:val="center"/>
              <w:rPr>
                <w:rFonts w:ascii="Calibri" w:hAnsi="Calibri" w:cs="Calibri"/>
                <w:spacing w:val="0"/>
                <w:szCs w:val="22"/>
                <w:lang w:val="es-ES"/>
              </w:rPr>
            </w:pPr>
          </w:p>
        </w:tc>
        <w:tc>
          <w:tcPr>
            <w:tcW w:w="1239" w:type="dxa"/>
            <w:tcBorders>
              <w:top w:val="nil"/>
              <w:left w:val="nil"/>
              <w:bottom w:val="single" w:sz="4" w:space="0" w:color="auto"/>
              <w:right w:val="single" w:sz="4" w:space="0" w:color="auto"/>
            </w:tcBorders>
            <w:vAlign w:val="center"/>
          </w:tcPr>
          <w:p w:rsidR="005905E6" w:rsidRPr="00767435" w:rsidRDefault="005905E6" w:rsidP="00C76193">
            <w:pPr>
              <w:rPr>
                <w:spacing w:val="0"/>
                <w:sz w:val="16"/>
                <w:szCs w:val="16"/>
                <w:lang w:val="es-ES"/>
              </w:rPr>
            </w:pPr>
            <w:r w:rsidRPr="00767435">
              <w:rPr>
                <w:rFonts w:eastAsia="Batang"/>
                <w:spacing w:val="0"/>
                <w:sz w:val="16"/>
                <w:szCs w:val="16"/>
                <w:lang w:val="es-ES"/>
              </w:rPr>
              <w:t>ST</w:t>
            </w:r>
          </w:p>
        </w:tc>
        <w:tc>
          <w:tcPr>
            <w:tcW w:w="1582" w:type="dxa"/>
            <w:tcBorders>
              <w:top w:val="nil"/>
              <w:left w:val="nil"/>
              <w:bottom w:val="single" w:sz="4" w:space="0" w:color="auto"/>
              <w:right w:val="single" w:sz="4" w:space="0" w:color="auto"/>
            </w:tcBorders>
            <w:vAlign w:val="center"/>
          </w:tcPr>
          <w:p w:rsidR="005905E6" w:rsidRPr="00767435" w:rsidRDefault="005905E6" w:rsidP="00056E94">
            <w:pPr>
              <w:rPr>
                <w:spacing w:val="0"/>
                <w:sz w:val="16"/>
                <w:szCs w:val="16"/>
                <w:lang w:val="es-ES"/>
              </w:rPr>
            </w:pPr>
            <w:r w:rsidRPr="00767435">
              <w:rPr>
                <w:spacing w:val="0"/>
                <w:sz w:val="16"/>
                <w:szCs w:val="16"/>
                <w:lang w:val="es-ES"/>
              </w:rPr>
              <w:t xml:space="preserve">USD $ </w:t>
            </w:r>
            <w:r w:rsidR="00056E94" w:rsidRPr="00767435">
              <w:rPr>
                <w:spacing w:val="0"/>
                <w:sz w:val="16"/>
                <w:szCs w:val="16"/>
                <w:lang w:val="es-ES"/>
              </w:rPr>
              <w:t>200</w:t>
            </w:r>
            <w:r w:rsidRPr="00767435">
              <w:rPr>
                <w:spacing w:val="0"/>
                <w:sz w:val="16"/>
                <w:szCs w:val="16"/>
                <w:lang w:val="es-ES"/>
              </w:rPr>
              <w:t>.000</w:t>
            </w:r>
          </w:p>
        </w:tc>
        <w:tc>
          <w:tcPr>
            <w:tcW w:w="1857" w:type="dxa"/>
            <w:tcBorders>
              <w:top w:val="nil"/>
              <w:left w:val="nil"/>
              <w:bottom w:val="single" w:sz="4" w:space="0" w:color="auto"/>
              <w:right w:val="single" w:sz="4" w:space="0" w:color="auto"/>
            </w:tcBorders>
            <w:vAlign w:val="center"/>
          </w:tcPr>
          <w:p w:rsidR="005905E6" w:rsidRPr="00767435" w:rsidRDefault="005905E6" w:rsidP="00387327">
            <w:pPr>
              <w:rPr>
                <w:spacing w:val="0"/>
                <w:sz w:val="16"/>
                <w:szCs w:val="16"/>
                <w:lang w:val="es-ES"/>
              </w:rPr>
            </w:pPr>
            <w:r w:rsidRPr="00767435">
              <w:rPr>
                <w:spacing w:val="0"/>
                <w:sz w:val="16"/>
                <w:szCs w:val="16"/>
                <w:lang w:val="es-ES"/>
              </w:rPr>
              <w:t>Componente 1 (Ingeniería y administración)</w:t>
            </w:r>
          </w:p>
        </w:tc>
      </w:tr>
      <w:tr w:rsidR="006D7DD7" w:rsidRPr="00767435" w:rsidTr="006D7DD7">
        <w:trPr>
          <w:trHeight w:val="720"/>
          <w:jc w:val="center"/>
        </w:trPr>
        <w:tc>
          <w:tcPr>
            <w:tcW w:w="1672" w:type="dxa"/>
            <w:tcBorders>
              <w:top w:val="nil"/>
              <w:left w:val="single" w:sz="4" w:space="0" w:color="auto"/>
              <w:bottom w:val="single" w:sz="4" w:space="0" w:color="auto"/>
              <w:right w:val="single" w:sz="4" w:space="0" w:color="auto"/>
            </w:tcBorders>
            <w:vAlign w:val="center"/>
          </w:tcPr>
          <w:p w:rsidR="005905E6" w:rsidRPr="00767435" w:rsidRDefault="005905E6" w:rsidP="00204B7B">
            <w:pPr>
              <w:rPr>
                <w:bCs/>
                <w:spacing w:val="0"/>
                <w:sz w:val="18"/>
                <w:szCs w:val="18"/>
                <w:lang w:val="es-ES"/>
              </w:rPr>
            </w:pPr>
            <w:r w:rsidRPr="00767435">
              <w:rPr>
                <w:rFonts w:eastAsia="Batang"/>
                <w:bCs/>
                <w:spacing w:val="0"/>
                <w:sz w:val="18"/>
                <w:szCs w:val="18"/>
                <w:lang w:val="es-ES"/>
              </w:rPr>
              <w:t>Elaboración y Presentación del Informe Final</w:t>
            </w:r>
          </w:p>
        </w:tc>
        <w:tc>
          <w:tcPr>
            <w:tcW w:w="354"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2"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2"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06"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06"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4" w:type="dxa"/>
            <w:tcBorders>
              <w:top w:val="single" w:sz="4" w:space="0" w:color="auto"/>
              <w:left w:val="nil"/>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68" w:type="dxa"/>
            <w:tcBorders>
              <w:top w:val="single" w:sz="4" w:space="0" w:color="auto"/>
              <w:left w:val="single" w:sz="4" w:space="0" w:color="auto"/>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49" w:type="dxa"/>
            <w:tcBorders>
              <w:top w:val="nil"/>
              <w:left w:val="single" w:sz="4" w:space="0" w:color="auto"/>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55"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91" w:type="dxa"/>
            <w:tcBorders>
              <w:top w:val="nil"/>
              <w:left w:val="nil"/>
              <w:bottom w:val="single" w:sz="4" w:space="0" w:color="auto"/>
              <w:right w:val="single" w:sz="4" w:space="0" w:color="auto"/>
            </w:tcBorders>
            <w:noWrap/>
            <w:vAlign w:val="bottom"/>
          </w:tcPr>
          <w:p w:rsidR="005905E6" w:rsidRPr="00767435" w:rsidRDefault="005F79E9" w:rsidP="00C76193">
            <w:pPr>
              <w:jc w:val="center"/>
              <w:rPr>
                <w:rFonts w:eastAsia="Batang"/>
                <w:spacing w:val="0"/>
                <w:sz w:val="18"/>
                <w:szCs w:val="18"/>
                <w:lang w:val="es-ES"/>
              </w:rPr>
            </w:pPr>
            <w:r w:rsidRPr="00767435">
              <w:rPr>
                <w:rFonts w:eastAsia="Batang"/>
                <w:spacing w:val="0"/>
                <w:sz w:val="18"/>
                <w:szCs w:val="18"/>
                <w:lang w:val="es-ES"/>
              </w:rPr>
              <w:t>X</w:t>
            </w:r>
          </w:p>
        </w:tc>
        <w:tc>
          <w:tcPr>
            <w:tcW w:w="1239" w:type="dxa"/>
            <w:tcBorders>
              <w:top w:val="nil"/>
              <w:left w:val="nil"/>
              <w:bottom w:val="single" w:sz="4" w:space="0" w:color="auto"/>
              <w:right w:val="single" w:sz="4" w:space="0" w:color="auto"/>
            </w:tcBorders>
            <w:vAlign w:val="center"/>
          </w:tcPr>
          <w:p w:rsidR="005905E6" w:rsidRPr="00767435" w:rsidRDefault="005905E6" w:rsidP="00C76193">
            <w:pPr>
              <w:rPr>
                <w:spacing w:val="0"/>
                <w:sz w:val="18"/>
                <w:szCs w:val="18"/>
                <w:lang w:val="es-ES"/>
              </w:rPr>
            </w:pPr>
            <w:r w:rsidRPr="00767435">
              <w:rPr>
                <w:rFonts w:eastAsia="Batang"/>
                <w:spacing w:val="0"/>
                <w:sz w:val="18"/>
                <w:szCs w:val="18"/>
                <w:lang w:val="es-ES"/>
              </w:rPr>
              <w:t>ST</w:t>
            </w:r>
          </w:p>
        </w:tc>
        <w:tc>
          <w:tcPr>
            <w:tcW w:w="1582" w:type="dxa"/>
            <w:tcBorders>
              <w:top w:val="nil"/>
              <w:left w:val="nil"/>
              <w:bottom w:val="single" w:sz="4" w:space="0" w:color="auto"/>
              <w:right w:val="single" w:sz="4" w:space="0" w:color="auto"/>
            </w:tcBorders>
            <w:vAlign w:val="center"/>
          </w:tcPr>
          <w:p w:rsidR="005905E6" w:rsidRPr="00767435" w:rsidRDefault="005905E6" w:rsidP="007E36CD">
            <w:pPr>
              <w:jc w:val="center"/>
              <w:rPr>
                <w:spacing w:val="0"/>
                <w:sz w:val="16"/>
                <w:szCs w:val="16"/>
                <w:lang w:val="es-ES"/>
              </w:rPr>
            </w:pPr>
            <w:r w:rsidRPr="00767435">
              <w:rPr>
                <w:spacing w:val="0"/>
                <w:sz w:val="16"/>
                <w:szCs w:val="16"/>
                <w:lang w:val="es-ES"/>
              </w:rPr>
              <w:t>15 días x 2 personas x  US$300=US$ 9.000</w:t>
            </w:r>
          </w:p>
        </w:tc>
        <w:tc>
          <w:tcPr>
            <w:tcW w:w="1857" w:type="dxa"/>
            <w:tcBorders>
              <w:top w:val="nil"/>
              <w:left w:val="nil"/>
              <w:bottom w:val="single" w:sz="4" w:space="0" w:color="auto"/>
              <w:right w:val="single" w:sz="4" w:space="0" w:color="auto"/>
            </w:tcBorders>
            <w:vAlign w:val="center"/>
          </w:tcPr>
          <w:p w:rsidR="005905E6" w:rsidRPr="00767435" w:rsidRDefault="005905E6" w:rsidP="00387327">
            <w:r w:rsidRPr="00767435">
              <w:rPr>
                <w:spacing w:val="0"/>
                <w:sz w:val="16"/>
                <w:szCs w:val="16"/>
                <w:lang w:val="es-ES"/>
              </w:rPr>
              <w:t>Componente 1 (Ingeniería y administración)</w:t>
            </w:r>
          </w:p>
        </w:tc>
      </w:tr>
      <w:tr w:rsidR="006D7DD7" w:rsidRPr="00767435" w:rsidTr="006D7DD7">
        <w:trPr>
          <w:trHeight w:val="480"/>
          <w:jc w:val="center"/>
        </w:trPr>
        <w:tc>
          <w:tcPr>
            <w:tcW w:w="1672" w:type="dxa"/>
            <w:tcBorders>
              <w:top w:val="nil"/>
              <w:left w:val="single" w:sz="4" w:space="0" w:color="auto"/>
              <w:bottom w:val="single" w:sz="4" w:space="0" w:color="auto"/>
              <w:right w:val="single" w:sz="4" w:space="0" w:color="auto"/>
            </w:tcBorders>
            <w:vAlign w:val="center"/>
          </w:tcPr>
          <w:p w:rsidR="005905E6" w:rsidRPr="00767435" w:rsidRDefault="005905E6" w:rsidP="00204B7B">
            <w:pPr>
              <w:rPr>
                <w:bCs/>
                <w:spacing w:val="0"/>
                <w:sz w:val="18"/>
                <w:szCs w:val="18"/>
                <w:lang w:val="es-ES"/>
              </w:rPr>
            </w:pPr>
            <w:r w:rsidRPr="00767435">
              <w:rPr>
                <w:rFonts w:eastAsia="Batang"/>
                <w:bCs/>
                <w:spacing w:val="0"/>
                <w:sz w:val="18"/>
                <w:szCs w:val="18"/>
                <w:lang w:val="es-ES"/>
              </w:rPr>
              <w:t>Analizar y aprobar informes y evaluaciones</w:t>
            </w:r>
          </w:p>
        </w:tc>
        <w:tc>
          <w:tcPr>
            <w:tcW w:w="354"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2"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2"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06"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06"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4" w:type="dxa"/>
            <w:tcBorders>
              <w:top w:val="single" w:sz="4" w:space="0" w:color="auto"/>
              <w:left w:val="nil"/>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68" w:type="dxa"/>
            <w:tcBorders>
              <w:top w:val="single" w:sz="4" w:space="0" w:color="auto"/>
              <w:left w:val="single" w:sz="4" w:space="0" w:color="auto"/>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49" w:type="dxa"/>
            <w:tcBorders>
              <w:top w:val="nil"/>
              <w:left w:val="single" w:sz="4" w:space="0" w:color="auto"/>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55"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91"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r w:rsidR="005F79E9" w:rsidRPr="00767435">
              <w:rPr>
                <w:rFonts w:eastAsia="Batang"/>
                <w:spacing w:val="0"/>
                <w:sz w:val="18"/>
                <w:szCs w:val="18"/>
                <w:lang w:val="es-ES"/>
              </w:rPr>
              <w:t>X</w:t>
            </w:r>
          </w:p>
        </w:tc>
        <w:tc>
          <w:tcPr>
            <w:tcW w:w="1239" w:type="dxa"/>
            <w:tcBorders>
              <w:top w:val="nil"/>
              <w:left w:val="nil"/>
              <w:bottom w:val="single" w:sz="4" w:space="0" w:color="auto"/>
              <w:right w:val="single" w:sz="4" w:space="0" w:color="auto"/>
            </w:tcBorders>
            <w:vAlign w:val="center"/>
          </w:tcPr>
          <w:p w:rsidR="005905E6" w:rsidRPr="00767435" w:rsidRDefault="005905E6" w:rsidP="00C76193">
            <w:pPr>
              <w:rPr>
                <w:spacing w:val="0"/>
                <w:sz w:val="16"/>
                <w:szCs w:val="16"/>
                <w:lang w:val="es-ES"/>
              </w:rPr>
            </w:pPr>
            <w:r w:rsidRPr="00767435">
              <w:rPr>
                <w:rFonts w:eastAsia="Batang"/>
                <w:spacing w:val="0"/>
                <w:sz w:val="16"/>
                <w:szCs w:val="16"/>
                <w:lang w:val="es-ES"/>
              </w:rPr>
              <w:t>BID</w:t>
            </w:r>
          </w:p>
        </w:tc>
        <w:tc>
          <w:tcPr>
            <w:tcW w:w="1582" w:type="dxa"/>
            <w:tcBorders>
              <w:top w:val="nil"/>
              <w:left w:val="nil"/>
              <w:bottom w:val="single" w:sz="4" w:space="0" w:color="auto"/>
              <w:right w:val="single" w:sz="4" w:space="0" w:color="auto"/>
            </w:tcBorders>
            <w:vAlign w:val="center"/>
          </w:tcPr>
          <w:p w:rsidR="005905E6" w:rsidRPr="00767435" w:rsidRDefault="005905E6" w:rsidP="00C76193">
            <w:pPr>
              <w:rPr>
                <w:spacing w:val="0"/>
                <w:sz w:val="16"/>
                <w:szCs w:val="16"/>
                <w:lang w:val="es-ES"/>
              </w:rPr>
            </w:pPr>
            <w:r w:rsidRPr="00767435">
              <w:rPr>
                <w:rFonts w:eastAsia="Batang"/>
                <w:spacing w:val="0"/>
                <w:sz w:val="16"/>
                <w:szCs w:val="16"/>
                <w:lang w:val="es-ES"/>
              </w:rPr>
              <w:t>30 días x 1 persona  x US$600=US$ 18.000</w:t>
            </w:r>
          </w:p>
        </w:tc>
        <w:tc>
          <w:tcPr>
            <w:tcW w:w="1857" w:type="dxa"/>
            <w:tcBorders>
              <w:top w:val="nil"/>
              <w:left w:val="nil"/>
              <w:bottom w:val="single" w:sz="4" w:space="0" w:color="auto"/>
              <w:right w:val="single" w:sz="4" w:space="0" w:color="auto"/>
            </w:tcBorders>
            <w:vAlign w:val="center"/>
          </w:tcPr>
          <w:p w:rsidR="005905E6" w:rsidRPr="00767435" w:rsidRDefault="005905E6" w:rsidP="00C76193">
            <w:pPr>
              <w:rPr>
                <w:spacing w:val="0"/>
                <w:sz w:val="16"/>
                <w:szCs w:val="16"/>
                <w:lang w:val="es-ES"/>
              </w:rPr>
            </w:pPr>
            <w:r w:rsidRPr="00767435">
              <w:rPr>
                <w:spacing w:val="0"/>
                <w:sz w:val="16"/>
                <w:szCs w:val="16"/>
                <w:lang w:val="es-ES"/>
              </w:rPr>
              <w:t>BID</w:t>
            </w:r>
          </w:p>
        </w:tc>
      </w:tr>
      <w:tr w:rsidR="006D7DD7" w:rsidRPr="00767435" w:rsidTr="006D7DD7">
        <w:trPr>
          <w:trHeight w:val="480"/>
          <w:jc w:val="center"/>
        </w:trPr>
        <w:tc>
          <w:tcPr>
            <w:tcW w:w="1672" w:type="dxa"/>
            <w:tcBorders>
              <w:top w:val="nil"/>
              <w:left w:val="single" w:sz="4" w:space="0" w:color="auto"/>
              <w:bottom w:val="single" w:sz="4" w:space="0" w:color="auto"/>
              <w:right w:val="single" w:sz="4" w:space="0" w:color="auto"/>
            </w:tcBorders>
            <w:vAlign w:val="center"/>
          </w:tcPr>
          <w:p w:rsidR="005905E6" w:rsidRPr="00767435" w:rsidRDefault="005905E6" w:rsidP="00204B7B">
            <w:pPr>
              <w:rPr>
                <w:bCs/>
                <w:spacing w:val="0"/>
                <w:sz w:val="18"/>
                <w:szCs w:val="18"/>
                <w:lang w:val="es-ES"/>
              </w:rPr>
            </w:pPr>
            <w:r w:rsidRPr="00767435">
              <w:rPr>
                <w:rFonts w:eastAsia="Batang"/>
                <w:bCs/>
                <w:spacing w:val="0"/>
                <w:sz w:val="18"/>
                <w:szCs w:val="18"/>
                <w:lang w:val="es-ES"/>
              </w:rPr>
              <w:t>Informe de terminación del programa (PCR)</w:t>
            </w:r>
          </w:p>
        </w:tc>
        <w:tc>
          <w:tcPr>
            <w:tcW w:w="354"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2"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2"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06"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06"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4" w:type="dxa"/>
            <w:tcBorders>
              <w:top w:val="single" w:sz="4" w:space="0" w:color="auto"/>
              <w:left w:val="nil"/>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68" w:type="dxa"/>
            <w:tcBorders>
              <w:top w:val="single" w:sz="4" w:space="0" w:color="auto"/>
              <w:left w:val="single" w:sz="4" w:space="0" w:color="auto"/>
              <w:bottom w:val="single" w:sz="4" w:space="0" w:color="auto"/>
              <w:right w:val="single" w:sz="4" w:space="0" w:color="auto"/>
            </w:tcBorders>
          </w:tcPr>
          <w:p w:rsidR="005905E6" w:rsidRPr="00767435" w:rsidRDefault="005905E6" w:rsidP="00C76193">
            <w:pPr>
              <w:jc w:val="center"/>
              <w:rPr>
                <w:rFonts w:eastAsia="Batang"/>
                <w:spacing w:val="0"/>
                <w:sz w:val="18"/>
                <w:szCs w:val="18"/>
                <w:lang w:val="es-ES"/>
              </w:rPr>
            </w:pPr>
          </w:p>
        </w:tc>
        <w:tc>
          <w:tcPr>
            <w:tcW w:w="349" w:type="dxa"/>
            <w:tcBorders>
              <w:top w:val="nil"/>
              <w:left w:val="single" w:sz="4" w:space="0" w:color="auto"/>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rFonts w:ascii="Baskerville Old Face" w:hAnsi="Baskerville Old Face" w:cs="Calibri"/>
                <w:spacing w:val="0"/>
                <w:sz w:val="18"/>
                <w:szCs w:val="18"/>
                <w:lang w:val="es-ES"/>
              </w:rPr>
            </w:pPr>
            <w:r w:rsidRPr="00767435">
              <w:rPr>
                <w:rFonts w:ascii="Baskerville Old Face" w:hAnsi="Baskerville Old Face" w:cs="Calibri"/>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55"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43"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391"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8"/>
                <w:szCs w:val="18"/>
                <w:lang w:val="es-ES"/>
              </w:rPr>
            </w:pPr>
            <w:r w:rsidRPr="00767435">
              <w:rPr>
                <w:rFonts w:eastAsia="Batang"/>
                <w:spacing w:val="0"/>
                <w:sz w:val="18"/>
                <w:szCs w:val="18"/>
                <w:lang w:val="es-ES"/>
              </w:rPr>
              <w:t> </w:t>
            </w:r>
          </w:p>
        </w:tc>
        <w:tc>
          <w:tcPr>
            <w:tcW w:w="1239" w:type="dxa"/>
            <w:tcBorders>
              <w:top w:val="nil"/>
              <w:left w:val="nil"/>
              <w:bottom w:val="single" w:sz="4" w:space="0" w:color="auto"/>
              <w:right w:val="single" w:sz="4" w:space="0" w:color="auto"/>
            </w:tcBorders>
            <w:vAlign w:val="center"/>
          </w:tcPr>
          <w:p w:rsidR="005905E6" w:rsidRPr="00767435" w:rsidRDefault="005905E6" w:rsidP="00C76193">
            <w:pPr>
              <w:rPr>
                <w:spacing w:val="0"/>
                <w:sz w:val="16"/>
                <w:szCs w:val="16"/>
                <w:lang w:val="es-ES"/>
              </w:rPr>
            </w:pPr>
            <w:r w:rsidRPr="00767435">
              <w:rPr>
                <w:rFonts w:eastAsia="Batang"/>
                <w:spacing w:val="0"/>
                <w:sz w:val="16"/>
                <w:szCs w:val="16"/>
                <w:lang w:val="es-ES"/>
              </w:rPr>
              <w:t>BID</w:t>
            </w:r>
          </w:p>
        </w:tc>
        <w:tc>
          <w:tcPr>
            <w:tcW w:w="1582" w:type="dxa"/>
            <w:tcBorders>
              <w:top w:val="nil"/>
              <w:left w:val="nil"/>
              <w:bottom w:val="single" w:sz="4" w:space="0" w:color="auto"/>
              <w:right w:val="single" w:sz="4" w:space="0" w:color="auto"/>
            </w:tcBorders>
            <w:vAlign w:val="center"/>
          </w:tcPr>
          <w:p w:rsidR="005905E6" w:rsidRPr="00767435" w:rsidRDefault="005905E6" w:rsidP="00C76193">
            <w:pPr>
              <w:jc w:val="center"/>
              <w:rPr>
                <w:spacing w:val="0"/>
                <w:sz w:val="16"/>
                <w:szCs w:val="16"/>
                <w:lang w:val="es-ES"/>
              </w:rPr>
            </w:pPr>
            <w:r w:rsidRPr="00767435">
              <w:rPr>
                <w:rFonts w:eastAsia="Batang"/>
                <w:spacing w:val="0"/>
                <w:sz w:val="16"/>
                <w:szCs w:val="16"/>
                <w:lang w:val="es-ES"/>
              </w:rPr>
              <w:t>10 días x 1 persona x USD $ 500 = $5.000</w:t>
            </w:r>
          </w:p>
        </w:tc>
        <w:tc>
          <w:tcPr>
            <w:tcW w:w="1857" w:type="dxa"/>
            <w:tcBorders>
              <w:top w:val="nil"/>
              <w:left w:val="nil"/>
              <w:bottom w:val="single" w:sz="4" w:space="0" w:color="auto"/>
              <w:right w:val="single" w:sz="4" w:space="0" w:color="auto"/>
            </w:tcBorders>
            <w:vAlign w:val="center"/>
          </w:tcPr>
          <w:p w:rsidR="005905E6" w:rsidRPr="00767435" w:rsidRDefault="005905E6" w:rsidP="00C76193">
            <w:pPr>
              <w:rPr>
                <w:spacing w:val="0"/>
                <w:sz w:val="16"/>
                <w:szCs w:val="16"/>
                <w:lang w:val="es-ES"/>
              </w:rPr>
            </w:pPr>
            <w:r w:rsidRPr="00767435">
              <w:rPr>
                <w:rFonts w:eastAsia="Batang"/>
                <w:spacing w:val="0"/>
                <w:sz w:val="16"/>
                <w:szCs w:val="16"/>
                <w:lang w:val="es-ES"/>
              </w:rPr>
              <w:t>BID</w:t>
            </w:r>
          </w:p>
        </w:tc>
      </w:tr>
      <w:tr w:rsidR="00767435" w:rsidRPr="00767435" w:rsidTr="006D7DD7">
        <w:trPr>
          <w:trHeight w:val="368"/>
          <w:jc w:val="center"/>
        </w:trPr>
        <w:tc>
          <w:tcPr>
            <w:tcW w:w="9804" w:type="dxa"/>
            <w:gridSpan w:val="22"/>
            <w:tcBorders>
              <w:top w:val="nil"/>
              <w:left w:val="single" w:sz="4" w:space="0" w:color="auto"/>
              <w:bottom w:val="single" w:sz="4" w:space="0" w:color="auto"/>
              <w:right w:val="single" w:sz="4" w:space="0" w:color="auto"/>
            </w:tcBorders>
            <w:vAlign w:val="center"/>
          </w:tcPr>
          <w:p w:rsidR="005905E6" w:rsidRPr="00767435" w:rsidRDefault="005905E6" w:rsidP="007E36CD">
            <w:pPr>
              <w:jc w:val="right"/>
              <w:rPr>
                <w:rFonts w:eastAsia="Batang"/>
                <w:b/>
                <w:spacing w:val="0"/>
                <w:sz w:val="20"/>
                <w:lang w:val="es-ES"/>
              </w:rPr>
            </w:pPr>
            <w:r w:rsidRPr="00767435">
              <w:rPr>
                <w:rFonts w:eastAsia="Batang"/>
                <w:b/>
                <w:spacing w:val="0"/>
                <w:sz w:val="20"/>
                <w:lang w:val="es-ES"/>
              </w:rPr>
              <w:t>Costo Total ST (con cargo al programa)</w:t>
            </w:r>
          </w:p>
        </w:tc>
        <w:tc>
          <w:tcPr>
            <w:tcW w:w="3439" w:type="dxa"/>
            <w:gridSpan w:val="2"/>
            <w:tcBorders>
              <w:top w:val="nil"/>
              <w:left w:val="nil"/>
              <w:bottom w:val="single" w:sz="4" w:space="0" w:color="auto"/>
              <w:right w:val="single" w:sz="4" w:space="0" w:color="auto"/>
            </w:tcBorders>
            <w:vAlign w:val="center"/>
          </w:tcPr>
          <w:p w:rsidR="005905E6" w:rsidRPr="00767435" w:rsidRDefault="005905E6" w:rsidP="005F79E9">
            <w:pPr>
              <w:rPr>
                <w:rFonts w:eastAsia="Batang"/>
                <w:b/>
                <w:spacing w:val="0"/>
                <w:sz w:val="20"/>
                <w:lang w:val="es-ES"/>
              </w:rPr>
            </w:pPr>
            <w:r w:rsidRPr="00767435">
              <w:rPr>
                <w:rFonts w:eastAsia="Batang"/>
                <w:b/>
                <w:spacing w:val="0"/>
                <w:sz w:val="20"/>
                <w:lang w:val="es-ES"/>
              </w:rPr>
              <w:t>US$</w:t>
            </w:r>
            <w:r w:rsidR="00056E94" w:rsidRPr="00767435">
              <w:rPr>
                <w:rFonts w:eastAsia="Batang"/>
                <w:b/>
                <w:spacing w:val="0"/>
                <w:sz w:val="20"/>
                <w:lang w:val="es-ES"/>
              </w:rPr>
              <w:t>2</w:t>
            </w:r>
            <w:r w:rsidR="005F79E9" w:rsidRPr="00767435">
              <w:rPr>
                <w:rFonts w:eastAsia="Batang"/>
                <w:b/>
                <w:spacing w:val="0"/>
                <w:sz w:val="20"/>
                <w:lang w:val="es-ES"/>
              </w:rPr>
              <w:t>09</w:t>
            </w:r>
            <w:r w:rsidRPr="00767435">
              <w:rPr>
                <w:rFonts w:eastAsia="Batang"/>
                <w:b/>
                <w:spacing w:val="0"/>
                <w:sz w:val="20"/>
                <w:lang w:val="es-ES"/>
              </w:rPr>
              <w:t>.000</w:t>
            </w:r>
          </w:p>
        </w:tc>
      </w:tr>
      <w:tr w:rsidR="00767435" w:rsidRPr="00767435" w:rsidTr="006D7DD7">
        <w:trPr>
          <w:trHeight w:val="359"/>
          <w:jc w:val="center"/>
        </w:trPr>
        <w:tc>
          <w:tcPr>
            <w:tcW w:w="9804" w:type="dxa"/>
            <w:gridSpan w:val="22"/>
            <w:tcBorders>
              <w:top w:val="nil"/>
              <w:left w:val="single" w:sz="4" w:space="0" w:color="auto"/>
              <w:bottom w:val="single" w:sz="4" w:space="0" w:color="auto"/>
              <w:right w:val="single" w:sz="4" w:space="0" w:color="auto"/>
            </w:tcBorders>
            <w:vAlign w:val="center"/>
          </w:tcPr>
          <w:p w:rsidR="005905E6" w:rsidRPr="00767435" w:rsidRDefault="005905E6" w:rsidP="007E36CD">
            <w:pPr>
              <w:jc w:val="right"/>
              <w:rPr>
                <w:rFonts w:eastAsia="Batang"/>
                <w:b/>
                <w:spacing w:val="0"/>
                <w:sz w:val="20"/>
                <w:lang w:val="es-ES"/>
              </w:rPr>
            </w:pPr>
            <w:r w:rsidRPr="00767435">
              <w:rPr>
                <w:rFonts w:eastAsia="Batang"/>
                <w:b/>
                <w:spacing w:val="0"/>
                <w:sz w:val="20"/>
                <w:lang w:val="es-ES"/>
              </w:rPr>
              <w:t>Costo Total BID</w:t>
            </w:r>
          </w:p>
        </w:tc>
        <w:tc>
          <w:tcPr>
            <w:tcW w:w="3439" w:type="dxa"/>
            <w:gridSpan w:val="2"/>
            <w:tcBorders>
              <w:top w:val="nil"/>
              <w:left w:val="nil"/>
              <w:bottom w:val="single" w:sz="4" w:space="0" w:color="auto"/>
              <w:right w:val="single" w:sz="4" w:space="0" w:color="auto"/>
            </w:tcBorders>
            <w:vAlign w:val="center"/>
          </w:tcPr>
          <w:p w:rsidR="005905E6" w:rsidRPr="00767435" w:rsidRDefault="005905E6" w:rsidP="00CC3E56">
            <w:pPr>
              <w:rPr>
                <w:rFonts w:eastAsia="Batang"/>
                <w:b/>
                <w:spacing w:val="0"/>
                <w:sz w:val="20"/>
                <w:lang w:val="es-ES"/>
              </w:rPr>
            </w:pPr>
            <w:r w:rsidRPr="00767435">
              <w:rPr>
                <w:rFonts w:eastAsia="Batang"/>
                <w:b/>
                <w:spacing w:val="0"/>
                <w:sz w:val="20"/>
                <w:lang w:val="es-ES"/>
              </w:rPr>
              <w:t>US$23.000</w:t>
            </w:r>
          </w:p>
        </w:tc>
      </w:tr>
    </w:tbl>
    <w:p w:rsidR="005905E6" w:rsidRPr="00767435" w:rsidRDefault="005905E6" w:rsidP="004B380B">
      <w:pPr>
        <w:pStyle w:val="Heading1"/>
        <w:numPr>
          <w:ilvl w:val="0"/>
          <w:numId w:val="0"/>
        </w:numPr>
        <w:ind w:left="288"/>
        <w:jc w:val="left"/>
        <w:rPr>
          <w:lang w:val="es-ES"/>
        </w:rPr>
      </w:pPr>
    </w:p>
    <w:p w:rsidR="005905E6" w:rsidRPr="00767435" w:rsidRDefault="005905E6" w:rsidP="004B380B">
      <w:pPr>
        <w:pStyle w:val="AutoNumpara"/>
        <w:numPr>
          <w:ilvl w:val="0"/>
          <w:numId w:val="0"/>
        </w:numPr>
        <w:ind w:left="720"/>
        <w:rPr>
          <w:noProof w:val="0"/>
          <w:lang w:val="es-ES"/>
        </w:rPr>
      </w:pPr>
    </w:p>
    <w:p w:rsidR="005905E6" w:rsidRPr="00767435" w:rsidRDefault="005905E6" w:rsidP="00387144">
      <w:pPr>
        <w:pStyle w:val="AutoNumpara"/>
        <w:numPr>
          <w:ilvl w:val="0"/>
          <w:numId w:val="0"/>
        </w:numPr>
        <w:ind w:left="720"/>
        <w:rPr>
          <w:noProof w:val="0"/>
          <w:lang w:val="es-ES"/>
        </w:rPr>
      </w:pPr>
    </w:p>
    <w:p w:rsidR="005905E6" w:rsidRPr="00767435" w:rsidRDefault="005905E6" w:rsidP="009F2BCD">
      <w:pPr>
        <w:pStyle w:val="heading-b24"/>
        <w:spacing w:after="0"/>
        <w:rPr>
          <w:szCs w:val="24"/>
          <w:lang w:val="es-ES"/>
        </w:rPr>
      </w:pPr>
      <w:r w:rsidRPr="00767435">
        <w:rPr>
          <w:szCs w:val="24"/>
          <w:lang w:val="es-ES"/>
        </w:rPr>
        <w:t xml:space="preserve">               </w:t>
      </w:r>
    </w:p>
    <w:sectPr w:rsidR="005905E6" w:rsidRPr="00767435" w:rsidSect="00517CE4">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6F" w:rsidRDefault="0079426F" w:rsidP="001B5186">
      <w:r>
        <w:separator/>
      </w:r>
    </w:p>
  </w:endnote>
  <w:endnote w:type="continuationSeparator" w:id="0">
    <w:p w:rsidR="0079426F" w:rsidRDefault="0079426F" w:rsidP="001B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6F" w:rsidRDefault="0079426F" w:rsidP="001B5186">
      <w:r>
        <w:separator/>
      </w:r>
    </w:p>
  </w:footnote>
  <w:footnote w:type="continuationSeparator" w:id="0">
    <w:p w:rsidR="0079426F" w:rsidRDefault="0079426F" w:rsidP="001B5186">
      <w:r>
        <w:continuationSeparator/>
      </w:r>
    </w:p>
  </w:footnote>
  <w:footnote w:id="1">
    <w:p w:rsidR="00932FD7" w:rsidRDefault="00932FD7">
      <w:pPr>
        <w:pStyle w:val="FootnoteText"/>
      </w:pPr>
      <w:r>
        <w:rPr>
          <w:rStyle w:val="FootnoteReference"/>
        </w:rPr>
        <w:footnoteRef/>
      </w:r>
      <w:r>
        <w:t xml:space="preserve"> </w:t>
      </w:r>
      <w:r w:rsidRPr="00030E36">
        <w:rPr>
          <w:sz w:val="16"/>
          <w:szCs w:val="16"/>
        </w:rPr>
        <w:t xml:space="preserve">Mediciones Trimestrales </w:t>
      </w:r>
      <w:r>
        <w:rPr>
          <w:sz w:val="16"/>
          <w:szCs w:val="16"/>
        </w:rPr>
        <w:t>son las contenidas en los</w:t>
      </w:r>
      <w:r w:rsidRPr="00030E36">
        <w:rPr>
          <w:sz w:val="16"/>
          <w:szCs w:val="16"/>
        </w:rPr>
        <w:t xml:space="preserve"> informes de avance de supervisión de obras.</w:t>
      </w:r>
    </w:p>
  </w:footnote>
  <w:footnote w:id="2">
    <w:p w:rsidR="00932FD7" w:rsidRDefault="00932FD7">
      <w:pPr>
        <w:pStyle w:val="FootnoteText"/>
      </w:pPr>
      <w:r>
        <w:rPr>
          <w:rStyle w:val="FootnoteReference"/>
        </w:rPr>
        <w:footnoteRef/>
      </w:r>
      <w:r>
        <w:t xml:space="preserve"> E</w:t>
      </w:r>
      <w:r w:rsidRPr="00E15F92">
        <w:t>l informe semestral de progreso deberá incluir información relativa a la contabilidad del  proyecto</w:t>
      </w:r>
      <w:r>
        <w:t>.</w:t>
      </w:r>
    </w:p>
  </w:footnote>
  <w:footnote w:id="3">
    <w:p w:rsidR="00932FD7" w:rsidRDefault="00932FD7" w:rsidP="00A608E1">
      <w:pPr>
        <w:pStyle w:val="FootnoteText"/>
      </w:pPr>
      <w:r w:rsidRPr="006A0E8E">
        <w:rPr>
          <w:rStyle w:val="FootnoteReference"/>
          <w:sz w:val="16"/>
          <w:szCs w:val="16"/>
        </w:rPr>
        <w:footnoteRef/>
      </w:r>
      <w:r w:rsidRPr="00994775">
        <w:rPr>
          <w:sz w:val="16"/>
          <w:szCs w:val="16"/>
        </w:rPr>
        <w:t xml:space="preserve"> </w:t>
      </w:r>
      <w:r w:rsidRPr="00994775">
        <w:rPr>
          <w:sz w:val="16"/>
          <w:szCs w:val="16"/>
          <w:lang w:val="es-MX"/>
        </w:rPr>
        <w:t>Este estudio fue realizado en junio de 2013 por la Consultora AC&amp;A</w:t>
      </w:r>
    </w:p>
  </w:footnote>
  <w:footnote w:id="4">
    <w:p w:rsidR="00932FD7" w:rsidRDefault="00932FD7" w:rsidP="00A608E1">
      <w:pPr>
        <w:pStyle w:val="FootnoteText"/>
      </w:pPr>
      <w:r w:rsidRPr="006A0E8E">
        <w:rPr>
          <w:rStyle w:val="FootnoteReference"/>
          <w:sz w:val="16"/>
        </w:rPr>
        <w:footnoteRef/>
      </w:r>
      <w:r w:rsidRPr="00590D51">
        <w:rPr>
          <w:rStyle w:val="FootnoteReference"/>
          <w:sz w:val="16"/>
          <w:lang w:eastAsia="ja-JP"/>
        </w:rPr>
        <w:t xml:space="preserve"> </w:t>
      </w:r>
      <w:r w:rsidRPr="00232522">
        <w:rPr>
          <w:sz w:val="16"/>
          <w:szCs w:val="16"/>
          <w:lang w:val="es-MX" w:eastAsia="ja-JP"/>
        </w:rPr>
        <w:t>Los datos de pasajeros transportados correspondientes a los meses de septiembre, octubre, noviembre y diciembre de 2012 por el ramal Constitución-La Plata fueron estimados utilizando el promedio de pasajeros de los meses anteriores.</w:t>
      </w:r>
    </w:p>
  </w:footnote>
  <w:footnote w:id="5">
    <w:p w:rsidR="00932FD7" w:rsidRDefault="00932FD7" w:rsidP="00A608E1">
      <w:pPr>
        <w:pStyle w:val="FootnoteText"/>
      </w:pPr>
      <w:r w:rsidRPr="006A0E8E">
        <w:rPr>
          <w:rStyle w:val="FootnoteReference"/>
          <w:sz w:val="16"/>
          <w:szCs w:val="16"/>
        </w:rPr>
        <w:footnoteRef/>
      </w:r>
      <w:r w:rsidRPr="00232522">
        <w:rPr>
          <w:sz w:val="16"/>
          <w:szCs w:val="16"/>
          <w:lang w:eastAsia="ja-JP"/>
        </w:rPr>
        <w:t xml:space="preserve"> </w:t>
      </w:r>
      <w:r w:rsidRPr="00232522">
        <w:rPr>
          <w:sz w:val="16"/>
          <w:szCs w:val="16"/>
          <w:lang w:val="es-MX" w:eastAsia="ja-JP"/>
        </w:rPr>
        <w:t>Este estudio fue realizado en junio de 2013 por la Consultora AC&amp;A</w:t>
      </w:r>
    </w:p>
  </w:footnote>
  <w:footnote w:id="6">
    <w:p w:rsidR="00932FD7" w:rsidRDefault="00932FD7" w:rsidP="00A608E1">
      <w:pPr>
        <w:pStyle w:val="FootnoteText"/>
      </w:pPr>
      <w:r w:rsidRPr="002A39C2">
        <w:rPr>
          <w:rStyle w:val="FootnoteReference"/>
          <w:sz w:val="16"/>
          <w:szCs w:val="16"/>
        </w:rPr>
        <w:footnoteRef/>
      </w:r>
      <w:r w:rsidRPr="002A39C2">
        <w:rPr>
          <w:sz w:val="16"/>
          <w:szCs w:val="16"/>
        </w:rPr>
        <w:t xml:space="preserve"> </w:t>
      </w:r>
      <w:r w:rsidRPr="002A39C2">
        <w:rPr>
          <w:sz w:val="16"/>
          <w:szCs w:val="16"/>
          <w:lang w:val="es-MX"/>
        </w:rPr>
        <w:t>Este estudio fue realizado en junio de 2013 por la Consultora AC&amp;A</w:t>
      </w:r>
    </w:p>
  </w:footnote>
  <w:footnote w:id="7">
    <w:p w:rsidR="00932FD7" w:rsidRDefault="00932FD7" w:rsidP="00A608E1">
      <w:pPr>
        <w:pStyle w:val="FootnoteText"/>
      </w:pPr>
      <w:r w:rsidRPr="006A0E8E">
        <w:rPr>
          <w:rStyle w:val="FootnoteReference"/>
          <w:sz w:val="16"/>
          <w:szCs w:val="16"/>
        </w:rPr>
        <w:footnoteRef/>
      </w:r>
      <w:r w:rsidRPr="00994775">
        <w:rPr>
          <w:sz w:val="16"/>
          <w:szCs w:val="16"/>
        </w:rPr>
        <w:t xml:space="preserve"> </w:t>
      </w:r>
      <w:r w:rsidRPr="00994775">
        <w:rPr>
          <w:sz w:val="16"/>
          <w:szCs w:val="16"/>
          <w:lang w:val="es-MX"/>
        </w:rPr>
        <w:t>Este estudio fue realizado en junio de 2013 por la Consultora AC&amp;A</w:t>
      </w:r>
    </w:p>
  </w:footnote>
  <w:footnote w:id="8">
    <w:p w:rsidR="00932FD7" w:rsidRDefault="00932FD7" w:rsidP="00A608E1">
      <w:pPr>
        <w:pStyle w:val="FootnoteText"/>
      </w:pPr>
      <w:r w:rsidRPr="00590D51">
        <w:rPr>
          <w:sz w:val="16"/>
          <w:szCs w:val="16"/>
          <w:lang w:val="es-MX" w:eastAsia="ja-JP"/>
        </w:rPr>
        <w:footnoteRef/>
      </w:r>
      <w:r w:rsidRPr="00590D51">
        <w:rPr>
          <w:sz w:val="16"/>
          <w:szCs w:val="16"/>
          <w:lang w:val="es-MX" w:eastAsia="ja-JP"/>
        </w:rPr>
        <w:t xml:space="preserve"> Datos Unidad de Gestión Operativa Ferroviaria de Emergencia (UGOFE)</w:t>
      </w:r>
    </w:p>
  </w:footnote>
  <w:footnote w:id="9">
    <w:p w:rsidR="00932FD7" w:rsidRDefault="00932FD7" w:rsidP="00A608E1">
      <w:pPr>
        <w:pStyle w:val="FootnoteText"/>
      </w:pPr>
      <w:r w:rsidRPr="002A39C2">
        <w:rPr>
          <w:rStyle w:val="FootnoteReference"/>
          <w:sz w:val="16"/>
          <w:szCs w:val="16"/>
        </w:rPr>
        <w:footnoteRef/>
      </w:r>
      <w:r w:rsidRPr="002A39C2">
        <w:rPr>
          <w:sz w:val="16"/>
          <w:szCs w:val="16"/>
        </w:rPr>
        <w:t xml:space="preserve"> </w:t>
      </w:r>
      <w:r w:rsidRPr="002A39C2">
        <w:rPr>
          <w:sz w:val="16"/>
          <w:szCs w:val="16"/>
          <w:lang w:val="es-MX"/>
        </w:rPr>
        <w:t>Este estudio fue realizado en junio de 2013 por la Consultora AC&amp;A</w:t>
      </w:r>
    </w:p>
  </w:footnote>
  <w:footnote w:id="10">
    <w:p w:rsidR="00932FD7" w:rsidRDefault="00932FD7" w:rsidP="00A608E1">
      <w:pPr>
        <w:pStyle w:val="FootnoteText"/>
      </w:pPr>
      <w:r w:rsidRPr="002A39C2">
        <w:rPr>
          <w:rStyle w:val="FootnoteReference"/>
          <w:sz w:val="16"/>
          <w:szCs w:val="16"/>
        </w:rPr>
        <w:footnoteRef/>
      </w:r>
      <w:r w:rsidRPr="002A39C2">
        <w:rPr>
          <w:sz w:val="16"/>
          <w:szCs w:val="16"/>
        </w:rPr>
        <w:t xml:space="preserve"> </w:t>
      </w:r>
      <w:r w:rsidRPr="002A39C2">
        <w:rPr>
          <w:sz w:val="16"/>
          <w:szCs w:val="16"/>
          <w:lang w:val="es-MX"/>
        </w:rPr>
        <w:t>Este estudio fue realizado en junio de 2013 por la Consultora AC&amp;A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D7" w:rsidRDefault="00932FD7">
    <w:pPr>
      <w:pStyle w:val="Header"/>
    </w:pPr>
  </w:p>
  <w:p w:rsidR="00932FD7" w:rsidRDefault="00932FD7">
    <w:pPr>
      <w:pStyle w:val="Header"/>
    </w:pPr>
  </w:p>
  <w:p w:rsidR="00932FD7" w:rsidRDefault="00932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FA6"/>
    <w:multiLevelType w:val="hybridMultilevel"/>
    <w:tmpl w:val="7A3E4192"/>
    <w:lvl w:ilvl="0" w:tplc="A832295E">
      <w:start w:val="1"/>
      <w:numFmt w:val="upperLetter"/>
      <w:lvlText w:val="%1."/>
      <w:lvlJc w:val="left"/>
      <w:pPr>
        <w:ind w:left="360" w:hanging="360"/>
      </w:pPr>
      <w:rPr>
        <w:rFonts w:cs="Times New Roman" w:hint="default"/>
        <w:b/>
        <w:i/>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AB7FC9"/>
    <w:multiLevelType w:val="multilevel"/>
    <w:tmpl w:val="E376E498"/>
    <w:lvl w:ilvl="0">
      <w:start w:val="1"/>
      <w:numFmt w:val="upperRoman"/>
      <w:lvlRestart w:val="0"/>
      <w:lvlText w:val="%1."/>
      <w:lvlJc w:val="center"/>
      <w:pPr>
        <w:tabs>
          <w:tab w:val="num" w:pos="1800"/>
        </w:tabs>
        <w:ind w:left="1152" w:firstLine="288"/>
      </w:pPr>
      <w:rPr>
        <w:rFonts w:cs="Times New Roman"/>
        <w:b/>
        <w:i w:val="0"/>
      </w:rPr>
    </w:lvl>
    <w:lvl w:ilvl="1">
      <w:start w:val="1"/>
      <w:numFmt w:val="decimal"/>
      <w:isLgl/>
      <w:lvlText w:val="%1.%2"/>
      <w:lvlJc w:val="left"/>
      <w:pPr>
        <w:tabs>
          <w:tab w:val="num" w:pos="2448"/>
        </w:tabs>
        <w:ind w:left="2448" w:hanging="1296"/>
      </w:pPr>
      <w:rPr>
        <w:rFonts w:cs="Times New Roman"/>
        <w:b w:val="0"/>
        <w:i w:val="0"/>
        <w:sz w:val="24"/>
        <w:szCs w:val="24"/>
      </w:rPr>
    </w:lvl>
    <w:lvl w:ilvl="2">
      <w:start w:val="1"/>
      <w:numFmt w:val="lowerLetter"/>
      <w:lvlText w:val="%3."/>
      <w:lvlJc w:val="left"/>
      <w:pPr>
        <w:tabs>
          <w:tab w:val="num" w:pos="2304"/>
        </w:tabs>
        <w:ind w:left="2304" w:hanging="432"/>
      </w:pPr>
      <w:rPr>
        <w:rFonts w:cs="Times New Roman"/>
      </w:rPr>
    </w:lvl>
    <w:lvl w:ilvl="3">
      <w:start w:val="1"/>
      <w:numFmt w:val="lowerRoman"/>
      <w:lvlText w:val="%4."/>
      <w:lvlJc w:val="right"/>
      <w:pPr>
        <w:tabs>
          <w:tab w:val="num" w:pos="2736"/>
        </w:tabs>
        <w:ind w:left="2736" w:hanging="288"/>
      </w:pPr>
      <w:rPr>
        <w:rFonts w:cs="Times New Roman"/>
      </w:rPr>
    </w:lvl>
    <w:lvl w:ilvl="4">
      <w:start w:val="1"/>
      <w:numFmt w:val="none"/>
      <w:lvlText w:val=""/>
      <w:lvlJc w:val="left"/>
      <w:pPr>
        <w:tabs>
          <w:tab w:val="num" w:pos="4392"/>
        </w:tabs>
        <w:ind w:left="4032"/>
      </w:pPr>
      <w:rPr>
        <w:rFonts w:cs="Times New Roman"/>
      </w:rPr>
    </w:lvl>
    <w:lvl w:ilvl="5">
      <w:start w:val="1"/>
      <w:numFmt w:val="none"/>
      <w:lvlText w:val=""/>
      <w:lvlJc w:val="left"/>
      <w:pPr>
        <w:tabs>
          <w:tab w:val="num" w:pos="5112"/>
        </w:tabs>
        <w:ind w:left="4752"/>
      </w:pPr>
      <w:rPr>
        <w:rFonts w:cs="Times New Roman"/>
      </w:rPr>
    </w:lvl>
    <w:lvl w:ilvl="6">
      <w:start w:val="1"/>
      <w:numFmt w:val="none"/>
      <w:lvlText w:val=""/>
      <w:lvlJc w:val="left"/>
      <w:pPr>
        <w:tabs>
          <w:tab w:val="num" w:pos="5832"/>
        </w:tabs>
        <w:ind w:left="5472"/>
      </w:pPr>
      <w:rPr>
        <w:rFonts w:cs="Times New Roman"/>
      </w:rPr>
    </w:lvl>
    <w:lvl w:ilvl="7">
      <w:start w:val="1"/>
      <w:numFmt w:val="none"/>
      <w:lvlText w:val=""/>
      <w:lvlJc w:val="left"/>
      <w:pPr>
        <w:tabs>
          <w:tab w:val="num" w:pos="6552"/>
        </w:tabs>
        <w:ind w:left="6192"/>
      </w:pPr>
      <w:rPr>
        <w:rFonts w:cs="Times New Roman"/>
      </w:rPr>
    </w:lvl>
    <w:lvl w:ilvl="8">
      <w:start w:val="1"/>
      <w:numFmt w:val="none"/>
      <w:lvlText w:val=""/>
      <w:lvlJc w:val="left"/>
      <w:pPr>
        <w:tabs>
          <w:tab w:val="num" w:pos="7272"/>
        </w:tabs>
        <w:ind w:left="6912"/>
      </w:pPr>
      <w:rPr>
        <w:rFonts w:cs="Times New Roman"/>
      </w:rPr>
    </w:lvl>
  </w:abstractNum>
  <w:abstractNum w:abstractNumId="2">
    <w:nsid w:val="0E533412"/>
    <w:multiLevelType w:val="hybridMultilevel"/>
    <w:tmpl w:val="B00A0B7E"/>
    <w:lvl w:ilvl="0" w:tplc="51988D74">
      <w:start w:val="1"/>
      <w:numFmt w:val="lowerLetter"/>
      <w:lvlText w:val="%1)"/>
      <w:lvlJc w:val="left"/>
      <w:pPr>
        <w:ind w:left="108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5E10858"/>
    <w:multiLevelType w:val="hybridMultilevel"/>
    <w:tmpl w:val="E732F846"/>
    <w:lvl w:ilvl="0" w:tplc="51988D7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cs="Times New Roman" w:hint="default"/>
        <w:b w:val="0"/>
        <w:i w:val="0"/>
        <w:sz w:val="24"/>
      </w:rPr>
    </w:lvl>
  </w:abstractNum>
  <w:abstractNum w:abstractNumId="5">
    <w:nsid w:val="18C562BA"/>
    <w:multiLevelType w:val="hybridMultilevel"/>
    <w:tmpl w:val="7AFA4D6C"/>
    <w:lvl w:ilvl="0" w:tplc="1F74F1AE">
      <w:start w:val="1"/>
      <w:numFmt w:val="lowerRoman"/>
      <w:lvlText w:val="%1)"/>
      <w:lvlJc w:val="left"/>
      <w:pPr>
        <w:ind w:left="720" w:hanging="360"/>
      </w:pPr>
      <w:rPr>
        <w:rFonts w:cs="Times New Roman" w:hint="default"/>
        <w:b w:val="0"/>
        <w:color w:val="00000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7157B1B"/>
    <w:multiLevelType w:val="multilevel"/>
    <w:tmpl w:val="E732F846"/>
    <w:lvl w:ilvl="0">
      <w:start w:val="1"/>
      <w:numFmt w:val="lowerLetter"/>
      <w:lvlText w:val="%1)"/>
      <w:lvlJc w:val="left"/>
      <w:pPr>
        <w:ind w:left="1080" w:hanging="360"/>
      </w:pPr>
      <w:rPr>
        <w:rFonts w:cs="Times New Roman" w:hint="default"/>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28CF5549"/>
    <w:multiLevelType w:val="hybridMultilevel"/>
    <w:tmpl w:val="441A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F107A"/>
    <w:multiLevelType w:val="hybridMultilevel"/>
    <w:tmpl w:val="8988B296"/>
    <w:lvl w:ilvl="0" w:tplc="1F74F1AE">
      <w:start w:val="1"/>
      <w:numFmt w:val="lowerRoman"/>
      <w:lvlText w:val="%1)"/>
      <w:lvlJc w:val="left"/>
      <w:pPr>
        <w:ind w:left="720" w:hanging="360"/>
      </w:pPr>
      <w:rPr>
        <w:rFonts w:cs="Times New Roman" w:hint="default"/>
        <w:b w:val="0"/>
        <w:color w:val="00000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C4339DE"/>
    <w:multiLevelType w:val="singleLevel"/>
    <w:tmpl w:val="70722908"/>
    <w:lvl w:ilvl="0">
      <w:start w:val="1"/>
      <w:numFmt w:val="decimal"/>
      <w:pStyle w:val="Heading3"/>
      <w:lvlText w:val="%1."/>
      <w:lvlJc w:val="left"/>
      <w:pPr>
        <w:tabs>
          <w:tab w:val="num" w:pos="1080"/>
        </w:tabs>
        <w:ind w:left="1080" w:hanging="360"/>
      </w:pPr>
      <w:rPr>
        <w:rFonts w:ascii="Times New Roman Bold" w:hAnsi="Times New Roman Bold" w:cs="Times New Roman" w:hint="default"/>
        <w:b/>
        <w:i w:val="0"/>
        <w:sz w:val="24"/>
      </w:rPr>
    </w:lvl>
  </w:abstractNum>
  <w:abstractNum w:abstractNumId="10">
    <w:nsid w:val="34AF4870"/>
    <w:multiLevelType w:val="hybridMultilevel"/>
    <w:tmpl w:val="281415E2"/>
    <w:lvl w:ilvl="0" w:tplc="C5F82D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B03860"/>
    <w:multiLevelType w:val="hybridMultilevel"/>
    <w:tmpl w:val="D39CA508"/>
    <w:lvl w:ilvl="0" w:tplc="1F74F1AE">
      <w:start w:val="1"/>
      <w:numFmt w:val="lowerRoman"/>
      <w:lvlText w:val="%1)"/>
      <w:lvlJc w:val="left"/>
      <w:pPr>
        <w:ind w:left="720" w:hanging="360"/>
      </w:pPr>
      <w:rPr>
        <w:rFonts w:cs="Times New Roman" w:hint="default"/>
        <w:b w:val="0"/>
        <w:color w:val="00000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13">
    <w:nsid w:val="38513C43"/>
    <w:multiLevelType w:val="multilevel"/>
    <w:tmpl w:val="E1703C26"/>
    <w:styleLink w:val="Style1"/>
    <w:lvl w:ilvl="0">
      <w:start w:val="1"/>
      <w:numFmt w:val="upperRoman"/>
      <w:lvlText w:val="%1."/>
      <w:lvlJc w:val="left"/>
      <w:pPr>
        <w:tabs>
          <w:tab w:val="num" w:pos="2700"/>
        </w:tabs>
        <w:ind w:left="2700" w:hanging="72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Restart w:val="0"/>
      <w:isLgl/>
      <w:lvlText w:val="%1.%3"/>
      <w:lvlJc w:val="left"/>
      <w:pPr>
        <w:tabs>
          <w:tab w:val="num" w:pos="3780"/>
        </w:tabs>
        <w:ind w:left="3780" w:hanging="180"/>
      </w:pPr>
      <w:rPr>
        <w:rFonts w:cs="Times New Roman" w:hint="default"/>
      </w:rPr>
    </w:lvl>
    <w:lvl w:ilvl="3">
      <w:start w:val="1"/>
      <w:numFmt w:val="decimal"/>
      <w:lvlText w:val="%4."/>
      <w:lvlJc w:val="left"/>
      <w:pPr>
        <w:tabs>
          <w:tab w:val="num" w:pos="4500"/>
        </w:tabs>
        <w:ind w:left="4500" w:hanging="360"/>
      </w:pPr>
      <w:rPr>
        <w:rFonts w:cs="Times New Roman" w:hint="default"/>
      </w:rPr>
    </w:lvl>
    <w:lvl w:ilvl="4">
      <w:start w:val="1"/>
      <w:numFmt w:val="lowerLetter"/>
      <w:lvlText w:val="%5."/>
      <w:lvlJc w:val="left"/>
      <w:pPr>
        <w:tabs>
          <w:tab w:val="num" w:pos="5220"/>
        </w:tabs>
        <w:ind w:left="5220" w:hanging="360"/>
      </w:pPr>
      <w:rPr>
        <w:rFonts w:cs="Times New Roman" w:hint="default"/>
      </w:rPr>
    </w:lvl>
    <w:lvl w:ilvl="5">
      <w:start w:val="1"/>
      <w:numFmt w:val="lowerRoman"/>
      <w:lvlText w:val="%6."/>
      <w:lvlJc w:val="right"/>
      <w:pPr>
        <w:tabs>
          <w:tab w:val="num" w:pos="5940"/>
        </w:tabs>
        <w:ind w:left="5940" w:hanging="180"/>
      </w:pPr>
      <w:rPr>
        <w:rFonts w:cs="Times New Roman" w:hint="default"/>
      </w:rPr>
    </w:lvl>
    <w:lvl w:ilvl="6">
      <w:start w:val="1"/>
      <w:numFmt w:val="decimal"/>
      <w:lvlText w:val="%7."/>
      <w:lvlJc w:val="left"/>
      <w:pPr>
        <w:tabs>
          <w:tab w:val="num" w:pos="6660"/>
        </w:tabs>
        <w:ind w:left="6660" w:hanging="360"/>
      </w:pPr>
      <w:rPr>
        <w:rFonts w:cs="Times New Roman" w:hint="default"/>
      </w:rPr>
    </w:lvl>
    <w:lvl w:ilvl="7">
      <w:start w:val="1"/>
      <w:numFmt w:val="lowerLetter"/>
      <w:lvlText w:val="%8."/>
      <w:lvlJc w:val="left"/>
      <w:pPr>
        <w:tabs>
          <w:tab w:val="num" w:pos="7380"/>
        </w:tabs>
        <w:ind w:left="7380" w:hanging="360"/>
      </w:pPr>
      <w:rPr>
        <w:rFonts w:cs="Times New Roman" w:hint="default"/>
      </w:rPr>
    </w:lvl>
    <w:lvl w:ilvl="8">
      <w:start w:val="1"/>
      <w:numFmt w:val="lowerRoman"/>
      <w:lvlText w:val="%9."/>
      <w:lvlJc w:val="right"/>
      <w:pPr>
        <w:tabs>
          <w:tab w:val="num" w:pos="8100"/>
        </w:tabs>
        <w:ind w:left="8100" w:hanging="180"/>
      </w:pPr>
      <w:rPr>
        <w:rFonts w:cs="Times New Roman" w:hint="default"/>
      </w:rPr>
    </w:lvl>
  </w:abstractNum>
  <w:abstractNum w:abstractNumId="14">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cs="Times New Roman" w:hint="default"/>
        <w:b w:val="0"/>
        <w:i w:val="0"/>
        <w:sz w:val="24"/>
      </w:rPr>
    </w:lvl>
  </w:abstractNum>
  <w:abstractNum w:abstractNumId="15">
    <w:nsid w:val="3BB54887"/>
    <w:multiLevelType w:val="hybridMultilevel"/>
    <w:tmpl w:val="57B298B4"/>
    <w:lvl w:ilvl="0" w:tplc="1F74F1AE">
      <w:start w:val="1"/>
      <w:numFmt w:val="lowerRoman"/>
      <w:lvlText w:val="%1)"/>
      <w:lvlJc w:val="left"/>
      <w:pPr>
        <w:ind w:left="720" w:hanging="360"/>
      </w:pPr>
      <w:rPr>
        <w:rFonts w:cs="Times New Roman" w:hint="default"/>
        <w:b w:val="0"/>
        <w:color w:val="00000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C6E07F4"/>
    <w:multiLevelType w:val="singleLevel"/>
    <w:tmpl w:val="CC42BB9A"/>
    <w:lvl w:ilvl="0">
      <w:start w:val="1"/>
      <w:numFmt w:val="upperLetter"/>
      <w:lvlRestart w:val="0"/>
      <w:pStyle w:val="Heading2"/>
      <w:lvlText w:val="%1."/>
      <w:lvlJc w:val="left"/>
      <w:pPr>
        <w:tabs>
          <w:tab w:val="num" w:pos="720"/>
        </w:tabs>
        <w:ind w:left="720" w:hanging="720"/>
      </w:pPr>
      <w:rPr>
        <w:rFonts w:ascii="Times New Roman Bold" w:hAnsi="Times New Roman Bold" w:cs="Times New Roman" w:hint="default"/>
        <w:b/>
        <w:i w:val="0"/>
        <w:sz w:val="24"/>
      </w:rPr>
    </w:lvl>
  </w:abstractNum>
  <w:abstractNum w:abstractNumId="17">
    <w:nsid w:val="3E575287"/>
    <w:multiLevelType w:val="hybridMultilevel"/>
    <w:tmpl w:val="649E788C"/>
    <w:lvl w:ilvl="0" w:tplc="0E7876AE">
      <w:start w:val="2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82A27"/>
    <w:multiLevelType w:val="hybridMultilevel"/>
    <w:tmpl w:val="E732F846"/>
    <w:lvl w:ilvl="0" w:tplc="51988D7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9BB4669"/>
    <w:multiLevelType w:val="hybridMultilevel"/>
    <w:tmpl w:val="9F94673E"/>
    <w:lvl w:ilvl="0" w:tplc="A13CFB0C">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0">
    <w:nsid w:val="606D02A0"/>
    <w:multiLevelType w:val="hybridMultilevel"/>
    <w:tmpl w:val="A0DA6E6C"/>
    <w:lvl w:ilvl="0" w:tplc="1F74F1AE">
      <w:start w:val="1"/>
      <w:numFmt w:val="lowerRoman"/>
      <w:lvlText w:val="%1)"/>
      <w:lvlJc w:val="left"/>
      <w:pPr>
        <w:ind w:left="720" w:hanging="360"/>
      </w:pPr>
      <w:rPr>
        <w:rFonts w:cs="Times New Roman" w:hint="default"/>
        <w:b w:val="0"/>
        <w:color w:val="00000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609923C8"/>
    <w:multiLevelType w:val="multilevel"/>
    <w:tmpl w:val="86029974"/>
    <w:lvl w:ilvl="0">
      <w:start w:val="1"/>
      <w:numFmt w:val="upperRoman"/>
      <w:pStyle w:val="Heading1"/>
      <w:lvlText w:val="%1."/>
      <w:lvlJc w:val="left"/>
      <w:pPr>
        <w:tabs>
          <w:tab w:val="num" w:pos="360"/>
        </w:tabs>
        <w:ind w:left="288" w:hanging="288"/>
      </w:pPr>
      <w:rPr>
        <w:rFonts w:ascii="Times New Roman Bold" w:hAnsi="Times New Roman Bold" w:cs="Times New Roman" w:hint="default"/>
        <w:b/>
        <w:i w:val="0"/>
        <w:sz w:val="24"/>
      </w:rPr>
    </w:lvl>
    <w:lvl w:ilvl="1">
      <w:start w:val="1"/>
      <w:numFmt w:val="decimal"/>
      <w:pStyle w:val="AutoNumpara"/>
      <w:isLgl/>
      <w:lvlText w:val="%1.%2"/>
      <w:lvlJc w:val="left"/>
      <w:pPr>
        <w:tabs>
          <w:tab w:val="num" w:pos="720"/>
        </w:tabs>
        <w:ind w:left="720" w:hanging="720"/>
      </w:pPr>
      <w:rPr>
        <w:rFonts w:cs="Times New Roman" w:hint="default"/>
        <w:b w:val="0"/>
      </w:rPr>
    </w:lvl>
    <w:lvl w:ilvl="2">
      <w:start w:val="1"/>
      <w:numFmt w:val="lowerLetter"/>
      <w:lvlRestart w:val="0"/>
      <w:pStyle w:val="Heading4"/>
      <w:lvlText w:val="%3."/>
      <w:lvlJc w:val="left"/>
      <w:pPr>
        <w:tabs>
          <w:tab w:val="num" w:pos="1800"/>
        </w:tabs>
        <w:ind w:left="1800" w:hanging="360"/>
      </w:pPr>
      <w:rPr>
        <w:rFonts w:ascii="Times New Roman Bold" w:hAnsi="Times New Roman Bold" w:cs="Times New Roman"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cs="Times New Roman" w:hint="default"/>
        <w:b/>
        <w:i w:val="0"/>
        <w:sz w:val="24"/>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22">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cs="Times New Roman" w:hint="default"/>
        <w:b w:val="0"/>
        <w:i w:val="0"/>
        <w:sz w:val="24"/>
      </w:rPr>
    </w:lvl>
  </w:abstractNum>
  <w:abstractNum w:abstractNumId="23">
    <w:nsid w:val="6B992D03"/>
    <w:multiLevelType w:val="multilevel"/>
    <w:tmpl w:val="D68C7A60"/>
    <w:lvl w:ilvl="0">
      <w:start w:val="1"/>
      <w:numFmt w:val="decimal"/>
      <w:pStyle w:val="Chapter"/>
      <w:lvlText w:val="%1"/>
      <w:lvlJc w:val="left"/>
      <w:pPr>
        <w:ind w:left="1152" w:hanging="432"/>
      </w:pPr>
      <w:rPr>
        <w:rFonts w:cs="Times New Roman"/>
      </w:rPr>
    </w:lvl>
    <w:lvl w:ilvl="1">
      <w:start w:val="1"/>
      <w:numFmt w:val="decimal"/>
      <w:lvlText w:val="%1.%2"/>
      <w:lvlJc w:val="left"/>
      <w:pPr>
        <w:ind w:left="1296" w:hanging="576"/>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584" w:hanging="864"/>
      </w:pPr>
      <w:rPr>
        <w:rFonts w:cs="Times New Roman"/>
      </w:rPr>
    </w:lvl>
    <w:lvl w:ilvl="4">
      <w:start w:val="1"/>
      <w:numFmt w:val="decimal"/>
      <w:lvlText w:val="%1.%2.%3.%4.%5"/>
      <w:lvlJc w:val="left"/>
      <w:pPr>
        <w:ind w:left="1728" w:hanging="1008"/>
      </w:pPr>
      <w:rPr>
        <w:rFonts w:cs="Times New Roman"/>
      </w:rPr>
    </w:lvl>
    <w:lvl w:ilvl="5">
      <w:start w:val="1"/>
      <w:numFmt w:val="decimal"/>
      <w:lvlText w:val="%1.%2.%3.%4.%5.%6"/>
      <w:lvlJc w:val="left"/>
      <w:pPr>
        <w:ind w:left="1872" w:hanging="1152"/>
      </w:pPr>
      <w:rPr>
        <w:rFonts w:cs="Times New Roman"/>
      </w:rPr>
    </w:lvl>
    <w:lvl w:ilvl="6">
      <w:start w:val="1"/>
      <w:numFmt w:val="decimal"/>
      <w:pStyle w:val="Heading7"/>
      <w:lvlText w:val="%1.%2.%3.%4.%5.%6.%7"/>
      <w:lvlJc w:val="left"/>
      <w:pPr>
        <w:ind w:left="2016" w:hanging="1296"/>
      </w:pPr>
      <w:rPr>
        <w:rFonts w:cs="Times New Roman"/>
      </w:rPr>
    </w:lvl>
    <w:lvl w:ilvl="7">
      <w:start w:val="1"/>
      <w:numFmt w:val="decimal"/>
      <w:pStyle w:val="Heading8"/>
      <w:lvlText w:val="%1.%2.%3.%4.%5.%6.%7.%8"/>
      <w:lvlJc w:val="left"/>
      <w:pPr>
        <w:ind w:left="2160" w:hanging="1440"/>
      </w:pPr>
      <w:rPr>
        <w:rFonts w:cs="Times New Roman"/>
      </w:rPr>
    </w:lvl>
    <w:lvl w:ilvl="8">
      <w:start w:val="1"/>
      <w:numFmt w:val="decimal"/>
      <w:pStyle w:val="Heading9"/>
      <w:lvlText w:val="%1.%2.%3.%4.%5.%6.%7.%8.%9"/>
      <w:lvlJc w:val="left"/>
      <w:pPr>
        <w:ind w:left="2304" w:hanging="1584"/>
      </w:pPr>
      <w:rPr>
        <w:rFonts w:cs="Times New Roman"/>
      </w:rPr>
    </w:lvl>
  </w:abstractNum>
  <w:abstractNum w:abstractNumId="24">
    <w:nsid w:val="773631C7"/>
    <w:multiLevelType w:val="hybridMultilevel"/>
    <w:tmpl w:val="CE867B14"/>
    <w:lvl w:ilvl="0" w:tplc="1F74F1AE">
      <w:start w:val="1"/>
      <w:numFmt w:val="lowerRoman"/>
      <w:lvlText w:val="%1)"/>
      <w:lvlJc w:val="left"/>
      <w:pPr>
        <w:ind w:left="720" w:hanging="360"/>
      </w:pPr>
      <w:rPr>
        <w:rFonts w:cs="Times New Roman" w:hint="default"/>
        <w:b w:val="0"/>
        <w:color w:val="000000"/>
        <w:sz w:val="22"/>
      </w:rPr>
    </w:lvl>
    <w:lvl w:ilvl="1" w:tplc="544C7B50">
      <w:start w:val="1"/>
      <w:numFmt w:val="decimal"/>
      <w:lvlText w:val="%2."/>
      <w:lvlJc w:val="left"/>
      <w:pPr>
        <w:tabs>
          <w:tab w:val="num" w:pos="1440"/>
        </w:tabs>
        <w:ind w:left="1440" w:hanging="360"/>
      </w:pPr>
      <w:rPr>
        <w:rFonts w:cs="Times New Roman" w:hint="default"/>
      </w:rPr>
    </w:lvl>
    <w:lvl w:ilvl="2" w:tplc="40B48948" w:tentative="1">
      <w:start w:val="1"/>
      <w:numFmt w:val="lowerRoman"/>
      <w:lvlText w:val="%3."/>
      <w:lvlJc w:val="right"/>
      <w:pPr>
        <w:ind w:left="2160" w:hanging="180"/>
      </w:pPr>
      <w:rPr>
        <w:rFonts w:cs="Times New Roman"/>
      </w:rPr>
    </w:lvl>
    <w:lvl w:ilvl="3" w:tplc="2FC4CB4E" w:tentative="1">
      <w:start w:val="1"/>
      <w:numFmt w:val="decimal"/>
      <w:lvlText w:val="%4."/>
      <w:lvlJc w:val="left"/>
      <w:pPr>
        <w:ind w:left="2880" w:hanging="360"/>
      </w:pPr>
      <w:rPr>
        <w:rFonts w:cs="Times New Roman"/>
      </w:rPr>
    </w:lvl>
    <w:lvl w:ilvl="4" w:tplc="2856D7BE" w:tentative="1">
      <w:start w:val="1"/>
      <w:numFmt w:val="lowerLetter"/>
      <w:lvlText w:val="%5."/>
      <w:lvlJc w:val="left"/>
      <w:pPr>
        <w:ind w:left="3600" w:hanging="360"/>
      </w:pPr>
      <w:rPr>
        <w:rFonts w:cs="Times New Roman"/>
      </w:rPr>
    </w:lvl>
    <w:lvl w:ilvl="5" w:tplc="3A54F084" w:tentative="1">
      <w:start w:val="1"/>
      <w:numFmt w:val="lowerRoman"/>
      <w:lvlText w:val="%6."/>
      <w:lvlJc w:val="right"/>
      <w:pPr>
        <w:ind w:left="4320" w:hanging="180"/>
      </w:pPr>
      <w:rPr>
        <w:rFonts w:cs="Times New Roman"/>
      </w:rPr>
    </w:lvl>
    <w:lvl w:ilvl="6" w:tplc="94E22852" w:tentative="1">
      <w:start w:val="1"/>
      <w:numFmt w:val="decimal"/>
      <w:lvlText w:val="%7."/>
      <w:lvlJc w:val="left"/>
      <w:pPr>
        <w:ind w:left="5040" w:hanging="360"/>
      </w:pPr>
      <w:rPr>
        <w:rFonts w:cs="Times New Roman"/>
      </w:rPr>
    </w:lvl>
    <w:lvl w:ilvl="7" w:tplc="4BD8FA18" w:tentative="1">
      <w:start w:val="1"/>
      <w:numFmt w:val="lowerLetter"/>
      <w:lvlText w:val="%8."/>
      <w:lvlJc w:val="left"/>
      <w:pPr>
        <w:ind w:left="5760" w:hanging="360"/>
      </w:pPr>
      <w:rPr>
        <w:rFonts w:cs="Times New Roman"/>
      </w:rPr>
    </w:lvl>
    <w:lvl w:ilvl="8" w:tplc="FA1A84C8" w:tentative="1">
      <w:start w:val="1"/>
      <w:numFmt w:val="lowerRoman"/>
      <w:lvlText w:val="%9."/>
      <w:lvlJc w:val="right"/>
      <w:pPr>
        <w:ind w:left="6480" w:hanging="180"/>
      </w:pPr>
      <w:rPr>
        <w:rFonts w:cs="Times New Roman"/>
      </w:rPr>
    </w:lvl>
  </w:abstractNum>
  <w:num w:numId="1">
    <w:abstractNumId w:val="23"/>
  </w:num>
  <w:num w:numId="2">
    <w:abstractNumId w:val="12"/>
  </w:num>
  <w:num w:numId="3">
    <w:abstractNumId w:val="16"/>
  </w:num>
  <w:num w:numId="4">
    <w:abstractNumId w:val="9"/>
  </w:num>
  <w:num w:numId="5">
    <w:abstractNumId w:val="21"/>
  </w:num>
  <w:num w:numId="6">
    <w:abstractNumId w:val="22"/>
  </w:num>
  <w:num w:numId="7">
    <w:abstractNumId w:val="4"/>
  </w:num>
  <w:num w:numId="8">
    <w:abstractNumId w:val="14"/>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
  </w:num>
  <w:num w:numId="14">
    <w:abstractNumId w:val="13"/>
  </w:num>
  <w:num w:numId="15">
    <w:abstractNumId w:val="17"/>
  </w:num>
  <w:num w:numId="16">
    <w:abstractNumId w:val="19"/>
  </w:num>
  <w:num w:numId="17">
    <w:abstractNumId w:val="3"/>
  </w:num>
  <w:num w:numId="18">
    <w:abstractNumId w:val="21"/>
  </w:num>
  <w:num w:numId="19">
    <w:abstractNumId w:val="21"/>
  </w:num>
  <w:num w:numId="20">
    <w:abstractNumId w:val="21"/>
  </w:num>
  <w:num w:numId="21">
    <w:abstractNumId w:val="21"/>
  </w:num>
  <w:num w:numId="22">
    <w:abstractNumId w:val="7"/>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num>
  <w:num w:numId="32">
    <w:abstractNumId w:val="10"/>
  </w:num>
  <w:num w:numId="3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0"/>
  </w:num>
  <w:num w:numId="36">
    <w:abstractNumId w:val="15"/>
  </w:num>
  <w:num w:numId="37">
    <w:abstractNumId w:val="20"/>
  </w:num>
  <w:num w:numId="38">
    <w:abstractNumId w:val="8"/>
  </w:num>
  <w:num w:numId="39">
    <w:abstractNumId w:val="5"/>
  </w:num>
  <w:num w:numId="40">
    <w:abstractNumId w:val="11"/>
  </w:num>
  <w:num w:numId="41">
    <w:abstractNumId w:val="21"/>
  </w:num>
  <w:num w:numId="42">
    <w:abstractNumId w:val="21"/>
  </w:num>
  <w:num w:numId="43">
    <w:abstractNumId w:val="6"/>
  </w:num>
  <w:num w:numId="44">
    <w:abstractNumId w:val="2"/>
  </w:num>
  <w:num w:numId="45">
    <w:abstractNumId w:val="21"/>
  </w:num>
  <w:num w:numId="4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rawingGridHorizontalSpacing w:val="2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18B9"/>
    <w:rsid w:val="00003C29"/>
    <w:rsid w:val="00011721"/>
    <w:rsid w:val="000147FA"/>
    <w:rsid w:val="0002321E"/>
    <w:rsid w:val="000247BD"/>
    <w:rsid w:val="00030E36"/>
    <w:rsid w:val="0003498C"/>
    <w:rsid w:val="00044D97"/>
    <w:rsid w:val="00045C9B"/>
    <w:rsid w:val="00056E94"/>
    <w:rsid w:val="000633D5"/>
    <w:rsid w:val="00064E6E"/>
    <w:rsid w:val="00070411"/>
    <w:rsid w:val="000773FF"/>
    <w:rsid w:val="00081B6C"/>
    <w:rsid w:val="0008547B"/>
    <w:rsid w:val="00092A61"/>
    <w:rsid w:val="000939F5"/>
    <w:rsid w:val="00095754"/>
    <w:rsid w:val="00097164"/>
    <w:rsid w:val="0009721A"/>
    <w:rsid w:val="00097708"/>
    <w:rsid w:val="00097A3F"/>
    <w:rsid w:val="000A027D"/>
    <w:rsid w:val="000A0BB8"/>
    <w:rsid w:val="000A2BD4"/>
    <w:rsid w:val="000A3160"/>
    <w:rsid w:val="000B3412"/>
    <w:rsid w:val="000B3500"/>
    <w:rsid w:val="000B72C4"/>
    <w:rsid w:val="000C04AB"/>
    <w:rsid w:val="000C2397"/>
    <w:rsid w:val="000C393A"/>
    <w:rsid w:val="000C6CB5"/>
    <w:rsid w:val="000D3783"/>
    <w:rsid w:val="000D481F"/>
    <w:rsid w:val="000D585F"/>
    <w:rsid w:val="000D6A92"/>
    <w:rsid w:val="000E0A1D"/>
    <w:rsid w:val="000E34D5"/>
    <w:rsid w:val="000E3E7E"/>
    <w:rsid w:val="000E5B96"/>
    <w:rsid w:val="000E6965"/>
    <w:rsid w:val="000F36E8"/>
    <w:rsid w:val="000F3EA7"/>
    <w:rsid w:val="000F4CBE"/>
    <w:rsid w:val="000F61A7"/>
    <w:rsid w:val="00100346"/>
    <w:rsid w:val="00101686"/>
    <w:rsid w:val="00105AFA"/>
    <w:rsid w:val="00106A6D"/>
    <w:rsid w:val="001128F6"/>
    <w:rsid w:val="00113250"/>
    <w:rsid w:val="00113E0A"/>
    <w:rsid w:val="00114E6E"/>
    <w:rsid w:val="00115B4A"/>
    <w:rsid w:val="001200B2"/>
    <w:rsid w:val="00120D2A"/>
    <w:rsid w:val="0012129F"/>
    <w:rsid w:val="00121FDE"/>
    <w:rsid w:val="0012364A"/>
    <w:rsid w:val="00124684"/>
    <w:rsid w:val="00124ACE"/>
    <w:rsid w:val="001258E4"/>
    <w:rsid w:val="00125FB9"/>
    <w:rsid w:val="00126C81"/>
    <w:rsid w:val="00132908"/>
    <w:rsid w:val="00137816"/>
    <w:rsid w:val="00140A63"/>
    <w:rsid w:val="00141A61"/>
    <w:rsid w:val="00142D13"/>
    <w:rsid w:val="001512C9"/>
    <w:rsid w:val="001545C1"/>
    <w:rsid w:val="00155AF8"/>
    <w:rsid w:val="00163827"/>
    <w:rsid w:val="00165892"/>
    <w:rsid w:val="0017101E"/>
    <w:rsid w:val="00172E0F"/>
    <w:rsid w:val="00176DF3"/>
    <w:rsid w:val="00180782"/>
    <w:rsid w:val="001814E2"/>
    <w:rsid w:val="00181726"/>
    <w:rsid w:val="00187CB3"/>
    <w:rsid w:val="0019039F"/>
    <w:rsid w:val="00193BD1"/>
    <w:rsid w:val="00195FD6"/>
    <w:rsid w:val="001A0C12"/>
    <w:rsid w:val="001A1F0B"/>
    <w:rsid w:val="001A201C"/>
    <w:rsid w:val="001A522F"/>
    <w:rsid w:val="001B0492"/>
    <w:rsid w:val="001B22D8"/>
    <w:rsid w:val="001B4DA2"/>
    <w:rsid w:val="001B5186"/>
    <w:rsid w:val="001B5284"/>
    <w:rsid w:val="001B553C"/>
    <w:rsid w:val="001B6302"/>
    <w:rsid w:val="001B757F"/>
    <w:rsid w:val="001C0AB3"/>
    <w:rsid w:val="001C1C5A"/>
    <w:rsid w:val="001C5C1A"/>
    <w:rsid w:val="001C62CB"/>
    <w:rsid w:val="001D37CA"/>
    <w:rsid w:val="001D3D98"/>
    <w:rsid w:val="001D53B7"/>
    <w:rsid w:val="001D55E9"/>
    <w:rsid w:val="001E2CA3"/>
    <w:rsid w:val="001E3F1C"/>
    <w:rsid w:val="001E403A"/>
    <w:rsid w:val="001E5892"/>
    <w:rsid w:val="001F3BD3"/>
    <w:rsid w:val="001F730D"/>
    <w:rsid w:val="00201507"/>
    <w:rsid w:val="002027D8"/>
    <w:rsid w:val="002035C0"/>
    <w:rsid w:val="00204B7B"/>
    <w:rsid w:val="00205863"/>
    <w:rsid w:val="00205F29"/>
    <w:rsid w:val="00210E45"/>
    <w:rsid w:val="0021351E"/>
    <w:rsid w:val="00214677"/>
    <w:rsid w:val="0022670E"/>
    <w:rsid w:val="00227E29"/>
    <w:rsid w:val="00232522"/>
    <w:rsid w:val="00242716"/>
    <w:rsid w:val="00242F5E"/>
    <w:rsid w:val="00243A88"/>
    <w:rsid w:val="002469F8"/>
    <w:rsid w:val="00247D84"/>
    <w:rsid w:val="00252814"/>
    <w:rsid w:val="00253857"/>
    <w:rsid w:val="0026142B"/>
    <w:rsid w:val="00262FE2"/>
    <w:rsid w:val="00272857"/>
    <w:rsid w:val="00273367"/>
    <w:rsid w:val="002833D7"/>
    <w:rsid w:val="0028388A"/>
    <w:rsid w:val="00286C85"/>
    <w:rsid w:val="0028764B"/>
    <w:rsid w:val="00291C69"/>
    <w:rsid w:val="00293E26"/>
    <w:rsid w:val="00296103"/>
    <w:rsid w:val="002A1933"/>
    <w:rsid w:val="002A39C2"/>
    <w:rsid w:val="002A7082"/>
    <w:rsid w:val="002B56A4"/>
    <w:rsid w:val="002C6D13"/>
    <w:rsid w:val="002D0D27"/>
    <w:rsid w:val="002D186C"/>
    <w:rsid w:val="002D20E3"/>
    <w:rsid w:val="002D28BF"/>
    <w:rsid w:val="002D4C7C"/>
    <w:rsid w:val="002D6231"/>
    <w:rsid w:val="002E0C17"/>
    <w:rsid w:val="002E1197"/>
    <w:rsid w:val="002E14AC"/>
    <w:rsid w:val="002E3CD1"/>
    <w:rsid w:val="002F0AD8"/>
    <w:rsid w:val="002F2EC5"/>
    <w:rsid w:val="002F301C"/>
    <w:rsid w:val="002F3289"/>
    <w:rsid w:val="002F5941"/>
    <w:rsid w:val="002F5B8A"/>
    <w:rsid w:val="002F72F9"/>
    <w:rsid w:val="003016AE"/>
    <w:rsid w:val="00303418"/>
    <w:rsid w:val="003108E9"/>
    <w:rsid w:val="0031105E"/>
    <w:rsid w:val="003118A0"/>
    <w:rsid w:val="003143AF"/>
    <w:rsid w:val="003162DB"/>
    <w:rsid w:val="00317D01"/>
    <w:rsid w:val="003279A5"/>
    <w:rsid w:val="00332D8A"/>
    <w:rsid w:val="00333F88"/>
    <w:rsid w:val="0033445D"/>
    <w:rsid w:val="0033617E"/>
    <w:rsid w:val="00343816"/>
    <w:rsid w:val="00345F94"/>
    <w:rsid w:val="0034654E"/>
    <w:rsid w:val="00347801"/>
    <w:rsid w:val="003567B2"/>
    <w:rsid w:val="00356AE4"/>
    <w:rsid w:val="00357F0F"/>
    <w:rsid w:val="003624C9"/>
    <w:rsid w:val="00362B9F"/>
    <w:rsid w:val="00370668"/>
    <w:rsid w:val="00373EEE"/>
    <w:rsid w:val="00377C3A"/>
    <w:rsid w:val="00380DC7"/>
    <w:rsid w:val="0038482D"/>
    <w:rsid w:val="00384F3C"/>
    <w:rsid w:val="003852E7"/>
    <w:rsid w:val="00387144"/>
    <w:rsid w:val="00387327"/>
    <w:rsid w:val="00390FED"/>
    <w:rsid w:val="003A4A07"/>
    <w:rsid w:val="003A4AC2"/>
    <w:rsid w:val="003A5133"/>
    <w:rsid w:val="003A547A"/>
    <w:rsid w:val="003A7B33"/>
    <w:rsid w:val="003B229B"/>
    <w:rsid w:val="003B2B67"/>
    <w:rsid w:val="003B328E"/>
    <w:rsid w:val="003B3DA9"/>
    <w:rsid w:val="003B5AF8"/>
    <w:rsid w:val="003B6D39"/>
    <w:rsid w:val="003B7777"/>
    <w:rsid w:val="003C0E4D"/>
    <w:rsid w:val="003C106F"/>
    <w:rsid w:val="003C4BFE"/>
    <w:rsid w:val="003C5C28"/>
    <w:rsid w:val="003C65D1"/>
    <w:rsid w:val="003D25BD"/>
    <w:rsid w:val="003D5B0E"/>
    <w:rsid w:val="003D5FC1"/>
    <w:rsid w:val="003D6292"/>
    <w:rsid w:val="003D6483"/>
    <w:rsid w:val="003D6D05"/>
    <w:rsid w:val="003D703B"/>
    <w:rsid w:val="003E0C7A"/>
    <w:rsid w:val="003E13EF"/>
    <w:rsid w:val="003E28D9"/>
    <w:rsid w:val="003E58A7"/>
    <w:rsid w:val="003F262B"/>
    <w:rsid w:val="003F40C5"/>
    <w:rsid w:val="003F43D9"/>
    <w:rsid w:val="003F5A92"/>
    <w:rsid w:val="00401D4E"/>
    <w:rsid w:val="00403DDE"/>
    <w:rsid w:val="0040642F"/>
    <w:rsid w:val="004113A2"/>
    <w:rsid w:val="00413B11"/>
    <w:rsid w:val="00413BA7"/>
    <w:rsid w:val="00413D24"/>
    <w:rsid w:val="0042187A"/>
    <w:rsid w:val="0042267C"/>
    <w:rsid w:val="00423941"/>
    <w:rsid w:val="00432595"/>
    <w:rsid w:val="00434235"/>
    <w:rsid w:val="00435CD3"/>
    <w:rsid w:val="00435D86"/>
    <w:rsid w:val="00436BB7"/>
    <w:rsid w:val="00451230"/>
    <w:rsid w:val="00455757"/>
    <w:rsid w:val="00455B80"/>
    <w:rsid w:val="0045796E"/>
    <w:rsid w:val="00461A0C"/>
    <w:rsid w:val="0046325B"/>
    <w:rsid w:val="004701EC"/>
    <w:rsid w:val="00473964"/>
    <w:rsid w:val="00475D34"/>
    <w:rsid w:val="00477FDB"/>
    <w:rsid w:val="00481644"/>
    <w:rsid w:val="004831A1"/>
    <w:rsid w:val="00483C91"/>
    <w:rsid w:val="004926EF"/>
    <w:rsid w:val="00497333"/>
    <w:rsid w:val="004A07B9"/>
    <w:rsid w:val="004A20A8"/>
    <w:rsid w:val="004A2C05"/>
    <w:rsid w:val="004A3609"/>
    <w:rsid w:val="004A583C"/>
    <w:rsid w:val="004A6F88"/>
    <w:rsid w:val="004A7897"/>
    <w:rsid w:val="004B380B"/>
    <w:rsid w:val="004B3974"/>
    <w:rsid w:val="004B507F"/>
    <w:rsid w:val="004B74B5"/>
    <w:rsid w:val="004C1E4F"/>
    <w:rsid w:val="004C451C"/>
    <w:rsid w:val="004C6A82"/>
    <w:rsid w:val="004D08CA"/>
    <w:rsid w:val="004D1146"/>
    <w:rsid w:val="004D29FF"/>
    <w:rsid w:val="004E1FE7"/>
    <w:rsid w:val="004E259B"/>
    <w:rsid w:val="004E4D87"/>
    <w:rsid w:val="004E6F81"/>
    <w:rsid w:val="004E736F"/>
    <w:rsid w:val="004E7E8B"/>
    <w:rsid w:val="004F55E8"/>
    <w:rsid w:val="00500C86"/>
    <w:rsid w:val="005029F0"/>
    <w:rsid w:val="00503930"/>
    <w:rsid w:val="00504E5F"/>
    <w:rsid w:val="00514AB6"/>
    <w:rsid w:val="00517CE4"/>
    <w:rsid w:val="00520B2F"/>
    <w:rsid w:val="005214B6"/>
    <w:rsid w:val="00521D9B"/>
    <w:rsid w:val="0052226C"/>
    <w:rsid w:val="00522BD7"/>
    <w:rsid w:val="005258AC"/>
    <w:rsid w:val="00527497"/>
    <w:rsid w:val="00530208"/>
    <w:rsid w:val="005329FE"/>
    <w:rsid w:val="005343F9"/>
    <w:rsid w:val="00535CB2"/>
    <w:rsid w:val="0053706F"/>
    <w:rsid w:val="0054652A"/>
    <w:rsid w:val="00546DD9"/>
    <w:rsid w:val="00546E10"/>
    <w:rsid w:val="00546FD8"/>
    <w:rsid w:val="00547A6B"/>
    <w:rsid w:val="00551845"/>
    <w:rsid w:val="0055596E"/>
    <w:rsid w:val="0055635B"/>
    <w:rsid w:val="0056260B"/>
    <w:rsid w:val="0056328A"/>
    <w:rsid w:val="005703E5"/>
    <w:rsid w:val="0057610E"/>
    <w:rsid w:val="00580F0E"/>
    <w:rsid w:val="00582A2B"/>
    <w:rsid w:val="00587927"/>
    <w:rsid w:val="005905E6"/>
    <w:rsid w:val="00590D51"/>
    <w:rsid w:val="00591DFC"/>
    <w:rsid w:val="005922D2"/>
    <w:rsid w:val="00592966"/>
    <w:rsid w:val="00592BC9"/>
    <w:rsid w:val="005963A0"/>
    <w:rsid w:val="005A16A1"/>
    <w:rsid w:val="005A7FA4"/>
    <w:rsid w:val="005B18B8"/>
    <w:rsid w:val="005B6A1F"/>
    <w:rsid w:val="005C0414"/>
    <w:rsid w:val="005C1694"/>
    <w:rsid w:val="005C6CF2"/>
    <w:rsid w:val="005C6D7C"/>
    <w:rsid w:val="005D138F"/>
    <w:rsid w:val="005D1B77"/>
    <w:rsid w:val="005D1F9D"/>
    <w:rsid w:val="005D3299"/>
    <w:rsid w:val="005D42BC"/>
    <w:rsid w:val="005D633A"/>
    <w:rsid w:val="005D6F16"/>
    <w:rsid w:val="005E403C"/>
    <w:rsid w:val="005E61D2"/>
    <w:rsid w:val="005F6770"/>
    <w:rsid w:val="005F79E9"/>
    <w:rsid w:val="00603739"/>
    <w:rsid w:val="00605638"/>
    <w:rsid w:val="00606DB8"/>
    <w:rsid w:val="00611C7F"/>
    <w:rsid w:val="00613500"/>
    <w:rsid w:val="006138AE"/>
    <w:rsid w:val="00622A46"/>
    <w:rsid w:val="00622B60"/>
    <w:rsid w:val="0063086C"/>
    <w:rsid w:val="00633B5A"/>
    <w:rsid w:val="006377E3"/>
    <w:rsid w:val="00637EAC"/>
    <w:rsid w:val="00643111"/>
    <w:rsid w:val="00644079"/>
    <w:rsid w:val="006449E6"/>
    <w:rsid w:val="00655CC6"/>
    <w:rsid w:val="006642C1"/>
    <w:rsid w:val="006652CC"/>
    <w:rsid w:val="00665D15"/>
    <w:rsid w:val="00671413"/>
    <w:rsid w:val="00672CE8"/>
    <w:rsid w:val="006737B9"/>
    <w:rsid w:val="00673A5F"/>
    <w:rsid w:val="00675B6F"/>
    <w:rsid w:val="0068296D"/>
    <w:rsid w:val="0068298A"/>
    <w:rsid w:val="006846AE"/>
    <w:rsid w:val="00685E4E"/>
    <w:rsid w:val="00691A13"/>
    <w:rsid w:val="00691D2B"/>
    <w:rsid w:val="006922A9"/>
    <w:rsid w:val="0069239A"/>
    <w:rsid w:val="00692F67"/>
    <w:rsid w:val="0069387F"/>
    <w:rsid w:val="00697806"/>
    <w:rsid w:val="006A0E8E"/>
    <w:rsid w:val="006A1F23"/>
    <w:rsid w:val="006A7F81"/>
    <w:rsid w:val="006B1C47"/>
    <w:rsid w:val="006B3BC4"/>
    <w:rsid w:val="006B490B"/>
    <w:rsid w:val="006B5EA5"/>
    <w:rsid w:val="006C1BB3"/>
    <w:rsid w:val="006C25FF"/>
    <w:rsid w:val="006C7E8F"/>
    <w:rsid w:val="006D1FB1"/>
    <w:rsid w:val="006D39AA"/>
    <w:rsid w:val="006D7CFC"/>
    <w:rsid w:val="006D7DD7"/>
    <w:rsid w:val="006E7A14"/>
    <w:rsid w:val="006E7BB6"/>
    <w:rsid w:val="006F401D"/>
    <w:rsid w:val="006F61CA"/>
    <w:rsid w:val="006F75A1"/>
    <w:rsid w:val="006F7A27"/>
    <w:rsid w:val="00702987"/>
    <w:rsid w:val="00702D7F"/>
    <w:rsid w:val="00704CFF"/>
    <w:rsid w:val="0070507C"/>
    <w:rsid w:val="00705214"/>
    <w:rsid w:val="00707444"/>
    <w:rsid w:val="00710661"/>
    <w:rsid w:val="00711F34"/>
    <w:rsid w:val="007171C6"/>
    <w:rsid w:val="0071722E"/>
    <w:rsid w:val="007225E5"/>
    <w:rsid w:val="00724678"/>
    <w:rsid w:val="0073623C"/>
    <w:rsid w:val="00736DFD"/>
    <w:rsid w:val="007414F6"/>
    <w:rsid w:val="00743ED1"/>
    <w:rsid w:val="0074564E"/>
    <w:rsid w:val="0075088E"/>
    <w:rsid w:val="00750C65"/>
    <w:rsid w:val="007522DD"/>
    <w:rsid w:val="0075576E"/>
    <w:rsid w:val="00756383"/>
    <w:rsid w:val="007577FD"/>
    <w:rsid w:val="00761DAB"/>
    <w:rsid w:val="0076328C"/>
    <w:rsid w:val="00767435"/>
    <w:rsid w:val="0077135D"/>
    <w:rsid w:val="007733D7"/>
    <w:rsid w:val="00773584"/>
    <w:rsid w:val="00776DDC"/>
    <w:rsid w:val="00777B30"/>
    <w:rsid w:val="00790096"/>
    <w:rsid w:val="0079426F"/>
    <w:rsid w:val="00794C66"/>
    <w:rsid w:val="00795BA5"/>
    <w:rsid w:val="007A324C"/>
    <w:rsid w:val="007A373C"/>
    <w:rsid w:val="007A48AD"/>
    <w:rsid w:val="007B062E"/>
    <w:rsid w:val="007B0782"/>
    <w:rsid w:val="007B0783"/>
    <w:rsid w:val="007B2775"/>
    <w:rsid w:val="007B4009"/>
    <w:rsid w:val="007B70F4"/>
    <w:rsid w:val="007C294C"/>
    <w:rsid w:val="007D06D5"/>
    <w:rsid w:val="007D4D63"/>
    <w:rsid w:val="007E134D"/>
    <w:rsid w:val="007E36CD"/>
    <w:rsid w:val="007E6165"/>
    <w:rsid w:val="007F0C22"/>
    <w:rsid w:val="007F2298"/>
    <w:rsid w:val="007F279B"/>
    <w:rsid w:val="007F4808"/>
    <w:rsid w:val="00801F94"/>
    <w:rsid w:val="00811D28"/>
    <w:rsid w:val="008146DB"/>
    <w:rsid w:val="00820CE4"/>
    <w:rsid w:val="00821AFC"/>
    <w:rsid w:val="00823C71"/>
    <w:rsid w:val="00826861"/>
    <w:rsid w:val="00827E02"/>
    <w:rsid w:val="00831BD0"/>
    <w:rsid w:val="008325F9"/>
    <w:rsid w:val="00832B1D"/>
    <w:rsid w:val="00834E0D"/>
    <w:rsid w:val="00835C70"/>
    <w:rsid w:val="008361EA"/>
    <w:rsid w:val="0084153D"/>
    <w:rsid w:val="00842BE9"/>
    <w:rsid w:val="00842CCB"/>
    <w:rsid w:val="00844FE6"/>
    <w:rsid w:val="0084513A"/>
    <w:rsid w:val="00845851"/>
    <w:rsid w:val="0085066F"/>
    <w:rsid w:val="00852248"/>
    <w:rsid w:val="00852A85"/>
    <w:rsid w:val="008535A9"/>
    <w:rsid w:val="00853DEB"/>
    <w:rsid w:val="00856BA1"/>
    <w:rsid w:val="0086081F"/>
    <w:rsid w:val="00870301"/>
    <w:rsid w:val="008723FD"/>
    <w:rsid w:val="00872ABD"/>
    <w:rsid w:val="00873B97"/>
    <w:rsid w:val="00874775"/>
    <w:rsid w:val="00875DAB"/>
    <w:rsid w:val="008842BD"/>
    <w:rsid w:val="00886A1A"/>
    <w:rsid w:val="0088778F"/>
    <w:rsid w:val="00891E5D"/>
    <w:rsid w:val="0089383F"/>
    <w:rsid w:val="008938AB"/>
    <w:rsid w:val="00893D8E"/>
    <w:rsid w:val="00895E7B"/>
    <w:rsid w:val="008A3A0D"/>
    <w:rsid w:val="008A7A39"/>
    <w:rsid w:val="008B1C74"/>
    <w:rsid w:val="008B3EEC"/>
    <w:rsid w:val="008B4F6D"/>
    <w:rsid w:val="008B76C3"/>
    <w:rsid w:val="008C221F"/>
    <w:rsid w:val="008C2E13"/>
    <w:rsid w:val="008C4A72"/>
    <w:rsid w:val="008C5C42"/>
    <w:rsid w:val="008D55EC"/>
    <w:rsid w:val="008D6278"/>
    <w:rsid w:val="008F0F26"/>
    <w:rsid w:val="008F23C6"/>
    <w:rsid w:val="008F3FC8"/>
    <w:rsid w:val="009029C3"/>
    <w:rsid w:val="00902AE1"/>
    <w:rsid w:val="00904240"/>
    <w:rsid w:val="00904ACD"/>
    <w:rsid w:val="00907CE6"/>
    <w:rsid w:val="00910E47"/>
    <w:rsid w:val="009175E2"/>
    <w:rsid w:val="009201D2"/>
    <w:rsid w:val="009262D0"/>
    <w:rsid w:val="00930CAA"/>
    <w:rsid w:val="00932FD7"/>
    <w:rsid w:val="00937C5C"/>
    <w:rsid w:val="009410B8"/>
    <w:rsid w:val="00955B83"/>
    <w:rsid w:val="00956E78"/>
    <w:rsid w:val="00960CD7"/>
    <w:rsid w:val="0096418A"/>
    <w:rsid w:val="00965F5A"/>
    <w:rsid w:val="00970015"/>
    <w:rsid w:val="00972159"/>
    <w:rsid w:val="00974965"/>
    <w:rsid w:val="009766A6"/>
    <w:rsid w:val="00977BB6"/>
    <w:rsid w:val="00985E42"/>
    <w:rsid w:val="00986347"/>
    <w:rsid w:val="009863E3"/>
    <w:rsid w:val="009879DE"/>
    <w:rsid w:val="00990C0A"/>
    <w:rsid w:val="00991CAE"/>
    <w:rsid w:val="00993DC1"/>
    <w:rsid w:val="00994775"/>
    <w:rsid w:val="009960C4"/>
    <w:rsid w:val="009966F6"/>
    <w:rsid w:val="009A25F9"/>
    <w:rsid w:val="009C1135"/>
    <w:rsid w:val="009C797C"/>
    <w:rsid w:val="009D0290"/>
    <w:rsid w:val="009D0903"/>
    <w:rsid w:val="009D0954"/>
    <w:rsid w:val="009D4A77"/>
    <w:rsid w:val="009D4BC1"/>
    <w:rsid w:val="009D5D7C"/>
    <w:rsid w:val="009E18FB"/>
    <w:rsid w:val="009E3F49"/>
    <w:rsid w:val="009E6E4B"/>
    <w:rsid w:val="009E7A5C"/>
    <w:rsid w:val="009F2BCD"/>
    <w:rsid w:val="009F4C82"/>
    <w:rsid w:val="009F55E7"/>
    <w:rsid w:val="009F7E29"/>
    <w:rsid w:val="00A02E68"/>
    <w:rsid w:val="00A030AF"/>
    <w:rsid w:val="00A0314E"/>
    <w:rsid w:val="00A04C12"/>
    <w:rsid w:val="00A05F1B"/>
    <w:rsid w:val="00A0684F"/>
    <w:rsid w:val="00A159F0"/>
    <w:rsid w:val="00A15FD3"/>
    <w:rsid w:val="00A222C3"/>
    <w:rsid w:val="00A23AB4"/>
    <w:rsid w:val="00A261B5"/>
    <w:rsid w:val="00A3035D"/>
    <w:rsid w:val="00A358CC"/>
    <w:rsid w:val="00A365C7"/>
    <w:rsid w:val="00A43DD3"/>
    <w:rsid w:val="00A459AA"/>
    <w:rsid w:val="00A47745"/>
    <w:rsid w:val="00A608E1"/>
    <w:rsid w:val="00A63471"/>
    <w:rsid w:val="00A6381D"/>
    <w:rsid w:val="00A67721"/>
    <w:rsid w:val="00A6790B"/>
    <w:rsid w:val="00A67C1D"/>
    <w:rsid w:val="00A67D9C"/>
    <w:rsid w:val="00A67E5D"/>
    <w:rsid w:val="00A72B8B"/>
    <w:rsid w:val="00A74CBB"/>
    <w:rsid w:val="00A91ACF"/>
    <w:rsid w:val="00A933EE"/>
    <w:rsid w:val="00A93DC8"/>
    <w:rsid w:val="00A94D11"/>
    <w:rsid w:val="00A95B48"/>
    <w:rsid w:val="00A965FB"/>
    <w:rsid w:val="00AA3493"/>
    <w:rsid w:val="00AA4FB1"/>
    <w:rsid w:val="00AB02EB"/>
    <w:rsid w:val="00AB305A"/>
    <w:rsid w:val="00AC4EBC"/>
    <w:rsid w:val="00AC5001"/>
    <w:rsid w:val="00AC5FD4"/>
    <w:rsid w:val="00AC619F"/>
    <w:rsid w:val="00AC7940"/>
    <w:rsid w:val="00AD1D94"/>
    <w:rsid w:val="00AE20C0"/>
    <w:rsid w:val="00AE2ACB"/>
    <w:rsid w:val="00AE5947"/>
    <w:rsid w:val="00AF0CDF"/>
    <w:rsid w:val="00AF12E0"/>
    <w:rsid w:val="00AF19E5"/>
    <w:rsid w:val="00AF1F9F"/>
    <w:rsid w:val="00AF29A9"/>
    <w:rsid w:val="00AF70A3"/>
    <w:rsid w:val="00B06C43"/>
    <w:rsid w:val="00B10C03"/>
    <w:rsid w:val="00B135AC"/>
    <w:rsid w:val="00B14005"/>
    <w:rsid w:val="00B15EB8"/>
    <w:rsid w:val="00B17428"/>
    <w:rsid w:val="00B17E69"/>
    <w:rsid w:val="00B2016F"/>
    <w:rsid w:val="00B20E87"/>
    <w:rsid w:val="00B213AB"/>
    <w:rsid w:val="00B2143A"/>
    <w:rsid w:val="00B22364"/>
    <w:rsid w:val="00B2260C"/>
    <w:rsid w:val="00B22691"/>
    <w:rsid w:val="00B23636"/>
    <w:rsid w:val="00B255AB"/>
    <w:rsid w:val="00B26DC1"/>
    <w:rsid w:val="00B31CBD"/>
    <w:rsid w:val="00B342C7"/>
    <w:rsid w:val="00B35785"/>
    <w:rsid w:val="00B40CA4"/>
    <w:rsid w:val="00B40D7E"/>
    <w:rsid w:val="00B41F87"/>
    <w:rsid w:val="00B4235E"/>
    <w:rsid w:val="00B45B03"/>
    <w:rsid w:val="00B47358"/>
    <w:rsid w:val="00B51573"/>
    <w:rsid w:val="00B53984"/>
    <w:rsid w:val="00B54EBB"/>
    <w:rsid w:val="00B55326"/>
    <w:rsid w:val="00B60097"/>
    <w:rsid w:val="00B61FB4"/>
    <w:rsid w:val="00B656E4"/>
    <w:rsid w:val="00B66A38"/>
    <w:rsid w:val="00B71C3D"/>
    <w:rsid w:val="00B7214A"/>
    <w:rsid w:val="00B72FD9"/>
    <w:rsid w:val="00B75ED9"/>
    <w:rsid w:val="00B765B5"/>
    <w:rsid w:val="00B81E42"/>
    <w:rsid w:val="00B85DC1"/>
    <w:rsid w:val="00B87A39"/>
    <w:rsid w:val="00B90FCC"/>
    <w:rsid w:val="00B91763"/>
    <w:rsid w:val="00B91CD6"/>
    <w:rsid w:val="00B92872"/>
    <w:rsid w:val="00B9309D"/>
    <w:rsid w:val="00B94E3F"/>
    <w:rsid w:val="00BA0FEF"/>
    <w:rsid w:val="00BA299C"/>
    <w:rsid w:val="00BA39DD"/>
    <w:rsid w:val="00BB413F"/>
    <w:rsid w:val="00BC0755"/>
    <w:rsid w:val="00BC33C2"/>
    <w:rsid w:val="00BC4F52"/>
    <w:rsid w:val="00BC5F94"/>
    <w:rsid w:val="00BD0283"/>
    <w:rsid w:val="00BD1D69"/>
    <w:rsid w:val="00BD2825"/>
    <w:rsid w:val="00BD66D2"/>
    <w:rsid w:val="00BD6C4D"/>
    <w:rsid w:val="00BE279C"/>
    <w:rsid w:val="00BE5506"/>
    <w:rsid w:val="00BE5C3B"/>
    <w:rsid w:val="00BF00CC"/>
    <w:rsid w:val="00BF445E"/>
    <w:rsid w:val="00BF4A43"/>
    <w:rsid w:val="00BF7949"/>
    <w:rsid w:val="00C02FBB"/>
    <w:rsid w:val="00C04CD1"/>
    <w:rsid w:val="00C04F64"/>
    <w:rsid w:val="00C07BB4"/>
    <w:rsid w:val="00C07DC4"/>
    <w:rsid w:val="00C12079"/>
    <w:rsid w:val="00C141E5"/>
    <w:rsid w:val="00C153C8"/>
    <w:rsid w:val="00C201F6"/>
    <w:rsid w:val="00C22478"/>
    <w:rsid w:val="00C2372F"/>
    <w:rsid w:val="00C27F90"/>
    <w:rsid w:val="00C32132"/>
    <w:rsid w:val="00C32892"/>
    <w:rsid w:val="00C32A84"/>
    <w:rsid w:val="00C34A03"/>
    <w:rsid w:val="00C35B3B"/>
    <w:rsid w:val="00C3631D"/>
    <w:rsid w:val="00C36D8C"/>
    <w:rsid w:val="00C36F62"/>
    <w:rsid w:val="00C3766C"/>
    <w:rsid w:val="00C37734"/>
    <w:rsid w:val="00C400B2"/>
    <w:rsid w:val="00C400EA"/>
    <w:rsid w:val="00C409AF"/>
    <w:rsid w:val="00C40D87"/>
    <w:rsid w:val="00C454C3"/>
    <w:rsid w:val="00C462A4"/>
    <w:rsid w:val="00C4682E"/>
    <w:rsid w:val="00C534E5"/>
    <w:rsid w:val="00C53E14"/>
    <w:rsid w:val="00C5497C"/>
    <w:rsid w:val="00C56ED2"/>
    <w:rsid w:val="00C57A6D"/>
    <w:rsid w:val="00C620C0"/>
    <w:rsid w:val="00C6580C"/>
    <w:rsid w:val="00C66F44"/>
    <w:rsid w:val="00C6794C"/>
    <w:rsid w:val="00C7108E"/>
    <w:rsid w:val="00C73414"/>
    <w:rsid w:val="00C756B6"/>
    <w:rsid w:val="00C76193"/>
    <w:rsid w:val="00C77822"/>
    <w:rsid w:val="00C8079D"/>
    <w:rsid w:val="00C8100F"/>
    <w:rsid w:val="00C87D67"/>
    <w:rsid w:val="00C902DC"/>
    <w:rsid w:val="00C94E4A"/>
    <w:rsid w:val="00C97225"/>
    <w:rsid w:val="00CA21F0"/>
    <w:rsid w:val="00CB0D5C"/>
    <w:rsid w:val="00CB0DDB"/>
    <w:rsid w:val="00CB18D7"/>
    <w:rsid w:val="00CB33F9"/>
    <w:rsid w:val="00CB4E6D"/>
    <w:rsid w:val="00CB6600"/>
    <w:rsid w:val="00CC06DD"/>
    <w:rsid w:val="00CC19B5"/>
    <w:rsid w:val="00CC2ECB"/>
    <w:rsid w:val="00CC30D2"/>
    <w:rsid w:val="00CC3E56"/>
    <w:rsid w:val="00CD28FE"/>
    <w:rsid w:val="00CE1865"/>
    <w:rsid w:val="00CE1BB6"/>
    <w:rsid w:val="00CE1FE0"/>
    <w:rsid w:val="00CE4050"/>
    <w:rsid w:val="00CE4167"/>
    <w:rsid w:val="00CE4ADB"/>
    <w:rsid w:val="00CE62E7"/>
    <w:rsid w:val="00CE6C25"/>
    <w:rsid w:val="00CE6FDD"/>
    <w:rsid w:val="00CF2DB9"/>
    <w:rsid w:val="00CF346A"/>
    <w:rsid w:val="00CF3983"/>
    <w:rsid w:val="00D01472"/>
    <w:rsid w:val="00D03B40"/>
    <w:rsid w:val="00D047FE"/>
    <w:rsid w:val="00D04C40"/>
    <w:rsid w:val="00D0521E"/>
    <w:rsid w:val="00D05FCB"/>
    <w:rsid w:val="00D07260"/>
    <w:rsid w:val="00D073D4"/>
    <w:rsid w:val="00D12B65"/>
    <w:rsid w:val="00D144BB"/>
    <w:rsid w:val="00D164DC"/>
    <w:rsid w:val="00D25ED7"/>
    <w:rsid w:val="00D273A1"/>
    <w:rsid w:val="00D275B4"/>
    <w:rsid w:val="00D313D5"/>
    <w:rsid w:val="00D317F7"/>
    <w:rsid w:val="00D3292F"/>
    <w:rsid w:val="00D33939"/>
    <w:rsid w:val="00D33F3E"/>
    <w:rsid w:val="00D34B28"/>
    <w:rsid w:val="00D36D22"/>
    <w:rsid w:val="00D3708A"/>
    <w:rsid w:val="00D407CB"/>
    <w:rsid w:val="00D40F54"/>
    <w:rsid w:val="00D412C8"/>
    <w:rsid w:val="00D42A09"/>
    <w:rsid w:val="00D45616"/>
    <w:rsid w:val="00D458EB"/>
    <w:rsid w:val="00D47C2E"/>
    <w:rsid w:val="00D47F3D"/>
    <w:rsid w:val="00D53ECA"/>
    <w:rsid w:val="00D5791F"/>
    <w:rsid w:val="00D62CCE"/>
    <w:rsid w:val="00D63DB8"/>
    <w:rsid w:val="00D66269"/>
    <w:rsid w:val="00D75C45"/>
    <w:rsid w:val="00D7600D"/>
    <w:rsid w:val="00D76547"/>
    <w:rsid w:val="00D819A1"/>
    <w:rsid w:val="00D83DD4"/>
    <w:rsid w:val="00D83DF3"/>
    <w:rsid w:val="00D85015"/>
    <w:rsid w:val="00D90290"/>
    <w:rsid w:val="00D92D81"/>
    <w:rsid w:val="00D96826"/>
    <w:rsid w:val="00DA0CD0"/>
    <w:rsid w:val="00DA26D7"/>
    <w:rsid w:val="00DA2B5C"/>
    <w:rsid w:val="00DB1C86"/>
    <w:rsid w:val="00DB59B4"/>
    <w:rsid w:val="00DC1B29"/>
    <w:rsid w:val="00DC2409"/>
    <w:rsid w:val="00DC3ABA"/>
    <w:rsid w:val="00DC5A5C"/>
    <w:rsid w:val="00DD0E39"/>
    <w:rsid w:val="00DD2D6F"/>
    <w:rsid w:val="00DD34BD"/>
    <w:rsid w:val="00DD363A"/>
    <w:rsid w:val="00DE13B4"/>
    <w:rsid w:val="00DE5F07"/>
    <w:rsid w:val="00DF069D"/>
    <w:rsid w:val="00DF110F"/>
    <w:rsid w:val="00DF48B5"/>
    <w:rsid w:val="00E0109C"/>
    <w:rsid w:val="00E012C6"/>
    <w:rsid w:val="00E038FF"/>
    <w:rsid w:val="00E077C1"/>
    <w:rsid w:val="00E133E8"/>
    <w:rsid w:val="00E134F0"/>
    <w:rsid w:val="00E149E7"/>
    <w:rsid w:val="00E14AB4"/>
    <w:rsid w:val="00E15F92"/>
    <w:rsid w:val="00E25928"/>
    <w:rsid w:val="00E30E68"/>
    <w:rsid w:val="00E31CAD"/>
    <w:rsid w:val="00E321B6"/>
    <w:rsid w:val="00E360A8"/>
    <w:rsid w:val="00E4479A"/>
    <w:rsid w:val="00E46B34"/>
    <w:rsid w:val="00E47006"/>
    <w:rsid w:val="00E47B10"/>
    <w:rsid w:val="00E51AC8"/>
    <w:rsid w:val="00E555D5"/>
    <w:rsid w:val="00E64F48"/>
    <w:rsid w:val="00E66474"/>
    <w:rsid w:val="00E701D6"/>
    <w:rsid w:val="00E7041C"/>
    <w:rsid w:val="00E73729"/>
    <w:rsid w:val="00E75822"/>
    <w:rsid w:val="00E872A9"/>
    <w:rsid w:val="00E924B0"/>
    <w:rsid w:val="00E93D41"/>
    <w:rsid w:val="00E94D5A"/>
    <w:rsid w:val="00EA1864"/>
    <w:rsid w:val="00EA31C6"/>
    <w:rsid w:val="00EA777A"/>
    <w:rsid w:val="00EA7BCB"/>
    <w:rsid w:val="00EB2588"/>
    <w:rsid w:val="00EB743E"/>
    <w:rsid w:val="00EC085B"/>
    <w:rsid w:val="00EC2E05"/>
    <w:rsid w:val="00EC3258"/>
    <w:rsid w:val="00EC3D62"/>
    <w:rsid w:val="00EC490B"/>
    <w:rsid w:val="00EC66B2"/>
    <w:rsid w:val="00EC7257"/>
    <w:rsid w:val="00ED2CC7"/>
    <w:rsid w:val="00ED2E17"/>
    <w:rsid w:val="00ED7728"/>
    <w:rsid w:val="00EE0BC3"/>
    <w:rsid w:val="00EE5465"/>
    <w:rsid w:val="00EE78B4"/>
    <w:rsid w:val="00EF272D"/>
    <w:rsid w:val="00F11954"/>
    <w:rsid w:val="00F16A56"/>
    <w:rsid w:val="00F20383"/>
    <w:rsid w:val="00F236B5"/>
    <w:rsid w:val="00F33936"/>
    <w:rsid w:val="00F35E26"/>
    <w:rsid w:val="00F41B26"/>
    <w:rsid w:val="00F42990"/>
    <w:rsid w:val="00F46937"/>
    <w:rsid w:val="00F53029"/>
    <w:rsid w:val="00F57AB4"/>
    <w:rsid w:val="00F66C08"/>
    <w:rsid w:val="00F7347A"/>
    <w:rsid w:val="00F734B7"/>
    <w:rsid w:val="00F75527"/>
    <w:rsid w:val="00F75E4D"/>
    <w:rsid w:val="00F76E4E"/>
    <w:rsid w:val="00F869CB"/>
    <w:rsid w:val="00F87991"/>
    <w:rsid w:val="00F9378B"/>
    <w:rsid w:val="00F93FB5"/>
    <w:rsid w:val="00FA1FCF"/>
    <w:rsid w:val="00FA4143"/>
    <w:rsid w:val="00FA585A"/>
    <w:rsid w:val="00FA7605"/>
    <w:rsid w:val="00FB0B62"/>
    <w:rsid w:val="00FB12AC"/>
    <w:rsid w:val="00FB21CE"/>
    <w:rsid w:val="00FB2F57"/>
    <w:rsid w:val="00FB40D5"/>
    <w:rsid w:val="00FB6D88"/>
    <w:rsid w:val="00FC4953"/>
    <w:rsid w:val="00FC4B27"/>
    <w:rsid w:val="00FC62CE"/>
    <w:rsid w:val="00FD122B"/>
    <w:rsid w:val="00FD319B"/>
    <w:rsid w:val="00FD64D8"/>
    <w:rsid w:val="00FD7DBA"/>
    <w:rsid w:val="00FE033B"/>
    <w:rsid w:val="00FE08AE"/>
    <w:rsid w:val="00FE09EF"/>
    <w:rsid w:val="00FE1C16"/>
    <w:rsid w:val="00FE2208"/>
    <w:rsid w:val="00FE3DC5"/>
    <w:rsid w:val="00FE6822"/>
    <w:rsid w:val="00FE7C7B"/>
    <w:rsid w:val="00FF660F"/>
    <w:rsid w:val="00FF69DF"/>
    <w:rsid w:val="00FF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585F"/>
    <w:rPr>
      <w:rFonts w:ascii="Times New Roman" w:eastAsia="Times New Roman" w:hAnsi="Times New Roman"/>
      <w:spacing w:val="-3"/>
      <w:sz w:val="24"/>
      <w:szCs w:val="20"/>
      <w:lang w:val="es-ES_tradnl"/>
    </w:rPr>
  </w:style>
  <w:style w:type="paragraph" w:styleId="Heading1">
    <w:name w:val="heading 1"/>
    <w:aliases w:val="Heading 1.I,Capítulo"/>
    <w:basedOn w:val="Normal"/>
    <w:next w:val="Normal"/>
    <w:link w:val="Heading1Char"/>
    <w:uiPriority w:val="99"/>
    <w:qFormat/>
    <w:rsid w:val="00B87A39"/>
    <w:pPr>
      <w:keepNext/>
      <w:numPr>
        <w:numId w:val="11"/>
      </w:numPr>
      <w:spacing w:before="240" w:after="240"/>
      <w:jc w:val="center"/>
      <w:outlineLvl w:val="0"/>
    </w:pPr>
    <w:rPr>
      <w:rFonts w:ascii="Times New Roman Bold" w:hAnsi="Times New Roman Bold"/>
      <w:b/>
      <w:smallCaps/>
      <w:noProof/>
      <w:spacing w:val="0"/>
      <w:sz w:val="28"/>
      <w:lang w:val="en-US"/>
    </w:rPr>
  </w:style>
  <w:style w:type="paragraph" w:styleId="Heading2">
    <w:name w:val="heading 2"/>
    <w:aliases w:val="Heading 2.A"/>
    <w:basedOn w:val="Normal"/>
    <w:next w:val="Normal"/>
    <w:link w:val="Heading2Char"/>
    <w:uiPriority w:val="99"/>
    <w:qFormat/>
    <w:rsid w:val="00B87A39"/>
    <w:pPr>
      <w:keepNext/>
      <w:numPr>
        <w:numId w:val="3"/>
      </w:numPr>
      <w:spacing w:before="120" w:after="120"/>
      <w:jc w:val="both"/>
      <w:outlineLvl w:val="1"/>
    </w:pPr>
    <w:rPr>
      <w:rFonts w:ascii="Times New Roman Bold" w:hAnsi="Times New Roman Bold"/>
      <w:b/>
      <w:noProof/>
      <w:spacing w:val="0"/>
      <w:lang w:val="en-US"/>
    </w:rPr>
  </w:style>
  <w:style w:type="paragraph" w:styleId="Heading3">
    <w:name w:val="heading 3"/>
    <w:aliases w:val="Heading 3.1"/>
    <w:basedOn w:val="Normal"/>
    <w:next w:val="Normal"/>
    <w:link w:val="Heading3Char"/>
    <w:uiPriority w:val="99"/>
    <w:qFormat/>
    <w:rsid w:val="00B87A39"/>
    <w:pPr>
      <w:keepNext/>
      <w:numPr>
        <w:numId w:val="4"/>
      </w:numPr>
      <w:spacing w:before="120" w:after="120"/>
      <w:jc w:val="both"/>
      <w:outlineLvl w:val="2"/>
    </w:pPr>
    <w:rPr>
      <w:rFonts w:ascii="Times New Roman Bold" w:hAnsi="Times New Roman Bold"/>
      <w:b/>
      <w:noProof/>
      <w:spacing w:val="0"/>
      <w:lang w:val="en-US"/>
    </w:rPr>
  </w:style>
  <w:style w:type="paragraph" w:styleId="Heading4">
    <w:name w:val="heading 4"/>
    <w:aliases w:val="Heading 4.a"/>
    <w:basedOn w:val="Normal"/>
    <w:next w:val="Normal"/>
    <w:link w:val="Heading4Char"/>
    <w:uiPriority w:val="99"/>
    <w:qFormat/>
    <w:rsid w:val="00B87A39"/>
    <w:pPr>
      <w:keepNext/>
      <w:numPr>
        <w:ilvl w:val="2"/>
        <w:numId w:val="11"/>
      </w:numPr>
      <w:tabs>
        <w:tab w:val="left" w:pos="1440"/>
      </w:tabs>
      <w:spacing w:before="120" w:after="120"/>
      <w:jc w:val="both"/>
      <w:outlineLvl w:val="3"/>
    </w:pPr>
    <w:rPr>
      <w:rFonts w:ascii="Times New Roman Bold" w:eastAsia="Calibri" w:hAnsi="Times New Roman Bold"/>
      <w:b/>
      <w:noProof/>
      <w:spacing w:val="0"/>
      <w:lang w:val="en-US"/>
    </w:rPr>
  </w:style>
  <w:style w:type="paragraph" w:styleId="Heading5">
    <w:name w:val="heading 5"/>
    <w:aliases w:val="Heading 5.(i)"/>
    <w:basedOn w:val="Normal"/>
    <w:next w:val="Normal"/>
    <w:link w:val="Heading5Char"/>
    <w:uiPriority w:val="99"/>
    <w:qFormat/>
    <w:rsid w:val="00B87A39"/>
    <w:pPr>
      <w:keepNext/>
      <w:numPr>
        <w:ilvl w:val="3"/>
        <w:numId w:val="11"/>
      </w:numPr>
      <w:spacing w:before="120" w:after="120"/>
      <w:jc w:val="both"/>
      <w:outlineLvl w:val="4"/>
    </w:pPr>
    <w:rPr>
      <w:rFonts w:ascii="Times New Roman Bold" w:hAnsi="Times New Roman Bold"/>
      <w:b/>
      <w:noProof/>
      <w:spacing w:val="0"/>
      <w:lang w:val="en-US"/>
    </w:rPr>
  </w:style>
  <w:style w:type="paragraph" w:styleId="Heading6">
    <w:name w:val="heading 6"/>
    <w:basedOn w:val="Normal"/>
    <w:next w:val="Normal"/>
    <w:link w:val="Heading6Char"/>
    <w:uiPriority w:val="99"/>
    <w:qFormat/>
    <w:rsid w:val="00B87A39"/>
    <w:pPr>
      <w:keepNext/>
      <w:jc w:val="center"/>
      <w:outlineLvl w:val="5"/>
    </w:pPr>
    <w:rPr>
      <w:b/>
      <w:bCs/>
      <w:sz w:val="20"/>
    </w:rPr>
  </w:style>
  <w:style w:type="paragraph" w:styleId="Heading7">
    <w:name w:val="heading 7"/>
    <w:basedOn w:val="Normal"/>
    <w:next w:val="Normal"/>
    <w:link w:val="Heading7Char"/>
    <w:uiPriority w:val="99"/>
    <w:qFormat/>
    <w:rsid w:val="007D4D63"/>
    <w:pPr>
      <w:numPr>
        <w:ilvl w:val="6"/>
        <w:numId w:val="1"/>
      </w:numPr>
      <w:spacing w:before="240" w:after="60"/>
      <w:outlineLvl w:val="6"/>
    </w:pPr>
    <w:rPr>
      <w:rFonts w:ascii="Calibri" w:hAnsi="Calibri"/>
      <w:spacing w:val="0"/>
      <w:szCs w:val="24"/>
      <w:lang w:val="en-US"/>
    </w:rPr>
  </w:style>
  <w:style w:type="paragraph" w:styleId="Heading8">
    <w:name w:val="heading 8"/>
    <w:basedOn w:val="Normal"/>
    <w:next w:val="Normal"/>
    <w:link w:val="Heading8Char"/>
    <w:uiPriority w:val="99"/>
    <w:qFormat/>
    <w:rsid w:val="007D4D63"/>
    <w:pPr>
      <w:numPr>
        <w:ilvl w:val="7"/>
        <w:numId w:val="1"/>
      </w:numPr>
      <w:spacing w:before="240" w:after="60"/>
      <w:outlineLvl w:val="7"/>
    </w:pPr>
    <w:rPr>
      <w:rFonts w:ascii="Calibri" w:hAnsi="Calibri"/>
      <w:i/>
      <w:iCs/>
      <w:spacing w:val="0"/>
      <w:szCs w:val="24"/>
      <w:lang w:val="en-US"/>
    </w:rPr>
  </w:style>
  <w:style w:type="paragraph" w:styleId="Heading9">
    <w:name w:val="heading 9"/>
    <w:basedOn w:val="Normal"/>
    <w:next w:val="Normal"/>
    <w:link w:val="Heading9Char"/>
    <w:uiPriority w:val="99"/>
    <w:qFormat/>
    <w:rsid w:val="007D4D63"/>
    <w:pPr>
      <w:numPr>
        <w:ilvl w:val="8"/>
        <w:numId w:val="1"/>
      </w:numPr>
      <w:spacing w:before="240" w:after="60"/>
      <w:outlineLvl w:val="8"/>
    </w:pPr>
    <w:rPr>
      <w:rFonts w:ascii="Cambria" w:hAnsi="Cambria"/>
      <w:spacing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Capítulo Char"/>
    <w:basedOn w:val="DefaultParagraphFont"/>
    <w:link w:val="Heading1"/>
    <w:uiPriority w:val="99"/>
    <w:locked/>
    <w:rsid w:val="00BF4A43"/>
    <w:rPr>
      <w:rFonts w:ascii="Times New Roman Bold" w:hAnsi="Times New Roman Bold" w:cs="Times New Roman"/>
      <w:b/>
      <w:smallCaps/>
      <w:noProof/>
      <w:sz w:val="20"/>
      <w:szCs w:val="20"/>
    </w:rPr>
  </w:style>
  <w:style w:type="character" w:customStyle="1" w:styleId="Heading2Char">
    <w:name w:val="Heading 2 Char"/>
    <w:aliases w:val="Heading 2.A Char"/>
    <w:basedOn w:val="DefaultParagraphFont"/>
    <w:link w:val="Heading2"/>
    <w:uiPriority w:val="99"/>
    <w:locked/>
    <w:rsid w:val="007D4D63"/>
    <w:rPr>
      <w:rFonts w:ascii="Times New Roman Bold" w:hAnsi="Times New Roman Bold" w:cs="Times New Roman"/>
      <w:b/>
      <w:noProof/>
      <w:sz w:val="20"/>
      <w:szCs w:val="20"/>
    </w:rPr>
  </w:style>
  <w:style w:type="character" w:customStyle="1" w:styleId="Heading3Char">
    <w:name w:val="Heading 3 Char"/>
    <w:aliases w:val="Heading 3.1 Char"/>
    <w:basedOn w:val="DefaultParagraphFont"/>
    <w:link w:val="Heading3"/>
    <w:uiPriority w:val="99"/>
    <w:locked/>
    <w:rsid w:val="007D4D63"/>
    <w:rPr>
      <w:rFonts w:ascii="Times New Roman Bold" w:hAnsi="Times New Roman Bold" w:cs="Times New Roman"/>
      <w:b/>
      <w:noProof/>
      <w:sz w:val="20"/>
      <w:szCs w:val="20"/>
    </w:rPr>
  </w:style>
  <w:style w:type="character" w:customStyle="1" w:styleId="Heading4Char">
    <w:name w:val="Heading 4 Char"/>
    <w:aliases w:val="Heading 4.a Char"/>
    <w:basedOn w:val="DefaultParagraphFont"/>
    <w:link w:val="Heading4"/>
    <w:uiPriority w:val="99"/>
    <w:locked/>
    <w:rsid w:val="007D4D63"/>
    <w:rPr>
      <w:rFonts w:ascii="Times New Roman Bold" w:hAnsi="Times New Roman Bold" w:cs="Times New Roman"/>
      <w:b/>
      <w:noProof/>
      <w:sz w:val="20"/>
      <w:szCs w:val="20"/>
    </w:rPr>
  </w:style>
  <w:style w:type="character" w:customStyle="1" w:styleId="Heading5Char">
    <w:name w:val="Heading 5 Char"/>
    <w:aliases w:val="Heading 5.(i) Char"/>
    <w:basedOn w:val="DefaultParagraphFont"/>
    <w:link w:val="Heading5"/>
    <w:uiPriority w:val="99"/>
    <w:locked/>
    <w:rsid w:val="007D4D63"/>
    <w:rPr>
      <w:rFonts w:ascii="Times New Roman Bold" w:hAnsi="Times New Roman Bold" w:cs="Times New Roman"/>
      <w:b/>
      <w:noProof/>
      <w:sz w:val="20"/>
      <w:szCs w:val="20"/>
    </w:rPr>
  </w:style>
  <w:style w:type="character" w:customStyle="1" w:styleId="Heading6Char">
    <w:name w:val="Heading 6 Char"/>
    <w:basedOn w:val="DefaultParagraphFont"/>
    <w:link w:val="Heading6"/>
    <w:uiPriority w:val="99"/>
    <w:locked/>
    <w:rsid w:val="007D4D63"/>
    <w:rPr>
      <w:rFonts w:ascii="Times New Roman" w:hAnsi="Times New Roman" w:cs="Times New Roman"/>
      <w:b/>
      <w:spacing w:val="-3"/>
      <w:lang w:val="es-ES_tradnl"/>
    </w:rPr>
  </w:style>
  <w:style w:type="character" w:customStyle="1" w:styleId="Heading7Char">
    <w:name w:val="Heading 7 Char"/>
    <w:basedOn w:val="DefaultParagraphFont"/>
    <w:link w:val="Heading7"/>
    <w:uiPriority w:val="99"/>
    <w:locked/>
    <w:rsid w:val="007D4D63"/>
    <w:rPr>
      <w:rFonts w:eastAsia="Times New Roman" w:cs="Times New Roman"/>
      <w:sz w:val="24"/>
      <w:szCs w:val="24"/>
    </w:rPr>
  </w:style>
  <w:style w:type="character" w:customStyle="1" w:styleId="Heading8Char">
    <w:name w:val="Heading 8 Char"/>
    <w:basedOn w:val="DefaultParagraphFont"/>
    <w:link w:val="Heading8"/>
    <w:uiPriority w:val="99"/>
    <w:locked/>
    <w:rsid w:val="007D4D63"/>
    <w:rPr>
      <w:rFonts w:eastAsia="Times New Roman" w:cs="Times New Roman"/>
      <w:i/>
      <w:iCs/>
      <w:sz w:val="24"/>
      <w:szCs w:val="24"/>
    </w:rPr>
  </w:style>
  <w:style w:type="character" w:customStyle="1" w:styleId="Heading9Char">
    <w:name w:val="Heading 9 Char"/>
    <w:basedOn w:val="DefaultParagraphFont"/>
    <w:link w:val="Heading9"/>
    <w:uiPriority w:val="99"/>
    <w:locked/>
    <w:rsid w:val="007D4D63"/>
    <w:rPr>
      <w:rFonts w:ascii="Cambria" w:hAnsi="Cambria" w:cs="Times New Roman"/>
    </w:rPr>
  </w:style>
  <w:style w:type="paragraph" w:customStyle="1" w:styleId="ColorfulList-Accent11">
    <w:name w:val="Colorful List - Accent 11"/>
    <w:basedOn w:val="Normal"/>
    <w:link w:val="ColorfulList-Accent1Char"/>
    <w:uiPriority w:val="99"/>
    <w:rsid w:val="007D4D63"/>
    <w:pPr>
      <w:ind w:left="720"/>
      <w:contextualSpacing/>
    </w:pPr>
    <w:rPr>
      <w:rFonts w:ascii="Calibri" w:eastAsia="Calibri" w:hAnsi="Calibri"/>
      <w:spacing w:val="0"/>
      <w:sz w:val="22"/>
      <w:lang w:val="en-US" w:eastAsia="es-ES"/>
    </w:rPr>
  </w:style>
  <w:style w:type="table" w:styleId="TableGrid">
    <w:name w:val="Table Grid"/>
    <w:basedOn w:val="TableNormal"/>
    <w:uiPriority w:val="99"/>
    <w:rsid w:val="007D4D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4D63"/>
    <w:rPr>
      <w:rFonts w:ascii="Tahoma" w:hAnsi="Tahoma"/>
      <w:spacing w:val="0"/>
      <w:sz w:val="16"/>
      <w:szCs w:val="16"/>
      <w:lang w:val="en-US"/>
    </w:rPr>
  </w:style>
  <w:style w:type="character" w:customStyle="1" w:styleId="BalloonTextChar">
    <w:name w:val="Balloon Text Char"/>
    <w:basedOn w:val="DefaultParagraphFont"/>
    <w:link w:val="BalloonText"/>
    <w:uiPriority w:val="99"/>
    <w:semiHidden/>
    <w:locked/>
    <w:rsid w:val="007D4D63"/>
    <w:rPr>
      <w:rFonts w:ascii="Tahoma" w:hAnsi="Tahoma" w:cs="Times New Roman"/>
      <w:sz w:val="16"/>
    </w:rPr>
  </w:style>
  <w:style w:type="paragraph" w:styleId="FootnoteText">
    <w:name w:val="footnote text"/>
    <w:aliases w:val="fn,Texto de rodapé,nota_rodapé,nota de rodapé Car Car,nota de rodapé Car Car Car Car Car Car Car Car Car Car Car,footnote,single space,FOOTNOTES,Footnote Text Char Char,Texto nota pie IIRSA,nota de rodapé,texto de nota al pi,ADB,ft"/>
    <w:basedOn w:val="Normal"/>
    <w:link w:val="FootnoteTextChar2"/>
    <w:uiPriority w:val="99"/>
    <w:rsid w:val="00B87A39"/>
    <w:pPr>
      <w:keepNext/>
      <w:keepLines/>
      <w:spacing w:after="120"/>
      <w:ind w:left="288" w:hanging="288"/>
      <w:jc w:val="both"/>
    </w:pPr>
    <w:rPr>
      <w:rFonts w:eastAsia="Calibri"/>
      <w:sz w:val="20"/>
      <w:lang w:eastAsia="es-ES"/>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 Char Char,nota de rodapé Char"/>
    <w:basedOn w:val="DefaultParagraphFont"/>
    <w:uiPriority w:val="99"/>
    <w:locked/>
    <w:rsid w:val="00853DEB"/>
    <w:rPr>
      <w:rFonts w:ascii="Times New Roman" w:hAnsi="Times New Roman" w:cs="Times New Roman"/>
      <w:spacing w:val="-3"/>
      <w:sz w:val="20"/>
      <w:szCs w:val="20"/>
      <w:lang w:val="es-ES_tradnl"/>
    </w:rPr>
  </w:style>
  <w:style w:type="character" w:customStyle="1" w:styleId="FootnoteTextChar2">
    <w:name w:val="Footnote Text Char2"/>
    <w:aliases w:val="fn Char2,Texto de rodapé Char2,nota_rodapé Char2,nota de rodapé Car Car Char2,nota de rodapé Car Car Car Car Car Car Car Car Car Car Car Char2,footnote Char2,single space Char2,FOOTNOTES Char2,Footnote Text Char Char Char2,ADB Char"/>
    <w:link w:val="FootnoteText"/>
    <w:uiPriority w:val="99"/>
    <w:semiHidden/>
    <w:locked/>
    <w:rsid w:val="007D4D63"/>
    <w:rPr>
      <w:rFonts w:ascii="Times New Roman" w:hAnsi="Times New Roman"/>
      <w:spacing w:val="-3"/>
      <w:lang w:val="es-ES_tradnl"/>
    </w:rPr>
  </w:style>
  <w:style w:type="character" w:styleId="FootnoteReference">
    <w:name w:val="footnote reference"/>
    <w:aliases w:val="ftref,16 Point,Superscript 6 Point,Ref,de nota al pie,referencia nota al pie"/>
    <w:basedOn w:val="DefaultParagraphFont"/>
    <w:uiPriority w:val="99"/>
    <w:rsid w:val="00B87A39"/>
    <w:rPr>
      <w:rFonts w:ascii="Times New Roman" w:hAnsi="Times New Roman" w:cs="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basedOn w:val="DefaultParagraphFont"/>
    <w:link w:val="Header"/>
    <w:uiPriority w:val="99"/>
    <w:locked/>
    <w:rsid w:val="007D4D63"/>
    <w:rPr>
      <w:rFonts w:ascii="Times New Roman" w:hAnsi="Times New Roman" w:cs="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basedOn w:val="DefaultParagraphFont"/>
    <w:link w:val="Footer"/>
    <w:uiPriority w:val="99"/>
    <w:locked/>
    <w:rsid w:val="007D4D63"/>
    <w:rPr>
      <w:rFonts w:ascii="Times New Roman" w:hAnsi="Times New Roman" w:cs="Times New Roman"/>
      <w:spacing w:val="-3"/>
      <w:lang w:val="es-ES_tradnl"/>
    </w:rPr>
  </w:style>
  <w:style w:type="paragraph" w:styleId="Title">
    <w:name w:val="Title"/>
    <w:basedOn w:val="Normal"/>
    <w:link w:val="TitleChar"/>
    <w:uiPriority w:val="99"/>
    <w:qFormat/>
    <w:rsid w:val="007D4D63"/>
    <w:pPr>
      <w:tabs>
        <w:tab w:val="left" w:pos="1440"/>
        <w:tab w:val="left" w:pos="3060"/>
      </w:tabs>
      <w:jc w:val="center"/>
      <w:outlineLvl w:val="0"/>
    </w:pPr>
    <w:rPr>
      <w:spacing w:val="0"/>
      <w:lang w:val="en-US"/>
    </w:rPr>
  </w:style>
  <w:style w:type="character" w:customStyle="1" w:styleId="TitleChar">
    <w:name w:val="Title Char"/>
    <w:basedOn w:val="DefaultParagraphFont"/>
    <w:link w:val="Title"/>
    <w:uiPriority w:val="99"/>
    <w:locked/>
    <w:rsid w:val="007D4D63"/>
    <w:rPr>
      <w:rFonts w:ascii="Times New Roman" w:hAnsi="Times New Roman" w:cs="Times New Roman"/>
      <w:sz w:val="24"/>
    </w:rPr>
  </w:style>
  <w:style w:type="paragraph" w:customStyle="1" w:styleId="Newpage">
    <w:name w:val="Newpage"/>
    <w:basedOn w:val="Normal"/>
    <w:uiPriority w:val="99"/>
    <w:rsid w:val="007D4D63"/>
    <w:pPr>
      <w:tabs>
        <w:tab w:val="left" w:pos="1440"/>
        <w:tab w:val="left" w:pos="3060"/>
      </w:tabs>
      <w:jc w:val="center"/>
    </w:pPr>
    <w:rPr>
      <w:rFonts w:cs="Arial"/>
      <w:b/>
      <w:smallCaps/>
    </w:rPr>
  </w:style>
  <w:style w:type="paragraph" w:styleId="BodyText">
    <w:name w:val="Body Text"/>
    <w:basedOn w:val="Normal"/>
    <w:link w:val="BodyTextChar"/>
    <w:uiPriority w:val="99"/>
    <w:rsid w:val="007D4D63"/>
    <w:pPr>
      <w:tabs>
        <w:tab w:val="left" w:pos="3060"/>
      </w:tabs>
      <w:jc w:val="center"/>
    </w:pPr>
    <w:rPr>
      <w:spacing w:val="0"/>
      <w:lang w:val="en-US"/>
    </w:rPr>
  </w:style>
  <w:style w:type="character" w:customStyle="1" w:styleId="BodyTextChar">
    <w:name w:val="Body Text Char"/>
    <w:basedOn w:val="DefaultParagraphFont"/>
    <w:link w:val="BodyText"/>
    <w:uiPriority w:val="99"/>
    <w:locked/>
    <w:rsid w:val="007D4D63"/>
    <w:rPr>
      <w:rFonts w:ascii="Times New Roman" w:hAnsi="Times New Roman" w:cs="Times New Roman"/>
      <w:sz w:val="24"/>
    </w:rPr>
  </w:style>
  <w:style w:type="character" w:customStyle="1" w:styleId="gt-icon-text1">
    <w:name w:val="gt-icon-text1"/>
    <w:basedOn w:val="DefaultParagraphFont"/>
    <w:uiPriority w:val="99"/>
    <w:rsid w:val="007D4D63"/>
    <w:rPr>
      <w:rFonts w:cs="Times New Roman"/>
    </w:rPr>
  </w:style>
  <w:style w:type="paragraph" w:styleId="z-TopofForm">
    <w:name w:val="HTML Top of Form"/>
    <w:basedOn w:val="Normal"/>
    <w:next w:val="Normal"/>
    <w:link w:val="z-TopofFormChar"/>
    <w:hidden/>
    <w:uiPriority w:val="99"/>
    <w:rsid w:val="007D4D63"/>
    <w:pPr>
      <w:pBdr>
        <w:bottom w:val="single" w:sz="6" w:space="1" w:color="auto"/>
      </w:pBdr>
      <w:jc w:val="center"/>
    </w:pPr>
    <w:rPr>
      <w:rFonts w:ascii="Arial" w:hAnsi="Arial"/>
      <w:vanish/>
      <w:spacing w:val="0"/>
      <w:sz w:val="16"/>
      <w:szCs w:val="16"/>
      <w:lang w:val="en-US"/>
    </w:rPr>
  </w:style>
  <w:style w:type="character" w:customStyle="1" w:styleId="z-TopofFormChar">
    <w:name w:val="z-Top of Form Char"/>
    <w:basedOn w:val="DefaultParagraphFont"/>
    <w:link w:val="z-TopofForm"/>
    <w:uiPriority w:val="99"/>
    <w:locked/>
    <w:rsid w:val="007D4D63"/>
    <w:rPr>
      <w:rFonts w:ascii="Arial" w:hAnsi="Arial" w:cs="Times New Roman"/>
      <w:vanish/>
      <w:sz w:val="16"/>
    </w:rPr>
  </w:style>
  <w:style w:type="paragraph" w:styleId="z-BottomofForm">
    <w:name w:val="HTML Bottom of Form"/>
    <w:basedOn w:val="Normal"/>
    <w:next w:val="Normal"/>
    <w:link w:val="z-BottomofFormChar"/>
    <w:hidden/>
    <w:uiPriority w:val="99"/>
    <w:rsid w:val="007D4D63"/>
    <w:pPr>
      <w:pBdr>
        <w:top w:val="single" w:sz="6" w:space="1" w:color="auto"/>
      </w:pBdr>
      <w:jc w:val="center"/>
    </w:pPr>
    <w:rPr>
      <w:rFonts w:ascii="Arial" w:hAnsi="Arial"/>
      <w:vanish/>
      <w:spacing w:val="0"/>
      <w:sz w:val="16"/>
      <w:szCs w:val="16"/>
      <w:lang w:val="en-US"/>
    </w:rPr>
  </w:style>
  <w:style w:type="character" w:customStyle="1" w:styleId="z-BottomofFormChar">
    <w:name w:val="z-Bottom of Form Char"/>
    <w:basedOn w:val="DefaultParagraphFont"/>
    <w:link w:val="z-BottomofForm"/>
    <w:uiPriority w:val="99"/>
    <w:locked/>
    <w:rsid w:val="007D4D63"/>
    <w:rPr>
      <w:rFonts w:ascii="Arial" w:hAnsi="Arial" w:cs="Times New Roman"/>
      <w:vanish/>
      <w:sz w:val="16"/>
    </w:rPr>
  </w:style>
  <w:style w:type="character" w:styleId="CommentReference">
    <w:name w:val="annotation reference"/>
    <w:basedOn w:val="DefaultParagraphFont"/>
    <w:uiPriority w:val="99"/>
    <w:rsid w:val="007D4D63"/>
    <w:rPr>
      <w:rFonts w:cs="Times New Roman"/>
      <w:sz w:val="16"/>
    </w:rPr>
  </w:style>
  <w:style w:type="paragraph" w:styleId="CommentText">
    <w:name w:val="annotation text"/>
    <w:basedOn w:val="Normal"/>
    <w:link w:val="CommentTextChar"/>
    <w:uiPriority w:val="99"/>
    <w:rsid w:val="007D4D63"/>
    <w:rPr>
      <w:sz w:val="20"/>
    </w:rPr>
  </w:style>
  <w:style w:type="character" w:customStyle="1" w:styleId="CommentTextChar">
    <w:name w:val="Comment Text Char"/>
    <w:basedOn w:val="DefaultParagraphFont"/>
    <w:link w:val="CommentText"/>
    <w:uiPriority w:val="99"/>
    <w:locked/>
    <w:rsid w:val="007D4D63"/>
    <w:rPr>
      <w:rFonts w:cs="Times New Roman"/>
    </w:rPr>
  </w:style>
  <w:style w:type="paragraph" w:styleId="CommentSubject">
    <w:name w:val="annotation subject"/>
    <w:basedOn w:val="CommentText"/>
    <w:next w:val="CommentText"/>
    <w:link w:val="CommentSubjectChar"/>
    <w:uiPriority w:val="99"/>
    <w:rsid w:val="007D4D63"/>
    <w:rPr>
      <w:rFonts w:ascii="Calibri" w:eastAsia="Calibri" w:hAnsi="Calibri"/>
      <w:b/>
      <w:bCs/>
      <w:spacing w:val="0"/>
      <w:lang w:val="en-US"/>
    </w:rPr>
  </w:style>
  <w:style w:type="character" w:customStyle="1" w:styleId="CommentSubjectChar">
    <w:name w:val="Comment Subject Char"/>
    <w:basedOn w:val="CommentTextChar"/>
    <w:link w:val="CommentSubject"/>
    <w:uiPriority w:val="99"/>
    <w:locked/>
    <w:rsid w:val="007D4D63"/>
    <w:rPr>
      <w:rFonts w:cs="Times New Roman"/>
      <w:b/>
    </w:rPr>
  </w:style>
  <w:style w:type="paragraph" w:customStyle="1" w:styleId="Chapter">
    <w:name w:val="Chapter"/>
    <w:basedOn w:val="Normal"/>
    <w:next w:val="Normal"/>
    <w:link w:val="ChapterChar"/>
    <w:uiPriority w:val="99"/>
    <w:rsid w:val="007D4D63"/>
    <w:pPr>
      <w:keepNext/>
      <w:numPr>
        <w:numId w:val="1"/>
      </w:numPr>
      <w:tabs>
        <w:tab w:val="num" w:pos="648"/>
        <w:tab w:val="left" w:pos="1440"/>
      </w:tabs>
      <w:spacing w:before="240" w:after="240"/>
      <w:ind w:firstLine="288"/>
      <w:jc w:val="center"/>
    </w:pPr>
    <w:rPr>
      <w:rFonts w:eastAsia="Calibri"/>
      <w:b/>
      <w:smallCaps/>
      <w:spacing w:val="0"/>
      <w:lang w:val="en-US" w:eastAsia="es-ES"/>
    </w:rPr>
  </w:style>
  <w:style w:type="character" w:customStyle="1" w:styleId="ColorfulList-Accent1Char">
    <w:name w:val="Colorful List - Accent 1 Char"/>
    <w:link w:val="ColorfulList-Accent11"/>
    <w:uiPriority w:val="99"/>
    <w:locked/>
    <w:rsid w:val="007D4D63"/>
    <w:rPr>
      <w:sz w:val="22"/>
    </w:rPr>
  </w:style>
  <w:style w:type="character" w:customStyle="1" w:styleId="ChapterChar">
    <w:name w:val="Chapter Char"/>
    <w:link w:val="Chapter"/>
    <w:uiPriority w:val="99"/>
    <w:locked/>
    <w:rsid w:val="007D4D63"/>
    <w:rPr>
      <w:rFonts w:ascii="Times New Roman" w:hAnsi="Times New Roman"/>
      <w:b/>
      <w:smallCaps/>
      <w:sz w:val="24"/>
    </w:rPr>
  </w:style>
  <w:style w:type="paragraph" w:customStyle="1" w:styleId="FirstHeading">
    <w:name w:val="FirstHeading"/>
    <w:basedOn w:val="Normal"/>
    <w:next w:val="Normal"/>
    <w:link w:val="FirstHeadingChar"/>
    <w:uiPriority w:val="99"/>
    <w:rsid w:val="007D4D63"/>
    <w:pPr>
      <w:keepNext/>
      <w:tabs>
        <w:tab w:val="left" w:pos="0"/>
        <w:tab w:val="left" w:pos="86"/>
      </w:tabs>
      <w:spacing w:before="120" w:after="120"/>
      <w:ind w:hanging="720"/>
    </w:pPr>
    <w:rPr>
      <w:rFonts w:eastAsia="Calibri"/>
      <w:b/>
      <w:spacing w:val="0"/>
      <w:sz w:val="22"/>
      <w:lang w:val="en-US" w:eastAsia="es-ES"/>
    </w:rPr>
  </w:style>
  <w:style w:type="character" w:customStyle="1" w:styleId="FirstHeadingChar">
    <w:name w:val="FirstHeading Char"/>
    <w:link w:val="FirstHeading"/>
    <w:uiPriority w:val="99"/>
    <w:locked/>
    <w:rsid w:val="007D4D63"/>
    <w:rPr>
      <w:rFonts w:ascii="Times New Roman" w:hAnsi="Times New Roman"/>
      <w:b/>
      <w:sz w:val="22"/>
    </w:rPr>
  </w:style>
  <w:style w:type="paragraph" w:customStyle="1" w:styleId="SecHeading">
    <w:name w:val="SecHeading"/>
    <w:basedOn w:val="Normal"/>
    <w:next w:val="Paragraph"/>
    <w:link w:val="SecHeadingChar"/>
    <w:uiPriority w:val="99"/>
    <w:rsid w:val="007D4D63"/>
    <w:pPr>
      <w:keepNext/>
      <w:tabs>
        <w:tab w:val="num" w:pos="1296"/>
      </w:tabs>
      <w:spacing w:before="120" w:after="120"/>
      <w:ind w:left="1296" w:hanging="576"/>
    </w:pPr>
    <w:rPr>
      <w:rFonts w:eastAsia="Calibri"/>
      <w:b/>
      <w:spacing w:val="0"/>
      <w:sz w:val="22"/>
      <w:lang w:val="en-US" w:eastAsia="es-ES"/>
    </w:rPr>
  </w:style>
  <w:style w:type="character" w:customStyle="1" w:styleId="SecHeadingChar">
    <w:name w:val="SecHeading Char"/>
    <w:link w:val="SecHeading"/>
    <w:uiPriority w:val="99"/>
    <w:locked/>
    <w:rsid w:val="007D4D63"/>
    <w:rPr>
      <w:rFonts w:ascii="Times New Roman" w:hAnsi="Times New Roman"/>
      <w:b/>
      <w:sz w:val="22"/>
    </w:rPr>
  </w:style>
  <w:style w:type="paragraph" w:customStyle="1" w:styleId="SubHeading1">
    <w:name w:val="SubHeading1"/>
    <w:basedOn w:val="SecHeading"/>
    <w:link w:val="SubHeading1Char"/>
    <w:uiPriority w:val="99"/>
    <w:rsid w:val="007D4D63"/>
    <w:pPr>
      <w:tabs>
        <w:tab w:val="clear" w:pos="1296"/>
        <w:tab w:val="num" w:pos="1872"/>
      </w:tabs>
      <w:ind w:left="1872"/>
    </w:pPr>
  </w:style>
  <w:style w:type="character" w:customStyle="1" w:styleId="SubHeading1Char">
    <w:name w:val="SubHeading1 Char"/>
    <w:link w:val="SubHeading1"/>
    <w:uiPriority w:val="99"/>
    <w:locked/>
    <w:rsid w:val="007D4D63"/>
    <w:rPr>
      <w:rFonts w:ascii="Times New Roman" w:hAnsi="Times New Roman"/>
      <w:b/>
      <w:sz w:val="22"/>
    </w:rPr>
  </w:style>
  <w:style w:type="paragraph" w:customStyle="1" w:styleId="Subheading2">
    <w:name w:val="Subheading2"/>
    <w:basedOn w:val="SecHeading"/>
    <w:link w:val="Subheading2Char"/>
    <w:uiPriority w:val="99"/>
    <w:rsid w:val="007D4D63"/>
    <w:pPr>
      <w:tabs>
        <w:tab w:val="clear" w:pos="1296"/>
        <w:tab w:val="num" w:pos="2376"/>
      </w:tabs>
      <w:ind w:left="2376" w:hanging="288"/>
    </w:pPr>
  </w:style>
  <w:style w:type="character" w:customStyle="1" w:styleId="Subheading2Char">
    <w:name w:val="Subheading2 Char"/>
    <w:link w:val="Subheading2"/>
    <w:uiPriority w:val="99"/>
    <w:locked/>
    <w:rsid w:val="007D4D63"/>
    <w:rPr>
      <w:rFonts w:ascii="Times New Roman" w:hAnsi="Times New Roman"/>
      <w:b/>
      <w:sz w:val="22"/>
    </w:rPr>
  </w:style>
  <w:style w:type="paragraph" w:customStyle="1" w:styleId="Paragraph">
    <w:name w:val="Paragraph"/>
    <w:aliases w:val="paragraph,p,PARAGRAPH,PG,pa,at"/>
    <w:basedOn w:val="BodyTextIndent"/>
    <w:link w:val="ParagraphChar"/>
    <w:uiPriority w:val="99"/>
    <w:rsid w:val="007D4D63"/>
    <w:pPr>
      <w:tabs>
        <w:tab w:val="num" w:pos="720"/>
      </w:tabs>
      <w:spacing w:before="120"/>
      <w:ind w:hanging="720"/>
      <w:jc w:val="both"/>
      <w:outlineLvl w:val="1"/>
    </w:pPr>
    <w:rPr>
      <w:rFonts w:eastAsia="Calibri"/>
      <w:spacing w:val="0"/>
      <w:sz w:val="22"/>
      <w:lang w:val="en-US" w:eastAsia="es-ES"/>
    </w:rPr>
  </w:style>
  <w:style w:type="character" w:customStyle="1" w:styleId="ParagraphChar">
    <w:name w:val="Paragraph Char"/>
    <w:link w:val="Paragraph"/>
    <w:uiPriority w:val="99"/>
    <w:locked/>
    <w:rsid w:val="007D4D63"/>
    <w:rPr>
      <w:rFonts w:ascii="Times New Roman" w:hAnsi="Times New Roman"/>
      <w:sz w:val="22"/>
    </w:rPr>
  </w:style>
  <w:style w:type="paragraph" w:customStyle="1" w:styleId="subpar">
    <w:name w:val="subpar"/>
    <w:basedOn w:val="BodyTextIndent3"/>
    <w:link w:val="subparChar"/>
    <w:uiPriority w:val="99"/>
    <w:rsid w:val="007D4D63"/>
    <w:pPr>
      <w:tabs>
        <w:tab w:val="num" w:pos="1152"/>
      </w:tabs>
      <w:spacing w:before="120"/>
      <w:ind w:left="1152" w:hanging="432"/>
      <w:jc w:val="both"/>
      <w:outlineLvl w:val="2"/>
    </w:pPr>
    <w:rPr>
      <w:sz w:val="16"/>
      <w:szCs w:val="20"/>
      <w:lang w:eastAsia="es-ES"/>
    </w:rPr>
  </w:style>
  <w:style w:type="character" w:customStyle="1" w:styleId="subparChar">
    <w:name w:val="subpar Char"/>
    <w:link w:val="subpar"/>
    <w:uiPriority w:val="99"/>
    <w:locked/>
    <w:rsid w:val="007D4D63"/>
    <w:rPr>
      <w:rFonts w:ascii="Times New Roman" w:hAnsi="Times New Roman"/>
      <w:sz w:val="16"/>
    </w:rPr>
  </w:style>
  <w:style w:type="paragraph" w:customStyle="1" w:styleId="SubSubPar">
    <w:name w:val="SubSubPar"/>
    <w:basedOn w:val="subpar"/>
    <w:link w:val="SubSubParChar"/>
    <w:uiPriority w:val="99"/>
    <w:rsid w:val="007D4D63"/>
    <w:pPr>
      <w:tabs>
        <w:tab w:val="left" w:pos="0"/>
        <w:tab w:val="num" w:pos="1296"/>
      </w:tabs>
      <w:ind w:left="1296" w:hanging="288"/>
    </w:pPr>
  </w:style>
  <w:style w:type="character" w:customStyle="1" w:styleId="SubSubParChar">
    <w:name w:val="SubSubPar Char"/>
    <w:link w:val="SubSubPar"/>
    <w:uiPriority w:val="99"/>
    <w:locked/>
    <w:rsid w:val="007D4D63"/>
    <w:rPr>
      <w:rFonts w:ascii="Times New Roman" w:hAnsi="Times New Roman"/>
      <w:sz w:val="16"/>
    </w:rPr>
  </w:style>
  <w:style w:type="paragraph" w:customStyle="1" w:styleId="Regtable">
    <w:name w:val="Regtable"/>
    <w:link w:val="RegtableChar"/>
    <w:uiPriority w:val="99"/>
    <w:rsid w:val="00B87A39"/>
    <w:pPr>
      <w:keepLines/>
      <w:spacing w:before="20" w:after="20"/>
    </w:pPr>
    <w:rPr>
      <w:rFonts w:ascii="Times New Roman" w:hAnsi="Times New Roman"/>
      <w:noProof/>
    </w:rPr>
  </w:style>
  <w:style w:type="character" w:customStyle="1" w:styleId="RegtableChar">
    <w:name w:val="Regtable Char"/>
    <w:link w:val="Regtable"/>
    <w:uiPriority w:val="99"/>
    <w:locked/>
    <w:rsid w:val="007D4D63"/>
    <w:rPr>
      <w:rFonts w:ascii="Times New Roman" w:hAnsi="Times New Roman"/>
      <w:noProof/>
      <w:sz w:val="22"/>
      <w:lang w:val="en-US" w:eastAsia="en-US"/>
    </w:rPr>
  </w:style>
  <w:style w:type="paragraph" w:customStyle="1" w:styleId="TableTitle">
    <w:name w:val="TableTitle"/>
    <w:basedOn w:val="Normal"/>
    <w:link w:val="TableTitleChar"/>
    <w:uiPriority w:val="99"/>
    <w:rsid w:val="00B87A39"/>
    <w:pPr>
      <w:keepNext/>
      <w:spacing w:before="20" w:after="20"/>
      <w:jc w:val="center"/>
    </w:pPr>
    <w:rPr>
      <w:rFonts w:ascii="Times New Roman Bold" w:eastAsia="Calibri" w:hAnsi="Times New Roman Bold"/>
      <w:b/>
      <w:sz w:val="20"/>
      <w:lang w:val="es-ES" w:eastAsia="es-ES"/>
    </w:rPr>
  </w:style>
  <w:style w:type="character" w:customStyle="1" w:styleId="TableTitleChar">
    <w:name w:val="TableTitle Char"/>
    <w:link w:val="TableTitle"/>
    <w:uiPriority w:val="99"/>
    <w:locked/>
    <w:rsid w:val="007D4D63"/>
    <w:rPr>
      <w:rFonts w:ascii="Times New Roman Bold" w:hAnsi="Times New Roman Bold"/>
      <w:b/>
      <w:spacing w:val="-3"/>
      <w:lang w:val="es-ES"/>
    </w:rPr>
  </w:style>
  <w:style w:type="paragraph" w:styleId="BodyTextIndent">
    <w:name w:val="Body Text Indent"/>
    <w:basedOn w:val="Normal"/>
    <w:link w:val="BodyTextIndentChar"/>
    <w:uiPriority w:val="99"/>
    <w:rsid w:val="00B87A39"/>
    <w:pPr>
      <w:spacing w:after="120"/>
      <w:ind w:left="360"/>
    </w:pPr>
  </w:style>
  <w:style w:type="character" w:customStyle="1" w:styleId="BodyTextIndentChar">
    <w:name w:val="Body Text Indent Char"/>
    <w:basedOn w:val="DefaultParagraphFont"/>
    <w:link w:val="BodyTextIndent"/>
    <w:uiPriority w:val="99"/>
    <w:locked/>
    <w:rsid w:val="007D4D63"/>
    <w:rPr>
      <w:rFonts w:ascii="Times New Roman" w:hAnsi="Times New Roman" w:cs="Times New Roman"/>
      <w:spacing w:val="-3"/>
      <w:sz w:val="24"/>
      <w:lang w:val="es-ES_tradnl"/>
    </w:rPr>
  </w:style>
  <w:style w:type="paragraph" w:styleId="BodyTextIndent3">
    <w:name w:val="Body Text Indent 3"/>
    <w:basedOn w:val="Normal"/>
    <w:link w:val="BodyTextIndent3Char"/>
    <w:uiPriority w:val="99"/>
    <w:rsid w:val="007D4D63"/>
    <w:pPr>
      <w:spacing w:after="120"/>
      <w:ind w:left="360"/>
    </w:pPr>
    <w:rPr>
      <w:rFonts w:eastAsia="Calibri"/>
      <w:spacing w:val="0"/>
      <w:szCs w:val="16"/>
      <w:lang w:val="en-US"/>
    </w:rPr>
  </w:style>
  <w:style w:type="character" w:customStyle="1" w:styleId="BodyTextIndent3Char">
    <w:name w:val="Body Text Indent 3 Char"/>
    <w:basedOn w:val="DefaultParagraphFont"/>
    <w:link w:val="BodyTextIndent3"/>
    <w:uiPriority w:val="99"/>
    <w:locked/>
    <w:rsid w:val="007D4D63"/>
    <w:rPr>
      <w:rFonts w:ascii="Times New Roman" w:hAnsi="Times New Roman" w:cs="Times New Roman"/>
      <w:sz w:val="16"/>
    </w:rPr>
  </w:style>
  <w:style w:type="character" w:styleId="Hyperlink">
    <w:name w:val="Hyperlink"/>
    <w:basedOn w:val="DefaultParagraphFont"/>
    <w:uiPriority w:val="99"/>
    <w:rsid w:val="00B87A39"/>
    <w:rPr>
      <w:rFonts w:ascii="Times New Roman" w:hAnsi="Times New Roman" w:cs="Times New Roman"/>
      <w:color w:val="0000FF"/>
      <w:sz w:val="24"/>
      <w:u w:val="single"/>
    </w:rPr>
  </w:style>
  <w:style w:type="character" w:styleId="FollowedHyperlink">
    <w:name w:val="FollowedHyperlink"/>
    <w:basedOn w:val="DefaultParagraphFont"/>
    <w:uiPriority w:val="99"/>
    <w:rsid w:val="00BA0FEF"/>
    <w:rPr>
      <w:rFonts w:cs="Times New Roman"/>
      <w:color w:val="800080"/>
      <w:u w:val="single"/>
    </w:rPr>
  </w:style>
  <w:style w:type="paragraph" w:customStyle="1" w:styleId="AutoNumpara">
    <w:name w:val="AutoNumpara"/>
    <w:basedOn w:val="BodyTextIndent"/>
    <w:uiPriority w:val="99"/>
    <w:rsid w:val="00B87A39"/>
    <w:pPr>
      <w:numPr>
        <w:ilvl w:val="1"/>
        <w:numId w:val="11"/>
      </w:numPr>
      <w:spacing w:before="120"/>
      <w:jc w:val="both"/>
    </w:pPr>
    <w:rPr>
      <w:noProof/>
      <w:spacing w:val="-2"/>
    </w:rPr>
  </w:style>
  <w:style w:type="paragraph" w:customStyle="1" w:styleId="bullets">
    <w:name w:val="bullets"/>
    <w:uiPriority w:val="99"/>
    <w:rsid w:val="00B87A39"/>
    <w:pPr>
      <w:numPr>
        <w:numId w:val="2"/>
      </w:numPr>
      <w:spacing w:before="120" w:after="120"/>
      <w:jc w:val="both"/>
    </w:pPr>
    <w:rPr>
      <w:rFonts w:ascii="Times New Roman" w:eastAsia="Times New Roman" w:hAnsi="Times New Roman"/>
      <w:spacing w:val="-2"/>
      <w:sz w:val="24"/>
      <w:szCs w:val="20"/>
    </w:rPr>
  </w:style>
  <w:style w:type="paragraph" w:styleId="Caption">
    <w:name w:val="caption"/>
    <w:basedOn w:val="Normal"/>
    <w:next w:val="Normal"/>
    <w:uiPriority w:val="99"/>
    <w:qFormat/>
    <w:rsid w:val="00B87A39"/>
    <w:pPr>
      <w:widowControl w:val="0"/>
    </w:pPr>
  </w:style>
  <w:style w:type="paragraph" w:customStyle="1" w:styleId="CountryName">
    <w:name w:val="CountryName"/>
    <w:basedOn w:val="Normal"/>
    <w:uiPriority w:val="99"/>
    <w:rsid w:val="00B87A39"/>
    <w:pPr>
      <w:jc w:val="center"/>
    </w:pPr>
    <w:rPr>
      <w:rFonts w:ascii="Times New Roman Bold" w:hAnsi="Times New Roman Bold"/>
      <w:b/>
      <w:smallCaps/>
      <w:sz w:val="32"/>
    </w:rPr>
  </w:style>
  <w:style w:type="paragraph" w:customStyle="1" w:styleId="heading-b24">
    <w:name w:val="heading-b24"/>
    <w:basedOn w:val="Normal"/>
    <w:next w:val="Normal"/>
    <w:uiPriority w:val="99"/>
    <w:rsid w:val="00B87A39"/>
    <w:pPr>
      <w:spacing w:after="600"/>
      <w:jc w:val="center"/>
    </w:pPr>
    <w:rPr>
      <w:rFonts w:ascii="Times New Roman Bold" w:hAnsi="Times New Roman Bold"/>
      <w:b/>
      <w:smallCaps/>
    </w:rPr>
  </w:style>
  <w:style w:type="paragraph" w:customStyle="1" w:styleId="IndentedParagr">
    <w:name w:val="IndentedParagr"/>
    <w:basedOn w:val="Normal"/>
    <w:uiPriority w:val="99"/>
    <w:rsid w:val="00B87A39"/>
    <w:pPr>
      <w:spacing w:before="120" w:after="120"/>
      <w:ind w:left="720"/>
      <w:jc w:val="both"/>
    </w:pPr>
    <w:rPr>
      <w:spacing w:val="0"/>
    </w:rPr>
  </w:style>
  <w:style w:type="paragraph" w:customStyle="1" w:styleId="Inter-Ametitle">
    <w:name w:val="Inter-Ametitle"/>
    <w:basedOn w:val="Normal"/>
    <w:uiPriority w:val="99"/>
    <w:rsid w:val="00B87A39"/>
    <w:pPr>
      <w:jc w:val="center"/>
    </w:pPr>
    <w:rPr>
      <w:smallCaps/>
    </w:rPr>
  </w:style>
  <w:style w:type="paragraph" w:customStyle="1" w:styleId="Listabbreviations">
    <w:name w:val="List abbreviations"/>
    <w:basedOn w:val="Normal"/>
    <w:uiPriority w:val="99"/>
    <w:rsid w:val="00B87A39"/>
    <w:pPr>
      <w:tabs>
        <w:tab w:val="left" w:pos="1620"/>
      </w:tabs>
      <w:ind w:left="1627" w:hanging="1627"/>
    </w:pPr>
  </w:style>
  <w:style w:type="paragraph" w:customStyle="1" w:styleId="LoanProposal">
    <w:name w:val="LoanProposal"/>
    <w:uiPriority w:val="99"/>
    <w:rsid w:val="00B87A39"/>
    <w:pPr>
      <w:spacing w:after="480"/>
      <w:jc w:val="center"/>
    </w:pPr>
    <w:rPr>
      <w:rFonts w:ascii="Times New Roman Bold" w:eastAsia="Times New Roman" w:hAnsi="Times New Roman Bold"/>
      <w:b/>
      <w:smallCaps/>
      <w:noProof/>
      <w:sz w:val="28"/>
      <w:szCs w:val="20"/>
    </w:rPr>
  </w:style>
  <w:style w:type="character" w:styleId="PageNumber">
    <w:name w:val="page number"/>
    <w:basedOn w:val="DefaultParagraphFont"/>
    <w:uiPriority w:val="99"/>
    <w:rsid w:val="00B87A39"/>
    <w:rPr>
      <w:rFonts w:cs="Times New Roman"/>
    </w:rPr>
  </w:style>
  <w:style w:type="paragraph" w:customStyle="1" w:styleId="Paragrapha">
    <w:name w:val="Paragraph a"/>
    <w:uiPriority w:val="99"/>
    <w:rsid w:val="00B87A39"/>
    <w:pPr>
      <w:numPr>
        <w:numId w:val="6"/>
      </w:numPr>
      <w:spacing w:before="120" w:after="120"/>
      <w:jc w:val="both"/>
    </w:pPr>
    <w:rPr>
      <w:rFonts w:ascii="Times New Roman" w:eastAsia="Times New Roman" w:hAnsi="Times New Roman"/>
      <w:noProof/>
      <w:sz w:val="24"/>
      <w:szCs w:val="20"/>
    </w:rPr>
  </w:style>
  <w:style w:type="paragraph" w:customStyle="1" w:styleId="Paragraph1">
    <w:name w:val="Paragraph1"/>
    <w:uiPriority w:val="99"/>
    <w:rsid w:val="00B87A39"/>
    <w:pPr>
      <w:numPr>
        <w:numId w:val="7"/>
      </w:numPr>
      <w:spacing w:before="120" w:after="120"/>
      <w:jc w:val="both"/>
    </w:pPr>
    <w:rPr>
      <w:rFonts w:ascii="Times New Roman" w:eastAsia="Times New Roman" w:hAnsi="Times New Roman"/>
      <w:noProof/>
      <w:sz w:val="24"/>
      <w:szCs w:val="20"/>
    </w:rPr>
  </w:style>
  <w:style w:type="paragraph" w:customStyle="1" w:styleId="ProjecName">
    <w:name w:val="ProjecName"/>
    <w:basedOn w:val="Normal"/>
    <w:uiPriority w:val="99"/>
    <w:rsid w:val="00B87A39"/>
    <w:pPr>
      <w:jc w:val="center"/>
    </w:pPr>
    <w:rPr>
      <w:rFonts w:ascii="Times New Roman Bold" w:hAnsi="Times New Roman Bold"/>
      <w:b/>
      <w:smallCaps/>
    </w:rPr>
  </w:style>
  <w:style w:type="paragraph" w:customStyle="1" w:styleId="ProjectNumber">
    <w:name w:val="ProjectNumber"/>
    <w:basedOn w:val="Normal"/>
    <w:uiPriority w:val="99"/>
    <w:rsid w:val="00B87A39"/>
    <w:pPr>
      <w:spacing w:before="960" w:after="720"/>
      <w:jc w:val="center"/>
    </w:pPr>
    <w:rPr>
      <w:rFonts w:ascii="Times New Roman Bold" w:hAnsi="Times New Roman Bold"/>
      <w:smallCaps/>
    </w:rPr>
  </w:style>
  <w:style w:type="paragraph" w:customStyle="1" w:styleId="ProjectTitle">
    <w:name w:val="ProjectTitle"/>
    <w:uiPriority w:val="99"/>
    <w:rsid w:val="00B87A39"/>
    <w:pPr>
      <w:jc w:val="center"/>
    </w:pPr>
    <w:rPr>
      <w:rFonts w:ascii="Times New Roman Bold" w:eastAsia="Times New Roman" w:hAnsi="Times New Roman Bold"/>
      <w:b/>
      <w:smallCaps/>
      <w:noProof/>
      <w:sz w:val="32"/>
      <w:szCs w:val="20"/>
    </w:rPr>
  </w:style>
  <w:style w:type="paragraph" w:customStyle="1" w:styleId="RomanParagraph">
    <w:name w:val="RomanParagraph"/>
    <w:uiPriority w:val="99"/>
    <w:rsid w:val="00B87A39"/>
    <w:pPr>
      <w:numPr>
        <w:numId w:val="8"/>
      </w:numPr>
      <w:spacing w:before="120" w:after="120"/>
      <w:jc w:val="both"/>
    </w:pPr>
    <w:rPr>
      <w:rFonts w:ascii="Times New Roman" w:eastAsia="Times New Roman" w:hAnsi="Times New Roman"/>
      <w:noProof/>
      <w:sz w:val="24"/>
      <w:szCs w:val="20"/>
    </w:rPr>
  </w:style>
  <w:style w:type="paragraph" w:customStyle="1" w:styleId="StyleProjectNumberBold">
    <w:name w:val="Style ProjectNumber + Bold"/>
    <w:basedOn w:val="ProjectNumber"/>
    <w:uiPriority w:val="99"/>
    <w:rsid w:val="00B87A39"/>
    <w:rPr>
      <w:b/>
      <w:bCs/>
    </w:rPr>
  </w:style>
  <w:style w:type="paragraph" w:customStyle="1" w:styleId="StyleTimesNewRomanBoldBoldAllcapsCentered">
    <w:name w:val="Style Times New Roman Bold Bold All caps Centered"/>
    <w:basedOn w:val="Normal"/>
    <w:uiPriority w:val="99"/>
    <w:rsid w:val="00B87A39"/>
    <w:pPr>
      <w:jc w:val="center"/>
    </w:pPr>
    <w:rPr>
      <w:rFonts w:ascii="Times New Roman Bold" w:hAnsi="Times New Roman Bold"/>
      <w:b/>
      <w:bCs/>
      <w:caps/>
    </w:rPr>
  </w:style>
  <w:style w:type="paragraph" w:customStyle="1" w:styleId="TableContentsTitle">
    <w:name w:val="TableContentsTitle"/>
    <w:basedOn w:val="Normal"/>
    <w:uiPriority w:val="99"/>
    <w:rsid w:val="00B87A39"/>
    <w:pPr>
      <w:spacing w:after="720"/>
      <w:jc w:val="center"/>
    </w:pPr>
    <w:rPr>
      <w:smallCaps/>
      <w:noProof/>
      <w:spacing w:val="0"/>
    </w:rPr>
  </w:style>
  <w:style w:type="paragraph" w:styleId="TOC1">
    <w:name w:val="toc 1"/>
    <w:basedOn w:val="Normal"/>
    <w:next w:val="Normal"/>
    <w:autoRedefine/>
    <w:uiPriority w:val="99"/>
    <w:rsid w:val="00B87A39"/>
    <w:pPr>
      <w:tabs>
        <w:tab w:val="left" w:pos="634"/>
        <w:tab w:val="right" w:leader="dot" w:pos="8630"/>
      </w:tabs>
      <w:spacing w:before="240" w:after="240"/>
      <w:ind w:left="634" w:hanging="634"/>
      <w:outlineLvl w:val="0"/>
    </w:pPr>
    <w:rPr>
      <w:smallCaps/>
      <w:noProof/>
    </w:rPr>
  </w:style>
  <w:style w:type="paragraph" w:styleId="TOC2">
    <w:name w:val="toc 2"/>
    <w:basedOn w:val="Normal"/>
    <w:next w:val="Normal"/>
    <w:autoRedefine/>
    <w:uiPriority w:val="99"/>
    <w:rsid w:val="00B87A39"/>
    <w:pPr>
      <w:tabs>
        <w:tab w:val="left" w:pos="1166"/>
        <w:tab w:val="right" w:leader="dot" w:pos="8630"/>
      </w:tabs>
      <w:ind w:left="1181" w:hanging="547"/>
    </w:pPr>
    <w:rPr>
      <w:noProof/>
    </w:rPr>
  </w:style>
  <w:style w:type="paragraph" w:styleId="TOC3">
    <w:name w:val="toc 3"/>
    <w:basedOn w:val="Normal"/>
    <w:next w:val="Normal"/>
    <w:autoRedefine/>
    <w:uiPriority w:val="99"/>
    <w:rsid w:val="00B87A39"/>
    <w:pPr>
      <w:tabs>
        <w:tab w:val="left" w:pos="1627"/>
        <w:tab w:val="right" w:leader="dot" w:pos="8630"/>
      </w:tabs>
      <w:ind w:left="1713" w:hanging="547"/>
    </w:pPr>
    <w:rPr>
      <w:noProof/>
    </w:rPr>
  </w:style>
  <w:style w:type="paragraph" w:styleId="BodyText2">
    <w:name w:val="Body Text 2"/>
    <w:basedOn w:val="Normal"/>
    <w:link w:val="BodyText2Char"/>
    <w:uiPriority w:val="99"/>
    <w:rsid w:val="00B22364"/>
    <w:pPr>
      <w:spacing w:after="120" w:line="480" w:lineRule="auto"/>
    </w:pPr>
    <w:rPr>
      <w:spacing w:val="0"/>
      <w:lang w:val="en-US"/>
    </w:rPr>
  </w:style>
  <w:style w:type="character" w:customStyle="1" w:styleId="BodyText2Char">
    <w:name w:val="Body Text 2 Char"/>
    <w:basedOn w:val="DefaultParagraphFont"/>
    <w:link w:val="BodyText2"/>
    <w:uiPriority w:val="99"/>
    <w:locked/>
    <w:rsid w:val="00B22364"/>
    <w:rPr>
      <w:rFonts w:ascii="Times New Roman" w:hAnsi="Times New Roman" w:cs="Times New Roman"/>
      <w:sz w:val="24"/>
    </w:rPr>
  </w:style>
  <w:style w:type="paragraph" w:customStyle="1" w:styleId="Annex">
    <w:name w:val="Annex"/>
    <w:basedOn w:val="Normal"/>
    <w:uiPriority w:val="99"/>
    <w:rsid w:val="00DA26D7"/>
    <w:rPr>
      <w:caps/>
      <w:spacing w:val="0"/>
    </w:rPr>
  </w:style>
  <w:style w:type="character" w:customStyle="1" w:styleId="FootnoteTextChar1">
    <w:name w:val="Footnote Text Char1"/>
    <w:aliases w:val="fn Char1,Texto de rodapé Char1,nota_rodapé Char1,nota de rodapé Car Car Char1,nota de rodapé Car Car Car Car Car Car Car Car Car Car Car Char1,footnote Char1,single space Char1,FOOTNOTES Char1,Footnote Text Char Char Char1"/>
    <w:basedOn w:val="DefaultParagraphFont"/>
    <w:uiPriority w:val="99"/>
    <w:locked/>
    <w:rsid w:val="009F2BCD"/>
    <w:rPr>
      <w:rFonts w:cs="Times New Roman"/>
      <w:lang w:eastAsia="en-US"/>
    </w:rPr>
  </w:style>
  <w:style w:type="paragraph" w:styleId="ListParagraph">
    <w:name w:val="List Paragraph"/>
    <w:basedOn w:val="Normal"/>
    <w:uiPriority w:val="99"/>
    <w:qFormat/>
    <w:rsid w:val="004E1FE7"/>
    <w:pPr>
      <w:ind w:left="720"/>
      <w:contextualSpacing/>
    </w:pPr>
  </w:style>
  <w:style w:type="character" w:customStyle="1" w:styleId="ParagraphCar">
    <w:name w:val="Paragraph Car"/>
    <w:basedOn w:val="FooterChar"/>
    <w:uiPriority w:val="99"/>
    <w:rsid w:val="00655CC6"/>
    <w:rPr>
      <w:rFonts w:ascii="Times New Roman" w:hAnsi="Times New Roman" w:cs="Times New Roman"/>
      <w:spacing w:val="-3"/>
      <w:sz w:val="24"/>
      <w:lang w:val="en-US" w:eastAsia="en-US" w:bidi="ar-SA"/>
    </w:rPr>
  </w:style>
  <w:style w:type="character" w:styleId="Emphasis">
    <w:name w:val="Emphasis"/>
    <w:basedOn w:val="DefaultParagraphFont"/>
    <w:uiPriority w:val="99"/>
    <w:qFormat/>
    <w:rsid w:val="005D1F9D"/>
    <w:rPr>
      <w:rFonts w:cs="Times New Roman"/>
      <w:i/>
      <w:iCs/>
    </w:rPr>
  </w:style>
  <w:style w:type="paragraph" w:styleId="NoSpacing">
    <w:name w:val="No Spacing"/>
    <w:uiPriority w:val="99"/>
    <w:qFormat/>
    <w:rsid w:val="00B75ED9"/>
    <w:rPr>
      <w:rFonts w:ascii="Times New Roman" w:eastAsia="Times New Roman" w:hAnsi="Times New Roman"/>
      <w:sz w:val="24"/>
      <w:szCs w:val="24"/>
    </w:rPr>
  </w:style>
  <w:style w:type="paragraph" w:styleId="TOCHeading">
    <w:name w:val="TOC Heading"/>
    <w:basedOn w:val="Heading1"/>
    <w:next w:val="Normal"/>
    <w:uiPriority w:val="99"/>
    <w:qFormat/>
    <w:rsid w:val="00C141E5"/>
    <w:pPr>
      <w:keepLines/>
      <w:numPr>
        <w:numId w:val="0"/>
      </w:numPr>
      <w:spacing w:before="480" w:after="0" w:line="276" w:lineRule="auto"/>
      <w:jc w:val="left"/>
      <w:outlineLvl w:val="9"/>
    </w:pPr>
    <w:rPr>
      <w:rFonts w:ascii="Cambria" w:hAnsi="Cambria"/>
      <w:bCs/>
      <w:smallCaps w:val="0"/>
      <w:noProof w:val="0"/>
      <w:color w:val="365F91"/>
      <w:szCs w:val="28"/>
      <w:lang w:eastAsia="ja-JP"/>
    </w:rPr>
  </w:style>
  <w:style w:type="paragraph" w:customStyle="1" w:styleId="Default">
    <w:name w:val="Default"/>
    <w:uiPriority w:val="99"/>
    <w:rsid w:val="00FA7605"/>
    <w:pPr>
      <w:autoSpaceDE w:val="0"/>
      <w:autoSpaceDN w:val="0"/>
      <w:adjustRightInd w:val="0"/>
    </w:pPr>
    <w:rPr>
      <w:rFonts w:cs="Calibri"/>
      <w:color w:val="000000"/>
      <w:sz w:val="24"/>
      <w:szCs w:val="24"/>
    </w:rPr>
  </w:style>
  <w:style w:type="numbering" w:customStyle="1" w:styleId="Style1">
    <w:name w:val="Style1"/>
    <w:rsid w:val="000E60C0"/>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585F"/>
    <w:rPr>
      <w:rFonts w:ascii="Times New Roman" w:eastAsia="Times New Roman" w:hAnsi="Times New Roman"/>
      <w:spacing w:val="-3"/>
      <w:sz w:val="24"/>
      <w:szCs w:val="20"/>
      <w:lang w:val="es-ES_tradnl"/>
    </w:rPr>
  </w:style>
  <w:style w:type="paragraph" w:styleId="Heading1">
    <w:name w:val="heading 1"/>
    <w:aliases w:val="Heading 1.I,Capítulo"/>
    <w:basedOn w:val="Normal"/>
    <w:next w:val="Normal"/>
    <w:link w:val="Heading1Char"/>
    <w:uiPriority w:val="99"/>
    <w:qFormat/>
    <w:rsid w:val="00B87A39"/>
    <w:pPr>
      <w:keepNext/>
      <w:numPr>
        <w:numId w:val="11"/>
      </w:numPr>
      <w:spacing w:before="240" w:after="240"/>
      <w:jc w:val="center"/>
      <w:outlineLvl w:val="0"/>
    </w:pPr>
    <w:rPr>
      <w:rFonts w:ascii="Times New Roman Bold" w:hAnsi="Times New Roman Bold"/>
      <w:b/>
      <w:smallCaps/>
      <w:noProof/>
      <w:spacing w:val="0"/>
      <w:sz w:val="28"/>
      <w:lang w:val="en-US"/>
    </w:rPr>
  </w:style>
  <w:style w:type="paragraph" w:styleId="Heading2">
    <w:name w:val="heading 2"/>
    <w:aliases w:val="Heading 2.A"/>
    <w:basedOn w:val="Normal"/>
    <w:next w:val="Normal"/>
    <w:link w:val="Heading2Char"/>
    <w:uiPriority w:val="99"/>
    <w:qFormat/>
    <w:rsid w:val="00B87A39"/>
    <w:pPr>
      <w:keepNext/>
      <w:numPr>
        <w:numId w:val="3"/>
      </w:numPr>
      <w:spacing w:before="120" w:after="120"/>
      <w:jc w:val="both"/>
      <w:outlineLvl w:val="1"/>
    </w:pPr>
    <w:rPr>
      <w:rFonts w:ascii="Times New Roman Bold" w:hAnsi="Times New Roman Bold"/>
      <w:b/>
      <w:noProof/>
      <w:spacing w:val="0"/>
      <w:lang w:val="en-US"/>
    </w:rPr>
  </w:style>
  <w:style w:type="paragraph" w:styleId="Heading3">
    <w:name w:val="heading 3"/>
    <w:aliases w:val="Heading 3.1"/>
    <w:basedOn w:val="Normal"/>
    <w:next w:val="Normal"/>
    <w:link w:val="Heading3Char"/>
    <w:uiPriority w:val="99"/>
    <w:qFormat/>
    <w:rsid w:val="00B87A39"/>
    <w:pPr>
      <w:keepNext/>
      <w:numPr>
        <w:numId w:val="4"/>
      </w:numPr>
      <w:spacing w:before="120" w:after="120"/>
      <w:jc w:val="both"/>
      <w:outlineLvl w:val="2"/>
    </w:pPr>
    <w:rPr>
      <w:rFonts w:ascii="Times New Roman Bold" w:hAnsi="Times New Roman Bold"/>
      <w:b/>
      <w:noProof/>
      <w:spacing w:val="0"/>
      <w:lang w:val="en-US"/>
    </w:rPr>
  </w:style>
  <w:style w:type="paragraph" w:styleId="Heading4">
    <w:name w:val="heading 4"/>
    <w:aliases w:val="Heading 4.a"/>
    <w:basedOn w:val="Normal"/>
    <w:next w:val="Normal"/>
    <w:link w:val="Heading4Char"/>
    <w:uiPriority w:val="99"/>
    <w:qFormat/>
    <w:rsid w:val="00B87A39"/>
    <w:pPr>
      <w:keepNext/>
      <w:numPr>
        <w:ilvl w:val="2"/>
        <w:numId w:val="11"/>
      </w:numPr>
      <w:tabs>
        <w:tab w:val="left" w:pos="1440"/>
      </w:tabs>
      <w:spacing w:before="120" w:after="120"/>
      <w:jc w:val="both"/>
      <w:outlineLvl w:val="3"/>
    </w:pPr>
    <w:rPr>
      <w:rFonts w:ascii="Times New Roman Bold" w:eastAsia="Calibri" w:hAnsi="Times New Roman Bold"/>
      <w:b/>
      <w:noProof/>
      <w:spacing w:val="0"/>
      <w:lang w:val="en-US"/>
    </w:rPr>
  </w:style>
  <w:style w:type="paragraph" w:styleId="Heading5">
    <w:name w:val="heading 5"/>
    <w:aliases w:val="Heading 5.(i)"/>
    <w:basedOn w:val="Normal"/>
    <w:next w:val="Normal"/>
    <w:link w:val="Heading5Char"/>
    <w:uiPriority w:val="99"/>
    <w:qFormat/>
    <w:rsid w:val="00B87A39"/>
    <w:pPr>
      <w:keepNext/>
      <w:numPr>
        <w:ilvl w:val="3"/>
        <w:numId w:val="11"/>
      </w:numPr>
      <w:spacing w:before="120" w:after="120"/>
      <w:jc w:val="both"/>
      <w:outlineLvl w:val="4"/>
    </w:pPr>
    <w:rPr>
      <w:rFonts w:ascii="Times New Roman Bold" w:hAnsi="Times New Roman Bold"/>
      <w:b/>
      <w:noProof/>
      <w:spacing w:val="0"/>
      <w:lang w:val="en-US"/>
    </w:rPr>
  </w:style>
  <w:style w:type="paragraph" w:styleId="Heading6">
    <w:name w:val="heading 6"/>
    <w:basedOn w:val="Normal"/>
    <w:next w:val="Normal"/>
    <w:link w:val="Heading6Char"/>
    <w:uiPriority w:val="99"/>
    <w:qFormat/>
    <w:rsid w:val="00B87A39"/>
    <w:pPr>
      <w:keepNext/>
      <w:jc w:val="center"/>
      <w:outlineLvl w:val="5"/>
    </w:pPr>
    <w:rPr>
      <w:b/>
      <w:bCs/>
      <w:sz w:val="20"/>
    </w:rPr>
  </w:style>
  <w:style w:type="paragraph" w:styleId="Heading7">
    <w:name w:val="heading 7"/>
    <w:basedOn w:val="Normal"/>
    <w:next w:val="Normal"/>
    <w:link w:val="Heading7Char"/>
    <w:uiPriority w:val="99"/>
    <w:qFormat/>
    <w:rsid w:val="007D4D63"/>
    <w:pPr>
      <w:numPr>
        <w:ilvl w:val="6"/>
        <w:numId w:val="1"/>
      </w:numPr>
      <w:spacing w:before="240" w:after="60"/>
      <w:outlineLvl w:val="6"/>
    </w:pPr>
    <w:rPr>
      <w:rFonts w:ascii="Calibri" w:hAnsi="Calibri"/>
      <w:spacing w:val="0"/>
      <w:szCs w:val="24"/>
      <w:lang w:val="en-US"/>
    </w:rPr>
  </w:style>
  <w:style w:type="paragraph" w:styleId="Heading8">
    <w:name w:val="heading 8"/>
    <w:basedOn w:val="Normal"/>
    <w:next w:val="Normal"/>
    <w:link w:val="Heading8Char"/>
    <w:uiPriority w:val="99"/>
    <w:qFormat/>
    <w:rsid w:val="007D4D63"/>
    <w:pPr>
      <w:numPr>
        <w:ilvl w:val="7"/>
        <w:numId w:val="1"/>
      </w:numPr>
      <w:spacing w:before="240" w:after="60"/>
      <w:outlineLvl w:val="7"/>
    </w:pPr>
    <w:rPr>
      <w:rFonts w:ascii="Calibri" w:hAnsi="Calibri"/>
      <w:i/>
      <w:iCs/>
      <w:spacing w:val="0"/>
      <w:szCs w:val="24"/>
      <w:lang w:val="en-US"/>
    </w:rPr>
  </w:style>
  <w:style w:type="paragraph" w:styleId="Heading9">
    <w:name w:val="heading 9"/>
    <w:basedOn w:val="Normal"/>
    <w:next w:val="Normal"/>
    <w:link w:val="Heading9Char"/>
    <w:uiPriority w:val="99"/>
    <w:qFormat/>
    <w:rsid w:val="007D4D63"/>
    <w:pPr>
      <w:numPr>
        <w:ilvl w:val="8"/>
        <w:numId w:val="1"/>
      </w:numPr>
      <w:spacing w:before="240" w:after="60"/>
      <w:outlineLvl w:val="8"/>
    </w:pPr>
    <w:rPr>
      <w:rFonts w:ascii="Cambria" w:hAnsi="Cambria"/>
      <w:spacing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Capítulo Char"/>
    <w:basedOn w:val="DefaultParagraphFont"/>
    <w:link w:val="Heading1"/>
    <w:uiPriority w:val="99"/>
    <w:locked/>
    <w:rsid w:val="00BF4A43"/>
    <w:rPr>
      <w:rFonts w:ascii="Times New Roman Bold" w:hAnsi="Times New Roman Bold" w:cs="Times New Roman"/>
      <w:b/>
      <w:smallCaps/>
      <w:noProof/>
      <w:sz w:val="20"/>
      <w:szCs w:val="20"/>
    </w:rPr>
  </w:style>
  <w:style w:type="character" w:customStyle="1" w:styleId="Heading2Char">
    <w:name w:val="Heading 2 Char"/>
    <w:aliases w:val="Heading 2.A Char"/>
    <w:basedOn w:val="DefaultParagraphFont"/>
    <w:link w:val="Heading2"/>
    <w:uiPriority w:val="99"/>
    <w:locked/>
    <w:rsid w:val="007D4D63"/>
    <w:rPr>
      <w:rFonts w:ascii="Times New Roman Bold" w:hAnsi="Times New Roman Bold" w:cs="Times New Roman"/>
      <w:b/>
      <w:noProof/>
      <w:sz w:val="20"/>
      <w:szCs w:val="20"/>
    </w:rPr>
  </w:style>
  <w:style w:type="character" w:customStyle="1" w:styleId="Heading3Char">
    <w:name w:val="Heading 3 Char"/>
    <w:aliases w:val="Heading 3.1 Char"/>
    <w:basedOn w:val="DefaultParagraphFont"/>
    <w:link w:val="Heading3"/>
    <w:uiPriority w:val="99"/>
    <w:locked/>
    <w:rsid w:val="007D4D63"/>
    <w:rPr>
      <w:rFonts w:ascii="Times New Roman Bold" w:hAnsi="Times New Roman Bold" w:cs="Times New Roman"/>
      <w:b/>
      <w:noProof/>
      <w:sz w:val="20"/>
      <w:szCs w:val="20"/>
    </w:rPr>
  </w:style>
  <w:style w:type="character" w:customStyle="1" w:styleId="Heading4Char">
    <w:name w:val="Heading 4 Char"/>
    <w:aliases w:val="Heading 4.a Char"/>
    <w:basedOn w:val="DefaultParagraphFont"/>
    <w:link w:val="Heading4"/>
    <w:uiPriority w:val="99"/>
    <w:locked/>
    <w:rsid w:val="007D4D63"/>
    <w:rPr>
      <w:rFonts w:ascii="Times New Roman Bold" w:hAnsi="Times New Roman Bold" w:cs="Times New Roman"/>
      <w:b/>
      <w:noProof/>
      <w:sz w:val="20"/>
      <w:szCs w:val="20"/>
    </w:rPr>
  </w:style>
  <w:style w:type="character" w:customStyle="1" w:styleId="Heading5Char">
    <w:name w:val="Heading 5 Char"/>
    <w:aliases w:val="Heading 5.(i) Char"/>
    <w:basedOn w:val="DefaultParagraphFont"/>
    <w:link w:val="Heading5"/>
    <w:uiPriority w:val="99"/>
    <w:locked/>
    <w:rsid w:val="007D4D63"/>
    <w:rPr>
      <w:rFonts w:ascii="Times New Roman Bold" w:hAnsi="Times New Roman Bold" w:cs="Times New Roman"/>
      <w:b/>
      <w:noProof/>
      <w:sz w:val="20"/>
      <w:szCs w:val="20"/>
    </w:rPr>
  </w:style>
  <w:style w:type="character" w:customStyle="1" w:styleId="Heading6Char">
    <w:name w:val="Heading 6 Char"/>
    <w:basedOn w:val="DefaultParagraphFont"/>
    <w:link w:val="Heading6"/>
    <w:uiPriority w:val="99"/>
    <w:locked/>
    <w:rsid w:val="007D4D63"/>
    <w:rPr>
      <w:rFonts w:ascii="Times New Roman" w:hAnsi="Times New Roman" w:cs="Times New Roman"/>
      <w:b/>
      <w:spacing w:val="-3"/>
      <w:lang w:val="es-ES_tradnl"/>
    </w:rPr>
  </w:style>
  <w:style w:type="character" w:customStyle="1" w:styleId="Heading7Char">
    <w:name w:val="Heading 7 Char"/>
    <w:basedOn w:val="DefaultParagraphFont"/>
    <w:link w:val="Heading7"/>
    <w:uiPriority w:val="99"/>
    <w:locked/>
    <w:rsid w:val="007D4D63"/>
    <w:rPr>
      <w:rFonts w:eastAsia="Times New Roman" w:cs="Times New Roman"/>
      <w:sz w:val="24"/>
      <w:szCs w:val="24"/>
    </w:rPr>
  </w:style>
  <w:style w:type="character" w:customStyle="1" w:styleId="Heading8Char">
    <w:name w:val="Heading 8 Char"/>
    <w:basedOn w:val="DefaultParagraphFont"/>
    <w:link w:val="Heading8"/>
    <w:uiPriority w:val="99"/>
    <w:locked/>
    <w:rsid w:val="007D4D63"/>
    <w:rPr>
      <w:rFonts w:eastAsia="Times New Roman" w:cs="Times New Roman"/>
      <w:i/>
      <w:iCs/>
      <w:sz w:val="24"/>
      <w:szCs w:val="24"/>
    </w:rPr>
  </w:style>
  <w:style w:type="character" w:customStyle="1" w:styleId="Heading9Char">
    <w:name w:val="Heading 9 Char"/>
    <w:basedOn w:val="DefaultParagraphFont"/>
    <w:link w:val="Heading9"/>
    <w:uiPriority w:val="99"/>
    <w:locked/>
    <w:rsid w:val="007D4D63"/>
    <w:rPr>
      <w:rFonts w:ascii="Cambria" w:hAnsi="Cambria" w:cs="Times New Roman"/>
    </w:rPr>
  </w:style>
  <w:style w:type="paragraph" w:customStyle="1" w:styleId="ColorfulList-Accent11">
    <w:name w:val="Colorful List - Accent 11"/>
    <w:basedOn w:val="Normal"/>
    <w:link w:val="ColorfulList-Accent1Char"/>
    <w:uiPriority w:val="99"/>
    <w:rsid w:val="007D4D63"/>
    <w:pPr>
      <w:ind w:left="720"/>
      <w:contextualSpacing/>
    </w:pPr>
    <w:rPr>
      <w:rFonts w:ascii="Calibri" w:eastAsia="Calibri" w:hAnsi="Calibri"/>
      <w:spacing w:val="0"/>
      <w:sz w:val="22"/>
      <w:lang w:val="en-US" w:eastAsia="es-ES"/>
    </w:rPr>
  </w:style>
  <w:style w:type="table" w:styleId="TableGrid">
    <w:name w:val="Table Grid"/>
    <w:basedOn w:val="TableNormal"/>
    <w:uiPriority w:val="99"/>
    <w:rsid w:val="007D4D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4D63"/>
    <w:rPr>
      <w:rFonts w:ascii="Tahoma" w:hAnsi="Tahoma"/>
      <w:spacing w:val="0"/>
      <w:sz w:val="16"/>
      <w:szCs w:val="16"/>
      <w:lang w:val="en-US"/>
    </w:rPr>
  </w:style>
  <w:style w:type="character" w:customStyle="1" w:styleId="BalloonTextChar">
    <w:name w:val="Balloon Text Char"/>
    <w:basedOn w:val="DefaultParagraphFont"/>
    <w:link w:val="BalloonText"/>
    <w:uiPriority w:val="99"/>
    <w:semiHidden/>
    <w:locked/>
    <w:rsid w:val="007D4D63"/>
    <w:rPr>
      <w:rFonts w:ascii="Tahoma" w:hAnsi="Tahoma" w:cs="Times New Roman"/>
      <w:sz w:val="16"/>
    </w:rPr>
  </w:style>
  <w:style w:type="paragraph" w:styleId="FootnoteText">
    <w:name w:val="footnote text"/>
    <w:aliases w:val="fn,Texto de rodapé,nota_rodapé,nota de rodapé Car Car,nota de rodapé Car Car Car Car Car Car Car Car Car Car Car,footnote,single space,FOOTNOTES,Footnote Text Char Char,Texto nota pie IIRSA,nota de rodapé,texto de nota al pi,ADB,ft"/>
    <w:basedOn w:val="Normal"/>
    <w:link w:val="FootnoteTextChar2"/>
    <w:uiPriority w:val="99"/>
    <w:rsid w:val="00B87A39"/>
    <w:pPr>
      <w:keepNext/>
      <w:keepLines/>
      <w:spacing w:after="120"/>
      <w:ind w:left="288" w:hanging="288"/>
      <w:jc w:val="both"/>
    </w:pPr>
    <w:rPr>
      <w:rFonts w:eastAsia="Calibri"/>
      <w:sz w:val="20"/>
      <w:lang w:eastAsia="es-ES"/>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 Char Char,nota de rodapé Char"/>
    <w:basedOn w:val="DefaultParagraphFont"/>
    <w:uiPriority w:val="99"/>
    <w:locked/>
    <w:rsid w:val="00853DEB"/>
    <w:rPr>
      <w:rFonts w:ascii="Times New Roman" w:hAnsi="Times New Roman" w:cs="Times New Roman"/>
      <w:spacing w:val="-3"/>
      <w:sz w:val="20"/>
      <w:szCs w:val="20"/>
      <w:lang w:val="es-ES_tradnl"/>
    </w:rPr>
  </w:style>
  <w:style w:type="character" w:customStyle="1" w:styleId="FootnoteTextChar2">
    <w:name w:val="Footnote Text Char2"/>
    <w:aliases w:val="fn Char2,Texto de rodapé Char2,nota_rodapé Char2,nota de rodapé Car Car Char2,nota de rodapé Car Car Car Car Car Car Car Car Car Car Car Char2,footnote Char2,single space Char2,FOOTNOTES Char2,Footnote Text Char Char Char2,ADB Char"/>
    <w:link w:val="FootnoteText"/>
    <w:uiPriority w:val="99"/>
    <w:semiHidden/>
    <w:locked/>
    <w:rsid w:val="007D4D63"/>
    <w:rPr>
      <w:rFonts w:ascii="Times New Roman" w:hAnsi="Times New Roman"/>
      <w:spacing w:val="-3"/>
      <w:lang w:val="es-ES_tradnl"/>
    </w:rPr>
  </w:style>
  <w:style w:type="character" w:styleId="FootnoteReference">
    <w:name w:val="footnote reference"/>
    <w:aliases w:val="ftref,16 Point,Superscript 6 Point,Ref,de nota al pie,referencia nota al pie"/>
    <w:basedOn w:val="DefaultParagraphFont"/>
    <w:uiPriority w:val="99"/>
    <w:rsid w:val="00B87A39"/>
    <w:rPr>
      <w:rFonts w:ascii="Times New Roman" w:hAnsi="Times New Roman" w:cs="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basedOn w:val="DefaultParagraphFont"/>
    <w:link w:val="Header"/>
    <w:uiPriority w:val="99"/>
    <w:locked/>
    <w:rsid w:val="007D4D63"/>
    <w:rPr>
      <w:rFonts w:ascii="Times New Roman" w:hAnsi="Times New Roman" w:cs="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basedOn w:val="DefaultParagraphFont"/>
    <w:link w:val="Footer"/>
    <w:uiPriority w:val="99"/>
    <w:locked/>
    <w:rsid w:val="007D4D63"/>
    <w:rPr>
      <w:rFonts w:ascii="Times New Roman" w:hAnsi="Times New Roman" w:cs="Times New Roman"/>
      <w:spacing w:val="-3"/>
      <w:lang w:val="es-ES_tradnl"/>
    </w:rPr>
  </w:style>
  <w:style w:type="paragraph" w:styleId="Title">
    <w:name w:val="Title"/>
    <w:basedOn w:val="Normal"/>
    <w:link w:val="TitleChar"/>
    <w:uiPriority w:val="99"/>
    <w:qFormat/>
    <w:rsid w:val="007D4D63"/>
    <w:pPr>
      <w:tabs>
        <w:tab w:val="left" w:pos="1440"/>
        <w:tab w:val="left" w:pos="3060"/>
      </w:tabs>
      <w:jc w:val="center"/>
      <w:outlineLvl w:val="0"/>
    </w:pPr>
    <w:rPr>
      <w:spacing w:val="0"/>
      <w:lang w:val="en-US"/>
    </w:rPr>
  </w:style>
  <w:style w:type="character" w:customStyle="1" w:styleId="TitleChar">
    <w:name w:val="Title Char"/>
    <w:basedOn w:val="DefaultParagraphFont"/>
    <w:link w:val="Title"/>
    <w:uiPriority w:val="99"/>
    <w:locked/>
    <w:rsid w:val="007D4D63"/>
    <w:rPr>
      <w:rFonts w:ascii="Times New Roman" w:hAnsi="Times New Roman" w:cs="Times New Roman"/>
      <w:sz w:val="24"/>
    </w:rPr>
  </w:style>
  <w:style w:type="paragraph" w:customStyle="1" w:styleId="Newpage">
    <w:name w:val="Newpage"/>
    <w:basedOn w:val="Normal"/>
    <w:uiPriority w:val="99"/>
    <w:rsid w:val="007D4D63"/>
    <w:pPr>
      <w:tabs>
        <w:tab w:val="left" w:pos="1440"/>
        <w:tab w:val="left" w:pos="3060"/>
      </w:tabs>
      <w:jc w:val="center"/>
    </w:pPr>
    <w:rPr>
      <w:rFonts w:cs="Arial"/>
      <w:b/>
      <w:smallCaps/>
    </w:rPr>
  </w:style>
  <w:style w:type="paragraph" w:styleId="BodyText">
    <w:name w:val="Body Text"/>
    <w:basedOn w:val="Normal"/>
    <w:link w:val="BodyTextChar"/>
    <w:uiPriority w:val="99"/>
    <w:rsid w:val="007D4D63"/>
    <w:pPr>
      <w:tabs>
        <w:tab w:val="left" w:pos="3060"/>
      </w:tabs>
      <w:jc w:val="center"/>
    </w:pPr>
    <w:rPr>
      <w:spacing w:val="0"/>
      <w:lang w:val="en-US"/>
    </w:rPr>
  </w:style>
  <w:style w:type="character" w:customStyle="1" w:styleId="BodyTextChar">
    <w:name w:val="Body Text Char"/>
    <w:basedOn w:val="DefaultParagraphFont"/>
    <w:link w:val="BodyText"/>
    <w:uiPriority w:val="99"/>
    <w:locked/>
    <w:rsid w:val="007D4D63"/>
    <w:rPr>
      <w:rFonts w:ascii="Times New Roman" w:hAnsi="Times New Roman" w:cs="Times New Roman"/>
      <w:sz w:val="24"/>
    </w:rPr>
  </w:style>
  <w:style w:type="character" w:customStyle="1" w:styleId="gt-icon-text1">
    <w:name w:val="gt-icon-text1"/>
    <w:basedOn w:val="DefaultParagraphFont"/>
    <w:uiPriority w:val="99"/>
    <w:rsid w:val="007D4D63"/>
    <w:rPr>
      <w:rFonts w:cs="Times New Roman"/>
    </w:rPr>
  </w:style>
  <w:style w:type="paragraph" w:styleId="z-TopofForm">
    <w:name w:val="HTML Top of Form"/>
    <w:basedOn w:val="Normal"/>
    <w:next w:val="Normal"/>
    <w:link w:val="z-TopofFormChar"/>
    <w:hidden/>
    <w:uiPriority w:val="99"/>
    <w:rsid w:val="007D4D63"/>
    <w:pPr>
      <w:pBdr>
        <w:bottom w:val="single" w:sz="6" w:space="1" w:color="auto"/>
      </w:pBdr>
      <w:jc w:val="center"/>
    </w:pPr>
    <w:rPr>
      <w:rFonts w:ascii="Arial" w:hAnsi="Arial"/>
      <w:vanish/>
      <w:spacing w:val="0"/>
      <w:sz w:val="16"/>
      <w:szCs w:val="16"/>
      <w:lang w:val="en-US"/>
    </w:rPr>
  </w:style>
  <w:style w:type="character" w:customStyle="1" w:styleId="z-TopofFormChar">
    <w:name w:val="z-Top of Form Char"/>
    <w:basedOn w:val="DefaultParagraphFont"/>
    <w:link w:val="z-TopofForm"/>
    <w:uiPriority w:val="99"/>
    <w:locked/>
    <w:rsid w:val="007D4D63"/>
    <w:rPr>
      <w:rFonts w:ascii="Arial" w:hAnsi="Arial" w:cs="Times New Roman"/>
      <w:vanish/>
      <w:sz w:val="16"/>
    </w:rPr>
  </w:style>
  <w:style w:type="paragraph" w:styleId="z-BottomofForm">
    <w:name w:val="HTML Bottom of Form"/>
    <w:basedOn w:val="Normal"/>
    <w:next w:val="Normal"/>
    <w:link w:val="z-BottomofFormChar"/>
    <w:hidden/>
    <w:uiPriority w:val="99"/>
    <w:rsid w:val="007D4D63"/>
    <w:pPr>
      <w:pBdr>
        <w:top w:val="single" w:sz="6" w:space="1" w:color="auto"/>
      </w:pBdr>
      <w:jc w:val="center"/>
    </w:pPr>
    <w:rPr>
      <w:rFonts w:ascii="Arial" w:hAnsi="Arial"/>
      <w:vanish/>
      <w:spacing w:val="0"/>
      <w:sz w:val="16"/>
      <w:szCs w:val="16"/>
      <w:lang w:val="en-US"/>
    </w:rPr>
  </w:style>
  <w:style w:type="character" w:customStyle="1" w:styleId="z-BottomofFormChar">
    <w:name w:val="z-Bottom of Form Char"/>
    <w:basedOn w:val="DefaultParagraphFont"/>
    <w:link w:val="z-BottomofForm"/>
    <w:uiPriority w:val="99"/>
    <w:locked/>
    <w:rsid w:val="007D4D63"/>
    <w:rPr>
      <w:rFonts w:ascii="Arial" w:hAnsi="Arial" w:cs="Times New Roman"/>
      <w:vanish/>
      <w:sz w:val="16"/>
    </w:rPr>
  </w:style>
  <w:style w:type="character" w:styleId="CommentReference">
    <w:name w:val="annotation reference"/>
    <w:basedOn w:val="DefaultParagraphFont"/>
    <w:uiPriority w:val="99"/>
    <w:rsid w:val="007D4D63"/>
    <w:rPr>
      <w:rFonts w:cs="Times New Roman"/>
      <w:sz w:val="16"/>
    </w:rPr>
  </w:style>
  <w:style w:type="paragraph" w:styleId="CommentText">
    <w:name w:val="annotation text"/>
    <w:basedOn w:val="Normal"/>
    <w:link w:val="CommentTextChar"/>
    <w:uiPriority w:val="99"/>
    <w:rsid w:val="007D4D63"/>
    <w:rPr>
      <w:sz w:val="20"/>
    </w:rPr>
  </w:style>
  <w:style w:type="character" w:customStyle="1" w:styleId="CommentTextChar">
    <w:name w:val="Comment Text Char"/>
    <w:basedOn w:val="DefaultParagraphFont"/>
    <w:link w:val="CommentText"/>
    <w:uiPriority w:val="99"/>
    <w:locked/>
    <w:rsid w:val="007D4D63"/>
    <w:rPr>
      <w:rFonts w:cs="Times New Roman"/>
    </w:rPr>
  </w:style>
  <w:style w:type="paragraph" w:styleId="CommentSubject">
    <w:name w:val="annotation subject"/>
    <w:basedOn w:val="CommentText"/>
    <w:next w:val="CommentText"/>
    <w:link w:val="CommentSubjectChar"/>
    <w:uiPriority w:val="99"/>
    <w:rsid w:val="007D4D63"/>
    <w:rPr>
      <w:rFonts w:ascii="Calibri" w:eastAsia="Calibri" w:hAnsi="Calibri"/>
      <w:b/>
      <w:bCs/>
      <w:spacing w:val="0"/>
      <w:lang w:val="en-US"/>
    </w:rPr>
  </w:style>
  <w:style w:type="character" w:customStyle="1" w:styleId="CommentSubjectChar">
    <w:name w:val="Comment Subject Char"/>
    <w:basedOn w:val="CommentTextChar"/>
    <w:link w:val="CommentSubject"/>
    <w:uiPriority w:val="99"/>
    <w:locked/>
    <w:rsid w:val="007D4D63"/>
    <w:rPr>
      <w:rFonts w:cs="Times New Roman"/>
      <w:b/>
    </w:rPr>
  </w:style>
  <w:style w:type="paragraph" w:customStyle="1" w:styleId="Chapter">
    <w:name w:val="Chapter"/>
    <w:basedOn w:val="Normal"/>
    <w:next w:val="Normal"/>
    <w:link w:val="ChapterChar"/>
    <w:uiPriority w:val="99"/>
    <w:rsid w:val="007D4D63"/>
    <w:pPr>
      <w:keepNext/>
      <w:numPr>
        <w:numId w:val="1"/>
      </w:numPr>
      <w:tabs>
        <w:tab w:val="num" w:pos="648"/>
        <w:tab w:val="left" w:pos="1440"/>
      </w:tabs>
      <w:spacing w:before="240" w:after="240"/>
      <w:ind w:firstLine="288"/>
      <w:jc w:val="center"/>
    </w:pPr>
    <w:rPr>
      <w:rFonts w:eastAsia="Calibri"/>
      <w:b/>
      <w:smallCaps/>
      <w:spacing w:val="0"/>
      <w:lang w:val="en-US" w:eastAsia="es-ES"/>
    </w:rPr>
  </w:style>
  <w:style w:type="character" w:customStyle="1" w:styleId="ColorfulList-Accent1Char">
    <w:name w:val="Colorful List - Accent 1 Char"/>
    <w:link w:val="ColorfulList-Accent11"/>
    <w:uiPriority w:val="99"/>
    <w:locked/>
    <w:rsid w:val="007D4D63"/>
    <w:rPr>
      <w:sz w:val="22"/>
    </w:rPr>
  </w:style>
  <w:style w:type="character" w:customStyle="1" w:styleId="ChapterChar">
    <w:name w:val="Chapter Char"/>
    <w:link w:val="Chapter"/>
    <w:uiPriority w:val="99"/>
    <w:locked/>
    <w:rsid w:val="007D4D63"/>
    <w:rPr>
      <w:rFonts w:ascii="Times New Roman" w:hAnsi="Times New Roman"/>
      <w:b/>
      <w:smallCaps/>
      <w:sz w:val="24"/>
    </w:rPr>
  </w:style>
  <w:style w:type="paragraph" w:customStyle="1" w:styleId="FirstHeading">
    <w:name w:val="FirstHeading"/>
    <w:basedOn w:val="Normal"/>
    <w:next w:val="Normal"/>
    <w:link w:val="FirstHeadingChar"/>
    <w:uiPriority w:val="99"/>
    <w:rsid w:val="007D4D63"/>
    <w:pPr>
      <w:keepNext/>
      <w:tabs>
        <w:tab w:val="left" w:pos="0"/>
        <w:tab w:val="left" w:pos="86"/>
      </w:tabs>
      <w:spacing w:before="120" w:after="120"/>
      <w:ind w:hanging="720"/>
    </w:pPr>
    <w:rPr>
      <w:rFonts w:eastAsia="Calibri"/>
      <w:b/>
      <w:spacing w:val="0"/>
      <w:sz w:val="22"/>
      <w:lang w:val="en-US" w:eastAsia="es-ES"/>
    </w:rPr>
  </w:style>
  <w:style w:type="character" w:customStyle="1" w:styleId="FirstHeadingChar">
    <w:name w:val="FirstHeading Char"/>
    <w:link w:val="FirstHeading"/>
    <w:uiPriority w:val="99"/>
    <w:locked/>
    <w:rsid w:val="007D4D63"/>
    <w:rPr>
      <w:rFonts w:ascii="Times New Roman" w:hAnsi="Times New Roman"/>
      <w:b/>
      <w:sz w:val="22"/>
    </w:rPr>
  </w:style>
  <w:style w:type="paragraph" w:customStyle="1" w:styleId="SecHeading">
    <w:name w:val="SecHeading"/>
    <w:basedOn w:val="Normal"/>
    <w:next w:val="Paragraph"/>
    <w:link w:val="SecHeadingChar"/>
    <w:uiPriority w:val="99"/>
    <w:rsid w:val="007D4D63"/>
    <w:pPr>
      <w:keepNext/>
      <w:tabs>
        <w:tab w:val="num" w:pos="1296"/>
      </w:tabs>
      <w:spacing w:before="120" w:after="120"/>
      <w:ind w:left="1296" w:hanging="576"/>
    </w:pPr>
    <w:rPr>
      <w:rFonts w:eastAsia="Calibri"/>
      <w:b/>
      <w:spacing w:val="0"/>
      <w:sz w:val="22"/>
      <w:lang w:val="en-US" w:eastAsia="es-ES"/>
    </w:rPr>
  </w:style>
  <w:style w:type="character" w:customStyle="1" w:styleId="SecHeadingChar">
    <w:name w:val="SecHeading Char"/>
    <w:link w:val="SecHeading"/>
    <w:uiPriority w:val="99"/>
    <w:locked/>
    <w:rsid w:val="007D4D63"/>
    <w:rPr>
      <w:rFonts w:ascii="Times New Roman" w:hAnsi="Times New Roman"/>
      <w:b/>
      <w:sz w:val="22"/>
    </w:rPr>
  </w:style>
  <w:style w:type="paragraph" w:customStyle="1" w:styleId="SubHeading1">
    <w:name w:val="SubHeading1"/>
    <w:basedOn w:val="SecHeading"/>
    <w:link w:val="SubHeading1Char"/>
    <w:uiPriority w:val="99"/>
    <w:rsid w:val="007D4D63"/>
    <w:pPr>
      <w:tabs>
        <w:tab w:val="clear" w:pos="1296"/>
        <w:tab w:val="num" w:pos="1872"/>
      </w:tabs>
      <w:ind w:left="1872"/>
    </w:pPr>
  </w:style>
  <w:style w:type="character" w:customStyle="1" w:styleId="SubHeading1Char">
    <w:name w:val="SubHeading1 Char"/>
    <w:link w:val="SubHeading1"/>
    <w:uiPriority w:val="99"/>
    <w:locked/>
    <w:rsid w:val="007D4D63"/>
    <w:rPr>
      <w:rFonts w:ascii="Times New Roman" w:hAnsi="Times New Roman"/>
      <w:b/>
      <w:sz w:val="22"/>
    </w:rPr>
  </w:style>
  <w:style w:type="paragraph" w:customStyle="1" w:styleId="Subheading2">
    <w:name w:val="Subheading2"/>
    <w:basedOn w:val="SecHeading"/>
    <w:link w:val="Subheading2Char"/>
    <w:uiPriority w:val="99"/>
    <w:rsid w:val="007D4D63"/>
    <w:pPr>
      <w:tabs>
        <w:tab w:val="clear" w:pos="1296"/>
        <w:tab w:val="num" w:pos="2376"/>
      </w:tabs>
      <w:ind w:left="2376" w:hanging="288"/>
    </w:pPr>
  </w:style>
  <w:style w:type="character" w:customStyle="1" w:styleId="Subheading2Char">
    <w:name w:val="Subheading2 Char"/>
    <w:link w:val="Subheading2"/>
    <w:uiPriority w:val="99"/>
    <w:locked/>
    <w:rsid w:val="007D4D63"/>
    <w:rPr>
      <w:rFonts w:ascii="Times New Roman" w:hAnsi="Times New Roman"/>
      <w:b/>
      <w:sz w:val="22"/>
    </w:rPr>
  </w:style>
  <w:style w:type="paragraph" w:customStyle="1" w:styleId="Paragraph">
    <w:name w:val="Paragraph"/>
    <w:aliases w:val="paragraph,p,PARAGRAPH,PG,pa,at"/>
    <w:basedOn w:val="BodyTextIndent"/>
    <w:link w:val="ParagraphChar"/>
    <w:uiPriority w:val="99"/>
    <w:rsid w:val="007D4D63"/>
    <w:pPr>
      <w:tabs>
        <w:tab w:val="num" w:pos="720"/>
      </w:tabs>
      <w:spacing w:before="120"/>
      <w:ind w:hanging="720"/>
      <w:jc w:val="both"/>
      <w:outlineLvl w:val="1"/>
    </w:pPr>
    <w:rPr>
      <w:rFonts w:eastAsia="Calibri"/>
      <w:spacing w:val="0"/>
      <w:sz w:val="22"/>
      <w:lang w:val="en-US" w:eastAsia="es-ES"/>
    </w:rPr>
  </w:style>
  <w:style w:type="character" w:customStyle="1" w:styleId="ParagraphChar">
    <w:name w:val="Paragraph Char"/>
    <w:link w:val="Paragraph"/>
    <w:uiPriority w:val="99"/>
    <w:locked/>
    <w:rsid w:val="007D4D63"/>
    <w:rPr>
      <w:rFonts w:ascii="Times New Roman" w:hAnsi="Times New Roman"/>
      <w:sz w:val="22"/>
    </w:rPr>
  </w:style>
  <w:style w:type="paragraph" w:customStyle="1" w:styleId="subpar">
    <w:name w:val="subpar"/>
    <w:basedOn w:val="BodyTextIndent3"/>
    <w:link w:val="subparChar"/>
    <w:uiPriority w:val="99"/>
    <w:rsid w:val="007D4D63"/>
    <w:pPr>
      <w:tabs>
        <w:tab w:val="num" w:pos="1152"/>
      </w:tabs>
      <w:spacing w:before="120"/>
      <w:ind w:left="1152" w:hanging="432"/>
      <w:jc w:val="both"/>
      <w:outlineLvl w:val="2"/>
    </w:pPr>
    <w:rPr>
      <w:sz w:val="16"/>
      <w:szCs w:val="20"/>
      <w:lang w:eastAsia="es-ES"/>
    </w:rPr>
  </w:style>
  <w:style w:type="character" w:customStyle="1" w:styleId="subparChar">
    <w:name w:val="subpar Char"/>
    <w:link w:val="subpar"/>
    <w:uiPriority w:val="99"/>
    <w:locked/>
    <w:rsid w:val="007D4D63"/>
    <w:rPr>
      <w:rFonts w:ascii="Times New Roman" w:hAnsi="Times New Roman"/>
      <w:sz w:val="16"/>
    </w:rPr>
  </w:style>
  <w:style w:type="paragraph" w:customStyle="1" w:styleId="SubSubPar">
    <w:name w:val="SubSubPar"/>
    <w:basedOn w:val="subpar"/>
    <w:link w:val="SubSubParChar"/>
    <w:uiPriority w:val="99"/>
    <w:rsid w:val="007D4D63"/>
    <w:pPr>
      <w:tabs>
        <w:tab w:val="left" w:pos="0"/>
        <w:tab w:val="num" w:pos="1296"/>
      </w:tabs>
      <w:ind w:left="1296" w:hanging="288"/>
    </w:pPr>
  </w:style>
  <w:style w:type="character" w:customStyle="1" w:styleId="SubSubParChar">
    <w:name w:val="SubSubPar Char"/>
    <w:link w:val="SubSubPar"/>
    <w:uiPriority w:val="99"/>
    <w:locked/>
    <w:rsid w:val="007D4D63"/>
    <w:rPr>
      <w:rFonts w:ascii="Times New Roman" w:hAnsi="Times New Roman"/>
      <w:sz w:val="16"/>
    </w:rPr>
  </w:style>
  <w:style w:type="paragraph" w:customStyle="1" w:styleId="Regtable">
    <w:name w:val="Regtable"/>
    <w:link w:val="RegtableChar"/>
    <w:uiPriority w:val="99"/>
    <w:rsid w:val="00B87A39"/>
    <w:pPr>
      <w:keepLines/>
      <w:spacing w:before="20" w:after="20"/>
    </w:pPr>
    <w:rPr>
      <w:rFonts w:ascii="Times New Roman" w:hAnsi="Times New Roman"/>
      <w:noProof/>
    </w:rPr>
  </w:style>
  <w:style w:type="character" w:customStyle="1" w:styleId="RegtableChar">
    <w:name w:val="Regtable Char"/>
    <w:link w:val="Regtable"/>
    <w:uiPriority w:val="99"/>
    <w:locked/>
    <w:rsid w:val="007D4D63"/>
    <w:rPr>
      <w:rFonts w:ascii="Times New Roman" w:hAnsi="Times New Roman"/>
      <w:noProof/>
      <w:sz w:val="22"/>
      <w:lang w:val="en-US" w:eastAsia="en-US"/>
    </w:rPr>
  </w:style>
  <w:style w:type="paragraph" w:customStyle="1" w:styleId="TableTitle">
    <w:name w:val="TableTitle"/>
    <w:basedOn w:val="Normal"/>
    <w:link w:val="TableTitleChar"/>
    <w:uiPriority w:val="99"/>
    <w:rsid w:val="00B87A39"/>
    <w:pPr>
      <w:keepNext/>
      <w:spacing w:before="20" w:after="20"/>
      <w:jc w:val="center"/>
    </w:pPr>
    <w:rPr>
      <w:rFonts w:ascii="Times New Roman Bold" w:eastAsia="Calibri" w:hAnsi="Times New Roman Bold"/>
      <w:b/>
      <w:sz w:val="20"/>
      <w:lang w:val="es-ES" w:eastAsia="es-ES"/>
    </w:rPr>
  </w:style>
  <w:style w:type="character" w:customStyle="1" w:styleId="TableTitleChar">
    <w:name w:val="TableTitle Char"/>
    <w:link w:val="TableTitle"/>
    <w:uiPriority w:val="99"/>
    <w:locked/>
    <w:rsid w:val="007D4D63"/>
    <w:rPr>
      <w:rFonts w:ascii="Times New Roman Bold" w:hAnsi="Times New Roman Bold"/>
      <w:b/>
      <w:spacing w:val="-3"/>
      <w:lang w:val="es-ES"/>
    </w:rPr>
  </w:style>
  <w:style w:type="paragraph" w:styleId="BodyTextIndent">
    <w:name w:val="Body Text Indent"/>
    <w:basedOn w:val="Normal"/>
    <w:link w:val="BodyTextIndentChar"/>
    <w:uiPriority w:val="99"/>
    <w:rsid w:val="00B87A39"/>
    <w:pPr>
      <w:spacing w:after="120"/>
      <w:ind w:left="360"/>
    </w:pPr>
  </w:style>
  <w:style w:type="character" w:customStyle="1" w:styleId="BodyTextIndentChar">
    <w:name w:val="Body Text Indent Char"/>
    <w:basedOn w:val="DefaultParagraphFont"/>
    <w:link w:val="BodyTextIndent"/>
    <w:uiPriority w:val="99"/>
    <w:locked/>
    <w:rsid w:val="007D4D63"/>
    <w:rPr>
      <w:rFonts w:ascii="Times New Roman" w:hAnsi="Times New Roman" w:cs="Times New Roman"/>
      <w:spacing w:val="-3"/>
      <w:sz w:val="24"/>
      <w:lang w:val="es-ES_tradnl"/>
    </w:rPr>
  </w:style>
  <w:style w:type="paragraph" w:styleId="BodyTextIndent3">
    <w:name w:val="Body Text Indent 3"/>
    <w:basedOn w:val="Normal"/>
    <w:link w:val="BodyTextIndent3Char"/>
    <w:uiPriority w:val="99"/>
    <w:rsid w:val="007D4D63"/>
    <w:pPr>
      <w:spacing w:after="120"/>
      <w:ind w:left="360"/>
    </w:pPr>
    <w:rPr>
      <w:rFonts w:eastAsia="Calibri"/>
      <w:spacing w:val="0"/>
      <w:szCs w:val="16"/>
      <w:lang w:val="en-US"/>
    </w:rPr>
  </w:style>
  <w:style w:type="character" w:customStyle="1" w:styleId="BodyTextIndent3Char">
    <w:name w:val="Body Text Indent 3 Char"/>
    <w:basedOn w:val="DefaultParagraphFont"/>
    <w:link w:val="BodyTextIndent3"/>
    <w:uiPriority w:val="99"/>
    <w:locked/>
    <w:rsid w:val="007D4D63"/>
    <w:rPr>
      <w:rFonts w:ascii="Times New Roman" w:hAnsi="Times New Roman" w:cs="Times New Roman"/>
      <w:sz w:val="16"/>
    </w:rPr>
  </w:style>
  <w:style w:type="character" w:styleId="Hyperlink">
    <w:name w:val="Hyperlink"/>
    <w:basedOn w:val="DefaultParagraphFont"/>
    <w:uiPriority w:val="99"/>
    <w:rsid w:val="00B87A39"/>
    <w:rPr>
      <w:rFonts w:ascii="Times New Roman" w:hAnsi="Times New Roman" w:cs="Times New Roman"/>
      <w:color w:val="0000FF"/>
      <w:sz w:val="24"/>
      <w:u w:val="single"/>
    </w:rPr>
  </w:style>
  <w:style w:type="character" w:styleId="FollowedHyperlink">
    <w:name w:val="FollowedHyperlink"/>
    <w:basedOn w:val="DefaultParagraphFont"/>
    <w:uiPriority w:val="99"/>
    <w:rsid w:val="00BA0FEF"/>
    <w:rPr>
      <w:rFonts w:cs="Times New Roman"/>
      <w:color w:val="800080"/>
      <w:u w:val="single"/>
    </w:rPr>
  </w:style>
  <w:style w:type="paragraph" w:customStyle="1" w:styleId="AutoNumpara">
    <w:name w:val="AutoNumpara"/>
    <w:basedOn w:val="BodyTextIndent"/>
    <w:uiPriority w:val="99"/>
    <w:rsid w:val="00B87A39"/>
    <w:pPr>
      <w:numPr>
        <w:ilvl w:val="1"/>
        <w:numId w:val="11"/>
      </w:numPr>
      <w:spacing w:before="120"/>
      <w:jc w:val="both"/>
    </w:pPr>
    <w:rPr>
      <w:noProof/>
      <w:spacing w:val="-2"/>
    </w:rPr>
  </w:style>
  <w:style w:type="paragraph" w:customStyle="1" w:styleId="bullets">
    <w:name w:val="bullets"/>
    <w:uiPriority w:val="99"/>
    <w:rsid w:val="00B87A39"/>
    <w:pPr>
      <w:numPr>
        <w:numId w:val="2"/>
      </w:numPr>
      <w:spacing w:before="120" w:after="120"/>
      <w:jc w:val="both"/>
    </w:pPr>
    <w:rPr>
      <w:rFonts w:ascii="Times New Roman" w:eastAsia="Times New Roman" w:hAnsi="Times New Roman"/>
      <w:spacing w:val="-2"/>
      <w:sz w:val="24"/>
      <w:szCs w:val="20"/>
    </w:rPr>
  </w:style>
  <w:style w:type="paragraph" w:styleId="Caption">
    <w:name w:val="caption"/>
    <w:basedOn w:val="Normal"/>
    <w:next w:val="Normal"/>
    <w:uiPriority w:val="99"/>
    <w:qFormat/>
    <w:rsid w:val="00B87A39"/>
    <w:pPr>
      <w:widowControl w:val="0"/>
    </w:pPr>
  </w:style>
  <w:style w:type="paragraph" w:customStyle="1" w:styleId="CountryName">
    <w:name w:val="CountryName"/>
    <w:basedOn w:val="Normal"/>
    <w:uiPriority w:val="99"/>
    <w:rsid w:val="00B87A39"/>
    <w:pPr>
      <w:jc w:val="center"/>
    </w:pPr>
    <w:rPr>
      <w:rFonts w:ascii="Times New Roman Bold" w:hAnsi="Times New Roman Bold"/>
      <w:b/>
      <w:smallCaps/>
      <w:sz w:val="32"/>
    </w:rPr>
  </w:style>
  <w:style w:type="paragraph" w:customStyle="1" w:styleId="heading-b24">
    <w:name w:val="heading-b24"/>
    <w:basedOn w:val="Normal"/>
    <w:next w:val="Normal"/>
    <w:uiPriority w:val="99"/>
    <w:rsid w:val="00B87A39"/>
    <w:pPr>
      <w:spacing w:after="600"/>
      <w:jc w:val="center"/>
    </w:pPr>
    <w:rPr>
      <w:rFonts w:ascii="Times New Roman Bold" w:hAnsi="Times New Roman Bold"/>
      <w:b/>
      <w:smallCaps/>
    </w:rPr>
  </w:style>
  <w:style w:type="paragraph" w:customStyle="1" w:styleId="IndentedParagr">
    <w:name w:val="IndentedParagr"/>
    <w:basedOn w:val="Normal"/>
    <w:uiPriority w:val="99"/>
    <w:rsid w:val="00B87A39"/>
    <w:pPr>
      <w:spacing w:before="120" w:after="120"/>
      <w:ind w:left="720"/>
      <w:jc w:val="both"/>
    </w:pPr>
    <w:rPr>
      <w:spacing w:val="0"/>
    </w:rPr>
  </w:style>
  <w:style w:type="paragraph" w:customStyle="1" w:styleId="Inter-Ametitle">
    <w:name w:val="Inter-Ametitle"/>
    <w:basedOn w:val="Normal"/>
    <w:uiPriority w:val="99"/>
    <w:rsid w:val="00B87A39"/>
    <w:pPr>
      <w:jc w:val="center"/>
    </w:pPr>
    <w:rPr>
      <w:smallCaps/>
    </w:rPr>
  </w:style>
  <w:style w:type="paragraph" w:customStyle="1" w:styleId="Listabbreviations">
    <w:name w:val="List abbreviations"/>
    <w:basedOn w:val="Normal"/>
    <w:uiPriority w:val="99"/>
    <w:rsid w:val="00B87A39"/>
    <w:pPr>
      <w:tabs>
        <w:tab w:val="left" w:pos="1620"/>
      </w:tabs>
      <w:ind w:left="1627" w:hanging="1627"/>
    </w:pPr>
  </w:style>
  <w:style w:type="paragraph" w:customStyle="1" w:styleId="LoanProposal">
    <w:name w:val="LoanProposal"/>
    <w:uiPriority w:val="99"/>
    <w:rsid w:val="00B87A39"/>
    <w:pPr>
      <w:spacing w:after="480"/>
      <w:jc w:val="center"/>
    </w:pPr>
    <w:rPr>
      <w:rFonts w:ascii="Times New Roman Bold" w:eastAsia="Times New Roman" w:hAnsi="Times New Roman Bold"/>
      <w:b/>
      <w:smallCaps/>
      <w:noProof/>
      <w:sz w:val="28"/>
      <w:szCs w:val="20"/>
    </w:rPr>
  </w:style>
  <w:style w:type="character" w:styleId="PageNumber">
    <w:name w:val="page number"/>
    <w:basedOn w:val="DefaultParagraphFont"/>
    <w:uiPriority w:val="99"/>
    <w:rsid w:val="00B87A39"/>
    <w:rPr>
      <w:rFonts w:cs="Times New Roman"/>
    </w:rPr>
  </w:style>
  <w:style w:type="paragraph" w:customStyle="1" w:styleId="Paragrapha">
    <w:name w:val="Paragraph a"/>
    <w:uiPriority w:val="99"/>
    <w:rsid w:val="00B87A39"/>
    <w:pPr>
      <w:numPr>
        <w:numId w:val="6"/>
      </w:numPr>
      <w:spacing w:before="120" w:after="120"/>
      <w:jc w:val="both"/>
    </w:pPr>
    <w:rPr>
      <w:rFonts w:ascii="Times New Roman" w:eastAsia="Times New Roman" w:hAnsi="Times New Roman"/>
      <w:noProof/>
      <w:sz w:val="24"/>
      <w:szCs w:val="20"/>
    </w:rPr>
  </w:style>
  <w:style w:type="paragraph" w:customStyle="1" w:styleId="Paragraph1">
    <w:name w:val="Paragraph1"/>
    <w:uiPriority w:val="99"/>
    <w:rsid w:val="00B87A39"/>
    <w:pPr>
      <w:numPr>
        <w:numId w:val="7"/>
      </w:numPr>
      <w:spacing w:before="120" w:after="120"/>
      <w:jc w:val="both"/>
    </w:pPr>
    <w:rPr>
      <w:rFonts w:ascii="Times New Roman" w:eastAsia="Times New Roman" w:hAnsi="Times New Roman"/>
      <w:noProof/>
      <w:sz w:val="24"/>
      <w:szCs w:val="20"/>
    </w:rPr>
  </w:style>
  <w:style w:type="paragraph" w:customStyle="1" w:styleId="ProjecName">
    <w:name w:val="ProjecName"/>
    <w:basedOn w:val="Normal"/>
    <w:uiPriority w:val="99"/>
    <w:rsid w:val="00B87A39"/>
    <w:pPr>
      <w:jc w:val="center"/>
    </w:pPr>
    <w:rPr>
      <w:rFonts w:ascii="Times New Roman Bold" w:hAnsi="Times New Roman Bold"/>
      <w:b/>
      <w:smallCaps/>
    </w:rPr>
  </w:style>
  <w:style w:type="paragraph" w:customStyle="1" w:styleId="ProjectNumber">
    <w:name w:val="ProjectNumber"/>
    <w:basedOn w:val="Normal"/>
    <w:uiPriority w:val="99"/>
    <w:rsid w:val="00B87A39"/>
    <w:pPr>
      <w:spacing w:before="960" w:after="720"/>
      <w:jc w:val="center"/>
    </w:pPr>
    <w:rPr>
      <w:rFonts w:ascii="Times New Roman Bold" w:hAnsi="Times New Roman Bold"/>
      <w:smallCaps/>
    </w:rPr>
  </w:style>
  <w:style w:type="paragraph" w:customStyle="1" w:styleId="ProjectTitle">
    <w:name w:val="ProjectTitle"/>
    <w:uiPriority w:val="99"/>
    <w:rsid w:val="00B87A39"/>
    <w:pPr>
      <w:jc w:val="center"/>
    </w:pPr>
    <w:rPr>
      <w:rFonts w:ascii="Times New Roman Bold" w:eastAsia="Times New Roman" w:hAnsi="Times New Roman Bold"/>
      <w:b/>
      <w:smallCaps/>
      <w:noProof/>
      <w:sz w:val="32"/>
      <w:szCs w:val="20"/>
    </w:rPr>
  </w:style>
  <w:style w:type="paragraph" w:customStyle="1" w:styleId="RomanParagraph">
    <w:name w:val="RomanParagraph"/>
    <w:uiPriority w:val="99"/>
    <w:rsid w:val="00B87A39"/>
    <w:pPr>
      <w:numPr>
        <w:numId w:val="8"/>
      </w:numPr>
      <w:spacing w:before="120" w:after="120"/>
      <w:jc w:val="both"/>
    </w:pPr>
    <w:rPr>
      <w:rFonts w:ascii="Times New Roman" w:eastAsia="Times New Roman" w:hAnsi="Times New Roman"/>
      <w:noProof/>
      <w:sz w:val="24"/>
      <w:szCs w:val="20"/>
    </w:rPr>
  </w:style>
  <w:style w:type="paragraph" w:customStyle="1" w:styleId="StyleProjectNumberBold">
    <w:name w:val="Style ProjectNumber + Bold"/>
    <w:basedOn w:val="ProjectNumber"/>
    <w:uiPriority w:val="99"/>
    <w:rsid w:val="00B87A39"/>
    <w:rPr>
      <w:b/>
      <w:bCs/>
    </w:rPr>
  </w:style>
  <w:style w:type="paragraph" w:customStyle="1" w:styleId="StyleTimesNewRomanBoldBoldAllcapsCentered">
    <w:name w:val="Style Times New Roman Bold Bold All caps Centered"/>
    <w:basedOn w:val="Normal"/>
    <w:uiPriority w:val="99"/>
    <w:rsid w:val="00B87A39"/>
    <w:pPr>
      <w:jc w:val="center"/>
    </w:pPr>
    <w:rPr>
      <w:rFonts w:ascii="Times New Roman Bold" w:hAnsi="Times New Roman Bold"/>
      <w:b/>
      <w:bCs/>
      <w:caps/>
    </w:rPr>
  </w:style>
  <w:style w:type="paragraph" w:customStyle="1" w:styleId="TableContentsTitle">
    <w:name w:val="TableContentsTitle"/>
    <w:basedOn w:val="Normal"/>
    <w:uiPriority w:val="99"/>
    <w:rsid w:val="00B87A39"/>
    <w:pPr>
      <w:spacing w:after="720"/>
      <w:jc w:val="center"/>
    </w:pPr>
    <w:rPr>
      <w:smallCaps/>
      <w:noProof/>
      <w:spacing w:val="0"/>
    </w:rPr>
  </w:style>
  <w:style w:type="paragraph" w:styleId="TOC1">
    <w:name w:val="toc 1"/>
    <w:basedOn w:val="Normal"/>
    <w:next w:val="Normal"/>
    <w:autoRedefine/>
    <w:uiPriority w:val="99"/>
    <w:rsid w:val="00B87A39"/>
    <w:pPr>
      <w:tabs>
        <w:tab w:val="left" w:pos="634"/>
        <w:tab w:val="right" w:leader="dot" w:pos="8630"/>
      </w:tabs>
      <w:spacing w:before="240" w:after="240"/>
      <w:ind w:left="634" w:hanging="634"/>
      <w:outlineLvl w:val="0"/>
    </w:pPr>
    <w:rPr>
      <w:smallCaps/>
      <w:noProof/>
    </w:rPr>
  </w:style>
  <w:style w:type="paragraph" w:styleId="TOC2">
    <w:name w:val="toc 2"/>
    <w:basedOn w:val="Normal"/>
    <w:next w:val="Normal"/>
    <w:autoRedefine/>
    <w:uiPriority w:val="99"/>
    <w:rsid w:val="00B87A39"/>
    <w:pPr>
      <w:tabs>
        <w:tab w:val="left" w:pos="1166"/>
        <w:tab w:val="right" w:leader="dot" w:pos="8630"/>
      </w:tabs>
      <w:ind w:left="1181" w:hanging="547"/>
    </w:pPr>
    <w:rPr>
      <w:noProof/>
    </w:rPr>
  </w:style>
  <w:style w:type="paragraph" w:styleId="TOC3">
    <w:name w:val="toc 3"/>
    <w:basedOn w:val="Normal"/>
    <w:next w:val="Normal"/>
    <w:autoRedefine/>
    <w:uiPriority w:val="99"/>
    <w:rsid w:val="00B87A39"/>
    <w:pPr>
      <w:tabs>
        <w:tab w:val="left" w:pos="1627"/>
        <w:tab w:val="right" w:leader="dot" w:pos="8630"/>
      </w:tabs>
      <w:ind w:left="1713" w:hanging="547"/>
    </w:pPr>
    <w:rPr>
      <w:noProof/>
    </w:rPr>
  </w:style>
  <w:style w:type="paragraph" w:styleId="BodyText2">
    <w:name w:val="Body Text 2"/>
    <w:basedOn w:val="Normal"/>
    <w:link w:val="BodyText2Char"/>
    <w:uiPriority w:val="99"/>
    <w:rsid w:val="00B22364"/>
    <w:pPr>
      <w:spacing w:after="120" w:line="480" w:lineRule="auto"/>
    </w:pPr>
    <w:rPr>
      <w:spacing w:val="0"/>
      <w:lang w:val="en-US"/>
    </w:rPr>
  </w:style>
  <w:style w:type="character" w:customStyle="1" w:styleId="BodyText2Char">
    <w:name w:val="Body Text 2 Char"/>
    <w:basedOn w:val="DefaultParagraphFont"/>
    <w:link w:val="BodyText2"/>
    <w:uiPriority w:val="99"/>
    <w:locked/>
    <w:rsid w:val="00B22364"/>
    <w:rPr>
      <w:rFonts w:ascii="Times New Roman" w:hAnsi="Times New Roman" w:cs="Times New Roman"/>
      <w:sz w:val="24"/>
    </w:rPr>
  </w:style>
  <w:style w:type="paragraph" w:customStyle="1" w:styleId="Annex">
    <w:name w:val="Annex"/>
    <w:basedOn w:val="Normal"/>
    <w:uiPriority w:val="99"/>
    <w:rsid w:val="00DA26D7"/>
    <w:rPr>
      <w:caps/>
      <w:spacing w:val="0"/>
    </w:rPr>
  </w:style>
  <w:style w:type="character" w:customStyle="1" w:styleId="FootnoteTextChar1">
    <w:name w:val="Footnote Text Char1"/>
    <w:aliases w:val="fn Char1,Texto de rodapé Char1,nota_rodapé Char1,nota de rodapé Car Car Char1,nota de rodapé Car Car Car Car Car Car Car Car Car Car Car Char1,footnote Char1,single space Char1,FOOTNOTES Char1,Footnote Text Char Char Char1"/>
    <w:basedOn w:val="DefaultParagraphFont"/>
    <w:uiPriority w:val="99"/>
    <w:locked/>
    <w:rsid w:val="009F2BCD"/>
    <w:rPr>
      <w:rFonts w:cs="Times New Roman"/>
      <w:lang w:eastAsia="en-US"/>
    </w:rPr>
  </w:style>
  <w:style w:type="paragraph" w:styleId="ListParagraph">
    <w:name w:val="List Paragraph"/>
    <w:basedOn w:val="Normal"/>
    <w:uiPriority w:val="99"/>
    <w:qFormat/>
    <w:rsid w:val="004E1FE7"/>
    <w:pPr>
      <w:ind w:left="720"/>
      <w:contextualSpacing/>
    </w:pPr>
  </w:style>
  <w:style w:type="character" w:customStyle="1" w:styleId="ParagraphCar">
    <w:name w:val="Paragraph Car"/>
    <w:basedOn w:val="FooterChar"/>
    <w:uiPriority w:val="99"/>
    <w:rsid w:val="00655CC6"/>
    <w:rPr>
      <w:rFonts w:ascii="Times New Roman" w:hAnsi="Times New Roman" w:cs="Times New Roman"/>
      <w:spacing w:val="-3"/>
      <w:sz w:val="24"/>
      <w:lang w:val="en-US" w:eastAsia="en-US" w:bidi="ar-SA"/>
    </w:rPr>
  </w:style>
  <w:style w:type="character" w:styleId="Emphasis">
    <w:name w:val="Emphasis"/>
    <w:basedOn w:val="DefaultParagraphFont"/>
    <w:uiPriority w:val="99"/>
    <w:qFormat/>
    <w:rsid w:val="005D1F9D"/>
    <w:rPr>
      <w:rFonts w:cs="Times New Roman"/>
      <w:i/>
      <w:iCs/>
    </w:rPr>
  </w:style>
  <w:style w:type="paragraph" w:styleId="NoSpacing">
    <w:name w:val="No Spacing"/>
    <w:uiPriority w:val="99"/>
    <w:qFormat/>
    <w:rsid w:val="00B75ED9"/>
    <w:rPr>
      <w:rFonts w:ascii="Times New Roman" w:eastAsia="Times New Roman" w:hAnsi="Times New Roman"/>
      <w:sz w:val="24"/>
      <w:szCs w:val="24"/>
    </w:rPr>
  </w:style>
  <w:style w:type="paragraph" w:styleId="TOCHeading">
    <w:name w:val="TOC Heading"/>
    <w:basedOn w:val="Heading1"/>
    <w:next w:val="Normal"/>
    <w:uiPriority w:val="99"/>
    <w:qFormat/>
    <w:rsid w:val="00C141E5"/>
    <w:pPr>
      <w:keepLines/>
      <w:numPr>
        <w:numId w:val="0"/>
      </w:numPr>
      <w:spacing w:before="480" w:after="0" w:line="276" w:lineRule="auto"/>
      <w:jc w:val="left"/>
      <w:outlineLvl w:val="9"/>
    </w:pPr>
    <w:rPr>
      <w:rFonts w:ascii="Cambria" w:hAnsi="Cambria"/>
      <w:bCs/>
      <w:smallCaps w:val="0"/>
      <w:noProof w:val="0"/>
      <w:color w:val="365F91"/>
      <w:szCs w:val="28"/>
      <w:lang w:eastAsia="ja-JP"/>
    </w:rPr>
  </w:style>
  <w:style w:type="paragraph" w:customStyle="1" w:styleId="Default">
    <w:name w:val="Default"/>
    <w:uiPriority w:val="99"/>
    <w:rsid w:val="00FA7605"/>
    <w:pPr>
      <w:autoSpaceDE w:val="0"/>
      <w:autoSpaceDN w:val="0"/>
      <w:adjustRightInd w:val="0"/>
    </w:pPr>
    <w:rPr>
      <w:rFonts w:cs="Calibri"/>
      <w:color w:val="000000"/>
      <w:sz w:val="24"/>
      <w:szCs w:val="24"/>
    </w:rPr>
  </w:style>
  <w:style w:type="numbering" w:customStyle="1" w:styleId="Style1">
    <w:name w:val="Style1"/>
    <w:rsid w:val="000E60C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46">
      <w:marLeft w:val="0"/>
      <w:marRight w:val="0"/>
      <w:marTop w:val="0"/>
      <w:marBottom w:val="0"/>
      <w:divBdr>
        <w:top w:val="none" w:sz="0" w:space="0" w:color="auto"/>
        <w:left w:val="none" w:sz="0" w:space="0" w:color="auto"/>
        <w:bottom w:val="none" w:sz="0" w:space="0" w:color="auto"/>
        <w:right w:val="none" w:sz="0" w:space="0" w:color="auto"/>
      </w:divBdr>
      <w:divsChild>
        <w:div w:id="22290190">
          <w:marLeft w:val="0"/>
          <w:marRight w:val="0"/>
          <w:marTop w:val="0"/>
          <w:marBottom w:val="0"/>
          <w:divBdr>
            <w:top w:val="none" w:sz="0" w:space="0" w:color="auto"/>
            <w:left w:val="none" w:sz="0" w:space="0" w:color="auto"/>
            <w:bottom w:val="none" w:sz="0" w:space="0" w:color="auto"/>
            <w:right w:val="none" w:sz="0" w:space="0" w:color="auto"/>
          </w:divBdr>
          <w:divsChild>
            <w:div w:id="22290215">
              <w:marLeft w:val="0"/>
              <w:marRight w:val="0"/>
              <w:marTop w:val="0"/>
              <w:marBottom w:val="0"/>
              <w:divBdr>
                <w:top w:val="none" w:sz="0" w:space="0" w:color="auto"/>
                <w:left w:val="none" w:sz="0" w:space="0" w:color="auto"/>
                <w:bottom w:val="none" w:sz="0" w:space="0" w:color="auto"/>
                <w:right w:val="none" w:sz="0" w:space="0" w:color="auto"/>
              </w:divBdr>
              <w:divsChild>
                <w:div w:id="22290137">
                  <w:marLeft w:val="0"/>
                  <w:marRight w:val="0"/>
                  <w:marTop w:val="0"/>
                  <w:marBottom w:val="0"/>
                  <w:divBdr>
                    <w:top w:val="none" w:sz="0" w:space="0" w:color="auto"/>
                    <w:left w:val="none" w:sz="0" w:space="0" w:color="auto"/>
                    <w:bottom w:val="none" w:sz="0" w:space="0" w:color="auto"/>
                    <w:right w:val="none" w:sz="0" w:space="0" w:color="auto"/>
                  </w:divBdr>
                  <w:divsChild>
                    <w:div w:id="22290188">
                      <w:marLeft w:val="0"/>
                      <w:marRight w:val="0"/>
                      <w:marTop w:val="0"/>
                      <w:marBottom w:val="0"/>
                      <w:divBdr>
                        <w:top w:val="none" w:sz="0" w:space="0" w:color="auto"/>
                        <w:left w:val="none" w:sz="0" w:space="0" w:color="auto"/>
                        <w:bottom w:val="none" w:sz="0" w:space="0" w:color="auto"/>
                        <w:right w:val="none" w:sz="0" w:space="0" w:color="auto"/>
                      </w:divBdr>
                      <w:divsChild>
                        <w:div w:id="22290185">
                          <w:marLeft w:val="0"/>
                          <w:marRight w:val="0"/>
                          <w:marTop w:val="0"/>
                          <w:marBottom w:val="0"/>
                          <w:divBdr>
                            <w:top w:val="none" w:sz="0" w:space="0" w:color="auto"/>
                            <w:left w:val="none" w:sz="0" w:space="0" w:color="auto"/>
                            <w:bottom w:val="none" w:sz="0" w:space="0" w:color="auto"/>
                            <w:right w:val="none" w:sz="0" w:space="0" w:color="auto"/>
                          </w:divBdr>
                          <w:divsChild>
                            <w:div w:id="22290155">
                              <w:marLeft w:val="0"/>
                              <w:marRight w:val="0"/>
                              <w:marTop w:val="0"/>
                              <w:marBottom w:val="0"/>
                              <w:divBdr>
                                <w:top w:val="none" w:sz="0" w:space="0" w:color="auto"/>
                                <w:left w:val="none" w:sz="0" w:space="0" w:color="auto"/>
                                <w:bottom w:val="none" w:sz="0" w:space="0" w:color="auto"/>
                                <w:right w:val="none" w:sz="0" w:space="0" w:color="auto"/>
                              </w:divBdr>
                              <w:divsChild>
                                <w:div w:id="222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0149">
      <w:marLeft w:val="0"/>
      <w:marRight w:val="0"/>
      <w:marTop w:val="0"/>
      <w:marBottom w:val="0"/>
      <w:divBdr>
        <w:top w:val="none" w:sz="0" w:space="0" w:color="auto"/>
        <w:left w:val="none" w:sz="0" w:space="0" w:color="auto"/>
        <w:bottom w:val="none" w:sz="0" w:space="0" w:color="auto"/>
        <w:right w:val="none" w:sz="0" w:space="0" w:color="auto"/>
      </w:divBdr>
    </w:div>
    <w:div w:id="22290168">
      <w:marLeft w:val="0"/>
      <w:marRight w:val="0"/>
      <w:marTop w:val="0"/>
      <w:marBottom w:val="0"/>
      <w:divBdr>
        <w:top w:val="none" w:sz="0" w:space="0" w:color="auto"/>
        <w:left w:val="none" w:sz="0" w:space="0" w:color="auto"/>
        <w:bottom w:val="none" w:sz="0" w:space="0" w:color="auto"/>
        <w:right w:val="none" w:sz="0" w:space="0" w:color="auto"/>
      </w:divBdr>
    </w:div>
    <w:div w:id="22290171">
      <w:marLeft w:val="0"/>
      <w:marRight w:val="0"/>
      <w:marTop w:val="0"/>
      <w:marBottom w:val="0"/>
      <w:divBdr>
        <w:top w:val="none" w:sz="0" w:space="0" w:color="auto"/>
        <w:left w:val="none" w:sz="0" w:space="0" w:color="auto"/>
        <w:bottom w:val="none" w:sz="0" w:space="0" w:color="auto"/>
        <w:right w:val="none" w:sz="0" w:space="0" w:color="auto"/>
      </w:divBdr>
      <w:divsChild>
        <w:div w:id="22290201">
          <w:marLeft w:val="0"/>
          <w:marRight w:val="0"/>
          <w:marTop w:val="0"/>
          <w:marBottom w:val="0"/>
          <w:divBdr>
            <w:top w:val="none" w:sz="0" w:space="0" w:color="auto"/>
            <w:left w:val="none" w:sz="0" w:space="0" w:color="auto"/>
            <w:bottom w:val="none" w:sz="0" w:space="0" w:color="auto"/>
            <w:right w:val="none" w:sz="0" w:space="0" w:color="auto"/>
          </w:divBdr>
          <w:divsChild>
            <w:div w:id="22290177">
              <w:marLeft w:val="0"/>
              <w:marRight w:val="0"/>
              <w:marTop w:val="0"/>
              <w:marBottom w:val="0"/>
              <w:divBdr>
                <w:top w:val="none" w:sz="0" w:space="0" w:color="auto"/>
                <w:left w:val="none" w:sz="0" w:space="0" w:color="auto"/>
                <w:bottom w:val="none" w:sz="0" w:space="0" w:color="auto"/>
                <w:right w:val="none" w:sz="0" w:space="0" w:color="auto"/>
              </w:divBdr>
              <w:divsChild>
                <w:div w:id="22290173">
                  <w:marLeft w:val="0"/>
                  <w:marRight w:val="0"/>
                  <w:marTop w:val="0"/>
                  <w:marBottom w:val="0"/>
                  <w:divBdr>
                    <w:top w:val="none" w:sz="0" w:space="0" w:color="auto"/>
                    <w:left w:val="none" w:sz="0" w:space="0" w:color="auto"/>
                    <w:bottom w:val="none" w:sz="0" w:space="0" w:color="auto"/>
                    <w:right w:val="none" w:sz="0" w:space="0" w:color="auto"/>
                  </w:divBdr>
                  <w:divsChild>
                    <w:div w:id="22290150">
                      <w:marLeft w:val="0"/>
                      <w:marRight w:val="0"/>
                      <w:marTop w:val="0"/>
                      <w:marBottom w:val="0"/>
                      <w:divBdr>
                        <w:top w:val="none" w:sz="0" w:space="0" w:color="auto"/>
                        <w:left w:val="none" w:sz="0" w:space="0" w:color="auto"/>
                        <w:bottom w:val="none" w:sz="0" w:space="0" w:color="auto"/>
                        <w:right w:val="none" w:sz="0" w:space="0" w:color="auto"/>
                      </w:divBdr>
                      <w:divsChild>
                        <w:div w:id="22290135">
                          <w:marLeft w:val="0"/>
                          <w:marRight w:val="0"/>
                          <w:marTop w:val="0"/>
                          <w:marBottom w:val="0"/>
                          <w:divBdr>
                            <w:top w:val="none" w:sz="0" w:space="0" w:color="auto"/>
                            <w:left w:val="none" w:sz="0" w:space="0" w:color="auto"/>
                            <w:bottom w:val="none" w:sz="0" w:space="0" w:color="auto"/>
                            <w:right w:val="none" w:sz="0" w:space="0" w:color="auto"/>
                          </w:divBdr>
                        </w:div>
                        <w:div w:id="22290207">
                          <w:marLeft w:val="0"/>
                          <w:marRight w:val="0"/>
                          <w:marTop w:val="0"/>
                          <w:marBottom w:val="0"/>
                          <w:divBdr>
                            <w:top w:val="single" w:sz="4" w:space="12" w:color="999999"/>
                            <w:left w:val="single" w:sz="4" w:space="12" w:color="999999"/>
                            <w:bottom w:val="single" w:sz="4" w:space="12" w:color="999999"/>
                            <w:right w:val="single" w:sz="4" w:space="12" w:color="999999"/>
                          </w:divBdr>
                          <w:divsChild>
                            <w:div w:id="22290186">
                              <w:marLeft w:val="0"/>
                              <w:marRight w:val="0"/>
                              <w:marTop w:val="0"/>
                              <w:marBottom w:val="0"/>
                              <w:divBdr>
                                <w:top w:val="none" w:sz="0" w:space="0" w:color="auto"/>
                                <w:left w:val="none" w:sz="0" w:space="0" w:color="auto"/>
                                <w:bottom w:val="none" w:sz="0" w:space="0" w:color="auto"/>
                                <w:right w:val="none" w:sz="0" w:space="0" w:color="auto"/>
                              </w:divBdr>
                            </w:div>
                          </w:divsChild>
                        </w:div>
                        <w:div w:id="22290210">
                          <w:marLeft w:val="0"/>
                          <w:marRight w:val="0"/>
                          <w:marTop w:val="20"/>
                          <w:marBottom w:val="0"/>
                          <w:divBdr>
                            <w:top w:val="none" w:sz="0" w:space="0" w:color="auto"/>
                            <w:left w:val="none" w:sz="0" w:space="0" w:color="auto"/>
                            <w:bottom w:val="none" w:sz="0" w:space="0" w:color="auto"/>
                            <w:right w:val="none" w:sz="0" w:space="0" w:color="auto"/>
                          </w:divBdr>
                          <w:divsChild>
                            <w:div w:id="2229017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2290198">
                  <w:marLeft w:val="0"/>
                  <w:marRight w:val="0"/>
                  <w:marTop w:val="0"/>
                  <w:marBottom w:val="0"/>
                  <w:divBdr>
                    <w:top w:val="none" w:sz="0" w:space="0" w:color="auto"/>
                    <w:left w:val="none" w:sz="0" w:space="0" w:color="auto"/>
                    <w:bottom w:val="none" w:sz="0" w:space="0" w:color="auto"/>
                    <w:right w:val="none" w:sz="0" w:space="0" w:color="auto"/>
                  </w:divBdr>
                  <w:divsChild>
                    <w:div w:id="22290180">
                      <w:marLeft w:val="0"/>
                      <w:marRight w:val="0"/>
                      <w:marTop w:val="0"/>
                      <w:marBottom w:val="0"/>
                      <w:divBdr>
                        <w:top w:val="none" w:sz="0" w:space="0" w:color="auto"/>
                        <w:left w:val="none" w:sz="0" w:space="0" w:color="auto"/>
                        <w:bottom w:val="none" w:sz="0" w:space="0" w:color="auto"/>
                        <w:right w:val="none" w:sz="0" w:space="0" w:color="auto"/>
                      </w:divBdr>
                      <w:divsChild>
                        <w:div w:id="22290163">
                          <w:marLeft w:val="0"/>
                          <w:marRight w:val="0"/>
                          <w:marTop w:val="0"/>
                          <w:marBottom w:val="0"/>
                          <w:divBdr>
                            <w:top w:val="none" w:sz="0" w:space="0" w:color="auto"/>
                            <w:left w:val="none" w:sz="0" w:space="0" w:color="auto"/>
                            <w:bottom w:val="none" w:sz="0" w:space="0" w:color="auto"/>
                            <w:right w:val="none" w:sz="0" w:space="0" w:color="auto"/>
                          </w:divBdr>
                          <w:divsChild>
                            <w:div w:id="22290152">
                              <w:marLeft w:val="0"/>
                              <w:marRight w:val="0"/>
                              <w:marTop w:val="0"/>
                              <w:marBottom w:val="0"/>
                              <w:divBdr>
                                <w:top w:val="none" w:sz="0" w:space="0" w:color="auto"/>
                                <w:left w:val="none" w:sz="0" w:space="0" w:color="auto"/>
                                <w:bottom w:val="none" w:sz="0" w:space="0" w:color="auto"/>
                                <w:right w:val="none" w:sz="0" w:space="0" w:color="auto"/>
                              </w:divBdr>
                              <w:divsChild>
                                <w:div w:id="22290175">
                                  <w:marLeft w:val="0"/>
                                  <w:marRight w:val="0"/>
                                  <w:marTop w:val="0"/>
                                  <w:marBottom w:val="0"/>
                                  <w:divBdr>
                                    <w:top w:val="none" w:sz="0" w:space="0" w:color="auto"/>
                                    <w:left w:val="none" w:sz="0" w:space="0" w:color="auto"/>
                                    <w:bottom w:val="none" w:sz="0" w:space="0" w:color="auto"/>
                                    <w:right w:val="none" w:sz="0" w:space="0" w:color="auto"/>
                                  </w:divBdr>
                                  <w:divsChild>
                                    <w:div w:id="222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0181">
      <w:marLeft w:val="0"/>
      <w:marRight w:val="0"/>
      <w:marTop w:val="0"/>
      <w:marBottom w:val="0"/>
      <w:divBdr>
        <w:top w:val="none" w:sz="0" w:space="0" w:color="auto"/>
        <w:left w:val="none" w:sz="0" w:space="0" w:color="auto"/>
        <w:bottom w:val="none" w:sz="0" w:space="0" w:color="auto"/>
        <w:right w:val="none" w:sz="0" w:space="0" w:color="auto"/>
      </w:divBdr>
    </w:div>
    <w:div w:id="22290182">
      <w:marLeft w:val="0"/>
      <w:marRight w:val="0"/>
      <w:marTop w:val="0"/>
      <w:marBottom w:val="0"/>
      <w:divBdr>
        <w:top w:val="none" w:sz="0" w:space="0" w:color="auto"/>
        <w:left w:val="none" w:sz="0" w:space="0" w:color="auto"/>
        <w:bottom w:val="none" w:sz="0" w:space="0" w:color="auto"/>
        <w:right w:val="none" w:sz="0" w:space="0" w:color="auto"/>
      </w:divBdr>
    </w:div>
    <w:div w:id="22290193">
      <w:marLeft w:val="0"/>
      <w:marRight w:val="0"/>
      <w:marTop w:val="0"/>
      <w:marBottom w:val="0"/>
      <w:divBdr>
        <w:top w:val="none" w:sz="0" w:space="0" w:color="auto"/>
        <w:left w:val="none" w:sz="0" w:space="0" w:color="auto"/>
        <w:bottom w:val="none" w:sz="0" w:space="0" w:color="auto"/>
        <w:right w:val="none" w:sz="0" w:space="0" w:color="auto"/>
      </w:divBdr>
      <w:divsChild>
        <w:div w:id="22290174">
          <w:marLeft w:val="0"/>
          <w:marRight w:val="0"/>
          <w:marTop w:val="0"/>
          <w:marBottom w:val="0"/>
          <w:divBdr>
            <w:top w:val="none" w:sz="0" w:space="0" w:color="auto"/>
            <w:left w:val="none" w:sz="0" w:space="0" w:color="auto"/>
            <w:bottom w:val="none" w:sz="0" w:space="0" w:color="auto"/>
            <w:right w:val="none" w:sz="0" w:space="0" w:color="auto"/>
          </w:divBdr>
          <w:divsChild>
            <w:div w:id="22290165">
              <w:marLeft w:val="0"/>
              <w:marRight w:val="0"/>
              <w:marTop w:val="0"/>
              <w:marBottom w:val="0"/>
              <w:divBdr>
                <w:top w:val="none" w:sz="0" w:space="0" w:color="auto"/>
                <w:left w:val="none" w:sz="0" w:space="0" w:color="auto"/>
                <w:bottom w:val="none" w:sz="0" w:space="0" w:color="auto"/>
                <w:right w:val="none" w:sz="0" w:space="0" w:color="auto"/>
              </w:divBdr>
              <w:divsChild>
                <w:div w:id="22290167">
                  <w:marLeft w:val="0"/>
                  <w:marRight w:val="0"/>
                  <w:marTop w:val="0"/>
                  <w:marBottom w:val="0"/>
                  <w:divBdr>
                    <w:top w:val="none" w:sz="0" w:space="0" w:color="auto"/>
                    <w:left w:val="none" w:sz="0" w:space="0" w:color="auto"/>
                    <w:bottom w:val="none" w:sz="0" w:space="0" w:color="auto"/>
                    <w:right w:val="none" w:sz="0" w:space="0" w:color="auto"/>
                  </w:divBdr>
                  <w:divsChild>
                    <w:div w:id="22290153">
                      <w:marLeft w:val="0"/>
                      <w:marRight w:val="0"/>
                      <w:marTop w:val="0"/>
                      <w:marBottom w:val="0"/>
                      <w:divBdr>
                        <w:top w:val="none" w:sz="0" w:space="0" w:color="auto"/>
                        <w:left w:val="none" w:sz="0" w:space="0" w:color="auto"/>
                        <w:bottom w:val="none" w:sz="0" w:space="0" w:color="auto"/>
                        <w:right w:val="none" w:sz="0" w:space="0" w:color="auto"/>
                      </w:divBdr>
                      <w:divsChild>
                        <w:div w:id="22290145">
                          <w:marLeft w:val="0"/>
                          <w:marRight w:val="0"/>
                          <w:marTop w:val="0"/>
                          <w:marBottom w:val="0"/>
                          <w:divBdr>
                            <w:top w:val="none" w:sz="0" w:space="0" w:color="auto"/>
                            <w:left w:val="none" w:sz="0" w:space="0" w:color="auto"/>
                            <w:bottom w:val="none" w:sz="0" w:space="0" w:color="auto"/>
                            <w:right w:val="none" w:sz="0" w:space="0" w:color="auto"/>
                          </w:divBdr>
                        </w:div>
                        <w:div w:id="22290156">
                          <w:marLeft w:val="0"/>
                          <w:marRight w:val="0"/>
                          <w:marTop w:val="20"/>
                          <w:marBottom w:val="0"/>
                          <w:divBdr>
                            <w:top w:val="none" w:sz="0" w:space="0" w:color="auto"/>
                            <w:left w:val="none" w:sz="0" w:space="0" w:color="auto"/>
                            <w:bottom w:val="none" w:sz="0" w:space="0" w:color="auto"/>
                            <w:right w:val="none" w:sz="0" w:space="0" w:color="auto"/>
                          </w:divBdr>
                          <w:divsChild>
                            <w:div w:id="22290172">
                              <w:marLeft w:val="80"/>
                              <w:marRight w:val="240"/>
                              <w:marTop w:val="0"/>
                              <w:marBottom w:val="0"/>
                              <w:divBdr>
                                <w:top w:val="none" w:sz="0" w:space="0" w:color="auto"/>
                                <w:left w:val="none" w:sz="0" w:space="0" w:color="auto"/>
                                <w:bottom w:val="none" w:sz="0" w:space="0" w:color="auto"/>
                                <w:right w:val="none" w:sz="0" w:space="0" w:color="auto"/>
                              </w:divBdr>
                            </w:div>
                          </w:divsChild>
                        </w:div>
                        <w:div w:id="22290179">
                          <w:marLeft w:val="0"/>
                          <w:marRight w:val="0"/>
                          <w:marTop w:val="0"/>
                          <w:marBottom w:val="0"/>
                          <w:divBdr>
                            <w:top w:val="single" w:sz="4" w:space="12" w:color="999999"/>
                            <w:left w:val="single" w:sz="4" w:space="12" w:color="999999"/>
                            <w:bottom w:val="single" w:sz="4" w:space="12" w:color="999999"/>
                            <w:right w:val="single" w:sz="4" w:space="12" w:color="999999"/>
                          </w:divBdr>
                          <w:divsChild>
                            <w:div w:id="222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170">
                  <w:marLeft w:val="0"/>
                  <w:marRight w:val="0"/>
                  <w:marTop w:val="0"/>
                  <w:marBottom w:val="0"/>
                  <w:divBdr>
                    <w:top w:val="none" w:sz="0" w:space="0" w:color="auto"/>
                    <w:left w:val="none" w:sz="0" w:space="0" w:color="auto"/>
                    <w:bottom w:val="none" w:sz="0" w:space="0" w:color="auto"/>
                    <w:right w:val="none" w:sz="0" w:space="0" w:color="auto"/>
                  </w:divBdr>
                  <w:divsChild>
                    <w:div w:id="22290213">
                      <w:marLeft w:val="0"/>
                      <w:marRight w:val="0"/>
                      <w:marTop w:val="0"/>
                      <w:marBottom w:val="0"/>
                      <w:divBdr>
                        <w:top w:val="none" w:sz="0" w:space="0" w:color="auto"/>
                        <w:left w:val="none" w:sz="0" w:space="0" w:color="auto"/>
                        <w:bottom w:val="none" w:sz="0" w:space="0" w:color="auto"/>
                        <w:right w:val="none" w:sz="0" w:space="0" w:color="auto"/>
                      </w:divBdr>
                      <w:divsChild>
                        <w:div w:id="22290196">
                          <w:marLeft w:val="0"/>
                          <w:marRight w:val="0"/>
                          <w:marTop w:val="0"/>
                          <w:marBottom w:val="0"/>
                          <w:divBdr>
                            <w:top w:val="none" w:sz="0" w:space="0" w:color="auto"/>
                            <w:left w:val="none" w:sz="0" w:space="0" w:color="auto"/>
                            <w:bottom w:val="none" w:sz="0" w:space="0" w:color="auto"/>
                            <w:right w:val="none" w:sz="0" w:space="0" w:color="auto"/>
                          </w:divBdr>
                          <w:divsChild>
                            <w:div w:id="22290187">
                              <w:marLeft w:val="0"/>
                              <w:marRight w:val="0"/>
                              <w:marTop w:val="0"/>
                              <w:marBottom w:val="0"/>
                              <w:divBdr>
                                <w:top w:val="none" w:sz="0" w:space="0" w:color="auto"/>
                                <w:left w:val="none" w:sz="0" w:space="0" w:color="auto"/>
                                <w:bottom w:val="none" w:sz="0" w:space="0" w:color="auto"/>
                                <w:right w:val="none" w:sz="0" w:space="0" w:color="auto"/>
                              </w:divBdr>
                            </w:div>
                            <w:div w:id="22290203">
                              <w:marLeft w:val="0"/>
                              <w:marRight w:val="0"/>
                              <w:marTop w:val="0"/>
                              <w:marBottom w:val="0"/>
                              <w:divBdr>
                                <w:top w:val="none" w:sz="0" w:space="0" w:color="auto"/>
                                <w:left w:val="none" w:sz="0" w:space="0" w:color="auto"/>
                                <w:bottom w:val="none" w:sz="0" w:space="0" w:color="auto"/>
                                <w:right w:val="none" w:sz="0" w:space="0" w:color="auto"/>
                              </w:divBdr>
                              <w:divsChild>
                                <w:div w:id="22290148">
                                  <w:marLeft w:val="0"/>
                                  <w:marRight w:val="0"/>
                                  <w:marTop w:val="0"/>
                                  <w:marBottom w:val="0"/>
                                  <w:divBdr>
                                    <w:top w:val="none" w:sz="0" w:space="0" w:color="auto"/>
                                    <w:left w:val="none" w:sz="0" w:space="0" w:color="auto"/>
                                    <w:bottom w:val="none" w:sz="0" w:space="0" w:color="auto"/>
                                    <w:right w:val="none" w:sz="0" w:space="0" w:color="auto"/>
                                  </w:divBdr>
                                  <w:divsChild>
                                    <w:div w:id="22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90194">
      <w:marLeft w:val="0"/>
      <w:marRight w:val="0"/>
      <w:marTop w:val="0"/>
      <w:marBottom w:val="0"/>
      <w:divBdr>
        <w:top w:val="none" w:sz="0" w:space="0" w:color="auto"/>
        <w:left w:val="none" w:sz="0" w:space="0" w:color="auto"/>
        <w:bottom w:val="none" w:sz="0" w:space="0" w:color="auto"/>
        <w:right w:val="none" w:sz="0" w:space="0" w:color="auto"/>
      </w:divBdr>
    </w:div>
    <w:div w:id="22290197">
      <w:marLeft w:val="0"/>
      <w:marRight w:val="0"/>
      <w:marTop w:val="0"/>
      <w:marBottom w:val="0"/>
      <w:divBdr>
        <w:top w:val="none" w:sz="0" w:space="0" w:color="auto"/>
        <w:left w:val="none" w:sz="0" w:space="0" w:color="auto"/>
        <w:bottom w:val="none" w:sz="0" w:space="0" w:color="auto"/>
        <w:right w:val="none" w:sz="0" w:space="0" w:color="auto"/>
      </w:divBdr>
    </w:div>
    <w:div w:id="22290199">
      <w:marLeft w:val="0"/>
      <w:marRight w:val="0"/>
      <w:marTop w:val="0"/>
      <w:marBottom w:val="0"/>
      <w:divBdr>
        <w:top w:val="none" w:sz="0" w:space="0" w:color="auto"/>
        <w:left w:val="none" w:sz="0" w:space="0" w:color="auto"/>
        <w:bottom w:val="none" w:sz="0" w:space="0" w:color="auto"/>
        <w:right w:val="none" w:sz="0" w:space="0" w:color="auto"/>
      </w:divBdr>
    </w:div>
    <w:div w:id="22290206">
      <w:marLeft w:val="0"/>
      <w:marRight w:val="0"/>
      <w:marTop w:val="0"/>
      <w:marBottom w:val="0"/>
      <w:divBdr>
        <w:top w:val="none" w:sz="0" w:space="0" w:color="auto"/>
        <w:left w:val="none" w:sz="0" w:space="0" w:color="auto"/>
        <w:bottom w:val="none" w:sz="0" w:space="0" w:color="auto"/>
        <w:right w:val="none" w:sz="0" w:space="0" w:color="auto"/>
      </w:divBdr>
      <w:divsChild>
        <w:div w:id="22290184">
          <w:marLeft w:val="0"/>
          <w:marRight w:val="0"/>
          <w:marTop w:val="0"/>
          <w:marBottom w:val="0"/>
          <w:divBdr>
            <w:top w:val="none" w:sz="0" w:space="0" w:color="auto"/>
            <w:left w:val="none" w:sz="0" w:space="0" w:color="auto"/>
            <w:bottom w:val="none" w:sz="0" w:space="0" w:color="auto"/>
            <w:right w:val="none" w:sz="0" w:space="0" w:color="auto"/>
          </w:divBdr>
          <w:divsChild>
            <w:div w:id="22290143">
              <w:marLeft w:val="0"/>
              <w:marRight w:val="0"/>
              <w:marTop w:val="0"/>
              <w:marBottom w:val="0"/>
              <w:divBdr>
                <w:top w:val="none" w:sz="0" w:space="0" w:color="auto"/>
                <w:left w:val="none" w:sz="0" w:space="0" w:color="auto"/>
                <w:bottom w:val="none" w:sz="0" w:space="0" w:color="auto"/>
                <w:right w:val="none" w:sz="0" w:space="0" w:color="auto"/>
              </w:divBdr>
              <w:divsChild>
                <w:div w:id="22290136">
                  <w:marLeft w:val="0"/>
                  <w:marRight w:val="0"/>
                  <w:marTop w:val="0"/>
                  <w:marBottom w:val="0"/>
                  <w:divBdr>
                    <w:top w:val="none" w:sz="0" w:space="0" w:color="auto"/>
                    <w:left w:val="none" w:sz="0" w:space="0" w:color="auto"/>
                    <w:bottom w:val="none" w:sz="0" w:space="0" w:color="auto"/>
                    <w:right w:val="none" w:sz="0" w:space="0" w:color="auto"/>
                  </w:divBdr>
                  <w:divsChild>
                    <w:div w:id="22290138">
                      <w:marLeft w:val="0"/>
                      <w:marRight w:val="0"/>
                      <w:marTop w:val="0"/>
                      <w:marBottom w:val="0"/>
                      <w:divBdr>
                        <w:top w:val="none" w:sz="0" w:space="0" w:color="auto"/>
                        <w:left w:val="none" w:sz="0" w:space="0" w:color="auto"/>
                        <w:bottom w:val="none" w:sz="0" w:space="0" w:color="auto"/>
                        <w:right w:val="none" w:sz="0" w:space="0" w:color="auto"/>
                      </w:divBdr>
                      <w:divsChild>
                        <w:div w:id="22290151">
                          <w:marLeft w:val="0"/>
                          <w:marRight w:val="0"/>
                          <w:marTop w:val="0"/>
                          <w:marBottom w:val="0"/>
                          <w:divBdr>
                            <w:top w:val="single" w:sz="4" w:space="12" w:color="999999"/>
                            <w:left w:val="single" w:sz="4" w:space="12" w:color="999999"/>
                            <w:bottom w:val="single" w:sz="4" w:space="12" w:color="999999"/>
                            <w:right w:val="single" w:sz="4" w:space="12" w:color="999999"/>
                          </w:divBdr>
                          <w:divsChild>
                            <w:div w:id="22290159">
                              <w:marLeft w:val="0"/>
                              <w:marRight w:val="0"/>
                              <w:marTop w:val="0"/>
                              <w:marBottom w:val="0"/>
                              <w:divBdr>
                                <w:top w:val="none" w:sz="0" w:space="0" w:color="auto"/>
                                <w:left w:val="none" w:sz="0" w:space="0" w:color="auto"/>
                                <w:bottom w:val="none" w:sz="0" w:space="0" w:color="auto"/>
                                <w:right w:val="none" w:sz="0" w:space="0" w:color="auto"/>
                              </w:divBdr>
                            </w:div>
                          </w:divsChild>
                        </w:div>
                        <w:div w:id="22290191">
                          <w:marLeft w:val="0"/>
                          <w:marRight w:val="0"/>
                          <w:marTop w:val="0"/>
                          <w:marBottom w:val="0"/>
                          <w:divBdr>
                            <w:top w:val="none" w:sz="0" w:space="0" w:color="auto"/>
                            <w:left w:val="none" w:sz="0" w:space="0" w:color="auto"/>
                            <w:bottom w:val="none" w:sz="0" w:space="0" w:color="auto"/>
                            <w:right w:val="none" w:sz="0" w:space="0" w:color="auto"/>
                          </w:divBdr>
                        </w:div>
                        <w:div w:id="22290204">
                          <w:marLeft w:val="0"/>
                          <w:marRight w:val="0"/>
                          <w:marTop w:val="20"/>
                          <w:marBottom w:val="0"/>
                          <w:divBdr>
                            <w:top w:val="none" w:sz="0" w:space="0" w:color="auto"/>
                            <w:left w:val="none" w:sz="0" w:space="0" w:color="auto"/>
                            <w:bottom w:val="none" w:sz="0" w:space="0" w:color="auto"/>
                            <w:right w:val="none" w:sz="0" w:space="0" w:color="auto"/>
                          </w:divBdr>
                          <w:divsChild>
                            <w:div w:id="2229020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2290192">
                  <w:marLeft w:val="0"/>
                  <w:marRight w:val="0"/>
                  <w:marTop w:val="0"/>
                  <w:marBottom w:val="0"/>
                  <w:divBdr>
                    <w:top w:val="none" w:sz="0" w:space="0" w:color="auto"/>
                    <w:left w:val="none" w:sz="0" w:space="0" w:color="auto"/>
                    <w:bottom w:val="none" w:sz="0" w:space="0" w:color="auto"/>
                    <w:right w:val="none" w:sz="0" w:space="0" w:color="auto"/>
                  </w:divBdr>
                  <w:divsChild>
                    <w:div w:id="22290216">
                      <w:marLeft w:val="0"/>
                      <w:marRight w:val="0"/>
                      <w:marTop w:val="0"/>
                      <w:marBottom w:val="0"/>
                      <w:divBdr>
                        <w:top w:val="none" w:sz="0" w:space="0" w:color="auto"/>
                        <w:left w:val="none" w:sz="0" w:space="0" w:color="auto"/>
                        <w:bottom w:val="none" w:sz="0" w:space="0" w:color="auto"/>
                        <w:right w:val="none" w:sz="0" w:space="0" w:color="auto"/>
                      </w:divBdr>
                      <w:divsChild>
                        <w:div w:id="22290205">
                          <w:marLeft w:val="0"/>
                          <w:marRight w:val="0"/>
                          <w:marTop w:val="0"/>
                          <w:marBottom w:val="0"/>
                          <w:divBdr>
                            <w:top w:val="none" w:sz="0" w:space="0" w:color="auto"/>
                            <w:left w:val="none" w:sz="0" w:space="0" w:color="auto"/>
                            <w:bottom w:val="none" w:sz="0" w:space="0" w:color="auto"/>
                            <w:right w:val="none" w:sz="0" w:space="0" w:color="auto"/>
                          </w:divBdr>
                          <w:divsChild>
                            <w:div w:id="22290195">
                              <w:marLeft w:val="0"/>
                              <w:marRight w:val="0"/>
                              <w:marTop w:val="0"/>
                              <w:marBottom w:val="0"/>
                              <w:divBdr>
                                <w:top w:val="none" w:sz="0" w:space="0" w:color="auto"/>
                                <w:left w:val="none" w:sz="0" w:space="0" w:color="auto"/>
                                <w:bottom w:val="none" w:sz="0" w:space="0" w:color="auto"/>
                                <w:right w:val="none" w:sz="0" w:space="0" w:color="auto"/>
                              </w:divBdr>
                              <w:divsChild>
                                <w:div w:id="22290160">
                                  <w:marLeft w:val="0"/>
                                  <w:marRight w:val="0"/>
                                  <w:marTop w:val="0"/>
                                  <w:marBottom w:val="0"/>
                                  <w:divBdr>
                                    <w:top w:val="none" w:sz="0" w:space="0" w:color="auto"/>
                                    <w:left w:val="none" w:sz="0" w:space="0" w:color="auto"/>
                                    <w:bottom w:val="none" w:sz="0" w:space="0" w:color="auto"/>
                                    <w:right w:val="none" w:sz="0" w:space="0" w:color="auto"/>
                                  </w:divBdr>
                                  <w:divsChild>
                                    <w:div w:id="222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0209">
      <w:marLeft w:val="0"/>
      <w:marRight w:val="0"/>
      <w:marTop w:val="0"/>
      <w:marBottom w:val="0"/>
      <w:divBdr>
        <w:top w:val="none" w:sz="0" w:space="0" w:color="auto"/>
        <w:left w:val="none" w:sz="0" w:space="0" w:color="auto"/>
        <w:bottom w:val="none" w:sz="0" w:space="0" w:color="auto"/>
        <w:right w:val="none" w:sz="0" w:space="0" w:color="auto"/>
      </w:divBdr>
    </w:div>
    <w:div w:id="22290217">
      <w:marLeft w:val="0"/>
      <w:marRight w:val="0"/>
      <w:marTop w:val="0"/>
      <w:marBottom w:val="0"/>
      <w:divBdr>
        <w:top w:val="none" w:sz="0" w:space="0" w:color="auto"/>
        <w:left w:val="none" w:sz="0" w:space="0" w:color="auto"/>
        <w:bottom w:val="none" w:sz="0" w:space="0" w:color="auto"/>
        <w:right w:val="none" w:sz="0" w:space="0" w:color="auto"/>
      </w:divBdr>
      <w:divsChild>
        <w:div w:id="22290134">
          <w:marLeft w:val="0"/>
          <w:marRight w:val="0"/>
          <w:marTop w:val="0"/>
          <w:marBottom w:val="0"/>
          <w:divBdr>
            <w:top w:val="none" w:sz="0" w:space="0" w:color="auto"/>
            <w:left w:val="none" w:sz="0" w:space="0" w:color="auto"/>
            <w:bottom w:val="none" w:sz="0" w:space="0" w:color="auto"/>
            <w:right w:val="none" w:sz="0" w:space="0" w:color="auto"/>
          </w:divBdr>
          <w:divsChild>
            <w:div w:id="22290141">
              <w:marLeft w:val="0"/>
              <w:marRight w:val="0"/>
              <w:marTop w:val="0"/>
              <w:marBottom w:val="0"/>
              <w:divBdr>
                <w:top w:val="none" w:sz="0" w:space="0" w:color="auto"/>
                <w:left w:val="none" w:sz="0" w:space="0" w:color="auto"/>
                <w:bottom w:val="none" w:sz="0" w:space="0" w:color="auto"/>
                <w:right w:val="none" w:sz="0" w:space="0" w:color="auto"/>
              </w:divBdr>
              <w:divsChild>
                <w:div w:id="22290189">
                  <w:marLeft w:val="0"/>
                  <w:marRight w:val="0"/>
                  <w:marTop w:val="0"/>
                  <w:marBottom w:val="0"/>
                  <w:divBdr>
                    <w:top w:val="none" w:sz="0" w:space="0" w:color="auto"/>
                    <w:left w:val="none" w:sz="0" w:space="0" w:color="auto"/>
                    <w:bottom w:val="none" w:sz="0" w:space="0" w:color="auto"/>
                    <w:right w:val="none" w:sz="0" w:space="0" w:color="auto"/>
                  </w:divBdr>
                  <w:divsChild>
                    <w:div w:id="22290147">
                      <w:marLeft w:val="0"/>
                      <w:marRight w:val="0"/>
                      <w:marTop w:val="0"/>
                      <w:marBottom w:val="0"/>
                      <w:divBdr>
                        <w:top w:val="none" w:sz="0" w:space="0" w:color="auto"/>
                        <w:left w:val="none" w:sz="0" w:space="0" w:color="auto"/>
                        <w:bottom w:val="none" w:sz="0" w:space="0" w:color="auto"/>
                        <w:right w:val="none" w:sz="0" w:space="0" w:color="auto"/>
                      </w:divBdr>
                      <w:divsChild>
                        <w:div w:id="22290157">
                          <w:marLeft w:val="0"/>
                          <w:marRight w:val="0"/>
                          <w:marTop w:val="0"/>
                          <w:marBottom w:val="0"/>
                          <w:divBdr>
                            <w:top w:val="none" w:sz="0" w:space="0" w:color="auto"/>
                            <w:left w:val="none" w:sz="0" w:space="0" w:color="auto"/>
                            <w:bottom w:val="none" w:sz="0" w:space="0" w:color="auto"/>
                            <w:right w:val="none" w:sz="0" w:space="0" w:color="auto"/>
                          </w:divBdr>
                          <w:divsChild>
                            <w:div w:id="22290164">
                              <w:marLeft w:val="0"/>
                              <w:marRight w:val="0"/>
                              <w:marTop w:val="0"/>
                              <w:marBottom w:val="0"/>
                              <w:divBdr>
                                <w:top w:val="none" w:sz="0" w:space="0" w:color="auto"/>
                                <w:left w:val="none" w:sz="0" w:space="0" w:color="auto"/>
                                <w:bottom w:val="none" w:sz="0" w:space="0" w:color="auto"/>
                                <w:right w:val="none" w:sz="0" w:space="0" w:color="auto"/>
                              </w:divBdr>
                            </w:div>
                          </w:divsChild>
                        </w:div>
                        <w:div w:id="22290162">
                          <w:marLeft w:val="0"/>
                          <w:marRight w:val="0"/>
                          <w:marTop w:val="0"/>
                          <w:marBottom w:val="0"/>
                          <w:divBdr>
                            <w:top w:val="none" w:sz="0" w:space="0" w:color="auto"/>
                            <w:left w:val="none" w:sz="0" w:space="0" w:color="auto"/>
                            <w:bottom w:val="none" w:sz="0" w:space="0" w:color="auto"/>
                            <w:right w:val="none" w:sz="0" w:space="0" w:color="auto"/>
                          </w:divBdr>
                          <w:divsChild>
                            <w:div w:id="22290139">
                              <w:marLeft w:val="0"/>
                              <w:marRight w:val="0"/>
                              <w:marTop w:val="0"/>
                              <w:marBottom w:val="0"/>
                              <w:divBdr>
                                <w:top w:val="none" w:sz="0" w:space="0" w:color="auto"/>
                                <w:left w:val="none" w:sz="0" w:space="0" w:color="auto"/>
                                <w:bottom w:val="none" w:sz="0" w:space="0" w:color="auto"/>
                                <w:right w:val="none" w:sz="0" w:space="0" w:color="auto"/>
                              </w:divBdr>
                            </w:div>
                            <w:div w:id="22290154">
                              <w:marLeft w:val="0"/>
                              <w:marRight w:val="0"/>
                              <w:marTop w:val="480"/>
                              <w:marBottom w:val="0"/>
                              <w:divBdr>
                                <w:top w:val="none" w:sz="0" w:space="0" w:color="auto"/>
                                <w:left w:val="none" w:sz="0" w:space="0" w:color="auto"/>
                                <w:bottom w:val="none" w:sz="0" w:space="0" w:color="auto"/>
                                <w:right w:val="none" w:sz="0" w:space="0" w:color="auto"/>
                              </w:divBdr>
                            </w:div>
                            <w:div w:id="22290161">
                              <w:marLeft w:val="0"/>
                              <w:marRight w:val="0"/>
                              <w:marTop w:val="0"/>
                              <w:marBottom w:val="0"/>
                              <w:divBdr>
                                <w:top w:val="none" w:sz="0" w:space="0" w:color="auto"/>
                                <w:left w:val="none" w:sz="0" w:space="0" w:color="auto"/>
                                <w:bottom w:val="none" w:sz="0" w:space="0" w:color="auto"/>
                                <w:right w:val="none" w:sz="0" w:space="0" w:color="auto"/>
                              </w:divBdr>
                              <w:divsChild>
                                <w:div w:id="22290142">
                                  <w:marLeft w:val="0"/>
                                  <w:marRight w:val="0"/>
                                  <w:marTop w:val="0"/>
                                  <w:marBottom w:val="0"/>
                                  <w:divBdr>
                                    <w:top w:val="none" w:sz="0" w:space="0" w:color="auto"/>
                                    <w:left w:val="none" w:sz="0" w:space="0" w:color="auto"/>
                                    <w:bottom w:val="none" w:sz="0" w:space="0" w:color="auto"/>
                                    <w:right w:val="none" w:sz="0" w:space="0" w:color="auto"/>
                                  </w:divBdr>
                                  <w:divsChild>
                                    <w:div w:id="222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208">
                              <w:marLeft w:val="0"/>
                              <w:marRight w:val="0"/>
                              <w:marTop w:val="80"/>
                              <w:marBottom w:val="0"/>
                              <w:divBdr>
                                <w:top w:val="none" w:sz="0" w:space="0" w:color="auto"/>
                                <w:left w:val="none" w:sz="0" w:space="0" w:color="auto"/>
                                <w:bottom w:val="none" w:sz="0" w:space="0" w:color="auto"/>
                                <w:right w:val="none" w:sz="0" w:space="0" w:color="auto"/>
                              </w:divBdr>
                              <w:divsChild>
                                <w:div w:id="22290144">
                                  <w:marLeft w:val="0"/>
                                  <w:marRight w:val="240"/>
                                  <w:marTop w:val="0"/>
                                  <w:marBottom w:val="0"/>
                                  <w:divBdr>
                                    <w:top w:val="none" w:sz="0" w:space="0" w:color="auto"/>
                                    <w:left w:val="none" w:sz="0" w:space="0" w:color="auto"/>
                                    <w:bottom w:val="none" w:sz="0" w:space="0" w:color="auto"/>
                                    <w:right w:val="none" w:sz="0" w:space="0" w:color="auto"/>
                                  </w:divBdr>
                                </w:div>
                                <w:div w:id="22290183">
                                  <w:marLeft w:val="0"/>
                                  <w:marRight w:val="240"/>
                                  <w:marTop w:val="0"/>
                                  <w:marBottom w:val="0"/>
                                  <w:divBdr>
                                    <w:top w:val="none" w:sz="0" w:space="0" w:color="auto"/>
                                    <w:left w:val="none" w:sz="0" w:space="0" w:color="auto"/>
                                    <w:bottom w:val="none" w:sz="0" w:space="0" w:color="auto"/>
                                    <w:right w:val="none" w:sz="0" w:space="0" w:color="auto"/>
                                  </w:divBdr>
                                </w:div>
                              </w:divsChild>
                            </w:div>
                            <w:div w:id="222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0218">
      <w:marLeft w:val="0"/>
      <w:marRight w:val="0"/>
      <w:marTop w:val="0"/>
      <w:marBottom w:val="0"/>
      <w:divBdr>
        <w:top w:val="none" w:sz="0" w:space="0" w:color="auto"/>
        <w:left w:val="none" w:sz="0" w:space="0" w:color="auto"/>
        <w:bottom w:val="none" w:sz="0" w:space="0" w:color="auto"/>
        <w:right w:val="none" w:sz="0" w:space="0" w:color="auto"/>
      </w:divBdr>
    </w:div>
    <w:div w:id="22290219">
      <w:marLeft w:val="0"/>
      <w:marRight w:val="0"/>
      <w:marTop w:val="0"/>
      <w:marBottom w:val="0"/>
      <w:divBdr>
        <w:top w:val="none" w:sz="0" w:space="0" w:color="auto"/>
        <w:left w:val="none" w:sz="0" w:space="0" w:color="auto"/>
        <w:bottom w:val="none" w:sz="0" w:space="0" w:color="auto"/>
        <w:right w:val="none" w:sz="0" w:space="0" w:color="auto"/>
      </w:divBdr>
    </w:div>
    <w:div w:id="22290220">
      <w:marLeft w:val="0"/>
      <w:marRight w:val="0"/>
      <w:marTop w:val="0"/>
      <w:marBottom w:val="0"/>
      <w:divBdr>
        <w:top w:val="none" w:sz="0" w:space="0" w:color="auto"/>
        <w:left w:val="none" w:sz="0" w:space="0" w:color="auto"/>
        <w:bottom w:val="none" w:sz="0" w:space="0" w:color="auto"/>
        <w:right w:val="none" w:sz="0" w:space="0" w:color="auto"/>
      </w:divBdr>
    </w:div>
    <w:div w:id="22290221">
      <w:marLeft w:val="0"/>
      <w:marRight w:val="0"/>
      <w:marTop w:val="0"/>
      <w:marBottom w:val="0"/>
      <w:divBdr>
        <w:top w:val="none" w:sz="0" w:space="0" w:color="auto"/>
        <w:left w:val="none" w:sz="0" w:space="0" w:color="auto"/>
        <w:bottom w:val="none" w:sz="0" w:space="0" w:color="auto"/>
        <w:right w:val="none" w:sz="0" w:space="0" w:color="auto"/>
      </w:divBdr>
    </w:div>
    <w:div w:id="22290222">
      <w:marLeft w:val="0"/>
      <w:marRight w:val="0"/>
      <w:marTop w:val="0"/>
      <w:marBottom w:val="0"/>
      <w:divBdr>
        <w:top w:val="none" w:sz="0" w:space="0" w:color="auto"/>
        <w:left w:val="none" w:sz="0" w:space="0" w:color="auto"/>
        <w:bottom w:val="none" w:sz="0" w:space="0" w:color="auto"/>
        <w:right w:val="none" w:sz="0" w:space="0" w:color="auto"/>
      </w:divBdr>
    </w:div>
    <w:div w:id="22290223">
      <w:marLeft w:val="0"/>
      <w:marRight w:val="0"/>
      <w:marTop w:val="0"/>
      <w:marBottom w:val="0"/>
      <w:divBdr>
        <w:top w:val="none" w:sz="0" w:space="0" w:color="auto"/>
        <w:left w:val="none" w:sz="0" w:space="0" w:color="auto"/>
        <w:bottom w:val="none" w:sz="0" w:space="0" w:color="auto"/>
        <w:right w:val="none" w:sz="0" w:space="0" w:color="auto"/>
      </w:divBdr>
    </w:div>
    <w:div w:id="1262647548">
      <w:bodyDiv w:val="1"/>
      <w:marLeft w:val="0"/>
      <w:marRight w:val="0"/>
      <w:marTop w:val="300"/>
      <w:marBottom w:val="300"/>
      <w:divBdr>
        <w:top w:val="none" w:sz="0" w:space="0" w:color="auto"/>
        <w:left w:val="none" w:sz="0" w:space="0" w:color="auto"/>
        <w:bottom w:val="none" w:sz="0" w:space="0" w:color="auto"/>
        <w:right w:val="none" w:sz="0" w:space="0" w:color="auto"/>
      </w:divBdr>
      <w:divsChild>
        <w:div w:id="1109740414">
          <w:marLeft w:val="0"/>
          <w:marRight w:val="0"/>
          <w:marTop w:val="0"/>
          <w:marBottom w:val="0"/>
          <w:divBdr>
            <w:top w:val="single" w:sz="6" w:space="8" w:color="FFFFFF"/>
            <w:left w:val="none" w:sz="0" w:space="0" w:color="auto"/>
            <w:bottom w:val="none" w:sz="0" w:space="0" w:color="auto"/>
            <w:right w:val="none" w:sz="0" w:space="0" w:color="auto"/>
          </w:divBdr>
          <w:divsChild>
            <w:div w:id="949236354">
              <w:marLeft w:val="0"/>
              <w:marRight w:val="0"/>
              <w:marTop w:val="0"/>
              <w:marBottom w:val="0"/>
              <w:divBdr>
                <w:top w:val="none" w:sz="0" w:space="0" w:color="auto"/>
                <w:left w:val="none" w:sz="0" w:space="0" w:color="auto"/>
                <w:bottom w:val="none" w:sz="0" w:space="0" w:color="auto"/>
                <w:right w:val="none" w:sz="0" w:space="0" w:color="auto"/>
              </w:divBdr>
              <w:divsChild>
                <w:div w:id="163979798">
                  <w:marLeft w:val="0"/>
                  <w:marRight w:val="0"/>
                  <w:marTop w:val="0"/>
                  <w:marBottom w:val="0"/>
                  <w:divBdr>
                    <w:top w:val="none" w:sz="0" w:space="0" w:color="auto"/>
                    <w:left w:val="none" w:sz="0" w:space="0" w:color="auto"/>
                    <w:bottom w:val="none" w:sz="0" w:space="0" w:color="auto"/>
                    <w:right w:val="none" w:sz="0" w:space="0" w:color="auto"/>
                  </w:divBdr>
                  <w:divsChild>
                    <w:div w:id="498887231">
                      <w:marLeft w:val="0"/>
                      <w:marRight w:val="0"/>
                      <w:marTop w:val="0"/>
                      <w:marBottom w:val="0"/>
                      <w:divBdr>
                        <w:top w:val="single" w:sz="6" w:space="15" w:color="FFFFFF"/>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70401B3C02E7F444938D2288ACF88752" ma:contentTypeVersion="0" ma:contentTypeDescription="A content type to manage public (operations) IDB documents" ma:contentTypeScope="" ma:versionID="e545a52cb0feb45d000497115c248f25">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EVALUATION TRACKING DOCUMENT</Project_x0020_Document_x0020_Typ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37887887</IDBDocs_x0020_Number>
    <Document_x0020_Author xmlns="9c571b2f-e523-4ab2-ba2e-09e151a03ef4">Lenci Pousada, Vera Lucia</Document_x0020_Author>
    <Publication_x0020_Type xmlns="9c571b2f-e523-4ab2-ba2e-09e151a03ef4" xsi:nil="true"/>
    <Operation_x0020_Type xmlns="9c571b2f-e523-4ab2-ba2e-09e151a03ef4" xsi:nil="true"/>
    <TaxCatchAll xmlns="9c571b2f-e523-4ab2-ba2e-09e151a03ef4">
      <Value>6</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AR-L1158</Project_x0020_Number>
    <o5138a91267540169645e33d09c9ddc6 xmlns="9c571b2f-e523-4ab2-ba2e-09e151a03ef4">
      <Terms xmlns="http://schemas.microsoft.com/office/infopath/2007/PartnerControl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Whole&lt;/APPROVAL_DESC&gt;&lt;PD_OBJ_TYPE&gt;0&lt;/PD_OBJ_TYPE&gt;&lt;DTAPPROVAL&gt;Sep 11 2013 12:00AM&lt;/DTAPPROVAL&gt;&lt;MAKERECORD&gt;N&lt;/MAKERECORD&gt;&lt;PD_FILEPT_NO&gt;PO-AR-L1158-Anl&lt;/PD_FILEPT_NO&gt;&lt;/Data&gt;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a</Business_x0020_Area>
    <SISCOR_x0020_Number xmlns="9c571b2f-e523-4ab2-ba2e-09e151a03ef4" xsi:nil="true"/>
    <Webtopic xmlns="9c571b2f-e523-4ab2-ba2e-09e151a03ef4">TR-FER</Webtopic>
    <Identifier xmlns="9c571b2f-e523-4ab2-ba2e-09e151a03ef4">Caterina Vecco x.2460 FULL DOC</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78EDDC7B-DEFC-4296-BAD3-EC84311B58B5}"/>
</file>

<file path=customXml/itemProps2.xml><?xml version="1.0" encoding="utf-8"?>
<ds:datastoreItem xmlns:ds="http://schemas.openxmlformats.org/officeDocument/2006/customXml" ds:itemID="{83CFBB57-3230-41DD-9333-C65A210D9357}"/>
</file>

<file path=customXml/itemProps3.xml><?xml version="1.0" encoding="utf-8"?>
<ds:datastoreItem xmlns:ds="http://schemas.openxmlformats.org/officeDocument/2006/customXml" ds:itemID="{876CBC4A-15A0-422E-B2AE-4A4AB2C03079}"/>
</file>

<file path=customXml/itemProps4.xml><?xml version="1.0" encoding="utf-8"?>
<ds:datastoreItem xmlns:ds="http://schemas.openxmlformats.org/officeDocument/2006/customXml" ds:itemID="{3480C9BC-544A-4366-B1AB-59D4A2F53DFC}"/>
</file>

<file path=customXml/itemProps5.xml><?xml version="1.0" encoding="utf-8"?>
<ds:datastoreItem xmlns:ds="http://schemas.openxmlformats.org/officeDocument/2006/customXml" ds:itemID="{C0E2DE64-F6C5-4B07-A45F-5A4C0205E4B6}"/>
</file>

<file path=docProps/app.xml><?xml version="1.0" encoding="utf-8"?>
<Properties xmlns="http://schemas.openxmlformats.org/officeDocument/2006/extended-properties" xmlns:vt="http://schemas.openxmlformats.org/officeDocument/2006/docPropsVTypes">
  <Template>Normal.dotm</Template>
  <TotalTime>5</TotalTime>
  <Pages>23</Pages>
  <Words>8163</Words>
  <Characters>43907</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DOCUMENTO DEL BANCO INTERAMERICANO DE DESARROLLO</vt:lpstr>
    </vt:vector>
  </TitlesOfParts>
  <Company>Inter-American Development Bank</Company>
  <LinksUpToDate>false</LinksUpToDate>
  <CharactersWithSpaces>51967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Electrónico Mandatorio 3_ Plan de seguimiento y evaluación _ LP</dc:title>
  <dc:creator>shakirahc</dc:creator>
  <cp:lastModifiedBy>Test</cp:lastModifiedBy>
  <cp:revision>3</cp:revision>
  <cp:lastPrinted>2013-05-29T16:52:00Z</cp:lastPrinted>
  <dcterms:created xsi:type="dcterms:W3CDTF">2013-07-23T19:55:00Z</dcterms:created>
  <dcterms:modified xsi:type="dcterms:W3CDTF">2013-07-23T19:55:00Z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gFAAsdpvfP9KDXKG2BdWtWl5Fwr/O+YiGPpDdx+2dCRBg4Vr5WvmbWgIBnvgYu7qiOrev2HtvZ/d81G1lggu09GKx/iY+vNxjqbz8OHq17ivnfdMxl0fmKOfUlbxjDPuAgcut2cTAwDbTKlsRjuiwiDYZeLQbvdimXHmbOgE21adEQlAZRjBZKpZnUKAH/azh7UnKNVV0uVNn5rwJEsYG+i4HIVB3RLv0j2Umy42QwReIgphvD8KOmDsn</vt:lpwstr>
  </property>
  <property fmtid="{D5CDD505-2E9C-101B-9397-08002B2CF9AE}" pid="3" name="MAIL_MSG_ID2">
    <vt:lpwstr>er2av+cVWyWdzJS0ljDq8++Cw6Z9z+3HrPJfp/2Ejp81irMrr9FFDWNzhx1A2IaRyXt65zHkGypCBE0YDj1dif4MG8UssatcQ==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
    <vt:lpwstr/>
  </property>
  <property fmtid="{D5CDD505-2E9C-101B-9397-08002B2CF9AE}" pid="7" name="Sub_x002d_Sector">
    <vt:lpwstr/>
  </property>
  <property fmtid="{D5CDD505-2E9C-101B-9397-08002B2CF9AE}" pid="8" name="ContentTypeId">
    <vt:lpwstr>0x01010046CF21643EE8D14686A648AA6DAD08920070401B3C02E7F444938D2288ACF88752</vt:lpwstr>
  </property>
  <property fmtid="{D5CDD505-2E9C-101B-9397-08002B2CF9AE}" pid="9" name="TaxKeywordTaxHTField">
    <vt:lpwstr/>
  </property>
  <property fmtid="{D5CDD505-2E9C-101B-9397-08002B2CF9AE}" pid="10" name="Series Operations IDB">
    <vt:lpwstr/>
  </property>
  <property fmtid="{D5CDD505-2E9C-101B-9397-08002B2CF9AE}" pid="11" name="Sub-Sector">
    <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
  </property>
  <property fmtid="{D5CDD505-2E9C-101B-9397-08002B2CF9AE}" pid="15" name="To:">
    <vt:lpwstr/>
  </property>
  <property fmtid="{D5CDD505-2E9C-101B-9397-08002B2CF9AE}" pid="16" name="From:">
    <vt:lpwstr/>
  </property>
  <property fmtid="{D5CDD505-2E9C-101B-9397-08002B2CF9AE}" pid="17" name="Sector IDB">
    <vt:lpwstr/>
  </property>
  <property fmtid="{D5CDD505-2E9C-101B-9397-08002B2CF9AE}" pid="18" name="Function Operations IDB">
    <vt:lpwstr>6;#Monitoring and Reporting|df3c2aa1-d63e-41aa-b1f5-bb15dee691ca</vt:lpwstr>
  </property>
</Properties>
</file>