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15F" w:rsidRPr="00AC1C46" w:rsidRDefault="003B0EA3" w:rsidP="001A315F">
      <w:pPr>
        <w:spacing w:after="0"/>
        <w:rPr>
          <w:sz w:val="20"/>
          <w:lang w:val="es-ES"/>
        </w:rPr>
      </w:pPr>
      <w:r w:rsidRPr="003B0EA3">
        <w:rPr>
          <w:noProof/>
          <w:sz w:val="20"/>
          <w:lang w:val="es-ES" w:eastAsia="es-ES"/>
        </w:rPr>
        <w:drawing>
          <wp:inline distT="0" distB="0" distL="0" distR="0">
            <wp:extent cx="1466430" cy="701336"/>
            <wp:effectExtent l="0" t="0" r="0" b="0"/>
            <wp:docPr id="3" name="Picture 2" descr="http://wp2.cedha.net/wp-content/uploads/2011/08/logo_bid-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wp2.cedha.net/wp-content/uploads/2011/08/logo_bid-color1.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86267" cy="710823"/>
                    </a:xfrm>
                    <a:prstGeom prst="rect">
                      <a:avLst/>
                    </a:prstGeom>
                    <a:noFill/>
                    <a:extLst/>
                  </pic:spPr>
                </pic:pic>
              </a:graphicData>
            </a:graphic>
          </wp:inline>
        </w:drawing>
      </w:r>
    </w:p>
    <w:p w:rsidR="001A315F" w:rsidRPr="00AC1C46" w:rsidRDefault="001A315F" w:rsidP="001A315F">
      <w:pPr>
        <w:spacing w:after="0"/>
        <w:rPr>
          <w:sz w:val="20"/>
          <w:lang w:val="es-ES"/>
        </w:rPr>
      </w:pPr>
    </w:p>
    <w:p w:rsidR="001A315F" w:rsidRPr="00AC1C46" w:rsidRDefault="001A315F" w:rsidP="001A315F">
      <w:pPr>
        <w:spacing w:after="0"/>
        <w:rPr>
          <w:sz w:val="20"/>
          <w:lang w:val="es-ES"/>
        </w:rPr>
      </w:pPr>
    </w:p>
    <w:p w:rsidR="001A315F" w:rsidRPr="00AC1C46" w:rsidRDefault="001A315F" w:rsidP="001A315F">
      <w:pPr>
        <w:spacing w:after="0"/>
        <w:rPr>
          <w:sz w:val="20"/>
          <w:lang w:val="es-ES"/>
        </w:rPr>
      </w:pPr>
    </w:p>
    <w:p w:rsidR="00E93E20" w:rsidRDefault="00E93E20" w:rsidP="00E93E20">
      <w:pPr>
        <w:spacing w:after="0"/>
        <w:jc w:val="left"/>
        <w:rPr>
          <w:rFonts w:ascii="Arial Rounded MT Bold" w:hAnsi="Arial Rounded MT Bold"/>
          <w:spacing w:val="5"/>
          <w:sz w:val="40"/>
          <w:szCs w:val="52"/>
          <w:lang w:val="es-ES"/>
        </w:rPr>
      </w:pPr>
      <w:r>
        <w:rPr>
          <w:rFonts w:ascii="Arial Rounded MT Bold" w:hAnsi="Arial Rounded MT Bold"/>
          <w:spacing w:val="5"/>
          <w:sz w:val="40"/>
          <w:szCs w:val="52"/>
          <w:lang w:val="es-ES"/>
        </w:rPr>
        <w:t>Plan</w:t>
      </w:r>
      <w:r w:rsidRPr="00985DA7">
        <w:rPr>
          <w:rFonts w:ascii="Arial Rounded MT Bold" w:hAnsi="Arial Rounded MT Bold"/>
          <w:spacing w:val="5"/>
          <w:sz w:val="40"/>
          <w:szCs w:val="52"/>
          <w:lang w:val="es-ES"/>
        </w:rPr>
        <w:t xml:space="preserve"> Maestro </w:t>
      </w:r>
      <w:r>
        <w:rPr>
          <w:rFonts w:ascii="Arial Rounded MT Bold" w:hAnsi="Arial Rounded MT Bold"/>
          <w:spacing w:val="5"/>
          <w:sz w:val="40"/>
          <w:szCs w:val="52"/>
          <w:lang w:val="es-ES"/>
        </w:rPr>
        <w:t xml:space="preserve">de Desarrollo </w:t>
      </w:r>
      <w:r w:rsidRPr="00985DA7">
        <w:rPr>
          <w:rFonts w:ascii="Arial Rounded MT Bold" w:hAnsi="Arial Rounded MT Bold"/>
          <w:spacing w:val="5"/>
          <w:sz w:val="40"/>
          <w:szCs w:val="52"/>
          <w:lang w:val="es-ES"/>
        </w:rPr>
        <w:t xml:space="preserve">del Aeropuerto </w:t>
      </w:r>
    </w:p>
    <w:p w:rsidR="00E93E20" w:rsidRDefault="00E93E20" w:rsidP="00E93E20">
      <w:pPr>
        <w:spacing w:after="0"/>
        <w:jc w:val="left"/>
        <w:rPr>
          <w:rFonts w:ascii="Arial Rounded MT Bold" w:hAnsi="Arial Rounded MT Bold"/>
          <w:spacing w:val="5"/>
          <w:sz w:val="40"/>
          <w:szCs w:val="52"/>
          <w:lang w:val="es-ES"/>
        </w:rPr>
      </w:pPr>
      <w:r>
        <w:rPr>
          <w:rFonts w:ascii="Arial Rounded MT Bold" w:hAnsi="Arial Rounded MT Bold"/>
          <w:spacing w:val="5"/>
          <w:sz w:val="40"/>
          <w:szCs w:val="52"/>
          <w:lang w:val="es-ES"/>
        </w:rPr>
        <w:t>“</w:t>
      </w:r>
      <w:r w:rsidR="00130109">
        <w:rPr>
          <w:rFonts w:ascii="Arial Rounded MT Bold" w:hAnsi="Arial Rounded MT Bold"/>
          <w:spacing w:val="5"/>
          <w:sz w:val="40"/>
          <w:szCs w:val="52"/>
          <w:lang w:val="es-ES"/>
        </w:rPr>
        <w:t>Tte</w:t>
      </w:r>
      <w:r w:rsidRPr="00B32448">
        <w:rPr>
          <w:rFonts w:ascii="Arial Rounded MT Bold" w:hAnsi="Arial Rounded MT Bold"/>
          <w:spacing w:val="5"/>
          <w:sz w:val="40"/>
          <w:szCs w:val="52"/>
          <w:lang w:val="es-ES"/>
        </w:rPr>
        <w:t>. Jorge Henrich</w:t>
      </w:r>
      <w:r w:rsidR="00130109">
        <w:rPr>
          <w:rFonts w:ascii="Arial Rounded MT Bold" w:hAnsi="Arial Rounded MT Bold"/>
          <w:spacing w:val="5"/>
          <w:sz w:val="40"/>
          <w:szCs w:val="52"/>
          <w:lang w:val="es-ES"/>
        </w:rPr>
        <w:t xml:space="preserve"> Arauz</w:t>
      </w:r>
      <w:r w:rsidRPr="00B32448">
        <w:rPr>
          <w:rFonts w:ascii="Arial Rounded MT Bold" w:hAnsi="Arial Rounded MT Bold"/>
          <w:spacing w:val="5"/>
          <w:sz w:val="40"/>
          <w:szCs w:val="52"/>
          <w:lang w:val="es-ES"/>
        </w:rPr>
        <w:t>” de Trinidad</w:t>
      </w:r>
    </w:p>
    <w:p w:rsidR="00E93E20" w:rsidRPr="00B03E99" w:rsidRDefault="00E93E20" w:rsidP="00E93E20">
      <w:pPr>
        <w:spacing w:after="0"/>
        <w:jc w:val="left"/>
        <w:rPr>
          <w:sz w:val="20"/>
          <w:lang w:val="es-ES"/>
        </w:rPr>
      </w:pPr>
    </w:p>
    <w:p w:rsidR="00E93E20" w:rsidRPr="00B03E99" w:rsidRDefault="00E93E20" w:rsidP="00E93E20">
      <w:pPr>
        <w:numPr>
          <w:ilvl w:val="1"/>
          <w:numId w:val="0"/>
        </w:numPr>
        <w:spacing w:after="0"/>
        <w:jc w:val="left"/>
        <w:rPr>
          <w:rFonts w:ascii="Arial Rounded MT Bold" w:hAnsi="Arial Rounded MT Bold"/>
          <w:iCs/>
          <w:color w:val="1D5C0C"/>
          <w:spacing w:val="15"/>
          <w:sz w:val="32"/>
          <w:lang w:val="es-ES"/>
        </w:rPr>
      </w:pPr>
      <w:r w:rsidRPr="00985DA7">
        <w:rPr>
          <w:rFonts w:ascii="Arial Rounded MT Bold" w:hAnsi="Arial Rounded MT Bold"/>
          <w:iCs/>
          <w:color w:val="1D5C0C"/>
          <w:spacing w:val="15"/>
          <w:sz w:val="32"/>
          <w:lang w:val="es-ES"/>
        </w:rPr>
        <w:t xml:space="preserve">Capítulo </w:t>
      </w:r>
      <w:r>
        <w:rPr>
          <w:rFonts w:ascii="Arial Rounded MT Bold" w:hAnsi="Arial Rounded MT Bold"/>
          <w:iCs/>
          <w:color w:val="1D5C0C"/>
          <w:spacing w:val="15"/>
          <w:sz w:val="32"/>
          <w:lang w:val="es-ES"/>
        </w:rPr>
        <w:t>1</w:t>
      </w:r>
      <w:r w:rsidR="00CC7C27">
        <w:rPr>
          <w:rFonts w:ascii="Arial Rounded MT Bold" w:hAnsi="Arial Rounded MT Bold"/>
          <w:iCs/>
          <w:color w:val="1D5C0C"/>
          <w:spacing w:val="15"/>
          <w:sz w:val="32"/>
          <w:lang w:val="es-ES"/>
        </w:rPr>
        <w:t>0</w:t>
      </w:r>
      <w:r w:rsidRPr="00985DA7">
        <w:rPr>
          <w:rFonts w:ascii="Arial Rounded MT Bold" w:hAnsi="Arial Rounded MT Bold"/>
          <w:iCs/>
          <w:color w:val="1D5C0C"/>
          <w:spacing w:val="15"/>
          <w:sz w:val="32"/>
          <w:lang w:val="es-ES"/>
        </w:rPr>
        <w:t xml:space="preserve">: </w:t>
      </w:r>
      <w:r>
        <w:rPr>
          <w:rFonts w:ascii="Arial Rounded MT Bold" w:hAnsi="Arial Rounded MT Bold"/>
          <w:iCs/>
          <w:color w:val="1D5C0C"/>
          <w:spacing w:val="15"/>
          <w:sz w:val="32"/>
          <w:lang w:val="es-ES"/>
        </w:rPr>
        <w:t>Análisis económico</w:t>
      </w:r>
    </w:p>
    <w:p w:rsidR="00E93E20" w:rsidRDefault="00E93E20" w:rsidP="00E93E20">
      <w:pPr>
        <w:spacing w:after="0"/>
        <w:rPr>
          <w:sz w:val="20"/>
          <w:lang w:val="es-ES"/>
        </w:rPr>
      </w:pPr>
    </w:p>
    <w:p w:rsidR="00E93E20" w:rsidRPr="00B03E99" w:rsidRDefault="00E93E20" w:rsidP="00E93E20">
      <w:pPr>
        <w:spacing w:after="0"/>
        <w:rPr>
          <w:sz w:val="20"/>
          <w:lang w:val="es-ES"/>
        </w:rPr>
      </w:pPr>
    </w:p>
    <w:tbl>
      <w:tblPr>
        <w:tblStyle w:val="Tablaconcuadrcula"/>
        <w:tblpPr w:leftFromText="142" w:rightFromText="142" w:vertAnchor="text" w:horzAnchor="margin" w:tblpXSpec="center"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01"/>
        <w:gridCol w:w="3054"/>
        <w:gridCol w:w="3001"/>
      </w:tblGrid>
      <w:tr w:rsidR="00E93E20" w:rsidRPr="00B03E99" w:rsidTr="00956DB9">
        <w:trPr>
          <w:cantSplit/>
          <w:trHeight w:val="2123"/>
        </w:trPr>
        <w:tc>
          <w:tcPr>
            <w:tcW w:w="1666" w:type="pct"/>
            <w:vAlign w:val="center"/>
          </w:tcPr>
          <w:p w:rsidR="00E93E20" w:rsidRPr="00B03E99" w:rsidRDefault="00E93E20" w:rsidP="00956DB9">
            <w:pPr>
              <w:spacing w:before="0" w:after="0"/>
              <w:jc w:val="center"/>
              <w:rPr>
                <w:sz w:val="20"/>
                <w:lang w:val="es-ES"/>
              </w:rPr>
            </w:pPr>
            <w:r>
              <w:rPr>
                <w:noProof/>
                <w:lang w:val="es-ES" w:eastAsia="es-ES"/>
              </w:rPr>
              <w:drawing>
                <wp:inline distT="0" distB="0" distL="0" distR="0" wp14:anchorId="28288E8B" wp14:editId="36F13666">
                  <wp:extent cx="1801505" cy="12282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rightnessContrast bright="-10000"/>
                                    </a14:imgEffect>
                                  </a14:imgLayer>
                                </a14:imgProps>
                              </a:ext>
                            </a:extLst>
                          </a:blip>
                          <a:srcRect t="-1" b="3969"/>
                          <a:stretch/>
                        </pic:blipFill>
                        <pic:spPr bwMode="auto">
                          <a:xfrm>
                            <a:off x="0" y="0"/>
                            <a:ext cx="1800000" cy="1227273"/>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rsidR="00E93E20" w:rsidRPr="00B03E99" w:rsidRDefault="00E93E20" w:rsidP="00956DB9">
            <w:pPr>
              <w:spacing w:before="0" w:after="0"/>
              <w:jc w:val="center"/>
              <w:rPr>
                <w:sz w:val="20"/>
                <w:lang w:val="es-ES"/>
              </w:rPr>
            </w:pPr>
            <w:r>
              <w:rPr>
                <w:noProof/>
                <w:sz w:val="20"/>
                <w:lang w:val="es-ES" w:eastAsia="es-ES"/>
              </w:rPr>
              <w:drawing>
                <wp:inline distT="0" distB="0" distL="0" distR="0" wp14:anchorId="5EC0C0F8" wp14:editId="23B7C2BC">
                  <wp:extent cx="1801505" cy="1255594"/>
                  <wp:effectExtent l="0" t="0" r="0" b="0"/>
                  <wp:docPr id="11" name="Imagen 11" descr="C:\Users\Ana Gómez\Google Drive\Trinidad y Cobija\3 Información\9 Fotos &amp; satélite\Fotos TDD visita MR 141112\TWR\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Gómez\Google Drive\Trinidad y Cobija\3 Información\9 Fotos &amp; satélite\Fotos TDD visita MR 141112\TWR\IMG_04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27" b="4704"/>
                          <a:stretch/>
                        </pic:blipFill>
                        <pic:spPr bwMode="auto">
                          <a:xfrm>
                            <a:off x="0" y="0"/>
                            <a:ext cx="1800000" cy="1254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rsidR="00E93E20" w:rsidRPr="00B03E99" w:rsidRDefault="00E93E20" w:rsidP="00956DB9">
            <w:pPr>
              <w:spacing w:before="0" w:after="0"/>
              <w:jc w:val="center"/>
              <w:rPr>
                <w:sz w:val="20"/>
                <w:lang w:val="es-ES"/>
              </w:rPr>
            </w:pPr>
            <w:r>
              <w:rPr>
                <w:noProof/>
                <w:sz w:val="20"/>
                <w:lang w:val="es-ES" w:eastAsia="es-ES"/>
              </w:rPr>
              <w:drawing>
                <wp:inline distT="0" distB="0" distL="0" distR="0" wp14:anchorId="5BB67B90" wp14:editId="02AF3848">
                  <wp:extent cx="1801504" cy="1237018"/>
                  <wp:effectExtent l="0" t="0" r="0" b="0"/>
                  <wp:docPr id="12" name="Imagen 12" descr="C:\Users\Ana Gómez\Google Drive\Trinidad y Cobija\3 Información\9 Fotos &amp; satélite\Fotos TDD visita MR 141112\TWR\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Gómez\Google Drive\Trinidad y Cobija\3 Información\9 Fotos &amp; satélite\Fotos TDD visita MR 141112\TWR\IMG_048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11"/>
                          <a:stretch/>
                        </pic:blipFill>
                        <pic:spPr bwMode="auto">
                          <a:xfrm>
                            <a:off x="0" y="0"/>
                            <a:ext cx="1800000" cy="1235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3E20" w:rsidRPr="00B03E99" w:rsidTr="00956DB9">
        <w:trPr>
          <w:cantSplit/>
          <w:trHeight w:val="2345"/>
        </w:trPr>
        <w:tc>
          <w:tcPr>
            <w:tcW w:w="1666" w:type="pct"/>
            <w:vAlign w:val="center"/>
          </w:tcPr>
          <w:p w:rsidR="00E93E20" w:rsidRPr="00B03E99" w:rsidRDefault="00E93E20" w:rsidP="00956DB9">
            <w:pPr>
              <w:spacing w:before="0" w:after="0"/>
              <w:jc w:val="center"/>
              <w:rPr>
                <w:sz w:val="20"/>
                <w:lang w:val="es-ES"/>
              </w:rPr>
            </w:pPr>
            <w:r>
              <w:rPr>
                <w:noProof/>
                <w:sz w:val="20"/>
                <w:lang w:val="es-ES" w:eastAsia="es-ES"/>
              </w:rPr>
              <w:drawing>
                <wp:inline distT="0" distB="0" distL="0" distR="0" wp14:anchorId="170EC407" wp14:editId="2C82F7EB">
                  <wp:extent cx="1787857" cy="1240257"/>
                  <wp:effectExtent l="0" t="0" r="0" b="0"/>
                  <wp:docPr id="17" name="Imagen 17" descr="C:\Users\Ana Gómez\Google Drive\Trinidad y Cobija\3 Información\9 Fotos &amp; satélite\Fotos TDD visita MR 141112\Rampa\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Gómez\Google Drive\Trinidad y Cobija\3 Información\9 Fotos &amp; satélite\Fotos TDD visita MR 141112\Rampa\IMG_030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5000"/>
                                    </a14:imgEffect>
                                  </a14:imgLayer>
                                </a14:imgProps>
                              </a:ext>
                              <a:ext uri="{28A0092B-C50C-407E-A947-70E740481C1C}">
                                <a14:useLocalDpi xmlns:a14="http://schemas.microsoft.com/office/drawing/2010/main" val="0"/>
                              </a:ext>
                            </a:extLst>
                          </a:blip>
                          <a:srcRect t="3065" b="4083"/>
                          <a:stretch/>
                        </pic:blipFill>
                        <pic:spPr bwMode="auto">
                          <a:xfrm>
                            <a:off x="0" y="0"/>
                            <a:ext cx="1800000" cy="1248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vAlign w:val="center"/>
          </w:tcPr>
          <w:p w:rsidR="00E93E20" w:rsidRPr="00B03E99" w:rsidRDefault="00E93E20" w:rsidP="00956DB9">
            <w:pPr>
              <w:spacing w:before="0" w:after="0"/>
              <w:jc w:val="center"/>
              <w:rPr>
                <w:sz w:val="20"/>
                <w:lang w:val="es-ES"/>
              </w:rPr>
            </w:pPr>
            <w:r>
              <w:rPr>
                <w:noProof/>
                <w:lang w:val="es-ES" w:eastAsia="es-ES"/>
              </w:rPr>
              <w:drawing>
                <wp:inline distT="0" distB="0" distL="0" distR="0" wp14:anchorId="376DC5C4" wp14:editId="0948D06A">
                  <wp:extent cx="1836000" cy="1237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8183" b="31249"/>
                          <a:stretch/>
                        </pic:blipFill>
                        <pic:spPr bwMode="auto">
                          <a:xfrm>
                            <a:off x="0" y="0"/>
                            <a:ext cx="1836000" cy="123791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rsidR="00E93E20" w:rsidRPr="00B03E99" w:rsidRDefault="00E93E20" w:rsidP="00956DB9">
            <w:pPr>
              <w:spacing w:before="0" w:after="0"/>
              <w:jc w:val="center"/>
              <w:rPr>
                <w:sz w:val="20"/>
                <w:lang w:val="es-ES"/>
              </w:rPr>
            </w:pPr>
            <w:r>
              <w:rPr>
                <w:noProof/>
                <w:sz w:val="20"/>
                <w:lang w:val="es-ES" w:eastAsia="es-ES"/>
              </w:rPr>
              <w:drawing>
                <wp:inline distT="0" distB="0" distL="0" distR="0" wp14:anchorId="49702EAD" wp14:editId="6FBB7737">
                  <wp:extent cx="1800000" cy="1222901"/>
                  <wp:effectExtent l="0" t="0" r="0" b="0"/>
                  <wp:docPr id="19" name="Imagen 19" descr="C:\Users\Ana Gómez\Google Drive\Trinidad y Cobija\3 Información\9 Fotos &amp; satélite\Fotos TDD visita MR 141112\Terminal pax\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Gómez\Google Drive\Trinidad y Cobija\3 Información\9 Fotos &amp; satélite\Fotos TDD visita MR 141112\Terminal pax\IMG_036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063"/>
                          <a:stretch/>
                        </pic:blipFill>
                        <pic:spPr bwMode="auto">
                          <a:xfrm>
                            <a:off x="0" y="0"/>
                            <a:ext cx="1800000" cy="12229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3E20" w:rsidRDefault="00E93E20" w:rsidP="00E93E20">
      <w:pPr>
        <w:spacing w:before="0" w:after="200" w:line="276" w:lineRule="auto"/>
        <w:jc w:val="right"/>
        <w:rPr>
          <w:color w:val="718188"/>
          <w:sz w:val="20"/>
          <w:lang w:val="es-ES"/>
        </w:rPr>
      </w:pPr>
    </w:p>
    <w:p w:rsidR="00E93E20" w:rsidRDefault="00E93E20" w:rsidP="00E93E20">
      <w:pPr>
        <w:spacing w:before="0" w:after="200" w:line="276" w:lineRule="auto"/>
        <w:jc w:val="right"/>
        <w:rPr>
          <w:color w:val="718188"/>
          <w:sz w:val="20"/>
          <w:lang w:val="es-ES"/>
        </w:rPr>
      </w:pPr>
      <w:r w:rsidRPr="007A6F58">
        <w:rPr>
          <w:noProof/>
          <w:sz w:val="20"/>
          <w:lang w:val="es-ES" w:eastAsia="es-ES"/>
        </w:rPr>
        <w:drawing>
          <wp:inline distT="0" distB="0" distL="0" distR="0" wp14:anchorId="05D9670E" wp14:editId="0053311F">
            <wp:extent cx="2127860" cy="976312"/>
            <wp:effectExtent l="0" t="0" r="6350" b="0"/>
            <wp:docPr id="20" name="Picture 1" descr="P:\DEPARTAMENTO PRODUCCIÓN\B_Imagen Corporativa\ALG LOGOS 2011\al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 name="Picture 1" descr="P:\DEPARTAMENTO PRODUCCIÓN\B_Imagen Corporativa\ALG LOGOS 2011\alg-01.jpg"/>
                    <pic:cNvPicPr>
                      <a:picLocks noChangeAspect="1" noChangeArrowheads="1"/>
                    </pic:cNvPicPr>
                  </pic:nvPicPr>
                  <pic:blipFill>
                    <a:blip r:embed="rId18" cstate="screen">
                      <a:clrChange>
                        <a:clrFrom>
                          <a:srgbClr val="FDFDFD"/>
                        </a:clrFrom>
                        <a:clrTo>
                          <a:srgbClr val="FDFDFD">
                            <a:alpha val="0"/>
                          </a:srgbClr>
                        </a:clrTo>
                      </a:clrChange>
                      <a:extLst>
                        <a:ext uri="{28A0092B-C50C-407E-A947-70E740481C1C}">
                          <a14:useLocalDpi xmlns:a14="http://schemas.microsoft.com/office/drawing/2010/main"/>
                        </a:ext>
                      </a:extLst>
                    </a:blip>
                    <a:srcRect l="7285" t="25147" r="8278" b="20060"/>
                    <a:stretch>
                      <a:fillRect/>
                    </a:stretch>
                  </pic:blipFill>
                  <pic:spPr bwMode="auto">
                    <a:xfrm>
                      <a:off x="0" y="0"/>
                      <a:ext cx="2127860" cy="976312"/>
                    </a:xfrm>
                    <a:prstGeom prst="rect">
                      <a:avLst/>
                    </a:prstGeom>
                    <a:noFill/>
                  </pic:spPr>
                </pic:pic>
              </a:graphicData>
            </a:graphic>
          </wp:inline>
        </w:drawing>
      </w:r>
    </w:p>
    <w:p w:rsidR="00AC44EB" w:rsidRDefault="00A12AEC" w:rsidP="00E93E20">
      <w:pPr>
        <w:spacing w:before="0" w:after="200" w:line="276" w:lineRule="auto"/>
        <w:jc w:val="right"/>
        <w:rPr>
          <w:color w:val="718188"/>
          <w:sz w:val="20"/>
          <w:lang w:val="es-ES"/>
        </w:rPr>
      </w:pPr>
      <w:r>
        <w:rPr>
          <w:color w:val="718188"/>
          <w:sz w:val="20"/>
          <w:lang w:val="es-ES"/>
        </w:rPr>
        <w:t>Cuarta</w:t>
      </w:r>
      <w:r w:rsidR="00714EDD">
        <w:rPr>
          <w:color w:val="718188"/>
          <w:sz w:val="20"/>
          <w:lang w:val="es-ES"/>
        </w:rPr>
        <w:t xml:space="preserve"> Versión</w:t>
      </w:r>
    </w:p>
    <w:p w:rsidR="00E93E20" w:rsidRDefault="00A12AEC" w:rsidP="00E93E20">
      <w:pPr>
        <w:spacing w:before="0" w:after="200" w:line="276" w:lineRule="auto"/>
        <w:jc w:val="right"/>
        <w:rPr>
          <w:b/>
          <w:sz w:val="28"/>
          <w:lang w:val="es-ES"/>
        </w:rPr>
      </w:pPr>
      <w:r>
        <w:rPr>
          <w:color w:val="718188"/>
          <w:sz w:val="20"/>
          <w:lang w:val="es-ES"/>
        </w:rPr>
        <w:t>6</w:t>
      </w:r>
      <w:r w:rsidR="00714EDD">
        <w:rPr>
          <w:color w:val="718188"/>
          <w:sz w:val="20"/>
          <w:lang w:val="es-ES"/>
        </w:rPr>
        <w:t xml:space="preserve"> de m</w:t>
      </w:r>
      <w:r>
        <w:rPr>
          <w:color w:val="718188"/>
          <w:sz w:val="20"/>
          <w:lang w:val="es-ES"/>
        </w:rPr>
        <w:t>ayo</w:t>
      </w:r>
      <w:r w:rsidR="00E93E20" w:rsidRPr="00CB14DF">
        <w:rPr>
          <w:color w:val="718188"/>
          <w:sz w:val="20"/>
          <w:lang w:val="es-ES"/>
        </w:rPr>
        <w:t xml:space="preserve"> de 2013</w:t>
      </w:r>
    </w:p>
    <w:p w:rsidR="00FF3FA2" w:rsidRPr="00AC1C46" w:rsidRDefault="00FF3FA2" w:rsidP="00FF3FA2">
      <w:pPr>
        <w:spacing w:before="0" w:after="200" w:line="276" w:lineRule="auto"/>
        <w:jc w:val="left"/>
        <w:rPr>
          <w:b/>
          <w:sz w:val="28"/>
          <w:lang w:val="es-ES"/>
        </w:rPr>
        <w:sectPr w:rsidR="00FF3FA2" w:rsidRPr="00AC1C46" w:rsidSect="00FF3FA2">
          <w:headerReference w:type="default" r:id="rId19"/>
          <w:footerReference w:type="default" r:id="rId20"/>
          <w:pgSz w:w="12242" w:h="15842" w:code="1"/>
          <w:pgMar w:top="1134" w:right="1701" w:bottom="1134" w:left="1701" w:header="567" w:footer="204" w:gutter="0"/>
          <w:pgNumType w:start="1"/>
          <w:cols w:space="708"/>
          <w:docGrid w:linePitch="360"/>
        </w:sectPr>
      </w:pPr>
    </w:p>
    <w:p w:rsidR="00F86761" w:rsidRPr="00AC1C46" w:rsidRDefault="00F86761" w:rsidP="00663295">
      <w:pPr>
        <w:rPr>
          <w:b/>
          <w:sz w:val="28"/>
          <w:lang w:val="es-ES"/>
        </w:rPr>
      </w:pPr>
      <w:r w:rsidRPr="00AC1C46">
        <w:rPr>
          <w:b/>
          <w:sz w:val="28"/>
          <w:lang w:val="es-ES"/>
        </w:rPr>
        <w:t>Índice</w:t>
      </w:r>
    </w:p>
    <w:p w:rsidR="008638C7" w:rsidRDefault="00C80B42">
      <w:pPr>
        <w:pStyle w:val="TDC1"/>
        <w:rPr>
          <w:rFonts w:asciiTheme="minorHAnsi" w:eastAsiaTheme="minorEastAsia" w:hAnsiTheme="minorHAnsi" w:cstheme="minorBidi"/>
          <w:noProof/>
          <w:color w:val="auto"/>
          <w:kern w:val="0"/>
          <w:sz w:val="22"/>
          <w:szCs w:val="22"/>
          <w:lang w:val="es-ES" w:eastAsia="es-ES"/>
        </w:rPr>
      </w:pPr>
      <w:r w:rsidRPr="00AC1C46">
        <w:rPr>
          <w:lang w:val="es-ES"/>
        </w:rPr>
        <w:fldChar w:fldCharType="begin"/>
      </w:r>
      <w:r w:rsidR="00F86761" w:rsidRPr="00AC1C46">
        <w:rPr>
          <w:lang w:val="es-ES"/>
        </w:rPr>
        <w:instrText xml:space="preserve"> TOC \o "1-3" \h \z \u </w:instrText>
      </w:r>
      <w:r w:rsidRPr="00AC1C46">
        <w:rPr>
          <w:lang w:val="es-ES"/>
        </w:rPr>
        <w:fldChar w:fldCharType="separate"/>
      </w:r>
      <w:hyperlink w:anchor="_Toc352856747" w:history="1">
        <w:r w:rsidR="008638C7" w:rsidRPr="004D052B">
          <w:rPr>
            <w:rStyle w:val="Hipervnculo"/>
            <w:noProof/>
          </w:rPr>
          <w:t>10</w:t>
        </w:r>
        <w:r w:rsidR="008638C7">
          <w:rPr>
            <w:rFonts w:asciiTheme="minorHAnsi" w:eastAsiaTheme="minorEastAsia" w:hAnsiTheme="minorHAnsi" w:cstheme="minorBidi"/>
            <w:noProof/>
            <w:color w:val="auto"/>
            <w:kern w:val="0"/>
            <w:sz w:val="22"/>
            <w:szCs w:val="22"/>
            <w:lang w:val="es-ES" w:eastAsia="es-ES"/>
          </w:rPr>
          <w:tab/>
        </w:r>
        <w:r w:rsidR="008638C7" w:rsidRPr="004D052B">
          <w:rPr>
            <w:rStyle w:val="Hipervnculo"/>
            <w:noProof/>
          </w:rPr>
          <w:t>Análisis económico</w:t>
        </w:r>
        <w:r w:rsidR="008638C7">
          <w:rPr>
            <w:noProof/>
            <w:webHidden/>
          </w:rPr>
          <w:tab/>
        </w:r>
        <w:r w:rsidR="008638C7">
          <w:rPr>
            <w:noProof/>
            <w:webHidden/>
          </w:rPr>
          <w:fldChar w:fldCharType="begin"/>
        </w:r>
        <w:r w:rsidR="008638C7">
          <w:rPr>
            <w:noProof/>
            <w:webHidden/>
          </w:rPr>
          <w:instrText xml:space="preserve"> PAGEREF _Toc352856747 \h </w:instrText>
        </w:r>
        <w:r w:rsidR="008638C7">
          <w:rPr>
            <w:noProof/>
            <w:webHidden/>
          </w:rPr>
        </w:r>
        <w:r w:rsidR="008638C7">
          <w:rPr>
            <w:noProof/>
            <w:webHidden/>
          </w:rPr>
          <w:fldChar w:fldCharType="separate"/>
        </w:r>
        <w:r w:rsidR="008638C7">
          <w:rPr>
            <w:noProof/>
            <w:webHidden/>
          </w:rPr>
          <w:t>4</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48" w:history="1">
        <w:r w:rsidR="008638C7" w:rsidRPr="004D052B">
          <w:rPr>
            <w:rStyle w:val="Hipervnculo"/>
            <w:noProof/>
          </w:rPr>
          <w:t>10.1</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Capacidad de ingresos de AASANA</w:t>
        </w:r>
        <w:r w:rsidR="008638C7">
          <w:rPr>
            <w:noProof/>
            <w:webHidden/>
          </w:rPr>
          <w:tab/>
        </w:r>
        <w:r w:rsidR="008638C7">
          <w:rPr>
            <w:noProof/>
            <w:webHidden/>
          </w:rPr>
          <w:fldChar w:fldCharType="begin"/>
        </w:r>
        <w:r w:rsidR="008638C7">
          <w:rPr>
            <w:noProof/>
            <w:webHidden/>
          </w:rPr>
          <w:instrText xml:space="preserve"> PAGEREF _Toc352856748 \h </w:instrText>
        </w:r>
        <w:r w:rsidR="008638C7">
          <w:rPr>
            <w:noProof/>
            <w:webHidden/>
          </w:rPr>
        </w:r>
        <w:r w:rsidR="008638C7">
          <w:rPr>
            <w:noProof/>
            <w:webHidden/>
          </w:rPr>
          <w:fldChar w:fldCharType="separate"/>
        </w:r>
        <w:r w:rsidR="008638C7">
          <w:rPr>
            <w:noProof/>
            <w:webHidden/>
          </w:rPr>
          <w:t>4</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49" w:history="1">
        <w:r w:rsidR="008638C7" w:rsidRPr="004D052B">
          <w:rPr>
            <w:rStyle w:val="Hipervnculo"/>
            <w:noProof/>
          </w:rPr>
          <w:t>10.2</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Ingresos de explotación</w:t>
        </w:r>
        <w:r w:rsidR="008638C7">
          <w:rPr>
            <w:noProof/>
            <w:webHidden/>
          </w:rPr>
          <w:tab/>
        </w:r>
        <w:r w:rsidR="008638C7">
          <w:rPr>
            <w:noProof/>
            <w:webHidden/>
          </w:rPr>
          <w:fldChar w:fldCharType="begin"/>
        </w:r>
        <w:r w:rsidR="008638C7">
          <w:rPr>
            <w:noProof/>
            <w:webHidden/>
          </w:rPr>
          <w:instrText xml:space="preserve"> PAGEREF _Toc352856749 \h </w:instrText>
        </w:r>
        <w:r w:rsidR="008638C7">
          <w:rPr>
            <w:noProof/>
            <w:webHidden/>
          </w:rPr>
        </w:r>
        <w:r w:rsidR="008638C7">
          <w:rPr>
            <w:noProof/>
            <w:webHidden/>
          </w:rPr>
          <w:fldChar w:fldCharType="separate"/>
        </w:r>
        <w:r w:rsidR="008638C7">
          <w:rPr>
            <w:noProof/>
            <w:webHidden/>
          </w:rPr>
          <w:t>5</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0" w:history="1">
        <w:r w:rsidR="008638C7" w:rsidRPr="004D052B">
          <w:rPr>
            <w:rStyle w:val="Hipervnculo"/>
            <w:noProof/>
          </w:rPr>
          <w:t>10.2.1</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Régimen tarifario</w:t>
        </w:r>
        <w:r w:rsidR="008638C7">
          <w:rPr>
            <w:noProof/>
            <w:webHidden/>
          </w:rPr>
          <w:tab/>
        </w:r>
        <w:r w:rsidR="008638C7">
          <w:rPr>
            <w:noProof/>
            <w:webHidden/>
          </w:rPr>
          <w:fldChar w:fldCharType="begin"/>
        </w:r>
        <w:r w:rsidR="008638C7">
          <w:rPr>
            <w:noProof/>
            <w:webHidden/>
          </w:rPr>
          <w:instrText xml:space="preserve"> PAGEREF _Toc352856750 \h </w:instrText>
        </w:r>
        <w:r w:rsidR="008638C7">
          <w:rPr>
            <w:noProof/>
            <w:webHidden/>
          </w:rPr>
        </w:r>
        <w:r w:rsidR="008638C7">
          <w:rPr>
            <w:noProof/>
            <w:webHidden/>
          </w:rPr>
          <w:fldChar w:fldCharType="separate"/>
        </w:r>
        <w:r w:rsidR="008638C7">
          <w:rPr>
            <w:noProof/>
            <w:webHidden/>
          </w:rPr>
          <w:t>5</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1" w:history="1">
        <w:r w:rsidR="008638C7" w:rsidRPr="004D052B">
          <w:rPr>
            <w:rStyle w:val="Hipervnculo"/>
            <w:noProof/>
          </w:rPr>
          <w:t>10.2.2</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Análisis comparativo con aeropuertos en otros países</w:t>
        </w:r>
        <w:r w:rsidR="008638C7">
          <w:rPr>
            <w:noProof/>
            <w:webHidden/>
          </w:rPr>
          <w:tab/>
        </w:r>
        <w:r w:rsidR="008638C7">
          <w:rPr>
            <w:noProof/>
            <w:webHidden/>
          </w:rPr>
          <w:fldChar w:fldCharType="begin"/>
        </w:r>
        <w:r w:rsidR="008638C7">
          <w:rPr>
            <w:noProof/>
            <w:webHidden/>
          </w:rPr>
          <w:instrText xml:space="preserve"> PAGEREF _Toc352856751 \h </w:instrText>
        </w:r>
        <w:r w:rsidR="008638C7">
          <w:rPr>
            <w:noProof/>
            <w:webHidden/>
          </w:rPr>
        </w:r>
        <w:r w:rsidR="008638C7">
          <w:rPr>
            <w:noProof/>
            <w:webHidden/>
          </w:rPr>
          <w:fldChar w:fldCharType="separate"/>
        </w:r>
        <w:r w:rsidR="008638C7">
          <w:rPr>
            <w:noProof/>
            <w:webHidden/>
          </w:rPr>
          <w:t>7</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2" w:history="1">
        <w:r w:rsidR="008638C7" w:rsidRPr="004D052B">
          <w:rPr>
            <w:rStyle w:val="Hipervnculo"/>
            <w:noProof/>
          </w:rPr>
          <w:t>10.2.3</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Serie histórica de ingresos</w:t>
        </w:r>
        <w:r w:rsidR="008638C7">
          <w:rPr>
            <w:noProof/>
            <w:webHidden/>
          </w:rPr>
          <w:tab/>
        </w:r>
        <w:r w:rsidR="008638C7">
          <w:rPr>
            <w:noProof/>
            <w:webHidden/>
          </w:rPr>
          <w:fldChar w:fldCharType="begin"/>
        </w:r>
        <w:r w:rsidR="008638C7">
          <w:rPr>
            <w:noProof/>
            <w:webHidden/>
          </w:rPr>
          <w:instrText xml:space="preserve"> PAGEREF _Toc352856752 \h </w:instrText>
        </w:r>
        <w:r w:rsidR="008638C7">
          <w:rPr>
            <w:noProof/>
            <w:webHidden/>
          </w:rPr>
        </w:r>
        <w:r w:rsidR="008638C7">
          <w:rPr>
            <w:noProof/>
            <w:webHidden/>
          </w:rPr>
          <w:fldChar w:fldCharType="separate"/>
        </w:r>
        <w:r w:rsidR="008638C7">
          <w:rPr>
            <w:noProof/>
            <w:webHidden/>
          </w:rPr>
          <w:t>8</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53" w:history="1">
        <w:r w:rsidR="008638C7" w:rsidRPr="004D052B">
          <w:rPr>
            <w:rStyle w:val="Hipervnculo"/>
            <w:noProof/>
          </w:rPr>
          <w:t>10.3</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Costos de explotación</w:t>
        </w:r>
        <w:r w:rsidR="008638C7">
          <w:rPr>
            <w:noProof/>
            <w:webHidden/>
          </w:rPr>
          <w:tab/>
        </w:r>
        <w:r w:rsidR="008638C7">
          <w:rPr>
            <w:noProof/>
            <w:webHidden/>
          </w:rPr>
          <w:fldChar w:fldCharType="begin"/>
        </w:r>
        <w:r w:rsidR="008638C7">
          <w:rPr>
            <w:noProof/>
            <w:webHidden/>
          </w:rPr>
          <w:instrText xml:space="preserve"> PAGEREF _Toc352856753 \h </w:instrText>
        </w:r>
        <w:r w:rsidR="008638C7">
          <w:rPr>
            <w:noProof/>
            <w:webHidden/>
          </w:rPr>
        </w:r>
        <w:r w:rsidR="008638C7">
          <w:rPr>
            <w:noProof/>
            <w:webHidden/>
          </w:rPr>
          <w:fldChar w:fldCharType="separate"/>
        </w:r>
        <w:r w:rsidR="008638C7">
          <w:rPr>
            <w:noProof/>
            <w:webHidden/>
          </w:rPr>
          <w:t>11</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54" w:history="1">
        <w:r w:rsidR="008638C7" w:rsidRPr="004D052B">
          <w:rPr>
            <w:rStyle w:val="Hipervnculo"/>
            <w:noProof/>
          </w:rPr>
          <w:t>10.4</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Resultado de explotación previsional</w:t>
        </w:r>
        <w:r w:rsidR="008638C7">
          <w:rPr>
            <w:noProof/>
            <w:webHidden/>
          </w:rPr>
          <w:tab/>
        </w:r>
        <w:r w:rsidR="008638C7">
          <w:rPr>
            <w:noProof/>
            <w:webHidden/>
          </w:rPr>
          <w:fldChar w:fldCharType="begin"/>
        </w:r>
        <w:r w:rsidR="008638C7">
          <w:rPr>
            <w:noProof/>
            <w:webHidden/>
          </w:rPr>
          <w:instrText xml:space="preserve"> PAGEREF _Toc352856754 \h </w:instrText>
        </w:r>
        <w:r w:rsidR="008638C7">
          <w:rPr>
            <w:noProof/>
            <w:webHidden/>
          </w:rPr>
        </w:r>
        <w:r w:rsidR="008638C7">
          <w:rPr>
            <w:noProof/>
            <w:webHidden/>
          </w:rPr>
          <w:fldChar w:fldCharType="separate"/>
        </w:r>
        <w:r w:rsidR="008638C7">
          <w:rPr>
            <w:noProof/>
            <w:webHidden/>
          </w:rPr>
          <w:t>12</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5" w:history="1">
        <w:r w:rsidR="008638C7" w:rsidRPr="004D052B">
          <w:rPr>
            <w:rStyle w:val="Hipervnculo"/>
            <w:noProof/>
          </w:rPr>
          <w:t>10.4.1</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Ingresos previsionales</w:t>
        </w:r>
        <w:r w:rsidR="008638C7">
          <w:rPr>
            <w:noProof/>
            <w:webHidden/>
          </w:rPr>
          <w:tab/>
        </w:r>
        <w:r w:rsidR="008638C7">
          <w:rPr>
            <w:noProof/>
            <w:webHidden/>
          </w:rPr>
          <w:fldChar w:fldCharType="begin"/>
        </w:r>
        <w:r w:rsidR="008638C7">
          <w:rPr>
            <w:noProof/>
            <w:webHidden/>
          </w:rPr>
          <w:instrText xml:space="preserve"> PAGEREF _Toc352856755 \h </w:instrText>
        </w:r>
        <w:r w:rsidR="008638C7">
          <w:rPr>
            <w:noProof/>
            <w:webHidden/>
          </w:rPr>
        </w:r>
        <w:r w:rsidR="008638C7">
          <w:rPr>
            <w:noProof/>
            <w:webHidden/>
          </w:rPr>
          <w:fldChar w:fldCharType="separate"/>
        </w:r>
        <w:r w:rsidR="008638C7">
          <w:rPr>
            <w:noProof/>
            <w:webHidden/>
          </w:rPr>
          <w:t>12</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6" w:history="1">
        <w:r w:rsidR="008638C7" w:rsidRPr="004D052B">
          <w:rPr>
            <w:rStyle w:val="Hipervnculo"/>
            <w:noProof/>
          </w:rPr>
          <w:t>10.4.2</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Costos previsionales</w:t>
        </w:r>
        <w:r w:rsidR="008638C7">
          <w:rPr>
            <w:noProof/>
            <w:webHidden/>
          </w:rPr>
          <w:tab/>
        </w:r>
        <w:r w:rsidR="008638C7">
          <w:rPr>
            <w:noProof/>
            <w:webHidden/>
          </w:rPr>
          <w:fldChar w:fldCharType="begin"/>
        </w:r>
        <w:r w:rsidR="008638C7">
          <w:rPr>
            <w:noProof/>
            <w:webHidden/>
          </w:rPr>
          <w:instrText xml:space="preserve"> PAGEREF _Toc352856756 \h </w:instrText>
        </w:r>
        <w:r w:rsidR="008638C7">
          <w:rPr>
            <w:noProof/>
            <w:webHidden/>
          </w:rPr>
        </w:r>
        <w:r w:rsidR="008638C7">
          <w:rPr>
            <w:noProof/>
            <w:webHidden/>
          </w:rPr>
          <w:fldChar w:fldCharType="separate"/>
        </w:r>
        <w:r w:rsidR="008638C7">
          <w:rPr>
            <w:noProof/>
            <w:webHidden/>
          </w:rPr>
          <w:t>14</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7" w:history="1">
        <w:r w:rsidR="008638C7" w:rsidRPr="004D052B">
          <w:rPr>
            <w:rStyle w:val="Hipervnculo"/>
            <w:noProof/>
          </w:rPr>
          <w:t>10.4.3</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Indicadores de explotación</w:t>
        </w:r>
        <w:r w:rsidR="008638C7">
          <w:rPr>
            <w:noProof/>
            <w:webHidden/>
          </w:rPr>
          <w:tab/>
        </w:r>
        <w:r w:rsidR="008638C7">
          <w:rPr>
            <w:noProof/>
            <w:webHidden/>
          </w:rPr>
          <w:fldChar w:fldCharType="begin"/>
        </w:r>
        <w:r w:rsidR="008638C7">
          <w:rPr>
            <w:noProof/>
            <w:webHidden/>
          </w:rPr>
          <w:instrText xml:space="preserve"> PAGEREF _Toc352856757 \h </w:instrText>
        </w:r>
        <w:r w:rsidR="008638C7">
          <w:rPr>
            <w:noProof/>
            <w:webHidden/>
          </w:rPr>
        </w:r>
        <w:r w:rsidR="008638C7">
          <w:rPr>
            <w:noProof/>
            <w:webHidden/>
          </w:rPr>
          <w:fldChar w:fldCharType="separate"/>
        </w:r>
        <w:r w:rsidR="008638C7">
          <w:rPr>
            <w:noProof/>
            <w:webHidden/>
          </w:rPr>
          <w:t>15</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58" w:history="1">
        <w:r w:rsidR="008638C7" w:rsidRPr="004D052B">
          <w:rPr>
            <w:rStyle w:val="Hipervnculo"/>
            <w:noProof/>
          </w:rPr>
          <w:t>10.5</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Flujo de caja previsional del proyecto</w:t>
        </w:r>
        <w:r w:rsidR="008638C7">
          <w:rPr>
            <w:noProof/>
            <w:webHidden/>
          </w:rPr>
          <w:tab/>
        </w:r>
        <w:r w:rsidR="008638C7">
          <w:rPr>
            <w:noProof/>
            <w:webHidden/>
          </w:rPr>
          <w:fldChar w:fldCharType="begin"/>
        </w:r>
        <w:r w:rsidR="008638C7">
          <w:rPr>
            <w:noProof/>
            <w:webHidden/>
          </w:rPr>
          <w:instrText xml:space="preserve"> PAGEREF _Toc352856758 \h </w:instrText>
        </w:r>
        <w:r w:rsidR="008638C7">
          <w:rPr>
            <w:noProof/>
            <w:webHidden/>
          </w:rPr>
        </w:r>
        <w:r w:rsidR="008638C7">
          <w:rPr>
            <w:noProof/>
            <w:webHidden/>
          </w:rPr>
          <w:fldChar w:fldCharType="separate"/>
        </w:r>
        <w:r w:rsidR="008638C7">
          <w:rPr>
            <w:noProof/>
            <w:webHidden/>
          </w:rPr>
          <w:t>17</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59" w:history="1">
        <w:r w:rsidR="008638C7" w:rsidRPr="004D052B">
          <w:rPr>
            <w:rStyle w:val="Hipervnculo"/>
            <w:noProof/>
          </w:rPr>
          <w:t>10.5.1</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EBITDA previsional</w:t>
        </w:r>
        <w:r w:rsidR="008638C7">
          <w:rPr>
            <w:noProof/>
            <w:webHidden/>
          </w:rPr>
          <w:tab/>
        </w:r>
        <w:r w:rsidR="008638C7">
          <w:rPr>
            <w:noProof/>
            <w:webHidden/>
          </w:rPr>
          <w:fldChar w:fldCharType="begin"/>
        </w:r>
        <w:r w:rsidR="008638C7">
          <w:rPr>
            <w:noProof/>
            <w:webHidden/>
          </w:rPr>
          <w:instrText xml:space="preserve"> PAGEREF _Toc352856759 \h </w:instrText>
        </w:r>
        <w:r w:rsidR="008638C7">
          <w:rPr>
            <w:noProof/>
            <w:webHidden/>
          </w:rPr>
        </w:r>
        <w:r w:rsidR="008638C7">
          <w:rPr>
            <w:noProof/>
            <w:webHidden/>
          </w:rPr>
          <w:fldChar w:fldCharType="separate"/>
        </w:r>
        <w:r w:rsidR="008638C7">
          <w:rPr>
            <w:noProof/>
            <w:webHidden/>
          </w:rPr>
          <w:t>17</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0" w:history="1">
        <w:r w:rsidR="008638C7" w:rsidRPr="004D052B">
          <w:rPr>
            <w:rStyle w:val="Hipervnculo"/>
            <w:noProof/>
          </w:rPr>
          <w:t>10.5.2</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Flujo de caja de inversiones y flujo de caja (financiero) del proyecto</w:t>
        </w:r>
        <w:r w:rsidR="008638C7">
          <w:rPr>
            <w:noProof/>
            <w:webHidden/>
          </w:rPr>
          <w:tab/>
        </w:r>
        <w:r w:rsidR="008638C7">
          <w:rPr>
            <w:noProof/>
            <w:webHidden/>
          </w:rPr>
          <w:fldChar w:fldCharType="begin"/>
        </w:r>
        <w:r w:rsidR="008638C7">
          <w:rPr>
            <w:noProof/>
            <w:webHidden/>
          </w:rPr>
          <w:instrText xml:space="preserve"> PAGEREF _Toc352856760 \h </w:instrText>
        </w:r>
        <w:r w:rsidR="008638C7">
          <w:rPr>
            <w:noProof/>
            <w:webHidden/>
          </w:rPr>
        </w:r>
        <w:r w:rsidR="008638C7">
          <w:rPr>
            <w:noProof/>
            <w:webHidden/>
          </w:rPr>
          <w:fldChar w:fldCharType="separate"/>
        </w:r>
        <w:r w:rsidR="008638C7">
          <w:rPr>
            <w:noProof/>
            <w:webHidden/>
          </w:rPr>
          <w:t>17</w:t>
        </w:r>
        <w:r w:rsidR="008638C7">
          <w:rPr>
            <w:noProof/>
            <w:webHidden/>
          </w:rPr>
          <w:fldChar w:fldCharType="end"/>
        </w:r>
      </w:hyperlink>
    </w:p>
    <w:p w:rsidR="008638C7" w:rsidRDefault="00F97F2F">
      <w:pPr>
        <w:pStyle w:val="TDC2"/>
        <w:tabs>
          <w:tab w:val="left" w:pos="1100"/>
          <w:tab w:val="right" w:leader="dot" w:pos="8830"/>
        </w:tabs>
        <w:rPr>
          <w:rFonts w:asciiTheme="minorHAnsi" w:eastAsiaTheme="minorEastAsia" w:hAnsiTheme="minorHAnsi" w:cstheme="minorBidi"/>
          <w:noProof/>
          <w:kern w:val="0"/>
          <w:sz w:val="22"/>
          <w:szCs w:val="22"/>
          <w:lang w:val="es-ES" w:eastAsia="es-ES"/>
        </w:rPr>
      </w:pPr>
      <w:hyperlink w:anchor="_Toc352856761" w:history="1">
        <w:r w:rsidR="008638C7" w:rsidRPr="004D052B">
          <w:rPr>
            <w:rStyle w:val="Hipervnculo"/>
            <w:noProof/>
          </w:rPr>
          <w:t>10.6</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Análisis coste-beneficio del proyecto</w:t>
        </w:r>
        <w:r w:rsidR="008638C7">
          <w:rPr>
            <w:noProof/>
            <w:webHidden/>
          </w:rPr>
          <w:tab/>
        </w:r>
        <w:r w:rsidR="008638C7">
          <w:rPr>
            <w:noProof/>
            <w:webHidden/>
          </w:rPr>
          <w:fldChar w:fldCharType="begin"/>
        </w:r>
        <w:r w:rsidR="008638C7">
          <w:rPr>
            <w:noProof/>
            <w:webHidden/>
          </w:rPr>
          <w:instrText xml:space="preserve"> PAGEREF _Toc352856761 \h </w:instrText>
        </w:r>
        <w:r w:rsidR="008638C7">
          <w:rPr>
            <w:noProof/>
            <w:webHidden/>
          </w:rPr>
        </w:r>
        <w:r w:rsidR="008638C7">
          <w:rPr>
            <w:noProof/>
            <w:webHidden/>
          </w:rPr>
          <w:fldChar w:fldCharType="separate"/>
        </w:r>
        <w:r w:rsidR="008638C7">
          <w:rPr>
            <w:noProof/>
            <w:webHidden/>
          </w:rPr>
          <w:t>19</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2" w:history="1">
        <w:r w:rsidR="008638C7" w:rsidRPr="004D052B">
          <w:rPr>
            <w:rStyle w:val="Hipervnculo"/>
            <w:noProof/>
          </w:rPr>
          <w:t>10.6.1</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Metodol</w:t>
        </w:r>
        <w:r w:rsidR="008638C7" w:rsidRPr="004D052B">
          <w:rPr>
            <w:rStyle w:val="Hipervnculo"/>
            <w:noProof/>
          </w:rPr>
          <w:t>o</w:t>
        </w:r>
        <w:r w:rsidR="008638C7" w:rsidRPr="004D052B">
          <w:rPr>
            <w:rStyle w:val="Hipervnculo"/>
            <w:noProof/>
          </w:rPr>
          <w:t>gía</w:t>
        </w:r>
        <w:r w:rsidR="008638C7">
          <w:rPr>
            <w:noProof/>
            <w:webHidden/>
          </w:rPr>
          <w:tab/>
        </w:r>
        <w:r w:rsidR="008638C7">
          <w:rPr>
            <w:noProof/>
            <w:webHidden/>
          </w:rPr>
          <w:fldChar w:fldCharType="begin"/>
        </w:r>
        <w:r w:rsidR="008638C7">
          <w:rPr>
            <w:noProof/>
            <w:webHidden/>
          </w:rPr>
          <w:instrText xml:space="preserve"> PAGEREF _Toc352856762 \h </w:instrText>
        </w:r>
        <w:r w:rsidR="008638C7">
          <w:rPr>
            <w:noProof/>
            <w:webHidden/>
          </w:rPr>
        </w:r>
        <w:r w:rsidR="008638C7">
          <w:rPr>
            <w:noProof/>
            <w:webHidden/>
          </w:rPr>
          <w:fldChar w:fldCharType="separate"/>
        </w:r>
        <w:r w:rsidR="008638C7">
          <w:rPr>
            <w:noProof/>
            <w:webHidden/>
          </w:rPr>
          <w:t>19</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3" w:history="1">
        <w:r w:rsidR="008638C7" w:rsidRPr="004D052B">
          <w:rPr>
            <w:rStyle w:val="Hipervnculo"/>
            <w:noProof/>
          </w:rPr>
          <w:t>10.6.2</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Evaluación de riesgos del proyecto</w:t>
        </w:r>
        <w:r w:rsidR="008638C7">
          <w:rPr>
            <w:noProof/>
            <w:webHidden/>
          </w:rPr>
          <w:tab/>
        </w:r>
        <w:r w:rsidR="008638C7">
          <w:rPr>
            <w:noProof/>
            <w:webHidden/>
          </w:rPr>
          <w:fldChar w:fldCharType="begin"/>
        </w:r>
        <w:r w:rsidR="008638C7">
          <w:rPr>
            <w:noProof/>
            <w:webHidden/>
          </w:rPr>
          <w:instrText xml:space="preserve"> PAGEREF _Toc352856763 \h </w:instrText>
        </w:r>
        <w:r w:rsidR="008638C7">
          <w:rPr>
            <w:noProof/>
            <w:webHidden/>
          </w:rPr>
        </w:r>
        <w:r w:rsidR="008638C7">
          <w:rPr>
            <w:noProof/>
            <w:webHidden/>
          </w:rPr>
          <w:fldChar w:fldCharType="separate"/>
        </w:r>
        <w:r w:rsidR="008638C7">
          <w:rPr>
            <w:noProof/>
            <w:webHidden/>
          </w:rPr>
          <w:t>20</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4" w:history="1">
        <w:r w:rsidR="008638C7" w:rsidRPr="004D052B">
          <w:rPr>
            <w:rStyle w:val="Hipervnculo"/>
            <w:noProof/>
          </w:rPr>
          <w:t>10.6.3</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Escenarios</w:t>
        </w:r>
        <w:r w:rsidR="008638C7">
          <w:rPr>
            <w:noProof/>
            <w:webHidden/>
          </w:rPr>
          <w:tab/>
        </w:r>
        <w:r w:rsidR="008638C7">
          <w:rPr>
            <w:noProof/>
            <w:webHidden/>
          </w:rPr>
          <w:fldChar w:fldCharType="begin"/>
        </w:r>
        <w:r w:rsidR="008638C7">
          <w:rPr>
            <w:noProof/>
            <w:webHidden/>
          </w:rPr>
          <w:instrText xml:space="preserve"> PAGEREF _Toc352856764 \h </w:instrText>
        </w:r>
        <w:r w:rsidR="008638C7">
          <w:rPr>
            <w:noProof/>
            <w:webHidden/>
          </w:rPr>
        </w:r>
        <w:r w:rsidR="008638C7">
          <w:rPr>
            <w:noProof/>
            <w:webHidden/>
          </w:rPr>
          <w:fldChar w:fldCharType="separate"/>
        </w:r>
        <w:r w:rsidR="008638C7">
          <w:rPr>
            <w:noProof/>
            <w:webHidden/>
          </w:rPr>
          <w:t>22</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5" w:history="1">
        <w:r w:rsidR="008638C7" w:rsidRPr="004D052B">
          <w:rPr>
            <w:rStyle w:val="Hipervnculo"/>
            <w:noProof/>
          </w:rPr>
          <w:t>10.6.4</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Tasa de descuento socio-económica</w:t>
        </w:r>
        <w:r w:rsidR="008638C7">
          <w:rPr>
            <w:noProof/>
            <w:webHidden/>
          </w:rPr>
          <w:tab/>
        </w:r>
        <w:r w:rsidR="008638C7">
          <w:rPr>
            <w:noProof/>
            <w:webHidden/>
          </w:rPr>
          <w:fldChar w:fldCharType="begin"/>
        </w:r>
        <w:r w:rsidR="008638C7">
          <w:rPr>
            <w:noProof/>
            <w:webHidden/>
          </w:rPr>
          <w:instrText xml:space="preserve"> PAGEREF _Toc352856765 \h </w:instrText>
        </w:r>
        <w:r w:rsidR="008638C7">
          <w:rPr>
            <w:noProof/>
            <w:webHidden/>
          </w:rPr>
        </w:r>
        <w:r w:rsidR="008638C7">
          <w:rPr>
            <w:noProof/>
            <w:webHidden/>
          </w:rPr>
          <w:fldChar w:fldCharType="separate"/>
        </w:r>
        <w:r w:rsidR="008638C7">
          <w:rPr>
            <w:noProof/>
            <w:webHidden/>
          </w:rPr>
          <w:t>22</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6" w:history="1">
        <w:r w:rsidR="008638C7" w:rsidRPr="004D052B">
          <w:rPr>
            <w:rStyle w:val="Hipervnculo"/>
            <w:noProof/>
          </w:rPr>
          <w:t>10.6.5</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Hipótesis para el cálculo de beneficios socio-económicos</w:t>
        </w:r>
        <w:r w:rsidR="008638C7">
          <w:rPr>
            <w:noProof/>
            <w:webHidden/>
          </w:rPr>
          <w:tab/>
        </w:r>
        <w:r w:rsidR="008638C7">
          <w:rPr>
            <w:noProof/>
            <w:webHidden/>
          </w:rPr>
          <w:fldChar w:fldCharType="begin"/>
        </w:r>
        <w:r w:rsidR="008638C7">
          <w:rPr>
            <w:noProof/>
            <w:webHidden/>
          </w:rPr>
          <w:instrText xml:space="preserve"> PAGEREF _Toc352856766 \h </w:instrText>
        </w:r>
        <w:r w:rsidR="008638C7">
          <w:rPr>
            <w:noProof/>
            <w:webHidden/>
          </w:rPr>
        </w:r>
        <w:r w:rsidR="008638C7">
          <w:rPr>
            <w:noProof/>
            <w:webHidden/>
          </w:rPr>
          <w:fldChar w:fldCharType="separate"/>
        </w:r>
        <w:r w:rsidR="008638C7">
          <w:rPr>
            <w:noProof/>
            <w:webHidden/>
          </w:rPr>
          <w:t>22</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7" w:history="1">
        <w:r w:rsidR="008638C7" w:rsidRPr="004D052B">
          <w:rPr>
            <w:rStyle w:val="Hipervnculo"/>
            <w:noProof/>
          </w:rPr>
          <w:t>10.6.6</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Resultados del análisis coste-beneficio</w:t>
        </w:r>
        <w:r w:rsidR="008638C7">
          <w:rPr>
            <w:noProof/>
            <w:webHidden/>
          </w:rPr>
          <w:tab/>
        </w:r>
        <w:r w:rsidR="008638C7">
          <w:rPr>
            <w:noProof/>
            <w:webHidden/>
          </w:rPr>
          <w:fldChar w:fldCharType="begin"/>
        </w:r>
        <w:r w:rsidR="008638C7">
          <w:rPr>
            <w:noProof/>
            <w:webHidden/>
          </w:rPr>
          <w:instrText xml:space="preserve"> PAGEREF _Toc352856767 \h </w:instrText>
        </w:r>
        <w:r w:rsidR="008638C7">
          <w:rPr>
            <w:noProof/>
            <w:webHidden/>
          </w:rPr>
        </w:r>
        <w:r w:rsidR="008638C7">
          <w:rPr>
            <w:noProof/>
            <w:webHidden/>
          </w:rPr>
          <w:fldChar w:fldCharType="separate"/>
        </w:r>
        <w:r w:rsidR="008638C7">
          <w:rPr>
            <w:noProof/>
            <w:webHidden/>
          </w:rPr>
          <w:t>24</w:t>
        </w:r>
        <w:r w:rsidR="008638C7">
          <w:rPr>
            <w:noProof/>
            <w:webHidden/>
          </w:rPr>
          <w:fldChar w:fldCharType="end"/>
        </w:r>
      </w:hyperlink>
    </w:p>
    <w:p w:rsidR="008638C7" w:rsidRDefault="00F97F2F">
      <w:pPr>
        <w:pStyle w:val="TDC3"/>
        <w:tabs>
          <w:tab w:val="left" w:pos="1320"/>
          <w:tab w:val="right" w:leader="dot" w:pos="8830"/>
        </w:tabs>
        <w:rPr>
          <w:rFonts w:asciiTheme="minorHAnsi" w:eastAsiaTheme="minorEastAsia" w:hAnsiTheme="minorHAnsi" w:cstheme="minorBidi"/>
          <w:noProof/>
          <w:kern w:val="0"/>
          <w:sz w:val="22"/>
          <w:szCs w:val="22"/>
          <w:lang w:val="es-ES" w:eastAsia="es-ES"/>
        </w:rPr>
      </w:pPr>
      <w:hyperlink w:anchor="_Toc352856768" w:history="1">
        <w:r w:rsidR="008638C7" w:rsidRPr="004D052B">
          <w:rPr>
            <w:rStyle w:val="Hipervnculo"/>
            <w:noProof/>
          </w:rPr>
          <w:t>10.6.7</w:t>
        </w:r>
        <w:r w:rsidR="008638C7">
          <w:rPr>
            <w:rFonts w:asciiTheme="minorHAnsi" w:eastAsiaTheme="minorEastAsia" w:hAnsiTheme="minorHAnsi" w:cstheme="minorBidi"/>
            <w:noProof/>
            <w:kern w:val="0"/>
            <w:sz w:val="22"/>
            <w:szCs w:val="22"/>
            <w:lang w:val="es-ES" w:eastAsia="es-ES"/>
          </w:rPr>
          <w:tab/>
        </w:r>
        <w:r w:rsidR="008638C7" w:rsidRPr="004D052B">
          <w:rPr>
            <w:rStyle w:val="Hipervnculo"/>
            <w:noProof/>
          </w:rPr>
          <w:t>Análisis de sensibilidad</w:t>
        </w:r>
        <w:r w:rsidR="008638C7">
          <w:rPr>
            <w:noProof/>
            <w:webHidden/>
          </w:rPr>
          <w:tab/>
        </w:r>
        <w:r w:rsidR="008638C7">
          <w:rPr>
            <w:noProof/>
            <w:webHidden/>
          </w:rPr>
          <w:fldChar w:fldCharType="begin"/>
        </w:r>
        <w:r w:rsidR="008638C7">
          <w:rPr>
            <w:noProof/>
            <w:webHidden/>
          </w:rPr>
          <w:instrText xml:space="preserve"> PAGEREF _Toc352856768 \h </w:instrText>
        </w:r>
        <w:r w:rsidR="008638C7">
          <w:rPr>
            <w:noProof/>
            <w:webHidden/>
          </w:rPr>
        </w:r>
        <w:r w:rsidR="008638C7">
          <w:rPr>
            <w:noProof/>
            <w:webHidden/>
          </w:rPr>
          <w:fldChar w:fldCharType="separate"/>
        </w:r>
        <w:r w:rsidR="008638C7">
          <w:rPr>
            <w:noProof/>
            <w:webHidden/>
          </w:rPr>
          <w:t>26</w:t>
        </w:r>
        <w:r w:rsidR="008638C7">
          <w:rPr>
            <w:noProof/>
            <w:webHidden/>
          </w:rPr>
          <w:fldChar w:fldCharType="end"/>
        </w:r>
      </w:hyperlink>
    </w:p>
    <w:p w:rsidR="00F86761" w:rsidRPr="00AC1C46" w:rsidRDefault="00C80B42" w:rsidP="00D16B04">
      <w:pPr>
        <w:rPr>
          <w:lang w:val="es-ES"/>
        </w:rPr>
      </w:pPr>
      <w:r w:rsidRPr="00AC1C46">
        <w:rPr>
          <w:lang w:val="es-ES"/>
        </w:rPr>
        <w:fldChar w:fldCharType="end"/>
      </w:r>
    </w:p>
    <w:p w:rsidR="00857873" w:rsidRDefault="00857873">
      <w:pPr>
        <w:spacing w:before="0" w:after="200" w:line="276" w:lineRule="auto"/>
        <w:jc w:val="left"/>
        <w:rPr>
          <w:b/>
          <w:sz w:val="28"/>
          <w:lang w:val="es-ES"/>
        </w:rPr>
      </w:pPr>
      <w:r>
        <w:rPr>
          <w:b/>
          <w:sz w:val="28"/>
          <w:lang w:val="es-ES"/>
        </w:rPr>
        <w:br w:type="page"/>
      </w:r>
    </w:p>
    <w:p w:rsidR="00F86761" w:rsidRPr="00AC1C46" w:rsidRDefault="00F8079E" w:rsidP="00D16B04">
      <w:pPr>
        <w:rPr>
          <w:b/>
          <w:sz w:val="28"/>
          <w:lang w:val="es-ES"/>
        </w:rPr>
      </w:pPr>
      <w:r w:rsidRPr="00AC1C46">
        <w:rPr>
          <w:b/>
          <w:sz w:val="28"/>
          <w:lang w:val="es-ES"/>
        </w:rPr>
        <w:t xml:space="preserve">Índice </w:t>
      </w:r>
      <w:r w:rsidR="00FA46D5" w:rsidRPr="00AC1C46">
        <w:rPr>
          <w:b/>
          <w:sz w:val="28"/>
          <w:lang w:val="es-ES"/>
        </w:rPr>
        <w:t xml:space="preserve">de </w:t>
      </w:r>
      <w:r w:rsidRPr="00AC1C46">
        <w:rPr>
          <w:b/>
          <w:sz w:val="28"/>
          <w:lang w:val="es-ES"/>
        </w:rPr>
        <w:t>Figuras</w:t>
      </w:r>
    </w:p>
    <w:p w:rsidR="008638C7" w:rsidRDefault="00C80B42">
      <w:pPr>
        <w:pStyle w:val="Tabladeilustraciones"/>
        <w:tabs>
          <w:tab w:val="right" w:leader="dot" w:pos="8830"/>
        </w:tabs>
        <w:rPr>
          <w:rFonts w:asciiTheme="minorHAnsi" w:eastAsiaTheme="minorEastAsia" w:hAnsiTheme="minorHAnsi" w:cstheme="minorBidi"/>
          <w:noProof/>
          <w:kern w:val="0"/>
          <w:sz w:val="22"/>
          <w:szCs w:val="22"/>
          <w:lang w:val="es-ES" w:eastAsia="es-ES"/>
        </w:rPr>
      </w:pPr>
      <w:r w:rsidRPr="00AC1C46">
        <w:rPr>
          <w:b/>
          <w:sz w:val="28"/>
          <w:szCs w:val="28"/>
          <w:lang w:val="es-ES"/>
        </w:rPr>
        <w:fldChar w:fldCharType="begin"/>
      </w:r>
      <w:r w:rsidR="00FA46D5" w:rsidRPr="00AC1C46">
        <w:rPr>
          <w:b/>
          <w:sz w:val="28"/>
          <w:szCs w:val="28"/>
          <w:lang w:val="es-ES"/>
        </w:rPr>
        <w:instrText xml:space="preserve"> TOC \h \z \c "Figura" </w:instrText>
      </w:r>
      <w:r w:rsidRPr="00AC1C46">
        <w:rPr>
          <w:b/>
          <w:sz w:val="28"/>
          <w:szCs w:val="28"/>
          <w:lang w:val="es-ES"/>
        </w:rPr>
        <w:fldChar w:fldCharType="separate"/>
      </w:r>
      <w:hyperlink w:anchor="_Toc352856769" w:history="1">
        <w:r w:rsidR="008638C7" w:rsidRPr="007D47A8">
          <w:rPr>
            <w:rStyle w:val="Hipervnculo"/>
            <w:noProof/>
          </w:rPr>
          <w:t>Figura 1: Ingresos totales de la red aeroportuaria de AASANA (2011, USD)</w:t>
        </w:r>
        <w:r w:rsidR="008638C7">
          <w:rPr>
            <w:noProof/>
            <w:webHidden/>
          </w:rPr>
          <w:tab/>
        </w:r>
        <w:r w:rsidR="008638C7">
          <w:rPr>
            <w:noProof/>
            <w:webHidden/>
          </w:rPr>
          <w:fldChar w:fldCharType="begin"/>
        </w:r>
        <w:r w:rsidR="008638C7">
          <w:rPr>
            <w:noProof/>
            <w:webHidden/>
          </w:rPr>
          <w:instrText xml:space="preserve"> PAGEREF _Toc352856769 \h </w:instrText>
        </w:r>
        <w:r w:rsidR="008638C7">
          <w:rPr>
            <w:noProof/>
            <w:webHidden/>
          </w:rPr>
        </w:r>
        <w:r w:rsidR="008638C7">
          <w:rPr>
            <w:noProof/>
            <w:webHidden/>
          </w:rPr>
          <w:fldChar w:fldCharType="separate"/>
        </w:r>
        <w:r w:rsidR="008638C7">
          <w:rPr>
            <w:noProof/>
            <w:webHidden/>
          </w:rPr>
          <w:t>4</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0" w:history="1">
        <w:r w:rsidR="008638C7" w:rsidRPr="007D47A8">
          <w:rPr>
            <w:rStyle w:val="Hipervnculo"/>
            <w:noProof/>
          </w:rPr>
          <w:t>Figura 2: Ingresos comerciales de la red aeroportuaria de AASANA (2011, USD)</w:t>
        </w:r>
        <w:r w:rsidR="008638C7">
          <w:rPr>
            <w:noProof/>
            <w:webHidden/>
          </w:rPr>
          <w:tab/>
        </w:r>
        <w:r w:rsidR="008638C7">
          <w:rPr>
            <w:noProof/>
            <w:webHidden/>
          </w:rPr>
          <w:fldChar w:fldCharType="begin"/>
        </w:r>
        <w:r w:rsidR="008638C7">
          <w:rPr>
            <w:noProof/>
            <w:webHidden/>
          </w:rPr>
          <w:instrText xml:space="preserve"> PAGEREF _Toc352856770 \h </w:instrText>
        </w:r>
        <w:r w:rsidR="008638C7">
          <w:rPr>
            <w:noProof/>
            <w:webHidden/>
          </w:rPr>
        </w:r>
        <w:r w:rsidR="008638C7">
          <w:rPr>
            <w:noProof/>
            <w:webHidden/>
          </w:rPr>
          <w:fldChar w:fldCharType="separate"/>
        </w:r>
        <w:r w:rsidR="008638C7">
          <w:rPr>
            <w:noProof/>
            <w:webHidden/>
          </w:rPr>
          <w:t>4</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1" w:history="1">
        <w:r w:rsidR="008638C7" w:rsidRPr="007D47A8">
          <w:rPr>
            <w:rStyle w:val="Hipervnculo"/>
            <w:noProof/>
          </w:rPr>
          <w:t>Figura 3: Estudio comparativo de tasas aeroportuarias (USD/escala B737-400)</w:t>
        </w:r>
        <w:r w:rsidR="008638C7">
          <w:rPr>
            <w:noProof/>
            <w:webHidden/>
          </w:rPr>
          <w:tab/>
        </w:r>
        <w:r w:rsidR="008638C7">
          <w:rPr>
            <w:noProof/>
            <w:webHidden/>
          </w:rPr>
          <w:fldChar w:fldCharType="begin"/>
        </w:r>
        <w:r w:rsidR="008638C7">
          <w:rPr>
            <w:noProof/>
            <w:webHidden/>
          </w:rPr>
          <w:instrText xml:space="preserve"> PAGEREF _Toc352856771 \h </w:instrText>
        </w:r>
        <w:r w:rsidR="008638C7">
          <w:rPr>
            <w:noProof/>
            <w:webHidden/>
          </w:rPr>
        </w:r>
        <w:r w:rsidR="008638C7">
          <w:rPr>
            <w:noProof/>
            <w:webHidden/>
          </w:rPr>
          <w:fldChar w:fldCharType="separate"/>
        </w:r>
        <w:r w:rsidR="008638C7">
          <w:rPr>
            <w:noProof/>
            <w:webHidden/>
          </w:rPr>
          <w:t>7</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2" w:history="1">
        <w:r w:rsidR="008638C7" w:rsidRPr="007D47A8">
          <w:rPr>
            <w:rStyle w:val="Hipervnculo"/>
            <w:noProof/>
          </w:rPr>
          <w:t>Figura 4: Estudio comparativo de tasas de N.A. (USD/200NM; B737-400)</w:t>
        </w:r>
        <w:r w:rsidR="008638C7">
          <w:rPr>
            <w:noProof/>
            <w:webHidden/>
          </w:rPr>
          <w:tab/>
        </w:r>
        <w:r w:rsidR="008638C7">
          <w:rPr>
            <w:noProof/>
            <w:webHidden/>
          </w:rPr>
          <w:fldChar w:fldCharType="begin"/>
        </w:r>
        <w:r w:rsidR="008638C7">
          <w:rPr>
            <w:noProof/>
            <w:webHidden/>
          </w:rPr>
          <w:instrText xml:space="preserve"> PAGEREF _Toc352856772 \h </w:instrText>
        </w:r>
        <w:r w:rsidR="008638C7">
          <w:rPr>
            <w:noProof/>
            <w:webHidden/>
          </w:rPr>
        </w:r>
        <w:r w:rsidR="008638C7">
          <w:rPr>
            <w:noProof/>
            <w:webHidden/>
          </w:rPr>
          <w:fldChar w:fldCharType="separate"/>
        </w:r>
        <w:r w:rsidR="008638C7">
          <w:rPr>
            <w:noProof/>
            <w:webHidden/>
          </w:rPr>
          <w:t>8</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3" w:history="1">
        <w:r w:rsidR="008638C7" w:rsidRPr="007D47A8">
          <w:rPr>
            <w:rStyle w:val="Hipervnculo"/>
            <w:noProof/>
          </w:rPr>
          <w:t>Figura 5: Serie histórica de ingresos de explotación del aeropuerto de Trinidad</w:t>
        </w:r>
        <w:r w:rsidR="008638C7">
          <w:rPr>
            <w:noProof/>
            <w:webHidden/>
          </w:rPr>
          <w:tab/>
        </w:r>
        <w:r w:rsidR="008638C7">
          <w:rPr>
            <w:noProof/>
            <w:webHidden/>
          </w:rPr>
          <w:fldChar w:fldCharType="begin"/>
        </w:r>
        <w:r w:rsidR="008638C7">
          <w:rPr>
            <w:noProof/>
            <w:webHidden/>
          </w:rPr>
          <w:instrText xml:space="preserve"> PAGEREF _Toc352856773 \h </w:instrText>
        </w:r>
        <w:r w:rsidR="008638C7">
          <w:rPr>
            <w:noProof/>
            <w:webHidden/>
          </w:rPr>
        </w:r>
        <w:r w:rsidR="008638C7">
          <w:rPr>
            <w:noProof/>
            <w:webHidden/>
          </w:rPr>
          <w:fldChar w:fldCharType="separate"/>
        </w:r>
        <w:r w:rsidR="008638C7">
          <w:rPr>
            <w:noProof/>
            <w:webHidden/>
          </w:rPr>
          <w:t>9</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4" w:history="1">
        <w:r w:rsidR="008638C7" w:rsidRPr="007D47A8">
          <w:rPr>
            <w:rStyle w:val="Hipervnculo"/>
            <w:noProof/>
          </w:rPr>
          <w:t>Figura 6: Ingresos aeronáuticos/pasajero (USD, 2011)</w:t>
        </w:r>
        <w:r w:rsidR="008638C7">
          <w:rPr>
            <w:noProof/>
            <w:webHidden/>
          </w:rPr>
          <w:tab/>
        </w:r>
        <w:r w:rsidR="008638C7">
          <w:rPr>
            <w:noProof/>
            <w:webHidden/>
          </w:rPr>
          <w:fldChar w:fldCharType="begin"/>
        </w:r>
        <w:r w:rsidR="008638C7">
          <w:rPr>
            <w:noProof/>
            <w:webHidden/>
          </w:rPr>
          <w:instrText xml:space="preserve"> PAGEREF _Toc352856774 \h </w:instrText>
        </w:r>
        <w:r w:rsidR="008638C7">
          <w:rPr>
            <w:noProof/>
            <w:webHidden/>
          </w:rPr>
        </w:r>
        <w:r w:rsidR="008638C7">
          <w:rPr>
            <w:noProof/>
            <w:webHidden/>
          </w:rPr>
          <w:fldChar w:fldCharType="separate"/>
        </w:r>
        <w:r w:rsidR="008638C7">
          <w:rPr>
            <w:noProof/>
            <w:webHidden/>
          </w:rPr>
          <w:t>10</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5" w:history="1">
        <w:r w:rsidR="008638C7" w:rsidRPr="007D47A8">
          <w:rPr>
            <w:rStyle w:val="Hipervnculo"/>
            <w:noProof/>
          </w:rPr>
          <w:t>Figura 7: Ingresos comerciales/pasajero (USD, 2011)</w:t>
        </w:r>
        <w:r w:rsidR="008638C7">
          <w:rPr>
            <w:noProof/>
            <w:webHidden/>
          </w:rPr>
          <w:tab/>
        </w:r>
        <w:r w:rsidR="008638C7">
          <w:rPr>
            <w:noProof/>
            <w:webHidden/>
          </w:rPr>
          <w:fldChar w:fldCharType="begin"/>
        </w:r>
        <w:r w:rsidR="008638C7">
          <w:rPr>
            <w:noProof/>
            <w:webHidden/>
          </w:rPr>
          <w:instrText xml:space="preserve"> PAGEREF _Toc352856775 \h </w:instrText>
        </w:r>
        <w:r w:rsidR="008638C7">
          <w:rPr>
            <w:noProof/>
            <w:webHidden/>
          </w:rPr>
        </w:r>
        <w:r w:rsidR="008638C7">
          <w:rPr>
            <w:noProof/>
            <w:webHidden/>
          </w:rPr>
          <w:fldChar w:fldCharType="separate"/>
        </w:r>
        <w:r w:rsidR="008638C7">
          <w:rPr>
            <w:noProof/>
            <w:webHidden/>
          </w:rPr>
          <w:t>10</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6" w:history="1">
        <w:r w:rsidR="008638C7" w:rsidRPr="007D47A8">
          <w:rPr>
            <w:rStyle w:val="Hipervnculo"/>
            <w:noProof/>
          </w:rPr>
          <w:t>Figura 8: Estimación de costos históricos de explotación</w:t>
        </w:r>
        <w:r w:rsidR="008638C7">
          <w:rPr>
            <w:noProof/>
            <w:webHidden/>
          </w:rPr>
          <w:tab/>
        </w:r>
        <w:r w:rsidR="008638C7">
          <w:rPr>
            <w:noProof/>
            <w:webHidden/>
          </w:rPr>
          <w:fldChar w:fldCharType="begin"/>
        </w:r>
        <w:r w:rsidR="008638C7">
          <w:rPr>
            <w:noProof/>
            <w:webHidden/>
          </w:rPr>
          <w:instrText xml:space="preserve"> PAGEREF _Toc352856776 \h </w:instrText>
        </w:r>
        <w:r w:rsidR="008638C7">
          <w:rPr>
            <w:noProof/>
            <w:webHidden/>
          </w:rPr>
        </w:r>
        <w:r w:rsidR="008638C7">
          <w:rPr>
            <w:noProof/>
            <w:webHidden/>
          </w:rPr>
          <w:fldChar w:fldCharType="separate"/>
        </w:r>
        <w:r w:rsidR="008638C7">
          <w:rPr>
            <w:noProof/>
            <w:webHidden/>
          </w:rPr>
          <w:t>11</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7" w:history="1">
        <w:r w:rsidR="008638C7" w:rsidRPr="007D47A8">
          <w:rPr>
            <w:rStyle w:val="Hipervnculo"/>
            <w:noProof/>
          </w:rPr>
          <w:t>Figura 9: Efecto de la nueva tarificación en los ingresos por alquileres (USD)</w:t>
        </w:r>
        <w:r w:rsidR="008638C7">
          <w:rPr>
            <w:noProof/>
            <w:webHidden/>
          </w:rPr>
          <w:tab/>
        </w:r>
        <w:r w:rsidR="008638C7">
          <w:rPr>
            <w:noProof/>
            <w:webHidden/>
          </w:rPr>
          <w:fldChar w:fldCharType="begin"/>
        </w:r>
        <w:r w:rsidR="008638C7">
          <w:rPr>
            <w:noProof/>
            <w:webHidden/>
          </w:rPr>
          <w:instrText xml:space="preserve"> PAGEREF _Toc352856777 \h </w:instrText>
        </w:r>
        <w:r w:rsidR="008638C7">
          <w:rPr>
            <w:noProof/>
            <w:webHidden/>
          </w:rPr>
        </w:r>
        <w:r w:rsidR="008638C7">
          <w:rPr>
            <w:noProof/>
            <w:webHidden/>
          </w:rPr>
          <w:fldChar w:fldCharType="separate"/>
        </w:r>
        <w:r w:rsidR="008638C7">
          <w:rPr>
            <w:noProof/>
            <w:webHidden/>
          </w:rPr>
          <w:t>13</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8" w:history="1">
        <w:r w:rsidR="008638C7" w:rsidRPr="007D47A8">
          <w:rPr>
            <w:rStyle w:val="Hipervnculo"/>
            <w:noProof/>
          </w:rPr>
          <w:t>Figura 10: Ingresos de explotación previsionales. 2012-32</w:t>
        </w:r>
        <w:r w:rsidR="008638C7">
          <w:rPr>
            <w:noProof/>
            <w:webHidden/>
          </w:rPr>
          <w:tab/>
        </w:r>
        <w:r w:rsidR="008638C7">
          <w:rPr>
            <w:noProof/>
            <w:webHidden/>
          </w:rPr>
          <w:fldChar w:fldCharType="begin"/>
        </w:r>
        <w:r w:rsidR="008638C7">
          <w:rPr>
            <w:noProof/>
            <w:webHidden/>
          </w:rPr>
          <w:instrText xml:space="preserve"> PAGEREF _Toc352856778 \h </w:instrText>
        </w:r>
        <w:r w:rsidR="008638C7">
          <w:rPr>
            <w:noProof/>
            <w:webHidden/>
          </w:rPr>
        </w:r>
        <w:r w:rsidR="008638C7">
          <w:rPr>
            <w:noProof/>
            <w:webHidden/>
          </w:rPr>
          <w:fldChar w:fldCharType="separate"/>
        </w:r>
        <w:r w:rsidR="008638C7">
          <w:rPr>
            <w:noProof/>
            <w:webHidden/>
          </w:rPr>
          <w:t>14</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79" w:history="1">
        <w:r w:rsidR="008638C7" w:rsidRPr="007D47A8">
          <w:rPr>
            <w:rStyle w:val="Hipervnculo"/>
            <w:noProof/>
          </w:rPr>
          <w:t>Figura 11: Costos de explotación previsionales. 2012-32</w:t>
        </w:r>
        <w:r w:rsidR="008638C7">
          <w:rPr>
            <w:noProof/>
            <w:webHidden/>
          </w:rPr>
          <w:tab/>
        </w:r>
        <w:r w:rsidR="008638C7">
          <w:rPr>
            <w:noProof/>
            <w:webHidden/>
          </w:rPr>
          <w:fldChar w:fldCharType="begin"/>
        </w:r>
        <w:r w:rsidR="008638C7">
          <w:rPr>
            <w:noProof/>
            <w:webHidden/>
          </w:rPr>
          <w:instrText xml:space="preserve"> PAGEREF _Toc352856779 \h </w:instrText>
        </w:r>
        <w:r w:rsidR="008638C7">
          <w:rPr>
            <w:noProof/>
            <w:webHidden/>
          </w:rPr>
        </w:r>
        <w:r w:rsidR="008638C7">
          <w:rPr>
            <w:noProof/>
            <w:webHidden/>
          </w:rPr>
          <w:fldChar w:fldCharType="separate"/>
        </w:r>
        <w:r w:rsidR="008638C7">
          <w:rPr>
            <w:noProof/>
            <w:webHidden/>
          </w:rPr>
          <w:t>15</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0" w:history="1">
        <w:r w:rsidR="008638C7" w:rsidRPr="007D47A8">
          <w:rPr>
            <w:rStyle w:val="Hipervnculo"/>
            <w:noProof/>
          </w:rPr>
          <w:t>Figura 12: Indicadores de explotación en el escenario de tráfico base. 2012-32</w:t>
        </w:r>
        <w:r w:rsidR="008638C7">
          <w:rPr>
            <w:noProof/>
            <w:webHidden/>
          </w:rPr>
          <w:tab/>
        </w:r>
        <w:r w:rsidR="008638C7">
          <w:rPr>
            <w:noProof/>
            <w:webHidden/>
          </w:rPr>
          <w:fldChar w:fldCharType="begin"/>
        </w:r>
        <w:r w:rsidR="008638C7">
          <w:rPr>
            <w:noProof/>
            <w:webHidden/>
          </w:rPr>
          <w:instrText xml:space="preserve"> PAGEREF _Toc352856780 \h </w:instrText>
        </w:r>
        <w:r w:rsidR="008638C7">
          <w:rPr>
            <w:noProof/>
            <w:webHidden/>
          </w:rPr>
        </w:r>
        <w:r w:rsidR="008638C7">
          <w:rPr>
            <w:noProof/>
            <w:webHidden/>
          </w:rPr>
          <w:fldChar w:fldCharType="separate"/>
        </w:r>
        <w:r w:rsidR="008638C7">
          <w:rPr>
            <w:noProof/>
            <w:webHidden/>
          </w:rPr>
          <w:t>16</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1" w:history="1">
        <w:r w:rsidR="008638C7" w:rsidRPr="007D47A8">
          <w:rPr>
            <w:rStyle w:val="Hipervnculo"/>
            <w:noProof/>
          </w:rPr>
          <w:t>Figura 13: EBITDA previsional en el escenario de tráfico base. 2012-32</w:t>
        </w:r>
        <w:r w:rsidR="008638C7">
          <w:rPr>
            <w:noProof/>
            <w:webHidden/>
          </w:rPr>
          <w:tab/>
        </w:r>
        <w:r w:rsidR="008638C7">
          <w:rPr>
            <w:noProof/>
            <w:webHidden/>
          </w:rPr>
          <w:fldChar w:fldCharType="begin"/>
        </w:r>
        <w:r w:rsidR="008638C7">
          <w:rPr>
            <w:noProof/>
            <w:webHidden/>
          </w:rPr>
          <w:instrText xml:space="preserve"> PAGEREF _Toc352856781 \h </w:instrText>
        </w:r>
        <w:r w:rsidR="008638C7">
          <w:rPr>
            <w:noProof/>
            <w:webHidden/>
          </w:rPr>
        </w:r>
        <w:r w:rsidR="008638C7">
          <w:rPr>
            <w:noProof/>
            <w:webHidden/>
          </w:rPr>
          <w:fldChar w:fldCharType="separate"/>
        </w:r>
        <w:r w:rsidR="008638C7">
          <w:rPr>
            <w:noProof/>
            <w:webHidden/>
          </w:rPr>
          <w:t>17</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2" w:history="1">
        <w:r w:rsidR="008638C7" w:rsidRPr="007D47A8">
          <w:rPr>
            <w:rStyle w:val="Hipervnculo"/>
            <w:noProof/>
          </w:rPr>
          <w:t>Figura 14: Flujo de caja libre (financiero) sin extensión de pista. 2013-32</w:t>
        </w:r>
        <w:r w:rsidR="008638C7">
          <w:rPr>
            <w:noProof/>
            <w:webHidden/>
          </w:rPr>
          <w:tab/>
        </w:r>
        <w:r w:rsidR="008638C7">
          <w:rPr>
            <w:noProof/>
            <w:webHidden/>
          </w:rPr>
          <w:fldChar w:fldCharType="begin"/>
        </w:r>
        <w:r w:rsidR="008638C7">
          <w:rPr>
            <w:noProof/>
            <w:webHidden/>
          </w:rPr>
          <w:instrText xml:space="preserve"> PAGEREF _Toc352856782 \h </w:instrText>
        </w:r>
        <w:r w:rsidR="008638C7">
          <w:rPr>
            <w:noProof/>
            <w:webHidden/>
          </w:rPr>
        </w:r>
        <w:r w:rsidR="008638C7">
          <w:rPr>
            <w:noProof/>
            <w:webHidden/>
          </w:rPr>
          <w:fldChar w:fldCharType="separate"/>
        </w:r>
        <w:r w:rsidR="008638C7">
          <w:rPr>
            <w:noProof/>
            <w:webHidden/>
          </w:rPr>
          <w:t>18</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3" w:history="1">
        <w:r w:rsidR="008638C7" w:rsidRPr="007D47A8">
          <w:rPr>
            <w:rStyle w:val="Hipervnculo"/>
            <w:noProof/>
          </w:rPr>
          <w:t>Figura 15: Flujo de caja libre (financiero) con extensión de pista. 2013-32</w:t>
        </w:r>
        <w:r w:rsidR="008638C7">
          <w:rPr>
            <w:noProof/>
            <w:webHidden/>
          </w:rPr>
          <w:tab/>
        </w:r>
        <w:r w:rsidR="008638C7">
          <w:rPr>
            <w:noProof/>
            <w:webHidden/>
          </w:rPr>
          <w:fldChar w:fldCharType="begin"/>
        </w:r>
        <w:r w:rsidR="008638C7">
          <w:rPr>
            <w:noProof/>
            <w:webHidden/>
          </w:rPr>
          <w:instrText xml:space="preserve"> PAGEREF _Toc352856783 \h </w:instrText>
        </w:r>
        <w:r w:rsidR="008638C7">
          <w:rPr>
            <w:noProof/>
            <w:webHidden/>
          </w:rPr>
        </w:r>
        <w:r w:rsidR="008638C7">
          <w:rPr>
            <w:noProof/>
            <w:webHidden/>
          </w:rPr>
          <w:fldChar w:fldCharType="separate"/>
        </w:r>
        <w:r w:rsidR="008638C7">
          <w:rPr>
            <w:noProof/>
            <w:webHidden/>
          </w:rPr>
          <w:t>18</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4" w:history="1">
        <w:r w:rsidR="008638C7" w:rsidRPr="007D47A8">
          <w:rPr>
            <w:rStyle w:val="Hipervnculo"/>
            <w:noProof/>
          </w:rPr>
          <w:t>Figura 16: Beneficios socio-económicos previsionales del proyecto. 2013-2032</w:t>
        </w:r>
        <w:r w:rsidR="008638C7">
          <w:rPr>
            <w:noProof/>
            <w:webHidden/>
          </w:rPr>
          <w:tab/>
        </w:r>
        <w:r w:rsidR="008638C7">
          <w:rPr>
            <w:noProof/>
            <w:webHidden/>
          </w:rPr>
          <w:fldChar w:fldCharType="begin"/>
        </w:r>
        <w:r w:rsidR="008638C7">
          <w:rPr>
            <w:noProof/>
            <w:webHidden/>
          </w:rPr>
          <w:instrText xml:space="preserve"> PAGEREF _Toc352856784 \h </w:instrText>
        </w:r>
        <w:r w:rsidR="008638C7">
          <w:rPr>
            <w:noProof/>
            <w:webHidden/>
          </w:rPr>
        </w:r>
        <w:r w:rsidR="008638C7">
          <w:rPr>
            <w:noProof/>
            <w:webHidden/>
          </w:rPr>
          <w:fldChar w:fldCharType="separate"/>
        </w:r>
        <w:r w:rsidR="008638C7">
          <w:rPr>
            <w:noProof/>
            <w:webHidden/>
          </w:rPr>
          <w:t>25</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5" w:history="1">
        <w:r w:rsidR="008638C7" w:rsidRPr="007D47A8">
          <w:rPr>
            <w:rStyle w:val="Hipervnculo"/>
            <w:noProof/>
          </w:rPr>
          <w:t>Figura 17: Flujos de caja socio-económico previsional. 2013-2032</w:t>
        </w:r>
        <w:r w:rsidR="008638C7">
          <w:rPr>
            <w:noProof/>
            <w:webHidden/>
          </w:rPr>
          <w:tab/>
        </w:r>
        <w:r w:rsidR="008638C7">
          <w:rPr>
            <w:noProof/>
            <w:webHidden/>
          </w:rPr>
          <w:fldChar w:fldCharType="begin"/>
        </w:r>
        <w:r w:rsidR="008638C7">
          <w:rPr>
            <w:noProof/>
            <w:webHidden/>
          </w:rPr>
          <w:instrText xml:space="preserve"> PAGEREF _Toc352856785 \h </w:instrText>
        </w:r>
        <w:r w:rsidR="008638C7">
          <w:rPr>
            <w:noProof/>
            <w:webHidden/>
          </w:rPr>
        </w:r>
        <w:r w:rsidR="008638C7">
          <w:rPr>
            <w:noProof/>
            <w:webHidden/>
          </w:rPr>
          <w:fldChar w:fldCharType="separate"/>
        </w:r>
        <w:r w:rsidR="008638C7">
          <w:rPr>
            <w:noProof/>
            <w:webHidden/>
          </w:rPr>
          <w:t>25</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6" w:history="1">
        <w:r w:rsidR="008638C7" w:rsidRPr="007D47A8">
          <w:rPr>
            <w:rStyle w:val="Hipervnculo"/>
            <w:noProof/>
          </w:rPr>
          <w:t>Figura 18: Resultados del análisis coste-beneficio del proyecto</w:t>
        </w:r>
        <w:r w:rsidR="008638C7">
          <w:rPr>
            <w:noProof/>
            <w:webHidden/>
          </w:rPr>
          <w:tab/>
        </w:r>
        <w:r w:rsidR="008638C7">
          <w:rPr>
            <w:noProof/>
            <w:webHidden/>
          </w:rPr>
          <w:fldChar w:fldCharType="begin"/>
        </w:r>
        <w:r w:rsidR="008638C7">
          <w:rPr>
            <w:noProof/>
            <w:webHidden/>
          </w:rPr>
          <w:instrText xml:space="preserve"> PAGEREF _Toc352856786 \h </w:instrText>
        </w:r>
        <w:r w:rsidR="008638C7">
          <w:rPr>
            <w:noProof/>
            <w:webHidden/>
          </w:rPr>
        </w:r>
        <w:r w:rsidR="008638C7">
          <w:rPr>
            <w:noProof/>
            <w:webHidden/>
          </w:rPr>
          <w:fldChar w:fldCharType="separate"/>
        </w:r>
        <w:r w:rsidR="008638C7">
          <w:rPr>
            <w:noProof/>
            <w:webHidden/>
          </w:rPr>
          <w:t>26</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7" w:history="1">
        <w:r w:rsidR="008638C7" w:rsidRPr="007D47A8">
          <w:rPr>
            <w:rStyle w:val="Hipervnculo"/>
            <w:noProof/>
          </w:rPr>
          <w:t>Figura 19: Análisis de sensibilidad del ENPV (izquierda) y del ERR (derecha)</w:t>
        </w:r>
        <w:r w:rsidR="008638C7">
          <w:rPr>
            <w:noProof/>
            <w:webHidden/>
          </w:rPr>
          <w:tab/>
        </w:r>
        <w:r w:rsidR="008638C7">
          <w:rPr>
            <w:noProof/>
            <w:webHidden/>
          </w:rPr>
          <w:fldChar w:fldCharType="begin"/>
        </w:r>
        <w:r w:rsidR="008638C7">
          <w:rPr>
            <w:noProof/>
            <w:webHidden/>
          </w:rPr>
          <w:instrText xml:space="preserve"> PAGEREF _Toc352856787 \h </w:instrText>
        </w:r>
        <w:r w:rsidR="008638C7">
          <w:rPr>
            <w:noProof/>
            <w:webHidden/>
          </w:rPr>
        </w:r>
        <w:r w:rsidR="008638C7">
          <w:rPr>
            <w:noProof/>
            <w:webHidden/>
          </w:rPr>
          <w:fldChar w:fldCharType="separate"/>
        </w:r>
        <w:r w:rsidR="008638C7">
          <w:rPr>
            <w:noProof/>
            <w:webHidden/>
          </w:rPr>
          <w:t>26</w:t>
        </w:r>
        <w:r w:rsidR="008638C7">
          <w:rPr>
            <w:noProof/>
            <w:webHidden/>
          </w:rPr>
          <w:fldChar w:fldCharType="end"/>
        </w:r>
      </w:hyperlink>
    </w:p>
    <w:p w:rsidR="00F8079E" w:rsidRPr="00AC1C46" w:rsidRDefault="00C80B42" w:rsidP="009C3010">
      <w:pPr>
        <w:spacing w:before="0" w:after="0"/>
        <w:rPr>
          <w:sz w:val="8"/>
          <w:lang w:val="es-ES"/>
        </w:rPr>
      </w:pPr>
      <w:r w:rsidRPr="00AC1C46">
        <w:rPr>
          <w:lang w:val="es-ES"/>
        </w:rPr>
        <w:fldChar w:fldCharType="end"/>
      </w:r>
    </w:p>
    <w:p w:rsidR="00857873" w:rsidRDefault="00857873">
      <w:pPr>
        <w:spacing w:before="0" w:after="200" w:line="276" w:lineRule="auto"/>
        <w:jc w:val="left"/>
        <w:rPr>
          <w:b/>
          <w:sz w:val="28"/>
          <w:highlight w:val="yellow"/>
          <w:lang w:val="es-ES"/>
        </w:rPr>
      </w:pPr>
      <w:r>
        <w:rPr>
          <w:b/>
          <w:sz w:val="28"/>
          <w:highlight w:val="yellow"/>
          <w:lang w:val="es-ES"/>
        </w:rPr>
        <w:br w:type="page"/>
      </w:r>
    </w:p>
    <w:p w:rsidR="00F8079E" w:rsidRPr="00857873" w:rsidRDefault="00F8079E" w:rsidP="00D16B04">
      <w:pPr>
        <w:rPr>
          <w:b/>
          <w:sz w:val="28"/>
          <w:lang w:val="es-ES"/>
        </w:rPr>
      </w:pPr>
      <w:r w:rsidRPr="00857873">
        <w:rPr>
          <w:b/>
          <w:sz w:val="28"/>
          <w:lang w:val="es-ES"/>
        </w:rPr>
        <w:t xml:space="preserve">Índice </w:t>
      </w:r>
      <w:r w:rsidR="00FA46D5" w:rsidRPr="00857873">
        <w:rPr>
          <w:b/>
          <w:sz w:val="28"/>
          <w:lang w:val="es-ES"/>
        </w:rPr>
        <w:t xml:space="preserve">de </w:t>
      </w:r>
      <w:r w:rsidRPr="00857873">
        <w:rPr>
          <w:b/>
          <w:sz w:val="28"/>
          <w:lang w:val="es-ES"/>
        </w:rPr>
        <w:t>Tablas</w:t>
      </w:r>
    </w:p>
    <w:p w:rsidR="008638C7" w:rsidRDefault="00C80B42">
      <w:pPr>
        <w:pStyle w:val="Tabladeilustraciones"/>
        <w:tabs>
          <w:tab w:val="right" w:leader="dot" w:pos="8830"/>
        </w:tabs>
        <w:rPr>
          <w:rFonts w:asciiTheme="minorHAnsi" w:eastAsiaTheme="minorEastAsia" w:hAnsiTheme="minorHAnsi" w:cstheme="minorBidi"/>
          <w:noProof/>
          <w:kern w:val="0"/>
          <w:sz w:val="22"/>
          <w:szCs w:val="22"/>
          <w:lang w:val="es-ES" w:eastAsia="es-ES"/>
        </w:rPr>
      </w:pPr>
      <w:r w:rsidRPr="00AC1C46">
        <w:rPr>
          <w:highlight w:val="yellow"/>
          <w:lang w:val="es-ES"/>
        </w:rPr>
        <w:fldChar w:fldCharType="begin"/>
      </w:r>
      <w:r w:rsidR="00F8079E" w:rsidRPr="00AC1C46">
        <w:rPr>
          <w:highlight w:val="yellow"/>
          <w:lang w:val="es-ES"/>
        </w:rPr>
        <w:instrText xml:space="preserve"> TOC \h \z \c "Tabla" </w:instrText>
      </w:r>
      <w:r w:rsidRPr="00AC1C46">
        <w:rPr>
          <w:highlight w:val="yellow"/>
          <w:lang w:val="es-ES"/>
        </w:rPr>
        <w:fldChar w:fldCharType="separate"/>
      </w:r>
      <w:hyperlink w:anchor="_Toc352856788" w:history="1">
        <w:r w:rsidR="008638C7" w:rsidRPr="0013156B">
          <w:rPr>
            <w:rStyle w:val="Hipervnculo"/>
            <w:noProof/>
          </w:rPr>
          <w:t>Tabla 1: Tasas aeronáuticas que aplican en Trinidad</w:t>
        </w:r>
        <w:r w:rsidR="008638C7">
          <w:rPr>
            <w:noProof/>
            <w:webHidden/>
          </w:rPr>
          <w:tab/>
        </w:r>
        <w:r w:rsidR="008638C7">
          <w:rPr>
            <w:noProof/>
            <w:webHidden/>
          </w:rPr>
          <w:fldChar w:fldCharType="begin"/>
        </w:r>
        <w:r w:rsidR="008638C7">
          <w:rPr>
            <w:noProof/>
            <w:webHidden/>
          </w:rPr>
          <w:instrText xml:space="preserve"> PAGEREF _Toc352856788 \h </w:instrText>
        </w:r>
        <w:r w:rsidR="008638C7">
          <w:rPr>
            <w:noProof/>
            <w:webHidden/>
          </w:rPr>
        </w:r>
        <w:r w:rsidR="008638C7">
          <w:rPr>
            <w:noProof/>
            <w:webHidden/>
          </w:rPr>
          <w:fldChar w:fldCharType="separate"/>
        </w:r>
        <w:r w:rsidR="008638C7">
          <w:rPr>
            <w:noProof/>
            <w:webHidden/>
          </w:rPr>
          <w:t>5</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89" w:history="1">
        <w:r w:rsidR="008638C7" w:rsidRPr="0013156B">
          <w:rPr>
            <w:rStyle w:val="Hipervnculo"/>
            <w:noProof/>
          </w:rPr>
          <w:t>Tabla 2: Tarifas comerciales actuales y previstas</w:t>
        </w:r>
        <w:r w:rsidR="008638C7">
          <w:rPr>
            <w:noProof/>
            <w:webHidden/>
          </w:rPr>
          <w:tab/>
        </w:r>
        <w:r w:rsidR="008638C7">
          <w:rPr>
            <w:noProof/>
            <w:webHidden/>
          </w:rPr>
          <w:fldChar w:fldCharType="begin"/>
        </w:r>
        <w:r w:rsidR="008638C7">
          <w:rPr>
            <w:noProof/>
            <w:webHidden/>
          </w:rPr>
          <w:instrText xml:space="preserve"> PAGEREF _Toc352856789 \h </w:instrText>
        </w:r>
        <w:r w:rsidR="008638C7">
          <w:rPr>
            <w:noProof/>
            <w:webHidden/>
          </w:rPr>
        </w:r>
        <w:r w:rsidR="008638C7">
          <w:rPr>
            <w:noProof/>
            <w:webHidden/>
          </w:rPr>
          <w:fldChar w:fldCharType="separate"/>
        </w:r>
        <w:r w:rsidR="008638C7">
          <w:rPr>
            <w:noProof/>
            <w:webHidden/>
          </w:rPr>
          <w:t>6</w:t>
        </w:r>
        <w:r w:rsidR="008638C7">
          <w:rPr>
            <w:noProof/>
            <w:webHidden/>
          </w:rPr>
          <w:fldChar w:fldCharType="end"/>
        </w:r>
      </w:hyperlink>
    </w:p>
    <w:p w:rsidR="008638C7" w:rsidRDefault="00F97F2F">
      <w:pPr>
        <w:pStyle w:val="Tabladeilustraciones"/>
        <w:tabs>
          <w:tab w:val="right" w:leader="dot" w:pos="8830"/>
        </w:tabs>
        <w:rPr>
          <w:rFonts w:asciiTheme="minorHAnsi" w:eastAsiaTheme="minorEastAsia" w:hAnsiTheme="minorHAnsi" w:cstheme="minorBidi"/>
          <w:noProof/>
          <w:kern w:val="0"/>
          <w:sz w:val="22"/>
          <w:szCs w:val="22"/>
          <w:lang w:val="es-ES" w:eastAsia="es-ES"/>
        </w:rPr>
      </w:pPr>
      <w:hyperlink w:anchor="_Toc352856790" w:history="1">
        <w:r w:rsidR="008638C7" w:rsidRPr="0013156B">
          <w:rPr>
            <w:rStyle w:val="Hipervnculo"/>
            <w:noProof/>
          </w:rPr>
          <w:t>Tabla 3: Matriz de riesgos del proyecto</w:t>
        </w:r>
        <w:r w:rsidR="008638C7">
          <w:rPr>
            <w:noProof/>
            <w:webHidden/>
          </w:rPr>
          <w:tab/>
        </w:r>
        <w:r w:rsidR="008638C7">
          <w:rPr>
            <w:noProof/>
            <w:webHidden/>
          </w:rPr>
          <w:fldChar w:fldCharType="begin"/>
        </w:r>
        <w:r w:rsidR="008638C7">
          <w:rPr>
            <w:noProof/>
            <w:webHidden/>
          </w:rPr>
          <w:instrText xml:space="preserve"> PAGEREF _Toc352856790 \h </w:instrText>
        </w:r>
        <w:r w:rsidR="008638C7">
          <w:rPr>
            <w:noProof/>
            <w:webHidden/>
          </w:rPr>
        </w:r>
        <w:r w:rsidR="008638C7">
          <w:rPr>
            <w:noProof/>
            <w:webHidden/>
          </w:rPr>
          <w:fldChar w:fldCharType="separate"/>
        </w:r>
        <w:r w:rsidR="008638C7">
          <w:rPr>
            <w:noProof/>
            <w:webHidden/>
          </w:rPr>
          <w:t>21</w:t>
        </w:r>
        <w:r w:rsidR="008638C7">
          <w:rPr>
            <w:noProof/>
            <w:webHidden/>
          </w:rPr>
          <w:fldChar w:fldCharType="end"/>
        </w:r>
      </w:hyperlink>
    </w:p>
    <w:p w:rsidR="00F8079E" w:rsidRPr="00AC1C46" w:rsidRDefault="00C80B42" w:rsidP="00D16B04">
      <w:pPr>
        <w:rPr>
          <w:lang w:val="es-ES"/>
        </w:rPr>
      </w:pPr>
      <w:r w:rsidRPr="00AC1C46">
        <w:rPr>
          <w:highlight w:val="yellow"/>
          <w:lang w:val="es-ES"/>
        </w:rPr>
        <w:fldChar w:fldCharType="end"/>
      </w:r>
    </w:p>
    <w:p w:rsidR="00CC7C27" w:rsidRDefault="00AF1367" w:rsidP="00CC7C27">
      <w:pPr>
        <w:pStyle w:val="Ttulo1"/>
      </w:pPr>
      <w:r w:rsidRPr="00AC1C46">
        <w:br w:type="page"/>
      </w:r>
      <w:bookmarkStart w:id="0" w:name="_Toc352856747"/>
      <w:r w:rsidR="00CC7C27">
        <w:t>Análisis económico</w:t>
      </w:r>
      <w:bookmarkEnd w:id="0"/>
    </w:p>
    <w:p w:rsidR="002432EB" w:rsidRPr="002432EB" w:rsidRDefault="002432EB" w:rsidP="002432EB">
      <w:pPr>
        <w:rPr>
          <w:lang w:val="es-ES"/>
        </w:rPr>
      </w:pPr>
    </w:p>
    <w:p w:rsidR="00D03DB4" w:rsidRPr="00AC1C46" w:rsidRDefault="00F82509" w:rsidP="00CC7C27">
      <w:pPr>
        <w:pStyle w:val="Ttulo2"/>
      </w:pPr>
      <w:bookmarkStart w:id="1" w:name="_Toc352856748"/>
      <w:r w:rsidRPr="00AC1C46">
        <w:t>C</w:t>
      </w:r>
      <w:r w:rsidR="002C3406">
        <w:t xml:space="preserve">apacidad de ingresos de </w:t>
      </w:r>
      <w:r w:rsidRPr="00AC1C46">
        <w:t>A</w:t>
      </w:r>
      <w:r w:rsidR="00264613">
        <w:t>ASANA</w:t>
      </w:r>
      <w:bookmarkEnd w:id="1"/>
    </w:p>
    <w:p w:rsidR="00537261" w:rsidRDefault="00AC1C46" w:rsidP="00F82509">
      <w:pPr>
        <w:rPr>
          <w:rFonts w:eastAsia="Arial Unicode MS"/>
          <w:lang w:val="es-ES"/>
        </w:rPr>
      </w:pPr>
      <w:r w:rsidRPr="00264613">
        <w:rPr>
          <w:rFonts w:eastAsia="Arial Unicode MS"/>
          <w:lang w:val="es-ES"/>
        </w:rPr>
        <w:t xml:space="preserve">La capacidad de generación de ingresos de AASANA es exigua; </w:t>
      </w:r>
      <w:r w:rsidR="00537261">
        <w:rPr>
          <w:rFonts w:eastAsia="Arial Unicode MS"/>
          <w:lang w:val="es-ES"/>
        </w:rPr>
        <w:t xml:space="preserve">el total de ingresos provenientes de toda la red de aeropuertos asciende a unos 6,1 </w:t>
      </w:r>
      <w:r w:rsidR="00FE06FC">
        <w:rPr>
          <w:rFonts w:eastAsia="Arial Unicode MS"/>
          <w:lang w:val="es-ES"/>
        </w:rPr>
        <w:t>Millones de</w:t>
      </w:r>
      <w:r w:rsidR="00537261">
        <w:rPr>
          <w:rFonts w:eastAsia="Arial Unicode MS"/>
          <w:lang w:val="es-ES"/>
        </w:rPr>
        <w:t xml:space="preserve"> USD, de los cuales únicamente alrededor de un 11% corresponde con ingresos comerciales (alquileres de espacios y hangares. </w:t>
      </w:r>
    </w:p>
    <w:p w:rsidR="00F82509" w:rsidRDefault="00537261" w:rsidP="00F82509">
      <w:pPr>
        <w:rPr>
          <w:rFonts w:eastAsia="Arial Unicode MS"/>
          <w:lang w:val="es-ES"/>
        </w:rPr>
      </w:pPr>
      <w:r>
        <w:rPr>
          <w:rFonts w:eastAsia="Arial Unicode MS"/>
          <w:lang w:val="es-ES"/>
        </w:rPr>
        <w:t>D</w:t>
      </w:r>
      <w:r w:rsidR="00AC1C46" w:rsidRPr="00264613">
        <w:rPr>
          <w:rFonts w:eastAsia="Arial Unicode MS"/>
          <w:lang w:val="es-ES"/>
        </w:rPr>
        <w:t xml:space="preserve">entro de la red de aeropuertos administrados, </w:t>
      </w:r>
      <w:r w:rsidR="00956DB9">
        <w:rPr>
          <w:rFonts w:eastAsia="Arial Unicode MS"/>
          <w:lang w:val="es-ES"/>
        </w:rPr>
        <w:t>Trinidad</w:t>
      </w:r>
      <w:r w:rsidR="00AC1C46" w:rsidRPr="00264613">
        <w:rPr>
          <w:rFonts w:eastAsia="Arial Unicode MS"/>
          <w:lang w:val="es-ES"/>
        </w:rPr>
        <w:t xml:space="preserve"> ocupa el </w:t>
      </w:r>
      <w:r w:rsidR="00956DB9">
        <w:rPr>
          <w:rFonts w:eastAsia="Arial Unicode MS"/>
          <w:lang w:val="es-ES"/>
        </w:rPr>
        <w:t>4</w:t>
      </w:r>
      <w:r w:rsidR="00AC1C46" w:rsidRPr="00264613">
        <w:rPr>
          <w:rFonts w:eastAsia="Arial Unicode MS"/>
          <w:lang w:val="es-ES"/>
        </w:rPr>
        <w:t>º lugar por volumen de ingresos</w:t>
      </w:r>
      <w:r>
        <w:rPr>
          <w:rFonts w:eastAsia="Arial Unicode MS"/>
          <w:lang w:val="es-ES"/>
        </w:rPr>
        <w:t>, ya se consideren los totales (aeronáuticos más comerciales) como únicamente los comerciales</w:t>
      </w:r>
      <w:r w:rsidR="00AC1C46" w:rsidRPr="00264613">
        <w:rPr>
          <w:rFonts w:eastAsia="Arial Unicode MS"/>
          <w:lang w:val="es-ES"/>
        </w:rPr>
        <w:t>.</w:t>
      </w:r>
    </w:p>
    <w:p w:rsidR="002432EB" w:rsidRPr="00264613" w:rsidRDefault="002432EB" w:rsidP="00F82509">
      <w:pPr>
        <w:rPr>
          <w:rFonts w:eastAsia="Arial Unicode MS"/>
          <w:lang w:val="es-ES"/>
        </w:rPr>
      </w:pPr>
    </w:p>
    <w:p w:rsidR="00375791" w:rsidRPr="00AC1C46" w:rsidRDefault="00956DB9" w:rsidP="00857873">
      <w:pPr>
        <w:jc w:val="center"/>
        <w:rPr>
          <w:lang w:val="es-ES"/>
        </w:rPr>
      </w:pPr>
      <w:r w:rsidRPr="00956DB9">
        <w:rPr>
          <w:noProof/>
          <w:lang w:val="es-ES" w:eastAsia="es-ES"/>
        </w:rPr>
        <w:drawing>
          <wp:inline distT="0" distB="0" distL="0" distR="0" wp14:anchorId="6C4DF5BB" wp14:editId="05D8E8A5">
            <wp:extent cx="5877018" cy="16658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6" r="11549"/>
                    <a:stretch/>
                  </pic:blipFill>
                  <pic:spPr bwMode="auto">
                    <a:xfrm>
                      <a:off x="0" y="0"/>
                      <a:ext cx="5888051" cy="1668936"/>
                    </a:xfrm>
                    <a:prstGeom prst="rect">
                      <a:avLst/>
                    </a:prstGeom>
                    <a:noFill/>
                    <a:ln>
                      <a:noFill/>
                    </a:ln>
                    <a:extLst>
                      <a:ext uri="{53640926-AAD7-44D8-BBD7-CCE9431645EC}">
                        <a14:shadowObscured xmlns:a14="http://schemas.microsoft.com/office/drawing/2010/main"/>
                      </a:ext>
                    </a:extLst>
                  </pic:spPr>
                </pic:pic>
              </a:graphicData>
            </a:graphic>
          </wp:inline>
        </w:drawing>
      </w:r>
    </w:p>
    <w:p w:rsidR="00F82509" w:rsidRPr="00AC1C46" w:rsidRDefault="00375791" w:rsidP="00F82509">
      <w:pPr>
        <w:pStyle w:val="Epgrafe"/>
      </w:pPr>
      <w:bookmarkStart w:id="2" w:name="_Toc352856769"/>
      <w:r w:rsidRPr="00AC1C46">
        <w:t xml:space="preserve">Figura </w:t>
      </w:r>
      <w:r w:rsidR="00C80B42">
        <w:fldChar w:fldCharType="begin"/>
      </w:r>
      <w:r w:rsidR="003F575E">
        <w:instrText xml:space="preserve"> SEQ Figura \* ARABIC </w:instrText>
      </w:r>
      <w:r w:rsidR="00C80B42">
        <w:fldChar w:fldCharType="separate"/>
      </w:r>
      <w:r w:rsidR="008638C7">
        <w:rPr>
          <w:noProof/>
        </w:rPr>
        <w:t>1</w:t>
      </w:r>
      <w:r w:rsidR="00C80B42">
        <w:rPr>
          <w:noProof/>
        </w:rPr>
        <w:fldChar w:fldCharType="end"/>
      </w:r>
      <w:r w:rsidRPr="00AC1C46">
        <w:t xml:space="preserve">: </w:t>
      </w:r>
      <w:r w:rsidR="00F82509" w:rsidRPr="00AC1C46">
        <w:t>Ingresos totales de la red aeroportuaria de AASANA (2011, USD)</w:t>
      </w:r>
      <w:bookmarkEnd w:id="2"/>
    </w:p>
    <w:p w:rsidR="00F82509" w:rsidRDefault="001C5A3B" w:rsidP="001232E3">
      <w:pPr>
        <w:pStyle w:val="Epgrafe"/>
        <w:spacing w:before="0"/>
        <w:rPr>
          <w:rStyle w:val="Referenciasutil"/>
        </w:rPr>
      </w:pPr>
      <w:r w:rsidRPr="00AC1C46">
        <w:rPr>
          <w:rStyle w:val="Referenciasutil"/>
        </w:rPr>
        <w:t xml:space="preserve">Fuente: </w:t>
      </w:r>
      <w:r w:rsidR="00F82509" w:rsidRPr="00AC1C46">
        <w:rPr>
          <w:rStyle w:val="Referenciasutil"/>
        </w:rPr>
        <w:t>AASANA</w:t>
      </w:r>
    </w:p>
    <w:p w:rsidR="002432EB" w:rsidRPr="002432EB" w:rsidRDefault="002432EB" w:rsidP="002432EB">
      <w:pPr>
        <w:rPr>
          <w:rFonts w:eastAsia="Arial Unicode MS"/>
          <w:lang w:val="es-ES"/>
        </w:rPr>
      </w:pPr>
    </w:p>
    <w:p w:rsidR="00F82509" w:rsidRPr="00AC1C46" w:rsidRDefault="00956DB9" w:rsidP="00F82509">
      <w:pPr>
        <w:pStyle w:val="Epgrafe"/>
      </w:pPr>
      <w:r w:rsidRPr="00956DB9">
        <w:rPr>
          <w:noProof/>
          <w:lang w:eastAsia="es-ES"/>
        </w:rPr>
        <w:drawing>
          <wp:inline distT="0" distB="0" distL="0" distR="0" wp14:anchorId="6D61B005" wp14:editId="57AAA4DA">
            <wp:extent cx="5832246" cy="142237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13"/>
                    <a:stretch/>
                  </pic:blipFill>
                  <pic:spPr bwMode="auto">
                    <a:xfrm>
                      <a:off x="0" y="0"/>
                      <a:ext cx="5845645" cy="1425644"/>
                    </a:xfrm>
                    <a:prstGeom prst="rect">
                      <a:avLst/>
                    </a:prstGeom>
                    <a:noFill/>
                    <a:ln>
                      <a:noFill/>
                    </a:ln>
                    <a:extLst>
                      <a:ext uri="{53640926-AAD7-44D8-BBD7-CCE9431645EC}">
                        <a14:shadowObscured xmlns:a14="http://schemas.microsoft.com/office/drawing/2010/main"/>
                      </a:ext>
                    </a:extLst>
                  </pic:spPr>
                </pic:pic>
              </a:graphicData>
            </a:graphic>
          </wp:inline>
        </w:drawing>
      </w:r>
    </w:p>
    <w:p w:rsidR="00F82509" w:rsidRPr="00AC1C46" w:rsidRDefault="00F82509" w:rsidP="00F82509">
      <w:pPr>
        <w:pStyle w:val="Epgrafe"/>
      </w:pPr>
      <w:bookmarkStart w:id="3" w:name="_Toc352856770"/>
      <w:r w:rsidRPr="00AC1C46">
        <w:t xml:space="preserve">Figura </w:t>
      </w:r>
      <w:r w:rsidR="00C80B42">
        <w:fldChar w:fldCharType="begin"/>
      </w:r>
      <w:r w:rsidR="003F575E">
        <w:instrText xml:space="preserve"> SEQ Figura \* ARABIC </w:instrText>
      </w:r>
      <w:r w:rsidR="00C80B42">
        <w:fldChar w:fldCharType="separate"/>
      </w:r>
      <w:r w:rsidR="008638C7">
        <w:rPr>
          <w:noProof/>
        </w:rPr>
        <w:t>2</w:t>
      </w:r>
      <w:r w:rsidR="00C80B42">
        <w:rPr>
          <w:noProof/>
        </w:rPr>
        <w:fldChar w:fldCharType="end"/>
      </w:r>
      <w:r w:rsidRPr="00AC1C46">
        <w:t>: Ingresos comerciales de la red aeroportuaria de AASANA (2011, USD)</w:t>
      </w:r>
      <w:bookmarkEnd w:id="3"/>
    </w:p>
    <w:p w:rsidR="00F82509" w:rsidRPr="00AC1C46" w:rsidRDefault="00F82509" w:rsidP="001232E3">
      <w:pPr>
        <w:pStyle w:val="Epgrafe"/>
        <w:spacing w:before="0"/>
      </w:pPr>
      <w:r w:rsidRPr="00AC1C46">
        <w:rPr>
          <w:rStyle w:val="Referenciasutil"/>
        </w:rPr>
        <w:t>Fuente: AASANA</w:t>
      </w:r>
    </w:p>
    <w:p w:rsidR="001C5A3B" w:rsidRPr="00AC1C46" w:rsidRDefault="001C5A3B" w:rsidP="001C5A3B">
      <w:pPr>
        <w:rPr>
          <w:rFonts w:eastAsia="Arial Unicode MS"/>
          <w:lang w:val="es-ES"/>
        </w:rPr>
      </w:pPr>
    </w:p>
    <w:p w:rsidR="008365E1" w:rsidRDefault="008365E1">
      <w:pPr>
        <w:spacing w:before="0" w:after="200" w:line="276" w:lineRule="auto"/>
        <w:jc w:val="left"/>
        <w:rPr>
          <w:rFonts w:asciiTheme="majorHAnsi" w:eastAsiaTheme="majorEastAsia" w:hAnsiTheme="majorHAnsi" w:cstheme="majorBidi"/>
          <w:b/>
          <w:bCs/>
          <w:color w:val="1D5C0C" w:themeColor="accent1"/>
          <w:sz w:val="28"/>
          <w:szCs w:val="28"/>
          <w:lang w:val="es-ES"/>
        </w:rPr>
      </w:pPr>
      <w:r>
        <w:br w:type="page"/>
      </w:r>
    </w:p>
    <w:p w:rsidR="00F82509" w:rsidRPr="00AC1C46" w:rsidRDefault="00F82509" w:rsidP="00CC7C27">
      <w:pPr>
        <w:pStyle w:val="Ttulo2"/>
      </w:pPr>
      <w:bookmarkStart w:id="4" w:name="_Toc352856749"/>
      <w:r w:rsidRPr="00AC1C46">
        <w:t>Ingresos de explotación</w:t>
      </w:r>
      <w:bookmarkEnd w:id="4"/>
    </w:p>
    <w:p w:rsidR="00AC1C46" w:rsidRDefault="00F668DA" w:rsidP="00CC7C27">
      <w:pPr>
        <w:pStyle w:val="Ttulo3"/>
      </w:pPr>
      <w:bookmarkStart w:id="5" w:name="_Toc352856750"/>
      <w:r>
        <w:t>Régimen tarifario</w:t>
      </w:r>
      <w:bookmarkEnd w:id="5"/>
    </w:p>
    <w:p w:rsidR="00EC6F11" w:rsidRDefault="00EC6F11" w:rsidP="00EC6F11">
      <w:pPr>
        <w:rPr>
          <w:lang w:val="es-ES"/>
        </w:rPr>
      </w:pPr>
      <w:r>
        <w:rPr>
          <w:lang w:val="es-ES"/>
        </w:rPr>
        <w:t xml:space="preserve">Las tasas aeronáuticas en el aeropuerto de </w:t>
      </w:r>
      <w:r w:rsidR="00956DB9">
        <w:rPr>
          <w:lang w:val="es-ES"/>
        </w:rPr>
        <w:t>Trinidad</w:t>
      </w:r>
      <w:r>
        <w:rPr>
          <w:lang w:val="es-ES"/>
        </w:rPr>
        <w:t xml:space="preserve">, al igual que las del resto de la red de AASANA, están sujetas al Régimen tarifario de AASANA, fijado en </w:t>
      </w:r>
      <w:r w:rsidR="00B01A12">
        <w:rPr>
          <w:lang w:val="es-ES"/>
        </w:rPr>
        <w:t xml:space="preserve">la Resolución administrativa R.A. SC-STR-DS-RA-0166/2008, cuyo objeto es la “Aprobación del </w:t>
      </w:r>
      <w:r w:rsidR="000860C6">
        <w:rPr>
          <w:lang w:val="es-ES"/>
        </w:rPr>
        <w:t>r</w:t>
      </w:r>
      <w:r w:rsidR="00B01A12">
        <w:rPr>
          <w:lang w:val="es-ES"/>
        </w:rPr>
        <w:t xml:space="preserve">eglamento </w:t>
      </w:r>
      <w:r>
        <w:rPr>
          <w:lang w:val="es-ES"/>
        </w:rPr>
        <w:t xml:space="preserve"> </w:t>
      </w:r>
      <w:r w:rsidR="00B01A12">
        <w:rPr>
          <w:lang w:val="es-ES"/>
        </w:rPr>
        <w:t>de regulación de tarifas aeroportuarias aplicadas por AASANA”, de la Superintendencia de</w:t>
      </w:r>
      <w:r>
        <w:rPr>
          <w:lang w:val="es-ES"/>
        </w:rPr>
        <w:t xml:space="preserve"> Transportes</w:t>
      </w:r>
      <w:r w:rsidR="00B01A12">
        <w:rPr>
          <w:lang w:val="es-ES"/>
        </w:rPr>
        <w:t xml:space="preserve">. Esta resolución tiene una validez </w:t>
      </w:r>
      <w:r>
        <w:rPr>
          <w:lang w:val="es-ES"/>
        </w:rPr>
        <w:t xml:space="preserve">para el período 2008-13. </w:t>
      </w:r>
      <w:r w:rsidR="00B01A12">
        <w:rPr>
          <w:lang w:val="es-ES"/>
        </w:rPr>
        <w:t>Las</w:t>
      </w:r>
      <w:r>
        <w:rPr>
          <w:lang w:val="es-ES"/>
        </w:rPr>
        <w:t xml:space="preserve"> tasas </w:t>
      </w:r>
      <w:r w:rsidR="00B01A12">
        <w:rPr>
          <w:lang w:val="es-ES"/>
        </w:rPr>
        <w:t xml:space="preserve">aquí incluidas </w:t>
      </w:r>
      <w:r>
        <w:rPr>
          <w:lang w:val="es-ES"/>
        </w:rPr>
        <w:t xml:space="preserve">son públicas y están </w:t>
      </w:r>
      <w:r w:rsidR="00B01A12">
        <w:rPr>
          <w:lang w:val="es-ES"/>
        </w:rPr>
        <w:t xml:space="preserve">también </w:t>
      </w:r>
      <w:r>
        <w:rPr>
          <w:lang w:val="es-ES"/>
        </w:rPr>
        <w:t>publicadas en el AIP (en el capítulo de Generalidades).</w:t>
      </w:r>
      <w:r w:rsidR="00355578">
        <w:rPr>
          <w:lang w:val="es-ES"/>
        </w:rPr>
        <w:t xml:space="preserve"> Estas tasas aeronáuticas se subdividen en tasas aeroportuarias y tasas de navegación aérea.</w:t>
      </w:r>
    </w:p>
    <w:p w:rsidR="000860C6" w:rsidRDefault="00EC6F11" w:rsidP="00EC6F11">
      <w:pPr>
        <w:rPr>
          <w:lang w:val="es-ES"/>
        </w:rPr>
      </w:pPr>
      <w:r>
        <w:rPr>
          <w:lang w:val="es-ES"/>
        </w:rPr>
        <w:t xml:space="preserve">Este reglamento establece que las tasas podrían </w:t>
      </w:r>
      <w:r w:rsidR="00B01A12">
        <w:rPr>
          <w:lang w:val="es-ES"/>
        </w:rPr>
        <w:t>ajustarse</w:t>
      </w:r>
      <w:r>
        <w:rPr>
          <w:lang w:val="es-ES"/>
        </w:rPr>
        <w:t xml:space="preserve"> anualmente conforme a la evolución del IPC </w:t>
      </w:r>
      <w:r w:rsidR="000860C6">
        <w:rPr>
          <w:lang w:val="es-ES"/>
        </w:rPr>
        <w:t>multiplicada esta por una serie de factores vinculados al cumplimiento de metas por parte de AASANA, definidas estas según los tipos de servicios más importantes (embarque de pasajeros, aterrizaje de aeronaves y protección en ruta).</w:t>
      </w:r>
    </w:p>
    <w:p w:rsidR="002432EB" w:rsidRDefault="002432EB" w:rsidP="002432EB">
      <w:pPr>
        <w:jc w:val="center"/>
        <w:rPr>
          <w:lang w:val="es-ES"/>
        </w:rPr>
      </w:pPr>
      <w:r w:rsidRPr="00537261">
        <w:rPr>
          <w:noProof/>
          <w:lang w:val="es-ES" w:eastAsia="es-ES"/>
        </w:rPr>
        <w:drawing>
          <wp:inline distT="0" distB="0" distL="0" distR="0" wp14:anchorId="488334E8" wp14:editId="6C918FD4">
            <wp:extent cx="4093028" cy="43425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9863" cy="4349828"/>
                    </a:xfrm>
                    <a:prstGeom prst="rect">
                      <a:avLst/>
                    </a:prstGeom>
                    <a:noFill/>
                    <a:ln>
                      <a:noFill/>
                    </a:ln>
                  </pic:spPr>
                </pic:pic>
              </a:graphicData>
            </a:graphic>
          </wp:inline>
        </w:drawing>
      </w:r>
    </w:p>
    <w:p w:rsidR="002432EB" w:rsidRPr="00AC1C46" w:rsidRDefault="002432EB" w:rsidP="002432EB">
      <w:pPr>
        <w:pStyle w:val="Epgrafe"/>
      </w:pPr>
      <w:bookmarkStart w:id="6" w:name="_Toc352856788"/>
      <w:r>
        <w:t xml:space="preserve">Tabla </w:t>
      </w:r>
      <w:fldSimple w:instr=" SEQ Tabla \* ARABIC ">
        <w:r w:rsidR="008638C7">
          <w:rPr>
            <w:noProof/>
          </w:rPr>
          <w:t>1</w:t>
        </w:r>
      </w:fldSimple>
      <w:r w:rsidRPr="00AC1C46">
        <w:t xml:space="preserve">: </w:t>
      </w:r>
      <w:r>
        <w:t>Tasas aeronáuticas que aplican en Trinidad</w:t>
      </w:r>
      <w:bookmarkEnd w:id="6"/>
    </w:p>
    <w:p w:rsidR="002432EB" w:rsidRPr="00AC1C46" w:rsidRDefault="002432EB" w:rsidP="001232E3">
      <w:pPr>
        <w:pStyle w:val="Epgrafe"/>
        <w:spacing w:before="0"/>
      </w:pPr>
      <w:r w:rsidRPr="00AC1C46">
        <w:rPr>
          <w:rStyle w:val="Referenciasutil"/>
        </w:rPr>
        <w:t xml:space="preserve">Fuente: </w:t>
      </w:r>
      <w:r>
        <w:rPr>
          <w:rStyle w:val="Referenciasutil"/>
        </w:rPr>
        <w:t>AIP Bolivia</w:t>
      </w:r>
    </w:p>
    <w:p w:rsidR="000860C6" w:rsidRDefault="000860C6" w:rsidP="000860C6">
      <w:pPr>
        <w:rPr>
          <w:lang w:val="es-ES"/>
        </w:rPr>
      </w:pPr>
      <w:r>
        <w:rPr>
          <w:lang w:val="es-ES"/>
        </w:rPr>
        <w:t>No obstante, en la práctica no se ha producido ninguna actualización ni revisión de las tarifas, ya que cualquier posible modificación en la cuantía de las mismas está supeditada a la aprobación de los Planes Maestros y la realización de programas de mantenimiento, no existentes hasta la actualidad.</w:t>
      </w:r>
    </w:p>
    <w:p w:rsidR="000860C6" w:rsidRDefault="000860C6" w:rsidP="000860C6">
      <w:pPr>
        <w:rPr>
          <w:lang w:val="es-ES"/>
        </w:rPr>
      </w:pPr>
      <w:r>
        <w:rPr>
          <w:lang w:val="es-ES"/>
        </w:rPr>
        <w:t xml:space="preserve">El aeropuerto de </w:t>
      </w:r>
      <w:r w:rsidR="00956DB9">
        <w:rPr>
          <w:lang w:val="es-ES"/>
        </w:rPr>
        <w:t>Trinidad</w:t>
      </w:r>
      <w:r>
        <w:rPr>
          <w:lang w:val="es-ES"/>
        </w:rPr>
        <w:t xml:space="preserve"> está clasificado por AASANA como un aeropuerto de categoría II dentro de la red, a fines de aplicación de tarifas. Por tanto las tasas aeronáuticas en vigor son las siguientes</w:t>
      </w:r>
      <w:r w:rsidR="00355578">
        <w:rPr>
          <w:lang w:val="es-ES"/>
        </w:rPr>
        <w:t>, expresadas todas ellas en dólares norteamericanos</w:t>
      </w:r>
      <w:r>
        <w:rPr>
          <w:lang w:val="es-ES"/>
        </w:rPr>
        <w:t>:</w:t>
      </w:r>
    </w:p>
    <w:p w:rsidR="000860C6" w:rsidRDefault="00BB5A3E" w:rsidP="00BB5A3E">
      <w:pPr>
        <w:rPr>
          <w:lang w:val="es-ES"/>
        </w:rPr>
      </w:pPr>
      <w:r>
        <w:rPr>
          <w:lang w:val="es-ES"/>
        </w:rPr>
        <w:t>Respecto a las tarifas de servicios comerciales, no existe un listado de tarifas y precios para cada categoría de aeropuerto. Cada Dirección Regional de AASANA, y a veces cada aeropuerto propiamente, establecen diferentes precios y acuerdos en negociaciones individuales con terceros interesados en explotar espacios comerciales o hangares de aviación general.</w:t>
      </w:r>
    </w:p>
    <w:p w:rsidR="00BB5A3E" w:rsidRDefault="00C30416" w:rsidP="00BB5A3E">
      <w:pPr>
        <w:rPr>
          <w:lang w:val="es-ES"/>
        </w:rPr>
      </w:pPr>
      <w:r>
        <w:rPr>
          <w:lang w:val="es-ES"/>
        </w:rPr>
        <w:t>Hasta la fecha los hangares de aviación general generan unos ingresos muy exiguos debido  las rentas históricas acordadas con AASANA, de 20 USD por hangar (independientemente de la superficie que ocupen los mismos, o de su proximidad a la rampa de aeronaves o condiciones de acceso).</w:t>
      </w:r>
    </w:p>
    <w:p w:rsidR="00C30416" w:rsidRDefault="00C30416" w:rsidP="00BB5A3E">
      <w:pPr>
        <w:rPr>
          <w:lang w:val="es-ES"/>
        </w:rPr>
      </w:pPr>
      <w:r>
        <w:rPr>
          <w:lang w:val="es-ES"/>
        </w:rPr>
        <w:t xml:space="preserve">En el año 2012 AASANA realizó </w:t>
      </w:r>
      <w:r w:rsidR="00773EB6">
        <w:rPr>
          <w:lang w:val="es-ES"/>
        </w:rPr>
        <w:t xml:space="preserve">una campaña de censo de todos los hangares en aeropuertos de la red y la aprobación de un tarifario concreto para hangares está </w:t>
      </w:r>
      <w:r>
        <w:rPr>
          <w:lang w:val="es-ES"/>
        </w:rPr>
        <w:t xml:space="preserve"> </w:t>
      </w:r>
      <w:r w:rsidR="00773EB6">
        <w:rPr>
          <w:lang w:val="es-ES"/>
        </w:rPr>
        <w:t xml:space="preserve">en un estado muy avanzado, de inminente aplicación en el año 2013. </w:t>
      </w:r>
    </w:p>
    <w:p w:rsidR="00773EB6" w:rsidRDefault="00773EB6" w:rsidP="00BB5A3E">
      <w:pPr>
        <w:rPr>
          <w:lang w:val="es-ES"/>
        </w:rPr>
      </w:pPr>
      <w:r>
        <w:rPr>
          <w:lang w:val="es-ES"/>
        </w:rPr>
        <w:t>A continuación se muestran las rentas comerciales actuales y el tarifario en vías de aprobación:</w:t>
      </w:r>
    </w:p>
    <w:p w:rsidR="00AC1C46" w:rsidRDefault="00EC6F11" w:rsidP="00AC1C46">
      <w:pPr>
        <w:jc w:val="center"/>
        <w:rPr>
          <w:lang w:val="es-ES"/>
        </w:rPr>
      </w:pPr>
      <w:r w:rsidRPr="00EC6F11">
        <w:rPr>
          <w:noProof/>
          <w:lang w:val="es-ES" w:eastAsia="es-ES"/>
        </w:rPr>
        <w:drawing>
          <wp:inline distT="0" distB="0" distL="0" distR="0" wp14:anchorId="2747B945" wp14:editId="059B4C49">
            <wp:extent cx="3284738" cy="27216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3944" cy="2729310"/>
                    </a:xfrm>
                    <a:prstGeom prst="rect">
                      <a:avLst/>
                    </a:prstGeom>
                    <a:noFill/>
                    <a:ln>
                      <a:noFill/>
                    </a:ln>
                  </pic:spPr>
                </pic:pic>
              </a:graphicData>
            </a:graphic>
          </wp:inline>
        </w:drawing>
      </w:r>
    </w:p>
    <w:p w:rsidR="00857873" w:rsidRPr="00AC1C46" w:rsidRDefault="00857873" w:rsidP="00857873">
      <w:pPr>
        <w:pStyle w:val="Epgrafe"/>
      </w:pPr>
      <w:bookmarkStart w:id="7" w:name="_Toc352856789"/>
      <w:r>
        <w:t xml:space="preserve">Tabla </w:t>
      </w:r>
      <w:fldSimple w:instr=" SEQ Tabla \* ARABIC ">
        <w:r w:rsidR="008638C7">
          <w:rPr>
            <w:noProof/>
          </w:rPr>
          <w:t>2</w:t>
        </w:r>
      </w:fldSimple>
      <w:r w:rsidRPr="00AC1C46">
        <w:t xml:space="preserve">: </w:t>
      </w:r>
      <w:r w:rsidR="000C43FF">
        <w:t>Tarifas comerciales actuales y previstas</w:t>
      </w:r>
      <w:bookmarkEnd w:id="7"/>
    </w:p>
    <w:p w:rsidR="00857873" w:rsidRPr="00AC1C46" w:rsidRDefault="00857873" w:rsidP="001232E3">
      <w:pPr>
        <w:pStyle w:val="Epgrafe"/>
        <w:spacing w:before="0"/>
      </w:pPr>
      <w:r w:rsidRPr="00AC1C46">
        <w:rPr>
          <w:rStyle w:val="Referenciasutil"/>
        </w:rPr>
        <w:t xml:space="preserve">Fuente: </w:t>
      </w:r>
      <w:r w:rsidR="000C43FF">
        <w:rPr>
          <w:rStyle w:val="Referenciasutil"/>
        </w:rPr>
        <w:t>AASANA</w:t>
      </w:r>
    </w:p>
    <w:p w:rsidR="00AC1C46" w:rsidRDefault="00F668DA" w:rsidP="00CC7C27">
      <w:pPr>
        <w:pStyle w:val="Ttulo3"/>
      </w:pPr>
      <w:bookmarkStart w:id="8" w:name="_Toc352856751"/>
      <w:r>
        <w:t xml:space="preserve">Análisis comparativo con </w:t>
      </w:r>
      <w:r w:rsidR="002C3406">
        <w:t xml:space="preserve">aeropuertos en </w:t>
      </w:r>
      <w:r>
        <w:t>otros países</w:t>
      </w:r>
      <w:bookmarkEnd w:id="8"/>
    </w:p>
    <w:p w:rsidR="008B01EE" w:rsidRDefault="008B01EE" w:rsidP="008B01EE">
      <w:pPr>
        <w:rPr>
          <w:lang w:val="es-ES"/>
        </w:rPr>
      </w:pPr>
      <w:r>
        <w:rPr>
          <w:lang w:val="es-ES"/>
        </w:rPr>
        <w:t xml:space="preserve">El hecho de que las tasas aeronáuticas no se hayan actualizado ni revisado desde el año 2008, sumado al fuerte crecimiento de la inflación en Bolivia durante los últimos años, hace que hoy por hoy estas tasas estén muy desalineadas </w:t>
      </w:r>
      <w:r w:rsidR="00FF45B7">
        <w:rPr>
          <w:lang w:val="es-ES"/>
        </w:rPr>
        <w:t>con las de otros países.</w:t>
      </w:r>
    </w:p>
    <w:p w:rsidR="00FF45B7" w:rsidRDefault="00FF45B7" w:rsidP="008B01EE">
      <w:pPr>
        <w:rPr>
          <w:lang w:val="es-ES"/>
        </w:rPr>
      </w:pPr>
      <w:r>
        <w:rPr>
          <w:lang w:val="es-ES"/>
        </w:rPr>
        <w:t>En concreto, para aeropuertos similares en cuanto a nivel de tráfico se puede realizar una comparativa de ingresos por tasas aeroportuarias en algunos de estos países. Los resultados se muestran a continuación:</w:t>
      </w:r>
    </w:p>
    <w:p w:rsidR="003F253B" w:rsidRDefault="00956DB9" w:rsidP="003F253B">
      <w:pPr>
        <w:rPr>
          <w:lang w:val="es-ES"/>
        </w:rPr>
      </w:pPr>
      <w:r w:rsidRPr="00956DB9">
        <w:rPr>
          <w:noProof/>
          <w:lang w:val="es-ES" w:eastAsia="es-ES"/>
        </w:rPr>
        <w:drawing>
          <wp:inline distT="0" distB="0" distL="0" distR="0" wp14:anchorId="31CA332F" wp14:editId="351A616D">
            <wp:extent cx="5613400" cy="2582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0" cy="2582638"/>
                    </a:xfrm>
                    <a:prstGeom prst="rect">
                      <a:avLst/>
                    </a:prstGeom>
                    <a:noFill/>
                    <a:ln>
                      <a:noFill/>
                    </a:ln>
                  </pic:spPr>
                </pic:pic>
              </a:graphicData>
            </a:graphic>
          </wp:inline>
        </w:drawing>
      </w:r>
    </w:p>
    <w:p w:rsidR="003F253B" w:rsidRPr="00AC1C46" w:rsidRDefault="003F253B" w:rsidP="003F253B">
      <w:pPr>
        <w:pStyle w:val="Epgrafe"/>
      </w:pPr>
      <w:bookmarkStart w:id="9" w:name="_Toc352856771"/>
      <w:r w:rsidRPr="00AC1C46">
        <w:t xml:space="preserve">Figura </w:t>
      </w:r>
      <w:r w:rsidR="00C80B42">
        <w:fldChar w:fldCharType="begin"/>
      </w:r>
      <w:r w:rsidR="003F575E">
        <w:instrText xml:space="preserve"> SEQ Figura \* ARABIC </w:instrText>
      </w:r>
      <w:r w:rsidR="00C80B42">
        <w:fldChar w:fldCharType="separate"/>
      </w:r>
      <w:r w:rsidR="008638C7">
        <w:rPr>
          <w:noProof/>
        </w:rPr>
        <w:t>3</w:t>
      </w:r>
      <w:r w:rsidR="00C80B42">
        <w:rPr>
          <w:noProof/>
        </w:rPr>
        <w:fldChar w:fldCharType="end"/>
      </w:r>
      <w:r w:rsidRPr="00AC1C46">
        <w:t xml:space="preserve">: </w:t>
      </w:r>
      <w:r w:rsidR="001232E3" w:rsidRPr="008C10FB">
        <w:t>E</w:t>
      </w:r>
      <w:r w:rsidR="001232E3">
        <w:t xml:space="preserve">studio comparativo de tasas aeroportuarias </w:t>
      </w:r>
      <w:r w:rsidR="001232E3" w:rsidRPr="00AC1C46">
        <w:t>(USD</w:t>
      </w:r>
      <w:r w:rsidR="001232E3">
        <w:t>/escala B737-400</w:t>
      </w:r>
      <w:r w:rsidR="001232E3" w:rsidRPr="00AC1C46">
        <w:t>)</w:t>
      </w:r>
      <w:r w:rsidR="001232E3">
        <w:rPr>
          <w:rStyle w:val="Refdenotaalpie"/>
        </w:rPr>
        <w:footnoteReference w:id="1"/>
      </w:r>
      <w:bookmarkEnd w:id="9"/>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3F253B" w:rsidRDefault="00865407" w:rsidP="003F253B">
      <w:pPr>
        <w:rPr>
          <w:lang w:val="es-ES"/>
        </w:rPr>
      </w:pPr>
      <w:r>
        <w:rPr>
          <w:lang w:val="es-ES"/>
        </w:rPr>
        <w:t xml:space="preserve">Para una escala típica de una hora para un avión de fuselaje estrecho (tipo B737-400), se observa que los ingresos generados </w:t>
      </w:r>
      <w:r w:rsidR="00956DB9">
        <w:rPr>
          <w:lang w:val="es-ES"/>
        </w:rPr>
        <w:t>Trinidad</w:t>
      </w:r>
      <w:r>
        <w:rPr>
          <w:lang w:val="es-ES"/>
        </w:rPr>
        <w:t xml:space="preserve"> son los más reducidos de los aeropuertos analizados, a excepción del aeropuerto de Ciudad del Este en Paraguay. Aeropuertos similares situados en regiones con un desempeño económico similar en Perú y Colombia muestran que </w:t>
      </w:r>
      <w:r w:rsidR="00355578">
        <w:rPr>
          <w:lang w:val="es-ES"/>
        </w:rPr>
        <w:t>los ingresos aeronáuticos</w:t>
      </w:r>
      <w:r>
        <w:rPr>
          <w:lang w:val="es-ES"/>
        </w:rPr>
        <w:t xml:space="preserve"> son del orden de 80-100% inferiores en Bolivia.</w:t>
      </w:r>
    </w:p>
    <w:p w:rsidR="00355578" w:rsidRDefault="00355578" w:rsidP="003F253B">
      <w:pPr>
        <w:rPr>
          <w:lang w:val="es-ES"/>
        </w:rPr>
      </w:pPr>
      <w:r>
        <w:rPr>
          <w:lang w:val="es-ES"/>
        </w:rPr>
        <w:t xml:space="preserve">No es práctica habitual en la industria que los ingresos por tasas de navegación aérea se contabilicen como parte de la explotación aeroportuaria, como es el caso de los aeropuertos de la red de AASANA. </w:t>
      </w:r>
    </w:p>
    <w:p w:rsidR="00FF45B7" w:rsidRDefault="00355578" w:rsidP="003F253B">
      <w:pPr>
        <w:rPr>
          <w:lang w:val="es-ES"/>
        </w:rPr>
      </w:pPr>
      <w:r>
        <w:rPr>
          <w:lang w:val="es-ES"/>
        </w:rPr>
        <w:t xml:space="preserve">A modo de análisis comparativo se ha realizado un análisis de cuáles son los ingresos generados con este tipo de tasas para un trayecto típico de 200NM (vuelo nacional) de un avión de fuselaje estrecho (tipo B737-400) con origen/destino en </w:t>
      </w:r>
      <w:r w:rsidR="00956DB9">
        <w:rPr>
          <w:lang w:val="es-ES"/>
        </w:rPr>
        <w:t>Trinidad</w:t>
      </w:r>
      <w:r>
        <w:rPr>
          <w:lang w:val="es-ES"/>
        </w:rPr>
        <w:t xml:space="preserve"> u otro aeropuerto de AASANA (pues estas tasas son comunes a todo el país, diferenciando únicamente entre vuelos nacionales e internacionales).</w:t>
      </w:r>
    </w:p>
    <w:p w:rsidR="00355578" w:rsidRDefault="00355578" w:rsidP="003F253B">
      <w:pPr>
        <w:rPr>
          <w:lang w:val="es-ES"/>
        </w:rPr>
      </w:pPr>
      <w:r>
        <w:rPr>
          <w:lang w:val="es-ES"/>
        </w:rPr>
        <w:t>De igual manera a las tasas aeroportuarias, el análisis muestra que las tasas de navegación aérea son mucho menores a las de países del entorno y los ingresos generados son significativamente inferiores, entre 2 y 5 veces inferiores, dependien</w:t>
      </w:r>
      <w:r w:rsidR="00956DB9">
        <w:rPr>
          <w:lang w:val="es-ES"/>
        </w:rPr>
        <w:t>do</w:t>
      </w:r>
      <w:r>
        <w:rPr>
          <w:lang w:val="es-ES"/>
        </w:rPr>
        <w:t xml:space="preserve"> del país.</w:t>
      </w:r>
    </w:p>
    <w:p w:rsidR="003F253B" w:rsidRPr="00956DB9" w:rsidRDefault="00956DB9" w:rsidP="00857873">
      <w:pPr>
        <w:jc w:val="center"/>
        <w:rPr>
          <w:lang w:val="es-ES"/>
        </w:rPr>
      </w:pPr>
      <w:r w:rsidRPr="00956DB9">
        <w:rPr>
          <w:noProof/>
          <w:lang w:val="es-ES" w:eastAsia="es-ES"/>
        </w:rPr>
        <w:drawing>
          <wp:inline distT="0" distB="0" distL="0" distR="0" wp14:anchorId="501853C9" wp14:editId="505320E8">
            <wp:extent cx="5613400" cy="313412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400" cy="3134128"/>
                    </a:xfrm>
                    <a:prstGeom prst="rect">
                      <a:avLst/>
                    </a:prstGeom>
                    <a:noFill/>
                    <a:ln>
                      <a:noFill/>
                    </a:ln>
                  </pic:spPr>
                </pic:pic>
              </a:graphicData>
            </a:graphic>
          </wp:inline>
        </w:drawing>
      </w:r>
    </w:p>
    <w:p w:rsidR="00144057" w:rsidRPr="00AC1C46" w:rsidRDefault="00144057" w:rsidP="00144057">
      <w:pPr>
        <w:pStyle w:val="Epgrafe"/>
      </w:pPr>
      <w:bookmarkStart w:id="10" w:name="_Toc352856772"/>
      <w:r w:rsidRPr="00AC1C46">
        <w:t xml:space="preserve">Figura </w:t>
      </w:r>
      <w:r w:rsidR="00C80B42">
        <w:fldChar w:fldCharType="begin"/>
      </w:r>
      <w:r w:rsidR="003F575E">
        <w:instrText xml:space="preserve"> SEQ Figura \* ARABIC </w:instrText>
      </w:r>
      <w:r w:rsidR="00C80B42">
        <w:fldChar w:fldCharType="separate"/>
      </w:r>
      <w:r w:rsidR="008638C7">
        <w:rPr>
          <w:noProof/>
        </w:rPr>
        <w:t>4</w:t>
      </w:r>
      <w:r w:rsidR="00C80B42">
        <w:rPr>
          <w:noProof/>
        </w:rPr>
        <w:fldChar w:fldCharType="end"/>
      </w:r>
      <w:r w:rsidRPr="00AC1C46">
        <w:t xml:space="preserve">: </w:t>
      </w:r>
      <w:r w:rsidR="001232E3">
        <w:t>Estudio comparativo de tasas de N.A. (US</w:t>
      </w:r>
      <w:r w:rsidR="001232E3" w:rsidRPr="00AC1C46">
        <w:t>D</w:t>
      </w:r>
      <w:r w:rsidR="001232E3">
        <w:t>/200NM; B737-400</w:t>
      </w:r>
      <w:r w:rsidR="001232E3" w:rsidRPr="00AC1C46">
        <w:t>)</w:t>
      </w:r>
      <w:r w:rsidR="001232E3">
        <w:rPr>
          <w:rStyle w:val="Refdenotaalpie"/>
        </w:rPr>
        <w:footnoteReference w:id="2"/>
      </w:r>
      <w:bookmarkEnd w:id="10"/>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6756C4" w:rsidRDefault="006756C4" w:rsidP="00CC7C27">
      <w:pPr>
        <w:pStyle w:val="Ttulo3"/>
      </w:pPr>
      <w:bookmarkStart w:id="11" w:name="_Toc352856752"/>
      <w:r>
        <w:t>Serie histórica de ingresos</w:t>
      </w:r>
      <w:bookmarkEnd w:id="11"/>
    </w:p>
    <w:p w:rsidR="00BE3663" w:rsidRPr="00A111CD" w:rsidRDefault="00BE3663" w:rsidP="00A111CD">
      <w:pPr>
        <w:rPr>
          <w:rFonts w:eastAsia="Arial Unicode MS"/>
          <w:lang w:val="es-ES"/>
        </w:rPr>
      </w:pPr>
      <w:r w:rsidRPr="00A111CD">
        <w:rPr>
          <w:rFonts w:eastAsia="Arial Unicode MS"/>
          <w:lang w:val="es-ES"/>
        </w:rPr>
        <w:t xml:space="preserve">El análisis de ingresos históricos en </w:t>
      </w:r>
      <w:r w:rsidR="00956DB9">
        <w:rPr>
          <w:rFonts w:eastAsia="Arial Unicode MS"/>
          <w:lang w:val="es-ES"/>
        </w:rPr>
        <w:t>Trinidad</w:t>
      </w:r>
      <w:r w:rsidRPr="00A111CD">
        <w:rPr>
          <w:rFonts w:eastAsia="Arial Unicode MS"/>
          <w:lang w:val="es-ES"/>
        </w:rPr>
        <w:t xml:space="preserve"> solo puede realizarse con datos fiables a partir del año 2010 inclusive, puesto que anteriormente AASANA no garantiza la fiabilidad de la información.</w:t>
      </w:r>
    </w:p>
    <w:p w:rsidR="00F668DA" w:rsidRPr="00A111CD" w:rsidRDefault="006756C4" w:rsidP="00A111CD">
      <w:pPr>
        <w:rPr>
          <w:rFonts w:eastAsia="Arial Unicode MS"/>
          <w:lang w:val="es-ES"/>
        </w:rPr>
      </w:pPr>
      <w:r w:rsidRPr="00A111CD">
        <w:rPr>
          <w:rFonts w:eastAsia="Arial Unicode MS"/>
          <w:lang w:val="es-ES"/>
        </w:rPr>
        <w:t xml:space="preserve">Los ingresos de explotación </w:t>
      </w:r>
      <w:r w:rsidR="00BE3663" w:rsidRPr="00A111CD">
        <w:rPr>
          <w:rFonts w:eastAsia="Arial Unicode MS"/>
          <w:lang w:val="es-ES"/>
        </w:rPr>
        <w:t xml:space="preserve">en </w:t>
      </w:r>
      <w:r w:rsidR="00956DB9">
        <w:rPr>
          <w:rFonts w:eastAsia="Arial Unicode MS"/>
          <w:lang w:val="es-ES"/>
        </w:rPr>
        <w:t>Trinidad</w:t>
      </w:r>
      <w:r w:rsidR="00BE3663" w:rsidRPr="00A111CD">
        <w:rPr>
          <w:rFonts w:eastAsia="Arial Unicode MS"/>
          <w:lang w:val="es-ES"/>
        </w:rPr>
        <w:t xml:space="preserve"> en el año 2011 ascendieron a aproximadamente </w:t>
      </w:r>
      <w:r w:rsidR="00E803B8">
        <w:rPr>
          <w:rFonts w:eastAsia="Arial Unicode MS"/>
          <w:lang w:val="es-ES"/>
        </w:rPr>
        <w:t>49</w:t>
      </w:r>
      <w:r w:rsidR="00423C94">
        <w:rPr>
          <w:rFonts w:eastAsia="Arial Unicode MS"/>
          <w:lang w:val="es-ES"/>
        </w:rPr>
        <w:t>3</w:t>
      </w:r>
      <w:r w:rsidR="00BE3663" w:rsidRPr="00A111CD">
        <w:rPr>
          <w:rFonts w:eastAsia="Arial Unicode MS"/>
          <w:lang w:val="es-ES"/>
        </w:rPr>
        <w:t>.000 USD</w:t>
      </w:r>
      <w:r w:rsidR="00423C94">
        <w:rPr>
          <w:rFonts w:eastAsia="Arial Unicode MS"/>
          <w:lang w:val="es-ES"/>
        </w:rPr>
        <w:t xml:space="preserve"> (3,43 </w:t>
      </w:r>
      <w:r w:rsidR="00FE06FC">
        <w:rPr>
          <w:rFonts w:eastAsia="Arial Unicode MS"/>
          <w:lang w:val="es-ES"/>
        </w:rPr>
        <w:t>Millones de</w:t>
      </w:r>
      <w:r w:rsidR="00423C94">
        <w:rPr>
          <w:rFonts w:eastAsia="Arial Unicode MS"/>
          <w:lang w:val="es-ES"/>
        </w:rPr>
        <w:t xml:space="preserve"> BOB)</w:t>
      </w:r>
      <w:r w:rsidR="00BE3663" w:rsidRPr="00A111CD">
        <w:rPr>
          <w:rFonts w:eastAsia="Arial Unicode MS"/>
          <w:lang w:val="es-ES"/>
        </w:rPr>
        <w:t xml:space="preserve">, de los cuales </w:t>
      </w:r>
      <w:r w:rsidRPr="00A111CD">
        <w:rPr>
          <w:rFonts w:eastAsia="Arial Unicode MS"/>
          <w:lang w:val="es-ES"/>
        </w:rPr>
        <w:t>son casi en su totalidad aeronáuticos (</w:t>
      </w:r>
      <w:r w:rsidR="00E803B8">
        <w:rPr>
          <w:rFonts w:eastAsia="Arial Unicode MS"/>
          <w:lang w:val="es-ES"/>
        </w:rPr>
        <w:t>89</w:t>
      </w:r>
      <w:r w:rsidRPr="00A111CD">
        <w:rPr>
          <w:rFonts w:eastAsia="Arial Unicode MS"/>
          <w:lang w:val="es-ES"/>
        </w:rPr>
        <w:t>% del total), de los cuales la tasa al pasajero (</w:t>
      </w:r>
      <w:r w:rsidR="00E803B8">
        <w:rPr>
          <w:rFonts w:eastAsia="Arial Unicode MS"/>
          <w:lang w:val="es-ES"/>
        </w:rPr>
        <w:t>32</w:t>
      </w:r>
      <w:r w:rsidRPr="00A111CD">
        <w:rPr>
          <w:rFonts w:eastAsia="Arial Unicode MS"/>
          <w:lang w:val="es-ES"/>
        </w:rPr>
        <w:t>%) y la de aterrizaje (</w:t>
      </w:r>
      <w:r w:rsidR="00E803B8">
        <w:rPr>
          <w:rFonts w:eastAsia="Arial Unicode MS"/>
          <w:lang w:val="es-ES"/>
        </w:rPr>
        <w:t>42</w:t>
      </w:r>
      <w:r w:rsidRPr="00A111CD">
        <w:rPr>
          <w:rFonts w:eastAsia="Arial Unicode MS"/>
          <w:lang w:val="es-ES"/>
        </w:rPr>
        <w:t>%)</w:t>
      </w:r>
      <w:r w:rsidR="00F668DA" w:rsidRPr="00A111CD">
        <w:rPr>
          <w:rFonts w:eastAsia="Arial Unicode MS"/>
          <w:lang w:val="es-ES"/>
        </w:rPr>
        <w:t xml:space="preserve"> representan las partidas más importantes de ingresos.</w:t>
      </w:r>
    </w:p>
    <w:p w:rsidR="006756C4" w:rsidRPr="00A111CD" w:rsidRDefault="00BE3663" w:rsidP="00A111CD">
      <w:pPr>
        <w:rPr>
          <w:rFonts w:eastAsia="Arial Unicode MS"/>
          <w:lang w:val="es-ES"/>
        </w:rPr>
      </w:pPr>
      <w:r w:rsidRPr="00A111CD">
        <w:rPr>
          <w:rFonts w:eastAsia="Arial Unicode MS"/>
          <w:lang w:val="es-ES"/>
        </w:rPr>
        <w:t>La previsión de ingresos para el año 2012 se ha realizado con datos históricos entre los meses de enero y abril de 2012, los últimos meses de los cuales se dispone información, y proyectando el crecimiento interanual entre 2011 y 2012 para todo el año.</w:t>
      </w:r>
    </w:p>
    <w:p w:rsidR="00BE3663" w:rsidRPr="00A111CD" w:rsidRDefault="00BE3663" w:rsidP="00A111CD">
      <w:pPr>
        <w:rPr>
          <w:rFonts w:eastAsia="Arial Unicode MS"/>
          <w:lang w:val="es-ES"/>
        </w:rPr>
      </w:pPr>
      <w:r w:rsidRPr="00A111CD">
        <w:rPr>
          <w:rFonts w:eastAsia="Arial Unicode MS"/>
          <w:lang w:val="es-ES"/>
        </w:rPr>
        <w:t>Las rentas comerciales, entre las que se incluyen los alquileres de espacios comerciales a terceros, representaron en 2011 únicamente un 11% del total de ingresos.</w:t>
      </w:r>
    </w:p>
    <w:p w:rsidR="006756C4" w:rsidRPr="00AC1C46" w:rsidRDefault="00E803B8" w:rsidP="006756C4">
      <w:pPr>
        <w:pStyle w:val="Epgrafe"/>
      </w:pPr>
      <w:r w:rsidRPr="00E803B8">
        <w:rPr>
          <w:noProof/>
          <w:lang w:eastAsia="es-ES"/>
        </w:rPr>
        <w:drawing>
          <wp:inline distT="0" distB="0" distL="0" distR="0" wp14:anchorId="20224AC9" wp14:editId="5E9BC713">
            <wp:extent cx="5493895" cy="31041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044"/>
                    <a:stretch/>
                  </pic:blipFill>
                  <pic:spPr bwMode="auto">
                    <a:xfrm>
                      <a:off x="0" y="0"/>
                      <a:ext cx="5496039" cy="3105346"/>
                    </a:xfrm>
                    <a:prstGeom prst="rect">
                      <a:avLst/>
                    </a:prstGeom>
                    <a:noFill/>
                    <a:ln>
                      <a:noFill/>
                    </a:ln>
                    <a:extLst>
                      <a:ext uri="{53640926-AAD7-44D8-BBD7-CCE9431645EC}">
                        <a14:shadowObscured xmlns:a14="http://schemas.microsoft.com/office/drawing/2010/main"/>
                      </a:ext>
                    </a:extLst>
                  </pic:spPr>
                </pic:pic>
              </a:graphicData>
            </a:graphic>
          </wp:inline>
        </w:drawing>
      </w:r>
    </w:p>
    <w:p w:rsidR="006756C4" w:rsidRPr="00AC1C46" w:rsidRDefault="006756C4" w:rsidP="006756C4">
      <w:pPr>
        <w:pStyle w:val="Epgrafe"/>
      </w:pPr>
      <w:bookmarkStart w:id="12" w:name="_Toc352856773"/>
      <w:r w:rsidRPr="00AC1C46">
        <w:t xml:space="preserve">Figura </w:t>
      </w:r>
      <w:r w:rsidR="00C80B42">
        <w:fldChar w:fldCharType="begin"/>
      </w:r>
      <w:r w:rsidR="003F575E">
        <w:instrText xml:space="preserve"> SEQ Figura \* ARABIC </w:instrText>
      </w:r>
      <w:r w:rsidR="00C80B42">
        <w:fldChar w:fldCharType="separate"/>
      </w:r>
      <w:r w:rsidR="008638C7">
        <w:rPr>
          <w:noProof/>
        </w:rPr>
        <w:t>5</w:t>
      </w:r>
      <w:r w:rsidR="00C80B42">
        <w:rPr>
          <w:noProof/>
        </w:rPr>
        <w:fldChar w:fldCharType="end"/>
      </w:r>
      <w:r w:rsidRPr="00AC1C46">
        <w:t xml:space="preserve">: </w:t>
      </w:r>
      <w:r w:rsidR="001232E3" w:rsidRPr="00AC1C46">
        <w:t xml:space="preserve">Serie histórica de ingresos de explotación del aeropuerto </w:t>
      </w:r>
      <w:r w:rsidRPr="00AC1C46">
        <w:t xml:space="preserve">de </w:t>
      </w:r>
      <w:r w:rsidR="00956DB9">
        <w:t>Trinidad</w:t>
      </w:r>
      <w:bookmarkEnd w:id="12"/>
      <w:r w:rsidR="00415AFF">
        <w:t xml:space="preserve"> </w:t>
      </w:r>
    </w:p>
    <w:p w:rsidR="006756C4" w:rsidRDefault="006756C4" w:rsidP="001232E3">
      <w:pPr>
        <w:pStyle w:val="Epgrafe"/>
        <w:spacing w:before="0"/>
        <w:rPr>
          <w:rStyle w:val="Referenciasutil"/>
        </w:rPr>
      </w:pPr>
      <w:r w:rsidRPr="00AC1C46">
        <w:rPr>
          <w:rStyle w:val="Referenciasutil"/>
        </w:rPr>
        <w:t>Fuente: AASANA</w:t>
      </w:r>
      <w:r w:rsidR="001232E3">
        <w:rPr>
          <w:rStyle w:val="Referenciasutil"/>
        </w:rPr>
        <w:t xml:space="preserve"> (</w:t>
      </w:r>
      <w:r w:rsidR="001232E3" w:rsidRPr="001232E3">
        <w:rPr>
          <w:rStyle w:val="Referenciasutil"/>
        </w:rPr>
        <w:t>2011</w:t>
      </w:r>
      <w:r w:rsidR="001232E3">
        <w:rPr>
          <w:rStyle w:val="Referenciasutil"/>
        </w:rPr>
        <w:t>, USD</w:t>
      </w:r>
      <w:r w:rsidR="001232E3" w:rsidRPr="001232E3">
        <w:rPr>
          <w:rStyle w:val="Referenciasutil"/>
        </w:rPr>
        <w:t>)</w:t>
      </w:r>
    </w:p>
    <w:p w:rsidR="00ED6F47" w:rsidRPr="00ED6F47" w:rsidRDefault="00ED6F47" w:rsidP="00ED6F47">
      <w:pPr>
        <w:rPr>
          <w:lang w:val="es-ES"/>
        </w:rPr>
      </w:pPr>
      <w:r>
        <w:rPr>
          <w:lang w:val="es-ES"/>
        </w:rPr>
        <w:t xml:space="preserve">El ratio de ingresos aeroportuarios por pasajero es un ratio típico de performance de la explotación aeroportuaria en la industria (es habitual excluir las tasas de navegación aérea pues normalmente corresponden a servicios prestados por otros operadores o entidades diferenciadas del operador aeroportuario). A modo de análisis comparativo, se observa que los </w:t>
      </w:r>
      <w:r w:rsidR="00415AFF">
        <w:rPr>
          <w:lang w:val="es-ES"/>
        </w:rPr>
        <w:t>2,7</w:t>
      </w:r>
      <w:r>
        <w:rPr>
          <w:lang w:val="es-ES"/>
        </w:rPr>
        <w:t xml:space="preserve"> USD</w:t>
      </w:r>
      <w:r w:rsidR="00AF6A45">
        <w:rPr>
          <w:lang w:val="es-ES"/>
        </w:rPr>
        <w:t xml:space="preserve"> por pasajero</w:t>
      </w:r>
      <w:r>
        <w:rPr>
          <w:lang w:val="es-ES"/>
        </w:rPr>
        <w:t xml:space="preserve"> </w:t>
      </w:r>
      <w:r w:rsidR="00423C94">
        <w:rPr>
          <w:lang w:val="es-ES"/>
        </w:rPr>
        <w:t>(18,8 BOB</w:t>
      </w:r>
      <w:r w:rsidR="00AF6A45">
        <w:rPr>
          <w:lang w:val="es-ES"/>
        </w:rPr>
        <w:t xml:space="preserve"> por pasajero</w:t>
      </w:r>
      <w:r w:rsidR="00423C94">
        <w:rPr>
          <w:lang w:val="es-ES"/>
        </w:rPr>
        <w:t xml:space="preserve">) </w:t>
      </w:r>
      <w:r>
        <w:rPr>
          <w:lang w:val="es-ES"/>
        </w:rPr>
        <w:t>de ingresos aeroportuarios están muy por detrás de los ratios típicos de otros aeropuertos en países del entorno.</w:t>
      </w:r>
    </w:p>
    <w:p w:rsidR="00144057" w:rsidRDefault="00415AFF" w:rsidP="00144057">
      <w:pPr>
        <w:jc w:val="center"/>
        <w:rPr>
          <w:lang w:val="es-ES"/>
        </w:rPr>
      </w:pPr>
      <w:r w:rsidRPr="00415AFF">
        <w:rPr>
          <w:noProof/>
          <w:lang w:val="es-ES" w:eastAsia="es-ES"/>
        </w:rPr>
        <w:drawing>
          <wp:inline distT="0" distB="0" distL="0" distR="0" wp14:anchorId="19311DBD" wp14:editId="0C4E9C7A">
            <wp:extent cx="3108317" cy="292900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1"/>
                    <a:stretch/>
                  </pic:blipFill>
                  <pic:spPr bwMode="auto">
                    <a:xfrm>
                      <a:off x="0" y="0"/>
                      <a:ext cx="3111277" cy="2931792"/>
                    </a:xfrm>
                    <a:prstGeom prst="rect">
                      <a:avLst/>
                    </a:prstGeom>
                    <a:noFill/>
                    <a:ln>
                      <a:noFill/>
                    </a:ln>
                    <a:extLst>
                      <a:ext uri="{53640926-AAD7-44D8-BBD7-CCE9431645EC}">
                        <a14:shadowObscured xmlns:a14="http://schemas.microsoft.com/office/drawing/2010/main"/>
                      </a:ext>
                    </a:extLst>
                  </pic:spPr>
                </pic:pic>
              </a:graphicData>
            </a:graphic>
          </wp:inline>
        </w:drawing>
      </w:r>
    </w:p>
    <w:p w:rsidR="00144057" w:rsidRPr="00AC1C46" w:rsidRDefault="00144057" w:rsidP="00144057">
      <w:pPr>
        <w:pStyle w:val="Epgrafe"/>
      </w:pPr>
      <w:bookmarkStart w:id="13" w:name="_Toc352856774"/>
      <w:r w:rsidRPr="00AC1C46">
        <w:t xml:space="preserve">Figura </w:t>
      </w:r>
      <w:r w:rsidR="00C80B42">
        <w:fldChar w:fldCharType="begin"/>
      </w:r>
      <w:r w:rsidR="003F575E">
        <w:instrText xml:space="preserve"> SEQ Figura \* ARABIC </w:instrText>
      </w:r>
      <w:r w:rsidR="00C80B42">
        <w:fldChar w:fldCharType="separate"/>
      </w:r>
      <w:r w:rsidR="008638C7">
        <w:rPr>
          <w:noProof/>
        </w:rPr>
        <w:t>6</w:t>
      </w:r>
      <w:r w:rsidR="00C80B42">
        <w:rPr>
          <w:noProof/>
        </w:rPr>
        <w:fldChar w:fldCharType="end"/>
      </w:r>
      <w:r w:rsidRPr="00AC1C46">
        <w:t xml:space="preserve">: </w:t>
      </w:r>
      <w:r>
        <w:t>Ingresos aeronáuticos/pasajero (USD, 2011)</w:t>
      </w:r>
      <w:bookmarkEnd w:id="13"/>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144057" w:rsidRDefault="002153F4" w:rsidP="002153F4">
      <w:pPr>
        <w:rPr>
          <w:lang w:val="es-ES"/>
        </w:rPr>
      </w:pPr>
      <w:r>
        <w:rPr>
          <w:lang w:val="es-ES"/>
        </w:rPr>
        <w:t xml:space="preserve">De igual manera, el ratio de ingresos comerciales por pasajero </w:t>
      </w:r>
      <w:r w:rsidR="00935844">
        <w:rPr>
          <w:lang w:val="es-ES"/>
        </w:rPr>
        <w:t xml:space="preserve">de </w:t>
      </w:r>
      <w:r w:rsidR="00956DB9">
        <w:rPr>
          <w:lang w:val="es-ES"/>
        </w:rPr>
        <w:t>Trinidad</w:t>
      </w:r>
      <w:r w:rsidR="00935844">
        <w:rPr>
          <w:lang w:val="es-ES"/>
        </w:rPr>
        <w:t xml:space="preserve"> (0,</w:t>
      </w:r>
      <w:r w:rsidR="00415AFF">
        <w:rPr>
          <w:lang w:val="es-ES"/>
        </w:rPr>
        <w:t>4</w:t>
      </w:r>
      <w:r w:rsidR="00935844">
        <w:rPr>
          <w:lang w:val="es-ES"/>
        </w:rPr>
        <w:t xml:space="preserve"> USD</w:t>
      </w:r>
      <w:r w:rsidR="00AF6A45">
        <w:rPr>
          <w:lang w:val="es-ES"/>
        </w:rPr>
        <w:t xml:space="preserve"> por pasajero</w:t>
      </w:r>
      <w:r w:rsidR="00423C94">
        <w:rPr>
          <w:lang w:val="es-ES"/>
        </w:rPr>
        <w:t xml:space="preserve"> ó 2,8 BOB</w:t>
      </w:r>
      <w:r w:rsidR="00AF6A45" w:rsidRPr="00AF6A45">
        <w:rPr>
          <w:lang w:val="es-ES"/>
        </w:rPr>
        <w:t xml:space="preserve"> </w:t>
      </w:r>
      <w:r w:rsidR="00AF6A45">
        <w:rPr>
          <w:lang w:val="es-ES"/>
        </w:rPr>
        <w:t>por pasajero</w:t>
      </w:r>
      <w:r w:rsidR="00423C94">
        <w:rPr>
          <w:lang w:val="es-ES"/>
        </w:rPr>
        <w:t>)</w:t>
      </w:r>
      <w:r w:rsidR="00935844">
        <w:rPr>
          <w:lang w:val="es-ES"/>
        </w:rPr>
        <w:t xml:space="preserve"> está muy por detrás de los valores que muestran otros países del entorno, demostrando que hay un gran recorrido de mejora para este tipo de actividades comerciales:</w:t>
      </w:r>
    </w:p>
    <w:p w:rsidR="00144057" w:rsidRDefault="00415AFF" w:rsidP="00144057">
      <w:pPr>
        <w:jc w:val="center"/>
        <w:rPr>
          <w:lang w:val="es-ES"/>
        </w:rPr>
      </w:pPr>
      <w:r w:rsidRPr="00415AFF">
        <w:rPr>
          <w:noProof/>
          <w:lang w:val="es-ES" w:eastAsia="es-ES"/>
        </w:rPr>
        <w:drawing>
          <wp:inline distT="0" distB="0" distL="0" distR="0" wp14:anchorId="3ED5AC5E" wp14:editId="264266E5">
            <wp:extent cx="3252865" cy="300686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6391" cy="3010122"/>
                    </a:xfrm>
                    <a:prstGeom prst="rect">
                      <a:avLst/>
                    </a:prstGeom>
                    <a:noFill/>
                    <a:ln>
                      <a:noFill/>
                    </a:ln>
                  </pic:spPr>
                </pic:pic>
              </a:graphicData>
            </a:graphic>
          </wp:inline>
        </w:drawing>
      </w:r>
    </w:p>
    <w:p w:rsidR="00144057" w:rsidRPr="00AC1C46" w:rsidRDefault="00144057" w:rsidP="00144057">
      <w:pPr>
        <w:pStyle w:val="Epgrafe"/>
      </w:pPr>
      <w:bookmarkStart w:id="14" w:name="_Toc352856775"/>
      <w:r w:rsidRPr="00AC1C46">
        <w:t xml:space="preserve">Figura </w:t>
      </w:r>
      <w:r w:rsidR="00C80B42">
        <w:fldChar w:fldCharType="begin"/>
      </w:r>
      <w:r w:rsidR="003F575E">
        <w:instrText xml:space="preserve"> SEQ Figura \* ARABIC </w:instrText>
      </w:r>
      <w:r w:rsidR="00C80B42">
        <w:fldChar w:fldCharType="separate"/>
      </w:r>
      <w:r w:rsidR="008638C7">
        <w:rPr>
          <w:noProof/>
        </w:rPr>
        <w:t>7</w:t>
      </w:r>
      <w:r w:rsidR="00C80B42">
        <w:rPr>
          <w:noProof/>
        </w:rPr>
        <w:fldChar w:fldCharType="end"/>
      </w:r>
      <w:r w:rsidRPr="00AC1C46">
        <w:t xml:space="preserve">: </w:t>
      </w:r>
      <w:r>
        <w:t>Ingresos comerciales/pasajero (USD, 2011)</w:t>
      </w:r>
      <w:bookmarkEnd w:id="14"/>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415AFF" w:rsidRPr="00415AFF" w:rsidRDefault="00415AFF" w:rsidP="00415AFF">
      <w:pPr>
        <w:rPr>
          <w:lang w:val="es-ES"/>
        </w:rPr>
      </w:pPr>
    </w:p>
    <w:p w:rsidR="00857873" w:rsidRPr="00AC1C46" w:rsidRDefault="00857873" w:rsidP="00CC7C27">
      <w:pPr>
        <w:pStyle w:val="Ttulo2"/>
      </w:pPr>
      <w:bookmarkStart w:id="15" w:name="_Toc352856753"/>
      <w:r w:rsidRPr="00AC1C46">
        <w:t>Cost</w:t>
      </w:r>
      <w:r>
        <w:t>o</w:t>
      </w:r>
      <w:r w:rsidRPr="00AC1C46">
        <w:t>s de explotación</w:t>
      </w:r>
      <w:bookmarkEnd w:id="15"/>
    </w:p>
    <w:p w:rsidR="00415AFF" w:rsidRDefault="00415AFF" w:rsidP="00A111CD">
      <w:pPr>
        <w:rPr>
          <w:rFonts w:eastAsia="Arial Unicode MS"/>
          <w:lang w:val="es-ES"/>
        </w:rPr>
      </w:pPr>
      <w:r>
        <w:rPr>
          <w:rFonts w:eastAsia="Arial Unicode MS"/>
          <w:lang w:val="es-ES"/>
        </w:rPr>
        <w:t>El análisis de costos de explotación se ha realizado sobre los datos históricos facilitados por AASANA de su contabilidad analítica del año 2011 para todos los aeropuertos de la Dirección regional del Beni.</w:t>
      </w:r>
    </w:p>
    <w:p w:rsidR="00C61A9B" w:rsidRPr="00A111CD" w:rsidRDefault="00415AFF" w:rsidP="00A111CD">
      <w:pPr>
        <w:rPr>
          <w:rFonts w:eastAsia="Arial Unicode MS"/>
          <w:lang w:val="es-ES"/>
        </w:rPr>
      </w:pPr>
      <w:r>
        <w:rPr>
          <w:rFonts w:eastAsia="Arial Unicode MS"/>
          <w:lang w:val="es-ES"/>
        </w:rPr>
        <w:t>L</w:t>
      </w:r>
      <w:r w:rsidR="00C61A9B" w:rsidRPr="00A111CD">
        <w:rPr>
          <w:rFonts w:eastAsia="Arial Unicode MS"/>
          <w:lang w:val="es-ES"/>
        </w:rPr>
        <w:t>a estructura de costos</w:t>
      </w:r>
      <w:r>
        <w:rPr>
          <w:rFonts w:eastAsia="Arial Unicode MS"/>
          <w:lang w:val="es-ES"/>
        </w:rPr>
        <w:t xml:space="preserve"> del aeropuerto de Trinidad es la siguiente</w:t>
      </w:r>
      <w:r w:rsidR="00C61A9B" w:rsidRPr="00A111CD">
        <w:rPr>
          <w:rFonts w:eastAsia="Arial Unicode MS"/>
          <w:lang w:val="es-ES"/>
        </w:rPr>
        <w:t>:</w:t>
      </w:r>
    </w:p>
    <w:p w:rsidR="00F82509" w:rsidRPr="00AC1C46" w:rsidRDefault="00415AFF" w:rsidP="00F82509">
      <w:pPr>
        <w:pStyle w:val="Epgrafe"/>
      </w:pPr>
      <w:r w:rsidRPr="00415AFF">
        <w:rPr>
          <w:noProof/>
          <w:lang w:eastAsia="es-ES"/>
        </w:rPr>
        <w:drawing>
          <wp:inline distT="0" distB="0" distL="0" distR="0" wp14:anchorId="5C722360" wp14:editId="21C3FEF5">
            <wp:extent cx="5538865" cy="322861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29"/>
                    <a:stretch/>
                  </pic:blipFill>
                  <pic:spPr bwMode="auto">
                    <a:xfrm>
                      <a:off x="0" y="0"/>
                      <a:ext cx="5538455" cy="3228378"/>
                    </a:xfrm>
                    <a:prstGeom prst="rect">
                      <a:avLst/>
                    </a:prstGeom>
                    <a:noFill/>
                    <a:ln>
                      <a:noFill/>
                    </a:ln>
                    <a:extLst>
                      <a:ext uri="{53640926-AAD7-44D8-BBD7-CCE9431645EC}">
                        <a14:shadowObscured xmlns:a14="http://schemas.microsoft.com/office/drawing/2010/main"/>
                      </a:ext>
                    </a:extLst>
                  </pic:spPr>
                </pic:pic>
              </a:graphicData>
            </a:graphic>
          </wp:inline>
        </w:drawing>
      </w:r>
    </w:p>
    <w:p w:rsidR="00F82509" w:rsidRPr="00AC1C46" w:rsidRDefault="00F82509" w:rsidP="00F82509">
      <w:pPr>
        <w:pStyle w:val="Epgrafe"/>
      </w:pPr>
      <w:bookmarkStart w:id="16" w:name="_Toc352856776"/>
      <w:r w:rsidRPr="00AC1C46">
        <w:t xml:space="preserve">Figura </w:t>
      </w:r>
      <w:r w:rsidR="00C80B42">
        <w:fldChar w:fldCharType="begin"/>
      </w:r>
      <w:r w:rsidR="003F575E">
        <w:instrText xml:space="preserve"> SEQ Figura \* ARABIC </w:instrText>
      </w:r>
      <w:r w:rsidR="00C80B42">
        <w:fldChar w:fldCharType="separate"/>
      </w:r>
      <w:r w:rsidR="008638C7">
        <w:rPr>
          <w:noProof/>
        </w:rPr>
        <w:t>8</w:t>
      </w:r>
      <w:r w:rsidR="00C80B42">
        <w:rPr>
          <w:noProof/>
        </w:rPr>
        <w:fldChar w:fldCharType="end"/>
      </w:r>
      <w:r w:rsidRPr="00AC1C46">
        <w:t xml:space="preserve">: </w:t>
      </w:r>
      <w:r w:rsidR="001232E3" w:rsidRPr="00AC1C46">
        <w:t>Estimación de costos históricos de explotación</w:t>
      </w:r>
      <w:bookmarkEnd w:id="16"/>
      <w:r w:rsidR="001232E3">
        <w:t xml:space="preserve"> </w:t>
      </w:r>
    </w:p>
    <w:p w:rsidR="00F82509" w:rsidRPr="00AC1C46" w:rsidRDefault="00F82509" w:rsidP="001232E3">
      <w:pPr>
        <w:pStyle w:val="Epgrafe"/>
        <w:spacing w:before="0"/>
      </w:pPr>
      <w:r w:rsidRPr="00AC1C46">
        <w:rPr>
          <w:rStyle w:val="Referenciasutil"/>
        </w:rPr>
        <w:t>Fuente: AASANA</w:t>
      </w:r>
      <w:r w:rsidR="001232E3">
        <w:rPr>
          <w:rStyle w:val="Referenciasutil"/>
        </w:rPr>
        <w:t xml:space="preserve"> </w:t>
      </w:r>
      <w:r w:rsidR="001232E3" w:rsidRPr="001232E3">
        <w:rPr>
          <w:rStyle w:val="Referenciasutil"/>
        </w:rPr>
        <w:t>(2011, USD)</w:t>
      </w:r>
    </w:p>
    <w:p w:rsidR="00C61A9B" w:rsidRPr="00570C63" w:rsidRDefault="000375C2" w:rsidP="00570C63">
      <w:pPr>
        <w:rPr>
          <w:rFonts w:eastAsia="Arial Unicode MS"/>
          <w:lang w:val="es-ES"/>
        </w:rPr>
      </w:pPr>
      <w:r>
        <w:rPr>
          <w:rFonts w:eastAsia="Arial Unicode MS"/>
          <w:lang w:val="es-ES"/>
        </w:rPr>
        <w:t>L</w:t>
      </w:r>
      <w:r w:rsidR="00C61A9B" w:rsidRPr="00570C63">
        <w:rPr>
          <w:rFonts w:eastAsia="Arial Unicode MS"/>
          <w:lang w:val="es-ES"/>
        </w:rPr>
        <w:t>os costos de explota</w:t>
      </w:r>
      <w:r>
        <w:rPr>
          <w:rFonts w:eastAsia="Arial Unicode MS"/>
          <w:lang w:val="es-ES"/>
        </w:rPr>
        <w:t xml:space="preserve">ción ascendieron en 2011 a más de 2,2 </w:t>
      </w:r>
      <w:r w:rsidR="00FE06FC">
        <w:rPr>
          <w:rFonts w:eastAsia="Arial Unicode MS"/>
          <w:lang w:val="es-ES"/>
        </w:rPr>
        <w:t>Millones de</w:t>
      </w:r>
      <w:r>
        <w:rPr>
          <w:rFonts w:eastAsia="Arial Unicode MS"/>
          <w:lang w:val="es-ES"/>
        </w:rPr>
        <w:t xml:space="preserve"> </w:t>
      </w:r>
      <w:r w:rsidR="00C61A9B" w:rsidRPr="00570C63">
        <w:rPr>
          <w:rFonts w:eastAsia="Arial Unicode MS"/>
          <w:lang w:val="es-ES"/>
        </w:rPr>
        <w:t>USD</w:t>
      </w:r>
      <w:r w:rsidR="00423C94">
        <w:rPr>
          <w:rFonts w:eastAsia="Arial Unicode MS"/>
          <w:lang w:val="es-ES"/>
        </w:rPr>
        <w:t xml:space="preserve"> (15,3 </w:t>
      </w:r>
      <w:r w:rsidR="00FE06FC">
        <w:rPr>
          <w:rFonts w:eastAsia="Arial Unicode MS"/>
          <w:lang w:val="es-ES"/>
        </w:rPr>
        <w:t>Millones de</w:t>
      </w:r>
      <w:r w:rsidR="00423C94">
        <w:rPr>
          <w:rFonts w:eastAsia="Arial Unicode MS"/>
          <w:lang w:val="es-ES"/>
        </w:rPr>
        <w:t xml:space="preserve"> BOB)</w:t>
      </w:r>
      <w:r w:rsidR="00C61A9B" w:rsidRPr="00570C63">
        <w:rPr>
          <w:rFonts w:eastAsia="Arial Unicode MS"/>
          <w:lang w:val="es-ES"/>
        </w:rPr>
        <w:t xml:space="preserve">. De esta cifra </w:t>
      </w:r>
      <w:r>
        <w:rPr>
          <w:rFonts w:eastAsia="Arial Unicode MS"/>
          <w:lang w:val="es-ES"/>
        </w:rPr>
        <w:t>aproximadamente el 60</w:t>
      </w:r>
      <w:r w:rsidR="00C61A9B" w:rsidRPr="00570C63">
        <w:rPr>
          <w:rFonts w:eastAsia="Arial Unicode MS"/>
          <w:lang w:val="es-ES"/>
        </w:rPr>
        <w:t>% se compone puramente de los costos de</w:t>
      </w:r>
      <w:r w:rsidR="000F7654" w:rsidRPr="00570C63">
        <w:rPr>
          <w:rFonts w:eastAsia="Arial Unicode MS"/>
          <w:lang w:val="es-ES"/>
        </w:rPr>
        <w:t>nominados “Servicios personales”</w:t>
      </w:r>
      <w:r w:rsidR="00C61A9B" w:rsidRPr="00570C63">
        <w:rPr>
          <w:rFonts w:eastAsia="Arial Unicode MS"/>
          <w:lang w:val="es-ES"/>
        </w:rPr>
        <w:t xml:space="preserve"> (sueldos y salarios). Si a esta cifra se añaden los denominados “beneficios sociales” (retribuciones a personal de AASANA en retiro), se determina que los costos de personal ascienden </w:t>
      </w:r>
      <w:r w:rsidR="00B07EAD">
        <w:rPr>
          <w:rFonts w:eastAsia="Arial Unicode MS"/>
          <w:lang w:val="es-ES"/>
        </w:rPr>
        <w:t xml:space="preserve">al </w:t>
      </w:r>
      <w:r w:rsidR="00C61A9B" w:rsidRPr="00570C63">
        <w:rPr>
          <w:rFonts w:eastAsia="Arial Unicode MS"/>
          <w:lang w:val="es-ES"/>
        </w:rPr>
        <w:t>75% del total de costos de explotación del aeropuerto.</w:t>
      </w:r>
    </w:p>
    <w:p w:rsidR="000F7654" w:rsidRPr="00570C63" w:rsidRDefault="000F7654" w:rsidP="00570C63">
      <w:pPr>
        <w:rPr>
          <w:rFonts w:eastAsia="Arial Unicode MS"/>
          <w:lang w:val="es-ES"/>
        </w:rPr>
      </w:pPr>
      <w:r w:rsidRPr="00570C63">
        <w:rPr>
          <w:rFonts w:eastAsia="Arial Unicode MS"/>
          <w:lang w:val="es-ES"/>
        </w:rPr>
        <w:t xml:space="preserve">En segundo lugar, por relevancia de la cuantía que representan, se hallan los denominados “Servicios no personales” o </w:t>
      </w:r>
      <w:r w:rsidR="003946DD">
        <w:rPr>
          <w:rFonts w:eastAsia="Arial Unicode MS"/>
          <w:lang w:val="es-ES"/>
        </w:rPr>
        <w:t>g</w:t>
      </w:r>
      <w:r w:rsidRPr="00570C63">
        <w:rPr>
          <w:rFonts w:eastAsia="Arial Unicode MS"/>
          <w:lang w:val="es-ES"/>
        </w:rPr>
        <w:t>astos generales</w:t>
      </w:r>
      <w:r w:rsidR="003946DD">
        <w:rPr>
          <w:rFonts w:eastAsia="Arial Unicode MS"/>
          <w:lang w:val="es-ES"/>
        </w:rPr>
        <w:t xml:space="preserve"> (16% del total de costos)</w:t>
      </w:r>
      <w:r w:rsidRPr="00570C63">
        <w:rPr>
          <w:rFonts w:eastAsia="Arial Unicode MS"/>
          <w:lang w:val="es-ES"/>
        </w:rPr>
        <w:t>. Se trata una partida muy heterogénea entre la que se pueden identificar los siguientes rubros:</w:t>
      </w:r>
    </w:p>
    <w:p w:rsidR="000F7654" w:rsidRPr="000F7654" w:rsidRDefault="000F7654" w:rsidP="001D1F9C">
      <w:pPr>
        <w:pStyle w:val="Listaconvietas"/>
        <w:tabs>
          <w:tab w:val="clear" w:pos="360"/>
          <w:tab w:val="num" w:pos="717"/>
        </w:tabs>
        <w:spacing w:before="0"/>
        <w:ind w:left="714"/>
        <w:rPr>
          <w:rFonts w:eastAsia="Arial Unicode MS"/>
          <w:lang w:val="es-ES"/>
        </w:rPr>
      </w:pPr>
      <w:r w:rsidRPr="000F7654">
        <w:rPr>
          <w:rFonts w:eastAsia="Arial Unicode MS"/>
          <w:lang w:val="es-ES"/>
        </w:rPr>
        <w:t>Consultorías (servicios de terceros)</w:t>
      </w:r>
    </w:p>
    <w:p w:rsidR="000F7654" w:rsidRPr="000F7654" w:rsidRDefault="00AF6A45" w:rsidP="001D1F9C">
      <w:pPr>
        <w:pStyle w:val="Listaconvietas"/>
        <w:spacing w:before="0"/>
        <w:ind w:left="714"/>
        <w:rPr>
          <w:rFonts w:eastAsia="Arial Unicode MS"/>
          <w:lang w:val="es-ES"/>
        </w:rPr>
      </w:pPr>
      <w:r>
        <w:rPr>
          <w:rFonts w:eastAsia="Arial Unicode MS"/>
          <w:lang w:val="es-ES"/>
        </w:rPr>
        <w:t>Comunicaciones y suministros</w:t>
      </w:r>
    </w:p>
    <w:p w:rsidR="000F7654" w:rsidRPr="000F7654" w:rsidRDefault="000F7654" w:rsidP="001D1F9C">
      <w:pPr>
        <w:pStyle w:val="Listaconvietas"/>
        <w:spacing w:before="0"/>
        <w:ind w:left="714"/>
        <w:rPr>
          <w:rFonts w:eastAsia="Arial Unicode MS"/>
          <w:lang w:val="es-ES"/>
        </w:rPr>
      </w:pPr>
      <w:r w:rsidRPr="000F7654">
        <w:rPr>
          <w:rFonts w:eastAsia="Arial Unicode MS"/>
          <w:lang w:val="es-ES"/>
        </w:rPr>
        <w:t>Publicidad e imprentas</w:t>
      </w:r>
    </w:p>
    <w:p w:rsidR="000F7654" w:rsidRPr="000F7654" w:rsidRDefault="000F7654" w:rsidP="001D1F9C">
      <w:pPr>
        <w:pStyle w:val="Listaconvietas"/>
        <w:spacing w:before="0"/>
        <w:ind w:left="714"/>
        <w:rPr>
          <w:rFonts w:eastAsia="Arial Unicode MS"/>
          <w:lang w:val="es-ES"/>
        </w:rPr>
      </w:pPr>
      <w:r w:rsidRPr="000F7654">
        <w:rPr>
          <w:rFonts w:eastAsia="Arial Unicode MS"/>
          <w:lang w:val="es-ES"/>
        </w:rPr>
        <w:t>Gastos médicos y seguros</w:t>
      </w:r>
    </w:p>
    <w:p w:rsidR="000F7654" w:rsidRPr="000F7654" w:rsidRDefault="000F7654" w:rsidP="001D1F9C">
      <w:pPr>
        <w:pStyle w:val="Listaconvietas"/>
        <w:spacing w:before="0"/>
        <w:ind w:left="714"/>
        <w:rPr>
          <w:rFonts w:eastAsia="Arial Unicode MS"/>
          <w:lang w:val="es-ES"/>
        </w:rPr>
      </w:pPr>
      <w:r w:rsidRPr="000F7654">
        <w:rPr>
          <w:rFonts w:eastAsia="Arial Unicode MS"/>
          <w:lang w:val="es-ES"/>
        </w:rPr>
        <w:t xml:space="preserve">Mantenimiento </w:t>
      </w:r>
    </w:p>
    <w:p w:rsidR="000F7654" w:rsidRPr="000F7654" w:rsidRDefault="000F7654" w:rsidP="001D1F9C">
      <w:pPr>
        <w:pStyle w:val="Listaconvietas"/>
        <w:spacing w:before="0"/>
        <w:ind w:left="714"/>
        <w:rPr>
          <w:rFonts w:eastAsia="Arial Unicode MS"/>
          <w:lang w:val="es-ES"/>
        </w:rPr>
      </w:pPr>
      <w:r w:rsidRPr="000F7654">
        <w:rPr>
          <w:rFonts w:eastAsia="Arial Unicode MS"/>
          <w:lang w:val="es-ES"/>
        </w:rPr>
        <w:t>Otros gastos menores</w:t>
      </w:r>
    </w:p>
    <w:p w:rsidR="00C61A9B" w:rsidRDefault="000F7654" w:rsidP="00C61A9B">
      <w:pPr>
        <w:rPr>
          <w:rFonts w:eastAsia="Arial Unicode MS"/>
          <w:lang w:val="es-ES"/>
        </w:rPr>
      </w:pPr>
      <w:r>
        <w:rPr>
          <w:rFonts w:eastAsia="Arial Unicode MS"/>
          <w:lang w:val="es-ES"/>
        </w:rPr>
        <w:t xml:space="preserve">Se observa también que los costos de mantenimiento representan únicamente un </w:t>
      </w:r>
      <w:r w:rsidR="003946DD">
        <w:rPr>
          <w:rFonts w:eastAsia="Arial Unicode MS"/>
          <w:lang w:val="es-ES"/>
        </w:rPr>
        <w:t>2,8</w:t>
      </w:r>
      <w:r>
        <w:rPr>
          <w:rFonts w:eastAsia="Arial Unicode MS"/>
          <w:lang w:val="es-ES"/>
        </w:rPr>
        <w:t>% del total; estos costos se refieren únicamente a la limpieza de edificios y reparaciones de vehículos (no se destinan costos a las actuaciones de mantenimiento del campo de vuelo).</w:t>
      </w:r>
    </w:p>
    <w:p w:rsidR="003946DD" w:rsidRDefault="003946DD" w:rsidP="00C61A9B">
      <w:pPr>
        <w:rPr>
          <w:rFonts w:eastAsia="Arial Unicode MS"/>
          <w:lang w:val="es-ES"/>
        </w:rPr>
      </w:pPr>
    </w:p>
    <w:p w:rsidR="00F82509" w:rsidRPr="00AC1C46" w:rsidRDefault="00F82509" w:rsidP="00CC7C27">
      <w:pPr>
        <w:pStyle w:val="Ttulo2"/>
      </w:pPr>
      <w:bookmarkStart w:id="17" w:name="_Toc352856754"/>
      <w:r w:rsidRPr="00AC1C46">
        <w:t>Resultado de explotación previsional</w:t>
      </w:r>
      <w:bookmarkEnd w:id="17"/>
    </w:p>
    <w:p w:rsidR="00FF6AB8" w:rsidRDefault="00FF6AB8" w:rsidP="00FF6AB8">
      <w:pPr>
        <w:rPr>
          <w:lang w:val="es-ES"/>
        </w:rPr>
      </w:pPr>
      <w:r>
        <w:rPr>
          <w:lang w:val="es-ES"/>
        </w:rPr>
        <w:t>Los resultados que se muestran en este epígrafe y sucesivos se han obtenido a partir de la elaboración de modelo Excel que reconstruye la cuenta de explotación del aeropuerto a partir de una serie de hipótesis asumidas por el consultor.</w:t>
      </w:r>
    </w:p>
    <w:p w:rsidR="00AC1C46" w:rsidRDefault="00330B22" w:rsidP="00494D95">
      <w:pPr>
        <w:pStyle w:val="Ttulo3"/>
      </w:pPr>
      <w:bookmarkStart w:id="18" w:name="_Toc352856755"/>
      <w:r>
        <w:t>Ingresos previsionales</w:t>
      </w:r>
      <w:bookmarkEnd w:id="18"/>
    </w:p>
    <w:p w:rsidR="00330B22" w:rsidRDefault="00D86CC6" w:rsidP="00330B22">
      <w:pPr>
        <w:rPr>
          <w:lang w:val="es-ES"/>
        </w:rPr>
      </w:pPr>
      <w:r>
        <w:rPr>
          <w:lang w:val="es-ES"/>
        </w:rPr>
        <w:t xml:space="preserve">En este epígrafe se muestran los resultados de la previsión de ingresos de explotación para el período de 20 años del Plan Maestro (2013-2032), además de la estimación para el año 2012 (del cual no se dispone del dato histórico). </w:t>
      </w:r>
      <w:r w:rsidR="00390A83">
        <w:rPr>
          <w:lang w:val="es-ES"/>
        </w:rPr>
        <w:t>Las hipótesis de proyección de ingresos consideradas son las siguientes:</w:t>
      </w:r>
    </w:p>
    <w:p w:rsidR="00167771" w:rsidRPr="00EB4913" w:rsidRDefault="00390A83" w:rsidP="00A51446">
      <w:pPr>
        <w:pStyle w:val="Listaconvietas"/>
        <w:rPr>
          <w:lang w:val="es-ES"/>
        </w:rPr>
      </w:pPr>
      <w:r w:rsidRPr="00EB4913">
        <w:rPr>
          <w:b/>
          <w:lang w:val="es-ES"/>
        </w:rPr>
        <w:t>Ingresos aeronáuticos</w:t>
      </w:r>
      <w:r w:rsidRPr="00EB4913">
        <w:rPr>
          <w:lang w:val="es-ES"/>
        </w:rPr>
        <w:t xml:space="preserve">. Se han calculado a partir de la reconstrucción de </w:t>
      </w:r>
      <w:r w:rsidR="00167771" w:rsidRPr="00EB4913">
        <w:rPr>
          <w:lang w:val="es-ES"/>
        </w:rPr>
        <w:t xml:space="preserve">los diferentes rubros de ingresos </w:t>
      </w:r>
      <w:r w:rsidR="00423C94">
        <w:rPr>
          <w:lang w:val="es-ES"/>
        </w:rPr>
        <w:t xml:space="preserve">aeronáuticos que son </w:t>
      </w:r>
      <w:r w:rsidR="00167771" w:rsidRPr="00EB4913">
        <w:rPr>
          <w:lang w:val="es-ES"/>
        </w:rPr>
        <w:t>proporcionale</w:t>
      </w:r>
      <w:r w:rsidR="00423C94">
        <w:rPr>
          <w:lang w:val="es-ES"/>
        </w:rPr>
        <w:t>s</w:t>
      </w:r>
      <w:r w:rsidR="00167771" w:rsidRPr="00EB4913">
        <w:rPr>
          <w:lang w:val="es-ES"/>
        </w:rPr>
        <w:t xml:space="preserve"> a los movimientos de aeronaves esperados y al tráfico de pasajeros previsto en el capítulo de proyecciones de demanda. Se ha supuesto que las tasas aeronáuticas se mantienen constantes (tanto las aeroportuarias como las de navegación aérea). También se ha supuesto que todos los vuelos comerciales regulares, incluidos los de TAM, devengan ingresos y que todos ellos son percibidos por AASANA.</w:t>
      </w:r>
    </w:p>
    <w:p w:rsidR="00167771" w:rsidRDefault="00167771" w:rsidP="00A51446">
      <w:pPr>
        <w:pStyle w:val="Listaconvietas"/>
        <w:rPr>
          <w:lang w:val="es-ES"/>
        </w:rPr>
      </w:pPr>
      <w:r w:rsidRPr="00EB4913">
        <w:rPr>
          <w:b/>
          <w:lang w:val="es-ES"/>
        </w:rPr>
        <w:t>Ingresos comerciales</w:t>
      </w:r>
      <w:r w:rsidRPr="00EB4913">
        <w:rPr>
          <w:lang w:val="es-ES"/>
        </w:rPr>
        <w:t xml:space="preserve">. Se han calculado a partir de 2013 con la aplicación de las nuevas tarifas comerciales para hangares (en </w:t>
      </w:r>
      <w:r w:rsidR="00956DB9">
        <w:rPr>
          <w:lang w:val="es-ES"/>
        </w:rPr>
        <w:t>Trinidad</w:t>
      </w:r>
      <w:r w:rsidRPr="00EB4913">
        <w:rPr>
          <w:lang w:val="es-ES"/>
        </w:rPr>
        <w:t xml:space="preserve"> todavía no existen hangares), pero asumiendo que no hay un cambio en el modelo de explotación comercial, es decir, que los únicos ingresos comerciales consisten en las rentas de alquiler de espacios y locales y no se generarán ingresos ligados a ventas o alícuotas.</w:t>
      </w:r>
    </w:p>
    <w:p w:rsidR="00F13F63" w:rsidRDefault="00F13F63" w:rsidP="00F13F63">
      <w:pPr>
        <w:pStyle w:val="Listaconvietas"/>
        <w:numPr>
          <w:ilvl w:val="0"/>
          <w:numId w:val="0"/>
        </w:numPr>
        <w:ind w:left="357"/>
        <w:rPr>
          <w:lang w:val="es-ES"/>
        </w:rPr>
      </w:pPr>
      <w:r w:rsidRPr="00F13F63">
        <w:rPr>
          <w:lang w:val="es-ES"/>
        </w:rPr>
        <w:t>S</w:t>
      </w:r>
      <w:r>
        <w:rPr>
          <w:lang w:val="es-ES"/>
        </w:rPr>
        <w:t>e estima que el impacto de la nueva tarificación para alquileres de los 34 hangares de aviación general contabilizados puede multiplicar por 27 los ingresos anuales percibidos hasta la fecha bajo este rubro</w:t>
      </w:r>
      <w:r w:rsidR="00423C94">
        <w:rPr>
          <w:lang w:val="es-ES"/>
        </w:rPr>
        <w:t xml:space="preserve">, pudiendo obtener del orden de 300.000 nuevos USD en la cuenta de explotación (2,1 </w:t>
      </w:r>
      <w:r w:rsidR="00FE06FC">
        <w:rPr>
          <w:lang w:val="es-ES"/>
        </w:rPr>
        <w:t>Millones de</w:t>
      </w:r>
      <w:r w:rsidR="00423C94">
        <w:rPr>
          <w:lang w:val="es-ES"/>
        </w:rPr>
        <w:t xml:space="preserve"> BOB)</w:t>
      </w:r>
      <w:r>
        <w:rPr>
          <w:lang w:val="es-ES"/>
        </w:rPr>
        <w:t>:</w:t>
      </w:r>
    </w:p>
    <w:p w:rsidR="00F13F63" w:rsidRDefault="00F13F63" w:rsidP="00F13F63">
      <w:pPr>
        <w:pStyle w:val="Listaconvietas"/>
        <w:numPr>
          <w:ilvl w:val="0"/>
          <w:numId w:val="0"/>
        </w:numPr>
        <w:ind w:left="357"/>
        <w:jc w:val="center"/>
        <w:rPr>
          <w:lang w:val="es-ES"/>
        </w:rPr>
      </w:pPr>
      <w:r w:rsidRPr="00F13F63">
        <w:rPr>
          <w:noProof/>
          <w:lang w:val="es-ES" w:eastAsia="es-ES"/>
        </w:rPr>
        <w:drawing>
          <wp:inline distT="0" distB="0" distL="0" distR="0" wp14:anchorId="7718B1C0" wp14:editId="09680E29">
            <wp:extent cx="2599753" cy="24733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108" r="21311"/>
                    <a:stretch/>
                  </pic:blipFill>
                  <pic:spPr bwMode="auto">
                    <a:xfrm>
                      <a:off x="0" y="0"/>
                      <a:ext cx="2599776" cy="2473397"/>
                    </a:xfrm>
                    <a:prstGeom prst="rect">
                      <a:avLst/>
                    </a:prstGeom>
                    <a:noFill/>
                    <a:ln>
                      <a:noFill/>
                    </a:ln>
                    <a:extLst>
                      <a:ext uri="{53640926-AAD7-44D8-BBD7-CCE9431645EC}">
                        <a14:shadowObscured xmlns:a14="http://schemas.microsoft.com/office/drawing/2010/main"/>
                      </a:ext>
                    </a:extLst>
                  </pic:spPr>
                </pic:pic>
              </a:graphicData>
            </a:graphic>
          </wp:inline>
        </w:drawing>
      </w:r>
    </w:p>
    <w:p w:rsidR="00F13F63" w:rsidRPr="00AC1C46" w:rsidRDefault="00F13F63" w:rsidP="00F13F63">
      <w:pPr>
        <w:pStyle w:val="Epgrafe"/>
      </w:pPr>
      <w:bookmarkStart w:id="19" w:name="_Toc352856777"/>
      <w:r w:rsidRPr="00AC1C46">
        <w:t xml:space="preserve">Figura </w:t>
      </w:r>
      <w:fldSimple w:instr=" SEQ Figura \* ARABIC ">
        <w:r w:rsidR="008638C7">
          <w:rPr>
            <w:noProof/>
          </w:rPr>
          <w:t>9</w:t>
        </w:r>
      </w:fldSimple>
      <w:r w:rsidRPr="00AC1C46">
        <w:t xml:space="preserve">: </w:t>
      </w:r>
      <w:r w:rsidR="001232E3">
        <w:t>Efecto de la nueva tarificación en los ingresos por alquileres</w:t>
      </w:r>
      <w:r>
        <w:t xml:space="preserve"> (USD)</w:t>
      </w:r>
      <w:bookmarkEnd w:id="19"/>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F13F63" w:rsidRDefault="00F13F63" w:rsidP="00F13F63">
      <w:pPr>
        <w:pStyle w:val="Listaconvietas"/>
        <w:numPr>
          <w:ilvl w:val="0"/>
          <w:numId w:val="0"/>
        </w:numPr>
        <w:ind w:left="357"/>
        <w:jc w:val="center"/>
        <w:rPr>
          <w:lang w:val="es-ES"/>
        </w:rPr>
      </w:pPr>
    </w:p>
    <w:p w:rsidR="00167771" w:rsidRPr="00167771" w:rsidRDefault="00167771" w:rsidP="00A51446">
      <w:pPr>
        <w:pStyle w:val="Listaconvietas"/>
        <w:rPr>
          <w:lang w:val="es-ES"/>
        </w:rPr>
      </w:pPr>
      <w:r w:rsidRPr="00167771">
        <w:rPr>
          <w:lang w:val="es-ES"/>
        </w:rPr>
        <w:t xml:space="preserve">Se ha supuesto que </w:t>
      </w:r>
      <w:r w:rsidR="00F13F63">
        <w:rPr>
          <w:lang w:val="es-ES"/>
        </w:rPr>
        <w:t>el proyecto del nu</w:t>
      </w:r>
      <w:r w:rsidRPr="00167771">
        <w:rPr>
          <w:lang w:val="es-ES"/>
        </w:rPr>
        <w:t>evo terminal de pasajeros se realizará a lo largo del año 201</w:t>
      </w:r>
      <w:r w:rsidR="00F13F63">
        <w:rPr>
          <w:lang w:val="es-ES"/>
        </w:rPr>
        <w:t xml:space="preserve">3, su construcción en 2014 </w:t>
      </w:r>
      <w:r w:rsidRPr="00167771">
        <w:rPr>
          <w:lang w:val="es-ES"/>
        </w:rPr>
        <w:t xml:space="preserve">y </w:t>
      </w:r>
      <w:r w:rsidR="00F13F63">
        <w:rPr>
          <w:lang w:val="es-ES"/>
        </w:rPr>
        <w:t xml:space="preserve">su entrada en operación para el año 2015, </w:t>
      </w:r>
      <w:r w:rsidRPr="00167771">
        <w:rPr>
          <w:lang w:val="es-ES"/>
        </w:rPr>
        <w:t xml:space="preserve">con el subsiguiente incremento de </w:t>
      </w:r>
      <w:r w:rsidR="00D86CC6">
        <w:rPr>
          <w:lang w:val="es-ES"/>
        </w:rPr>
        <w:t xml:space="preserve">oficinas y </w:t>
      </w:r>
      <w:r w:rsidRPr="00167771">
        <w:rPr>
          <w:lang w:val="es-ES"/>
        </w:rPr>
        <w:t>espacios comerciales (y las rentas comerciales asociadas) a partir de ese momento.</w:t>
      </w:r>
    </w:p>
    <w:p w:rsidR="00F13F63" w:rsidRDefault="00F13F63" w:rsidP="00330B22">
      <w:pPr>
        <w:rPr>
          <w:lang w:val="es-ES"/>
        </w:rPr>
      </w:pPr>
    </w:p>
    <w:p w:rsidR="00167771" w:rsidRDefault="00167771" w:rsidP="00330B22">
      <w:pPr>
        <w:rPr>
          <w:lang w:val="es-ES"/>
        </w:rPr>
      </w:pPr>
      <w:r>
        <w:rPr>
          <w:lang w:val="es-ES"/>
        </w:rPr>
        <w:t>Los resultados obtenidos muestra</w:t>
      </w:r>
      <w:r w:rsidR="00423C94">
        <w:rPr>
          <w:lang w:val="es-ES"/>
        </w:rPr>
        <w:t>n un crecimiento esperado del +2</w:t>
      </w:r>
      <w:r>
        <w:rPr>
          <w:lang w:val="es-ES"/>
        </w:rPr>
        <w:t>,</w:t>
      </w:r>
      <w:r w:rsidR="00423C94">
        <w:rPr>
          <w:lang w:val="es-ES"/>
        </w:rPr>
        <w:t>6</w:t>
      </w:r>
      <w:r>
        <w:rPr>
          <w:lang w:val="es-ES"/>
        </w:rPr>
        <w:t>% medio anual para el período 2012-32 del total de ingresos (+</w:t>
      </w:r>
      <w:r w:rsidR="00423C94">
        <w:rPr>
          <w:lang w:val="es-ES"/>
        </w:rPr>
        <w:t>3</w:t>
      </w:r>
      <w:r>
        <w:rPr>
          <w:lang w:val="es-ES"/>
        </w:rPr>
        <w:t>,</w:t>
      </w:r>
      <w:r w:rsidR="00423C94">
        <w:rPr>
          <w:lang w:val="es-ES"/>
        </w:rPr>
        <w:t>4</w:t>
      </w:r>
      <w:r>
        <w:rPr>
          <w:lang w:val="es-ES"/>
        </w:rPr>
        <w:t>% medio anual para el escenario de tráfico alto).</w:t>
      </w:r>
    </w:p>
    <w:p w:rsidR="00167771" w:rsidRDefault="00167771" w:rsidP="00330B22">
      <w:pPr>
        <w:rPr>
          <w:lang w:val="es-ES"/>
        </w:rPr>
      </w:pPr>
    </w:p>
    <w:p w:rsidR="00390A83" w:rsidRDefault="00F13F63" w:rsidP="00330B22">
      <w:pPr>
        <w:rPr>
          <w:lang w:val="es-ES"/>
        </w:rPr>
      </w:pPr>
      <w:r w:rsidRPr="00F13F63">
        <w:rPr>
          <w:noProof/>
          <w:lang w:val="es-ES" w:eastAsia="es-ES"/>
        </w:rPr>
        <w:drawing>
          <wp:inline distT="0" distB="0" distL="0" distR="0" wp14:anchorId="77F3F4A9" wp14:editId="64FDF951">
            <wp:extent cx="5613400" cy="343560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3400" cy="3435606"/>
                    </a:xfrm>
                    <a:prstGeom prst="rect">
                      <a:avLst/>
                    </a:prstGeom>
                    <a:noFill/>
                    <a:ln>
                      <a:noFill/>
                    </a:ln>
                  </pic:spPr>
                </pic:pic>
              </a:graphicData>
            </a:graphic>
          </wp:inline>
        </w:drawing>
      </w:r>
    </w:p>
    <w:p w:rsidR="00167771" w:rsidRPr="00AC1C46" w:rsidRDefault="00167771" w:rsidP="00167771">
      <w:pPr>
        <w:pStyle w:val="Epgrafe"/>
      </w:pPr>
      <w:bookmarkStart w:id="20" w:name="_Toc352856778"/>
      <w:r w:rsidRPr="00AC1C46">
        <w:t xml:space="preserve">Figura </w:t>
      </w:r>
      <w:r w:rsidR="00C80B42">
        <w:fldChar w:fldCharType="begin"/>
      </w:r>
      <w:r w:rsidR="003F575E">
        <w:instrText xml:space="preserve"> SEQ Figura \* ARABIC </w:instrText>
      </w:r>
      <w:r w:rsidR="00C80B42">
        <w:fldChar w:fldCharType="separate"/>
      </w:r>
      <w:r w:rsidR="008638C7">
        <w:rPr>
          <w:noProof/>
        </w:rPr>
        <w:t>10</w:t>
      </w:r>
      <w:r w:rsidR="00C80B42">
        <w:rPr>
          <w:noProof/>
        </w:rPr>
        <w:fldChar w:fldCharType="end"/>
      </w:r>
      <w:r w:rsidRPr="00AC1C46">
        <w:t xml:space="preserve">: </w:t>
      </w:r>
      <w:r>
        <w:t>Ingresos de explotación previsionales</w:t>
      </w:r>
      <w:r w:rsidR="001232E3">
        <w:t xml:space="preserve">. </w:t>
      </w:r>
      <w:r>
        <w:t>2012-32</w:t>
      </w:r>
      <w:bookmarkEnd w:id="20"/>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AC1C46" w:rsidRPr="00AC1C46" w:rsidRDefault="00330B22" w:rsidP="00CC7C27">
      <w:pPr>
        <w:pStyle w:val="Ttulo3"/>
      </w:pPr>
      <w:bookmarkStart w:id="21" w:name="_Toc352856756"/>
      <w:r>
        <w:t>Cost</w:t>
      </w:r>
      <w:r w:rsidR="003466E7">
        <w:t>o</w:t>
      </w:r>
      <w:r>
        <w:t>s previsionales</w:t>
      </w:r>
      <w:bookmarkEnd w:id="21"/>
    </w:p>
    <w:p w:rsidR="00390A83" w:rsidRDefault="002C3406" w:rsidP="00390A83">
      <w:pPr>
        <w:rPr>
          <w:lang w:val="es-ES"/>
        </w:rPr>
      </w:pPr>
      <w:r>
        <w:rPr>
          <w:lang w:val="es-ES"/>
        </w:rPr>
        <w:t xml:space="preserve">En este epígrafe se muestran los resultados de la previsión de costos de explotación para el período de 20 años del Plan Maestro (2013-2032), además de la estimación para el año 2012 (del cual no se dispone del dato histórico). </w:t>
      </w:r>
      <w:r w:rsidR="00390A83">
        <w:rPr>
          <w:lang w:val="es-ES"/>
        </w:rPr>
        <w:t>Las hipótesis de proyección de costos consideradas son las siguientes:</w:t>
      </w:r>
    </w:p>
    <w:p w:rsidR="0041488E" w:rsidRPr="0041488E" w:rsidRDefault="00C1791B" w:rsidP="00A51446">
      <w:pPr>
        <w:pStyle w:val="Listaconvietas"/>
        <w:rPr>
          <w:lang w:val="es-ES"/>
        </w:rPr>
      </w:pPr>
      <w:r w:rsidRPr="003466E7">
        <w:rPr>
          <w:b/>
          <w:lang w:val="es-ES"/>
        </w:rPr>
        <w:t>“S</w:t>
      </w:r>
      <w:r w:rsidR="0041488E" w:rsidRPr="003466E7">
        <w:rPr>
          <w:b/>
          <w:lang w:val="es-ES"/>
        </w:rPr>
        <w:t>ervicios personales</w:t>
      </w:r>
      <w:r w:rsidR="003466E7">
        <w:rPr>
          <w:b/>
          <w:lang w:val="es-ES"/>
        </w:rPr>
        <w:t>”</w:t>
      </w:r>
      <w:r w:rsidR="0041488E" w:rsidRPr="003466E7">
        <w:rPr>
          <w:b/>
          <w:lang w:val="es-ES"/>
        </w:rPr>
        <w:t>,</w:t>
      </w:r>
      <w:r w:rsidRPr="003466E7">
        <w:rPr>
          <w:b/>
          <w:lang w:val="es-ES"/>
        </w:rPr>
        <w:t xml:space="preserve"> “Servicios no personales”</w:t>
      </w:r>
      <w:r w:rsidR="0041488E" w:rsidRPr="003466E7">
        <w:rPr>
          <w:b/>
          <w:lang w:val="es-ES"/>
        </w:rPr>
        <w:t xml:space="preserve"> y “Materiales”.</w:t>
      </w:r>
      <w:r w:rsidR="0041488E">
        <w:rPr>
          <w:lang w:val="es-ES"/>
        </w:rPr>
        <w:t xml:space="preserve"> Se considera que el </w:t>
      </w:r>
      <w:r w:rsidR="0041488E" w:rsidRPr="00423C94">
        <w:rPr>
          <w:i/>
          <w:lang w:val="es-ES"/>
        </w:rPr>
        <w:t>driver</w:t>
      </w:r>
      <w:r w:rsidR="0041488E">
        <w:rPr>
          <w:lang w:val="es-ES"/>
        </w:rPr>
        <w:t xml:space="preserve"> de crecimiento de estos costes es </w:t>
      </w:r>
      <w:r w:rsidR="00423C94">
        <w:rPr>
          <w:lang w:val="es-ES"/>
        </w:rPr>
        <w:t>fundamentalmente</w:t>
      </w:r>
      <w:r w:rsidR="0041488E">
        <w:rPr>
          <w:lang w:val="es-ES"/>
        </w:rPr>
        <w:t xml:space="preserve"> el crecimiento del tráfico de pasajeros. </w:t>
      </w:r>
      <w:r w:rsidR="0041488E" w:rsidRPr="0041488E">
        <w:rPr>
          <w:lang w:val="es-ES"/>
        </w:rPr>
        <w:t xml:space="preserve">Se ha considerado una elasticidad del 40% de este crecimiento de costos frente al crecimiento de dichos movimientos. Se trata de un ratio obtenido a partir de </w:t>
      </w:r>
      <w:r w:rsidR="0041488E">
        <w:rPr>
          <w:lang w:val="es-ES"/>
        </w:rPr>
        <w:t>la experiencia del consultor</w:t>
      </w:r>
      <w:r w:rsidR="0041488E" w:rsidRPr="0041488E">
        <w:rPr>
          <w:lang w:val="es-ES"/>
        </w:rPr>
        <w:t xml:space="preserve"> sobre </w:t>
      </w:r>
      <w:r w:rsidR="0041488E">
        <w:rPr>
          <w:lang w:val="es-ES"/>
        </w:rPr>
        <w:t xml:space="preserve">datos de </w:t>
      </w:r>
      <w:r w:rsidR="0041488E" w:rsidRPr="0041488E">
        <w:rPr>
          <w:lang w:val="es-ES"/>
        </w:rPr>
        <w:t>otros aeropuertos de tráfico inferior a 1 Mpax anuales.</w:t>
      </w:r>
    </w:p>
    <w:p w:rsidR="00C1791B" w:rsidRDefault="00C1791B" w:rsidP="00A51446">
      <w:pPr>
        <w:pStyle w:val="Listaconvietas"/>
        <w:rPr>
          <w:lang w:val="es-ES"/>
        </w:rPr>
      </w:pPr>
      <w:r w:rsidRPr="003466E7">
        <w:rPr>
          <w:b/>
          <w:lang w:val="es-ES"/>
        </w:rPr>
        <w:t>“Mantenimiento” y “Derechos e impuestos”.</w:t>
      </w:r>
      <w:r w:rsidRPr="0041488E">
        <w:rPr>
          <w:lang w:val="es-ES"/>
        </w:rPr>
        <w:t xml:space="preserve"> Se ha considerado que estos costes tendrán como </w:t>
      </w:r>
      <w:r w:rsidRPr="00423C94">
        <w:rPr>
          <w:i/>
          <w:lang w:val="es-ES"/>
        </w:rPr>
        <w:t>driver</w:t>
      </w:r>
      <w:r w:rsidRPr="0041488E">
        <w:rPr>
          <w:lang w:val="es-ES"/>
        </w:rPr>
        <w:t xml:space="preserve"> de crecimiento el volumen de movimientos de aeronaves que se vayan a producir en el aeropuerto. Se ha considerado una elasticidad del 40% de este crecimiento de costos frente al cr</w:t>
      </w:r>
      <w:r w:rsidR="0041488E" w:rsidRPr="0041488E">
        <w:rPr>
          <w:lang w:val="es-ES"/>
        </w:rPr>
        <w:t xml:space="preserve">ecimiento de dichos movimientos. Se trata de un ratio obtenido a partir de </w:t>
      </w:r>
      <w:r w:rsidR="0041488E">
        <w:rPr>
          <w:lang w:val="es-ES"/>
        </w:rPr>
        <w:t>la experiencia del consultor</w:t>
      </w:r>
      <w:r w:rsidR="0041488E" w:rsidRPr="0041488E">
        <w:rPr>
          <w:lang w:val="es-ES"/>
        </w:rPr>
        <w:t xml:space="preserve"> sobre </w:t>
      </w:r>
      <w:r w:rsidR="0041488E">
        <w:rPr>
          <w:lang w:val="es-ES"/>
        </w:rPr>
        <w:t xml:space="preserve">datos de </w:t>
      </w:r>
      <w:r w:rsidR="0041488E" w:rsidRPr="0041488E">
        <w:rPr>
          <w:lang w:val="es-ES"/>
        </w:rPr>
        <w:t>otros aeropuertos de tráfico inferior a 1 Mpax anuales.</w:t>
      </w:r>
    </w:p>
    <w:p w:rsidR="003466E7" w:rsidRPr="00EB4913" w:rsidRDefault="003466E7" w:rsidP="00A51446">
      <w:pPr>
        <w:pStyle w:val="Listaconvietas"/>
        <w:rPr>
          <w:lang w:val="es-ES"/>
        </w:rPr>
      </w:pPr>
      <w:r w:rsidRPr="00EB4913">
        <w:rPr>
          <w:lang w:val="es-ES"/>
        </w:rPr>
        <w:t>Los costes de las obras de mantenimiento mayor en el área de movimiento de aeronaves no se incluyen en este epígrafe puesto que se tratan como inversiones a amortizar a 30 años (recapeados y rehabilitaciones de pavimentos).</w:t>
      </w:r>
    </w:p>
    <w:p w:rsidR="003466E7" w:rsidRDefault="003466E7" w:rsidP="00A51446">
      <w:pPr>
        <w:pStyle w:val="Listaconvietas"/>
        <w:rPr>
          <w:lang w:val="es-ES"/>
        </w:rPr>
      </w:pPr>
      <w:r>
        <w:rPr>
          <w:lang w:val="es-ES"/>
        </w:rPr>
        <w:t>Se ha supuesto que el inicio de operaciones del terminal de pasajeros en 201</w:t>
      </w:r>
      <w:r w:rsidR="00423C94">
        <w:rPr>
          <w:lang w:val="es-ES"/>
        </w:rPr>
        <w:t>5</w:t>
      </w:r>
      <w:r>
        <w:rPr>
          <w:lang w:val="es-ES"/>
        </w:rPr>
        <w:t xml:space="preserve"> conllevará un incremento marginal adicional de un +15% en todos los rubros de costes de explotación, puesto que se dará apertura a un nuevo edificio de más de 5.000 m2 construidos. También se prevé para este momento la puesta en marcha del programa de mantenimiento preventivo y rutinario del área de movimiento de aeronaves.</w:t>
      </w:r>
    </w:p>
    <w:p w:rsidR="00423C94" w:rsidRDefault="00423C94" w:rsidP="00423C94">
      <w:pPr>
        <w:pStyle w:val="Listaconvietas"/>
        <w:numPr>
          <w:ilvl w:val="0"/>
          <w:numId w:val="0"/>
        </w:numPr>
        <w:ind w:left="357"/>
        <w:rPr>
          <w:lang w:val="es-ES"/>
        </w:rPr>
      </w:pPr>
    </w:p>
    <w:p w:rsidR="00F82509" w:rsidRDefault="00423C94" w:rsidP="00570C63">
      <w:r w:rsidRPr="00423C94">
        <w:rPr>
          <w:noProof/>
          <w:lang w:val="es-ES" w:eastAsia="es-ES"/>
        </w:rPr>
        <w:drawing>
          <wp:inline distT="0" distB="0" distL="0" distR="0" wp14:anchorId="7E52976D" wp14:editId="41882C3B">
            <wp:extent cx="5409954" cy="349270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9553" cy="3492450"/>
                    </a:xfrm>
                    <a:prstGeom prst="rect">
                      <a:avLst/>
                    </a:prstGeom>
                    <a:noFill/>
                    <a:ln>
                      <a:noFill/>
                    </a:ln>
                  </pic:spPr>
                </pic:pic>
              </a:graphicData>
            </a:graphic>
          </wp:inline>
        </w:drawing>
      </w:r>
    </w:p>
    <w:p w:rsidR="003466E7" w:rsidRPr="00AC1C46" w:rsidRDefault="003466E7" w:rsidP="003466E7">
      <w:pPr>
        <w:pStyle w:val="Epgrafe"/>
      </w:pPr>
      <w:bookmarkStart w:id="22" w:name="_Toc352856779"/>
      <w:r w:rsidRPr="00AC1C46">
        <w:t xml:space="preserve">Figura </w:t>
      </w:r>
      <w:r w:rsidR="00C80B42">
        <w:fldChar w:fldCharType="begin"/>
      </w:r>
      <w:r w:rsidR="003F575E">
        <w:instrText xml:space="preserve"> SEQ Figura \* ARABIC </w:instrText>
      </w:r>
      <w:r w:rsidR="00C80B42">
        <w:fldChar w:fldCharType="separate"/>
      </w:r>
      <w:r w:rsidR="008638C7">
        <w:rPr>
          <w:noProof/>
        </w:rPr>
        <w:t>11</w:t>
      </w:r>
      <w:r w:rsidR="00C80B42">
        <w:rPr>
          <w:noProof/>
        </w:rPr>
        <w:fldChar w:fldCharType="end"/>
      </w:r>
      <w:r w:rsidRPr="00AC1C46">
        <w:t xml:space="preserve">: </w:t>
      </w:r>
      <w:r>
        <w:t>Costos de explotación previsionales. 2012-32</w:t>
      </w:r>
      <w:bookmarkEnd w:id="22"/>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2C3406" w:rsidRDefault="002C3406" w:rsidP="002C3406">
      <w:pPr>
        <w:rPr>
          <w:lang w:val="es-ES"/>
        </w:rPr>
      </w:pPr>
      <w:r>
        <w:rPr>
          <w:lang w:val="es-ES"/>
        </w:rPr>
        <w:t>Los resultados obtenidos muestran un crecimiento esperado del +2,0% medio anual para el período 2012-32 del total de costos (+2,5% medio anual para el escenario de tráfico alto).</w:t>
      </w:r>
    </w:p>
    <w:p w:rsidR="00F56C87" w:rsidRDefault="00F56C87" w:rsidP="00CC7C27">
      <w:pPr>
        <w:pStyle w:val="Ttulo3"/>
      </w:pPr>
      <w:bookmarkStart w:id="23" w:name="_Toc352856757"/>
      <w:r>
        <w:t>Indicadores de explotación</w:t>
      </w:r>
      <w:bookmarkEnd w:id="23"/>
    </w:p>
    <w:p w:rsidR="00D900A9" w:rsidRDefault="00F56C87" w:rsidP="00D86CC6">
      <w:pPr>
        <w:rPr>
          <w:lang w:val="es-ES"/>
        </w:rPr>
      </w:pPr>
      <w:r>
        <w:rPr>
          <w:lang w:val="es-ES"/>
        </w:rPr>
        <w:t>A continuación se muestran los principales indicadores de explotación</w:t>
      </w:r>
      <w:r w:rsidR="00FF6AB8">
        <w:rPr>
          <w:lang w:val="es-ES"/>
        </w:rPr>
        <w:t xml:space="preserve"> para el escenario de tráfico base</w:t>
      </w:r>
      <w:r>
        <w:rPr>
          <w:lang w:val="es-ES"/>
        </w:rPr>
        <w:t>. Se observa que  con</w:t>
      </w:r>
      <w:r w:rsidR="00D900A9">
        <w:rPr>
          <w:lang w:val="es-ES"/>
        </w:rPr>
        <w:t xml:space="preserve"> </w:t>
      </w:r>
      <w:r w:rsidR="005946ED">
        <w:rPr>
          <w:lang w:val="es-ES"/>
        </w:rPr>
        <w:t>la ayuda</w:t>
      </w:r>
      <w:r w:rsidR="00D900A9">
        <w:rPr>
          <w:lang w:val="es-ES"/>
        </w:rPr>
        <w:t xml:space="preserve"> de ingresos comerciales será</w:t>
      </w:r>
      <w:r>
        <w:rPr>
          <w:lang w:val="es-ES"/>
        </w:rPr>
        <w:t xml:space="preserve"> posible</w:t>
      </w:r>
      <w:r w:rsidR="00D900A9">
        <w:rPr>
          <w:lang w:val="es-ES"/>
        </w:rPr>
        <w:t>, al menos a corto y medio plazo,</w:t>
      </w:r>
      <w:r>
        <w:rPr>
          <w:lang w:val="es-ES"/>
        </w:rPr>
        <w:t xml:space="preserve"> incrementar el ratio de ingresos por pasajero. </w:t>
      </w:r>
    </w:p>
    <w:p w:rsidR="005946ED" w:rsidRDefault="005946ED" w:rsidP="005946ED">
      <w:pPr>
        <w:rPr>
          <w:lang w:val="es-ES"/>
        </w:rPr>
      </w:pPr>
      <w:r w:rsidRPr="00D900A9">
        <w:rPr>
          <w:noProof/>
          <w:lang w:val="es-ES" w:eastAsia="es-ES"/>
        </w:rPr>
        <w:drawing>
          <wp:inline distT="0" distB="0" distL="0" distR="0" wp14:anchorId="2015A22F" wp14:editId="78FBBB3D">
            <wp:extent cx="5613400" cy="266505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3400" cy="2665051"/>
                    </a:xfrm>
                    <a:prstGeom prst="rect">
                      <a:avLst/>
                    </a:prstGeom>
                    <a:noFill/>
                    <a:ln>
                      <a:noFill/>
                    </a:ln>
                  </pic:spPr>
                </pic:pic>
              </a:graphicData>
            </a:graphic>
          </wp:inline>
        </w:drawing>
      </w:r>
    </w:p>
    <w:p w:rsidR="005946ED" w:rsidRPr="00AC1C46" w:rsidRDefault="005946ED" w:rsidP="005946ED">
      <w:pPr>
        <w:pStyle w:val="Epgrafe"/>
      </w:pPr>
      <w:bookmarkStart w:id="24" w:name="_Toc352856780"/>
      <w:r w:rsidRPr="00AC1C46">
        <w:t xml:space="preserve">Figura </w:t>
      </w:r>
      <w:fldSimple w:instr=" SEQ Figura \* ARABIC ">
        <w:r w:rsidR="008638C7">
          <w:rPr>
            <w:noProof/>
          </w:rPr>
          <w:t>12</w:t>
        </w:r>
      </w:fldSimple>
      <w:r w:rsidRPr="00AC1C46">
        <w:t xml:space="preserve">: </w:t>
      </w:r>
      <w:r>
        <w:t>Indicadores de explotación en el escenario de tráfico base. 2012-32</w:t>
      </w:r>
      <w:bookmarkEnd w:id="24"/>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FF6AB8" w:rsidRPr="00D86CC6" w:rsidRDefault="00D900A9" w:rsidP="00D86CC6">
      <w:pPr>
        <w:rPr>
          <w:lang w:val="es-ES"/>
        </w:rPr>
      </w:pPr>
      <w:r>
        <w:rPr>
          <w:lang w:val="es-ES"/>
        </w:rPr>
        <w:t xml:space="preserve">No obstante, se pone de manifiesto que </w:t>
      </w:r>
      <w:r w:rsidR="00F56C87">
        <w:rPr>
          <w:lang w:val="es-ES"/>
        </w:rPr>
        <w:t>la estructura de costes actual</w:t>
      </w:r>
      <w:r>
        <w:rPr>
          <w:lang w:val="es-ES"/>
        </w:rPr>
        <w:t xml:space="preserve"> está fuera de mercado al presentar valores alrededor de 11-13 USD</w:t>
      </w:r>
      <w:r w:rsidR="00AF6A45" w:rsidRPr="00AF6A45">
        <w:rPr>
          <w:lang w:val="es-ES"/>
        </w:rPr>
        <w:t xml:space="preserve"> </w:t>
      </w:r>
      <w:r w:rsidR="00AF6A45">
        <w:rPr>
          <w:lang w:val="es-ES"/>
        </w:rPr>
        <w:t>por pasajero</w:t>
      </w:r>
      <w:r>
        <w:rPr>
          <w:lang w:val="es-ES"/>
        </w:rPr>
        <w:t>. S</w:t>
      </w:r>
      <w:r w:rsidR="00F56C87">
        <w:rPr>
          <w:lang w:val="es-ES"/>
        </w:rPr>
        <w:t xml:space="preserve">erá posible reducir el costo unitario por pasajero pero seguirá manteniéndose </w:t>
      </w:r>
      <w:r>
        <w:rPr>
          <w:lang w:val="es-ES"/>
        </w:rPr>
        <w:t xml:space="preserve">en valores muy por encima de los ratios habituales en la industria, típicamente entre </w:t>
      </w:r>
      <w:r w:rsidR="007934B2">
        <w:rPr>
          <w:lang w:val="es-ES"/>
        </w:rPr>
        <w:t>2-5</w:t>
      </w:r>
      <w:r w:rsidR="00991DDE">
        <w:rPr>
          <w:lang w:val="es-ES"/>
        </w:rPr>
        <w:t xml:space="preserve"> USD</w:t>
      </w:r>
      <w:r w:rsidR="00AF6A45" w:rsidRPr="00AF6A45">
        <w:rPr>
          <w:lang w:val="es-ES"/>
        </w:rPr>
        <w:t xml:space="preserve"> </w:t>
      </w:r>
      <w:r w:rsidR="00AF6A45">
        <w:rPr>
          <w:lang w:val="es-ES"/>
        </w:rPr>
        <w:t xml:space="preserve">por pasajero </w:t>
      </w:r>
      <w:r w:rsidR="00991DDE">
        <w:rPr>
          <w:lang w:val="es-ES"/>
        </w:rPr>
        <w:t>para aeropuertos de tr</w:t>
      </w:r>
      <w:r w:rsidR="007934B2">
        <w:rPr>
          <w:lang w:val="es-ES"/>
        </w:rPr>
        <w:t xml:space="preserve">áfico inferior a 1 </w:t>
      </w:r>
      <w:r w:rsidR="00AF6A45">
        <w:rPr>
          <w:lang w:val="es-ES"/>
        </w:rPr>
        <w:t>millón de parajeros</w:t>
      </w:r>
      <w:r w:rsidR="007934B2">
        <w:rPr>
          <w:lang w:val="es-ES"/>
        </w:rPr>
        <w:t xml:space="preserve"> anuales</w:t>
      </w:r>
      <w:r w:rsidR="00991DDE">
        <w:rPr>
          <w:lang w:val="es-ES"/>
        </w:rPr>
        <w:t>.</w:t>
      </w:r>
    </w:p>
    <w:p w:rsidR="008365E1" w:rsidRDefault="008365E1">
      <w:pPr>
        <w:spacing w:before="0" w:after="200" w:line="276" w:lineRule="auto"/>
        <w:jc w:val="left"/>
        <w:rPr>
          <w:rFonts w:asciiTheme="majorHAnsi" w:eastAsiaTheme="majorEastAsia" w:hAnsiTheme="majorHAnsi" w:cstheme="majorBidi"/>
          <w:b/>
          <w:bCs/>
          <w:color w:val="1D5C0C" w:themeColor="accent1"/>
          <w:sz w:val="28"/>
          <w:szCs w:val="28"/>
          <w:lang w:val="es-ES"/>
        </w:rPr>
      </w:pPr>
      <w:r>
        <w:br w:type="page"/>
      </w:r>
    </w:p>
    <w:p w:rsidR="00F82509" w:rsidRDefault="00AC44EB" w:rsidP="00CC7C27">
      <w:pPr>
        <w:pStyle w:val="Ttulo2"/>
      </w:pPr>
      <w:bookmarkStart w:id="25" w:name="_Toc352856758"/>
      <w:r>
        <w:t>Flujo de caja</w:t>
      </w:r>
      <w:r w:rsidR="00F82509" w:rsidRPr="00AC1C46">
        <w:t xml:space="preserve"> previsional del proyecto</w:t>
      </w:r>
      <w:bookmarkEnd w:id="25"/>
    </w:p>
    <w:p w:rsidR="00855C12" w:rsidRDefault="00855C12" w:rsidP="00CC7C27">
      <w:pPr>
        <w:pStyle w:val="Ttulo3"/>
      </w:pPr>
      <w:bookmarkStart w:id="26" w:name="_Toc352856759"/>
      <w:r>
        <w:t>EBITDA previsional</w:t>
      </w:r>
      <w:bookmarkEnd w:id="26"/>
    </w:p>
    <w:p w:rsidR="00855C12" w:rsidRDefault="00855C12" w:rsidP="00855C12">
      <w:pPr>
        <w:rPr>
          <w:lang w:val="es-ES"/>
        </w:rPr>
      </w:pPr>
      <w:r>
        <w:rPr>
          <w:lang w:val="es-ES"/>
        </w:rPr>
        <w:t>A partir de las cuentas de ingresos y costos previsionales de epígrafes anteriores es posible reconstruir la cuenta de explotación y obtener el resultado de explotación, que se muestra negativo a lo largo de todo el período. Aunque los costos aumenten porcentualmente menos que los ingresos a lo largo del período, la estructura tarifaria y el crecimiento del tráfico se muestran insuficientes para afrontar la estructura de costes actual y esperada.</w:t>
      </w:r>
    </w:p>
    <w:p w:rsidR="00853A76" w:rsidRDefault="00853A76" w:rsidP="00855C12">
      <w:pPr>
        <w:rPr>
          <w:lang w:val="es-ES"/>
        </w:rPr>
      </w:pPr>
      <w:r>
        <w:rPr>
          <w:lang w:val="es-ES"/>
        </w:rPr>
        <w:t xml:space="preserve">En la actualidad se estima que los costos </w:t>
      </w:r>
      <w:r w:rsidR="009934BF">
        <w:rPr>
          <w:lang w:val="es-ES"/>
        </w:rPr>
        <w:t xml:space="preserve">más que </w:t>
      </w:r>
      <w:r>
        <w:rPr>
          <w:lang w:val="es-ES"/>
        </w:rPr>
        <w:t>duplican los ingresos de explotación</w:t>
      </w:r>
      <w:r w:rsidR="00D96D14">
        <w:rPr>
          <w:lang w:val="es-ES"/>
        </w:rPr>
        <w:t xml:space="preserve"> (EBITDA negativo totaliza algo menos de </w:t>
      </w:r>
      <w:r w:rsidR="009934BF">
        <w:rPr>
          <w:lang w:val="es-ES"/>
        </w:rPr>
        <w:t xml:space="preserve">1,4 </w:t>
      </w:r>
      <w:r w:rsidR="00FE06FC">
        <w:rPr>
          <w:lang w:val="es-ES"/>
        </w:rPr>
        <w:t>Millones de</w:t>
      </w:r>
      <w:r w:rsidR="00D96D14">
        <w:rPr>
          <w:lang w:val="es-ES"/>
        </w:rPr>
        <w:t xml:space="preserve"> USD anuales</w:t>
      </w:r>
      <w:r w:rsidR="009934BF">
        <w:rPr>
          <w:lang w:val="es-ES"/>
        </w:rPr>
        <w:t xml:space="preserve">, 9,7 </w:t>
      </w:r>
      <w:r w:rsidR="00FE06FC">
        <w:rPr>
          <w:lang w:val="es-ES"/>
        </w:rPr>
        <w:t>Millones de</w:t>
      </w:r>
      <w:r w:rsidR="009934BF">
        <w:rPr>
          <w:lang w:val="es-ES"/>
        </w:rPr>
        <w:t xml:space="preserve"> BOB</w:t>
      </w:r>
      <w:r w:rsidR="00D96D14">
        <w:rPr>
          <w:lang w:val="es-ES"/>
        </w:rPr>
        <w:t>)</w:t>
      </w:r>
      <w:r>
        <w:rPr>
          <w:lang w:val="es-ES"/>
        </w:rPr>
        <w:t xml:space="preserve">. Bajo las hipótesis asumidas del modelo, se espera que en términos absolutos esta situación mejore de modo que los ingresos compensen </w:t>
      </w:r>
      <w:r w:rsidR="009934BF">
        <w:rPr>
          <w:lang w:val="es-ES"/>
        </w:rPr>
        <w:t>aproximadamente el</w:t>
      </w:r>
      <w:r>
        <w:rPr>
          <w:lang w:val="es-ES"/>
        </w:rPr>
        <w:t xml:space="preserve">  60% de los costos hacia el final del período de estudio.</w:t>
      </w:r>
    </w:p>
    <w:p w:rsidR="009934BF" w:rsidRDefault="009934BF" w:rsidP="00855C12">
      <w:pPr>
        <w:rPr>
          <w:lang w:val="es-ES"/>
        </w:rPr>
      </w:pPr>
    </w:p>
    <w:p w:rsidR="00F82509" w:rsidRDefault="009934BF" w:rsidP="00EB4913">
      <w:pPr>
        <w:jc w:val="center"/>
      </w:pPr>
      <w:r w:rsidRPr="009934BF">
        <w:rPr>
          <w:noProof/>
          <w:lang w:val="es-ES" w:eastAsia="es-ES"/>
        </w:rPr>
        <w:drawing>
          <wp:inline distT="0" distB="0" distL="0" distR="0" wp14:anchorId="6C4B0F04" wp14:editId="168BF009">
            <wp:extent cx="5613400" cy="24140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3400" cy="2414040"/>
                    </a:xfrm>
                    <a:prstGeom prst="rect">
                      <a:avLst/>
                    </a:prstGeom>
                    <a:noFill/>
                    <a:ln>
                      <a:noFill/>
                    </a:ln>
                  </pic:spPr>
                </pic:pic>
              </a:graphicData>
            </a:graphic>
          </wp:inline>
        </w:drawing>
      </w:r>
    </w:p>
    <w:p w:rsidR="00853A76" w:rsidRPr="00AC1C46" w:rsidRDefault="00853A76" w:rsidP="00853A76">
      <w:pPr>
        <w:pStyle w:val="Epgrafe"/>
      </w:pPr>
      <w:bookmarkStart w:id="27" w:name="_Toc352856781"/>
      <w:r w:rsidRPr="00AC1C46">
        <w:t xml:space="preserve">Figura </w:t>
      </w:r>
      <w:r w:rsidR="00C80B42">
        <w:fldChar w:fldCharType="begin"/>
      </w:r>
      <w:r w:rsidR="003F575E">
        <w:instrText xml:space="preserve"> SEQ Figura \* ARABIC </w:instrText>
      </w:r>
      <w:r w:rsidR="00C80B42">
        <w:fldChar w:fldCharType="separate"/>
      </w:r>
      <w:r w:rsidR="008638C7">
        <w:rPr>
          <w:noProof/>
        </w:rPr>
        <w:t>13</w:t>
      </w:r>
      <w:r w:rsidR="00C80B42">
        <w:rPr>
          <w:noProof/>
        </w:rPr>
        <w:fldChar w:fldCharType="end"/>
      </w:r>
      <w:r w:rsidRPr="00AC1C46">
        <w:t xml:space="preserve">: </w:t>
      </w:r>
      <w:r>
        <w:t>EBITDA previsional en el escenario de tráfico base. 2012-32</w:t>
      </w:r>
      <w:bookmarkEnd w:id="27"/>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9934BF" w:rsidRPr="009934BF" w:rsidRDefault="005946ED" w:rsidP="009934BF">
      <w:pPr>
        <w:rPr>
          <w:lang w:val="es-ES"/>
        </w:rPr>
      </w:pPr>
      <w:r>
        <w:rPr>
          <w:lang w:val="es-ES"/>
        </w:rPr>
        <w:t xml:space="preserve">Esta situación pone en evidencia la necesidad de subsidios por parte del </w:t>
      </w:r>
      <w:r w:rsidR="008D29A4">
        <w:rPr>
          <w:lang w:val="es-ES"/>
        </w:rPr>
        <w:t xml:space="preserve">estado </w:t>
      </w:r>
      <w:r>
        <w:rPr>
          <w:lang w:val="es-ES"/>
        </w:rPr>
        <w:t>para</w:t>
      </w:r>
      <w:r w:rsidR="008D29A4">
        <w:rPr>
          <w:lang w:val="es-ES"/>
        </w:rPr>
        <w:t xml:space="preserve"> mantener la actividad. Si bien en el aeropuerto de Trinidad la operación tiene un resultado deficitario, la mayoría de los aeropuertos de Bolivia presentan una situación análoga y requieren de subsidios estatales para operar.</w:t>
      </w:r>
    </w:p>
    <w:p w:rsidR="00853A76" w:rsidRDefault="00853A76" w:rsidP="00CC7C27">
      <w:pPr>
        <w:pStyle w:val="Ttulo3"/>
      </w:pPr>
      <w:bookmarkStart w:id="28" w:name="_Toc352856760"/>
      <w:r>
        <w:t>Flujo de caja de inversiones y flujo de caja (financiero) del proyecto</w:t>
      </w:r>
      <w:bookmarkEnd w:id="28"/>
    </w:p>
    <w:p w:rsidR="00D96D14" w:rsidRDefault="00D96D14" w:rsidP="008C7A19">
      <w:pPr>
        <w:rPr>
          <w:lang w:val="es-ES"/>
        </w:rPr>
      </w:pPr>
      <w:r>
        <w:rPr>
          <w:lang w:val="es-ES"/>
        </w:rPr>
        <w:t xml:space="preserve">A continuación se muestra el flujo de caja libre obtenido para el proyecto de inversión, considerando los montos del capítulo de Inversiones de este Plan Maestro. </w:t>
      </w:r>
    </w:p>
    <w:p w:rsidR="008C7A19" w:rsidRDefault="00D96D14" w:rsidP="008C7A19">
      <w:pPr>
        <w:rPr>
          <w:lang w:val="es-ES"/>
        </w:rPr>
      </w:pPr>
      <w:r>
        <w:rPr>
          <w:lang w:val="es-ES"/>
        </w:rPr>
        <w:t xml:space="preserve">Los montos de inversión totalizan </w:t>
      </w:r>
      <w:r w:rsidR="00FE06FC">
        <w:rPr>
          <w:lang w:val="es-ES"/>
        </w:rPr>
        <w:t>35,3</w:t>
      </w:r>
      <w:r>
        <w:rPr>
          <w:lang w:val="es-ES"/>
        </w:rPr>
        <w:t xml:space="preserve"> </w:t>
      </w:r>
      <w:r w:rsidR="00FE06FC">
        <w:rPr>
          <w:lang w:val="es-ES"/>
        </w:rPr>
        <w:t>Millones de</w:t>
      </w:r>
      <w:r>
        <w:rPr>
          <w:lang w:val="es-ES"/>
        </w:rPr>
        <w:t xml:space="preserve"> de USD (</w:t>
      </w:r>
      <w:r w:rsidR="00FE06FC">
        <w:rPr>
          <w:lang w:val="es-ES"/>
        </w:rPr>
        <w:t>245,9</w:t>
      </w:r>
      <w:r>
        <w:rPr>
          <w:lang w:val="es-ES"/>
        </w:rPr>
        <w:t xml:space="preserve"> </w:t>
      </w:r>
      <w:r w:rsidR="00FE06FC">
        <w:rPr>
          <w:lang w:val="es-ES"/>
        </w:rPr>
        <w:t>Millones de</w:t>
      </w:r>
      <w:r>
        <w:rPr>
          <w:lang w:val="es-ES"/>
        </w:rPr>
        <w:t xml:space="preserve"> BOB) para los cinco primeros años (1er Quinquenio de inversiones), de los cuales </w:t>
      </w:r>
      <w:r w:rsidR="00FE06FC">
        <w:rPr>
          <w:lang w:val="es-ES"/>
        </w:rPr>
        <w:t>7,3</w:t>
      </w:r>
      <w:r>
        <w:rPr>
          <w:lang w:val="es-ES"/>
        </w:rPr>
        <w:t xml:space="preserve"> </w:t>
      </w:r>
      <w:r w:rsidR="00FE06FC">
        <w:rPr>
          <w:lang w:val="es-ES"/>
        </w:rPr>
        <w:t>Millones de</w:t>
      </w:r>
      <w:r>
        <w:rPr>
          <w:lang w:val="es-ES"/>
        </w:rPr>
        <w:t xml:space="preserve"> USD (</w:t>
      </w:r>
      <w:r w:rsidR="00FE06FC">
        <w:rPr>
          <w:lang w:val="es-ES"/>
        </w:rPr>
        <w:t>51,0</w:t>
      </w:r>
      <w:r>
        <w:rPr>
          <w:lang w:val="es-ES"/>
        </w:rPr>
        <w:t xml:space="preserve"> </w:t>
      </w:r>
      <w:r w:rsidR="00FE06FC">
        <w:rPr>
          <w:lang w:val="es-ES"/>
        </w:rPr>
        <w:t>Millones de</w:t>
      </w:r>
      <w:r>
        <w:rPr>
          <w:lang w:val="es-ES"/>
        </w:rPr>
        <w:t xml:space="preserve"> BOB) se corresponden con las obras del nuevo terminal y accesos.</w:t>
      </w:r>
    </w:p>
    <w:p w:rsidR="00D027E3" w:rsidRDefault="00D96D14" w:rsidP="008C7A19">
      <w:pPr>
        <w:rPr>
          <w:lang w:val="es-ES"/>
        </w:rPr>
      </w:pPr>
      <w:r>
        <w:rPr>
          <w:lang w:val="es-ES"/>
        </w:rPr>
        <w:t xml:space="preserve">Al ser el resultado de explotación negativo, el efecto impositivo sobre el beneficio de explotación no tiene impacto en el flujo de caja, de modo que </w:t>
      </w:r>
      <w:r w:rsidR="00D027E3">
        <w:rPr>
          <w:lang w:val="es-ES"/>
        </w:rPr>
        <w:t>los</w:t>
      </w:r>
      <w:r>
        <w:rPr>
          <w:lang w:val="es-ES"/>
        </w:rPr>
        <w:t xml:space="preserve"> flujo</w:t>
      </w:r>
      <w:r w:rsidR="00D027E3">
        <w:rPr>
          <w:lang w:val="es-ES"/>
        </w:rPr>
        <w:t>s</w:t>
      </w:r>
      <w:r>
        <w:rPr>
          <w:lang w:val="es-ES"/>
        </w:rPr>
        <w:t xml:space="preserve"> de caja libre del proyecto se obtiene</w:t>
      </w:r>
      <w:r w:rsidR="00D027E3">
        <w:rPr>
          <w:lang w:val="es-ES"/>
        </w:rPr>
        <w:t>n</w:t>
      </w:r>
      <w:r>
        <w:rPr>
          <w:lang w:val="es-ES"/>
        </w:rPr>
        <w:t xml:space="preserve"> directamente </w:t>
      </w:r>
      <w:r w:rsidR="00D027E3">
        <w:rPr>
          <w:lang w:val="es-ES"/>
        </w:rPr>
        <w:t xml:space="preserve">año a año </w:t>
      </w:r>
      <w:r>
        <w:rPr>
          <w:lang w:val="es-ES"/>
        </w:rPr>
        <w:t xml:space="preserve">como </w:t>
      </w:r>
      <w:r w:rsidR="00D027E3">
        <w:rPr>
          <w:lang w:val="es-ES"/>
        </w:rPr>
        <w:t xml:space="preserve">la </w:t>
      </w:r>
      <w:r>
        <w:rPr>
          <w:lang w:val="es-ES"/>
        </w:rPr>
        <w:t xml:space="preserve">suma del resultado (negativo) de la explotación </w:t>
      </w:r>
      <w:r w:rsidR="00D027E3">
        <w:rPr>
          <w:lang w:val="es-ES"/>
        </w:rPr>
        <w:t xml:space="preserve">anual </w:t>
      </w:r>
      <w:r>
        <w:rPr>
          <w:lang w:val="es-ES"/>
        </w:rPr>
        <w:t xml:space="preserve">y </w:t>
      </w:r>
      <w:r w:rsidR="00D027E3">
        <w:rPr>
          <w:lang w:val="es-ES"/>
        </w:rPr>
        <w:t xml:space="preserve">el </w:t>
      </w:r>
      <w:r>
        <w:rPr>
          <w:lang w:val="es-ES"/>
        </w:rPr>
        <w:t xml:space="preserve">flujo de efectivo destinado a inversiones (infraestructuras más equipamientos previstos). </w:t>
      </w:r>
      <w:r w:rsidR="00D027E3">
        <w:rPr>
          <w:lang w:val="es-ES"/>
        </w:rPr>
        <w:t>Estos flujos de caja libre son negativos en todo el período de estudio y se muestran a continuación:</w:t>
      </w:r>
    </w:p>
    <w:p w:rsidR="00853A76" w:rsidRPr="00853A76" w:rsidRDefault="008638C7" w:rsidP="00EB4913">
      <w:pPr>
        <w:jc w:val="center"/>
        <w:rPr>
          <w:lang w:val="es-ES"/>
        </w:rPr>
      </w:pPr>
      <w:r w:rsidRPr="008638C7">
        <w:rPr>
          <w:noProof/>
          <w:lang w:val="es-ES" w:eastAsia="es-ES"/>
        </w:rPr>
        <w:drawing>
          <wp:inline distT="0" distB="0" distL="0" distR="0" wp14:anchorId="11844C2F" wp14:editId="1B6B626C">
            <wp:extent cx="5589409" cy="21630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204"/>
                    <a:stretch/>
                  </pic:blipFill>
                  <pic:spPr bwMode="auto">
                    <a:xfrm>
                      <a:off x="0" y="0"/>
                      <a:ext cx="5588592" cy="2162781"/>
                    </a:xfrm>
                    <a:prstGeom prst="rect">
                      <a:avLst/>
                    </a:prstGeom>
                    <a:noFill/>
                    <a:ln>
                      <a:noFill/>
                    </a:ln>
                    <a:extLst>
                      <a:ext uri="{53640926-AAD7-44D8-BBD7-CCE9431645EC}">
                        <a14:shadowObscured xmlns:a14="http://schemas.microsoft.com/office/drawing/2010/main"/>
                      </a:ext>
                    </a:extLst>
                  </pic:spPr>
                </pic:pic>
              </a:graphicData>
            </a:graphic>
          </wp:inline>
        </w:drawing>
      </w:r>
    </w:p>
    <w:p w:rsidR="008C7A19" w:rsidRPr="00AC1C46" w:rsidRDefault="008C7A19" w:rsidP="00FE06FC">
      <w:pPr>
        <w:pStyle w:val="Epgrafe"/>
      </w:pPr>
      <w:bookmarkStart w:id="29" w:name="_Toc352856782"/>
      <w:r w:rsidRPr="00AC1C46">
        <w:t xml:space="preserve">Figura </w:t>
      </w:r>
      <w:r w:rsidR="00C80B42">
        <w:fldChar w:fldCharType="begin"/>
      </w:r>
      <w:r w:rsidR="003F575E">
        <w:instrText xml:space="preserve"> SEQ Figura \* ARABIC </w:instrText>
      </w:r>
      <w:r w:rsidR="00C80B42">
        <w:fldChar w:fldCharType="separate"/>
      </w:r>
      <w:r w:rsidR="008638C7">
        <w:rPr>
          <w:noProof/>
        </w:rPr>
        <w:t>14</w:t>
      </w:r>
      <w:r w:rsidR="00C80B42">
        <w:rPr>
          <w:noProof/>
        </w:rPr>
        <w:fldChar w:fldCharType="end"/>
      </w:r>
      <w:r w:rsidRPr="00AC1C46">
        <w:t xml:space="preserve">: </w:t>
      </w:r>
      <w:r w:rsidR="001232E3">
        <w:t>Flujo de caja libre (financie</w:t>
      </w:r>
      <w:r w:rsidR="00FE06FC">
        <w:t>ro) sin extensión de pista. 2013</w:t>
      </w:r>
      <w:r w:rsidR="001232E3">
        <w:t>-32</w:t>
      </w:r>
      <w:bookmarkEnd w:id="29"/>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B13958" w:rsidRDefault="00B13958" w:rsidP="00855C12">
      <w:pPr>
        <w:rPr>
          <w:lang w:val="es-ES"/>
        </w:rPr>
      </w:pPr>
    </w:p>
    <w:p w:rsidR="00855C12" w:rsidRDefault="00D027E3" w:rsidP="00855C12">
      <w:pPr>
        <w:rPr>
          <w:lang w:val="es-ES"/>
        </w:rPr>
      </w:pPr>
      <w:r>
        <w:rPr>
          <w:lang w:val="es-ES"/>
        </w:rPr>
        <w:t xml:space="preserve">La extensión de la longitud de pista se ha estimado en un sobrecoste de inversión </w:t>
      </w:r>
      <w:r w:rsidR="00B13958">
        <w:rPr>
          <w:lang w:val="es-ES"/>
        </w:rPr>
        <w:t xml:space="preserve">total </w:t>
      </w:r>
      <w:r>
        <w:rPr>
          <w:lang w:val="es-ES"/>
        </w:rPr>
        <w:t xml:space="preserve">de </w:t>
      </w:r>
      <w:r w:rsidR="00B13958">
        <w:rPr>
          <w:lang w:val="es-ES"/>
        </w:rPr>
        <w:t>1,5</w:t>
      </w:r>
      <w:r>
        <w:rPr>
          <w:lang w:val="es-ES"/>
        </w:rPr>
        <w:t xml:space="preserve"> </w:t>
      </w:r>
      <w:r w:rsidR="00FE06FC">
        <w:rPr>
          <w:lang w:val="es-ES"/>
        </w:rPr>
        <w:t>Millones de</w:t>
      </w:r>
      <w:r>
        <w:rPr>
          <w:lang w:val="es-ES"/>
        </w:rPr>
        <w:t xml:space="preserve"> USD. En este escenario dos de inversión, los resultados obtenidos son los que se muestran a continuación:</w:t>
      </w:r>
    </w:p>
    <w:p w:rsidR="00D027E3" w:rsidRDefault="008638C7" w:rsidP="00EB4913">
      <w:pPr>
        <w:jc w:val="center"/>
        <w:rPr>
          <w:lang w:val="es-ES"/>
        </w:rPr>
      </w:pPr>
      <w:r w:rsidRPr="008638C7">
        <w:rPr>
          <w:noProof/>
          <w:lang w:val="es-ES" w:eastAsia="es-ES"/>
        </w:rPr>
        <w:drawing>
          <wp:inline distT="0" distB="0" distL="0" distR="0" wp14:anchorId="01AB7752" wp14:editId="2A0D2D1A">
            <wp:extent cx="5604562" cy="22909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868"/>
                    <a:stretch/>
                  </pic:blipFill>
                  <pic:spPr bwMode="auto">
                    <a:xfrm>
                      <a:off x="0" y="0"/>
                      <a:ext cx="5613120" cy="2294414"/>
                    </a:xfrm>
                    <a:prstGeom prst="rect">
                      <a:avLst/>
                    </a:prstGeom>
                    <a:noFill/>
                    <a:ln>
                      <a:noFill/>
                    </a:ln>
                    <a:extLst>
                      <a:ext uri="{53640926-AAD7-44D8-BBD7-CCE9431645EC}">
                        <a14:shadowObscured xmlns:a14="http://schemas.microsoft.com/office/drawing/2010/main"/>
                      </a:ext>
                    </a:extLst>
                  </pic:spPr>
                </pic:pic>
              </a:graphicData>
            </a:graphic>
          </wp:inline>
        </w:drawing>
      </w:r>
    </w:p>
    <w:p w:rsidR="00D027E3" w:rsidRPr="00AC1C46" w:rsidRDefault="00D027E3" w:rsidP="00D027E3">
      <w:pPr>
        <w:pStyle w:val="Epgrafe"/>
      </w:pPr>
      <w:bookmarkStart w:id="30" w:name="_Toc352856783"/>
      <w:r w:rsidRPr="00AC1C46">
        <w:t xml:space="preserve">Figura </w:t>
      </w:r>
      <w:r w:rsidR="00C80B42">
        <w:fldChar w:fldCharType="begin"/>
      </w:r>
      <w:r w:rsidR="003F575E">
        <w:instrText xml:space="preserve"> SEQ Figura \* ARABIC </w:instrText>
      </w:r>
      <w:r w:rsidR="00C80B42">
        <w:fldChar w:fldCharType="separate"/>
      </w:r>
      <w:r w:rsidR="008638C7">
        <w:rPr>
          <w:noProof/>
        </w:rPr>
        <w:t>15</w:t>
      </w:r>
      <w:r w:rsidR="00C80B42">
        <w:rPr>
          <w:noProof/>
        </w:rPr>
        <w:fldChar w:fldCharType="end"/>
      </w:r>
      <w:r w:rsidRPr="00AC1C46">
        <w:t xml:space="preserve">: </w:t>
      </w:r>
      <w:r w:rsidR="001232E3">
        <w:t>Flujo de caja libre (financie</w:t>
      </w:r>
      <w:r w:rsidR="00FE06FC">
        <w:t>ro) con extensión de pista. 2013</w:t>
      </w:r>
      <w:r w:rsidR="001232E3">
        <w:t>-32</w:t>
      </w:r>
      <w:bookmarkEnd w:id="30"/>
    </w:p>
    <w:p w:rsidR="001232E3" w:rsidRPr="00AC1C46" w:rsidRDefault="001232E3" w:rsidP="001232E3">
      <w:pPr>
        <w:pStyle w:val="Epgrafe"/>
        <w:spacing w:before="0"/>
      </w:pPr>
      <w:r w:rsidRPr="00AC1C46">
        <w:rPr>
          <w:rStyle w:val="Referenciasutil"/>
        </w:rPr>
        <w:t xml:space="preserve">Fuente: </w:t>
      </w:r>
      <w:r>
        <w:rPr>
          <w:rStyle w:val="Referenciasutil"/>
        </w:rPr>
        <w:t>Elaborado por ALG</w:t>
      </w:r>
    </w:p>
    <w:p w:rsidR="00F97F2F" w:rsidRPr="00AC1C46" w:rsidRDefault="00F97F2F" w:rsidP="00F97F2F">
      <w:pPr>
        <w:pStyle w:val="Ttulo2"/>
      </w:pPr>
      <w:bookmarkStart w:id="31" w:name="_Toc356687817"/>
      <w:r w:rsidRPr="00AC1C46">
        <w:t>Análisis coste-beneficio del proyecto</w:t>
      </w:r>
      <w:bookmarkEnd w:id="31"/>
    </w:p>
    <w:p w:rsidR="00F97F2F" w:rsidRDefault="00F97F2F" w:rsidP="00F97F2F">
      <w:pPr>
        <w:rPr>
          <w:lang w:val="es-ES"/>
        </w:rPr>
      </w:pPr>
      <w:r>
        <w:rPr>
          <w:lang w:val="es-ES"/>
        </w:rPr>
        <w:t xml:space="preserve">El análisis de la cuenta de explotación del aeropuerto indica que los flujos operativos son y serán totalmente insuficientes para cubrir los montos de inversión necesarios para acometer las obras de mejoramiento del aeropuerto de Cobija. Por tanto deberá recurrirse a fuentes de financiación externa para poder abordar el proyecto. </w:t>
      </w:r>
    </w:p>
    <w:p w:rsidR="00F97F2F" w:rsidRDefault="00F97F2F" w:rsidP="00F97F2F">
      <w:pPr>
        <w:rPr>
          <w:lang w:val="es-ES"/>
        </w:rPr>
      </w:pPr>
      <w:r>
        <w:rPr>
          <w:lang w:val="es-ES"/>
        </w:rPr>
        <w:t>Las actuaciones contempladas en este Plan Maestro, particularmente en un aeropuerto situado en una región con mala conectividad con el resto del país, tienen un indudable impacto positivo en la dinamización de la economía regional, y en la reducción de impactos sociales y ambientales en su entorno. Estos beneficios derivados del mejoramiento del aeropuerto podrán ser disfrutados por la región de Cobija después de un período de tiempo relativamente corto tras la ejecución de las obras y planes asociados.</w:t>
      </w:r>
    </w:p>
    <w:p w:rsidR="00F97F2F" w:rsidRDefault="00F97F2F" w:rsidP="00F97F2F">
      <w:pPr>
        <w:rPr>
          <w:lang w:val="es-ES"/>
        </w:rPr>
      </w:pPr>
      <w:r>
        <w:rPr>
          <w:lang w:val="es-ES"/>
        </w:rPr>
        <w:t xml:space="preserve">No obstante, estos beneficios son de segundo orden en comparación con el principal beneficio esperado, que consiste en la adecuación de las condiciones y niveles de seguridad operacional y de </w:t>
      </w:r>
      <w:r w:rsidRPr="006D3110">
        <w:rPr>
          <w:i/>
          <w:lang w:val="es-ES"/>
        </w:rPr>
        <w:t>security</w:t>
      </w:r>
      <w:r>
        <w:rPr>
          <w:lang w:val="es-ES"/>
        </w:rPr>
        <w:t xml:space="preserve"> aeroportuaria a unos mínimos exigibles por la normativa estatal (RAB) y por la internacional (OACI), que hoy por hoy no se cumplen.</w:t>
      </w:r>
    </w:p>
    <w:p w:rsidR="00F97F2F" w:rsidRDefault="00F97F2F" w:rsidP="00F97F2F">
      <w:pPr>
        <w:rPr>
          <w:lang w:val="es-ES"/>
        </w:rPr>
      </w:pPr>
      <w:r>
        <w:rPr>
          <w:lang w:val="es-ES"/>
        </w:rPr>
        <w:t xml:space="preserve">A lo largo del Plan Maestro se ha demostrado la inviabilidad de mantener operativo y abierto al tráfico comercial regular un aeropuerto como el de Cobija en unas condiciones de insalubridad e inseguridad como las actuales. La vulneración de normas de seguridad en el área de movimiento lamentablemente se ha manifestado con algunos incidentes y un accidente aéreo grave, según el registro de los últimos años. </w:t>
      </w:r>
    </w:p>
    <w:p w:rsidR="00F97F2F" w:rsidRDefault="00F97F2F" w:rsidP="00F97F2F">
      <w:pPr>
        <w:rPr>
          <w:lang w:val="es-ES"/>
        </w:rPr>
      </w:pPr>
      <w:r>
        <w:rPr>
          <w:lang w:val="es-ES"/>
        </w:rPr>
        <w:t xml:space="preserve">Además, las vulneraciones de las normas de seguridad en los procesos de tratamiento de pasajeros y maletas, así como la ausencia de </w:t>
      </w:r>
      <w:r w:rsidRPr="006E784C">
        <w:rPr>
          <w:i/>
          <w:lang w:val="es-ES"/>
        </w:rPr>
        <w:t>security</w:t>
      </w:r>
      <w:r>
        <w:rPr>
          <w:lang w:val="es-ES"/>
        </w:rPr>
        <w:t xml:space="preserve"> perimetral el aeropuerto conforme a las normas de la RAB y de la OACI, hace inviable que CIJ sea un aeropuerto certificable y que ofrezca garantías a las aerolíneas para un desarrollo y crecimiento seguro y ordenado.</w:t>
      </w:r>
    </w:p>
    <w:p w:rsidR="00F97F2F" w:rsidRDefault="00F97F2F" w:rsidP="00F97F2F">
      <w:pPr>
        <w:rPr>
          <w:lang w:val="es-ES"/>
        </w:rPr>
      </w:pPr>
      <w:r>
        <w:rPr>
          <w:lang w:val="es-ES"/>
        </w:rPr>
        <w:t xml:space="preserve">Por otro lado, cabe destacar la especial importancia de que cualquier ejercicio de financiación externa de las obras planteadas en este Plan Maestro va a requerir, </w:t>
      </w:r>
      <w:r w:rsidRPr="006E784C">
        <w:rPr>
          <w:i/>
          <w:lang w:val="es-ES"/>
        </w:rPr>
        <w:t>sine qua non</w:t>
      </w:r>
      <w:r>
        <w:rPr>
          <w:i/>
          <w:lang w:val="es-ES"/>
        </w:rPr>
        <w:t xml:space="preserve">, </w:t>
      </w:r>
      <w:r>
        <w:rPr>
          <w:lang w:val="es-ES"/>
        </w:rPr>
        <w:t xml:space="preserve"> el dar cumplimiento a la normativa estatal e internacional y el perseguir su certificación por la OACI.</w:t>
      </w:r>
    </w:p>
    <w:p w:rsidR="00F97F2F" w:rsidRDefault="00F97F2F" w:rsidP="00F97F2F">
      <w:pPr>
        <w:rPr>
          <w:lang w:val="es-ES"/>
        </w:rPr>
      </w:pPr>
      <w:r>
        <w:rPr>
          <w:lang w:val="es-ES"/>
        </w:rPr>
        <w:t>Se detallan a continuación los escenarios de la evaluación socioeconómica, la metodología e hipótesis de cálculo y los flujos obtenidos de la misma. Con la tasa de retorno planteada por el BID, los resultados son favorables y por ende justifican las obras y mejoramientos propuestos en este Plan Maestro para el aeropuerto de Cobija.</w:t>
      </w:r>
    </w:p>
    <w:p w:rsidR="00F97F2F" w:rsidRDefault="00F97F2F" w:rsidP="00F97F2F">
      <w:pPr>
        <w:rPr>
          <w:lang w:val="es-ES"/>
        </w:rPr>
      </w:pPr>
    </w:p>
    <w:p w:rsidR="00F97F2F" w:rsidRPr="00BB225E" w:rsidRDefault="00F97F2F" w:rsidP="00F97F2F">
      <w:pPr>
        <w:pStyle w:val="Ttulo3"/>
      </w:pPr>
      <w:bookmarkStart w:id="32" w:name="_Toc356687818"/>
      <w:r w:rsidRPr="00BB225E">
        <w:t xml:space="preserve">Metodología </w:t>
      </w:r>
      <w:r>
        <w:t>y escenarios de evaluación</w:t>
      </w:r>
      <w:bookmarkEnd w:id="32"/>
    </w:p>
    <w:p w:rsidR="00F97F2F" w:rsidRDefault="00F97F2F" w:rsidP="00F97F2F">
      <w:pPr>
        <w:rPr>
          <w:lang w:val="es-ES"/>
        </w:rPr>
      </w:pPr>
      <w:r>
        <w:rPr>
          <w:lang w:val="es-ES"/>
        </w:rPr>
        <w:t>La metodología empleada en el estudio de coste-beneficio está fundamentada en la “Guía de análisis coste-beneficio en proyectos de inversión en infraestructuras” de la Comisión Europea (última versión del año 2008), en la cual se establecen los principios básicos metodológicos de contabilización de beneficios de este tipo de proyectos, a menudo no autofinanciables pero justificables desde una óptica socio-económica. Se ha adaptado esta metodología a las recomendaciones empleadas por al BID.</w:t>
      </w:r>
    </w:p>
    <w:p w:rsidR="00F97F2F" w:rsidRDefault="00F97F2F" w:rsidP="00F97F2F">
      <w:pPr>
        <w:rPr>
          <w:lang w:val="es-ES"/>
        </w:rPr>
      </w:pPr>
      <w:r>
        <w:rPr>
          <w:lang w:val="es-ES"/>
        </w:rPr>
        <w:t>Los beneficios socioeconómicos se dividen por su naturaleza: beneficios directos, ligados a los ahorros de tiempos de trayectos, y externalidades (beneficios de segundo orden).</w:t>
      </w:r>
    </w:p>
    <w:p w:rsidR="00F97F2F" w:rsidRDefault="00F97F2F" w:rsidP="00F97F2F">
      <w:pPr>
        <w:rPr>
          <w:lang w:val="es-ES"/>
        </w:rPr>
      </w:pPr>
      <w:r>
        <w:rPr>
          <w:lang w:val="es-ES"/>
        </w:rPr>
        <w:t xml:space="preserve">En la evaluación de beneficios directos se ha atendido al cálculo de los beneficios ligados a ahorros de tiempos y los ligados a costes de trayectos. Como única externalidad, únicamente se ha considerado la accidentabilidad del modo terrestre, como se verá a continuación. </w:t>
      </w:r>
    </w:p>
    <w:p w:rsidR="00F97F2F" w:rsidRDefault="00F97F2F" w:rsidP="00F97F2F">
      <w:pPr>
        <w:rPr>
          <w:lang w:val="es-ES"/>
        </w:rPr>
      </w:pPr>
      <w:r>
        <w:rPr>
          <w:lang w:val="es-ES"/>
        </w:rPr>
        <w:t>En línea con la buena praxis que recomienda la guía metodológica utilizada, se constata que se han seguido los pasos previos adecuados en este Plan Maestro para la realización de un análisis coste-beneficio socio-económico:</w:t>
      </w:r>
    </w:p>
    <w:p w:rsidR="00F97F2F" w:rsidRDefault="00F97F2F" w:rsidP="00F97F2F">
      <w:pPr>
        <w:pStyle w:val="Listaconvietas"/>
        <w:ind w:left="360" w:hanging="360"/>
        <w:rPr>
          <w:lang w:val="es-ES"/>
        </w:rPr>
      </w:pPr>
      <w:r w:rsidRPr="00B20CF4">
        <w:rPr>
          <w:lang w:val="es-ES"/>
        </w:rPr>
        <w:t>Análisis del contexto</w:t>
      </w:r>
      <w:r>
        <w:rPr>
          <w:lang w:val="es-ES"/>
        </w:rPr>
        <w:t xml:space="preserve"> socioeconómico de la región en la que se ubica</w:t>
      </w:r>
      <w:r w:rsidR="00E61F55">
        <w:rPr>
          <w:lang w:val="es-ES"/>
        </w:rPr>
        <w:t xml:space="preserve"> </w:t>
      </w:r>
      <w:r>
        <w:rPr>
          <w:lang w:val="es-ES"/>
        </w:rPr>
        <w:t>Trinidad (Beni)</w:t>
      </w:r>
      <w:r w:rsidRPr="00B20CF4">
        <w:rPr>
          <w:lang w:val="es-ES"/>
        </w:rPr>
        <w:t xml:space="preserve"> </w:t>
      </w:r>
    </w:p>
    <w:p w:rsidR="00F97F2F" w:rsidRPr="00B20CF4" w:rsidRDefault="00F97F2F" w:rsidP="00F97F2F">
      <w:pPr>
        <w:pStyle w:val="Listaconvietas"/>
        <w:ind w:left="360" w:hanging="360"/>
        <w:rPr>
          <w:lang w:val="es-ES"/>
        </w:rPr>
      </w:pPr>
      <w:r w:rsidRPr="00B20CF4">
        <w:rPr>
          <w:lang w:val="es-ES"/>
        </w:rPr>
        <w:t>La identificación clara del proyecto (obras y actuaciones de mejoramiento en infraestructuras y equipamientos en área de movimiento de aeronaves y área terminal)</w:t>
      </w:r>
    </w:p>
    <w:p w:rsidR="00F97F2F" w:rsidRPr="00B20CF4" w:rsidRDefault="00F97F2F" w:rsidP="00F97F2F">
      <w:pPr>
        <w:pStyle w:val="Listaconvietas"/>
        <w:ind w:left="360" w:hanging="360"/>
        <w:rPr>
          <w:lang w:val="es-ES"/>
        </w:rPr>
      </w:pPr>
      <w:r w:rsidRPr="00B20CF4">
        <w:rPr>
          <w:lang w:val="es-ES"/>
        </w:rPr>
        <w:t>El estudio de las diversas alternativas de crecimiento del aeropuerto y la definición de un programa de desarrollo para la opción seleccionada.</w:t>
      </w:r>
    </w:p>
    <w:p w:rsidR="00F97F2F" w:rsidRDefault="00F97F2F" w:rsidP="00F97F2F">
      <w:pPr>
        <w:pStyle w:val="Listaconvietas"/>
        <w:ind w:left="360" w:hanging="360"/>
        <w:rPr>
          <w:lang w:val="es-ES"/>
        </w:rPr>
      </w:pPr>
      <w:r w:rsidRPr="00B20CF4">
        <w:rPr>
          <w:lang w:val="es-ES"/>
        </w:rPr>
        <w:t>Un análisis financiero del proyecto, en el cual se evidencia un flujo de caja libre del proyecto negativo durante todo el período de estudio y se identifican las necesidades de financiación del mismo para aco</w:t>
      </w:r>
      <w:r w:rsidR="00E61F55">
        <w:rPr>
          <w:lang w:val="es-ES"/>
        </w:rPr>
        <w:t>meter las obras de mejoramiento</w:t>
      </w:r>
    </w:p>
    <w:p w:rsidR="00F97F2F" w:rsidRDefault="00F97F2F" w:rsidP="00F97F2F">
      <w:pPr>
        <w:rPr>
          <w:lang w:val="es-ES"/>
        </w:rPr>
      </w:pPr>
      <w:r>
        <w:rPr>
          <w:lang w:val="es-ES"/>
        </w:rPr>
        <w:t xml:space="preserve">Los </w:t>
      </w:r>
      <w:r w:rsidRPr="002C4C26">
        <w:rPr>
          <w:b/>
          <w:lang w:val="es-ES"/>
        </w:rPr>
        <w:t>escenarios</w:t>
      </w:r>
      <w:r>
        <w:rPr>
          <w:lang w:val="es-ES"/>
        </w:rPr>
        <w:t xml:space="preserve"> analizados en la evaluación coste-beneficio se resumen en dos:</w:t>
      </w:r>
    </w:p>
    <w:p w:rsidR="00F97F2F" w:rsidRDefault="00F97F2F" w:rsidP="00F97F2F">
      <w:pPr>
        <w:pStyle w:val="Listaconvietas"/>
        <w:numPr>
          <w:ilvl w:val="0"/>
          <w:numId w:val="38"/>
        </w:numPr>
        <w:rPr>
          <w:lang w:val="es-ES"/>
        </w:rPr>
      </w:pPr>
      <w:r w:rsidRPr="003C0918">
        <w:rPr>
          <w:lang w:val="es-ES"/>
        </w:rPr>
        <w:t xml:space="preserve">El </w:t>
      </w:r>
      <w:r w:rsidRPr="001A14EC">
        <w:rPr>
          <w:b/>
          <w:lang w:val="es-ES"/>
        </w:rPr>
        <w:t>escenario “Con proyecto”,</w:t>
      </w:r>
      <w:r>
        <w:rPr>
          <w:lang w:val="es-ES"/>
        </w:rPr>
        <w:t xml:space="preserve"> </w:t>
      </w:r>
      <w:r w:rsidRPr="003C0918">
        <w:rPr>
          <w:lang w:val="es-ES"/>
        </w:rPr>
        <w:t>en el cual se acometen</w:t>
      </w:r>
      <w:r>
        <w:rPr>
          <w:lang w:val="es-ES"/>
        </w:rPr>
        <w:t xml:space="preserve"> todas las obras en infraestructura y equipamientos descritas en el capítulo de inversiones de este Plan Maestro (tanto de seguridad como de capacidad), y se implementa el programa de mantenimiento </w:t>
      </w:r>
      <w:r w:rsidRPr="00C96C96">
        <w:rPr>
          <w:i/>
          <w:lang w:val="es-ES"/>
        </w:rPr>
        <w:t>ad hoc</w:t>
      </w:r>
      <w:r>
        <w:rPr>
          <w:lang w:val="es-ES"/>
        </w:rPr>
        <w:t>. En estas condiciones, se prevé un aeropuerto certificable por la OACI y con niveles adecuados de seguridad operacional.</w:t>
      </w:r>
    </w:p>
    <w:p w:rsidR="00F97F2F" w:rsidRDefault="00F97F2F" w:rsidP="00F97F2F">
      <w:pPr>
        <w:pStyle w:val="Listaconvietas"/>
        <w:numPr>
          <w:ilvl w:val="0"/>
          <w:numId w:val="38"/>
        </w:numPr>
        <w:rPr>
          <w:lang w:val="es-ES"/>
        </w:rPr>
      </w:pPr>
      <w:r w:rsidRPr="001A14EC">
        <w:rPr>
          <w:lang w:val="es-ES"/>
        </w:rPr>
        <w:t xml:space="preserve">El </w:t>
      </w:r>
      <w:r w:rsidRPr="001A14EC">
        <w:rPr>
          <w:b/>
          <w:lang w:val="es-ES"/>
        </w:rPr>
        <w:t>escenario “Sin proyecto”,</w:t>
      </w:r>
      <w:r w:rsidRPr="001A14EC">
        <w:rPr>
          <w:lang w:val="es-ES"/>
        </w:rPr>
        <w:t xml:space="preserve"> es decir sin inversiones en infraestructura. Este segundo escenario se caracteriza por </w:t>
      </w:r>
      <w:r>
        <w:rPr>
          <w:lang w:val="es-ES"/>
        </w:rPr>
        <w:t>la alta probabilidad</w:t>
      </w:r>
      <w:r w:rsidRPr="001A14EC">
        <w:rPr>
          <w:lang w:val="es-ES"/>
        </w:rPr>
        <w:t xml:space="preserve"> de que se vuelva a producir un accidente grave de aviación en el entorno aeroportuario, con un riesgo incluso para la población que se encuentra adyacente al aeropuerto. </w:t>
      </w:r>
      <w:r>
        <w:rPr>
          <w:lang w:val="es-ES"/>
        </w:rPr>
        <w:t>Se ha supuesto que esta situación (accidente en el escenario Sin Proyecto) podría suceder con probabilidad evaluada como alta en algún momento del primer Quinquenio del Plan Maestro.</w:t>
      </w:r>
    </w:p>
    <w:p w:rsidR="00F97F2F" w:rsidRDefault="00F97F2F" w:rsidP="00F97F2F">
      <w:pPr>
        <w:pStyle w:val="Listaconvietas"/>
        <w:numPr>
          <w:ilvl w:val="0"/>
          <w:numId w:val="0"/>
        </w:numPr>
        <w:ind w:left="720"/>
        <w:rPr>
          <w:lang w:val="es-ES"/>
        </w:rPr>
      </w:pPr>
      <w:r w:rsidRPr="001A14EC">
        <w:rPr>
          <w:lang w:val="es-ES"/>
        </w:rPr>
        <w:t>Atendiendo a</w:t>
      </w:r>
      <w:r>
        <w:rPr>
          <w:lang w:val="es-ES"/>
        </w:rPr>
        <w:t xml:space="preserve"> un</w:t>
      </w:r>
      <w:r w:rsidRPr="001A14EC">
        <w:rPr>
          <w:lang w:val="es-ES"/>
        </w:rPr>
        <w:t xml:space="preserve"> criterio de prudencia, lo más probable es que presentada </w:t>
      </w:r>
      <w:r>
        <w:rPr>
          <w:lang w:val="es-ES"/>
        </w:rPr>
        <w:t>la</w:t>
      </w:r>
      <w:r w:rsidRPr="001A14EC">
        <w:rPr>
          <w:lang w:val="es-ES"/>
        </w:rPr>
        <w:t xml:space="preserve"> situación</w:t>
      </w:r>
      <w:r>
        <w:rPr>
          <w:lang w:val="es-ES"/>
        </w:rPr>
        <w:t xml:space="preserve"> de accidente grave</w:t>
      </w:r>
      <w:r w:rsidRPr="001A14EC">
        <w:rPr>
          <w:lang w:val="es-ES"/>
        </w:rPr>
        <w:t>,</w:t>
      </w:r>
      <w:r>
        <w:rPr>
          <w:lang w:val="es-ES"/>
        </w:rPr>
        <w:t xml:space="preserve"> el Viceministerio de T</w:t>
      </w:r>
      <w:r w:rsidRPr="001A14EC">
        <w:rPr>
          <w:lang w:val="es-ES"/>
        </w:rPr>
        <w:t>ransportes y la DGAC se vea</w:t>
      </w:r>
      <w:r>
        <w:rPr>
          <w:lang w:val="es-ES"/>
        </w:rPr>
        <w:t>n</w:t>
      </w:r>
      <w:r w:rsidRPr="001A14EC">
        <w:rPr>
          <w:lang w:val="es-ES"/>
        </w:rPr>
        <w:t xml:space="preserve"> en la obligación de cerrar el aeropuerto al tráfico, tras las pertinentes recomendaciones y auditorías </w:t>
      </w:r>
      <w:r>
        <w:rPr>
          <w:lang w:val="es-ES"/>
        </w:rPr>
        <w:t xml:space="preserve">que presuntamente se </w:t>
      </w:r>
      <w:r w:rsidRPr="001A14EC">
        <w:rPr>
          <w:lang w:val="es-ES"/>
        </w:rPr>
        <w:t>reali</w:t>
      </w:r>
      <w:r>
        <w:rPr>
          <w:lang w:val="es-ES"/>
        </w:rPr>
        <w:t xml:space="preserve">cen a posteriori </w:t>
      </w:r>
      <w:r w:rsidRPr="001A14EC">
        <w:rPr>
          <w:lang w:val="es-ES"/>
        </w:rPr>
        <w:t>por la OACI.</w:t>
      </w:r>
    </w:p>
    <w:p w:rsidR="00F97F2F" w:rsidRDefault="00F97F2F" w:rsidP="00F97F2F">
      <w:pPr>
        <w:pStyle w:val="Listaconvietas"/>
        <w:numPr>
          <w:ilvl w:val="0"/>
          <w:numId w:val="0"/>
        </w:numPr>
        <w:ind w:left="720"/>
        <w:rPr>
          <w:lang w:val="es-ES"/>
        </w:rPr>
      </w:pPr>
      <w:r w:rsidRPr="00E61F55">
        <w:rPr>
          <w:lang w:val="es-ES"/>
        </w:rPr>
        <w:t xml:space="preserve">En el caso de que se produzca el cierre del aeropuerto de Trinidad, caben dos posibilidades; 1) que los actuales pasajeros de tráfico comercial continúen realizando los trayectos por carretera a los destinos operados hoy y en el futuro por las aerolíneas presentes en </w:t>
      </w:r>
      <w:r w:rsidR="00E61F55" w:rsidRPr="00E61F55">
        <w:rPr>
          <w:lang w:val="es-ES"/>
        </w:rPr>
        <w:t>Trin</w:t>
      </w:r>
      <w:r w:rsidR="00E61F55">
        <w:rPr>
          <w:lang w:val="es-ES"/>
        </w:rPr>
        <w:t>i</w:t>
      </w:r>
      <w:r w:rsidR="00E61F55" w:rsidRPr="00E61F55">
        <w:rPr>
          <w:lang w:val="es-ES"/>
        </w:rPr>
        <w:t>dad</w:t>
      </w:r>
      <w:r w:rsidRPr="00E61F55">
        <w:rPr>
          <w:lang w:val="es-ES"/>
        </w:rPr>
        <w:t>, o 2) que</w:t>
      </w:r>
      <w:r w:rsidR="00E61F55" w:rsidRPr="00E61F55">
        <w:rPr>
          <w:lang w:val="es-ES"/>
        </w:rPr>
        <w:t xml:space="preserve"> los usuarios elijan un</w:t>
      </w:r>
      <w:r w:rsidRPr="00E61F55">
        <w:rPr>
          <w:lang w:val="es-ES"/>
        </w:rPr>
        <w:t xml:space="preserve"> aeropuerto más cercano para realizar los vuelos a los destinos que se realizaban hasta ese momento. En el caso de </w:t>
      </w:r>
      <w:r w:rsidR="00E61F55" w:rsidRPr="00E61F55">
        <w:rPr>
          <w:lang w:val="es-ES"/>
        </w:rPr>
        <w:t>Trinidad</w:t>
      </w:r>
      <w:r w:rsidRPr="00E61F55">
        <w:rPr>
          <w:lang w:val="es-ES"/>
        </w:rPr>
        <w:t xml:space="preserve">, esta </w:t>
      </w:r>
      <w:r w:rsidRPr="00E61F55">
        <w:rPr>
          <w:u w:val="single"/>
          <w:lang w:val="es-ES"/>
        </w:rPr>
        <w:t>segunda opción es la seleccionada</w:t>
      </w:r>
      <w:r w:rsidRPr="00E61F55">
        <w:rPr>
          <w:lang w:val="es-ES"/>
        </w:rPr>
        <w:t xml:space="preserve"> puesto que se considera la más probable.</w:t>
      </w:r>
      <w:r>
        <w:rPr>
          <w:lang w:val="es-ES"/>
        </w:rPr>
        <w:t xml:space="preserve"> </w:t>
      </w:r>
    </w:p>
    <w:p w:rsidR="003F53A7" w:rsidRDefault="00F97F2F" w:rsidP="003F53A7">
      <w:pPr>
        <w:pStyle w:val="Listaconvietas"/>
        <w:numPr>
          <w:ilvl w:val="0"/>
          <w:numId w:val="0"/>
        </w:numPr>
        <w:ind w:left="720"/>
        <w:rPr>
          <w:lang w:val="es-ES"/>
        </w:rPr>
      </w:pPr>
      <w:r>
        <w:rPr>
          <w:lang w:val="es-ES"/>
        </w:rPr>
        <w:t xml:space="preserve">En la siguiente figura se observa </w:t>
      </w:r>
      <w:r w:rsidR="00E61F55">
        <w:rPr>
          <w:lang w:val="es-ES"/>
        </w:rPr>
        <w:t xml:space="preserve">que para algunos destinos el aeródromo más cercano y apropiado para atender vuelos comerciales reglares es el de San Borja (SRJ), ya que es un aeródromo situado a 235km de Trinidad y </w:t>
      </w:r>
      <w:r>
        <w:rPr>
          <w:lang w:val="es-ES"/>
        </w:rPr>
        <w:t>ofrece unas infraestructuras adecuada</w:t>
      </w:r>
      <w:r w:rsidR="00E61F55">
        <w:rPr>
          <w:lang w:val="es-ES"/>
        </w:rPr>
        <w:t>s</w:t>
      </w:r>
      <w:r>
        <w:rPr>
          <w:lang w:val="es-ES"/>
        </w:rPr>
        <w:t xml:space="preserve"> </w:t>
      </w:r>
      <w:r w:rsidR="00E61F55">
        <w:rPr>
          <w:lang w:val="es-ES"/>
        </w:rPr>
        <w:t>con</w:t>
      </w:r>
      <w:r>
        <w:rPr>
          <w:lang w:val="es-ES"/>
        </w:rPr>
        <w:t xml:space="preserve"> capacidad y categoría suficiente para vuelos comerciales a los destinos </w:t>
      </w:r>
      <w:r w:rsidR="00E61F55">
        <w:rPr>
          <w:lang w:val="es-ES"/>
        </w:rPr>
        <w:t>regionales que se operan</w:t>
      </w:r>
      <w:r>
        <w:rPr>
          <w:lang w:val="es-ES"/>
        </w:rPr>
        <w:t xml:space="preserve"> desde </w:t>
      </w:r>
      <w:r w:rsidR="00E61F55">
        <w:rPr>
          <w:lang w:val="es-ES"/>
        </w:rPr>
        <w:t>Trinidad con Aerocon</w:t>
      </w:r>
      <w:r>
        <w:rPr>
          <w:lang w:val="es-ES"/>
        </w:rPr>
        <w:t>.</w:t>
      </w:r>
      <w:r w:rsidR="003F53A7" w:rsidRPr="003F53A7">
        <w:rPr>
          <w:lang w:val="es-ES"/>
        </w:rPr>
        <w:t xml:space="preserve"> </w:t>
      </w:r>
      <w:r w:rsidR="003F53A7">
        <w:rPr>
          <w:lang w:val="es-ES"/>
        </w:rPr>
        <w:t xml:space="preserve">En este escenario, lógicamente se está asumiendo como hipótesis de partida que podrían establecerse con relativa facilidad y rapidez las rutas desde SRJ. </w:t>
      </w:r>
    </w:p>
    <w:p w:rsidR="003F53A7" w:rsidRDefault="003F53A7" w:rsidP="003F53A7">
      <w:pPr>
        <w:pStyle w:val="Listaconvietas"/>
        <w:numPr>
          <w:ilvl w:val="0"/>
          <w:numId w:val="0"/>
        </w:numPr>
        <w:ind w:left="720"/>
        <w:rPr>
          <w:lang w:val="es-ES"/>
        </w:rPr>
      </w:pPr>
      <w:r>
        <w:rPr>
          <w:lang w:val="es-ES"/>
        </w:rPr>
        <w:t>Dado que San Borja se encuentra en la zona de Selva, al pie de la carretera nacional que conecta Trinidad con la que luego asciende hacia La Paz, lo lógico es asumir que una buena parte de los pasajeros a La Paz (se asume el 60% del total) haría un trayecto combinado (vehículo privado por carretera hasta San Borja y luego un vuelo regional hasta La Paz).</w:t>
      </w:r>
    </w:p>
    <w:p w:rsidR="00F97F2F" w:rsidRDefault="003F53A7" w:rsidP="00F97F2F">
      <w:pPr>
        <w:pStyle w:val="Listaconvietas"/>
        <w:numPr>
          <w:ilvl w:val="0"/>
          <w:numId w:val="0"/>
        </w:numPr>
        <w:ind w:left="720"/>
        <w:rPr>
          <w:lang w:val="es-ES"/>
        </w:rPr>
      </w:pPr>
      <w:r>
        <w:rPr>
          <w:lang w:val="es-ES"/>
        </w:rPr>
        <w:t>Desde este aeródromo también se podría basar una aerolínea regional para proveer comercialmente vuelos a destinos en el norte del país, como son Cobija, Guayamerín o Riberalta.</w:t>
      </w:r>
    </w:p>
    <w:p w:rsidR="003F53A7" w:rsidRDefault="003F53A7" w:rsidP="00F97F2F">
      <w:pPr>
        <w:pStyle w:val="Listaconvietas"/>
        <w:numPr>
          <w:ilvl w:val="0"/>
          <w:numId w:val="0"/>
        </w:numPr>
        <w:ind w:left="720"/>
        <w:rPr>
          <w:lang w:val="es-ES"/>
        </w:rPr>
      </w:pPr>
      <w:r>
        <w:rPr>
          <w:lang w:val="es-ES"/>
        </w:rPr>
        <w:t>No obstante, para otros destinos situados al Sur del país, como Cochabamba, Sucre, Tarija y Puerto Suárez, lo más lógico es pensar que en caso de que se produzca el cierre de TDD, se produzcan desplazamientos por carretera hasta Santa Cruz y desde allí enlazar con alguno de los vuelos comerciales existentes, bien en el aeropuerto de El Trompillo, o bien en Viru Viru (ambos muy cercanos a la ciudad).</w:t>
      </w:r>
      <w:r w:rsidR="00A639E3">
        <w:rPr>
          <w:lang w:val="es-ES"/>
        </w:rPr>
        <w:t xml:space="preserve"> La ruta Trinidad-Santa Cruz, lógicamente en el escenario Sin Proyecto se asume que se realizaría 100% por carretera (560 km).</w:t>
      </w:r>
    </w:p>
    <w:p w:rsidR="00F97F2F" w:rsidRDefault="00F97F2F" w:rsidP="00F97F2F">
      <w:pPr>
        <w:pStyle w:val="Listaconvietas"/>
        <w:numPr>
          <w:ilvl w:val="0"/>
          <w:numId w:val="0"/>
        </w:numPr>
        <w:ind w:left="720"/>
        <w:rPr>
          <w:lang w:val="es-ES"/>
        </w:rPr>
      </w:pPr>
    </w:p>
    <w:p w:rsidR="00F97F2F" w:rsidRDefault="00E61F55" w:rsidP="00F97F2F">
      <w:pPr>
        <w:pStyle w:val="Listaconvietas"/>
        <w:numPr>
          <w:ilvl w:val="0"/>
          <w:numId w:val="0"/>
        </w:numPr>
        <w:ind w:left="720"/>
        <w:jc w:val="center"/>
        <w:rPr>
          <w:lang w:val="es-ES"/>
        </w:rPr>
      </w:pPr>
      <w:r w:rsidRPr="00E61F55">
        <w:drawing>
          <wp:inline distT="0" distB="0" distL="0" distR="0">
            <wp:extent cx="5045710" cy="549275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5710" cy="5492750"/>
                    </a:xfrm>
                    <a:prstGeom prst="rect">
                      <a:avLst/>
                    </a:prstGeom>
                    <a:noFill/>
                    <a:ln>
                      <a:noFill/>
                    </a:ln>
                  </pic:spPr>
                </pic:pic>
              </a:graphicData>
            </a:graphic>
          </wp:inline>
        </w:drawing>
      </w:r>
    </w:p>
    <w:p w:rsidR="00F97F2F" w:rsidRPr="00AC1C46" w:rsidRDefault="00F97F2F" w:rsidP="00F97F2F">
      <w:pPr>
        <w:pStyle w:val="Epgrafe"/>
      </w:pPr>
      <w:bookmarkStart w:id="33" w:name="_Toc356687838"/>
      <w:r w:rsidRPr="00AC1C46">
        <w:t xml:space="preserve">Figura </w:t>
      </w:r>
      <w:fldSimple w:instr=" SEQ Figura \* ARABIC ">
        <w:r>
          <w:rPr>
            <w:noProof/>
          </w:rPr>
          <w:t>15</w:t>
        </w:r>
      </w:fldSimple>
      <w:r w:rsidRPr="00AC1C46">
        <w:t xml:space="preserve">: </w:t>
      </w:r>
      <w:r>
        <w:t>Red de aeropuertos de Bolivia</w:t>
      </w:r>
      <w:bookmarkEnd w:id="33"/>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Default="00F97F2F" w:rsidP="00F97F2F">
      <w:pPr>
        <w:rPr>
          <w:lang w:val="es-ES"/>
        </w:rPr>
      </w:pPr>
      <w:r>
        <w:rPr>
          <w:lang w:val="es-ES"/>
        </w:rPr>
        <w:t xml:space="preserve">Para calcular los </w:t>
      </w:r>
      <w:r w:rsidRPr="00F10E03">
        <w:rPr>
          <w:b/>
          <w:lang w:val="es-ES"/>
        </w:rPr>
        <w:t>beneficios</w:t>
      </w:r>
      <w:r>
        <w:rPr>
          <w:lang w:val="es-ES"/>
        </w:rPr>
        <w:t xml:space="preserve"> socioeconómicos del escenario Con Proyecto, estos se han desagregado en dos </w:t>
      </w:r>
      <w:r w:rsidRPr="002C4C26">
        <w:rPr>
          <w:b/>
          <w:lang w:val="es-ES"/>
        </w:rPr>
        <w:t>componentes</w:t>
      </w:r>
      <w:r>
        <w:rPr>
          <w:lang w:val="es-ES"/>
        </w:rPr>
        <w:t>:</w:t>
      </w:r>
    </w:p>
    <w:p w:rsidR="00F97F2F" w:rsidRDefault="00F97F2F" w:rsidP="00F97F2F">
      <w:pPr>
        <w:pStyle w:val="Prrafodelista"/>
        <w:numPr>
          <w:ilvl w:val="0"/>
          <w:numId w:val="39"/>
        </w:numPr>
        <w:rPr>
          <w:lang w:val="es-ES"/>
        </w:rPr>
      </w:pPr>
      <w:r>
        <w:rPr>
          <w:lang w:val="es-ES"/>
        </w:rPr>
        <w:t xml:space="preserve">El </w:t>
      </w:r>
      <w:r w:rsidRPr="002C4C26">
        <w:rPr>
          <w:b/>
          <w:lang w:val="es-ES"/>
        </w:rPr>
        <w:t>ahorro del tiempo de viaje</w:t>
      </w:r>
      <w:r>
        <w:rPr>
          <w:lang w:val="es-ES"/>
        </w:rPr>
        <w:t xml:space="preserve"> del escenario Con Proyecto respecto al escenario Sin Proyecto. Este ahorro de tiempo se evalúa como:</w:t>
      </w:r>
    </w:p>
    <w:p w:rsidR="00F97F2F" w:rsidRDefault="00F97F2F" w:rsidP="00F97F2F">
      <w:pPr>
        <w:pStyle w:val="Prrafodelista"/>
        <w:rPr>
          <w:lang w:val="es-ES"/>
        </w:rPr>
      </w:pPr>
    </w:p>
    <w:p w:rsidR="00F97F2F" w:rsidRDefault="00F97F2F" w:rsidP="00F97F2F">
      <w:pPr>
        <w:pStyle w:val="Prrafodelista"/>
        <w:jc w:val="center"/>
        <w:rPr>
          <w:lang w:val="es-ES"/>
        </w:rPr>
      </w:pPr>
      <w:r>
        <w:rPr>
          <w:lang w:val="es-ES"/>
        </w:rPr>
        <w:t>(</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2</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1</m:t>
            </m:r>
          </m:sub>
        </m:sSub>
        <m:r>
          <w:rPr>
            <w:rFonts w:ascii="Cambria Math" w:hAnsi="Cambria Math"/>
            <w:lang w:val="es-ES"/>
          </w:rPr>
          <m:t>)</m:t>
        </m:r>
      </m:oMath>
      <w:r>
        <w:rPr>
          <w:lang w:val="es-ES"/>
        </w:rPr>
        <w:t xml:space="preserve"> * </w:t>
      </w:r>
      <m:oMath>
        <m:r>
          <w:rPr>
            <w:rFonts w:ascii="Cambria Math" w:hAnsi="Cambria Math"/>
            <w:lang w:val="es-ES"/>
          </w:rPr>
          <m:t>VT</m:t>
        </m:r>
      </m:oMath>
    </w:p>
    <w:p w:rsidR="00F97F2F" w:rsidRDefault="00F97F2F" w:rsidP="00F97F2F">
      <w:pPr>
        <w:pStyle w:val="Prrafodelista"/>
        <w:rPr>
          <w:lang w:val="es-ES"/>
        </w:rPr>
      </w:pPr>
    </w:p>
    <w:p w:rsidR="00F97F2F" w:rsidRDefault="00F97F2F" w:rsidP="00F97F2F">
      <w:pPr>
        <w:ind w:left="708"/>
        <w:rPr>
          <w:lang w:val="es-ES"/>
        </w:rPr>
      </w:pPr>
      <w:r>
        <w:rPr>
          <w:lang w:val="es-ES"/>
        </w:rPr>
        <w:t xml:space="preserve">…Donde VT es el coste de oportunidad del tiempo en exceso que se emplea en los trayectos del escenario Sin Proyecto y que los usuarios podrían dedicar a otras actividades socioeconómicas. </w:t>
      </w:r>
    </w:p>
    <w:p w:rsidR="003F53A7" w:rsidRDefault="00F97F2F" w:rsidP="00F97F2F">
      <w:pPr>
        <w:ind w:left="708"/>
        <w:rPr>
          <w:lang w:val="es-ES"/>
        </w:rPr>
      </w:pPr>
      <w:r>
        <w:rPr>
          <w:lang w:val="es-ES"/>
        </w:rPr>
        <w:t>El diferencial (</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2</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1</m:t>
            </m:r>
          </m:sub>
        </m:sSub>
        <m:r>
          <w:rPr>
            <w:rFonts w:ascii="Cambria Math" w:hAnsi="Cambria Math"/>
            <w:lang w:val="es-ES"/>
          </w:rPr>
          <m:t xml:space="preserve">) </m:t>
        </m:r>
      </m:oMath>
      <w:r>
        <w:rPr>
          <w:lang w:val="es-ES"/>
        </w:rPr>
        <w:t xml:space="preserve"> es el tiempo empleado en todos los trayectos de los pasajeros desde el aeropuerto (Sin Proyecto - Con Proyecto). </w:t>
      </w:r>
    </w:p>
    <w:p w:rsidR="00F97F2F" w:rsidRDefault="00F97F2F" w:rsidP="00F97F2F">
      <w:pPr>
        <w:ind w:left="708"/>
        <w:rPr>
          <w:lang w:val="es-ES"/>
        </w:rPr>
      </w:pPr>
      <w:r>
        <w:rPr>
          <w:lang w:val="es-ES"/>
        </w:rPr>
        <w:t xml:space="preserve">De acuerdo con la previsión de tráfico explicada en el capítulo correspondiente, todos los trayectos </w:t>
      </w:r>
      <w:r w:rsidR="00A639E3">
        <w:rPr>
          <w:lang w:val="es-ES"/>
        </w:rPr>
        <w:t xml:space="preserve">comerciales regulares </w:t>
      </w:r>
      <w:r>
        <w:rPr>
          <w:lang w:val="es-ES"/>
        </w:rPr>
        <w:t xml:space="preserve">previstos </w:t>
      </w:r>
      <w:r w:rsidR="00A639E3">
        <w:rPr>
          <w:lang w:val="es-ES"/>
        </w:rPr>
        <w:t xml:space="preserve">por modo aéreo en Trinidad </w:t>
      </w:r>
      <w:r w:rsidR="003F53A7">
        <w:rPr>
          <w:lang w:val="es-ES"/>
        </w:rPr>
        <w:t>se muestran a continuación:</w:t>
      </w:r>
    </w:p>
    <w:p w:rsidR="00A639E3" w:rsidRDefault="00A639E3" w:rsidP="00F97F2F">
      <w:pPr>
        <w:ind w:left="708"/>
        <w:rPr>
          <w:lang w:val="es-ES"/>
        </w:rPr>
      </w:pPr>
    </w:p>
    <w:tbl>
      <w:tblPr>
        <w:tblW w:w="6280" w:type="dxa"/>
        <w:jc w:val="center"/>
        <w:tblInd w:w="65" w:type="dxa"/>
        <w:tblCellMar>
          <w:left w:w="70" w:type="dxa"/>
          <w:right w:w="70" w:type="dxa"/>
        </w:tblCellMar>
        <w:tblLook w:val="04A0" w:firstRow="1" w:lastRow="0" w:firstColumn="1" w:lastColumn="0" w:noHBand="0" w:noVBand="1"/>
      </w:tblPr>
      <w:tblGrid>
        <w:gridCol w:w="2140"/>
        <w:gridCol w:w="2240"/>
        <w:gridCol w:w="1900"/>
      </w:tblGrid>
      <w:tr w:rsidR="003F53A7" w:rsidRPr="003F53A7" w:rsidTr="003F53A7">
        <w:trPr>
          <w:trHeight w:val="255"/>
          <w:jc w:val="center"/>
        </w:trPr>
        <w:tc>
          <w:tcPr>
            <w:tcW w:w="2140" w:type="dxa"/>
            <w:tcBorders>
              <w:top w:val="single" w:sz="4" w:space="0" w:color="auto"/>
              <w:left w:val="single" w:sz="4" w:space="0" w:color="auto"/>
              <w:bottom w:val="single" w:sz="4" w:space="0" w:color="auto"/>
              <w:right w:val="nil"/>
            </w:tcBorders>
            <w:shd w:val="clear" w:color="000000" w:fill="EBEEEF"/>
            <w:noWrap/>
            <w:vAlign w:val="bottom"/>
            <w:hideMark/>
          </w:tcPr>
          <w:p w:rsidR="003F53A7" w:rsidRPr="003F53A7" w:rsidRDefault="003F53A7" w:rsidP="003F53A7">
            <w:pPr>
              <w:spacing w:before="0" w:after="0"/>
              <w:jc w:val="center"/>
              <w:rPr>
                <w:rFonts w:cs="Arial"/>
                <w:b/>
                <w:bCs/>
                <w:color w:val="000000"/>
                <w:kern w:val="0"/>
                <w:sz w:val="18"/>
                <w:szCs w:val="18"/>
                <w:lang w:val="es-ES" w:eastAsia="es-ES"/>
              </w:rPr>
            </w:pPr>
            <w:r w:rsidRPr="003F53A7">
              <w:rPr>
                <w:rFonts w:cs="Arial"/>
                <w:b/>
                <w:bCs/>
                <w:color w:val="000000"/>
                <w:kern w:val="0"/>
                <w:sz w:val="18"/>
                <w:szCs w:val="18"/>
                <w:lang w:val="es-ES" w:eastAsia="es-ES"/>
              </w:rPr>
              <w:t>Destino desde TDD</w:t>
            </w:r>
          </w:p>
        </w:tc>
        <w:tc>
          <w:tcPr>
            <w:tcW w:w="2240" w:type="dxa"/>
            <w:tcBorders>
              <w:top w:val="single" w:sz="4" w:space="0" w:color="auto"/>
              <w:left w:val="single" w:sz="4" w:space="0" w:color="auto"/>
              <w:bottom w:val="single" w:sz="4" w:space="0" w:color="auto"/>
              <w:right w:val="nil"/>
            </w:tcBorders>
            <w:shd w:val="clear" w:color="000000" w:fill="EBEEEF"/>
            <w:noWrap/>
            <w:vAlign w:val="bottom"/>
            <w:hideMark/>
          </w:tcPr>
          <w:p w:rsidR="003F53A7" w:rsidRPr="003F53A7" w:rsidRDefault="003F53A7" w:rsidP="003F53A7">
            <w:pPr>
              <w:spacing w:before="0" w:after="0"/>
              <w:jc w:val="center"/>
              <w:rPr>
                <w:rFonts w:cs="Arial"/>
                <w:b/>
                <w:bCs/>
                <w:color w:val="000000"/>
                <w:kern w:val="0"/>
                <w:sz w:val="18"/>
                <w:szCs w:val="18"/>
                <w:lang w:val="es-ES" w:eastAsia="es-ES"/>
              </w:rPr>
            </w:pPr>
            <w:r w:rsidRPr="003F53A7">
              <w:rPr>
                <w:rFonts w:cs="Arial"/>
                <w:b/>
                <w:bCs/>
                <w:color w:val="000000"/>
                <w:kern w:val="0"/>
                <w:sz w:val="18"/>
                <w:szCs w:val="18"/>
                <w:lang w:val="es-ES" w:eastAsia="es-ES"/>
              </w:rPr>
              <w:t>% asientos Aerocon</w:t>
            </w:r>
          </w:p>
        </w:tc>
        <w:tc>
          <w:tcPr>
            <w:tcW w:w="1900" w:type="dxa"/>
            <w:tcBorders>
              <w:top w:val="single" w:sz="4" w:space="0" w:color="auto"/>
              <w:left w:val="single" w:sz="4" w:space="0" w:color="auto"/>
              <w:bottom w:val="single" w:sz="4" w:space="0" w:color="auto"/>
              <w:right w:val="single" w:sz="4" w:space="0" w:color="auto"/>
            </w:tcBorders>
            <w:shd w:val="clear" w:color="000000" w:fill="EBEEEF"/>
            <w:noWrap/>
            <w:vAlign w:val="bottom"/>
            <w:hideMark/>
          </w:tcPr>
          <w:p w:rsidR="003F53A7" w:rsidRPr="003F53A7" w:rsidRDefault="003F53A7" w:rsidP="003F53A7">
            <w:pPr>
              <w:spacing w:before="0" w:after="0"/>
              <w:jc w:val="center"/>
              <w:rPr>
                <w:rFonts w:cs="Arial"/>
                <w:b/>
                <w:bCs/>
                <w:color w:val="000000"/>
                <w:kern w:val="0"/>
                <w:sz w:val="18"/>
                <w:szCs w:val="18"/>
                <w:lang w:val="es-ES" w:eastAsia="es-ES"/>
              </w:rPr>
            </w:pPr>
            <w:r w:rsidRPr="003F53A7">
              <w:rPr>
                <w:rFonts w:cs="Arial"/>
                <w:b/>
                <w:bCs/>
                <w:color w:val="000000"/>
                <w:kern w:val="0"/>
                <w:sz w:val="18"/>
                <w:szCs w:val="18"/>
                <w:lang w:val="es-ES" w:eastAsia="es-ES"/>
              </w:rPr>
              <w:t>% asientos TAM</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 xml:space="preserve">La Paz </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24%</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21%</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 xml:space="preserve">Santa Cruz </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22%</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16%</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Cochabamba</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12%</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21%</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Guayamerín &amp;Tarija</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15%</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13%</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Riberalta</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18%</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11%</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 xml:space="preserve">Cobija </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8%</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18%</w:t>
            </w:r>
          </w:p>
        </w:tc>
      </w:tr>
      <w:tr w:rsidR="003F53A7" w:rsidRPr="003F53A7" w:rsidTr="003F53A7">
        <w:trPr>
          <w:trHeight w:val="255"/>
          <w:jc w:val="center"/>
        </w:trPr>
        <w:tc>
          <w:tcPr>
            <w:tcW w:w="21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A639E3">
            <w:pPr>
              <w:spacing w:before="0" w:after="0"/>
              <w:jc w:val="left"/>
              <w:rPr>
                <w:rFonts w:cs="Arial"/>
                <w:b/>
                <w:bCs/>
                <w:color w:val="000000"/>
                <w:kern w:val="0"/>
                <w:sz w:val="18"/>
                <w:szCs w:val="18"/>
                <w:lang w:val="es-ES" w:eastAsia="es-ES"/>
              </w:rPr>
            </w:pPr>
            <w:r w:rsidRPr="003F53A7">
              <w:rPr>
                <w:rFonts w:cs="Arial"/>
                <w:b/>
                <w:bCs/>
                <w:color w:val="000000"/>
                <w:kern w:val="0"/>
                <w:sz w:val="18"/>
                <w:szCs w:val="18"/>
                <w:lang w:val="es-ES" w:eastAsia="es-ES"/>
              </w:rPr>
              <w:t xml:space="preserve">Sucre </w:t>
            </w:r>
          </w:p>
        </w:tc>
        <w:tc>
          <w:tcPr>
            <w:tcW w:w="2240" w:type="dxa"/>
            <w:tcBorders>
              <w:top w:val="nil"/>
              <w:left w:val="single" w:sz="4" w:space="0" w:color="auto"/>
              <w:bottom w:val="single" w:sz="4" w:space="0" w:color="auto"/>
              <w:right w:val="nil"/>
            </w:tcBorders>
            <w:shd w:val="clear" w:color="auto" w:fill="auto"/>
            <w:noWrap/>
            <w:vAlign w:val="bottom"/>
            <w:hideMark/>
          </w:tcPr>
          <w:p w:rsidR="003F53A7" w:rsidRPr="003F53A7" w:rsidRDefault="003F53A7" w:rsidP="003F53A7">
            <w:pPr>
              <w:spacing w:before="0" w:after="0"/>
              <w:jc w:val="right"/>
              <w:rPr>
                <w:rFonts w:cs="Arial"/>
                <w:b/>
                <w:bCs/>
                <w:color w:val="000000"/>
                <w:kern w:val="0"/>
                <w:sz w:val="18"/>
                <w:szCs w:val="18"/>
                <w:lang w:val="es-ES" w:eastAsia="es-ES"/>
              </w:rPr>
            </w:pPr>
            <w:r w:rsidRPr="003F53A7">
              <w:rPr>
                <w:rFonts w:cs="Arial"/>
                <w:b/>
                <w:bCs/>
                <w:color w:val="000000"/>
                <w:kern w:val="0"/>
                <w:sz w:val="18"/>
                <w:szCs w:val="18"/>
                <w:lang w:val="es-ES" w:eastAsia="es-ES"/>
              </w:rPr>
              <w:t>1%</w:t>
            </w:r>
          </w:p>
        </w:tc>
        <w:tc>
          <w:tcPr>
            <w:tcW w:w="1900" w:type="dxa"/>
            <w:vMerge/>
            <w:tcBorders>
              <w:top w:val="nil"/>
              <w:left w:val="single" w:sz="4" w:space="0" w:color="auto"/>
              <w:bottom w:val="single" w:sz="4" w:space="0" w:color="000000"/>
              <w:right w:val="single" w:sz="4" w:space="0" w:color="auto"/>
            </w:tcBorders>
            <w:vAlign w:val="center"/>
            <w:hideMark/>
          </w:tcPr>
          <w:p w:rsidR="003F53A7" w:rsidRPr="003F53A7" w:rsidRDefault="003F53A7" w:rsidP="003F53A7">
            <w:pPr>
              <w:spacing w:before="0" w:after="0"/>
              <w:jc w:val="left"/>
              <w:rPr>
                <w:rFonts w:cs="Arial"/>
                <w:b/>
                <w:bCs/>
                <w:color w:val="000000"/>
                <w:kern w:val="0"/>
                <w:sz w:val="18"/>
                <w:szCs w:val="18"/>
                <w:lang w:val="es-ES" w:eastAsia="es-ES"/>
              </w:rPr>
            </w:pPr>
          </w:p>
        </w:tc>
      </w:tr>
    </w:tbl>
    <w:p w:rsidR="00F97F2F" w:rsidRDefault="00F97F2F" w:rsidP="00F97F2F">
      <w:pPr>
        <w:pStyle w:val="Prrafodelista"/>
        <w:rPr>
          <w:lang w:val="es-ES"/>
        </w:rPr>
      </w:pPr>
    </w:p>
    <w:p w:rsidR="00F97F2F" w:rsidRDefault="00F97F2F" w:rsidP="00F97F2F">
      <w:pPr>
        <w:pStyle w:val="Prrafodelista"/>
        <w:numPr>
          <w:ilvl w:val="0"/>
          <w:numId w:val="39"/>
        </w:numPr>
        <w:rPr>
          <w:lang w:val="es-ES"/>
        </w:rPr>
      </w:pPr>
      <w:r>
        <w:rPr>
          <w:lang w:val="es-ES"/>
        </w:rPr>
        <w:t xml:space="preserve">El </w:t>
      </w:r>
      <w:r w:rsidRPr="002C4C26">
        <w:rPr>
          <w:b/>
          <w:lang w:val="es-ES"/>
        </w:rPr>
        <w:t>diferencial del coste de los desplazamientos</w:t>
      </w:r>
      <w:r>
        <w:rPr>
          <w:lang w:val="es-ES"/>
        </w:rPr>
        <w:t xml:space="preserve"> en el escenario Sin Proyecto y el escenario Con Proyecto. Este diferencial de coste se evalúa como:</w:t>
      </w:r>
    </w:p>
    <w:p w:rsidR="00F97F2F" w:rsidRDefault="00F97F2F" w:rsidP="00F97F2F">
      <w:pPr>
        <w:ind w:left="360"/>
        <w:rPr>
          <w:lang w:val="es-ES"/>
        </w:rPr>
      </w:pPr>
      <m:oMathPara>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i</m:t>
              </m:r>
            </m:sub>
          </m:sSub>
          <m:r>
            <w:rPr>
              <w:rFonts w:ascii="Cambria Math" w:hAnsi="Cambria Math"/>
              <w:lang w:val="es-ES"/>
            </w:rPr>
            <m:t xml:space="preserve">+ </m:t>
          </m:r>
          <m:r>
            <w:rPr>
              <w:rFonts w:ascii="Cambria Math" w:hAnsi="Cambria Math" w:cs="Arial"/>
              <w:lang w:val="es-ES"/>
            </w:rPr>
            <m:t>∆</m:t>
          </m:r>
          <m:r>
            <w:rPr>
              <w:rFonts w:ascii="Cambria Math" w:hAnsi="Cambria Math"/>
              <w:lang w:val="es-ES"/>
            </w:rPr>
            <m:t xml:space="preserve"> (CASK*S*lf*</m:t>
          </m:r>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j</m:t>
              </m:r>
            </m:sub>
          </m:sSub>
          <m:r>
            <w:rPr>
              <w:rFonts w:ascii="Cambria Math" w:hAnsi="Cambria Math"/>
              <w:lang w:val="es-ES"/>
            </w:rPr>
            <m:t>)</m:t>
          </m:r>
        </m:oMath>
      </m:oMathPara>
    </w:p>
    <w:p w:rsidR="00F97F2F" w:rsidRDefault="00F97F2F" w:rsidP="00F97F2F">
      <w:pPr>
        <w:ind w:firstLine="708"/>
        <w:rPr>
          <w:lang w:val="es-ES"/>
        </w:rPr>
      </w:pPr>
      <w:r>
        <w:rPr>
          <w:lang w:val="es-ES"/>
        </w:rPr>
        <w:t>Donde:</w:t>
      </w:r>
    </w:p>
    <w:p w:rsidR="00F97F2F" w:rsidRPr="00021544" w:rsidRDefault="00F97F2F" w:rsidP="00F97F2F">
      <w:pPr>
        <w:pStyle w:val="Prrafodelista"/>
        <w:numPr>
          <w:ilvl w:val="1"/>
          <w:numId w:val="39"/>
        </w:numPr>
        <w:ind w:left="1434" w:hanging="357"/>
        <w:contextualSpacing w:val="0"/>
        <w:rPr>
          <w:lang w:val="es-ES"/>
        </w:rPr>
      </w:pP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0</m:t>
            </m:r>
          </m:sub>
        </m:sSub>
      </m:oMath>
      <w:r w:rsidRPr="00021544">
        <w:rPr>
          <w:lang w:val="es-ES"/>
        </w:rPr>
        <w:t xml:space="preserve"> es el coste unitario del transporte por carretera (en USD/km)</w:t>
      </w:r>
      <w:r>
        <w:rPr>
          <w:lang w:val="es-ES"/>
        </w:rPr>
        <w:t>, para los trayectos que habría que hacer en el escenario Sin Proyecto</w:t>
      </w:r>
    </w:p>
    <w:p w:rsidR="00F97F2F" w:rsidRPr="00021544" w:rsidRDefault="00F97F2F" w:rsidP="00F97F2F">
      <w:pPr>
        <w:pStyle w:val="Prrafodelista"/>
        <w:numPr>
          <w:ilvl w:val="1"/>
          <w:numId w:val="39"/>
        </w:numPr>
        <w:ind w:left="1434" w:hanging="357"/>
        <w:contextualSpacing w:val="0"/>
        <w:rPr>
          <w:lang w:val="es-ES"/>
        </w:rPr>
      </w:pPr>
      <m:oMath>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i</m:t>
            </m:r>
          </m:sub>
        </m:sSub>
      </m:oMath>
      <w:r w:rsidRPr="00021544">
        <w:rPr>
          <w:lang w:val="es-ES"/>
        </w:rPr>
        <w:t xml:space="preserve"> es cada longitud (en km) de cada trayecto realizado por carretera ha</w:t>
      </w:r>
      <w:r>
        <w:rPr>
          <w:lang w:val="es-ES"/>
        </w:rPr>
        <w:t>sta</w:t>
      </w:r>
      <w:r w:rsidRPr="00021544">
        <w:rPr>
          <w:lang w:val="es-ES"/>
        </w:rPr>
        <w:t xml:space="preserve"> el aeropuerto más </w:t>
      </w:r>
      <w:r>
        <w:rPr>
          <w:lang w:val="es-ES"/>
        </w:rPr>
        <w:t xml:space="preserve">cercano, </w:t>
      </w:r>
      <w:r w:rsidR="00A639E3">
        <w:rPr>
          <w:lang w:val="es-ES"/>
        </w:rPr>
        <w:t xml:space="preserve">bien sea San Borja  o Santa Cruz, según el destino </w:t>
      </w:r>
      <w:r w:rsidRPr="00021544">
        <w:rPr>
          <w:lang w:val="es-ES"/>
        </w:rPr>
        <w:t>(</w:t>
      </w:r>
      <w:r w:rsidR="00A639E3">
        <w:rPr>
          <w:lang w:val="es-ES"/>
        </w:rPr>
        <w:t xml:space="preserve">escenario </w:t>
      </w:r>
      <w:r w:rsidRPr="00021544">
        <w:rPr>
          <w:lang w:val="es-ES"/>
        </w:rPr>
        <w:t xml:space="preserve">Sin Proyecto); </w:t>
      </w:r>
      <m:oMath>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j</m:t>
            </m:r>
          </m:sub>
        </m:sSub>
      </m:oMath>
      <w:r w:rsidRPr="00021544">
        <w:rPr>
          <w:lang w:val="es-ES"/>
        </w:rPr>
        <w:t xml:space="preserve"> es cada longitud (en km) de cada trayecto realizado por avión (en ambos escenarios se realizan trayectos, puesto que se asume que los pasajeros se desplazan desde el aeropuerto más cercano a los aeropuertos de destino mencionados</w:t>
      </w:r>
      <w:r w:rsidR="00A639E3">
        <w:rPr>
          <w:lang w:val="es-ES"/>
        </w:rPr>
        <w:t>)</w:t>
      </w:r>
      <w:r w:rsidRPr="00021544">
        <w:rPr>
          <w:lang w:val="es-ES"/>
        </w:rPr>
        <w:t>.</w:t>
      </w:r>
    </w:p>
    <w:p w:rsidR="00F97F2F" w:rsidRPr="00021544" w:rsidRDefault="00F97F2F" w:rsidP="00F97F2F">
      <w:pPr>
        <w:pStyle w:val="Prrafodelista"/>
        <w:numPr>
          <w:ilvl w:val="1"/>
          <w:numId w:val="39"/>
        </w:numPr>
        <w:ind w:left="1434" w:hanging="357"/>
        <w:contextualSpacing w:val="0"/>
        <w:rPr>
          <w:lang w:val="es-ES"/>
        </w:rPr>
      </w:pPr>
      <m:oMath>
        <m:r>
          <w:rPr>
            <w:rFonts w:ascii="Cambria Math" w:hAnsi="Cambria Math"/>
            <w:lang w:val="es-ES"/>
          </w:rPr>
          <m:t>CASK</m:t>
        </m:r>
      </m:oMath>
      <w:r w:rsidRPr="00021544">
        <w:rPr>
          <w:lang w:val="es-ES"/>
        </w:rPr>
        <w:t xml:space="preserve"> es el coste unitario por asiento-kilómetro de las aeronaves que se emplean en cada uno de los trayectos (en USD/asiento-km)</w:t>
      </w:r>
      <w:r>
        <w:rPr>
          <w:lang w:val="es-ES"/>
        </w:rPr>
        <w:t xml:space="preserve">. La expresión anterior considera solo el valor diferencial entre el tiempo </w:t>
      </w:r>
      <w:r w:rsidR="00A639E3">
        <w:rPr>
          <w:lang w:val="es-ES"/>
        </w:rPr>
        <w:t xml:space="preserve">de vuelo desde el aeropuerto alterno (SRJ, VVU/SRZ) </w:t>
      </w:r>
      <w:r>
        <w:rPr>
          <w:lang w:val="es-ES"/>
        </w:rPr>
        <w:t xml:space="preserve">y el tiempo de vuelo despegando desde </w:t>
      </w:r>
      <w:r w:rsidR="00A639E3">
        <w:rPr>
          <w:lang w:val="es-ES"/>
        </w:rPr>
        <w:t>Trinidad</w:t>
      </w:r>
      <w:r>
        <w:rPr>
          <w:lang w:val="es-ES"/>
        </w:rPr>
        <w:t xml:space="preserve"> </w:t>
      </w:r>
      <w:r w:rsidR="00A639E3">
        <w:rPr>
          <w:lang w:val="es-ES"/>
        </w:rPr>
        <w:t>a cada uno de los destinos.</w:t>
      </w:r>
    </w:p>
    <w:p w:rsidR="00F97F2F" w:rsidRPr="00021544" w:rsidRDefault="00F97F2F" w:rsidP="00F97F2F">
      <w:pPr>
        <w:pStyle w:val="Prrafodelista"/>
        <w:numPr>
          <w:ilvl w:val="1"/>
          <w:numId w:val="39"/>
        </w:numPr>
        <w:ind w:left="1434" w:hanging="357"/>
        <w:contextualSpacing w:val="0"/>
        <w:rPr>
          <w:lang w:val="es-ES"/>
        </w:rPr>
      </w:pPr>
      <m:oMath>
        <m:r>
          <w:rPr>
            <w:rFonts w:ascii="Cambria Math" w:hAnsi="Cambria Math"/>
            <w:lang w:val="es-ES"/>
          </w:rPr>
          <m:t>S</m:t>
        </m:r>
      </m:oMath>
      <w:r w:rsidRPr="00021544">
        <w:rPr>
          <w:lang w:val="es-ES"/>
        </w:rPr>
        <w:t xml:space="preserve"> es el número de asientos de cada aeronave que opera en </w:t>
      </w:r>
      <w:r w:rsidR="00A639E3">
        <w:rPr>
          <w:lang w:val="es-ES"/>
        </w:rPr>
        <w:t>Trinidad</w:t>
      </w:r>
    </w:p>
    <w:p w:rsidR="00F97F2F" w:rsidRPr="00021544" w:rsidRDefault="00F97F2F" w:rsidP="00F97F2F">
      <w:pPr>
        <w:pStyle w:val="Prrafodelista"/>
        <w:numPr>
          <w:ilvl w:val="1"/>
          <w:numId w:val="39"/>
        </w:numPr>
        <w:ind w:left="1434" w:hanging="357"/>
        <w:contextualSpacing w:val="0"/>
        <w:rPr>
          <w:lang w:val="es-ES"/>
        </w:rPr>
      </w:pPr>
      <m:oMath>
        <m:r>
          <w:rPr>
            <w:rFonts w:ascii="Cambria Math" w:hAnsi="Cambria Math"/>
            <w:lang w:val="es-ES"/>
          </w:rPr>
          <m:t>lf</m:t>
        </m:r>
      </m:oMath>
      <w:r w:rsidRPr="00021544">
        <w:rPr>
          <w:lang w:val="es-ES"/>
        </w:rPr>
        <w:t>es el factor de ocupación de estas aeronaves en las rutas previstas (</w:t>
      </w:r>
      <w:r>
        <w:rPr>
          <w:lang w:val="es-ES"/>
        </w:rPr>
        <w:t xml:space="preserve">en </w:t>
      </w:r>
      <w:r w:rsidRPr="00021544">
        <w:rPr>
          <w:lang w:val="es-ES"/>
        </w:rPr>
        <w:t>%)</w:t>
      </w:r>
      <w:r>
        <w:rPr>
          <w:lang w:val="es-ES"/>
        </w:rPr>
        <w:t>, de acuerdo con los resultados de la previsión de demanda.</w:t>
      </w:r>
    </w:p>
    <w:p w:rsidR="00F97F2F" w:rsidRDefault="00F97F2F" w:rsidP="00A639E3">
      <w:pPr>
        <w:rPr>
          <w:lang w:val="es-ES"/>
        </w:rPr>
      </w:pPr>
      <w:r>
        <w:rPr>
          <w:lang w:val="es-ES"/>
        </w:rPr>
        <w:t xml:space="preserve">Finalmente, para evaluar la externalidad incluida en esta evaluación, únicamente se ha tenido en cuenta la tasa de accidentabilidad para los trayectos por carretera (escenario Sin Proyecto), despreciando la tasa de accidentabilidad en el modo aéreo (la mayoría de accidentes aéreos se producen en el entorno aeroportuario y para el escenario Con Proyecto la probabilidad de que estos se produzcan se reduciría drásticamente). </w:t>
      </w:r>
    </w:p>
    <w:p w:rsidR="00F97F2F" w:rsidRPr="00BB225E" w:rsidRDefault="00F97F2F" w:rsidP="00F97F2F">
      <w:pPr>
        <w:pStyle w:val="Ttulo3"/>
      </w:pPr>
      <w:bookmarkStart w:id="34" w:name="_Toc356687819"/>
      <w:r>
        <w:t>Hipótesis empleadas en el cálculo de beneficios socio-económicos</w:t>
      </w:r>
      <w:bookmarkEnd w:id="34"/>
      <w:r w:rsidRPr="00BB225E">
        <w:t xml:space="preserve"> </w:t>
      </w:r>
    </w:p>
    <w:p w:rsidR="00F97F2F" w:rsidRPr="002F721F" w:rsidRDefault="00F97F2F" w:rsidP="00F97F2F">
      <w:pPr>
        <w:rPr>
          <w:lang w:val="es-ES"/>
        </w:rPr>
      </w:pPr>
      <w:r w:rsidRPr="002F721F">
        <w:rPr>
          <w:lang w:val="es-ES"/>
        </w:rPr>
        <w:t xml:space="preserve">Se ha considerado </w:t>
      </w:r>
      <w:r>
        <w:rPr>
          <w:lang w:val="es-ES"/>
        </w:rPr>
        <w:t>las siguientes hipótesis para la evaluación</w:t>
      </w:r>
      <w:r w:rsidRPr="002F721F">
        <w:rPr>
          <w:lang w:val="es-ES"/>
        </w:rPr>
        <w:t>:</w:t>
      </w:r>
    </w:p>
    <w:p w:rsidR="00F97F2F" w:rsidRDefault="00F97F2F" w:rsidP="00F97F2F">
      <w:pPr>
        <w:pStyle w:val="Listaconvietas"/>
        <w:ind w:left="360" w:hanging="360"/>
        <w:rPr>
          <w:lang w:val="es-ES"/>
        </w:rPr>
      </w:pPr>
      <w:r w:rsidRPr="00021544">
        <w:rPr>
          <w:b/>
          <w:lang w:val="es-ES"/>
        </w:rPr>
        <w:t>Rutas y trayectos</w:t>
      </w:r>
      <w:r>
        <w:rPr>
          <w:lang w:val="es-ES"/>
        </w:rPr>
        <w:t xml:space="preserve"> en modo aéreo y modo terrestre. Se muestran a continuación las rutas aéreas segmentadas por tipo de aeronave. Las rutas y número de movimientos por ruta se obtienen como output de las proyecciones de tráfico del capítulo de previsiones:</w:t>
      </w:r>
    </w:p>
    <w:p w:rsidR="00F97F2F" w:rsidRDefault="00F97F2F" w:rsidP="00F97F2F">
      <w:pPr>
        <w:pStyle w:val="Listaconvietas"/>
        <w:numPr>
          <w:ilvl w:val="0"/>
          <w:numId w:val="0"/>
        </w:numPr>
        <w:ind w:left="360"/>
        <w:rPr>
          <w:lang w:val="es-ES"/>
        </w:rPr>
      </w:pPr>
    </w:p>
    <w:tbl>
      <w:tblPr>
        <w:tblW w:w="5000" w:type="pct"/>
        <w:tblCellMar>
          <w:left w:w="70" w:type="dxa"/>
          <w:right w:w="70" w:type="dxa"/>
        </w:tblCellMar>
        <w:tblLook w:val="04A0" w:firstRow="1" w:lastRow="0" w:firstColumn="1" w:lastColumn="0" w:noHBand="0" w:noVBand="1"/>
      </w:tblPr>
      <w:tblGrid>
        <w:gridCol w:w="1131"/>
        <w:gridCol w:w="1111"/>
        <w:gridCol w:w="1397"/>
        <w:gridCol w:w="1342"/>
        <w:gridCol w:w="1324"/>
        <w:gridCol w:w="1324"/>
        <w:gridCol w:w="1351"/>
      </w:tblGrid>
      <w:tr w:rsidR="00726D94" w:rsidRPr="00726D94" w:rsidTr="00694C1B">
        <w:trPr>
          <w:trHeight w:val="555"/>
        </w:trPr>
        <w:tc>
          <w:tcPr>
            <w:tcW w:w="630" w:type="pct"/>
            <w:tcBorders>
              <w:top w:val="single" w:sz="4" w:space="0" w:color="auto"/>
              <w:left w:val="single" w:sz="4" w:space="0" w:color="auto"/>
              <w:bottom w:val="single" w:sz="4" w:space="0" w:color="auto"/>
              <w:right w:val="nil"/>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bookmarkStart w:id="35" w:name="_Toc356687845"/>
            <w:r w:rsidRPr="00726D94">
              <w:rPr>
                <w:rFonts w:cs="Arial"/>
                <w:b/>
                <w:bCs/>
                <w:color w:val="000000"/>
                <w:kern w:val="0"/>
                <w:sz w:val="18"/>
                <w:szCs w:val="18"/>
                <w:lang w:val="es-ES" w:eastAsia="es-ES"/>
              </w:rPr>
              <w:t>Aeronave</w:t>
            </w:r>
          </w:p>
        </w:tc>
        <w:tc>
          <w:tcPr>
            <w:tcW w:w="619" w:type="pct"/>
            <w:tcBorders>
              <w:top w:val="single" w:sz="4" w:space="0" w:color="auto"/>
              <w:left w:val="single" w:sz="4" w:space="0" w:color="auto"/>
              <w:bottom w:val="single" w:sz="4" w:space="0" w:color="auto"/>
              <w:right w:val="nil"/>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Asientos</w:t>
            </w:r>
          </w:p>
        </w:tc>
        <w:tc>
          <w:tcPr>
            <w:tcW w:w="778" w:type="pct"/>
            <w:tcBorders>
              <w:top w:val="single" w:sz="4" w:space="0" w:color="auto"/>
              <w:left w:val="single" w:sz="4" w:space="0" w:color="auto"/>
              <w:bottom w:val="single" w:sz="4" w:space="0" w:color="auto"/>
              <w:right w:val="nil"/>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 xml:space="preserve">Rutas aéreas </w:t>
            </w:r>
            <w:r w:rsidRPr="00726D94">
              <w:rPr>
                <w:rFonts w:cs="Arial"/>
                <w:b/>
                <w:bCs/>
                <w:color w:val="000000"/>
                <w:kern w:val="0"/>
                <w:sz w:val="18"/>
                <w:szCs w:val="18"/>
                <w:lang w:val="es-ES" w:eastAsia="es-ES"/>
              </w:rPr>
              <w:br/>
              <w:t>Con Proyecto</w:t>
            </w:r>
          </w:p>
        </w:tc>
        <w:tc>
          <w:tcPr>
            <w:tcW w:w="747" w:type="pct"/>
            <w:tcBorders>
              <w:top w:val="single" w:sz="4" w:space="0" w:color="auto"/>
              <w:left w:val="single" w:sz="4" w:space="0" w:color="auto"/>
              <w:bottom w:val="single" w:sz="4" w:space="0" w:color="auto"/>
              <w:right w:val="nil"/>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 xml:space="preserve">Rutas aéreas </w:t>
            </w:r>
            <w:r w:rsidRPr="00726D94">
              <w:rPr>
                <w:rFonts w:cs="Arial"/>
                <w:b/>
                <w:bCs/>
                <w:color w:val="000000"/>
                <w:kern w:val="0"/>
                <w:sz w:val="18"/>
                <w:szCs w:val="18"/>
                <w:lang w:val="es-ES" w:eastAsia="es-ES"/>
              </w:rPr>
              <w:br/>
              <w:t>Sin  Proyecto</w:t>
            </w:r>
          </w:p>
        </w:tc>
        <w:tc>
          <w:tcPr>
            <w:tcW w:w="737" w:type="pct"/>
            <w:tcBorders>
              <w:top w:val="single" w:sz="4" w:space="0" w:color="auto"/>
              <w:left w:val="single" w:sz="4" w:space="0" w:color="auto"/>
              <w:bottom w:val="single" w:sz="4" w:space="0" w:color="auto"/>
              <w:right w:val="nil"/>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Rutas carretera</w:t>
            </w:r>
            <w:r w:rsidRPr="00726D94">
              <w:rPr>
                <w:rFonts w:cs="Arial"/>
                <w:b/>
                <w:bCs/>
                <w:color w:val="000000"/>
                <w:kern w:val="0"/>
                <w:sz w:val="18"/>
                <w:szCs w:val="18"/>
                <w:lang w:val="es-ES" w:eastAsia="es-ES"/>
              </w:rPr>
              <w:br/>
              <w:t xml:space="preserve"> Sin Proyecto</w:t>
            </w:r>
          </w:p>
        </w:tc>
        <w:tc>
          <w:tcPr>
            <w:tcW w:w="737" w:type="pct"/>
            <w:tcBorders>
              <w:top w:val="single" w:sz="4" w:space="0" w:color="auto"/>
              <w:left w:val="single" w:sz="4" w:space="0" w:color="auto"/>
              <w:bottom w:val="single" w:sz="4" w:space="0" w:color="auto"/>
              <w:right w:val="single" w:sz="4" w:space="0" w:color="auto"/>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 de vuelo (h)</w:t>
            </w:r>
            <w:r w:rsidRPr="00726D94">
              <w:rPr>
                <w:rFonts w:cs="Arial"/>
                <w:b/>
                <w:bCs/>
                <w:color w:val="000000"/>
                <w:kern w:val="0"/>
                <w:sz w:val="18"/>
                <w:szCs w:val="18"/>
                <w:lang w:val="es-ES" w:eastAsia="es-ES"/>
              </w:rPr>
              <w:br/>
              <w:t>Con Proyecto</w:t>
            </w:r>
          </w:p>
        </w:tc>
        <w:tc>
          <w:tcPr>
            <w:tcW w:w="752" w:type="pct"/>
            <w:tcBorders>
              <w:top w:val="single" w:sz="4" w:space="0" w:color="auto"/>
              <w:left w:val="nil"/>
              <w:bottom w:val="single" w:sz="4" w:space="0" w:color="auto"/>
              <w:right w:val="single" w:sz="4" w:space="0" w:color="auto"/>
            </w:tcBorders>
            <w:shd w:val="clear" w:color="000000" w:fill="EBEEEF"/>
            <w:vAlign w:val="center"/>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 de vuelo (h)</w:t>
            </w:r>
            <w:r w:rsidRPr="00726D94">
              <w:rPr>
                <w:rFonts w:cs="Arial"/>
                <w:b/>
                <w:bCs/>
                <w:color w:val="000000"/>
                <w:kern w:val="0"/>
                <w:sz w:val="18"/>
                <w:szCs w:val="18"/>
                <w:lang w:val="es-ES" w:eastAsia="es-ES"/>
              </w:rPr>
              <w:br/>
              <w:t>Sin Proyecto</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PA 34</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2</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 SRZ</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0,7</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-LPB</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LPB-SRJ</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0,6</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-CIJ</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CIJ-SRJ</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0,9</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0,7</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-CBB</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CBB-SRZ</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-SRZ</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0,0</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sidRPr="00726D94">
              <w:rPr>
                <w:rFonts w:cs="Arial"/>
                <w:b/>
                <w:bCs/>
                <w:color w:val="000000"/>
                <w:kern w:val="0"/>
                <w:sz w:val="18"/>
                <w:szCs w:val="18"/>
                <w:lang w:val="es-ES" w:eastAsia="es-ES"/>
              </w:rPr>
              <w:t xml:space="preserve"> TJA</w:t>
            </w:r>
            <w:r>
              <w:rPr>
                <w:rFonts w:cs="Arial"/>
                <w:b/>
                <w:bCs/>
                <w:color w:val="000000"/>
                <w:kern w:val="0"/>
                <w:sz w:val="18"/>
                <w:szCs w:val="18"/>
                <w:lang w:val="es-ES" w:eastAsia="es-ES"/>
              </w:rPr>
              <w:t>/GUY</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TJA</w:t>
            </w:r>
            <w:r>
              <w:rPr>
                <w:rFonts w:cs="Arial"/>
                <w:b/>
                <w:bCs/>
                <w:color w:val="000000"/>
                <w:kern w:val="0"/>
                <w:sz w:val="18"/>
                <w:szCs w:val="18"/>
                <w:lang w:val="es-ES" w:eastAsia="es-ES"/>
              </w:rPr>
              <w:t>/GUY</w:t>
            </w:r>
            <w:r w:rsidRPr="00726D94">
              <w:rPr>
                <w:rFonts w:cs="Arial"/>
                <w:b/>
                <w:bCs/>
                <w:color w:val="000000"/>
                <w:kern w:val="0"/>
                <w:sz w:val="18"/>
                <w:szCs w:val="18"/>
                <w:lang w:val="es-ES" w:eastAsia="es-ES"/>
              </w:rPr>
              <w:t>-SRZ</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1,1</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0,8</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-SER</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SRE-SRZ</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0,7</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0,8</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FC metro III</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19</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w:t>
            </w:r>
            <w:r w:rsidRPr="00726D94">
              <w:rPr>
                <w:rFonts w:cs="Arial"/>
                <w:b/>
                <w:bCs/>
                <w:color w:val="000000"/>
                <w:kern w:val="0"/>
                <w:sz w:val="18"/>
                <w:szCs w:val="18"/>
                <w:lang w:val="es-ES" w:eastAsia="es-ES"/>
              </w:rPr>
              <w:t>RIB</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RIB-SRZ</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0,6</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0,6</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MA-60</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56</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w:t>
            </w:r>
            <w:r w:rsidRPr="00726D94">
              <w:rPr>
                <w:rFonts w:cs="Arial"/>
                <w:b/>
                <w:bCs/>
                <w:color w:val="000000"/>
                <w:kern w:val="0"/>
                <w:sz w:val="18"/>
                <w:szCs w:val="18"/>
                <w:lang w:val="es-ES" w:eastAsia="es-ES"/>
              </w:rPr>
              <w:t>VVU</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VVU- 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0,0</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MA-60</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56</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sidRPr="00726D94">
              <w:rPr>
                <w:rFonts w:cs="Arial"/>
                <w:b/>
                <w:bCs/>
                <w:color w:val="000000"/>
                <w:kern w:val="0"/>
                <w:sz w:val="18"/>
                <w:szCs w:val="18"/>
                <w:lang w:val="es-ES" w:eastAsia="es-ES"/>
              </w:rPr>
              <w:t xml:space="preserve"> CBB-</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CBB-TDD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VVU- 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r>
      <w:tr w:rsidR="00726D94"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B737-300</w:t>
            </w:r>
          </w:p>
        </w:tc>
        <w:tc>
          <w:tcPr>
            <w:tcW w:w="619"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137</w:t>
            </w:r>
          </w:p>
        </w:tc>
        <w:tc>
          <w:tcPr>
            <w:tcW w:w="778"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 SRZ</w:t>
            </w:r>
          </w:p>
        </w:tc>
        <w:tc>
          <w:tcPr>
            <w:tcW w:w="74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hideMark/>
          </w:tcPr>
          <w:p w:rsidR="00726D94" w:rsidRPr="00726D94" w:rsidRDefault="00726D94"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726D94" w:rsidRPr="00726D94" w:rsidRDefault="00726D94"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0,0</w:t>
            </w:r>
          </w:p>
        </w:tc>
      </w:tr>
      <w:tr w:rsidR="00694C1B"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B737-300</w:t>
            </w:r>
          </w:p>
        </w:tc>
        <w:tc>
          <w:tcPr>
            <w:tcW w:w="619"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137</w:t>
            </w:r>
          </w:p>
        </w:tc>
        <w:tc>
          <w:tcPr>
            <w:tcW w:w="778"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-LPB</w:t>
            </w:r>
          </w:p>
        </w:tc>
        <w:tc>
          <w:tcPr>
            <w:tcW w:w="747"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LPB-SRJ</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0,6</w:t>
            </w:r>
          </w:p>
        </w:tc>
        <w:tc>
          <w:tcPr>
            <w:tcW w:w="752" w:type="pct"/>
            <w:tcBorders>
              <w:top w:val="nil"/>
              <w:left w:val="single" w:sz="4" w:space="0" w:color="auto"/>
              <w:bottom w:val="single" w:sz="4" w:space="0" w:color="auto"/>
              <w:right w:val="single" w:sz="4" w:space="0" w:color="auto"/>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r>
      <w:tr w:rsidR="00694C1B"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B737-300</w:t>
            </w:r>
          </w:p>
        </w:tc>
        <w:tc>
          <w:tcPr>
            <w:tcW w:w="619"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137</w:t>
            </w:r>
          </w:p>
        </w:tc>
        <w:tc>
          <w:tcPr>
            <w:tcW w:w="778"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-CIJ</w:t>
            </w:r>
          </w:p>
        </w:tc>
        <w:tc>
          <w:tcPr>
            <w:tcW w:w="747"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CIJ-SRJ</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SRJ-TDD</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0,9</w:t>
            </w:r>
          </w:p>
        </w:tc>
        <w:tc>
          <w:tcPr>
            <w:tcW w:w="752" w:type="pct"/>
            <w:tcBorders>
              <w:top w:val="nil"/>
              <w:left w:val="single" w:sz="4" w:space="0" w:color="auto"/>
              <w:bottom w:val="single" w:sz="4" w:space="0" w:color="auto"/>
              <w:right w:val="single" w:sz="4" w:space="0" w:color="auto"/>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0,7</w:t>
            </w:r>
          </w:p>
        </w:tc>
      </w:tr>
      <w:tr w:rsidR="00694C1B"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B737-300</w:t>
            </w:r>
          </w:p>
        </w:tc>
        <w:tc>
          <w:tcPr>
            <w:tcW w:w="619"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137</w:t>
            </w:r>
          </w:p>
        </w:tc>
        <w:tc>
          <w:tcPr>
            <w:tcW w:w="778"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w:t>
            </w:r>
            <w:r>
              <w:rPr>
                <w:rFonts w:cs="Arial"/>
                <w:b/>
                <w:bCs/>
                <w:color w:val="000000"/>
                <w:kern w:val="0"/>
                <w:sz w:val="18"/>
                <w:szCs w:val="18"/>
                <w:lang w:val="es-ES" w:eastAsia="es-ES"/>
              </w:rPr>
              <w:t>-CBB</w:t>
            </w:r>
          </w:p>
        </w:tc>
        <w:tc>
          <w:tcPr>
            <w:tcW w:w="747" w:type="pct"/>
            <w:tcBorders>
              <w:top w:val="nil"/>
              <w:left w:val="single" w:sz="4" w:space="0" w:color="auto"/>
              <w:bottom w:val="single" w:sz="4" w:space="0" w:color="auto"/>
              <w:right w:val="nil"/>
            </w:tcBorders>
            <w:shd w:val="clear" w:color="auto" w:fill="auto"/>
            <w:noWrap/>
            <w:vAlign w:val="bottom"/>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CBB-SRZ</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0,4</w:t>
            </w:r>
          </w:p>
        </w:tc>
        <w:tc>
          <w:tcPr>
            <w:tcW w:w="752" w:type="pct"/>
            <w:tcBorders>
              <w:top w:val="nil"/>
              <w:left w:val="single" w:sz="4" w:space="0" w:color="auto"/>
              <w:bottom w:val="single" w:sz="4" w:space="0" w:color="auto"/>
              <w:right w:val="single" w:sz="4" w:space="0" w:color="auto"/>
            </w:tcBorders>
            <w:shd w:val="clear" w:color="auto" w:fill="auto"/>
            <w:noWrap/>
            <w:vAlign w:val="bottom"/>
          </w:tcPr>
          <w:p w:rsidR="00694C1B" w:rsidRPr="00726D94" w:rsidRDefault="00694C1B" w:rsidP="00537097">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r>
      <w:tr w:rsidR="00694C1B" w:rsidRPr="00726D94" w:rsidTr="00694C1B">
        <w:trPr>
          <w:trHeight w:val="255"/>
        </w:trPr>
        <w:tc>
          <w:tcPr>
            <w:tcW w:w="630"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left"/>
              <w:rPr>
                <w:rFonts w:cs="Arial"/>
                <w:b/>
                <w:bCs/>
                <w:color w:val="000000"/>
                <w:kern w:val="0"/>
                <w:sz w:val="18"/>
                <w:szCs w:val="18"/>
                <w:lang w:val="es-ES" w:eastAsia="es-ES"/>
              </w:rPr>
            </w:pPr>
            <w:r w:rsidRPr="00726D94">
              <w:rPr>
                <w:rFonts w:cs="Arial"/>
                <w:b/>
                <w:bCs/>
                <w:color w:val="000000"/>
                <w:kern w:val="0"/>
                <w:sz w:val="18"/>
                <w:szCs w:val="18"/>
                <w:lang w:val="es-ES" w:eastAsia="es-ES"/>
              </w:rPr>
              <w:t>B737-300</w:t>
            </w:r>
          </w:p>
        </w:tc>
        <w:tc>
          <w:tcPr>
            <w:tcW w:w="619"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137</w:t>
            </w:r>
          </w:p>
        </w:tc>
        <w:tc>
          <w:tcPr>
            <w:tcW w:w="778"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TDD TJA</w:t>
            </w:r>
            <w:r>
              <w:rPr>
                <w:rFonts w:cs="Arial"/>
                <w:b/>
                <w:bCs/>
                <w:color w:val="000000"/>
                <w:kern w:val="0"/>
                <w:sz w:val="18"/>
                <w:szCs w:val="18"/>
                <w:lang w:val="es-ES" w:eastAsia="es-ES"/>
              </w:rPr>
              <w:t>/GUY</w:t>
            </w:r>
          </w:p>
        </w:tc>
        <w:tc>
          <w:tcPr>
            <w:tcW w:w="747"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TJA</w:t>
            </w:r>
            <w:r>
              <w:rPr>
                <w:rFonts w:cs="Arial"/>
                <w:b/>
                <w:bCs/>
                <w:color w:val="000000"/>
                <w:kern w:val="0"/>
                <w:sz w:val="18"/>
                <w:szCs w:val="18"/>
                <w:lang w:val="es-ES" w:eastAsia="es-ES"/>
              </w:rPr>
              <w:t>/GUY</w:t>
            </w:r>
            <w:r w:rsidRPr="00726D94">
              <w:rPr>
                <w:rFonts w:cs="Arial"/>
                <w:b/>
                <w:bCs/>
                <w:color w:val="000000"/>
                <w:kern w:val="0"/>
                <w:sz w:val="18"/>
                <w:szCs w:val="18"/>
                <w:lang w:val="es-ES" w:eastAsia="es-ES"/>
              </w:rPr>
              <w:t>-SRZ</w:t>
            </w:r>
          </w:p>
        </w:tc>
        <w:tc>
          <w:tcPr>
            <w:tcW w:w="737"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SRZ-TDD</w:t>
            </w:r>
          </w:p>
        </w:tc>
        <w:tc>
          <w:tcPr>
            <w:tcW w:w="737" w:type="pct"/>
            <w:tcBorders>
              <w:top w:val="nil"/>
              <w:left w:val="single" w:sz="4" w:space="0" w:color="auto"/>
              <w:bottom w:val="single" w:sz="4" w:space="0" w:color="auto"/>
              <w:right w:val="nil"/>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sidRPr="00726D94">
              <w:rPr>
                <w:rFonts w:cs="Arial"/>
                <w:b/>
                <w:bCs/>
                <w:color w:val="000000"/>
                <w:kern w:val="0"/>
                <w:sz w:val="18"/>
                <w:szCs w:val="18"/>
                <w:lang w:val="es-ES" w:eastAsia="es-ES"/>
              </w:rPr>
              <w:t>0,5</w:t>
            </w:r>
          </w:p>
        </w:tc>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694C1B" w:rsidRPr="00726D94" w:rsidRDefault="00694C1B" w:rsidP="00726D94">
            <w:pPr>
              <w:spacing w:before="0" w:after="0"/>
              <w:jc w:val="center"/>
              <w:rPr>
                <w:rFonts w:cs="Arial"/>
                <w:b/>
                <w:bCs/>
                <w:color w:val="000000"/>
                <w:kern w:val="0"/>
                <w:sz w:val="18"/>
                <w:szCs w:val="18"/>
                <w:lang w:val="es-ES" w:eastAsia="es-ES"/>
              </w:rPr>
            </w:pPr>
            <w:r>
              <w:rPr>
                <w:rFonts w:cs="Arial"/>
                <w:b/>
                <w:bCs/>
                <w:color w:val="000000"/>
                <w:kern w:val="0"/>
                <w:sz w:val="18"/>
                <w:szCs w:val="18"/>
                <w:lang w:val="es-ES" w:eastAsia="es-ES"/>
              </w:rPr>
              <w:t>0,8</w:t>
            </w:r>
          </w:p>
        </w:tc>
      </w:tr>
    </w:tbl>
    <w:p w:rsidR="00F97F2F" w:rsidRPr="00AC1C46" w:rsidRDefault="00F97F2F" w:rsidP="00F97F2F">
      <w:pPr>
        <w:pStyle w:val="Epgrafe"/>
      </w:pPr>
      <w:r>
        <w:t xml:space="preserve">Tabla </w:t>
      </w:r>
      <w:fldSimple w:instr=" SEQ Tabla \* ARABIC ">
        <w:r>
          <w:rPr>
            <w:noProof/>
          </w:rPr>
          <w:t>3</w:t>
        </w:r>
      </w:fldSimple>
      <w:r w:rsidRPr="00AC1C46">
        <w:t xml:space="preserve">: </w:t>
      </w:r>
      <w:r>
        <w:t>Desglose de aeronaves, km y tiempos de vuelo por ruta aérea considerada</w:t>
      </w:r>
      <w:bookmarkEnd w:id="35"/>
    </w:p>
    <w:p w:rsidR="00F97F2F" w:rsidRPr="00AC1C46" w:rsidRDefault="00F97F2F" w:rsidP="00F97F2F">
      <w:pPr>
        <w:pStyle w:val="Epgrafe"/>
        <w:spacing w:before="0"/>
      </w:pPr>
      <w:r w:rsidRPr="00AC1C46">
        <w:rPr>
          <w:rStyle w:val="Referenciasutil"/>
        </w:rPr>
        <w:t xml:space="preserve">Fuente: </w:t>
      </w:r>
      <w:r>
        <w:rPr>
          <w:rStyle w:val="Referenciasutil"/>
        </w:rPr>
        <w:t>Google Earth; Previsiones de tráfico P.M.; Elaboración Propia</w:t>
      </w:r>
    </w:p>
    <w:p w:rsidR="00F97F2F" w:rsidRDefault="00F97F2F" w:rsidP="00F97F2F">
      <w:pPr>
        <w:pStyle w:val="Listaconvietas"/>
        <w:numPr>
          <w:ilvl w:val="0"/>
          <w:numId w:val="0"/>
        </w:numPr>
        <w:ind w:left="360"/>
        <w:rPr>
          <w:lang w:val="es-ES"/>
        </w:rPr>
      </w:pPr>
    </w:p>
    <w:p w:rsidR="00726D94" w:rsidRDefault="00F97F2F" w:rsidP="00F97F2F">
      <w:pPr>
        <w:pStyle w:val="Listaconvietas"/>
        <w:numPr>
          <w:ilvl w:val="0"/>
          <w:numId w:val="0"/>
        </w:numPr>
        <w:ind w:left="360"/>
        <w:rPr>
          <w:lang w:val="es-ES"/>
        </w:rPr>
      </w:pPr>
      <w:r>
        <w:rPr>
          <w:lang w:val="es-ES"/>
        </w:rPr>
        <w:t xml:space="preserve">El </w:t>
      </w:r>
      <w:r w:rsidRPr="00D60DD2">
        <w:rPr>
          <w:i/>
          <w:lang w:val="es-ES"/>
        </w:rPr>
        <w:t>lf</w:t>
      </w:r>
      <w:r>
        <w:rPr>
          <w:lang w:val="es-ES"/>
        </w:rPr>
        <w:t xml:space="preserve"> o </w:t>
      </w:r>
      <w:r w:rsidRPr="00D60DD2">
        <w:rPr>
          <w:i/>
          <w:lang w:val="es-ES"/>
        </w:rPr>
        <w:t>load factor</w:t>
      </w:r>
      <w:r>
        <w:rPr>
          <w:lang w:val="es-ES"/>
        </w:rPr>
        <w:t xml:space="preserve"> considerado en las rutas de aeronaves proviene del estudio de demanda (un valor bajo para lo habitual en la industria). Se han eliminado de esta evaluación los movimientos </w:t>
      </w:r>
      <w:r w:rsidR="00726D94">
        <w:rPr>
          <w:lang w:val="es-ES"/>
        </w:rPr>
        <w:t xml:space="preserve">estimados </w:t>
      </w:r>
      <w:r>
        <w:rPr>
          <w:lang w:val="es-ES"/>
        </w:rPr>
        <w:t xml:space="preserve">de aeronaves de </w:t>
      </w:r>
      <w:r w:rsidR="00726D94">
        <w:rPr>
          <w:lang w:val="es-ES"/>
        </w:rPr>
        <w:t>la</w:t>
      </w:r>
      <w:r>
        <w:rPr>
          <w:lang w:val="es-ES"/>
        </w:rPr>
        <w:t xml:space="preserve"> FAB</w:t>
      </w:r>
      <w:r w:rsidR="00726D94">
        <w:rPr>
          <w:lang w:val="es-ES"/>
        </w:rPr>
        <w:t xml:space="preserve"> y de aviación general</w:t>
      </w:r>
      <w:r>
        <w:rPr>
          <w:lang w:val="es-ES"/>
        </w:rPr>
        <w:t xml:space="preserve">; </w:t>
      </w:r>
      <w:r w:rsidR="00726D94">
        <w:rPr>
          <w:lang w:val="es-ES"/>
        </w:rPr>
        <w:t>no obstante, se</w:t>
      </w:r>
      <w:r>
        <w:rPr>
          <w:lang w:val="es-ES"/>
        </w:rPr>
        <w:t xml:space="preserve"> asume que</w:t>
      </w:r>
      <w:r w:rsidR="00726D94">
        <w:rPr>
          <w:lang w:val="es-ES"/>
        </w:rPr>
        <w:t xml:space="preserve"> con el cierre del aeropuerto, toda la aviación general intensa que se realiza entre Trinidad y El Trompillo (santa Cruz), se podría trasladar a San Borja. Estos desplazamientos de propietarios de aeronaves ligeras y hangares sí están incluidos.</w:t>
      </w:r>
    </w:p>
    <w:p w:rsidR="00F97F2F" w:rsidRDefault="00F97F2F" w:rsidP="00F97F2F">
      <w:pPr>
        <w:pStyle w:val="Listaconvietas"/>
        <w:numPr>
          <w:ilvl w:val="0"/>
          <w:numId w:val="0"/>
        </w:numPr>
        <w:ind w:left="360"/>
        <w:rPr>
          <w:lang w:val="es-ES"/>
        </w:rPr>
      </w:pPr>
      <w:r>
        <w:rPr>
          <w:lang w:val="es-ES"/>
        </w:rPr>
        <w:t xml:space="preserve">La ruta por carretera entre </w:t>
      </w:r>
      <w:r w:rsidR="00726D94">
        <w:rPr>
          <w:lang w:val="es-ES"/>
        </w:rPr>
        <w:t>Trin</w:t>
      </w:r>
      <w:r w:rsidR="00C5314A">
        <w:rPr>
          <w:lang w:val="es-ES"/>
        </w:rPr>
        <w:t>i</w:t>
      </w:r>
      <w:r w:rsidR="00726D94">
        <w:rPr>
          <w:lang w:val="es-ES"/>
        </w:rPr>
        <w:t>dad</w:t>
      </w:r>
      <w:r>
        <w:rPr>
          <w:lang w:val="es-ES"/>
        </w:rPr>
        <w:t xml:space="preserve"> y </w:t>
      </w:r>
      <w:r w:rsidR="00726D94">
        <w:rPr>
          <w:lang w:val="es-ES"/>
        </w:rPr>
        <w:t>San Borja</w:t>
      </w:r>
      <w:r>
        <w:rPr>
          <w:lang w:val="es-ES"/>
        </w:rPr>
        <w:t>, se asume que se puede realizar en 3,</w:t>
      </w:r>
      <w:r w:rsidR="00726D94">
        <w:rPr>
          <w:lang w:val="es-ES"/>
        </w:rPr>
        <w:t>0</w:t>
      </w:r>
      <w:r>
        <w:rPr>
          <w:lang w:val="es-ES"/>
        </w:rPr>
        <w:t>h por vehículo privado ligero, como se ha indicado anteriormente. Otros parámetros utilizados en el cálculo son:</w:t>
      </w:r>
    </w:p>
    <w:p w:rsidR="00F97F2F" w:rsidRDefault="00F97F2F" w:rsidP="00F97F2F">
      <w:pPr>
        <w:pStyle w:val="Listaconvietas"/>
        <w:tabs>
          <w:tab w:val="clear" w:pos="360"/>
          <w:tab w:val="num" w:pos="720"/>
        </w:tabs>
        <w:ind w:left="720" w:hanging="360"/>
        <w:rPr>
          <w:lang w:val="es-ES"/>
        </w:rPr>
      </w:pPr>
      <w:r>
        <w:rPr>
          <w:lang w:val="es-ES"/>
        </w:rPr>
        <w:t>Ocupación: 1Pax aéreo/vehículo</w:t>
      </w:r>
    </w:p>
    <w:p w:rsidR="00F97F2F" w:rsidRDefault="00F97F2F" w:rsidP="00F97F2F">
      <w:pPr>
        <w:pStyle w:val="Listaconvietas"/>
        <w:tabs>
          <w:tab w:val="clear" w:pos="360"/>
          <w:tab w:val="num" w:pos="720"/>
        </w:tabs>
        <w:ind w:left="720" w:hanging="360"/>
        <w:rPr>
          <w:lang w:val="es-ES"/>
        </w:rPr>
      </w:pPr>
      <w:r>
        <w:rPr>
          <w:lang w:val="es-ES"/>
        </w:rPr>
        <w:t>Acompañantes: 2/vehículo</w:t>
      </w:r>
    </w:p>
    <w:p w:rsidR="00F97F2F" w:rsidRDefault="00F97F2F" w:rsidP="00F97F2F">
      <w:pPr>
        <w:pStyle w:val="Listaconvietas"/>
        <w:ind w:left="360" w:hanging="360"/>
        <w:rPr>
          <w:lang w:val="es-ES"/>
        </w:rPr>
      </w:pPr>
      <w:r w:rsidRPr="00D60DD2">
        <w:rPr>
          <w:b/>
          <w:lang w:val="es-ES"/>
        </w:rPr>
        <w:t>Valor del tiempo</w:t>
      </w:r>
      <w:r>
        <w:rPr>
          <w:lang w:val="es-ES"/>
        </w:rPr>
        <w:t xml:space="preserve"> </w:t>
      </w:r>
      <w:r w:rsidRPr="00FB4033">
        <w:rPr>
          <w:b/>
          <w:lang w:val="es-ES"/>
        </w:rPr>
        <w:t>VT</w:t>
      </w:r>
      <w:r>
        <w:rPr>
          <w:lang w:val="es-ES"/>
        </w:rPr>
        <w:t xml:space="preserve"> (costo del tiempo del pasajero y acompañantes). </w:t>
      </w:r>
    </w:p>
    <w:p w:rsidR="00F97F2F" w:rsidRDefault="00F97F2F" w:rsidP="00F97F2F">
      <w:pPr>
        <w:pStyle w:val="Listaconvietas"/>
        <w:numPr>
          <w:ilvl w:val="0"/>
          <w:numId w:val="0"/>
        </w:numPr>
        <w:ind w:left="360"/>
        <w:rPr>
          <w:lang w:val="es-ES"/>
        </w:rPr>
      </w:pPr>
      <w:r>
        <w:rPr>
          <w:lang w:val="es-ES"/>
        </w:rPr>
        <w:t xml:space="preserve">Se ha adoptado un valor de 0,7 USD/h de pasajero usuario y de cada uno de sus acompañantes que viajan hasta </w:t>
      </w:r>
      <w:r w:rsidR="00C5314A">
        <w:rPr>
          <w:lang w:val="es-ES"/>
        </w:rPr>
        <w:t>alguno de los dos aeropuertos alternos (San Borja o Santa Cruz)</w:t>
      </w:r>
      <w:r>
        <w:rPr>
          <w:lang w:val="es-ES"/>
        </w:rPr>
        <w:t xml:space="preserve"> en vehículo privado. Ante la falta de datos estadísticos para este cálculo, se ha adoptado este valor para pasajeros urbanos a partir de los datos empleados en otro estudio realizado para el BID (Análisis económico de la carretera de doble vía Montero-Yapacaní).</w:t>
      </w:r>
    </w:p>
    <w:p w:rsidR="00F97F2F" w:rsidRDefault="00F97F2F" w:rsidP="00F97F2F">
      <w:pPr>
        <w:pStyle w:val="Listaconvietas"/>
        <w:ind w:left="360" w:hanging="360"/>
        <w:rPr>
          <w:lang w:val="es-ES"/>
        </w:rPr>
      </w:pPr>
      <w:r w:rsidRPr="005B22E5">
        <w:rPr>
          <w:b/>
          <w:lang w:val="es-ES"/>
        </w:rPr>
        <w:t>Coste unitario</w:t>
      </w:r>
      <w:r>
        <w:rPr>
          <w:b/>
          <w:lang w:val="es-ES"/>
        </w:rPr>
        <w:t xml:space="preserve"> por km</w:t>
      </w:r>
      <w:r w:rsidRPr="005B22E5">
        <w:rPr>
          <w:b/>
          <w:lang w:val="es-ES"/>
        </w:rPr>
        <w:t xml:space="preserve"> de los trayectos por carretera</w:t>
      </w:r>
    </w:p>
    <w:p w:rsidR="00F97F2F" w:rsidRDefault="00F97F2F" w:rsidP="00F97F2F">
      <w:pPr>
        <w:pStyle w:val="Listaconvietas"/>
        <w:numPr>
          <w:ilvl w:val="0"/>
          <w:numId w:val="0"/>
        </w:numPr>
        <w:ind w:left="360"/>
        <w:rPr>
          <w:lang w:val="es-ES"/>
        </w:rPr>
      </w:pPr>
      <w:r>
        <w:rPr>
          <w:lang w:val="es-ES"/>
        </w:rPr>
        <w:t>Los conceptos considerados en este epígrafe son principalmente el consumo de combustible por km, y otros costes unitarios por km, habituales para estos cálculos: administración de documentación, mantenimiento del vehículo y llantas de repuesto. Se ha supuesto un consumo de combustible relativamente elevado de 15l  a los 100km, dado que las carreteras en el Departamento de Pando, y en general en toda Bolivia, son de mala calidad y la circulación es lenta y sinuosa.</w:t>
      </w:r>
    </w:p>
    <w:p w:rsidR="00C5314A" w:rsidRDefault="00C5314A" w:rsidP="00F97F2F">
      <w:pPr>
        <w:pStyle w:val="Listaconvietas"/>
        <w:numPr>
          <w:ilvl w:val="0"/>
          <w:numId w:val="0"/>
        </w:numPr>
        <w:ind w:left="360"/>
        <w:rPr>
          <w:lang w:val="es-ES"/>
        </w:rPr>
      </w:pPr>
    </w:p>
    <w:tbl>
      <w:tblPr>
        <w:tblW w:w="4420" w:type="dxa"/>
        <w:jc w:val="center"/>
        <w:tblInd w:w="65" w:type="dxa"/>
        <w:tblCellMar>
          <w:left w:w="70" w:type="dxa"/>
          <w:right w:w="70" w:type="dxa"/>
        </w:tblCellMar>
        <w:tblLook w:val="0600" w:firstRow="0" w:lastRow="0" w:firstColumn="0" w:lastColumn="0" w:noHBand="1" w:noVBand="1"/>
      </w:tblPr>
      <w:tblGrid>
        <w:gridCol w:w="2637"/>
        <w:gridCol w:w="714"/>
        <w:gridCol w:w="1069"/>
      </w:tblGrid>
      <w:tr w:rsidR="00F97F2F" w:rsidRPr="00A43073" w:rsidTr="00F97F2F">
        <w:trPr>
          <w:trHeight w:val="255"/>
          <w:jc w:val="center"/>
        </w:trPr>
        <w:tc>
          <w:tcPr>
            <w:tcW w:w="4420" w:type="dxa"/>
            <w:gridSpan w:val="3"/>
            <w:tcBorders>
              <w:top w:val="single" w:sz="4" w:space="0" w:color="auto"/>
              <w:left w:val="single" w:sz="4" w:space="0" w:color="auto"/>
              <w:bottom w:val="single" w:sz="4" w:space="0" w:color="auto"/>
              <w:right w:val="single" w:sz="4" w:space="0" w:color="000000"/>
            </w:tcBorders>
            <w:shd w:val="clear" w:color="000000" w:fill="EBEEEF"/>
            <w:noWrap/>
            <w:vAlign w:val="bottom"/>
            <w:hideMark/>
          </w:tcPr>
          <w:p w:rsidR="00F97F2F" w:rsidRPr="00A43073" w:rsidRDefault="00F97F2F" w:rsidP="00F97F2F">
            <w:pPr>
              <w:spacing w:before="0" w:after="0"/>
              <w:jc w:val="center"/>
              <w:rPr>
                <w:rFonts w:cs="Arial"/>
                <w:b/>
                <w:bCs/>
                <w:color w:val="000000"/>
                <w:kern w:val="0"/>
                <w:sz w:val="18"/>
                <w:szCs w:val="18"/>
                <w:lang w:val="es-ES" w:eastAsia="es-ES"/>
              </w:rPr>
            </w:pPr>
            <w:r w:rsidRPr="00A43073">
              <w:rPr>
                <w:rFonts w:cs="Arial"/>
                <w:b/>
                <w:bCs/>
                <w:color w:val="000000"/>
                <w:kern w:val="0"/>
                <w:sz w:val="18"/>
                <w:szCs w:val="18"/>
                <w:lang w:val="es-ES" w:eastAsia="es-ES"/>
              </w:rPr>
              <w:t>Coste unitario trayectos</w:t>
            </w:r>
            <w:r>
              <w:rPr>
                <w:rFonts w:cs="Arial"/>
                <w:b/>
                <w:bCs/>
                <w:color w:val="000000"/>
                <w:kern w:val="0"/>
                <w:sz w:val="18"/>
                <w:szCs w:val="18"/>
                <w:lang w:val="es-ES" w:eastAsia="es-ES"/>
              </w:rPr>
              <w:t xml:space="preserve"> con</w:t>
            </w:r>
            <w:r w:rsidRPr="00A43073">
              <w:rPr>
                <w:rFonts w:cs="Arial"/>
                <w:b/>
                <w:bCs/>
                <w:color w:val="000000"/>
                <w:kern w:val="0"/>
                <w:sz w:val="18"/>
                <w:szCs w:val="18"/>
                <w:lang w:val="es-ES" w:eastAsia="es-ES"/>
              </w:rPr>
              <w:t xml:space="preserve"> vehículos ligeros</w:t>
            </w:r>
          </w:p>
        </w:tc>
      </w:tr>
      <w:tr w:rsidR="00F97F2F" w:rsidRPr="00A43073" w:rsidTr="00F97F2F">
        <w:trPr>
          <w:trHeight w:val="255"/>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 xml:space="preserve">Fuel &amp; oil </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0,76</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USD/l</w:t>
            </w:r>
          </w:p>
        </w:tc>
      </w:tr>
      <w:tr w:rsidR="00F97F2F" w:rsidRPr="00A43073" w:rsidTr="00F97F2F">
        <w:trPr>
          <w:trHeight w:val="255"/>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Consumo fuel</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15,00</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l/100km</w:t>
            </w:r>
          </w:p>
        </w:tc>
      </w:tr>
      <w:tr w:rsidR="00F97F2F" w:rsidRPr="00A43073" w:rsidTr="00F97F2F">
        <w:trPr>
          <w:trHeight w:val="270"/>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 xml:space="preserve">Coste unitario fuel </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0,11</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USD/km</w:t>
            </w:r>
          </w:p>
        </w:tc>
      </w:tr>
      <w:tr w:rsidR="00F97F2F" w:rsidRPr="00A43073" w:rsidTr="00F97F2F">
        <w:trPr>
          <w:trHeight w:val="270"/>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Administración</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0,02</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USD/km</w:t>
            </w:r>
          </w:p>
        </w:tc>
      </w:tr>
      <w:tr w:rsidR="00F97F2F" w:rsidRPr="00A43073" w:rsidTr="00F97F2F">
        <w:trPr>
          <w:trHeight w:val="255"/>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Mantenimiento</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0,01</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USD/km</w:t>
            </w:r>
          </w:p>
        </w:tc>
      </w:tr>
      <w:tr w:rsidR="00F97F2F" w:rsidRPr="00A43073" w:rsidTr="00F97F2F">
        <w:trPr>
          <w:trHeight w:val="255"/>
          <w:jc w:val="center"/>
        </w:trPr>
        <w:tc>
          <w:tcPr>
            <w:tcW w:w="2637" w:type="dxa"/>
            <w:tcBorders>
              <w:top w:val="nil"/>
              <w:left w:val="single" w:sz="4" w:space="0" w:color="auto"/>
              <w:bottom w:val="single" w:sz="4" w:space="0" w:color="auto"/>
              <w:right w:val="nil"/>
            </w:tcBorders>
            <w:shd w:val="clear" w:color="auto" w:fill="auto"/>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Llantas</w:t>
            </w:r>
          </w:p>
        </w:tc>
        <w:tc>
          <w:tcPr>
            <w:tcW w:w="714" w:type="dxa"/>
            <w:tcBorders>
              <w:top w:val="nil"/>
              <w:left w:val="nil"/>
              <w:bottom w:val="single" w:sz="4" w:space="0" w:color="auto"/>
              <w:right w:val="nil"/>
            </w:tcBorders>
            <w:shd w:val="clear" w:color="auto" w:fill="auto"/>
            <w:noWrap/>
            <w:vAlign w:val="bottom"/>
            <w:hideMark/>
          </w:tcPr>
          <w:p w:rsidR="00F97F2F" w:rsidRPr="00A43073" w:rsidRDefault="00F97F2F" w:rsidP="00F97F2F">
            <w:pPr>
              <w:spacing w:before="0" w:after="0"/>
              <w:jc w:val="right"/>
              <w:rPr>
                <w:rFonts w:cs="Arial"/>
                <w:kern w:val="0"/>
                <w:sz w:val="18"/>
                <w:szCs w:val="18"/>
                <w:lang w:val="es-ES" w:eastAsia="es-ES"/>
              </w:rPr>
            </w:pPr>
            <w:r w:rsidRPr="00A43073">
              <w:rPr>
                <w:rFonts w:cs="Arial"/>
                <w:kern w:val="0"/>
                <w:sz w:val="18"/>
                <w:szCs w:val="18"/>
                <w:lang w:val="es-ES" w:eastAsia="es-ES"/>
              </w:rPr>
              <w:t>0,04</w:t>
            </w:r>
          </w:p>
        </w:tc>
        <w:tc>
          <w:tcPr>
            <w:tcW w:w="1069" w:type="dxa"/>
            <w:tcBorders>
              <w:top w:val="nil"/>
              <w:left w:val="nil"/>
              <w:bottom w:val="single" w:sz="4" w:space="0" w:color="auto"/>
              <w:right w:val="single" w:sz="4" w:space="0" w:color="auto"/>
            </w:tcBorders>
            <w:shd w:val="clear" w:color="auto" w:fill="auto"/>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USD/km</w:t>
            </w:r>
          </w:p>
        </w:tc>
      </w:tr>
      <w:tr w:rsidR="00F97F2F" w:rsidRPr="00A43073" w:rsidTr="00F97F2F">
        <w:trPr>
          <w:trHeight w:val="255"/>
          <w:jc w:val="center"/>
        </w:trPr>
        <w:tc>
          <w:tcPr>
            <w:tcW w:w="2637" w:type="dxa"/>
            <w:tcBorders>
              <w:top w:val="nil"/>
              <w:left w:val="single" w:sz="4" w:space="0" w:color="auto"/>
              <w:bottom w:val="single" w:sz="4" w:space="0" w:color="auto"/>
              <w:right w:val="nil"/>
            </w:tcBorders>
            <w:shd w:val="clear" w:color="000000" w:fill="FFFF00"/>
            <w:noWrap/>
            <w:vAlign w:val="bottom"/>
            <w:hideMark/>
          </w:tcPr>
          <w:p w:rsidR="00F97F2F" w:rsidRPr="00A43073" w:rsidRDefault="00F97F2F" w:rsidP="00F97F2F">
            <w:pPr>
              <w:spacing w:before="0" w:after="0"/>
              <w:jc w:val="left"/>
              <w:rPr>
                <w:rFonts w:cs="Arial"/>
                <w:b/>
                <w:bCs/>
                <w:color w:val="000000"/>
                <w:kern w:val="0"/>
                <w:sz w:val="18"/>
                <w:szCs w:val="18"/>
                <w:lang w:val="es-ES" w:eastAsia="es-ES"/>
              </w:rPr>
            </w:pPr>
            <w:r w:rsidRPr="00A43073">
              <w:rPr>
                <w:rFonts w:cs="Arial"/>
                <w:b/>
                <w:bCs/>
                <w:color w:val="000000"/>
                <w:kern w:val="0"/>
                <w:sz w:val="18"/>
                <w:szCs w:val="18"/>
                <w:lang w:val="es-ES" w:eastAsia="es-ES"/>
              </w:rPr>
              <w:t>Total coste unitario</w:t>
            </w:r>
          </w:p>
        </w:tc>
        <w:tc>
          <w:tcPr>
            <w:tcW w:w="714" w:type="dxa"/>
            <w:tcBorders>
              <w:top w:val="nil"/>
              <w:left w:val="nil"/>
              <w:bottom w:val="single" w:sz="4" w:space="0" w:color="auto"/>
              <w:right w:val="nil"/>
            </w:tcBorders>
            <w:shd w:val="clear" w:color="000000" w:fill="FFFF00"/>
            <w:noWrap/>
            <w:vAlign w:val="bottom"/>
            <w:hideMark/>
          </w:tcPr>
          <w:p w:rsidR="00F97F2F" w:rsidRPr="00A43073" w:rsidRDefault="00F97F2F" w:rsidP="00F97F2F">
            <w:pPr>
              <w:spacing w:before="0" w:after="0"/>
              <w:jc w:val="right"/>
              <w:rPr>
                <w:rFonts w:cs="Arial"/>
                <w:color w:val="FF0000"/>
                <w:kern w:val="0"/>
                <w:sz w:val="18"/>
                <w:szCs w:val="18"/>
                <w:lang w:val="es-ES" w:eastAsia="es-ES"/>
              </w:rPr>
            </w:pPr>
            <w:r>
              <w:rPr>
                <w:rFonts w:cs="Arial"/>
                <w:kern w:val="0"/>
                <w:sz w:val="18"/>
                <w:szCs w:val="18"/>
                <w:lang w:val="es-ES" w:eastAsia="es-ES"/>
              </w:rPr>
              <w:t>0,19</w:t>
            </w:r>
          </w:p>
        </w:tc>
        <w:tc>
          <w:tcPr>
            <w:tcW w:w="1069" w:type="dxa"/>
            <w:tcBorders>
              <w:top w:val="nil"/>
              <w:left w:val="nil"/>
              <w:bottom w:val="single" w:sz="4" w:space="0" w:color="auto"/>
              <w:right w:val="single" w:sz="4" w:space="0" w:color="auto"/>
            </w:tcBorders>
            <w:shd w:val="clear" w:color="000000" w:fill="FFFF00"/>
            <w:noWrap/>
            <w:vAlign w:val="bottom"/>
            <w:hideMark/>
          </w:tcPr>
          <w:p w:rsidR="00F97F2F" w:rsidRPr="00A43073" w:rsidRDefault="00F97F2F" w:rsidP="00F97F2F">
            <w:pPr>
              <w:spacing w:before="0" w:after="0"/>
              <w:jc w:val="left"/>
              <w:rPr>
                <w:rFonts w:cs="Arial"/>
                <w:color w:val="000000"/>
                <w:kern w:val="0"/>
                <w:sz w:val="18"/>
                <w:szCs w:val="18"/>
                <w:lang w:val="es-ES" w:eastAsia="es-ES"/>
              </w:rPr>
            </w:pPr>
            <w:r w:rsidRPr="00A43073">
              <w:rPr>
                <w:rFonts w:cs="Arial"/>
                <w:color w:val="000000"/>
                <w:kern w:val="0"/>
                <w:sz w:val="18"/>
                <w:szCs w:val="18"/>
                <w:lang w:val="es-ES" w:eastAsia="es-ES"/>
              </w:rPr>
              <w:t>USD/km</w:t>
            </w:r>
          </w:p>
        </w:tc>
      </w:tr>
    </w:tbl>
    <w:p w:rsidR="00F97F2F" w:rsidRPr="00AC1C46" w:rsidRDefault="00F97F2F" w:rsidP="00F97F2F">
      <w:pPr>
        <w:pStyle w:val="Epgrafe"/>
      </w:pPr>
      <w:bookmarkStart w:id="36" w:name="_Toc356687846"/>
      <w:r>
        <w:t xml:space="preserve">Tabla </w:t>
      </w:r>
      <w:fldSimple w:instr=" SEQ Tabla \* ARABIC ">
        <w:r>
          <w:rPr>
            <w:noProof/>
          </w:rPr>
          <w:t>4</w:t>
        </w:r>
      </w:fldSimple>
      <w:r w:rsidRPr="00AC1C46">
        <w:t xml:space="preserve">: </w:t>
      </w:r>
      <w:r>
        <w:t>Desglose de costes unitarios de trayectos por carretera</w:t>
      </w:r>
      <w:bookmarkEnd w:id="36"/>
    </w:p>
    <w:p w:rsidR="00F97F2F" w:rsidRPr="00AC1C46" w:rsidRDefault="00F97F2F" w:rsidP="00F97F2F">
      <w:pPr>
        <w:pStyle w:val="Epgrafe"/>
        <w:spacing w:before="0"/>
      </w:pPr>
      <w:r w:rsidRPr="00AC1C46">
        <w:rPr>
          <w:rStyle w:val="Referenciasutil"/>
        </w:rPr>
        <w:t>Fuente</w:t>
      </w:r>
      <w:r>
        <w:rPr>
          <w:rStyle w:val="Referenciasutil"/>
        </w:rPr>
        <w:t>s</w:t>
      </w:r>
      <w:r w:rsidRPr="00AC1C46">
        <w:rPr>
          <w:rStyle w:val="Referenciasutil"/>
        </w:rPr>
        <w:t xml:space="preserve">: </w:t>
      </w:r>
      <w:r>
        <w:rPr>
          <w:rStyle w:val="Referenciasutil"/>
        </w:rPr>
        <w:t>Análisis económico Construcción de la carretera doble vía montero-yapaní (BID, 2012)</w:t>
      </w:r>
    </w:p>
    <w:p w:rsidR="00C5314A" w:rsidRDefault="00C5314A">
      <w:pPr>
        <w:spacing w:before="0" w:after="200" w:line="276" w:lineRule="auto"/>
        <w:jc w:val="left"/>
        <w:rPr>
          <w:b/>
          <w:lang w:val="es-ES"/>
        </w:rPr>
      </w:pPr>
    </w:p>
    <w:p w:rsidR="00F97F2F" w:rsidRPr="00791BEF" w:rsidRDefault="00F97F2F" w:rsidP="00F97F2F">
      <w:pPr>
        <w:pStyle w:val="Listaconvietas"/>
        <w:ind w:left="360" w:hanging="360"/>
        <w:rPr>
          <w:lang w:val="es-ES"/>
        </w:rPr>
      </w:pPr>
      <w:r>
        <w:rPr>
          <w:b/>
          <w:lang w:val="es-ES"/>
        </w:rPr>
        <w:t>Coste unitario por ASK de las aeronaves</w:t>
      </w:r>
    </w:p>
    <w:p w:rsidR="00F97F2F" w:rsidRPr="00791BEF" w:rsidRDefault="00F97F2F" w:rsidP="00F97F2F">
      <w:pPr>
        <w:pStyle w:val="Listaconvietas"/>
        <w:numPr>
          <w:ilvl w:val="0"/>
          <w:numId w:val="0"/>
        </w:numPr>
        <w:ind w:left="360"/>
        <w:rPr>
          <w:lang w:val="es-ES"/>
        </w:rPr>
      </w:pPr>
      <w:r>
        <w:rPr>
          <w:lang w:val="es-ES"/>
        </w:rPr>
        <w:t>Se detallan los componentes del coste unitario por asiento-km empleados en esta evaluación.</w:t>
      </w:r>
    </w:p>
    <w:tbl>
      <w:tblPr>
        <w:tblW w:w="5108" w:type="dxa"/>
        <w:jc w:val="center"/>
        <w:tblInd w:w="-623" w:type="dxa"/>
        <w:tblCellMar>
          <w:left w:w="70" w:type="dxa"/>
          <w:right w:w="70" w:type="dxa"/>
        </w:tblCellMar>
        <w:tblLook w:val="0600" w:firstRow="0" w:lastRow="0" w:firstColumn="0" w:lastColumn="0" w:noHBand="1" w:noVBand="1"/>
      </w:tblPr>
      <w:tblGrid>
        <w:gridCol w:w="2768"/>
        <w:gridCol w:w="1200"/>
        <w:gridCol w:w="1140"/>
      </w:tblGrid>
      <w:tr w:rsidR="00F97F2F" w:rsidRPr="00791BEF" w:rsidTr="00F97F2F">
        <w:trPr>
          <w:trHeight w:val="255"/>
          <w:jc w:val="center"/>
        </w:trPr>
        <w:tc>
          <w:tcPr>
            <w:tcW w:w="2768" w:type="dxa"/>
            <w:tcBorders>
              <w:top w:val="single" w:sz="4" w:space="0" w:color="auto"/>
              <w:left w:val="single" w:sz="4" w:space="0" w:color="auto"/>
              <w:bottom w:val="single" w:sz="4" w:space="0" w:color="auto"/>
              <w:right w:val="nil"/>
            </w:tcBorders>
            <w:shd w:val="clear" w:color="000000" w:fill="EBEEEF"/>
            <w:noWrap/>
            <w:vAlign w:val="bottom"/>
            <w:hideMark/>
          </w:tcPr>
          <w:p w:rsidR="00F97F2F" w:rsidRPr="00791BEF" w:rsidRDefault="00F97F2F" w:rsidP="00F97F2F">
            <w:pPr>
              <w:spacing w:before="0" w:after="0"/>
              <w:jc w:val="center"/>
              <w:rPr>
                <w:rFonts w:cs="Arial"/>
                <w:b/>
                <w:bCs/>
                <w:color w:val="000000"/>
                <w:kern w:val="0"/>
                <w:sz w:val="18"/>
                <w:szCs w:val="18"/>
                <w:lang w:val="es-ES" w:eastAsia="es-ES"/>
              </w:rPr>
            </w:pPr>
            <w:r w:rsidRPr="00791BEF">
              <w:rPr>
                <w:rFonts w:cs="Arial"/>
                <w:b/>
                <w:bCs/>
                <w:color w:val="000000"/>
                <w:kern w:val="0"/>
                <w:sz w:val="18"/>
                <w:szCs w:val="18"/>
                <w:lang w:val="es-ES" w:eastAsia="es-ES"/>
              </w:rPr>
              <w:t>CASK</w:t>
            </w:r>
            <w:r>
              <w:rPr>
                <w:rFonts w:cs="Arial"/>
                <w:b/>
                <w:bCs/>
                <w:color w:val="000000"/>
                <w:kern w:val="0"/>
                <w:sz w:val="18"/>
                <w:szCs w:val="18"/>
                <w:lang w:val="es-ES" w:eastAsia="es-ES"/>
              </w:rPr>
              <w:t xml:space="preserve"> (USD/ASK)</w:t>
            </w:r>
          </w:p>
        </w:tc>
        <w:tc>
          <w:tcPr>
            <w:tcW w:w="1200" w:type="dxa"/>
            <w:tcBorders>
              <w:top w:val="single" w:sz="4" w:space="0" w:color="auto"/>
              <w:left w:val="single" w:sz="4" w:space="0" w:color="auto"/>
              <w:bottom w:val="single" w:sz="4" w:space="0" w:color="auto"/>
              <w:right w:val="nil"/>
            </w:tcBorders>
            <w:shd w:val="clear" w:color="000000" w:fill="EBEEEF"/>
            <w:noWrap/>
            <w:vAlign w:val="bottom"/>
            <w:hideMark/>
          </w:tcPr>
          <w:p w:rsidR="00F97F2F" w:rsidRPr="00791BEF" w:rsidRDefault="00F97F2F" w:rsidP="00F97F2F">
            <w:pPr>
              <w:spacing w:before="0" w:after="0"/>
              <w:jc w:val="center"/>
              <w:rPr>
                <w:rFonts w:cs="Arial"/>
                <w:b/>
                <w:bCs/>
                <w:color w:val="000000"/>
                <w:kern w:val="0"/>
                <w:sz w:val="18"/>
                <w:szCs w:val="18"/>
                <w:lang w:val="es-ES" w:eastAsia="es-ES"/>
              </w:rPr>
            </w:pPr>
            <w:r w:rsidRPr="00791BEF">
              <w:rPr>
                <w:rFonts w:cs="Arial"/>
                <w:b/>
                <w:bCs/>
                <w:color w:val="000000"/>
                <w:kern w:val="0"/>
                <w:sz w:val="18"/>
                <w:szCs w:val="18"/>
                <w:lang w:val="es-ES" w:eastAsia="es-ES"/>
              </w:rPr>
              <w:t>FC Metro III</w:t>
            </w:r>
          </w:p>
        </w:tc>
        <w:tc>
          <w:tcPr>
            <w:tcW w:w="1140" w:type="dxa"/>
            <w:tcBorders>
              <w:top w:val="single" w:sz="4" w:space="0" w:color="auto"/>
              <w:left w:val="single" w:sz="4" w:space="0" w:color="auto"/>
              <w:bottom w:val="single" w:sz="4" w:space="0" w:color="auto"/>
              <w:right w:val="single" w:sz="4" w:space="0" w:color="auto"/>
            </w:tcBorders>
            <w:shd w:val="clear" w:color="000000" w:fill="EBEEEF"/>
            <w:noWrap/>
            <w:vAlign w:val="bottom"/>
            <w:hideMark/>
          </w:tcPr>
          <w:p w:rsidR="00F97F2F" w:rsidRPr="00791BEF" w:rsidRDefault="00F97F2F" w:rsidP="00F97F2F">
            <w:pPr>
              <w:spacing w:before="0" w:after="0"/>
              <w:jc w:val="center"/>
              <w:rPr>
                <w:rFonts w:cs="Arial"/>
                <w:b/>
                <w:bCs/>
                <w:color w:val="000000"/>
                <w:kern w:val="0"/>
                <w:sz w:val="18"/>
                <w:szCs w:val="18"/>
                <w:lang w:val="es-ES" w:eastAsia="es-ES"/>
              </w:rPr>
            </w:pPr>
            <w:r w:rsidRPr="00791BEF">
              <w:rPr>
                <w:rFonts w:cs="Arial"/>
                <w:b/>
                <w:bCs/>
                <w:color w:val="000000"/>
                <w:kern w:val="0"/>
                <w:sz w:val="18"/>
                <w:szCs w:val="18"/>
                <w:lang w:val="es-ES" w:eastAsia="es-ES"/>
              </w:rPr>
              <w:t>B737</w:t>
            </w:r>
            <w:r>
              <w:rPr>
                <w:rFonts w:cs="Arial"/>
                <w:b/>
                <w:bCs/>
                <w:color w:val="000000"/>
                <w:kern w:val="0"/>
                <w:sz w:val="18"/>
                <w:szCs w:val="18"/>
                <w:lang w:val="es-ES" w:eastAsia="es-ES"/>
              </w:rPr>
              <w:t>-300</w:t>
            </w:r>
          </w:p>
        </w:tc>
      </w:tr>
      <w:tr w:rsidR="00F97F2F" w:rsidRPr="00791BEF" w:rsidTr="00F97F2F">
        <w:trPr>
          <w:trHeight w:val="255"/>
          <w:jc w:val="center"/>
        </w:trPr>
        <w:tc>
          <w:tcPr>
            <w:tcW w:w="2768" w:type="dxa"/>
            <w:tcBorders>
              <w:top w:val="nil"/>
              <w:left w:val="single" w:sz="4" w:space="0" w:color="auto"/>
              <w:bottom w:val="single" w:sz="4" w:space="0" w:color="auto"/>
              <w:right w:val="nil"/>
            </w:tcBorders>
            <w:shd w:val="clear" w:color="auto" w:fill="auto"/>
            <w:noWrap/>
            <w:vAlign w:val="bottom"/>
            <w:hideMark/>
          </w:tcPr>
          <w:p w:rsidR="00F97F2F" w:rsidRPr="00791BEF" w:rsidRDefault="00F97F2F" w:rsidP="00F97F2F">
            <w:pPr>
              <w:spacing w:before="0" w:after="0"/>
              <w:jc w:val="left"/>
              <w:rPr>
                <w:rFonts w:cs="Arial"/>
                <w:b/>
                <w:bCs/>
                <w:color w:val="000000"/>
                <w:kern w:val="0"/>
                <w:sz w:val="18"/>
                <w:szCs w:val="18"/>
                <w:lang w:val="es-ES" w:eastAsia="es-ES"/>
              </w:rPr>
            </w:pPr>
            <w:r w:rsidRPr="00791BEF">
              <w:rPr>
                <w:rFonts w:cs="Arial"/>
                <w:b/>
                <w:bCs/>
                <w:color w:val="000000"/>
                <w:kern w:val="0"/>
                <w:sz w:val="18"/>
                <w:szCs w:val="18"/>
                <w:lang w:val="es-ES" w:eastAsia="es-ES"/>
              </w:rPr>
              <w:t>Fuel Jet A-1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1,70</w:t>
            </w:r>
          </w:p>
        </w:tc>
        <w:tc>
          <w:tcPr>
            <w:tcW w:w="1140" w:type="dxa"/>
            <w:tcBorders>
              <w:top w:val="nil"/>
              <w:left w:val="nil"/>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1,70</w:t>
            </w:r>
          </w:p>
        </w:tc>
      </w:tr>
      <w:tr w:rsidR="00F97F2F" w:rsidRPr="00791BEF" w:rsidTr="00F97F2F">
        <w:trPr>
          <w:trHeight w:val="255"/>
          <w:jc w:val="center"/>
        </w:trPr>
        <w:tc>
          <w:tcPr>
            <w:tcW w:w="2768" w:type="dxa"/>
            <w:tcBorders>
              <w:top w:val="nil"/>
              <w:left w:val="single" w:sz="4" w:space="0" w:color="auto"/>
              <w:bottom w:val="single" w:sz="4" w:space="0" w:color="auto"/>
              <w:right w:val="nil"/>
            </w:tcBorders>
            <w:shd w:val="clear" w:color="auto" w:fill="auto"/>
            <w:noWrap/>
            <w:vAlign w:val="bottom"/>
            <w:hideMark/>
          </w:tcPr>
          <w:p w:rsidR="00F97F2F" w:rsidRPr="00791BEF" w:rsidRDefault="00F97F2F" w:rsidP="00F97F2F">
            <w:pPr>
              <w:spacing w:before="0" w:after="0"/>
              <w:jc w:val="left"/>
              <w:rPr>
                <w:rFonts w:cs="Arial"/>
                <w:b/>
                <w:bCs/>
                <w:color w:val="000000"/>
                <w:kern w:val="0"/>
                <w:sz w:val="18"/>
                <w:szCs w:val="18"/>
                <w:lang w:val="es-ES" w:eastAsia="es-ES"/>
              </w:rPr>
            </w:pPr>
            <w:r w:rsidRPr="00791BEF">
              <w:rPr>
                <w:rFonts w:cs="Arial"/>
                <w:b/>
                <w:bCs/>
                <w:color w:val="000000"/>
                <w:kern w:val="0"/>
                <w:sz w:val="18"/>
                <w:szCs w:val="18"/>
                <w:lang w:val="es-ES" w:eastAsia="es-ES"/>
              </w:rPr>
              <w:t>Mantenimiento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1,30</w:t>
            </w:r>
          </w:p>
        </w:tc>
        <w:tc>
          <w:tcPr>
            <w:tcW w:w="1140" w:type="dxa"/>
            <w:tcBorders>
              <w:top w:val="nil"/>
              <w:left w:val="nil"/>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0,57</w:t>
            </w:r>
          </w:p>
        </w:tc>
      </w:tr>
      <w:tr w:rsidR="00F97F2F" w:rsidRPr="00791BEF" w:rsidTr="00F97F2F">
        <w:trPr>
          <w:trHeight w:val="255"/>
          <w:jc w:val="center"/>
        </w:trPr>
        <w:tc>
          <w:tcPr>
            <w:tcW w:w="2768" w:type="dxa"/>
            <w:tcBorders>
              <w:top w:val="nil"/>
              <w:left w:val="single" w:sz="4" w:space="0" w:color="auto"/>
              <w:bottom w:val="single" w:sz="4" w:space="0" w:color="auto"/>
              <w:right w:val="nil"/>
            </w:tcBorders>
            <w:shd w:val="clear" w:color="auto" w:fill="auto"/>
            <w:noWrap/>
            <w:vAlign w:val="bottom"/>
            <w:hideMark/>
          </w:tcPr>
          <w:p w:rsidR="00F97F2F" w:rsidRPr="00791BEF" w:rsidRDefault="00F97F2F" w:rsidP="00F97F2F">
            <w:pPr>
              <w:spacing w:before="0" w:after="0"/>
              <w:jc w:val="left"/>
              <w:rPr>
                <w:rFonts w:cs="Arial"/>
                <w:b/>
                <w:bCs/>
                <w:color w:val="000000"/>
                <w:kern w:val="0"/>
                <w:sz w:val="18"/>
                <w:szCs w:val="18"/>
                <w:lang w:val="es-ES" w:eastAsia="es-ES"/>
              </w:rPr>
            </w:pPr>
            <w:r w:rsidRPr="00791BEF">
              <w:rPr>
                <w:rFonts w:cs="Arial"/>
                <w:b/>
                <w:bCs/>
                <w:color w:val="000000"/>
                <w:kern w:val="0"/>
                <w:sz w:val="18"/>
                <w:szCs w:val="18"/>
                <w:lang w:val="es-ES" w:eastAsia="es-ES"/>
              </w:rPr>
              <w:t>Tripulación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1,00</w:t>
            </w:r>
          </w:p>
        </w:tc>
        <w:tc>
          <w:tcPr>
            <w:tcW w:w="1140" w:type="dxa"/>
            <w:tcBorders>
              <w:top w:val="nil"/>
              <w:left w:val="nil"/>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0,44</w:t>
            </w:r>
          </w:p>
        </w:tc>
      </w:tr>
      <w:tr w:rsidR="00F97F2F" w:rsidRPr="00791BEF" w:rsidTr="00F97F2F">
        <w:trPr>
          <w:trHeight w:val="255"/>
          <w:jc w:val="center"/>
        </w:trPr>
        <w:tc>
          <w:tcPr>
            <w:tcW w:w="2768" w:type="dxa"/>
            <w:tcBorders>
              <w:top w:val="nil"/>
              <w:left w:val="single" w:sz="4" w:space="0" w:color="auto"/>
              <w:bottom w:val="single" w:sz="4" w:space="0" w:color="auto"/>
              <w:right w:val="nil"/>
            </w:tcBorders>
            <w:shd w:val="clear" w:color="auto" w:fill="auto"/>
            <w:noWrap/>
            <w:vAlign w:val="bottom"/>
            <w:hideMark/>
          </w:tcPr>
          <w:p w:rsidR="00F97F2F" w:rsidRPr="00791BEF" w:rsidRDefault="00F97F2F" w:rsidP="00F97F2F">
            <w:pPr>
              <w:spacing w:before="0" w:after="0"/>
              <w:jc w:val="left"/>
              <w:rPr>
                <w:rFonts w:cs="Arial"/>
                <w:b/>
                <w:bCs/>
                <w:color w:val="000000"/>
                <w:kern w:val="0"/>
                <w:sz w:val="18"/>
                <w:szCs w:val="18"/>
                <w:lang w:val="es-ES" w:eastAsia="es-ES"/>
              </w:rPr>
            </w:pPr>
            <w:r>
              <w:rPr>
                <w:rFonts w:cs="Arial"/>
                <w:b/>
                <w:bCs/>
                <w:color w:val="000000"/>
                <w:kern w:val="0"/>
                <w:sz w:val="18"/>
                <w:szCs w:val="18"/>
                <w:lang w:val="es-ES" w:eastAsia="es-ES"/>
              </w:rPr>
              <w:t xml:space="preserve">Admn. &amp; servicios generales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1,20</w:t>
            </w:r>
          </w:p>
        </w:tc>
        <w:tc>
          <w:tcPr>
            <w:tcW w:w="1140" w:type="dxa"/>
            <w:tcBorders>
              <w:top w:val="nil"/>
              <w:left w:val="nil"/>
              <w:bottom w:val="single" w:sz="4" w:space="0" w:color="auto"/>
              <w:right w:val="single" w:sz="4" w:space="0" w:color="auto"/>
            </w:tcBorders>
            <w:shd w:val="clear" w:color="auto" w:fill="auto"/>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0,40</w:t>
            </w:r>
          </w:p>
        </w:tc>
      </w:tr>
      <w:tr w:rsidR="00F97F2F" w:rsidRPr="00791BEF" w:rsidTr="00F97F2F">
        <w:trPr>
          <w:trHeight w:val="255"/>
          <w:jc w:val="center"/>
        </w:trPr>
        <w:tc>
          <w:tcPr>
            <w:tcW w:w="2768" w:type="dxa"/>
            <w:tcBorders>
              <w:top w:val="nil"/>
              <w:left w:val="single" w:sz="4" w:space="0" w:color="auto"/>
              <w:bottom w:val="single" w:sz="4" w:space="0" w:color="auto"/>
              <w:right w:val="nil"/>
            </w:tcBorders>
            <w:shd w:val="clear" w:color="000000" w:fill="FFFF00"/>
            <w:noWrap/>
            <w:vAlign w:val="bottom"/>
            <w:hideMark/>
          </w:tcPr>
          <w:p w:rsidR="00F97F2F" w:rsidRPr="00791BEF" w:rsidRDefault="00F97F2F" w:rsidP="00F97F2F">
            <w:pPr>
              <w:spacing w:before="0" w:after="0"/>
              <w:jc w:val="left"/>
              <w:rPr>
                <w:rFonts w:cs="Arial"/>
                <w:b/>
                <w:bCs/>
                <w:color w:val="000000"/>
                <w:kern w:val="0"/>
                <w:sz w:val="18"/>
                <w:szCs w:val="18"/>
                <w:lang w:val="es-ES" w:eastAsia="es-ES"/>
              </w:rPr>
            </w:pPr>
            <w:r>
              <w:rPr>
                <w:rFonts w:cs="Arial"/>
                <w:b/>
                <w:bCs/>
                <w:color w:val="000000"/>
                <w:kern w:val="0"/>
                <w:sz w:val="18"/>
                <w:szCs w:val="18"/>
                <w:lang w:val="es-ES" w:eastAsia="es-ES"/>
              </w:rPr>
              <w:t>Total CASK</w:t>
            </w:r>
          </w:p>
        </w:tc>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5,20</w:t>
            </w:r>
          </w:p>
        </w:tc>
        <w:tc>
          <w:tcPr>
            <w:tcW w:w="1140" w:type="dxa"/>
            <w:tcBorders>
              <w:top w:val="nil"/>
              <w:left w:val="nil"/>
              <w:bottom w:val="single" w:sz="4" w:space="0" w:color="auto"/>
              <w:right w:val="single" w:sz="4" w:space="0" w:color="auto"/>
            </w:tcBorders>
            <w:shd w:val="clear" w:color="000000" w:fill="FFFF00"/>
            <w:noWrap/>
            <w:vAlign w:val="bottom"/>
            <w:hideMark/>
          </w:tcPr>
          <w:p w:rsidR="00F97F2F" w:rsidRPr="00791BEF" w:rsidRDefault="00F97F2F" w:rsidP="00F97F2F">
            <w:pPr>
              <w:spacing w:before="0" w:after="0"/>
              <w:jc w:val="right"/>
              <w:rPr>
                <w:rFonts w:cs="Arial"/>
                <w:kern w:val="0"/>
                <w:sz w:val="18"/>
                <w:szCs w:val="18"/>
                <w:lang w:val="es-ES" w:eastAsia="es-ES"/>
              </w:rPr>
            </w:pPr>
            <w:r w:rsidRPr="00791BEF">
              <w:rPr>
                <w:rFonts w:cs="Arial"/>
                <w:kern w:val="0"/>
                <w:sz w:val="18"/>
                <w:szCs w:val="18"/>
                <w:lang w:val="es-ES" w:eastAsia="es-ES"/>
              </w:rPr>
              <w:t>3,11</w:t>
            </w:r>
          </w:p>
        </w:tc>
      </w:tr>
    </w:tbl>
    <w:p w:rsidR="00F97F2F" w:rsidRDefault="00F97F2F" w:rsidP="00F97F2F">
      <w:pPr>
        <w:pStyle w:val="Epgrafe"/>
      </w:pPr>
      <w:bookmarkStart w:id="37" w:name="_Toc356687847"/>
      <w:r>
        <w:t xml:space="preserve">Tabla </w:t>
      </w:r>
      <w:fldSimple w:instr=" SEQ Tabla \* ARABIC ">
        <w:r>
          <w:rPr>
            <w:noProof/>
          </w:rPr>
          <w:t>5</w:t>
        </w:r>
      </w:fldSimple>
      <w:r w:rsidRPr="00AC1C46">
        <w:t xml:space="preserve">: </w:t>
      </w:r>
      <w:r>
        <w:t>Desglose de costes unitarios por ASK de las aeronaves que operan en CIJ</w:t>
      </w:r>
      <w:bookmarkEnd w:id="37"/>
    </w:p>
    <w:p w:rsidR="00F97F2F" w:rsidRPr="00AC1C46" w:rsidRDefault="00F97F2F" w:rsidP="00F97F2F">
      <w:pPr>
        <w:pStyle w:val="Epgrafe"/>
      </w:pPr>
      <w:r w:rsidRPr="00AC1C46">
        <w:rPr>
          <w:rStyle w:val="Referenciasutil"/>
        </w:rPr>
        <w:t xml:space="preserve">Fuente: </w:t>
      </w:r>
      <w:r>
        <w:rPr>
          <w:rStyle w:val="Referenciasutil"/>
        </w:rPr>
        <w:t>Elaboración propia a partir de datos proporcionados por fabricantes de aeronaves</w:t>
      </w:r>
    </w:p>
    <w:p w:rsidR="00F97F2F" w:rsidRDefault="00F97F2F" w:rsidP="00F97F2F">
      <w:pPr>
        <w:pStyle w:val="Listaconvietas"/>
        <w:numPr>
          <w:ilvl w:val="0"/>
          <w:numId w:val="0"/>
        </w:numPr>
        <w:ind w:left="360"/>
        <w:rPr>
          <w:lang w:val="es-ES"/>
        </w:rPr>
      </w:pPr>
      <w:r>
        <w:rPr>
          <w:lang w:val="es-ES"/>
        </w:rPr>
        <w:t xml:space="preserve">Para el caso del </w:t>
      </w:r>
      <w:r w:rsidR="00C5314A">
        <w:rPr>
          <w:lang w:val="es-ES"/>
        </w:rPr>
        <w:t>MA</w:t>
      </w:r>
      <w:r>
        <w:rPr>
          <w:lang w:val="es-ES"/>
        </w:rPr>
        <w:t>6</w:t>
      </w:r>
      <w:r w:rsidR="00C5314A">
        <w:rPr>
          <w:lang w:val="es-ES"/>
        </w:rPr>
        <w:t>0</w:t>
      </w:r>
      <w:r>
        <w:rPr>
          <w:lang w:val="es-ES"/>
        </w:rPr>
        <w:t xml:space="preserve">, no se dispone de datos desagregados del CASK equivalente. Se asume la hipótesis de que los costes unitarios por ASK son aproximadamente un </w:t>
      </w:r>
      <w:r w:rsidR="00C5314A">
        <w:rPr>
          <w:lang w:val="es-ES"/>
        </w:rPr>
        <w:t>15</w:t>
      </w:r>
      <w:r>
        <w:rPr>
          <w:lang w:val="es-ES"/>
        </w:rPr>
        <w:t xml:space="preserve">% mayores al CASK correspondiente al B737-300, del que sí se dispone información. </w:t>
      </w:r>
      <w:r w:rsidR="00C5314A">
        <w:rPr>
          <w:lang w:val="es-ES"/>
        </w:rPr>
        <w:t>Para las aeronaves de aviación general se ha supuesto un CASK de 8 USD/asiento-km.</w:t>
      </w:r>
    </w:p>
    <w:p w:rsidR="00F97F2F" w:rsidRDefault="00F97F2F" w:rsidP="00F97F2F">
      <w:pPr>
        <w:pStyle w:val="Listaconvietas"/>
        <w:numPr>
          <w:ilvl w:val="0"/>
          <w:numId w:val="0"/>
        </w:numPr>
        <w:ind w:left="360"/>
        <w:rPr>
          <w:lang w:val="es-ES"/>
        </w:rPr>
      </w:pPr>
      <w:r>
        <w:rPr>
          <w:lang w:val="es-ES"/>
        </w:rPr>
        <w:t xml:space="preserve">Por otro lado, cabe señalar que no se han incluido en este desglose los costes unitarios asociados al </w:t>
      </w:r>
      <w:r w:rsidRPr="009A5D83">
        <w:rPr>
          <w:i/>
          <w:lang w:val="es-ES"/>
        </w:rPr>
        <w:t>leasing</w:t>
      </w:r>
      <w:r>
        <w:rPr>
          <w:lang w:val="es-ES"/>
        </w:rPr>
        <w:t xml:space="preserve"> de las aeronaves (puesto que no se incluye el concepto de amortización para el vehículo por carretera), coste comercial, tasas aeroportuarias y de navegación aérea y tasa de handling (puesto que estos son ingresos van para el aeropuerto y se estarían contabilizando doblemente).</w:t>
      </w:r>
    </w:p>
    <w:p w:rsidR="00F97F2F" w:rsidRDefault="00F97F2F" w:rsidP="00F97F2F">
      <w:pPr>
        <w:pStyle w:val="Listaconvietas"/>
        <w:numPr>
          <w:ilvl w:val="0"/>
          <w:numId w:val="0"/>
        </w:numPr>
        <w:ind w:left="360"/>
        <w:rPr>
          <w:lang w:val="es-ES"/>
        </w:rPr>
      </w:pPr>
    </w:p>
    <w:p w:rsidR="00F97F2F" w:rsidRDefault="00F97F2F" w:rsidP="00F97F2F">
      <w:pPr>
        <w:pStyle w:val="Listaconvietas"/>
        <w:ind w:left="360" w:hanging="360"/>
        <w:rPr>
          <w:lang w:val="es-ES"/>
        </w:rPr>
      </w:pPr>
      <w:r>
        <w:rPr>
          <w:b/>
          <w:lang w:val="es-ES"/>
        </w:rPr>
        <w:t>Externalidades (coste de las fatalidades por carretera)</w:t>
      </w:r>
      <w:r w:rsidRPr="002F721F">
        <w:rPr>
          <w:lang w:val="es-ES"/>
        </w:rPr>
        <w:t xml:space="preserve"> </w:t>
      </w:r>
    </w:p>
    <w:p w:rsidR="00F97F2F" w:rsidRDefault="00F97F2F" w:rsidP="00F97F2F">
      <w:pPr>
        <w:pStyle w:val="Listaconvietas"/>
        <w:numPr>
          <w:ilvl w:val="0"/>
          <w:numId w:val="0"/>
        </w:numPr>
        <w:ind w:left="357"/>
        <w:rPr>
          <w:lang w:val="es-ES"/>
        </w:rPr>
      </w:pPr>
      <w:r>
        <w:rPr>
          <w:lang w:val="es-ES"/>
        </w:rPr>
        <w:t>Se ha asumido una tasa de accidentabilidad del 0,0</w:t>
      </w:r>
      <w:r w:rsidR="00C5314A">
        <w:rPr>
          <w:lang w:val="es-ES"/>
        </w:rPr>
        <w:t>1</w:t>
      </w:r>
      <w:r>
        <w:rPr>
          <w:lang w:val="es-ES"/>
        </w:rPr>
        <w:t xml:space="preserve">% sobre el total de los trayectos realizados desde </w:t>
      </w:r>
      <w:r w:rsidR="00C5314A">
        <w:rPr>
          <w:lang w:val="es-ES"/>
        </w:rPr>
        <w:t>Trinidad</w:t>
      </w:r>
      <w:r>
        <w:rPr>
          <w:lang w:val="es-ES"/>
        </w:rPr>
        <w:t xml:space="preserve"> a </w:t>
      </w:r>
      <w:r w:rsidR="00C5314A">
        <w:rPr>
          <w:lang w:val="es-ES"/>
        </w:rPr>
        <w:t>alguno de los dos aeropuertos alternos</w:t>
      </w:r>
      <w:r>
        <w:rPr>
          <w:lang w:val="es-ES"/>
        </w:rPr>
        <w:t>. Esta tasa es una estimación realizada por el consultor a partir de los datos incluidos en el “Road Safety Report” de la World Health Organization (WHO) del año 2009, que incluye datos de accidentes y fatalidades al año en Bolivia.</w:t>
      </w:r>
    </w:p>
    <w:p w:rsidR="00F97F2F" w:rsidRDefault="00F97F2F" w:rsidP="00F97F2F">
      <w:pPr>
        <w:pStyle w:val="Listaconvietas"/>
        <w:numPr>
          <w:ilvl w:val="0"/>
          <w:numId w:val="0"/>
        </w:numPr>
        <w:ind w:left="357"/>
        <w:rPr>
          <w:lang w:val="es-ES"/>
        </w:rPr>
      </w:pPr>
      <w:r>
        <w:rPr>
          <w:lang w:val="es-ES"/>
        </w:rPr>
        <w:t xml:space="preserve">La asignación económica a la vida </w:t>
      </w:r>
      <w:r w:rsidRPr="00C077F6">
        <w:rPr>
          <w:lang w:val="es-ES"/>
        </w:rPr>
        <w:t>human</w:t>
      </w:r>
      <w:r>
        <w:rPr>
          <w:lang w:val="es-ES"/>
        </w:rPr>
        <w:t>a</w:t>
      </w:r>
      <w:r w:rsidRPr="00C077F6">
        <w:rPr>
          <w:lang w:val="es-ES"/>
        </w:rPr>
        <w:t xml:space="preserve"> (valor asociado a cada fatalidad) no es un cálculo sencillo. En general se pueden seguir tres metodologías: Asignar la cuantía por la que se indemniza a las víctimas, </w:t>
      </w:r>
      <w:r>
        <w:rPr>
          <w:lang w:val="es-ES"/>
        </w:rPr>
        <w:t xml:space="preserve">método </w:t>
      </w:r>
      <w:r w:rsidRPr="00C077F6">
        <w:rPr>
          <w:lang w:val="es-ES"/>
        </w:rPr>
        <w:t xml:space="preserve">denominado “de las indemnizaciones”, asignar la cuantía que la sociedad esté dispuesta a pagar por evitar una víctima (método denominado “de disposición al pago”, que se </w:t>
      </w:r>
      <w:r>
        <w:rPr>
          <w:lang w:val="es-ES"/>
        </w:rPr>
        <w:t>construye a partir de</w:t>
      </w:r>
      <w:r w:rsidRPr="00C077F6">
        <w:rPr>
          <w:lang w:val="es-ES"/>
        </w:rPr>
        <w:t xml:space="preserve"> encuestas a los ciudadanos), o bien asignar la cuantía por el cálculo de las pérdidas de producción que las víctimas dejan de aportar a la sociedad (método “del capital humano”). Este último se suele descartar porque no tiene en cuenta el valor intrínseco de la vida humana. </w:t>
      </w:r>
    </w:p>
    <w:p w:rsidR="00F97F2F" w:rsidRDefault="00F97F2F" w:rsidP="00F97F2F">
      <w:pPr>
        <w:pStyle w:val="Listaconvietas"/>
        <w:numPr>
          <w:ilvl w:val="0"/>
          <w:numId w:val="0"/>
        </w:numPr>
        <w:ind w:left="357"/>
        <w:rPr>
          <w:lang w:val="es-ES"/>
        </w:rPr>
      </w:pPr>
      <w:r w:rsidRPr="00C077F6">
        <w:rPr>
          <w:lang w:val="es-ES"/>
        </w:rPr>
        <w:t xml:space="preserve">En todo caso, como no se dispone de datos que permitan un cálculo estadístico en detalle para el caso de Bolivia, </w:t>
      </w:r>
      <w:r>
        <w:rPr>
          <w:lang w:val="es-ES"/>
        </w:rPr>
        <w:t>se ha realizado</w:t>
      </w:r>
      <w:r w:rsidRPr="00C077F6">
        <w:rPr>
          <w:lang w:val="es-ES"/>
        </w:rPr>
        <w:t xml:space="preserve"> un benchmark de</w:t>
      </w:r>
      <w:r>
        <w:rPr>
          <w:lang w:val="es-ES"/>
        </w:rPr>
        <w:t>l valor económico de un</w:t>
      </w:r>
      <w:r w:rsidRPr="00C077F6">
        <w:rPr>
          <w:lang w:val="es-ES"/>
        </w:rPr>
        <w:t xml:space="preserve">a vida en algunos países, para finalmente elegir la </w:t>
      </w:r>
      <w:r>
        <w:rPr>
          <w:lang w:val="es-ES"/>
        </w:rPr>
        <w:t xml:space="preserve">cuantía que se menciona de los </w:t>
      </w:r>
      <w:r w:rsidRPr="00C077F6">
        <w:rPr>
          <w:lang w:val="es-ES"/>
        </w:rPr>
        <w:t>130</w:t>
      </w:r>
      <w:r>
        <w:rPr>
          <w:lang w:val="es-ES"/>
        </w:rPr>
        <w:t>.000 USD en base a una correlación con el PIB/cápita de cada uno de ellos. Los resultados se muestran a continuación:</w:t>
      </w:r>
    </w:p>
    <w:p w:rsidR="00F97F2F" w:rsidRDefault="00F97F2F" w:rsidP="00F97F2F">
      <w:pPr>
        <w:spacing w:before="0" w:after="0"/>
        <w:jc w:val="center"/>
        <w:rPr>
          <w:lang w:val="es-ES"/>
        </w:rPr>
      </w:pPr>
    </w:p>
    <w:tbl>
      <w:tblPr>
        <w:tblStyle w:val="Listaclara-nfasis11"/>
        <w:tblW w:w="7760" w:type="dxa"/>
        <w:jc w:val="center"/>
        <w:tblLook w:val="04A0" w:firstRow="1" w:lastRow="0" w:firstColumn="1" w:lastColumn="0" w:noHBand="0" w:noVBand="1"/>
      </w:tblPr>
      <w:tblGrid>
        <w:gridCol w:w="999"/>
        <w:gridCol w:w="1562"/>
        <w:gridCol w:w="2002"/>
        <w:gridCol w:w="3197"/>
      </w:tblGrid>
      <w:tr w:rsidR="00F97F2F" w:rsidTr="00F97F2F">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999" w:type="dxa"/>
            <w:hideMark/>
          </w:tcPr>
          <w:p w:rsidR="00F97F2F" w:rsidRPr="00C077F6" w:rsidRDefault="00F97F2F" w:rsidP="00F97F2F">
            <w:pPr>
              <w:jc w:val="center"/>
              <w:rPr>
                <w:rFonts w:ascii="Calibri" w:eastAsiaTheme="minorHAnsi" w:hAnsi="Calibri"/>
                <w:color w:val="FFFFFF"/>
                <w:sz w:val="22"/>
                <w:szCs w:val="22"/>
                <w:lang w:val="es-ES"/>
              </w:rPr>
            </w:pPr>
            <w:r w:rsidRPr="00C077F6">
              <w:rPr>
                <w:b w:val="0"/>
                <w:bCs w:val="0"/>
                <w:color w:val="FFFFFF"/>
                <w:sz w:val="22"/>
                <w:lang w:val="es-ES"/>
              </w:rPr>
              <w:t>País</w:t>
            </w:r>
          </w:p>
        </w:tc>
        <w:tc>
          <w:tcPr>
            <w:tcW w:w="1562" w:type="dxa"/>
            <w:hideMark/>
          </w:tcPr>
          <w:p w:rsidR="00F97F2F" w:rsidRPr="00C077F6" w:rsidRDefault="00F97F2F" w:rsidP="00F97F2F">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olor w:val="FFFFFF"/>
                <w:sz w:val="22"/>
                <w:szCs w:val="22"/>
                <w:lang w:val="es-ES"/>
              </w:rPr>
            </w:pPr>
            <w:r w:rsidRPr="00C077F6">
              <w:rPr>
                <w:b w:val="0"/>
                <w:bCs w:val="0"/>
                <w:color w:val="FFFFFF"/>
                <w:sz w:val="22"/>
                <w:lang w:val="es-ES"/>
              </w:rPr>
              <w:t>PIB/càpita (USD, 2012)</w:t>
            </w:r>
          </w:p>
        </w:tc>
        <w:tc>
          <w:tcPr>
            <w:tcW w:w="2002" w:type="dxa"/>
            <w:hideMark/>
          </w:tcPr>
          <w:p w:rsidR="00F97F2F" w:rsidRPr="00C077F6" w:rsidRDefault="00F97F2F" w:rsidP="00F97F2F">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olor w:val="FFFFFF"/>
                <w:sz w:val="22"/>
                <w:szCs w:val="22"/>
                <w:lang w:val="es-ES"/>
              </w:rPr>
            </w:pPr>
            <w:r w:rsidRPr="00C077F6">
              <w:rPr>
                <w:b w:val="0"/>
                <w:bCs w:val="0"/>
                <w:color w:val="FFFFFF"/>
                <w:sz w:val="22"/>
                <w:lang w:val="es-ES"/>
              </w:rPr>
              <w:t>Valor monetario vida ('000 €)</w:t>
            </w:r>
          </w:p>
        </w:tc>
        <w:tc>
          <w:tcPr>
            <w:tcW w:w="3197" w:type="dxa"/>
            <w:hideMark/>
          </w:tcPr>
          <w:p w:rsidR="00F97F2F" w:rsidRPr="00C077F6" w:rsidRDefault="00F97F2F" w:rsidP="00F97F2F">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olor w:val="FFFFFF"/>
                <w:sz w:val="22"/>
                <w:szCs w:val="22"/>
                <w:lang w:val="es-ES"/>
              </w:rPr>
            </w:pPr>
            <w:r w:rsidRPr="00C077F6">
              <w:rPr>
                <w:b w:val="0"/>
                <w:bCs w:val="0"/>
                <w:color w:val="FFFFFF"/>
                <w:sz w:val="22"/>
                <w:lang w:val="es-ES"/>
              </w:rPr>
              <w:t>Fuente</w:t>
            </w:r>
          </w:p>
        </w:tc>
      </w:tr>
      <w:tr w:rsidR="00F97F2F" w:rsidTr="00F97F2F">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999" w:type="dxa"/>
            <w:hideMark/>
          </w:tcPr>
          <w:p w:rsidR="00F97F2F" w:rsidRPr="00C077F6" w:rsidRDefault="00F97F2F" w:rsidP="00F97F2F">
            <w:pPr>
              <w:rPr>
                <w:rFonts w:ascii="Calibri" w:eastAsiaTheme="minorHAnsi" w:hAnsi="Calibri"/>
                <w:color w:val="000000"/>
                <w:sz w:val="22"/>
                <w:szCs w:val="22"/>
                <w:lang w:val="es-ES"/>
              </w:rPr>
            </w:pPr>
            <w:r w:rsidRPr="00C077F6">
              <w:rPr>
                <w:color w:val="000000"/>
                <w:sz w:val="22"/>
                <w:lang w:val="es-ES"/>
              </w:rPr>
              <w:t>EE.UU.</w:t>
            </w:r>
          </w:p>
        </w:tc>
        <w:tc>
          <w:tcPr>
            <w:tcW w:w="1562" w:type="dxa"/>
            <w:hideMark/>
          </w:tcPr>
          <w:p w:rsidR="00F97F2F" w:rsidRPr="00C077F6" w:rsidRDefault="00F97F2F" w:rsidP="00F97F2F">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 xml:space="preserve">         49.601   </w:t>
            </w:r>
          </w:p>
        </w:tc>
        <w:tc>
          <w:tcPr>
            <w:tcW w:w="2002" w:type="dxa"/>
            <w:hideMark/>
          </w:tcPr>
          <w:p w:rsidR="00F97F2F" w:rsidRPr="00C077F6" w:rsidRDefault="00F97F2F" w:rsidP="00F97F2F">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1.000</w:t>
            </w:r>
          </w:p>
        </w:tc>
        <w:tc>
          <w:tcPr>
            <w:tcW w:w="3197" w:type="dxa"/>
            <w:hideMark/>
          </w:tcPr>
          <w:p w:rsidR="00F97F2F" w:rsidRPr="00C077F6" w:rsidRDefault="00F97F2F" w:rsidP="00F97F2F">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0"/>
                <w:szCs w:val="22"/>
                <w:lang w:val="es-ES"/>
              </w:rPr>
            </w:pPr>
            <w:r w:rsidRPr="009C26C1">
              <w:rPr>
                <w:color w:val="000000"/>
                <w:sz w:val="20"/>
                <w:lang w:val="en-US"/>
              </w:rPr>
              <w:t xml:space="preserve">National Bureau of economic Research. </w:t>
            </w:r>
            <w:r w:rsidRPr="00C077F6">
              <w:rPr>
                <w:color w:val="000000"/>
                <w:sz w:val="20"/>
                <w:lang w:val="es-ES"/>
              </w:rPr>
              <w:t>"The value of a statistical life", Valor adoptado por la FAA en 2001</w:t>
            </w:r>
          </w:p>
        </w:tc>
      </w:tr>
      <w:tr w:rsidR="00F97F2F" w:rsidTr="00F97F2F">
        <w:trPr>
          <w:trHeight w:val="675"/>
          <w:jc w:val="center"/>
        </w:trPr>
        <w:tc>
          <w:tcPr>
            <w:cnfStyle w:val="001000000000" w:firstRow="0" w:lastRow="0" w:firstColumn="1" w:lastColumn="0" w:oddVBand="0" w:evenVBand="0" w:oddHBand="0" w:evenHBand="0" w:firstRowFirstColumn="0" w:firstRowLastColumn="0" w:lastRowFirstColumn="0" w:lastRowLastColumn="0"/>
            <w:tcW w:w="999" w:type="dxa"/>
            <w:hideMark/>
          </w:tcPr>
          <w:p w:rsidR="00F97F2F" w:rsidRPr="00C077F6" w:rsidRDefault="00F97F2F" w:rsidP="00F97F2F">
            <w:pPr>
              <w:rPr>
                <w:rFonts w:ascii="Calibri" w:eastAsiaTheme="minorHAnsi" w:hAnsi="Calibri"/>
                <w:color w:val="000000"/>
                <w:sz w:val="22"/>
                <w:szCs w:val="22"/>
                <w:lang w:val="es-ES"/>
              </w:rPr>
            </w:pPr>
            <w:r w:rsidRPr="00C077F6">
              <w:rPr>
                <w:color w:val="000000"/>
                <w:sz w:val="22"/>
                <w:lang w:val="es-ES"/>
              </w:rPr>
              <w:t>España</w:t>
            </w:r>
          </w:p>
        </w:tc>
        <w:tc>
          <w:tcPr>
            <w:tcW w:w="1562" w:type="dxa"/>
            <w:hideMark/>
          </w:tcPr>
          <w:p w:rsidR="00F97F2F" w:rsidRPr="00C077F6" w:rsidRDefault="00F97F2F" w:rsidP="00F97F2F">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 xml:space="preserve">         30.412   </w:t>
            </w:r>
          </w:p>
        </w:tc>
        <w:tc>
          <w:tcPr>
            <w:tcW w:w="2002" w:type="dxa"/>
            <w:hideMark/>
          </w:tcPr>
          <w:p w:rsidR="00F97F2F" w:rsidRPr="00C077F6" w:rsidRDefault="00F97F2F" w:rsidP="00F97F2F">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1.300</w:t>
            </w:r>
          </w:p>
        </w:tc>
        <w:tc>
          <w:tcPr>
            <w:tcW w:w="3197" w:type="dxa"/>
            <w:hideMark/>
          </w:tcPr>
          <w:p w:rsidR="00F97F2F" w:rsidRPr="00C077F6" w:rsidRDefault="00F97F2F" w:rsidP="00F97F2F">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0"/>
                <w:szCs w:val="22"/>
                <w:lang w:val="es-ES"/>
              </w:rPr>
            </w:pPr>
            <w:r w:rsidRPr="00C077F6">
              <w:rPr>
                <w:color w:val="000000"/>
                <w:sz w:val="20"/>
                <w:lang w:val="es-ES"/>
              </w:rPr>
              <w:t>Dirección General de Tráfico, 2008</w:t>
            </w:r>
          </w:p>
        </w:tc>
      </w:tr>
      <w:tr w:rsidR="00F97F2F" w:rsidTr="00F97F2F">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999" w:type="dxa"/>
            <w:hideMark/>
          </w:tcPr>
          <w:p w:rsidR="00F97F2F" w:rsidRPr="00C077F6" w:rsidRDefault="00F97F2F" w:rsidP="00F97F2F">
            <w:pPr>
              <w:rPr>
                <w:rFonts w:ascii="Calibri" w:eastAsiaTheme="minorHAnsi" w:hAnsi="Calibri"/>
                <w:color w:val="000000"/>
                <w:sz w:val="22"/>
                <w:szCs w:val="22"/>
                <w:lang w:val="es-ES"/>
              </w:rPr>
            </w:pPr>
            <w:r w:rsidRPr="00C077F6">
              <w:rPr>
                <w:color w:val="000000"/>
                <w:sz w:val="22"/>
                <w:lang w:val="es-ES"/>
              </w:rPr>
              <w:t>México</w:t>
            </w:r>
          </w:p>
        </w:tc>
        <w:tc>
          <w:tcPr>
            <w:tcW w:w="1562" w:type="dxa"/>
            <w:hideMark/>
          </w:tcPr>
          <w:p w:rsidR="00F97F2F" w:rsidRPr="00C077F6" w:rsidRDefault="00F97F2F" w:rsidP="00F97F2F">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 xml:space="preserve">         15.300   </w:t>
            </w:r>
          </w:p>
        </w:tc>
        <w:tc>
          <w:tcPr>
            <w:tcW w:w="2002" w:type="dxa"/>
            <w:hideMark/>
          </w:tcPr>
          <w:p w:rsidR="00F97F2F" w:rsidRPr="00C077F6" w:rsidRDefault="00F97F2F" w:rsidP="00F97F2F">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145-500</w:t>
            </w:r>
          </w:p>
        </w:tc>
        <w:tc>
          <w:tcPr>
            <w:tcW w:w="3197" w:type="dxa"/>
            <w:hideMark/>
          </w:tcPr>
          <w:p w:rsidR="00F97F2F" w:rsidRPr="00C077F6" w:rsidRDefault="00F97F2F" w:rsidP="00F97F2F">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sz w:val="20"/>
                <w:szCs w:val="22"/>
                <w:lang w:val="es-ES"/>
              </w:rPr>
            </w:pPr>
            <w:r w:rsidRPr="00C077F6">
              <w:rPr>
                <w:color w:val="000000"/>
                <w:sz w:val="20"/>
                <w:lang w:val="es-ES"/>
              </w:rPr>
              <w:t>MIT. J. Hammit &amp; M.E. Ibarrarán. "Estimación del valor económico de reducir los riesgos para la salud";2002</w:t>
            </w:r>
          </w:p>
        </w:tc>
      </w:tr>
      <w:tr w:rsidR="00F97F2F" w:rsidTr="00F97F2F">
        <w:trPr>
          <w:trHeight w:val="69"/>
          <w:jc w:val="center"/>
        </w:trPr>
        <w:tc>
          <w:tcPr>
            <w:cnfStyle w:val="001000000000" w:firstRow="0" w:lastRow="0" w:firstColumn="1" w:lastColumn="0" w:oddVBand="0" w:evenVBand="0" w:oddHBand="0" w:evenHBand="0" w:firstRowFirstColumn="0" w:firstRowLastColumn="0" w:lastRowFirstColumn="0" w:lastRowLastColumn="0"/>
            <w:tcW w:w="999" w:type="dxa"/>
            <w:hideMark/>
          </w:tcPr>
          <w:p w:rsidR="00F97F2F" w:rsidRPr="00C077F6" w:rsidRDefault="00F97F2F" w:rsidP="00F97F2F">
            <w:pPr>
              <w:rPr>
                <w:rFonts w:ascii="Calibri" w:eastAsiaTheme="minorHAnsi" w:hAnsi="Calibri"/>
                <w:color w:val="000000"/>
                <w:sz w:val="22"/>
                <w:szCs w:val="22"/>
                <w:lang w:val="es-ES"/>
              </w:rPr>
            </w:pPr>
            <w:r w:rsidRPr="00C077F6">
              <w:rPr>
                <w:color w:val="000000"/>
                <w:sz w:val="22"/>
                <w:lang w:val="es-ES"/>
              </w:rPr>
              <w:t>Bolivia</w:t>
            </w:r>
          </w:p>
        </w:tc>
        <w:tc>
          <w:tcPr>
            <w:tcW w:w="1562" w:type="dxa"/>
            <w:hideMark/>
          </w:tcPr>
          <w:p w:rsidR="00F97F2F" w:rsidRPr="00C077F6" w:rsidRDefault="00F97F2F" w:rsidP="00F97F2F">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 xml:space="preserve">           4.800   </w:t>
            </w:r>
          </w:p>
        </w:tc>
        <w:tc>
          <w:tcPr>
            <w:tcW w:w="2002" w:type="dxa"/>
            <w:hideMark/>
          </w:tcPr>
          <w:p w:rsidR="00F97F2F" w:rsidRPr="00C077F6" w:rsidRDefault="00F97F2F" w:rsidP="00F97F2F">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2"/>
                <w:szCs w:val="22"/>
                <w:lang w:val="es-ES"/>
              </w:rPr>
            </w:pPr>
            <w:r w:rsidRPr="00C077F6">
              <w:rPr>
                <w:color w:val="000000"/>
                <w:sz w:val="22"/>
                <w:lang w:val="es-ES"/>
              </w:rPr>
              <w:t>50-170</w:t>
            </w:r>
          </w:p>
        </w:tc>
        <w:tc>
          <w:tcPr>
            <w:tcW w:w="3197" w:type="dxa"/>
            <w:hideMark/>
          </w:tcPr>
          <w:p w:rsidR="00F97F2F" w:rsidRPr="00C077F6" w:rsidRDefault="00F97F2F" w:rsidP="00F97F2F">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sz w:val="20"/>
                <w:szCs w:val="22"/>
                <w:lang w:val="es-ES"/>
              </w:rPr>
            </w:pPr>
            <w:r w:rsidRPr="00C077F6">
              <w:rPr>
                <w:color w:val="000000"/>
                <w:sz w:val="20"/>
                <w:lang w:val="es-ES"/>
              </w:rPr>
              <w:t>Estimación consultor</w:t>
            </w:r>
          </w:p>
        </w:tc>
      </w:tr>
    </w:tbl>
    <w:p w:rsidR="00F97F2F" w:rsidRPr="00AC1C46" w:rsidRDefault="00F97F2F" w:rsidP="00F97F2F">
      <w:pPr>
        <w:pStyle w:val="Epgrafe"/>
      </w:pPr>
      <w:bookmarkStart w:id="38" w:name="_Toc356687848"/>
      <w:r>
        <w:t xml:space="preserve">Tabla </w:t>
      </w:r>
      <w:fldSimple w:instr=" SEQ Tabla \* ARABIC ">
        <w:r>
          <w:rPr>
            <w:noProof/>
          </w:rPr>
          <w:t>6</w:t>
        </w:r>
      </w:fldSimple>
      <w:r w:rsidRPr="00AC1C46">
        <w:t xml:space="preserve">: </w:t>
      </w:r>
      <w:r>
        <w:t>Benchmark valor económico vida humana</w:t>
      </w:r>
      <w:bookmarkEnd w:id="38"/>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Pr="002F721F" w:rsidRDefault="00F97F2F" w:rsidP="00F97F2F">
      <w:pPr>
        <w:rPr>
          <w:lang w:val="es-ES"/>
        </w:rPr>
      </w:pPr>
      <w:r>
        <w:rPr>
          <w:lang w:val="es-ES"/>
        </w:rPr>
        <w:t xml:space="preserve">. </w:t>
      </w:r>
    </w:p>
    <w:p w:rsidR="00F97F2F" w:rsidRDefault="00F97F2F" w:rsidP="00F97F2F">
      <w:pPr>
        <w:spacing w:before="0" w:after="200" w:line="276" w:lineRule="auto"/>
        <w:jc w:val="left"/>
        <w:rPr>
          <w:rFonts w:asciiTheme="majorHAnsi" w:eastAsia="Arial Unicode MS" w:hAnsiTheme="majorHAnsi" w:cstheme="majorBidi"/>
          <w:b/>
          <w:bCs/>
          <w:lang w:val="es-ES"/>
        </w:rPr>
      </w:pPr>
      <w:r>
        <w:br w:type="page"/>
      </w:r>
    </w:p>
    <w:p w:rsidR="00F97F2F" w:rsidRPr="00BB225E" w:rsidRDefault="00F97F2F" w:rsidP="00F97F2F">
      <w:pPr>
        <w:pStyle w:val="Ttulo3"/>
      </w:pPr>
      <w:bookmarkStart w:id="39" w:name="_Toc356687820"/>
      <w:r>
        <w:t>Tasa de descuento socio-económica</w:t>
      </w:r>
      <w:bookmarkEnd w:id="39"/>
      <w:r w:rsidRPr="00BB225E">
        <w:t xml:space="preserve"> </w:t>
      </w:r>
    </w:p>
    <w:p w:rsidR="00F97F2F" w:rsidRDefault="00F97F2F" w:rsidP="00F97F2F">
      <w:pPr>
        <w:rPr>
          <w:lang w:val="es-ES"/>
        </w:rPr>
      </w:pPr>
      <w:r>
        <w:rPr>
          <w:lang w:val="es-ES"/>
        </w:rPr>
        <w:t>Para el descuento de flujos del proyecto a valor presente, se ha utilizado una tasa de descuento social real del 12,0% bajo recomendación del BID.</w:t>
      </w:r>
    </w:p>
    <w:p w:rsidR="00F97F2F" w:rsidRPr="00BB225E" w:rsidRDefault="00F97F2F" w:rsidP="00F97F2F">
      <w:pPr>
        <w:pStyle w:val="Ttulo3"/>
      </w:pPr>
      <w:bookmarkStart w:id="40" w:name="_Toc356687821"/>
      <w:r>
        <w:t>Resultados del análisis coste-beneficio</w:t>
      </w:r>
      <w:bookmarkEnd w:id="40"/>
      <w:r>
        <w:t xml:space="preserve"> </w:t>
      </w:r>
    </w:p>
    <w:p w:rsidR="00F97F2F" w:rsidRDefault="00F97F2F" w:rsidP="00F97F2F">
      <w:pPr>
        <w:rPr>
          <w:lang w:val="es-ES"/>
        </w:rPr>
      </w:pPr>
      <w:r>
        <w:rPr>
          <w:lang w:val="es-ES"/>
        </w:rPr>
        <w:t>La suma de cada uno de los beneficios descritos y calculados en el epígrafe anterior da como resultado el beneficio económico-social agregado del proyecto. Como se observa en la gráfica que se muestra a continuación, en la cual se detalla el desglose de cada uno de los flujos monetarios a que equivalen los beneficios socioeconómicos considerados, se ha supuesto para hacer una evaluación conservadora que el cierre del aeropuerto no se produce hasta el fin del Primer Quinquenio para el escenario Sin Proyecto:</w:t>
      </w:r>
    </w:p>
    <w:p w:rsidR="00F97F2F" w:rsidRDefault="00AB56BF" w:rsidP="00F97F2F">
      <w:pPr>
        <w:jc w:val="center"/>
        <w:rPr>
          <w:lang w:val="es-ES"/>
        </w:rPr>
      </w:pPr>
      <w:r w:rsidRPr="00AB56BF">
        <w:drawing>
          <wp:inline distT="0" distB="0" distL="0" distR="0" wp14:anchorId="59A0AAB0" wp14:editId="03C0FB7B">
            <wp:extent cx="5290457" cy="403311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1971" cy="4034272"/>
                    </a:xfrm>
                    <a:prstGeom prst="rect">
                      <a:avLst/>
                    </a:prstGeom>
                    <a:noFill/>
                    <a:ln>
                      <a:noFill/>
                    </a:ln>
                  </pic:spPr>
                </pic:pic>
              </a:graphicData>
            </a:graphic>
          </wp:inline>
        </w:drawing>
      </w:r>
    </w:p>
    <w:p w:rsidR="00F97F2F" w:rsidRPr="00AC1C46" w:rsidRDefault="00F97F2F" w:rsidP="00F97F2F">
      <w:pPr>
        <w:pStyle w:val="Epgrafe"/>
      </w:pPr>
      <w:bookmarkStart w:id="41" w:name="_Toc356687839"/>
      <w:r w:rsidRPr="00AC1C46">
        <w:t xml:space="preserve">Figura </w:t>
      </w:r>
      <w:fldSimple w:instr=" SEQ Figura \* ARABIC ">
        <w:r>
          <w:rPr>
            <w:noProof/>
          </w:rPr>
          <w:t>16</w:t>
        </w:r>
      </w:fldSimple>
      <w:r w:rsidRPr="00AC1C46">
        <w:t xml:space="preserve">: </w:t>
      </w:r>
      <w:r>
        <w:t>Beneficios socio-económicos previsionales del proyecto. 2013-2032</w:t>
      </w:r>
      <w:bookmarkEnd w:id="41"/>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Default="00F97F2F" w:rsidP="00F97F2F">
      <w:pPr>
        <w:rPr>
          <w:lang w:val="es-ES"/>
        </w:rPr>
      </w:pPr>
      <w:r>
        <w:rPr>
          <w:lang w:val="es-ES"/>
        </w:rPr>
        <w:t>Si a los flujos positivos anteriores se les suman los flujos de caja financieros de las inversiones previstas en este Plan Maestro, descritas en epígrafes anteriores, se obtienen los flujos socioeconómicos del proyecto:</w:t>
      </w:r>
    </w:p>
    <w:p w:rsidR="00F97F2F" w:rsidRPr="00ED0C58" w:rsidRDefault="00F97F2F" w:rsidP="00F97F2F">
      <w:pPr>
        <w:rPr>
          <w:lang w:val="es-ES"/>
        </w:rPr>
      </w:pPr>
    </w:p>
    <w:p w:rsidR="00F97F2F" w:rsidRDefault="000B1693" w:rsidP="00F97F2F">
      <w:pPr>
        <w:jc w:val="center"/>
        <w:rPr>
          <w:lang w:val="es-ES"/>
        </w:rPr>
      </w:pPr>
      <w:r w:rsidRPr="000B1693">
        <w:drawing>
          <wp:inline distT="0" distB="0" distL="0" distR="0" wp14:anchorId="34A20703" wp14:editId="46F3C186">
            <wp:extent cx="5613400" cy="1821818"/>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3400" cy="1821818"/>
                    </a:xfrm>
                    <a:prstGeom prst="rect">
                      <a:avLst/>
                    </a:prstGeom>
                    <a:noFill/>
                    <a:ln>
                      <a:noFill/>
                    </a:ln>
                  </pic:spPr>
                </pic:pic>
              </a:graphicData>
            </a:graphic>
          </wp:inline>
        </w:drawing>
      </w:r>
    </w:p>
    <w:p w:rsidR="00F97F2F" w:rsidRPr="00AC1C46" w:rsidRDefault="00F97F2F" w:rsidP="00F97F2F">
      <w:pPr>
        <w:pStyle w:val="Epgrafe"/>
      </w:pPr>
      <w:bookmarkStart w:id="42" w:name="_Toc356687840"/>
      <w:r w:rsidRPr="00AC1C46">
        <w:t xml:space="preserve">Figura </w:t>
      </w:r>
      <w:fldSimple w:instr=" SEQ Figura \* ARABIC ">
        <w:r>
          <w:rPr>
            <w:noProof/>
          </w:rPr>
          <w:t>17</w:t>
        </w:r>
      </w:fldSimple>
      <w:r w:rsidRPr="00AC1C46">
        <w:t xml:space="preserve">: </w:t>
      </w:r>
      <w:r>
        <w:t>Flujos de caja socio-económico previsional. 2013-2032</w:t>
      </w:r>
      <w:bookmarkEnd w:id="42"/>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Default="00F97F2F" w:rsidP="00F97F2F">
      <w:pPr>
        <w:rPr>
          <w:lang w:val="es-ES"/>
        </w:rPr>
      </w:pPr>
      <w:r>
        <w:rPr>
          <w:lang w:val="es-ES"/>
        </w:rPr>
        <w:t>Los resultados muestran que estos flujos de caja socioeconómicos pueden rápidamente pasar a ser positivos a partir del año en el cual se fije el cierre del aeropuerto para el escenario Sin Proyecto. Si se prevé que suceda un accidente y se precipite el cierre antes del final del primer Quinquenio del Plan Maestro</w:t>
      </w:r>
      <w:r w:rsidRPr="00A1756C">
        <w:rPr>
          <w:lang w:val="es-ES"/>
        </w:rPr>
        <w:t xml:space="preserve"> </w:t>
      </w:r>
      <w:r>
        <w:rPr>
          <w:lang w:val="es-ES"/>
        </w:rPr>
        <w:t xml:space="preserve">se obtendría como resultado global un retorno muy positivo de las inversiones incluso antes del sexto año de explotación, como aquí se refleja. </w:t>
      </w:r>
    </w:p>
    <w:p w:rsidR="00F97F2F" w:rsidRDefault="00F97F2F" w:rsidP="00F97F2F">
      <w:pPr>
        <w:rPr>
          <w:lang w:val="es-ES"/>
        </w:rPr>
      </w:pPr>
      <w:r>
        <w:rPr>
          <w:lang w:val="es-ES"/>
        </w:rPr>
        <w:t>A continuación se muestran los resultados de la tasa económica de retorno (ERR por sus siglas en inglés) y el valor socioeconómico actual neto de estos flujos (ENPV, por sus siglas en inglés), descontados con la tasa de descuento social empleada.</w:t>
      </w:r>
    </w:p>
    <w:p w:rsidR="00F97F2F" w:rsidRDefault="00F97F2F" w:rsidP="00F97F2F">
      <w:pPr>
        <w:rPr>
          <w:lang w:val="es-ES"/>
        </w:rPr>
      </w:pPr>
      <w:r>
        <w:rPr>
          <w:lang w:val="es-ES"/>
        </w:rPr>
        <w:t xml:space="preserve">El escenario Sin proyecto </w:t>
      </w:r>
      <w:r w:rsidRPr="00CE7D26">
        <w:rPr>
          <w:i/>
          <w:lang w:val="es-ES"/>
        </w:rPr>
        <w:t xml:space="preserve">(Do  Nothing) </w:t>
      </w:r>
      <w:r>
        <w:rPr>
          <w:lang w:val="es-ES"/>
        </w:rPr>
        <w:t xml:space="preserve">tiene como resultado financiero un flujo de caja económico negativo en todo el período, por tanto no hace sentido el cálculo de estos parámetros económicos. </w:t>
      </w:r>
    </w:p>
    <w:p w:rsidR="00F97F2F" w:rsidRDefault="000B1693" w:rsidP="00F97F2F">
      <w:pPr>
        <w:jc w:val="center"/>
        <w:rPr>
          <w:lang w:val="es-ES"/>
        </w:rPr>
      </w:pPr>
      <w:r w:rsidRPr="000B1693">
        <w:drawing>
          <wp:inline distT="0" distB="0" distL="0" distR="0">
            <wp:extent cx="3949430" cy="150789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9723" cy="1508010"/>
                    </a:xfrm>
                    <a:prstGeom prst="rect">
                      <a:avLst/>
                    </a:prstGeom>
                    <a:noFill/>
                    <a:ln>
                      <a:noFill/>
                    </a:ln>
                  </pic:spPr>
                </pic:pic>
              </a:graphicData>
            </a:graphic>
          </wp:inline>
        </w:drawing>
      </w:r>
    </w:p>
    <w:p w:rsidR="00F97F2F" w:rsidRPr="00AC1C46" w:rsidRDefault="00F97F2F" w:rsidP="00F97F2F">
      <w:pPr>
        <w:pStyle w:val="Epgrafe"/>
      </w:pPr>
      <w:bookmarkStart w:id="43" w:name="_Toc356687841"/>
      <w:r w:rsidRPr="00AC1C46">
        <w:t xml:space="preserve">Figura </w:t>
      </w:r>
      <w:fldSimple w:instr=" SEQ Figura \* ARABIC ">
        <w:r>
          <w:rPr>
            <w:noProof/>
          </w:rPr>
          <w:t>18</w:t>
        </w:r>
      </w:fldSimple>
      <w:r w:rsidRPr="00AC1C46">
        <w:t xml:space="preserve">: </w:t>
      </w:r>
      <w:r>
        <w:t>Resultados del análisis coste-beneficio del proyecto</w:t>
      </w:r>
      <w:bookmarkEnd w:id="43"/>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Default="00F97F2F" w:rsidP="00F97F2F">
      <w:pPr>
        <w:pStyle w:val="Ttulo3"/>
      </w:pPr>
      <w:bookmarkStart w:id="44" w:name="_Toc356687822"/>
      <w:r>
        <w:t>Análisis de sensibilidad</w:t>
      </w:r>
      <w:bookmarkEnd w:id="44"/>
    </w:p>
    <w:p w:rsidR="00F97F2F" w:rsidRDefault="00F97F2F" w:rsidP="00F97F2F">
      <w:pPr>
        <w:rPr>
          <w:lang w:val="es-ES"/>
        </w:rPr>
      </w:pPr>
      <w:r>
        <w:rPr>
          <w:lang w:val="es-ES"/>
        </w:rPr>
        <w:t>Se evalúa el impacto sobre el ENPV (valor actual neto socioeconómico del proyecto) y el ERR (tasa económica de ret</w:t>
      </w:r>
      <w:r w:rsidR="008D1CCE">
        <w:rPr>
          <w:lang w:val="es-ES"/>
        </w:rPr>
        <w:t>orno) de una variación del +/-5</w:t>
      </w:r>
      <w:r>
        <w:rPr>
          <w:lang w:val="es-ES"/>
        </w:rPr>
        <w:t>% en los costes de explotación y sobre los costes de inversión.</w:t>
      </w:r>
    </w:p>
    <w:p w:rsidR="00F97F2F" w:rsidRDefault="00F97F2F" w:rsidP="00F97F2F">
      <w:pPr>
        <w:rPr>
          <w:lang w:val="es-ES"/>
        </w:rPr>
      </w:pPr>
      <w:r>
        <w:rPr>
          <w:lang w:val="es-ES"/>
        </w:rPr>
        <w:t>Estas dos son las variables que se han determinado como las de un impacto significativo en los resultados de la evaluación. La variable ingresos va íntimamente ligada al tráfico esperado, y se ha constatado que esta variable no tiene un impacto significativo, independientemente que se considere el escenario de tráfico base, medio o alto.</w:t>
      </w:r>
    </w:p>
    <w:p w:rsidR="00F97F2F" w:rsidRDefault="00F97F2F" w:rsidP="00F97F2F">
      <w:pPr>
        <w:rPr>
          <w:lang w:val="es-ES"/>
        </w:rPr>
      </w:pPr>
      <w:r>
        <w:rPr>
          <w:lang w:val="es-ES"/>
        </w:rPr>
        <w:t>En la siguiente figura se muestra, para cada escenario, el porcentaje de variación del ENPV y el ENPV previsto en millones de dólares. Adicionalmente, se presenta la tasa de retorno prevista para cada escenario (ERR).</w:t>
      </w:r>
    </w:p>
    <w:p w:rsidR="00F97F2F" w:rsidRDefault="000B1693" w:rsidP="00F97F2F">
      <w:pPr>
        <w:jc w:val="center"/>
        <w:rPr>
          <w:lang w:val="es-ES"/>
        </w:rPr>
      </w:pPr>
      <w:r w:rsidRPr="000B1693">
        <w:drawing>
          <wp:inline distT="0" distB="0" distL="0" distR="0" wp14:anchorId="271AB69C" wp14:editId="46DC4016">
            <wp:extent cx="5613400" cy="1860448"/>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3400" cy="1860448"/>
                    </a:xfrm>
                    <a:prstGeom prst="rect">
                      <a:avLst/>
                    </a:prstGeom>
                    <a:noFill/>
                    <a:ln>
                      <a:noFill/>
                    </a:ln>
                  </pic:spPr>
                </pic:pic>
              </a:graphicData>
            </a:graphic>
          </wp:inline>
        </w:drawing>
      </w:r>
    </w:p>
    <w:p w:rsidR="00794D35" w:rsidRDefault="00794D35" w:rsidP="00794D35">
      <w:pPr>
        <w:jc w:val="right"/>
        <w:rPr>
          <w:lang w:val="es-ES"/>
        </w:rPr>
      </w:pPr>
      <w:r>
        <w:rPr>
          <w:lang w:val="es-ES"/>
        </w:rPr>
        <w:t xml:space="preserve">    </w:t>
      </w:r>
      <w:r w:rsidR="0092488A" w:rsidRPr="0092488A">
        <w:drawing>
          <wp:inline distT="0" distB="0" distL="0" distR="0" wp14:anchorId="0E15C1DE" wp14:editId="73BB24A2">
            <wp:extent cx="4788995" cy="6690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96484" cy="670097"/>
                    </a:xfrm>
                    <a:prstGeom prst="rect">
                      <a:avLst/>
                    </a:prstGeom>
                    <a:noFill/>
                    <a:ln>
                      <a:noFill/>
                    </a:ln>
                  </pic:spPr>
                </pic:pic>
              </a:graphicData>
            </a:graphic>
          </wp:inline>
        </w:drawing>
      </w:r>
    </w:p>
    <w:p w:rsidR="00F97F2F" w:rsidRPr="00AC1C46" w:rsidRDefault="00F97F2F" w:rsidP="00F97F2F">
      <w:pPr>
        <w:pStyle w:val="Epgrafe"/>
      </w:pPr>
      <w:bookmarkStart w:id="45" w:name="_Toc356687842"/>
      <w:r w:rsidRPr="00AC1C46">
        <w:t xml:space="preserve">Figura </w:t>
      </w:r>
      <w:fldSimple w:instr=" SEQ Figura \* ARABIC ">
        <w:r>
          <w:rPr>
            <w:noProof/>
          </w:rPr>
          <w:t>19</w:t>
        </w:r>
      </w:fldSimple>
      <w:r w:rsidRPr="00AC1C46">
        <w:t xml:space="preserve">: </w:t>
      </w:r>
      <w:r>
        <w:t>Análisis de sensibilidad del ENPV (izquierda) y del ERR (derecha)</w:t>
      </w:r>
      <w:bookmarkEnd w:id="45"/>
    </w:p>
    <w:p w:rsidR="00F97F2F" w:rsidRPr="00AC1C46" w:rsidRDefault="00F97F2F" w:rsidP="00F97F2F">
      <w:pPr>
        <w:pStyle w:val="Epgrafe"/>
        <w:spacing w:before="0"/>
      </w:pPr>
      <w:r w:rsidRPr="00AC1C46">
        <w:rPr>
          <w:rStyle w:val="Referenciasutil"/>
        </w:rPr>
        <w:t xml:space="preserve">Fuente: </w:t>
      </w:r>
      <w:r>
        <w:rPr>
          <w:rStyle w:val="Referenciasutil"/>
        </w:rPr>
        <w:t>Elaborado por ALG</w:t>
      </w:r>
    </w:p>
    <w:p w:rsidR="00F97F2F" w:rsidRDefault="00F97F2F" w:rsidP="00F97F2F">
      <w:pPr>
        <w:rPr>
          <w:lang w:val="es-ES"/>
        </w:rPr>
      </w:pPr>
      <w:r>
        <w:rPr>
          <w:lang w:val="es-ES"/>
        </w:rPr>
        <w:t xml:space="preserve">Así pues se concluye que los resultados del proyecto con esta evaluación socioeconómica son poco sensibles a la variable más relevante, la de costes de inversión. Un incremento del </w:t>
      </w:r>
      <w:r w:rsidR="000B1693">
        <w:rPr>
          <w:lang w:val="es-ES"/>
        </w:rPr>
        <w:t>5</w:t>
      </w:r>
      <w:r>
        <w:rPr>
          <w:lang w:val="es-ES"/>
        </w:rPr>
        <w:t xml:space="preserve">% en el coste de inversión reduciría en un </w:t>
      </w:r>
      <w:r w:rsidR="000B1693">
        <w:rPr>
          <w:lang w:val="es-ES"/>
        </w:rPr>
        <w:t>5</w:t>
      </w:r>
      <w:r>
        <w:rPr>
          <w:lang w:val="es-ES"/>
        </w:rPr>
        <w:t xml:space="preserve">% el valor actual socioeconómico del proyecto. </w:t>
      </w:r>
    </w:p>
    <w:p w:rsidR="00794D35" w:rsidRDefault="00794D35" w:rsidP="00F97F2F">
      <w:pPr>
        <w:rPr>
          <w:lang w:val="es-ES"/>
        </w:rPr>
      </w:pPr>
      <w:r>
        <w:rPr>
          <w:lang w:val="es-ES"/>
        </w:rPr>
        <w:t xml:space="preserve">Finalmente, cabe indicar que la variable valor del tiempo (costo de oportunidad socioeconómico de los usuarios del aeropuerto) tiene un impacto sensible en los resultados. Un incremento de este valor a 1USD/h supondría una subida del valor presente del proyecto </w:t>
      </w:r>
      <w:r w:rsidR="00964481">
        <w:rPr>
          <w:lang w:val="es-ES"/>
        </w:rPr>
        <w:t>prácticamente del</w:t>
      </w:r>
      <w:r>
        <w:rPr>
          <w:lang w:val="es-ES"/>
        </w:rPr>
        <w:t xml:space="preserve"> 78%.</w:t>
      </w:r>
    </w:p>
    <w:p w:rsidR="00794D35" w:rsidRDefault="00794D35" w:rsidP="00794D35">
      <w:pPr>
        <w:jc w:val="center"/>
        <w:rPr>
          <w:lang w:val="es-ES"/>
        </w:rPr>
      </w:pPr>
    </w:p>
    <w:p w:rsidR="000B1693" w:rsidRDefault="000B1693">
      <w:pPr>
        <w:spacing w:before="0" w:after="200" w:line="276" w:lineRule="auto"/>
        <w:jc w:val="left"/>
        <w:rPr>
          <w:lang w:val="es-ES"/>
        </w:rPr>
      </w:pPr>
      <w:r>
        <w:rPr>
          <w:lang w:val="es-ES"/>
        </w:rPr>
        <w:br w:type="page"/>
      </w:r>
    </w:p>
    <w:p w:rsidR="00B36573" w:rsidRDefault="00B36573" w:rsidP="00B36573">
      <w:pPr>
        <w:pStyle w:val="Listaconvietas"/>
        <w:numPr>
          <w:ilvl w:val="0"/>
          <w:numId w:val="0"/>
        </w:numPr>
        <w:ind w:left="357"/>
        <w:rPr>
          <w:lang w:val="es-ES"/>
        </w:rPr>
      </w:pPr>
    </w:p>
    <w:p w:rsidR="00472C18" w:rsidRPr="00BB225E" w:rsidRDefault="00472C18" w:rsidP="00CC7C27">
      <w:pPr>
        <w:pStyle w:val="Ttulo3"/>
      </w:pPr>
      <w:bookmarkStart w:id="46" w:name="_Toc352856763"/>
      <w:r>
        <w:t>Evaluación de riesgos</w:t>
      </w:r>
      <w:r w:rsidRPr="00BB225E">
        <w:t xml:space="preserve"> </w:t>
      </w:r>
      <w:r w:rsidR="003A1B71">
        <w:t>del proyecto</w:t>
      </w:r>
      <w:bookmarkEnd w:id="46"/>
    </w:p>
    <w:p w:rsidR="00980E94" w:rsidRDefault="0073133A" w:rsidP="00980E94">
      <w:pPr>
        <w:rPr>
          <w:lang w:val="es-ES"/>
        </w:rPr>
      </w:pPr>
      <w:r>
        <w:rPr>
          <w:lang w:val="es-ES"/>
        </w:rPr>
        <w:t>S</w:t>
      </w:r>
      <w:r w:rsidR="00980E94">
        <w:rPr>
          <w:lang w:val="es-ES"/>
        </w:rPr>
        <w:t>e requiere hacer adicionalmente una e</w:t>
      </w:r>
      <w:r w:rsidR="00980E94" w:rsidRPr="003C0918">
        <w:rPr>
          <w:lang w:val="es-ES"/>
        </w:rPr>
        <w:t>valuación de los riesgos del proyecto</w:t>
      </w:r>
      <w:r w:rsidR="00980E94">
        <w:rPr>
          <w:lang w:val="es-ES"/>
        </w:rPr>
        <w:t xml:space="preserve"> que permita abordar el análisis desde una óptica de completo entendimiento del proyecto</w:t>
      </w:r>
      <w:r>
        <w:rPr>
          <w:lang w:val="es-ES"/>
        </w:rPr>
        <w:t xml:space="preserve"> y la cuantificación adecuada de los beneficios en el análisis coste-beneficio. </w:t>
      </w:r>
      <w:r w:rsidR="00980E94">
        <w:rPr>
          <w:lang w:val="es-ES"/>
        </w:rPr>
        <w:t>A continuación se muestran los principales riegos identificados en el proyecto:</w:t>
      </w:r>
    </w:p>
    <w:tbl>
      <w:tblPr>
        <w:tblW w:w="5000" w:type="pct"/>
        <w:jc w:val="center"/>
        <w:tblCellMar>
          <w:left w:w="0" w:type="dxa"/>
          <w:right w:w="0" w:type="dxa"/>
        </w:tblCellMar>
        <w:tblLook w:val="0600" w:firstRow="0" w:lastRow="0" w:firstColumn="0" w:lastColumn="0" w:noHBand="1" w:noVBand="1"/>
      </w:tblPr>
      <w:tblGrid>
        <w:gridCol w:w="1595"/>
        <w:gridCol w:w="3069"/>
        <w:gridCol w:w="1286"/>
        <w:gridCol w:w="2930"/>
      </w:tblGrid>
      <w:tr w:rsidR="0073133A" w:rsidRPr="0073133A" w:rsidTr="00C611C3">
        <w:trPr>
          <w:cantSplit/>
          <w:trHeight w:val="328"/>
          <w:tblHeader/>
          <w:jc w:val="center"/>
        </w:trPr>
        <w:tc>
          <w:tcPr>
            <w:tcW w:w="898" w:type="pct"/>
            <w:tcBorders>
              <w:top w:val="single" w:sz="6" w:space="0" w:color="1D5C0C"/>
              <w:left w:val="single" w:sz="6" w:space="0" w:color="1D5C0C"/>
              <w:bottom w:val="single" w:sz="6" w:space="0" w:color="9FAAAF"/>
              <w:right w:val="single" w:sz="6" w:space="0" w:color="FFFFFF"/>
            </w:tcBorders>
            <w:shd w:val="clear" w:color="auto" w:fill="1D5C0C"/>
            <w:tcMar>
              <w:top w:w="41" w:type="dxa"/>
              <w:left w:w="20" w:type="dxa"/>
              <w:bottom w:w="41" w:type="dxa"/>
              <w:right w:w="20" w:type="dxa"/>
            </w:tcMar>
            <w:vAlign w:val="center"/>
            <w:hideMark/>
          </w:tcPr>
          <w:p w:rsidR="006D5373" w:rsidRPr="0073133A" w:rsidRDefault="0073133A" w:rsidP="00EB4913">
            <w:pPr>
              <w:spacing w:before="60" w:after="60"/>
              <w:jc w:val="center"/>
              <w:rPr>
                <w:color w:val="FFFFFF" w:themeColor="background1"/>
                <w:sz w:val="20"/>
                <w:lang w:val="es-ES"/>
              </w:rPr>
            </w:pPr>
            <w:r w:rsidRPr="0073133A">
              <w:rPr>
                <w:b/>
                <w:bCs/>
                <w:color w:val="FFFFFF" w:themeColor="background1"/>
                <w:sz w:val="20"/>
                <w:lang w:val="es-ES"/>
              </w:rPr>
              <w:t>Tipo de riesgo</w:t>
            </w:r>
          </w:p>
        </w:tc>
        <w:tc>
          <w:tcPr>
            <w:tcW w:w="1728" w:type="pct"/>
            <w:tcBorders>
              <w:top w:val="single" w:sz="6" w:space="0" w:color="1D5C0C"/>
              <w:left w:val="single" w:sz="6" w:space="0" w:color="FFFFFF"/>
              <w:bottom w:val="single" w:sz="6" w:space="0" w:color="9FAAAF"/>
              <w:right w:val="single" w:sz="6" w:space="0" w:color="FFFFFF"/>
            </w:tcBorders>
            <w:shd w:val="clear" w:color="auto" w:fill="1D5C0C"/>
            <w:tcMar>
              <w:top w:w="41" w:type="dxa"/>
              <w:left w:w="20" w:type="dxa"/>
              <w:bottom w:w="41" w:type="dxa"/>
              <w:right w:w="20" w:type="dxa"/>
            </w:tcMar>
            <w:vAlign w:val="center"/>
            <w:hideMark/>
          </w:tcPr>
          <w:p w:rsidR="006D5373" w:rsidRPr="0073133A" w:rsidRDefault="0073133A" w:rsidP="00EB4913">
            <w:pPr>
              <w:spacing w:before="60" w:after="60"/>
              <w:jc w:val="center"/>
              <w:rPr>
                <w:color w:val="FFFFFF" w:themeColor="background1"/>
                <w:sz w:val="20"/>
                <w:lang w:val="es-ES"/>
              </w:rPr>
            </w:pPr>
            <w:r w:rsidRPr="0073133A">
              <w:rPr>
                <w:b/>
                <w:bCs/>
                <w:color w:val="FFFFFF" w:themeColor="background1"/>
                <w:sz w:val="20"/>
                <w:lang w:val="es-ES"/>
              </w:rPr>
              <w:t>Descripción</w:t>
            </w:r>
          </w:p>
        </w:tc>
        <w:tc>
          <w:tcPr>
            <w:tcW w:w="724" w:type="pct"/>
            <w:tcBorders>
              <w:top w:val="single" w:sz="6" w:space="0" w:color="1D5C0C"/>
              <w:left w:val="single" w:sz="6" w:space="0" w:color="FFFFFF"/>
              <w:bottom w:val="single" w:sz="6" w:space="0" w:color="9FAAAF"/>
              <w:right w:val="single" w:sz="6" w:space="0" w:color="FFFFFF"/>
            </w:tcBorders>
            <w:shd w:val="clear" w:color="auto" w:fill="1D5C0C"/>
            <w:tcMar>
              <w:top w:w="41" w:type="dxa"/>
              <w:left w:w="20" w:type="dxa"/>
              <w:bottom w:w="41" w:type="dxa"/>
              <w:right w:w="20" w:type="dxa"/>
            </w:tcMar>
            <w:vAlign w:val="center"/>
            <w:hideMark/>
          </w:tcPr>
          <w:p w:rsidR="006D5373" w:rsidRPr="0073133A" w:rsidRDefault="0073133A" w:rsidP="00EB4913">
            <w:pPr>
              <w:spacing w:before="60" w:after="60"/>
              <w:jc w:val="center"/>
              <w:rPr>
                <w:color w:val="FFFFFF" w:themeColor="background1"/>
                <w:sz w:val="20"/>
                <w:lang w:val="es-ES"/>
              </w:rPr>
            </w:pPr>
            <w:r w:rsidRPr="0073133A">
              <w:rPr>
                <w:b/>
                <w:bCs/>
                <w:color w:val="FFFFFF" w:themeColor="background1"/>
                <w:sz w:val="20"/>
                <w:lang w:val="es-ES"/>
              </w:rPr>
              <w:t>Importancia</w:t>
            </w:r>
          </w:p>
        </w:tc>
        <w:tc>
          <w:tcPr>
            <w:tcW w:w="1650" w:type="pct"/>
            <w:tcBorders>
              <w:top w:val="single" w:sz="6" w:space="0" w:color="1D5C0C"/>
              <w:left w:val="single" w:sz="6" w:space="0" w:color="FFFFFF"/>
              <w:bottom w:val="single" w:sz="6" w:space="0" w:color="9FAAAF"/>
              <w:right w:val="single" w:sz="6" w:space="0" w:color="1D5C0C"/>
            </w:tcBorders>
            <w:shd w:val="clear" w:color="auto" w:fill="1D5C0C"/>
            <w:tcMar>
              <w:top w:w="41" w:type="dxa"/>
              <w:left w:w="20" w:type="dxa"/>
              <w:bottom w:w="41" w:type="dxa"/>
              <w:right w:w="20" w:type="dxa"/>
            </w:tcMar>
            <w:vAlign w:val="center"/>
            <w:hideMark/>
          </w:tcPr>
          <w:p w:rsidR="006D5373" w:rsidRPr="0073133A" w:rsidRDefault="0073133A" w:rsidP="00EB4913">
            <w:pPr>
              <w:spacing w:before="60" w:after="60"/>
              <w:jc w:val="center"/>
              <w:rPr>
                <w:color w:val="FFFFFF" w:themeColor="background1"/>
                <w:sz w:val="20"/>
                <w:lang w:val="es-ES"/>
              </w:rPr>
            </w:pPr>
            <w:r w:rsidRPr="0073133A">
              <w:rPr>
                <w:b/>
                <w:bCs/>
                <w:color w:val="FFFFFF" w:themeColor="background1"/>
                <w:sz w:val="20"/>
                <w:lang w:val="es-ES"/>
              </w:rPr>
              <w:t>Comentarios/ mitigaciones</w:t>
            </w:r>
          </w:p>
        </w:tc>
      </w:tr>
      <w:tr w:rsidR="008638C7"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tcPr>
          <w:p w:rsidR="008638C7" w:rsidRPr="0073133A" w:rsidRDefault="008638C7" w:rsidP="008638C7">
            <w:pPr>
              <w:spacing w:before="60" w:after="60"/>
              <w:jc w:val="center"/>
              <w:rPr>
                <w:b/>
                <w:bCs/>
                <w:sz w:val="18"/>
                <w:lang w:val="es-ES"/>
              </w:rPr>
            </w:pPr>
            <w:r w:rsidRPr="008638C7">
              <w:rPr>
                <w:b/>
                <w:bCs/>
                <w:sz w:val="18"/>
                <w:lang w:val="es-ES"/>
              </w:rPr>
              <w:t>Bloqueo de las actuaciones sobre la zona de aviación general</w:t>
            </w:r>
          </w:p>
        </w:tc>
        <w:tc>
          <w:tcPr>
            <w:tcW w:w="1728"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tcPr>
          <w:p w:rsidR="008638C7" w:rsidRPr="008638C7" w:rsidRDefault="009470B6" w:rsidP="008638C7">
            <w:pPr>
              <w:numPr>
                <w:ilvl w:val="0"/>
                <w:numId w:val="14"/>
              </w:numPr>
              <w:tabs>
                <w:tab w:val="clear" w:pos="720"/>
                <w:tab w:val="num" w:pos="190"/>
              </w:tabs>
              <w:spacing w:before="60" w:after="60"/>
              <w:ind w:left="187" w:hanging="142"/>
              <w:jc w:val="left"/>
              <w:rPr>
                <w:sz w:val="18"/>
                <w:lang w:val="es-ES"/>
              </w:rPr>
            </w:pPr>
            <w:r w:rsidRPr="008638C7">
              <w:rPr>
                <w:sz w:val="18"/>
                <w:lang w:val="es-ES"/>
              </w:rPr>
              <w:t>Riesgo de que las personas que habitan de forma irregular en los hangares de la zona de aviación general se resistan a las modificaciones propuestas en el Plan Maestro en materia de control de acceso y muro perimetral</w:t>
            </w:r>
          </w:p>
        </w:tc>
        <w:tc>
          <w:tcPr>
            <w:tcW w:w="724" w:type="pct"/>
            <w:tcBorders>
              <w:top w:val="single" w:sz="6" w:space="0" w:color="9FAAAF"/>
              <w:left w:val="single" w:sz="6" w:space="0" w:color="9FAAAF"/>
              <w:bottom w:val="single" w:sz="6" w:space="0" w:color="9FAAAF"/>
              <w:right w:val="single" w:sz="6" w:space="0" w:color="9FAAAF"/>
            </w:tcBorders>
            <w:shd w:val="clear" w:color="auto" w:fill="F2F8E8"/>
            <w:tcMar>
              <w:top w:w="82" w:type="dxa"/>
              <w:left w:w="39" w:type="dxa"/>
              <w:bottom w:w="82" w:type="dxa"/>
              <w:right w:w="39" w:type="dxa"/>
            </w:tcMar>
          </w:tcPr>
          <w:p w:rsidR="008638C7" w:rsidRPr="008638C7" w:rsidRDefault="008638C7" w:rsidP="00A51446">
            <w:pPr>
              <w:spacing w:before="60" w:after="60"/>
              <w:ind w:left="45"/>
              <w:jc w:val="center"/>
              <w:rPr>
                <w:iCs/>
                <w:sz w:val="18"/>
                <w:lang w:val="es-ES"/>
              </w:rPr>
            </w:pPr>
            <w:r w:rsidRPr="008638C7">
              <w:rPr>
                <w:iCs/>
                <w:sz w:val="18"/>
                <w:lang w:val="es-ES"/>
              </w:rPr>
              <w:t>Alto</w:t>
            </w:r>
          </w:p>
        </w:tc>
        <w:tc>
          <w:tcPr>
            <w:tcW w:w="1650"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tcPr>
          <w:p w:rsidR="00C177AD" w:rsidRPr="008638C7" w:rsidRDefault="009470B6" w:rsidP="008638C7">
            <w:pPr>
              <w:numPr>
                <w:ilvl w:val="0"/>
                <w:numId w:val="14"/>
              </w:numPr>
              <w:tabs>
                <w:tab w:val="clear" w:pos="720"/>
                <w:tab w:val="num" w:pos="190"/>
              </w:tabs>
              <w:spacing w:before="60" w:after="60"/>
              <w:ind w:left="187" w:hanging="142"/>
              <w:jc w:val="left"/>
              <w:rPr>
                <w:sz w:val="18"/>
                <w:lang w:val="es-ES"/>
              </w:rPr>
            </w:pPr>
            <w:r w:rsidRPr="008638C7">
              <w:rPr>
                <w:sz w:val="18"/>
                <w:lang w:val="es-ES"/>
              </w:rPr>
              <w:t>Mitigación: Lanzar un programa de comunicación del proyecto, tanto interno (de cara a las personas que habitan de forma irregular) como hacia los barrios afectados (beneficiarios de las nuevas condiciones de seguridad).</w:t>
            </w:r>
          </w:p>
          <w:p w:rsidR="008638C7" w:rsidRPr="008638C7" w:rsidRDefault="009470B6" w:rsidP="008638C7">
            <w:pPr>
              <w:numPr>
                <w:ilvl w:val="0"/>
                <w:numId w:val="14"/>
              </w:numPr>
              <w:tabs>
                <w:tab w:val="clear" w:pos="720"/>
                <w:tab w:val="num" w:pos="190"/>
              </w:tabs>
              <w:spacing w:before="60" w:after="60"/>
              <w:ind w:left="187" w:hanging="142"/>
              <w:jc w:val="left"/>
              <w:rPr>
                <w:sz w:val="18"/>
                <w:lang w:val="es-ES"/>
              </w:rPr>
            </w:pPr>
            <w:r w:rsidRPr="008638C7">
              <w:rPr>
                <w:sz w:val="18"/>
                <w:lang w:val="es-ES"/>
              </w:rPr>
              <w:t>Sentido de urgencia para la puesta en marcha del programa de compensación a los afectados.</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hideMark/>
          </w:tcPr>
          <w:p w:rsidR="006D5373" w:rsidRPr="0073133A" w:rsidRDefault="0073133A" w:rsidP="00A51446">
            <w:pPr>
              <w:spacing w:before="60" w:after="60"/>
              <w:jc w:val="center"/>
              <w:rPr>
                <w:sz w:val="18"/>
                <w:lang w:val="es-ES"/>
              </w:rPr>
            </w:pPr>
            <w:r w:rsidRPr="0073133A">
              <w:rPr>
                <w:b/>
                <w:bCs/>
                <w:sz w:val="18"/>
                <w:lang w:val="es-ES"/>
              </w:rPr>
              <w:t>Déficit de ingresos (tasas de aterrizaje e ingresos comerciales)</w:t>
            </w:r>
          </w:p>
        </w:tc>
        <w:tc>
          <w:tcPr>
            <w:tcW w:w="1728"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Actualmente una gran parte de las tasas aeronáuticas (particularmente las de aterrizaje) no llegan a ingresarse, puesto que TAM declara que los vuelos no son comerciales sino militares</w:t>
            </w:r>
          </w:p>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Los acuerdos comerciales entre AASANA y particulares se desconocen y no están regulados</w:t>
            </w:r>
          </w:p>
        </w:tc>
        <w:tc>
          <w:tcPr>
            <w:tcW w:w="724" w:type="pct"/>
            <w:tcBorders>
              <w:top w:val="single" w:sz="6" w:space="0" w:color="9FAAAF"/>
              <w:left w:val="single" w:sz="6" w:space="0" w:color="9FAAAF"/>
              <w:bottom w:val="single" w:sz="6" w:space="0" w:color="9FAAAF"/>
              <w:right w:val="single" w:sz="6" w:space="0" w:color="9FAAAF"/>
            </w:tcBorders>
            <w:shd w:val="clear" w:color="auto" w:fill="F2F8E8"/>
            <w:tcMar>
              <w:top w:w="82" w:type="dxa"/>
              <w:left w:w="39" w:type="dxa"/>
              <w:bottom w:w="82" w:type="dxa"/>
              <w:right w:w="39" w:type="dxa"/>
            </w:tcMar>
            <w:hideMark/>
          </w:tcPr>
          <w:p w:rsidR="006D5373" w:rsidRPr="0073133A" w:rsidRDefault="0073133A" w:rsidP="00A51446">
            <w:pPr>
              <w:spacing w:before="60" w:after="60"/>
              <w:ind w:left="45"/>
              <w:jc w:val="center"/>
              <w:rPr>
                <w:sz w:val="18"/>
                <w:lang w:val="es-ES"/>
              </w:rPr>
            </w:pPr>
            <w:r w:rsidRPr="0073133A">
              <w:rPr>
                <w:i/>
                <w:iCs/>
                <w:sz w:val="18"/>
                <w:lang w:val="es-ES"/>
              </w:rPr>
              <w:t>Alto</w:t>
            </w:r>
          </w:p>
        </w:tc>
        <w:tc>
          <w:tcPr>
            <w:tcW w:w="1650" w:type="pct"/>
            <w:tcBorders>
              <w:top w:val="single" w:sz="6" w:space="0" w:color="9FAAAF"/>
              <w:left w:val="single" w:sz="6" w:space="0" w:color="9FAAAF"/>
              <w:bottom w:val="single" w:sz="6" w:space="0" w:color="9FAAAF"/>
              <w:right w:val="single" w:sz="6" w:space="0" w:color="9FAAAF"/>
            </w:tcBorders>
            <w:shd w:val="clear" w:color="auto" w:fill="F2F8E8"/>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Mitigación: Lanzar un proyecto de revisión y regulación tarifaria (tanto para tasas aeronáuticas como tarifas comerciales) para AASANA</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A51446">
            <w:pPr>
              <w:spacing w:before="60" w:after="60"/>
              <w:jc w:val="center"/>
              <w:rPr>
                <w:sz w:val="18"/>
                <w:lang w:val="es-ES"/>
              </w:rPr>
            </w:pPr>
            <w:r w:rsidRPr="0073133A">
              <w:rPr>
                <w:b/>
                <w:bCs/>
                <w:sz w:val="18"/>
                <w:lang w:val="es-ES"/>
              </w:rPr>
              <w:t>Impacto socio-ambiental superior al esperado</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8A40FF" w:rsidRDefault="0073133A" w:rsidP="00B36573">
            <w:pPr>
              <w:numPr>
                <w:ilvl w:val="0"/>
                <w:numId w:val="14"/>
              </w:numPr>
              <w:tabs>
                <w:tab w:val="clear" w:pos="720"/>
                <w:tab w:val="num" w:pos="190"/>
              </w:tabs>
              <w:spacing w:before="60" w:after="60"/>
              <w:ind w:left="187" w:hanging="142"/>
              <w:jc w:val="left"/>
              <w:rPr>
                <w:sz w:val="18"/>
                <w:lang w:val="es-ES"/>
              </w:rPr>
            </w:pPr>
            <w:r w:rsidRPr="0073133A">
              <w:rPr>
                <w:sz w:val="18"/>
                <w:lang w:val="es-ES"/>
              </w:rPr>
              <w:t>Huella de impacto acústico superi</w:t>
            </w:r>
            <w:r w:rsidR="00B36573">
              <w:rPr>
                <w:sz w:val="18"/>
                <w:lang w:val="es-ES"/>
              </w:rPr>
              <w:t>or a lo esperado en caso de que s</w:t>
            </w:r>
            <w:r w:rsidRPr="0073133A">
              <w:rPr>
                <w:sz w:val="18"/>
                <w:lang w:val="es-ES"/>
              </w:rPr>
              <w:t>igan operando de forma no c</w:t>
            </w:r>
            <w:r w:rsidR="008A40FF">
              <w:rPr>
                <w:sz w:val="18"/>
                <w:lang w:val="es-ES"/>
              </w:rPr>
              <w:t>ontrolada aeronaves tipo B727-200</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hideMark/>
          </w:tcPr>
          <w:p w:rsidR="006D5373" w:rsidRPr="0073133A" w:rsidRDefault="0073133A" w:rsidP="00A51446">
            <w:pPr>
              <w:spacing w:before="60" w:after="60"/>
              <w:ind w:left="45"/>
              <w:jc w:val="center"/>
              <w:rPr>
                <w:sz w:val="18"/>
                <w:lang w:val="es-ES"/>
              </w:rPr>
            </w:pPr>
            <w:r w:rsidRPr="0073133A">
              <w:rPr>
                <w:sz w:val="18"/>
                <w:lang w:val="es-ES"/>
              </w:rPr>
              <w:t>Medio-Alto</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Mitigación: Política de penalizaciones y gravamen a aeronaves que incumplan el Anexo 16 de la OACI</w:t>
            </w:r>
          </w:p>
          <w:p w:rsidR="006D5373"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Fijar la clave de referencia de aeródromo a 3C</w:t>
            </w:r>
          </w:p>
          <w:p w:rsidR="008A40FF" w:rsidRPr="0073133A" w:rsidRDefault="008A40FF" w:rsidP="00EB4913">
            <w:pPr>
              <w:numPr>
                <w:ilvl w:val="0"/>
                <w:numId w:val="14"/>
              </w:numPr>
              <w:tabs>
                <w:tab w:val="clear" w:pos="720"/>
                <w:tab w:val="num" w:pos="190"/>
              </w:tabs>
              <w:spacing w:before="60" w:after="60"/>
              <w:ind w:left="187" w:hanging="142"/>
              <w:jc w:val="left"/>
              <w:rPr>
                <w:sz w:val="18"/>
                <w:lang w:val="es-ES"/>
              </w:rPr>
            </w:pPr>
            <w:r>
              <w:rPr>
                <w:sz w:val="18"/>
                <w:lang w:val="es-ES"/>
              </w:rPr>
              <w:t>Desplazamiento del umbral 32 hacia el Noroeste (hacia fuera de la ciudad)</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AF6A45">
            <w:pPr>
              <w:spacing w:before="60" w:after="60"/>
              <w:jc w:val="center"/>
              <w:rPr>
                <w:sz w:val="18"/>
                <w:lang w:val="es-ES"/>
              </w:rPr>
            </w:pPr>
            <w:r w:rsidRPr="0073133A">
              <w:rPr>
                <w:b/>
                <w:bCs/>
                <w:sz w:val="18"/>
                <w:lang w:val="es-ES"/>
              </w:rPr>
              <w:t xml:space="preserve">Vicios ocultos en la infraestructura </w:t>
            </w:r>
            <w:r w:rsidR="00B36573">
              <w:rPr>
                <w:b/>
                <w:bCs/>
                <w:sz w:val="18"/>
                <w:lang w:val="es-ES"/>
              </w:rPr>
              <w:t>o resistencias</w:t>
            </w:r>
            <w:r w:rsidRPr="0073133A">
              <w:rPr>
                <w:b/>
                <w:bCs/>
                <w:sz w:val="18"/>
                <w:lang w:val="es-ES"/>
              </w:rPr>
              <w:t xml:space="preserve"> fuercen un incremento de</w:t>
            </w:r>
            <w:r w:rsidR="00AF6A45">
              <w:rPr>
                <w:b/>
                <w:bCs/>
                <w:sz w:val="18"/>
                <w:lang w:val="es-ES"/>
              </w:rPr>
              <w:t xml:space="preserve"> la inversión</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B36573">
            <w:pPr>
              <w:numPr>
                <w:ilvl w:val="0"/>
                <w:numId w:val="14"/>
              </w:numPr>
              <w:tabs>
                <w:tab w:val="clear" w:pos="720"/>
                <w:tab w:val="num" w:pos="190"/>
              </w:tabs>
              <w:spacing w:before="60" w:after="60"/>
              <w:ind w:left="187" w:hanging="142"/>
              <w:jc w:val="left"/>
              <w:rPr>
                <w:sz w:val="18"/>
                <w:lang w:val="es-ES"/>
              </w:rPr>
            </w:pPr>
            <w:r w:rsidRPr="0073133A">
              <w:rPr>
                <w:sz w:val="18"/>
                <w:lang w:val="es-ES"/>
              </w:rPr>
              <w:t xml:space="preserve">Existen ciertas incertidumbres técnicas que afectan a las obras de mejoramiento, particularmente se desconoce </w:t>
            </w:r>
            <w:r w:rsidR="00B36573">
              <w:rPr>
                <w:sz w:val="18"/>
                <w:lang w:val="es-ES"/>
              </w:rPr>
              <w:t>la posible resistencia que se pueda encontrar a la remoción de los obstáculos en la senda de aproximación de la pista 32</w:t>
            </w:r>
            <w:r w:rsidRPr="0073133A">
              <w:rPr>
                <w:sz w:val="18"/>
                <w:lang w:val="es-ES"/>
              </w:rPr>
              <w:t xml:space="preserve"> (</w:t>
            </w:r>
            <w:r w:rsidR="00B36573">
              <w:rPr>
                <w:sz w:val="18"/>
                <w:lang w:val="es-ES"/>
              </w:rPr>
              <w:t>se desconoce la propiedad de las antenas</w:t>
            </w:r>
            <w:r w:rsidRPr="0073133A">
              <w:rPr>
                <w:sz w:val="18"/>
                <w:lang w:val="es-ES"/>
              </w:rPr>
              <w:t>)</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hideMark/>
          </w:tcPr>
          <w:p w:rsidR="006D5373" w:rsidRPr="0073133A" w:rsidRDefault="0073133A" w:rsidP="00A51446">
            <w:pPr>
              <w:spacing w:before="60" w:after="60"/>
              <w:ind w:left="45"/>
              <w:jc w:val="center"/>
              <w:rPr>
                <w:sz w:val="18"/>
                <w:lang w:val="es-ES"/>
              </w:rPr>
            </w:pPr>
            <w:r w:rsidRPr="0073133A">
              <w:rPr>
                <w:sz w:val="18"/>
                <w:lang w:val="es-ES"/>
              </w:rPr>
              <w:t>Medio-Bajo</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El Plan Maestro ya contempla importantes contingencias (10% sobre presupuesto de ejecución), así como obras de mantenimiento mayor</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8A40FF">
            <w:pPr>
              <w:spacing w:before="60" w:after="60"/>
              <w:jc w:val="center"/>
              <w:rPr>
                <w:sz w:val="18"/>
                <w:lang w:val="es-ES"/>
              </w:rPr>
            </w:pPr>
            <w:r w:rsidRPr="0073133A">
              <w:rPr>
                <w:b/>
                <w:bCs/>
                <w:sz w:val="18"/>
                <w:lang w:val="es-ES"/>
              </w:rPr>
              <w:t xml:space="preserve">No se adquieran los terrenos de la cabecera </w:t>
            </w:r>
            <w:r w:rsidR="008A40FF">
              <w:rPr>
                <w:b/>
                <w:bCs/>
                <w:sz w:val="18"/>
                <w:lang w:val="es-ES"/>
              </w:rPr>
              <w:t>14</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8A40FF" w:rsidRDefault="0073133A" w:rsidP="008A40FF">
            <w:pPr>
              <w:numPr>
                <w:ilvl w:val="0"/>
                <w:numId w:val="14"/>
              </w:numPr>
              <w:tabs>
                <w:tab w:val="clear" w:pos="720"/>
                <w:tab w:val="num" w:pos="190"/>
              </w:tabs>
              <w:spacing w:before="60" w:after="60"/>
              <w:ind w:left="187" w:hanging="142"/>
              <w:jc w:val="left"/>
              <w:rPr>
                <w:sz w:val="18"/>
                <w:lang w:val="es-ES"/>
              </w:rPr>
            </w:pPr>
            <w:r w:rsidRPr="0073133A">
              <w:rPr>
                <w:sz w:val="18"/>
                <w:lang w:val="es-ES"/>
              </w:rPr>
              <w:t xml:space="preserve">Posibilidad de que nunca se llegue a liberar los terrenos, se entreguen demasiado tarde </w:t>
            </w:r>
            <w:r w:rsidR="008A40FF">
              <w:rPr>
                <w:sz w:val="18"/>
                <w:lang w:val="es-ES"/>
              </w:rPr>
              <w:t>o no haya acuerdo para su adquisición por parte de AASANA</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hideMark/>
          </w:tcPr>
          <w:p w:rsidR="006D5373" w:rsidRPr="0073133A" w:rsidRDefault="0073133A" w:rsidP="00A51446">
            <w:pPr>
              <w:spacing w:before="60" w:after="60"/>
              <w:ind w:left="45"/>
              <w:jc w:val="center"/>
              <w:rPr>
                <w:sz w:val="18"/>
                <w:lang w:val="es-ES"/>
              </w:rPr>
            </w:pPr>
            <w:r w:rsidRPr="0073133A">
              <w:rPr>
                <w:sz w:val="18"/>
                <w:lang w:val="es-ES"/>
              </w:rPr>
              <w:t>Medio-Bajo</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8A40FF" w:rsidP="00EB4913">
            <w:pPr>
              <w:numPr>
                <w:ilvl w:val="0"/>
                <w:numId w:val="14"/>
              </w:numPr>
              <w:tabs>
                <w:tab w:val="clear" w:pos="720"/>
                <w:tab w:val="num" w:pos="190"/>
              </w:tabs>
              <w:spacing w:before="60" w:after="60"/>
              <w:ind w:left="187" w:hanging="142"/>
              <w:jc w:val="left"/>
              <w:rPr>
                <w:sz w:val="18"/>
                <w:lang w:val="es-ES"/>
              </w:rPr>
            </w:pPr>
            <w:r>
              <w:rPr>
                <w:sz w:val="18"/>
                <w:lang w:val="es-ES"/>
              </w:rPr>
              <w:t>Los terrenos actualmente son de carácter agrícola, pero las zonas aledañas están siendo urbanizadas y a largo plazo corren riesgo de recalificar su condición de uso</w:t>
            </w:r>
          </w:p>
          <w:p w:rsidR="006D5373" w:rsidRPr="0073133A" w:rsidRDefault="008A40FF" w:rsidP="00AC44EB">
            <w:pPr>
              <w:numPr>
                <w:ilvl w:val="0"/>
                <w:numId w:val="14"/>
              </w:numPr>
              <w:tabs>
                <w:tab w:val="clear" w:pos="720"/>
                <w:tab w:val="num" w:pos="190"/>
              </w:tabs>
              <w:spacing w:before="60" w:after="60"/>
              <w:ind w:left="187" w:hanging="142"/>
              <w:jc w:val="left"/>
              <w:rPr>
                <w:sz w:val="18"/>
                <w:lang w:val="es-ES"/>
              </w:rPr>
            </w:pPr>
            <w:r>
              <w:rPr>
                <w:sz w:val="18"/>
                <w:lang w:val="es-ES"/>
              </w:rPr>
              <w:t>Mitigación: iniciar el proceso de adquisición lo antes posible</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A51446">
            <w:pPr>
              <w:spacing w:before="60" w:after="60"/>
              <w:jc w:val="center"/>
              <w:rPr>
                <w:sz w:val="18"/>
                <w:lang w:val="es-ES"/>
              </w:rPr>
            </w:pPr>
            <w:r w:rsidRPr="0073133A">
              <w:rPr>
                <w:b/>
                <w:bCs/>
                <w:sz w:val="18"/>
                <w:lang w:val="es-ES"/>
              </w:rPr>
              <w:t>Escenario pesimista de tráfico (caída de ingresos)</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Evolución de tráfico en un escenario pesimista por debajo del escenario base contemplado en el modelo económico-financiero; Este riesgo es siempre un riesgo latente;</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hideMark/>
          </w:tcPr>
          <w:p w:rsidR="006D5373" w:rsidRPr="0073133A" w:rsidRDefault="0073133A" w:rsidP="00A51446">
            <w:pPr>
              <w:spacing w:before="60" w:after="60"/>
              <w:ind w:left="45"/>
              <w:jc w:val="center"/>
              <w:rPr>
                <w:sz w:val="18"/>
                <w:lang w:val="es-ES"/>
              </w:rPr>
            </w:pPr>
            <w:r w:rsidRPr="0073133A">
              <w:rPr>
                <w:sz w:val="18"/>
                <w:lang w:val="es-ES"/>
              </w:rPr>
              <w:t>Medio -bajo</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73133A" w:rsidP="00EB4913">
            <w:pPr>
              <w:numPr>
                <w:ilvl w:val="0"/>
                <w:numId w:val="14"/>
              </w:numPr>
              <w:tabs>
                <w:tab w:val="clear" w:pos="720"/>
                <w:tab w:val="num" w:pos="190"/>
              </w:tabs>
              <w:spacing w:before="60" w:after="60"/>
              <w:ind w:left="187" w:hanging="142"/>
              <w:jc w:val="left"/>
              <w:rPr>
                <w:sz w:val="18"/>
                <w:lang w:val="es-ES"/>
              </w:rPr>
            </w:pPr>
            <w:r w:rsidRPr="0073133A">
              <w:rPr>
                <w:sz w:val="18"/>
                <w:lang w:val="es-ES"/>
              </w:rPr>
              <w:t>Se han contrastado las diversas expectativas económicas del país y el modelo económico-</w:t>
            </w:r>
            <w:r w:rsidR="00AF6A45" w:rsidRPr="00C23310">
              <w:rPr>
                <w:sz w:val="18"/>
                <w:lang w:val="es-ES"/>
              </w:rPr>
              <w:t xml:space="preserve"> financiero contempla un escenario pesimista,</w:t>
            </w:r>
            <w:r w:rsidR="00AF6A45">
              <w:rPr>
                <w:sz w:val="18"/>
                <w:lang w:val="es-ES"/>
              </w:rPr>
              <w:t xml:space="preserve"> </w:t>
            </w:r>
            <w:r w:rsidR="0034642C">
              <w:rPr>
                <w:sz w:val="18"/>
                <w:lang w:val="es-ES"/>
              </w:rPr>
              <w:t xml:space="preserve">es decir </w:t>
            </w:r>
            <w:r w:rsidRPr="0073133A">
              <w:rPr>
                <w:sz w:val="18"/>
                <w:lang w:val="es-ES"/>
              </w:rPr>
              <w:t>en condiciones conservadoras.</w:t>
            </w:r>
          </w:p>
        </w:tc>
      </w:tr>
      <w:tr w:rsidR="0073133A"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8A40FF" w:rsidP="00AF6A45">
            <w:pPr>
              <w:spacing w:before="60" w:after="60"/>
              <w:jc w:val="center"/>
              <w:rPr>
                <w:sz w:val="18"/>
                <w:lang w:val="es-ES"/>
              </w:rPr>
            </w:pPr>
            <w:r>
              <w:rPr>
                <w:b/>
                <w:bCs/>
                <w:sz w:val="18"/>
                <w:lang w:val="es-ES"/>
              </w:rPr>
              <w:t xml:space="preserve">Falta de colaboración por parte de alguno de los </w:t>
            </w:r>
            <w:r w:rsidR="00AF6A45" w:rsidRPr="00AF6A45">
              <w:rPr>
                <w:b/>
                <w:bCs/>
                <w:sz w:val="18"/>
                <w:lang w:val="es-ES"/>
              </w:rPr>
              <w:t xml:space="preserve">agentes </w:t>
            </w:r>
            <w:r>
              <w:rPr>
                <w:b/>
                <w:bCs/>
                <w:sz w:val="18"/>
                <w:lang w:val="es-ES"/>
              </w:rPr>
              <w:t xml:space="preserve">involucrados en los aspectos de </w:t>
            </w:r>
            <w:r w:rsidR="00AF6A45" w:rsidRPr="00AF6A45">
              <w:rPr>
                <w:b/>
                <w:bCs/>
                <w:sz w:val="18"/>
                <w:lang w:val="es-ES"/>
              </w:rPr>
              <w:t>seguridad aeroportuaria</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8A40FF" w:rsidRDefault="008A40FF" w:rsidP="00AF6A45">
            <w:pPr>
              <w:numPr>
                <w:ilvl w:val="0"/>
                <w:numId w:val="14"/>
              </w:numPr>
              <w:tabs>
                <w:tab w:val="clear" w:pos="720"/>
                <w:tab w:val="num" w:pos="190"/>
              </w:tabs>
              <w:spacing w:before="60" w:after="60"/>
              <w:ind w:left="187" w:hanging="142"/>
              <w:jc w:val="left"/>
              <w:rPr>
                <w:sz w:val="18"/>
                <w:lang w:val="es-ES"/>
              </w:rPr>
            </w:pPr>
            <w:r>
              <w:rPr>
                <w:sz w:val="18"/>
                <w:lang w:val="es-ES"/>
              </w:rPr>
              <w:t xml:space="preserve">El cumplimiento de los procedimientos de </w:t>
            </w:r>
            <w:r w:rsidR="00AF6A45">
              <w:rPr>
                <w:sz w:val="18"/>
                <w:lang w:val="es-ES"/>
              </w:rPr>
              <w:t xml:space="preserve">seguridad </w:t>
            </w:r>
            <w:r w:rsidR="00AF6A45" w:rsidRPr="00AF6A45">
              <w:rPr>
                <w:i/>
                <w:sz w:val="18"/>
                <w:lang w:val="es-ES"/>
              </w:rPr>
              <w:t>(security)</w:t>
            </w:r>
            <w:r>
              <w:rPr>
                <w:sz w:val="18"/>
                <w:lang w:val="es-ES"/>
              </w:rPr>
              <w:t xml:space="preserve"> en las diversas puertas de acceso del aeropuerto depende de la</w:t>
            </w:r>
            <w:r w:rsidR="00AF6A45">
              <w:rPr>
                <w:sz w:val="18"/>
                <w:lang w:val="es-ES"/>
              </w:rPr>
              <w:t xml:space="preserve"> colaboración entre AASANA y FAB</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hideMark/>
          </w:tcPr>
          <w:p w:rsidR="006D5373" w:rsidRPr="0073133A" w:rsidRDefault="008A40FF" w:rsidP="00A51446">
            <w:pPr>
              <w:spacing w:before="60" w:after="60"/>
              <w:ind w:left="45"/>
              <w:jc w:val="center"/>
              <w:rPr>
                <w:sz w:val="18"/>
                <w:lang w:val="es-ES"/>
              </w:rPr>
            </w:pPr>
            <w:r w:rsidRPr="0073133A">
              <w:rPr>
                <w:sz w:val="18"/>
                <w:lang w:val="es-ES"/>
              </w:rPr>
              <w:t>Medio -bajo</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hideMark/>
          </w:tcPr>
          <w:p w:rsidR="006D5373" w:rsidRPr="0073133A" w:rsidRDefault="008A40FF" w:rsidP="00EB4913">
            <w:pPr>
              <w:numPr>
                <w:ilvl w:val="0"/>
                <w:numId w:val="14"/>
              </w:numPr>
              <w:tabs>
                <w:tab w:val="clear" w:pos="720"/>
                <w:tab w:val="num" w:pos="190"/>
              </w:tabs>
              <w:spacing w:before="60" w:after="60"/>
              <w:ind w:left="187" w:hanging="142"/>
              <w:jc w:val="left"/>
              <w:rPr>
                <w:sz w:val="18"/>
                <w:lang w:val="es-ES"/>
              </w:rPr>
            </w:pPr>
            <w:r>
              <w:rPr>
                <w:sz w:val="18"/>
                <w:lang w:val="es-ES"/>
              </w:rPr>
              <w:t xml:space="preserve">Incentivar un marco de refuerzo para la colaboración en la mejora de las medidas de </w:t>
            </w:r>
            <w:r w:rsidR="00AF6A45">
              <w:rPr>
                <w:sz w:val="18"/>
                <w:lang w:val="es-ES"/>
              </w:rPr>
              <w:t xml:space="preserve">seguridad </w:t>
            </w:r>
            <w:r w:rsidR="00AF6A45" w:rsidRPr="00AF6A45">
              <w:rPr>
                <w:i/>
                <w:sz w:val="18"/>
                <w:lang w:val="es-ES"/>
              </w:rPr>
              <w:t>(security)</w:t>
            </w:r>
            <w:r w:rsidR="00AF6A45">
              <w:rPr>
                <w:sz w:val="18"/>
                <w:lang w:val="es-ES"/>
              </w:rPr>
              <w:t xml:space="preserve"> </w:t>
            </w:r>
            <w:r>
              <w:rPr>
                <w:sz w:val="18"/>
                <w:lang w:val="es-ES"/>
              </w:rPr>
              <w:t xml:space="preserve"> en todas las nuevas puertas de acceso proyectadas en el Plan Maestro</w:t>
            </w:r>
          </w:p>
        </w:tc>
      </w:tr>
      <w:tr w:rsidR="00C611C3"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C611C3" w:rsidRPr="0073133A" w:rsidRDefault="00C611C3" w:rsidP="00FE06FC">
            <w:pPr>
              <w:spacing w:before="60" w:after="60"/>
              <w:jc w:val="center"/>
              <w:rPr>
                <w:sz w:val="18"/>
                <w:lang w:val="es-ES"/>
              </w:rPr>
            </w:pPr>
            <w:r w:rsidRPr="0073133A">
              <w:rPr>
                <w:b/>
                <w:bCs/>
                <w:sz w:val="18"/>
                <w:lang w:val="es-ES"/>
              </w:rPr>
              <w:t>Bloqueo político del proyecto</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C611C3" w:rsidRPr="0073133A" w:rsidRDefault="00C611C3" w:rsidP="00FE06FC">
            <w:pPr>
              <w:numPr>
                <w:ilvl w:val="0"/>
                <w:numId w:val="14"/>
              </w:numPr>
              <w:tabs>
                <w:tab w:val="clear" w:pos="720"/>
                <w:tab w:val="num" w:pos="190"/>
              </w:tabs>
              <w:spacing w:before="60" w:after="60"/>
              <w:ind w:left="187" w:hanging="142"/>
              <w:jc w:val="left"/>
              <w:rPr>
                <w:sz w:val="18"/>
                <w:lang w:val="es-ES"/>
              </w:rPr>
            </w:pPr>
            <w:r w:rsidRPr="0073133A">
              <w:rPr>
                <w:sz w:val="18"/>
                <w:lang w:val="es-ES"/>
              </w:rPr>
              <w:t>Posibilidad de bloqueo en la aprobación parcial o total del Plan Maestro, en base a requerimientos políticos desalineados con las necesidades técnicas y de mercado de las infraestructuras y equipamientos</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tcPr>
          <w:p w:rsidR="00C611C3" w:rsidRPr="00C611C3" w:rsidRDefault="00C611C3" w:rsidP="00FE06FC">
            <w:pPr>
              <w:spacing w:before="60" w:after="60"/>
              <w:ind w:left="45"/>
              <w:jc w:val="center"/>
              <w:rPr>
                <w:sz w:val="18"/>
                <w:lang w:val="es-ES"/>
              </w:rPr>
            </w:pPr>
            <w:r w:rsidRPr="00C611C3">
              <w:rPr>
                <w:iCs/>
                <w:sz w:val="18"/>
                <w:lang w:val="es-ES_tradnl"/>
              </w:rPr>
              <w:t xml:space="preserve">Medio – Bajo </w:t>
            </w: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C611C3" w:rsidRPr="0073133A" w:rsidRDefault="00C611C3" w:rsidP="00FE06FC">
            <w:pPr>
              <w:numPr>
                <w:ilvl w:val="0"/>
                <w:numId w:val="14"/>
              </w:numPr>
              <w:tabs>
                <w:tab w:val="clear" w:pos="720"/>
                <w:tab w:val="num" w:pos="190"/>
              </w:tabs>
              <w:spacing w:before="60" w:after="60"/>
              <w:ind w:left="187" w:hanging="142"/>
              <w:jc w:val="left"/>
              <w:rPr>
                <w:sz w:val="18"/>
                <w:lang w:val="es-ES"/>
              </w:rPr>
            </w:pPr>
            <w:r w:rsidRPr="0073133A">
              <w:rPr>
                <w:sz w:val="18"/>
                <w:lang w:val="es-ES"/>
              </w:rPr>
              <w:t xml:space="preserve">Riesgo de presiones políticas para </w:t>
            </w:r>
            <w:r w:rsidR="00FC76A1">
              <w:rPr>
                <w:sz w:val="18"/>
                <w:lang w:val="es-ES"/>
              </w:rPr>
              <w:t>desarrollos de la infraestructura aeroportuaria no contemplados</w:t>
            </w:r>
            <w:r w:rsidRPr="0073133A">
              <w:rPr>
                <w:sz w:val="18"/>
                <w:lang w:val="es-ES"/>
              </w:rPr>
              <w:t xml:space="preserve"> en el Programa de desarrollo</w:t>
            </w:r>
          </w:p>
          <w:p w:rsidR="00C611C3" w:rsidRPr="0073133A" w:rsidRDefault="00C611C3" w:rsidP="00FE06FC">
            <w:pPr>
              <w:numPr>
                <w:ilvl w:val="0"/>
                <w:numId w:val="14"/>
              </w:numPr>
              <w:tabs>
                <w:tab w:val="clear" w:pos="720"/>
                <w:tab w:val="num" w:pos="190"/>
              </w:tabs>
              <w:spacing w:before="60" w:after="60"/>
              <w:ind w:left="187" w:hanging="142"/>
              <w:jc w:val="left"/>
              <w:rPr>
                <w:sz w:val="18"/>
                <w:lang w:val="es-ES"/>
              </w:rPr>
            </w:pPr>
            <w:r w:rsidRPr="0073133A">
              <w:rPr>
                <w:sz w:val="18"/>
                <w:lang w:val="es-ES"/>
              </w:rPr>
              <w:t>Mitigación: Buen plan de comunicación y venta del proyecto</w:t>
            </w:r>
          </w:p>
        </w:tc>
      </w:tr>
      <w:tr w:rsidR="00FC7A51" w:rsidRPr="0073133A" w:rsidTr="00C611C3">
        <w:trPr>
          <w:cantSplit/>
          <w:trHeight w:val="20"/>
          <w:jc w:val="center"/>
        </w:trPr>
        <w:tc>
          <w:tcPr>
            <w:tcW w:w="89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FC7A51" w:rsidRDefault="00FC7A51">
            <w:pPr>
              <w:pStyle w:val="NormalWeb"/>
              <w:tabs>
                <w:tab w:val="left" w:pos="190"/>
              </w:tabs>
              <w:spacing w:before="60" w:beforeAutospacing="0" w:after="60" w:afterAutospacing="0" w:line="276" w:lineRule="auto"/>
              <w:jc w:val="center"/>
              <w:rPr>
                <w:rFonts w:ascii="Arial" w:hAnsi="Arial" w:cs="Arial"/>
                <w:sz w:val="36"/>
                <w:szCs w:val="36"/>
              </w:rPr>
            </w:pPr>
            <w:r>
              <w:rPr>
                <w:rFonts w:ascii="Arial" w:hAnsi="Arial"/>
                <w:b/>
                <w:bCs/>
                <w:color w:val="000000" w:themeColor="text1"/>
                <w:kern w:val="28"/>
                <w:sz w:val="18"/>
                <w:szCs w:val="18"/>
              </w:rPr>
              <w:t>Catástrofes naturales</w:t>
            </w:r>
          </w:p>
        </w:tc>
        <w:tc>
          <w:tcPr>
            <w:tcW w:w="1728"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FC7A51" w:rsidRDefault="00FC7A51" w:rsidP="006B060F">
            <w:pPr>
              <w:pStyle w:val="Prrafodelista"/>
              <w:numPr>
                <w:ilvl w:val="0"/>
                <w:numId w:val="33"/>
              </w:numPr>
              <w:tabs>
                <w:tab w:val="clear" w:pos="720"/>
                <w:tab w:val="num" w:pos="0"/>
              </w:tabs>
              <w:spacing w:before="0" w:after="0" w:line="276" w:lineRule="auto"/>
              <w:ind w:left="-377" w:hanging="142"/>
              <w:jc w:val="left"/>
              <w:divId w:val="541593460"/>
              <w:rPr>
                <w:rFonts w:cs="Arial"/>
                <w:sz w:val="18"/>
                <w:szCs w:val="36"/>
              </w:rPr>
            </w:pPr>
            <w:r>
              <w:rPr>
                <w:color w:val="000000" w:themeColor="text1"/>
                <w:sz w:val="18"/>
                <w:szCs w:val="18"/>
              </w:rPr>
              <w:t>Posibilidad de que se produzcan terremotos, grandes inundaciones o cataclismos sobre la infraestructura del aeropuerto</w:t>
            </w:r>
          </w:p>
        </w:tc>
        <w:tc>
          <w:tcPr>
            <w:tcW w:w="724" w:type="pct"/>
            <w:tcBorders>
              <w:top w:val="single" w:sz="6" w:space="0" w:color="9FAAAF"/>
              <w:left w:val="single" w:sz="6" w:space="0" w:color="9FAAAF"/>
              <w:bottom w:val="single" w:sz="6" w:space="0" w:color="9FAAAF"/>
              <w:right w:val="single" w:sz="6" w:space="0" w:color="9FAAAF"/>
            </w:tcBorders>
            <w:shd w:val="clear" w:color="auto" w:fill="FFFFFF"/>
            <w:tcMar>
              <w:top w:w="82" w:type="dxa"/>
              <w:left w:w="39" w:type="dxa"/>
              <w:bottom w:w="82" w:type="dxa"/>
              <w:right w:w="39" w:type="dxa"/>
            </w:tcMar>
          </w:tcPr>
          <w:p w:rsidR="00FC7A51" w:rsidRDefault="00FC7A51">
            <w:pPr>
              <w:pStyle w:val="NormalWeb"/>
              <w:tabs>
                <w:tab w:val="left" w:pos="190"/>
              </w:tabs>
              <w:spacing w:before="60" w:beforeAutospacing="0" w:after="60" w:afterAutospacing="0" w:line="276" w:lineRule="auto"/>
              <w:jc w:val="center"/>
              <w:rPr>
                <w:rFonts w:ascii="Arial" w:hAnsi="Arial"/>
                <w:color w:val="000000" w:themeColor="text1"/>
                <w:kern w:val="28"/>
                <w:sz w:val="18"/>
                <w:szCs w:val="18"/>
              </w:rPr>
            </w:pPr>
            <w:r>
              <w:rPr>
                <w:rFonts w:ascii="Arial" w:hAnsi="Arial"/>
                <w:color w:val="000000" w:themeColor="text1"/>
                <w:kern w:val="28"/>
                <w:sz w:val="18"/>
                <w:szCs w:val="18"/>
              </w:rPr>
              <w:t>Bajo</w:t>
            </w:r>
          </w:p>
          <w:p w:rsidR="006B060F" w:rsidRPr="006B060F" w:rsidRDefault="006B060F">
            <w:pPr>
              <w:pStyle w:val="NormalWeb"/>
              <w:tabs>
                <w:tab w:val="left" w:pos="190"/>
              </w:tabs>
              <w:spacing w:before="60" w:beforeAutospacing="0" w:after="60" w:afterAutospacing="0" w:line="276" w:lineRule="auto"/>
              <w:jc w:val="center"/>
              <w:rPr>
                <w:rFonts w:ascii="Arial" w:hAnsi="Arial" w:cs="Arial"/>
                <w:sz w:val="36"/>
                <w:szCs w:val="36"/>
                <w:lang w:val="es-ES"/>
              </w:rPr>
            </w:pPr>
          </w:p>
        </w:tc>
        <w:tc>
          <w:tcPr>
            <w:tcW w:w="1650" w:type="pct"/>
            <w:tcBorders>
              <w:top w:val="single" w:sz="6" w:space="0" w:color="9FAAAF"/>
              <w:left w:val="single" w:sz="6" w:space="0" w:color="9FAAAF"/>
              <w:bottom w:val="single" w:sz="6" w:space="0" w:color="9FAAAF"/>
              <w:right w:val="single" w:sz="6" w:space="0" w:color="9FAAAF"/>
            </w:tcBorders>
            <w:shd w:val="clear" w:color="auto" w:fill="FFFFFF"/>
            <w:tcMar>
              <w:top w:w="41" w:type="dxa"/>
              <w:left w:w="78" w:type="dxa"/>
              <w:bottom w:w="41" w:type="dxa"/>
              <w:right w:w="39" w:type="dxa"/>
            </w:tcMar>
          </w:tcPr>
          <w:p w:rsidR="00FC7A51" w:rsidRDefault="00FC7A51" w:rsidP="006B060F">
            <w:pPr>
              <w:pStyle w:val="Prrafodelista"/>
              <w:numPr>
                <w:ilvl w:val="0"/>
                <w:numId w:val="34"/>
              </w:numPr>
              <w:tabs>
                <w:tab w:val="clear" w:pos="720"/>
              </w:tabs>
              <w:spacing w:before="0" w:after="0" w:line="276" w:lineRule="auto"/>
              <w:ind w:left="-338" w:hanging="142"/>
              <w:jc w:val="left"/>
              <w:divId w:val="91971631"/>
              <w:rPr>
                <w:rFonts w:cs="Arial"/>
                <w:sz w:val="18"/>
                <w:szCs w:val="36"/>
              </w:rPr>
            </w:pPr>
            <w:r>
              <w:rPr>
                <w:color w:val="000000" w:themeColor="text1"/>
                <w:sz w:val="18"/>
                <w:szCs w:val="18"/>
              </w:rPr>
              <w:t>La zona no se encuentra en un área de actividad sísmica importante. El riesgo de inundaciones es sistémico.</w:t>
            </w:r>
          </w:p>
        </w:tc>
      </w:tr>
    </w:tbl>
    <w:p w:rsidR="00EB4913" w:rsidRPr="00AC1C46" w:rsidRDefault="00EB4913" w:rsidP="00EB4913">
      <w:pPr>
        <w:pStyle w:val="Epgrafe"/>
      </w:pPr>
      <w:bookmarkStart w:id="47" w:name="_Toc352856790"/>
      <w:r>
        <w:t xml:space="preserve">Tabla </w:t>
      </w:r>
      <w:fldSimple w:instr=" SEQ Tabla \* ARABIC ">
        <w:r w:rsidR="008638C7">
          <w:rPr>
            <w:noProof/>
          </w:rPr>
          <w:t>3</w:t>
        </w:r>
      </w:fldSimple>
      <w:r w:rsidRPr="00AC1C46">
        <w:t xml:space="preserve">: </w:t>
      </w:r>
      <w:r w:rsidR="000C43FF">
        <w:t>Matriz de riesgos del proyecto</w:t>
      </w:r>
      <w:bookmarkEnd w:id="47"/>
    </w:p>
    <w:p w:rsidR="007773E2" w:rsidRPr="00AC1C46" w:rsidRDefault="00EB4913" w:rsidP="000B1693">
      <w:pPr>
        <w:pStyle w:val="Epgrafe"/>
        <w:spacing w:before="0"/>
      </w:pPr>
      <w:r w:rsidRPr="00AC1C46">
        <w:rPr>
          <w:rStyle w:val="Referenciasutil"/>
        </w:rPr>
        <w:t xml:space="preserve">Fuente: </w:t>
      </w:r>
      <w:r w:rsidR="00AF6A45">
        <w:rPr>
          <w:rStyle w:val="Referenciasutil"/>
        </w:rPr>
        <w:t>Elaborado por ALG</w:t>
      </w:r>
    </w:p>
    <w:sectPr w:rsidR="007773E2" w:rsidRPr="00AC1C46" w:rsidSect="009C3010">
      <w:headerReference w:type="default" r:id="rId44"/>
      <w:footerReference w:type="default" r:id="rId45"/>
      <w:pgSz w:w="12242" w:h="15842" w:code="1"/>
      <w:pgMar w:top="1134" w:right="1701" w:bottom="1134" w:left="1701" w:header="567" w:footer="2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B1E" w:rsidRDefault="00232B1E" w:rsidP="00D16B04">
      <w:r>
        <w:separator/>
      </w:r>
    </w:p>
  </w:endnote>
  <w:endnote w:type="continuationSeparator" w:id="0">
    <w:p w:rsidR="00232B1E" w:rsidRDefault="00232B1E" w:rsidP="00D1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1817"/>
      <w:docPartObj>
        <w:docPartGallery w:val="Page Numbers (Bottom of Page)"/>
        <w:docPartUnique/>
      </w:docPartObj>
    </w:sdtPr>
    <w:sdtContent>
      <w:p w:rsidR="00F97F2F" w:rsidRPr="000A07D2" w:rsidRDefault="00F97F2F" w:rsidP="00EC4D3C">
        <w:pPr>
          <w:pStyle w:val="Piedepgina"/>
          <w:jc w:val="center"/>
        </w:pPr>
      </w:p>
    </w:sdtContent>
  </w:sdt>
  <w:p w:rsidR="00F97F2F" w:rsidRPr="00F348F9" w:rsidRDefault="00F97F2F" w:rsidP="00D16B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1562"/>
      <w:docPartObj>
        <w:docPartGallery w:val="Page Numbers (Bottom of Page)"/>
        <w:docPartUnique/>
      </w:docPartObj>
    </w:sdtPr>
    <w:sdtContent>
      <w:p w:rsidR="00F97F2F" w:rsidRPr="000A07D2" w:rsidRDefault="00F97F2F" w:rsidP="00EC4D3C">
        <w:pPr>
          <w:pStyle w:val="Piedepgina"/>
          <w:jc w:val="center"/>
        </w:pPr>
        <w:r>
          <w:t>10/</w:t>
        </w:r>
        <w:r>
          <w:fldChar w:fldCharType="begin"/>
        </w:r>
        <w:r>
          <w:instrText xml:space="preserve"> PAGE   \* MERGEFORMAT </w:instrText>
        </w:r>
        <w:r>
          <w:fldChar w:fldCharType="separate"/>
        </w:r>
        <w:r w:rsidR="00665A54">
          <w:rPr>
            <w:noProof/>
          </w:rPr>
          <w:t>31</w:t>
        </w:r>
        <w:r>
          <w:rPr>
            <w:noProof/>
          </w:rPr>
          <w:fldChar w:fldCharType="end"/>
        </w:r>
      </w:p>
    </w:sdtContent>
  </w:sdt>
  <w:p w:rsidR="00F97F2F" w:rsidRPr="00F348F9" w:rsidRDefault="00F97F2F" w:rsidP="00D16B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B1E" w:rsidRDefault="00232B1E" w:rsidP="00D16B04">
      <w:r>
        <w:separator/>
      </w:r>
    </w:p>
  </w:footnote>
  <w:footnote w:type="continuationSeparator" w:id="0">
    <w:p w:rsidR="00232B1E" w:rsidRDefault="00232B1E" w:rsidP="00D16B04">
      <w:r>
        <w:continuationSeparator/>
      </w:r>
    </w:p>
  </w:footnote>
  <w:footnote w:id="1">
    <w:p w:rsidR="00F97F2F" w:rsidRPr="00573A44" w:rsidRDefault="00F97F2F" w:rsidP="001232E3">
      <w:pPr>
        <w:pStyle w:val="Textonotapie"/>
        <w:rPr>
          <w:sz w:val="14"/>
        </w:rPr>
      </w:pPr>
      <w:r>
        <w:rPr>
          <w:rStyle w:val="Refdenotaalpie"/>
        </w:rPr>
        <w:footnoteRef/>
      </w:r>
      <w:r>
        <w:t xml:space="preserve"> </w:t>
      </w:r>
      <w:r w:rsidRPr="00573A44">
        <w:rPr>
          <w:sz w:val="14"/>
          <w:vertAlign w:val="superscript"/>
        </w:rPr>
        <w:t xml:space="preserve">1) </w:t>
      </w:r>
      <w:r w:rsidRPr="00573A44">
        <w:rPr>
          <w:sz w:val="14"/>
        </w:rPr>
        <w:t>Estimación del PIB por cápita a partir de datos del 2010, aplicando el índice de crecimiento del PIB per cápita de los respectivos países  (Fuente: FMI)</w:t>
      </w:r>
    </w:p>
    <w:p w:rsidR="00F97F2F" w:rsidRPr="00573A44" w:rsidRDefault="00F97F2F" w:rsidP="001232E3">
      <w:pPr>
        <w:pStyle w:val="Textonotapie"/>
        <w:rPr>
          <w:sz w:val="14"/>
        </w:rPr>
      </w:pPr>
      <w:r w:rsidRPr="00573A44">
        <w:rPr>
          <w:sz w:val="14"/>
          <w:vertAlign w:val="superscript"/>
        </w:rPr>
        <w:t xml:space="preserve">(2) </w:t>
      </w:r>
      <w:r w:rsidRPr="00573A44">
        <w:rPr>
          <w:sz w:val="14"/>
        </w:rPr>
        <w:t>Se ha tomado el PIB per cápita de Paraguay por falta de datos de la región de Alto Paraná</w:t>
      </w:r>
    </w:p>
    <w:p w:rsidR="00F97F2F" w:rsidRDefault="00F97F2F" w:rsidP="001232E3">
      <w:pPr>
        <w:pStyle w:val="Textonotapie"/>
      </w:pPr>
      <w:r w:rsidRPr="00573A44">
        <w:rPr>
          <w:sz w:val="14"/>
          <w:vertAlign w:val="superscript"/>
        </w:rPr>
        <w:t xml:space="preserve">(3) </w:t>
      </w:r>
      <w:r w:rsidRPr="00573A44">
        <w:rPr>
          <w:sz w:val="14"/>
        </w:rPr>
        <w:t>Estimación del PIB por cápita a partir de datos del 2008, aplicando el índice de crecimiento del PIB per cápita de los respectivos países  (Fuente: FMI)</w:t>
      </w:r>
    </w:p>
  </w:footnote>
  <w:footnote w:id="2">
    <w:p w:rsidR="00F97F2F" w:rsidRPr="00573A44" w:rsidRDefault="00F97F2F" w:rsidP="001232E3">
      <w:pPr>
        <w:pStyle w:val="Textonotapie"/>
        <w:rPr>
          <w:sz w:val="14"/>
        </w:rPr>
      </w:pPr>
      <w:r>
        <w:rPr>
          <w:rStyle w:val="Refdenotaalpie"/>
        </w:rPr>
        <w:footnoteRef/>
      </w:r>
      <w:r w:rsidRPr="00573A44">
        <w:rPr>
          <w:sz w:val="14"/>
        </w:rPr>
        <w:t xml:space="preserve"> </w:t>
      </w:r>
      <w:r w:rsidRPr="00573A44">
        <w:rPr>
          <w:sz w:val="14"/>
          <w:vertAlign w:val="superscript"/>
        </w:rPr>
        <w:t xml:space="preserve">(1) </w:t>
      </w:r>
      <w:r w:rsidRPr="00573A44">
        <w:rPr>
          <w:sz w:val="14"/>
        </w:rPr>
        <w:t>Estimación del PIB por cápita a partir de datos del 2010, aplicando el índice de crecimiento del PIB per cápita de los respectivos países  (Fuente: FMI)</w:t>
      </w:r>
    </w:p>
    <w:p w:rsidR="00F97F2F" w:rsidRPr="00573A44" w:rsidRDefault="00F97F2F" w:rsidP="001232E3">
      <w:pPr>
        <w:pStyle w:val="Textonotapie"/>
        <w:rPr>
          <w:sz w:val="14"/>
        </w:rPr>
      </w:pPr>
      <w:r w:rsidRPr="00573A44">
        <w:rPr>
          <w:sz w:val="14"/>
          <w:vertAlign w:val="superscript"/>
        </w:rPr>
        <w:t xml:space="preserve">(2) </w:t>
      </w:r>
      <w:r w:rsidRPr="00573A44">
        <w:rPr>
          <w:sz w:val="14"/>
        </w:rPr>
        <w:t>Se ha tomado el PIB per cápita de Paraguay por falta de datos de la región de Alto Paraná</w:t>
      </w:r>
    </w:p>
    <w:p w:rsidR="00F97F2F" w:rsidRPr="00573A44" w:rsidRDefault="00F97F2F" w:rsidP="001232E3">
      <w:pPr>
        <w:pStyle w:val="Textonotapie"/>
        <w:rPr>
          <w:sz w:val="14"/>
        </w:rPr>
      </w:pPr>
      <w:r w:rsidRPr="00573A44">
        <w:rPr>
          <w:sz w:val="14"/>
          <w:vertAlign w:val="superscript"/>
        </w:rPr>
        <w:t xml:space="preserve">(3) </w:t>
      </w:r>
      <w:r w:rsidRPr="00573A44">
        <w:rPr>
          <w:sz w:val="14"/>
        </w:rPr>
        <w:t>Estimación del PIB por cápita a partir de datos del 2008, aplicando el índice de crecimiento del PIB per cápita de los respectivos países  (Fuente: FMI)</w:t>
      </w:r>
    </w:p>
    <w:p w:rsidR="00F97F2F" w:rsidRDefault="00F97F2F" w:rsidP="001232E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2F" w:rsidRDefault="00F97F2F" w:rsidP="00FF3FA2">
    <w:pPr>
      <w:pStyle w:val="Encabezado"/>
    </w:pPr>
  </w:p>
  <w:p w:rsidR="00F97F2F" w:rsidRPr="00C50820" w:rsidRDefault="00F97F2F" w:rsidP="00FF3FA2">
    <w:pPr>
      <w:pStyle w:val="Encabezado"/>
    </w:pPr>
    <w:r>
      <w:tab/>
    </w:r>
    <w:r>
      <w:tab/>
    </w:r>
    <w:r w:rsidRPr="00CF4234">
      <w:t xml:space="preserve"> </w:t>
    </w:r>
  </w:p>
  <w:p w:rsidR="00F97F2F" w:rsidRDefault="00F97F2F" w:rsidP="00FF3F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2F" w:rsidRDefault="00F97F2F" w:rsidP="009C3010">
    <w:pPr>
      <w:pStyle w:val="Encabezado"/>
    </w:pPr>
  </w:p>
  <w:p w:rsidR="00F97F2F" w:rsidRPr="00FF5B1E" w:rsidRDefault="00F97F2F" w:rsidP="009C3010">
    <w:pPr>
      <w:pStyle w:val="Encabezado"/>
      <w:tabs>
        <w:tab w:val="clear" w:pos="8504"/>
        <w:tab w:val="right" w:pos="8789"/>
      </w:tabs>
      <w:rPr>
        <w:sz w:val="18"/>
      </w:rPr>
    </w:pPr>
    <w:r w:rsidRPr="003B0EA3">
      <w:rPr>
        <w:noProof/>
        <w:sz w:val="20"/>
        <w:lang w:val="es-ES" w:eastAsia="es-ES"/>
      </w:rPr>
      <w:drawing>
        <wp:inline distT="0" distB="0" distL="0" distR="0">
          <wp:extent cx="692458" cy="331175"/>
          <wp:effectExtent l="0" t="0" r="0" b="0"/>
          <wp:docPr id="10" name="Picture 2" descr="http://wp2.cedha.net/wp-content/uploads/2011/08/logo_bid-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wp2.cedha.net/wp-content/uploads/2011/08/logo_bid-color1.gif"/>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07052" cy="338155"/>
                  </a:xfrm>
                  <a:prstGeom prst="rect">
                    <a:avLst/>
                  </a:prstGeom>
                  <a:noFill/>
                  <a:extLst/>
                </pic:spPr>
              </pic:pic>
            </a:graphicData>
          </a:graphic>
        </wp:inline>
      </w:drawing>
    </w:r>
    <w:r>
      <w:tab/>
    </w:r>
    <w:r>
      <w:tab/>
    </w:r>
    <w:r>
      <w:rPr>
        <w:noProof/>
        <w:lang w:val="es-ES" w:eastAsia="es-ES"/>
      </w:rPr>
      <w:drawing>
        <wp:inline distT="0" distB="0" distL="0" distR="0">
          <wp:extent cx="737870" cy="337820"/>
          <wp:effectExtent l="0" t="0" r="5080" b="5080"/>
          <wp:docPr id="41" name="Picture 1" descr="P:\DEPARTAMENTO PRODUCCIÓN\B_Imagen Corporativa\ALG LOGOS 2011\alg-01.jpg"/>
          <wp:cNvGraphicFramePr/>
          <a:graphic xmlns:a="http://schemas.openxmlformats.org/drawingml/2006/main">
            <a:graphicData uri="http://schemas.openxmlformats.org/drawingml/2006/picture">
              <pic:pic xmlns:pic="http://schemas.openxmlformats.org/drawingml/2006/picture">
                <pic:nvPicPr>
                  <pic:cNvPr id="70657" name="Picture 1" descr="P:\DEPARTAMENTO PRODUCCIÓN\B_Imagen Corporativa\ALG LOGOS 2011\alg-01.jpg"/>
                  <pic:cNvPicPr/>
                </pic:nvPicPr>
                <pic:blipFill>
                  <a:blip r:embed="rId2" cstate="screen">
                    <a:clrChange>
                      <a:clrFrom>
                        <a:srgbClr val="FDFDFD"/>
                      </a:clrFrom>
                      <a:clrTo>
                        <a:srgbClr val="FDFDFD">
                          <a:alpha val="0"/>
                        </a:srgbClr>
                      </a:clrTo>
                    </a:clrChange>
                    <a:extLst>
                      <a:ext uri="{28A0092B-C50C-407E-A947-70E740481C1C}">
                        <a14:useLocalDpi xmlns:a14="http://schemas.microsoft.com/office/drawing/2010/main"/>
                      </a:ext>
                    </a:extLst>
                  </a:blip>
                  <a:srcRect l="7285" t="25147" r="8278" b="20060"/>
                  <a:stretch>
                    <a:fillRect/>
                  </a:stretch>
                </pic:blipFill>
                <pic:spPr bwMode="auto">
                  <a:xfrm>
                    <a:off x="0" y="0"/>
                    <a:ext cx="737870" cy="337820"/>
                  </a:xfrm>
                  <a:prstGeom prst="rect">
                    <a:avLst/>
                  </a:prstGeom>
                  <a:noFill/>
                </pic:spPr>
              </pic:pic>
            </a:graphicData>
          </a:graphic>
        </wp:inline>
      </w:drawing>
    </w:r>
    <w:r w:rsidRPr="00FF5B1E">
      <w:rPr>
        <w:sz w:val="18"/>
      </w:rPr>
      <w:tab/>
      <w:t xml:space="preserve"> </w:t>
    </w:r>
  </w:p>
  <w:p w:rsidR="00F97F2F" w:rsidRPr="00FF5B1E" w:rsidRDefault="00F97F2F" w:rsidP="009C301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1E28B8"/>
    <w:lvl w:ilvl="0">
      <w:start w:val="1"/>
      <w:numFmt w:val="decimal"/>
      <w:lvlText w:val="%1."/>
      <w:lvlJc w:val="left"/>
      <w:pPr>
        <w:tabs>
          <w:tab w:val="num" w:pos="1492"/>
        </w:tabs>
        <w:ind w:left="1492" w:hanging="360"/>
      </w:pPr>
    </w:lvl>
  </w:abstractNum>
  <w:abstractNum w:abstractNumId="1">
    <w:nsid w:val="FFFFFF7D"/>
    <w:multiLevelType w:val="singleLevel"/>
    <w:tmpl w:val="A7FE301E"/>
    <w:lvl w:ilvl="0">
      <w:start w:val="1"/>
      <w:numFmt w:val="decimal"/>
      <w:lvlText w:val="%1."/>
      <w:lvlJc w:val="left"/>
      <w:pPr>
        <w:tabs>
          <w:tab w:val="num" w:pos="1209"/>
        </w:tabs>
        <w:ind w:left="1209" w:hanging="360"/>
      </w:pPr>
    </w:lvl>
  </w:abstractNum>
  <w:abstractNum w:abstractNumId="2">
    <w:nsid w:val="FFFFFF7E"/>
    <w:multiLevelType w:val="singleLevel"/>
    <w:tmpl w:val="47AE6134"/>
    <w:lvl w:ilvl="0">
      <w:start w:val="1"/>
      <w:numFmt w:val="decimal"/>
      <w:lvlText w:val="%1."/>
      <w:lvlJc w:val="left"/>
      <w:pPr>
        <w:tabs>
          <w:tab w:val="num" w:pos="926"/>
        </w:tabs>
        <w:ind w:left="926" w:hanging="360"/>
      </w:pPr>
    </w:lvl>
  </w:abstractNum>
  <w:abstractNum w:abstractNumId="3">
    <w:nsid w:val="FFFFFF7F"/>
    <w:multiLevelType w:val="singleLevel"/>
    <w:tmpl w:val="56D24ACA"/>
    <w:lvl w:ilvl="0">
      <w:start w:val="1"/>
      <w:numFmt w:val="decimal"/>
      <w:lvlText w:val="%1."/>
      <w:lvlJc w:val="left"/>
      <w:pPr>
        <w:tabs>
          <w:tab w:val="num" w:pos="643"/>
        </w:tabs>
        <w:ind w:left="643" w:hanging="360"/>
      </w:pPr>
    </w:lvl>
  </w:abstractNum>
  <w:abstractNum w:abstractNumId="4">
    <w:nsid w:val="FFFFFF80"/>
    <w:multiLevelType w:val="singleLevel"/>
    <w:tmpl w:val="CDACBEB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FCD04F2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BF327AB0"/>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5C8A9404"/>
    <w:lvl w:ilvl="0">
      <w:start w:val="1"/>
      <w:numFmt w:val="bullet"/>
      <w:pStyle w:val="Listaconvietas2"/>
      <w:lvlText w:val=""/>
      <w:lvlJc w:val="left"/>
      <w:pPr>
        <w:ind w:left="644" w:hanging="360"/>
      </w:pPr>
      <w:rPr>
        <w:rFonts w:ascii="Symbol" w:hAnsi="Symbol" w:hint="default"/>
        <w:color w:val="auto"/>
        <w:sz w:val="22"/>
      </w:rPr>
    </w:lvl>
  </w:abstractNum>
  <w:abstractNum w:abstractNumId="8">
    <w:nsid w:val="FFFFFF88"/>
    <w:multiLevelType w:val="singleLevel"/>
    <w:tmpl w:val="0568BC96"/>
    <w:lvl w:ilvl="0">
      <w:start w:val="1"/>
      <w:numFmt w:val="decimal"/>
      <w:lvlText w:val="%1."/>
      <w:lvlJc w:val="left"/>
      <w:pPr>
        <w:tabs>
          <w:tab w:val="num" w:pos="360"/>
        </w:tabs>
        <w:ind w:left="360" w:hanging="360"/>
      </w:pPr>
    </w:lvl>
  </w:abstractNum>
  <w:abstractNum w:abstractNumId="9">
    <w:nsid w:val="FFFFFF89"/>
    <w:multiLevelType w:val="singleLevel"/>
    <w:tmpl w:val="EA1E09C4"/>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D1331DE"/>
    <w:multiLevelType w:val="hybridMultilevel"/>
    <w:tmpl w:val="95BE1940"/>
    <w:lvl w:ilvl="0" w:tplc="2F74C330">
      <w:start w:val="1"/>
      <w:numFmt w:val="bullet"/>
      <w:lvlText w:val="•"/>
      <w:lvlJc w:val="left"/>
      <w:pPr>
        <w:tabs>
          <w:tab w:val="num" w:pos="720"/>
        </w:tabs>
        <w:ind w:left="720" w:hanging="360"/>
      </w:pPr>
      <w:rPr>
        <w:rFonts w:ascii="Arial" w:hAnsi="Arial" w:hint="default"/>
      </w:rPr>
    </w:lvl>
    <w:lvl w:ilvl="1" w:tplc="B96274BE" w:tentative="1">
      <w:start w:val="1"/>
      <w:numFmt w:val="bullet"/>
      <w:lvlText w:val="•"/>
      <w:lvlJc w:val="left"/>
      <w:pPr>
        <w:tabs>
          <w:tab w:val="num" w:pos="1440"/>
        </w:tabs>
        <w:ind w:left="1440" w:hanging="360"/>
      </w:pPr>
      <w:rPr>
        <w:rFonts w:ascii="Arial" w:hAnsi="Arial" w:hint="default"/>
      </w:rPr>
    </w:lvl>
    <w:lvl w:ilvl="2" w:tplc="2C449D38" w:tentative="1">
      <w:start w:val="1"/>
      <w:numFmt w:val="bullet"/>
      <w:lvlText w:val="•"/>
      <w:lvlJc w:val="left"/>
      <w:pPr>
        <w:tabs>
          <w:tab w:val="num" w:pos="2160"/>
        </w:tabs>
        <w:ind w:left="2160" w:hanging="360"/>
      </w:pPr>
      <w:rPr>
        <w:rFonts w:ascii="Arial" w:hAnsi="Arial" w:hint="default"/>
      </w:rPr>
    </w:lvl>
    <w:lvl w:ilvl="3" w:tplc="1BACFCC6" w:tentative="1">
      <w:start w:val="1"/>
      <w:numFmt w:val="bullet"/>
      <w:lvlText w:val="•"/>
      <w:lvlJc w:val="left"/>
      <w:pPr>
        <w:tabs>
          <w:tab w:val="num" w:pos="2880"/>
        </w:tabs>
        <w:ind w:left="2880" w:hanging="360"/>
      </w:pPr>
      <w:rPr>
        <w:rFonts w:ascii="Arial" w:hAnsi="Arial" w:hint="default"/>
      </w:rPr>
    </w:lvl>
    <w:lvl w:ilvl="4" w:tplc="F74CC0C2" w:tentative="1">
      <w:start w:val="1"/>
      <w:numFmt w:val="bullet"/>
      <w:lvlText w:val="•"/>
      <w:lvlJc w:val="left"/>
      <w:pPr>
        <w:tabs>
          <w:tab w:val="num" w:pos="3600"/>
        </w:tabs>
        <w:ind w:left="3600" w:hanging="360"/>
      </w:pPr>
      <w:rPr>
        <w:rFonts w:ascii="Arial" w:hAnsi="Arial" w:hint="default"/>
      </w:rPr>
    </w:lvl>
    <w:lvl w:ilvl="5" w:tplc="47727152" w:tentative="1">
      <w:start w:val="1"/>
      <w:numFmt w:val="bullet"/>
      <w:lvlText w:val="•"/>
      <w:lvlJc w:val="left"/>
      <w:pPr>
        <w:tabs>
          <w:tab w:val="num" w:pos="4320"/>
        </w:tabs>
        <w:ind w:left="4320" w:hanging="360"/>
      </w:pPr>
      <w:rPr>
        <w:rFonts w:ascii="Arial" w:hAnsi="Arial" w:hint="default"/>
      </w:rPr>
    </w:lvl>
    <w:lvl w:ilvl="6" w:tplc="B2283750" w:tentative="1">
      <w:start w:val="1"/>
      <w:numFmt w:val="bullet"/>
      <w:lvlText w:val="•"/>
      <w:lvlJc w:val="left"/>
      <w:pPr>
        <w:tabs>
          <w:tab w:val="num" w:pos="5040"/>
        </w:tabs>
        <w:ind w:left="5040" w:hanging="360"/>
      </w:pPr>
      <w:rPr>
        <w:rFonts w:ascii="Arial" w:hAnsi="Arial" w:hint="default"/>
      </w:rPr>
    </w:lvl>
    <w:lvl w:ilvl="7" w:tplc="4A922554" w:tentative="1">
      <w:start w:val="1"/>
      <w:numFmt w:val="bullet"/>
      <w:lvlText w:val="•"/>
      <w:lvlJc w:val="left"/>
      <w:pPr>
        <w:tabs>
          <w:tab w:val="num" w:pos="5760"/>
        </w:tabs>
        <w:ind w:left="5760" w:hanging="360"/>
      </w:pPr>
      <w:rPr>
        <w:rFonts w:ascii="Arial" w:hAnsi="Arial" w:hint="default"/>
      </w:rPr>
    </w:lvl>
    <w:lvl w:ilvl="8" w:tplc="5C4AF7C2" w:tentative="1">
      <w:start w:val="1"/>
      <w:numFmt w:val="bullet"/>
      <w:lvlText w:val="•"/>
      <w:lvlJc w:val="left"/>
      <w:pPr>
        <w:tabs>
          <w:tab w:val="num" w:pos="6480"/>
        </w:tabs>
        <w:ind w:left="6480" w:hanging="360"/>
      </w:pPr>
      <w:rPr>
        <w:rFonts w:ascii="Arial" w:hAnsi="Arial" w:hint="default"/>
      </w:rPr>
    </w:lvl>
  </w:abstractNum>
  <w:abstractNum w:abstractNumId="11">
    <w:nsid w:val="10D320AE"/>
    <w:multiLevelType w:val="hybridMultilevel"/>
    <w:tmpl w:val="B1E87D42"/>
    <w:lvl w:ilvl="0" w:tplc="EAC405E6">
      <w:start w:val="1"/>
      <w:numFmt w:val="bullet"/>
      <w:lvlText w:val="•"/>
      <w:lvlJc w:val="left"/>
      <w:pPr>
        <w:tabs>
          <w:tab w:val="num" w:pos="720"/>
        </w:tabs>
        <w:ind w:left="720" w:hanging="360"/>
      </w:pPr>
      <w:rPr>
        <w:rFonts w:ascii="Arial" w:hAnsi="Arial" w:hint="default"/>
      </w:rPr>
    </w:lvl>
    <w:lvl w:ilvl="1" w:tplc="A2563FB6" w:tentative="1">
      <w:start w:val="1"/>
      <w:numFmt w:val="bullet"/>
      <w:lvlText w:val="•"/>
      <w:lvlJc w:val="left"/>
      <w:pPr>
        <w:tabs>
          <w:tab w:val="num" w:pos="1440"/>
        </w:tabs>
        <w:ind w:left="1440" w:hanging="360"/>
      </w:pPr>
      <w:rPr>
        <w:rFonts w:ascii="Arial" w:hAnsi="Arial" w:hint="default"/>
      </w:rPr>
    </w:lvl>
    <w:lvl w:ilvl="2" w:tplc="9A9E1992" w:tentative="1">
      <w:start w:val="1"/>
      <w:numFmt w:val="bullet"/>
      <w:lvlText w:val="•"/>
      <w:lvlJc w:val="left"/>
      <w:pPr>
        <w:tabs>
          <w:tab w:val="num" w:pos="2160"/>
        </w:tabs>
        <w:ind w:left="2160" w:hanging="360"/>
      </w:pPr>
      <w:rPr>
        <w:rFonts w:ascii="Arial" w:hAnsi="Arial" w:hint="default"/>
      </w:rPr>
    </w:lvl>
    <w:lvl w:ilvl="3" w:tplc="3C9214B4" w:tentative="1">
      <w:start w:val="1"/>
      <w:numFmt w:val="bullet"/>
      <w:lvlText w:val="•"/>
      <w:lvlJc w:val="left"/>
      <w:pPr>
        <w:tabs>
          <w:tab w:val="num" w:pos="2880"/>
        </w:tabs>
        <w:ind w:left="2880" w:hanging="360"/>
      </w:pPr>
      <w:rPr>
        <w:rFonts w:ascii="Arial" w:hAnsi="Arial" w:hint="default"/>
      </w:rPr>
    </w:lvl>
    <w:lvl w:ilvl="4" w:tplc="8EB41500" w:tentative="1">
      <w:start w:val="1"/>
      <w:numFmt w:val="bullet"/>
      <w:lvlText w:val="•"/>
      <w:lvlJc w:val="left"/>
      <w:pPr>
        <w:tabs>
          <w:tab w:val="num" w:pos="3600"/>
        </w:tabs>
        <w:ind w:left="3600" w:hanging="360"/>
      </w:pPr>
      <w:rPr>
        <w:rFonts w:ascii="Arial" w:hAnsi="Arial" w:hint="default"/>
      </w:rPr>
    </w:lvl>
    <w:lvl w:ilvl="5" w:tplc="01E059E4" w:tentative="1">
      <w:start w:val="1"/>
      <w:numFmt w:val="bullet"/>
      <w:lvlText w:val="•"/>
      <w:lvlJc w:val="left"/>
      <w:pPr>
        <w:tabs>
          <w:tab w:val="num" w:pos="4320"/>
        </w:tabs>
        <w:ind w:left="4320" w:hanging="360"/>
      </w:pPr>
      <w:rPr>
        <w:rFonts w:ascii="Arial" w:hAnsi="Arial" w:hint="default"/>
      </w:rPr>
    </w:lvl>
    <w:lvl w:ilvl="6" w:tplc="EC8AED48" w:tentative="1">
      <w:start w:val="1"/>
      <w:numFmt w:val="bullet"/>
      <w:lvlText w:val="•"/>
      <w:lvlJc w:val="left"/>
      <w:pPr>
        <w:tabs>
          <w:tab w:val="num" w:pos="5040"/>
        </w:tabs>
        <w:ind w:left="5040" w:hanging="360"/>
      </w:pPr>
      <w:rPr>
        <w:rFonts w:ascii="Arial" w:hAnsi="Arial" w:hint="default"/>
      </w:rPr>
    </w:lvl>
    <w:lvl w:ilvl="7" w:tplc="6D0CFD46" w:tentative="1">
      <w:start w:val="1"/>
      <w:numFmt w:val="bullet"/>
      <w:lvlText w:val="•"/>
      <w:lvlJc w:val="left"/>
      <w:pPr>
        <w:tabs>
          <w:tab w:val="num" w:pos="5760"/>
        </w:tabs>
        <w:ind w:left="5760" w:hanging="360"/>
      </w:pPr>
      <w:rPr>
        <w:rFonts w:ascii="Arial" w:hAnsi="Arial" w:hint="default"/>
      </w:rPr>
    </w:lvl>
    <w:lvl w:ilvl="8" w:tplc="F1E80C2C" w:tentative="1">
      <w:start w:val="1"/>
      <w:numFmt w:val="bullet"/>
      <w:lvlText w:val="•"/>
      <w:lvlJc w:val="left"/>
      <w:pPr>
        <w:tabs>
          <w:tab w:val="num" w:pos="6480"/>
        </w:tabs>
        <w:ind w:left="6480" w:hanging="360"/>
      </w:pPr>
      <w:rPr>
        <w:rFonts w:ascii="Arial" w:hAnsi="Arial" w:hint="default"/>
      </w:rPr>
    </w:lvl>
  </w:abstractNum>
  <w:abstractNum w:abstractNumId="12">
    <w:nsid w:val="19C30A24"/>
    <w:multiLevelType w:val="hybridMultilevel"/>
    <w:tmpl w:val="604A6B22"/>
    <w:lvl w:ilvl="0" w:tplc="51662692">
      <w:start w:val="1"/>
      <w:numFmt w:val="bullet"/>
      <w:lvlText w:val="•"/>
      <w:lvlJc w:val="left"/>
      <w:pPr>
        <w:tabs>
          <w:tab w:val="num" w:pos="720"/>
        </w:tabs>
        <w:ind w:left="720" w:hanging="360"/>
      </w:pPr>
      <w:rPr>
        <w:rFonts w:ascii="Arial" w:hAnsi="Arial" w:hint="default"/>
      </w:rPr>
    </w:lvl>
    <w:lvl w:ilvl="1" w:tplc="27D466FE" w:tentative="1">
      <w:start w:val="1"/>
      <w:numFmt w:val="bullet"/>
      <w:lvlText w:val="•"/>
      <w:lvlJc w:val="left"/>
      <w:pPr>
        <w:tabs>
          <w:tab w:val="num" w:pos="1440"/>
        </w:tabs>
        <w:ind w:left="1440" w:hanging="360"/>
      </w:pPr>
      <w:rPr>
        <w:rFonts w:ascii="Arial" w:hAnsi="Arial" w:hint="default"/>
      </w:rPr>
    </w:lvl>
    <w:lvl w:ilvl="2" w:tplc="88B8A590" w:tentative="1">
      <w:start w:val="1"/>
      <w:numFmt w:val="bullet"/>
      <w:lvlText w:val="•"/>
      <w:lvlJc w:val="left"/>
      <w:pPr>
        <w:tabs>
          <w:tab w:val="num" w:pos="2160"/>
        </w:tabs>
        <w:ind w:left="2160" w:hanging="360"/>
      </w:pPr>
      <w:rPr>
        <w:rFonts w:ascii="Arial" w:hAnsi="Arial" w:hint="default"/>
      </w:rPr>
    </w:lvl>
    <w:lvl w:ilvl="3" w:tplc="1728989A" w:tentative="1">
      <w:start w:val="1"/>
      <w:numFmt w:val="bullet"/>
      <w:lvlText w:val="•"/>
      <w:lvlJc w:val="left"/>
      <w:pPr>
        <w:tabs>
          <w:tab w:val="num" w:pos="2880"/>
        </w:tabs>
        <w:ind w:left="2880" w:hanging="360"/>
      </w:pPr>
      <w:rPr>
        <w:rFonts w:ascii="Arial" w:hAnsi="Arial" w:hint="default"/>
      </w:rPr>
    </w:lvl>
    <w:lvl w:ilvl="4" w:tplc="DC08C018" w:tentative="1">
      <w:start w:val="1"/>
      <w:numFmt w:val="bullet"/>
      <w:lvlText w:val="•"/>
      <w:lvlJc w:val="left"/>
      <w:pPr>
        <w:tabs>
          <w:tab w:val="num" w:pos="3600"/>
        </w:tabs>
        <w:ind w:left="3600" w:hanging="360"/>
      </w:pPr>
      <w:rPr>
        <w:rFonts w:ascii="Arial" w:hAnsi="Arial" w:hint="default"/>
      </w:rPr>
    </w:lvl>
    <w:lvl w:ilvl="5" w:tplc="E0803C1C" w:tentative="1">
      <w:start w:val="1"/>
      <w:numFmt w:val="bullet"/>
      <w:lvlText w:val="•"/>
      <w:lvlJc w:val="left"/>
      <w:pPr>
        <w:tabs>
          <w:tab w:val="num" w:pos="4320"/>
        </w:tabs>
        <w:ind w:left="4320" w:hanging="360"/>
      </w:pPr>
      <w:rPr>
        <w:rFonts w:ascii="Arial" w:hAnsi="Arial" w:hint="default"/>
      </w:rPr>
    </w:lvl>
    <w:lvl w:ilvl="6" w:tplc="8BFCD5D8" w:tentative="1">
      <w:start w:val="1"/>
      <w:numFmt w:val="bullet"/>
      <w:lvlText w:val="•"/>
      <w:lvlJc w:val="left"/>
      <w:pPr>
        <w:tabs>
          <w:tab w:val="num" w:pos="5040"/>
        </w:tabs>
        <w:ind w:left="5040" w:hanging="360"/>
      </w:pPr>
      <w:rPr>
        <w:rFonts w:ascii="Arial" w:hAnsi="Arial" w:hint="default"/>
      </w:rPr>
    </w:lvl>
    <w:lvl w:ilvl="7" w:tplc="7D1E5AA4" w:tentative="1">
      <w:start w:val="1"/>
      <w:numFmt w:val="bullet"/>
      <w:lvlText w:val="•"/>
      <w:lvlJc w:val="left"/>
      <w:pPr>
        <w:tabs>
          <w:tab w:val="num" w:pos="5760"/>
        </w:tabs>
        <w:ind w:left="5760" w:hanging="360"/>
      </w:pPr>
      <w:rPr>
        <w:rFonts w:ascii="Arial" w:hAnsi="Arial" w:hint="default"/>
      </w:rPr>
    </w:lvl>
    <w:lvl w:ilvl="8" w:tplc="C6E001DC" w:tentative="1">
      <w:start w:val="1"/>
      <w:numFmt w:val="bullet"/>
      <w:lvlText w:val="•"/>
      <w:lvlJc w:val="left"/>
      <w:pPr>
        <w:tabs>
          <w:tab w:val="num" w:pos="6480"/>
        </w:tabs>
        <w:ind w:left="6480" w:hanging="360"/>
      </w:pPr>
      <w:rPr>
        <w:rFonts w:ascii="Arial" w:hAnsi="Arial" w:hint="default"/>
      </w:rPr>
    </w:lvl>
  </w:abstractNum>
  <w:abstractNum w:abstractNumId="13">
    <w:nsid w:val="1A4030A8"/>
    <w:multiLevelType w:val="hybridMultilevel"/>
    <w:tmpl w:val="D1EE0E08"/>
    <w:lvl w:ilvl="0" w:tplc="A028C428">
      <w:start w:val="1"/>
      <w:numFmt w:val="bullet"/>
      <w:lvlText w:val="•"/>
      <w:lvlJc w:val="left"/>
      <w:pPr>
        <w:tabs>
          <w:tab w:val="num" w:pos="720"/>
        </w:tabs>
        <w:ind w:left="720" w:hanging="360"/>
      </w:pPr>
      <w:rPr>
        <w:rFonts w:ascii="Arial" w:hAnsi="Arial" w:hint="default"/>
      </w:rPr>
    </w:lvl>
    <w:lvl w:ilvl="1" w:tplc="A860E1DA" w:tentative="1">
      <w:start w:val="1"/>
      <w:numFmt w:val="bullet"/>
      <w:lvlText w:val="•"/>
      <w:lvlJc w:val="left"/>
      <w:pPr>
        <w:tabs>
          <w:tab w:val="num" w:pos="1440"/>
        </w:tabs>
        <w:ind w:left="1440" w:hanging="360"/>
      </w:pPr>
      <w:rPr>
        <w:rFonts w:ascii="Arial" w:hAnsi="Arial" w:hint="default"/>
      </w:rPr>
    </w:lvl>
    <w:lvl w:ilvl="2" w:tplc="1B8C09F2" w:tentative="1">
      <w:start w:val="1"/>
      <w:numFmt w:val="bullet"/>
      <w:lvlText w:val="•"/>
      <w:lvlJc w:val="left"/>
      <w:pPr>
        <w:tabs>
          <w:tab w:val="num" w:pos="2160"/>
        </w:tabs>
        <w:ind w:left="2160" w:hanging="360"/>
      </w:pPr>
      <w:rPr>
        <w:rFonts w:ascii="Arial" w:hAnsi="Arial" w:hint="default"/>
      </w:rPr>
    </w:lvl>
    <w:lvl w:ilvl="3" w:tplc="00B6810C" w:tentative="1">
      <w:start w:val="1"/>
      <w:numFmt w:val="bullet"/>
      <w:lvlText w:val="•"/>
      <w:lvlJc w:val="left"/>
      <w:pPr>
        <w:tabs>
          <w:tab w:val="num" w:pos="2880"/>
        </w:tabs>
        <w:ind w:left="2880" w:hanging="360"/>
      </w:pPr>
      <w:rPr>
        <w:rFonts w:ascii="Arial" w:hAnsi="Arial" w:hint="default"/>
      </w:rPr>
    </w:lvl>
    <w:lvl w:ilvl="4" w:tplc="2AFEC1CC" w:tentative="1">
      <w:start w:val="1"/>
      <w:numFmt w:val="bullet"/>
      <w:lvlText w:val="•"/>
      <w:lvlJc w:val="left"/>
      <w:pPr>
        <w:tabs>
          <w:tab w:val="num" w:pos="3600"/>
        </w:tabs>
        <w:ind w:left="3600" w:hanging="360"/>
      </w:pPr>
      <w:rPr>
        <w:rFonts w:ascii="Arial" w:hAnsi="Arial" w:hint="default"/>
      </w:rPr>
    </w:lvl>
    <w:lvl w:ilvl="5" w:tplc="5E625DE6" w:tentative="1">
      <w:start w:val="1"/>
      <w:numFmt w:val="bullet"/>
      <w:lvlText w:val="•"/>
      <w:lvlJc w:val="left"/>
      <w:pPr>
        <w:tabs>
          <w:tab w:val="num" w:pos="4320"/>
        </w:tabs>
        <w:ind w:left="4320" w:hanging="360"/>
      </w:pPr>
      <w:rPr>
        <w:rFonts w:ascii="Arial" w:hAnsi="Arial" w:hint="default"/>
      </w:rPr>
    </w:lvl>
    <w:lvl w:ilvl="6" w:tplc="994A12DA" w:tentative="1">
      <w:start w:val="1"/>
      <w:numFmt w:val="bullet"/>
      <w:lvlText w:val="•"/>
      <w:lvlJc w:val="left"/>
      <w:pPr>
        <w:tabs>
          <w:tab w:val="num" w:pos="5040"/>
        </w:tabs>
        <w:ind w:left="5040" w:hanging="360"/>
      </w:pPr>
      <w:rPr>
        <w:rFonts w:ascii="Arial" w:hAnsi="Arial" w:hint="default"/>
      </w:rPr>
    </w:lvl>
    <w:lvl w:ilvl="7" w:tplc="A8C4E0C2" w:tentative="1">
      <w:start w:val="1"/>
      <w:numFmt w:val="bullet"/>
      <w:lvlText w:val="•"/>
      <w:lvlJc w:val="left"/>
      <w:pPr>
        <w:tabs>
          <w:tab w:val="num" w:pos="5760"/>
        </w:tabs>
        <w:ind w:left="5760" w:hanging="360"/>
      </w:pPr>
      <w:rPr>
        <w:rFonts w:ascii="Arial" w:hAnsi="Arial" w:hint="default"/>
      </w:rPr>
    </w:lvl>
    <w:lvl w:ilvl="8" w:tplc="0F521DB4" w:tentative="1">
      <w:start w:val="1"/>
      <w:numFmt w:val="bullet"/>
      <w:lvlText w:val="•"/>
      <w:lvlJc w:val="left"/>
      <w:pPr>
        <w:tabs>
          <w:tab w:val="num" w:pos="6480"/>
        </w:tabs>
        <w:ind w:left="6480" w:hanging="360"/>
      </w:pPr>
      <w:rPr>
        <w:rFonts w:ascii="Arial" w:hAnsi="Arial" w:hint="default"/>
      </w:rPr>
    </w:lvl>
  </w:abstractNum>
  <w:abstractNum w:abstractNumId="14">
    <w:nsid w:val="27243B86"/>
    <w:multiLevelType w:val="hybridMultilevel"/>
    <w:tmpl w:val="7B920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BB6381"/>
    <w:multiLevelType w:val="hybridMultilevel"/>
    <w:tmpl w:val="388CA6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E3797B"/>
    <w:multiLevelType w:val="hybridMultilevel"/>
    <w:tmpl w:val="90BAD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BD0758"/>
    <w:multiLevelType w:val="hybridMultilevel"/>
    <w:tmpl w:val="E208EDDC"/>
    <w:lvl w:ilvl="0" w:tplc="CBC6FC3A">
      <w:start w:val="1"/>
      <w:numFmt w:val="bullet"/>
      <w:lvlText w:val="•"/>
      <w:lvlJc w:val="left"/>
      <w:pPr>
        <w:tabs>
          <w:tab w:val="num" w:pos="720"/>
        </w:tabs>
        <w:ind w:left="720" w:hanging="360"/>
      </w:pPr>
      <w:rPr>
        <w:rFonts w:ascii="Arial" w:hAnsi="Arial" w:hint="default"/>
      </w:rPr>
    </w:lvl>
    <w:lvl w:ilvl="1" w:tplc="08B44DA2" w:tentative="1">
      <w:start w:val="1"/>
      <w:numFmt w:val="bullet"/>
      <w:lvlText w:val="•"/>
      <w:lvlJc w:val="left"/>
      <w:pPr>
        <w:tabs>
          <w:tab w:val="num" w:pos="1440"/>
        </w:tabs>
        <w:ind w:left="1440" w:hanging="360"/>
      </w:pPr>
      <w:rPr>
        <w:rFonts w:ascii="Arial" w:hAnsi="Arial" w:hint="default"/>
      </w:rPr>
    </w:lvl>
    <w:lvl w:ilvl="2" w:tplc="99F860FC" w:tentative="1">
      <w:start w:val="1"/>
      <w:numFmt w:val="bullet"/>
      <w:lvlText w:val="•"/>
      <w:lvlJc w:val="left"/>
      <w:pPr>
        <w:tabs>
          <w:tab w:val="num" w:pos="2160"/>
        </w:tabs>
        <w:ind w:left="2160" w:hanging="360"/>
      </w:pPr>
      <w:rPr>
        <w:rFonts w:ascii="Arial" w:hAnsi="Arial" w:hint="default"/>
      </w:rPr>
    </w:lvl>
    <w:lvl w:ilvl="3" w:tplc="113EC502" w:tentative="1">
      <w:start w:val="1"/>
      <w:numFmt w:val="bullet"/>
      <w:lvlText w:val="•"/>
      <w:lvlJc w:val="left"/>
      <w:pPr>
        <w:tabs>
          <w:tab w:val="num" w:pos="2880"/>
        </w:tabs>
        <w:ind w:left="2880" w:hanging="360"/>
      </w:pPr>
      <w:rPr>
        <w:rFonts w:ascii="Arial" w:hAnsi="Arial" w:hint="default"/>
      </w:rPr>
    </w:lvl>
    <w:lvl w:ilvl="4" w:tplc="62C6D6C6" w:tentative="1">
      <w:start w:val="1"/>
      <w:numFmt w:val="bullet"/>
      <w:lvlText w:val="•"/>
      <w:lvlJc w:val="left"/>
      <w:pPr>
        <w:tabs>
          <w:tab w:val="num" w:pos="3600"/>
        </w:tabs>
        <w:ind w:left="3600" w:hanging="360"/>
      </w:pPr>
      <w:rPr>
        <w:rFonts w:ascii="Arial" w:hAnsi="Arial" w:hint="default"/>
      </w:rPr>
    </w:lvl>
    <w:lvl w:ilvl="5" w:tplc="00FC4612" w:tentative="1">
      <w:start w:val="1"/>
      <w:numFmt w:val="bullet"/>
      <w:lvlText w:val="•"/>
      <w:lvlJc w:val="left"/>
      <w:pPr>
        <w:tabs>
          <w:tab w:val="num" w:pos="4320"/>
        </w:tabs>
        <w:ind w:left="4320" w:hanging="360"/>
      </w:pPr>
      <w:rPr>
        <w:rFonts w:ascii="Arial" w:hAnsi="Arial" w:hint="default"/>
      </w:rPr>
    </w:lvl>
    <w:lvl w:ilvl="6" w:tplc="9CF8602A" w:tentative="1">
      <w:start w:val="1"/>
      <w:numFmt w:val="bullet"/>
      <w:lvlText w:val="•"/>
      <w:lvlJc w:val="left"/>
      <w:pPr>
        <w:tabs>
          <w:tab w:val="num" w:pos="5040"/>
        </w:tabs>
        <w:ind w:left="5040" w:hanging="360"/>
      </w:pPr>
      <w:rPr>
        <w:rFonts w:ascii="Arial" w:hAnsi="Arial" w:hint="default"/>
      </w:rPr>
    </w:lvl>
    <w:lvl w:ilvl="7" w:tplc="99AA9DF0" w:tentative="1">
      <w:start w:val="1"/>
      <w:numFmt w:val="bullet"/>
      <w:lvlText w:val="•"/>
      <w:lvlJc w:val="left"/>
      <w:pPr>
        <w:tabs>
          <w:tab w:val="num" w:pos="5760"/>
        </w:tabs>
        <w:ind w:left="5760" w:hanging="360"/>
      </w:pPr>
      <w:rPr>
        <w:rFonts w:ascii="Arial" w:hAnsi="Arial" w:hint="default"/>
      </w:rPr>
    </w:lvl>
    <w:lvl w:ilvl="8" w:tplc="81E8199A" w:tentative="1">
      <w:start w:val="1"/>
      <w:numFmt w:val="bullet"/>
      <w:lvlText w:val="•"/>
      <w:lvlJc w:val="left"/>
      <w:pPr>
        <w:tabs>
          <w:tab w:val="num" w:pos="6480"/>
        </w:tabs>
        <w:ind w:left="6480" w:hanging="360"/>
      </w:pPr>
      <w:rPr>
        <w:rFonts w:ascii="Arial" w:hAnsi="Arial" w:hint="default"/>
      </w:rPr>
    </w:lvl>
  </w:abstractNum>
  <w:abstractNum w:abstractNumId="18">
    <w:nsid w:val="381543CF"/>
    <w:multiLevelType w:val="hybridMultilevel"/>
    <w:tmpl w:val="07382E2A"/>
    <w:lvl w:ilvl="0" w:tplc="89CCF09A">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EA3E8D"/>
    <w:multiLevelType w:val="hybridMultilevel"/>
    <w:tmpl w:val="E872FADA"/>
    <w:lvl w:ilvl="0" w:tplc="254E78B4">
      <w:start w:val="1"/>
      <w:numFmt w:val="bullet"/>
      <w:lvlText w:val="•"/>
      <w:lvlJc w:val="left"/>
      <w:pPr>
        <w:tabs>
          <w:tab w:val="num" w:pos="720"/>
        </w:tabs>
        <w:ind w:left="720" w:hanging="360"/>
      </w:pPr>
      <w:rPr>
        <w:rFonts w:ascii="Arial" w:hAnsi="Arial" w:hint="default"/>
      </w:rPr>
    </w:lvl>
    <w:lvl w:ilvl="1" w:tplc="340E508A" w:tentative="1">
      <w:start w:val="1"/>
      <w:numFmt w:val="bullet"/>
      <w:lvlText w:val="•"/>
      <w:lvlJc w:val="left"/>
      <w:pPr>
        <w:tabs>
          <w:tab w:val="num" w:pos="1440"/>
        </w:tabs>
        <w:ind w:left="1440" w:hanging="360"/>
      </w:pPr>
      <w:rPr>
        <w:rFonts w:ascii="Arial" w:hAnsi="Arial" w:hint="default"/>
      </w:rPr>
    </w:lvl>
    <w:lvl w:ilvl="2" w:tplc="25D81392" w:tentative="1">
      <w:start w:val="1"/>
      <w:numFmt w:val="bullet"/>
      <w:lvlText w:val="•"/>
      <w:lvlJc w:val="left"/>
      <w:pPr>
        <w:tabs>
          <w:tab w:val="num" w:pos="2160"/>
        </w:tabs>
        <w:ind w:left="2160" w:hanging="360"/>
      </w:pPr>
      <w:rPr>
        <w:rFonts w:ascii="Arial" w:hAnsi="Arial" w:hint="default"/>
      </w:rPr>
    </w:lvl>
    <w:lvl w:ilvl="3" w:tplc="0604203C" w:tentative="1">
      <w:start w:val="1"/>
      <w:numFmt w:val="bullet"/>
      <w:lvlText w:val="•"/>
      <w:lvlJc w:val="left"/>
      <w:pPr>
        <w:tabs>
          <w:tab w:val="num" w:pos="2880"/>
        </w:tabs>
        <w:ind w:left="2880" w:hanging="360"/>
      </w:pPr>
      <w:rPr>
        <w:rFonts w:ascii="Arial" w:hAnsi="Arial" w:hint="default"/>
      </w:rPr>
    </w:lvl>
    <w:lvl w:ilvl="4" w:tplc="061A72FE" w:tentative="1">
      <w:start w:val="1"/>
      <w:numFmt w:val="bullet"/>
      <w:lvlText w:val="•"/>
      <w:lvlJc w:val="left"/>
      <w:pPr>
        <w:tabs>
          <w:tab w:val="num" w:pos="3600"/>
        </w:tabs>
        <w:ind w:left="3600" w:hanging="360"/>
      </w:pPr>
      <w:rPr>
        <w:rFonts w:ascii="Arial" w:hAnsi="Arial" w:hint="default"/>
      </w:rPr>
    </w:lvl>
    <w:lvl w:ilvl="5" w:tplc="F55ED5D8" w:tentative="1">
      <w:start w:val="1"/>
      <w:numFmt w:val="bullet"/>
      <w:lvlText w:val="•"/>
      <w:lvlJc w:val="left"/>
      <w:pPr>
        <w:tabs>
          <w:tab w:val="num" w:pos="4320"/>
        </w:tabs>
        <w:ind w:left="4320" w:hanging="360"/>
      </w:pPr>
      <w:rPr>
        <w:rFonts w:ascii="Arial" w:hAnsi="Arial" w:hint="default"/>
      </w:rPr>
    </w:lvl>
    <w:lvl w:ilvl="6" w:tplc="717C26AA" w:tentative="1">
      <w:start w:val="1"/>
      <w:numFmt w:val="bullet"/>
      <w:lvlText w:val="•"/>
      <w:lvlJc w:val="left"/>
      <w:pPr>
        <w:tabs>
          <w:tab w:val="num" w:pos="5040"/>
        </w:tabs>
        <w:ind w:left="5040" w:hanging="360"/>
      </w:pPr>
      <w:rPr>
        <w:rFonts w:ascii="Arial" w:hAnsi="Arial" w:hint="default"/>
      </w:rPr>
    </w:lvl>
    <w:lvl w:ilvl="7" w:tplc="BDECA9AC" w:tentative="1">
      <w:start w:val="1"/>
      <w:numFmt w:val="bullet"/>
      <w:lvlText w:val="•"/>
      <w:lvlJc w:val="left"/>
      <w:pPr>
        <w:tabs>
          <w:tab w:val="num" w:pos="5760"/>
        </w:tabs>
        <w:ind w:left="5760" w:hanging="360"/>
      </w:pPr>
      <w:rPr>
        <w:rFonts w:ascii="Arial" w:hAnsi="Arial" w:hint="default"/>
      </w:rPr>
    </w:lvl>
    <w:lvl w:ilvl="8" w:tplc="B81C92CA" w:tentative="1">
      <w:start w:val="1"/>
      <w:numFmt w:val="bullet"/>
      <w:lvlText w:val="•"/>
      <w:lvlJc w:val="left"/>
      <w:pPr>
        <w:tabs>
          <w:tab w:val="num" w:pos="6480"/>
        </w:tabs>
        <w:ind w:left="6480" w:hanging="360"/>
      </w:pPr>
      <w:rPr>
        <w:rFonts w:ascii="Arial" w:hAnsi="Arial" w:hint="default"/>
      </w:rPr>
    </w:lvl>
  </w:abstractNum>
  <w:abstractNum w:abstractNumId="20">
    <w:nsid w:val="41CF6867"/>
    <w:multiLevelType w:val="hybridMultilevel"/>
    <w:tmpl w:val="1C2069A6"/>
    <w:lvl w:ilvl="0" w:tplc="A3601440">
      <w:start w:val="1"/>
      <w:numFmt w:val="bullet"/>
      <w:lvlText w:val="•"/>
      <w:lvlJc w:val="left"/>
      <w:pPr>
        <w:tabs>
          <w:tab w:val="num" w:pos="720"/>
        </w:tabs>
        <w:ind w:left="720" w:hanging="360"/>
      </w:pPr>
      <w:rPr>
        <w:rFonts w:ascii="Arial" w:hAnsi="Arial" w:hint="default"/>
      </w:rPr>
    </w:lvl>
    <w:lvl w:ilvl="1" w:tplc="1D581EA2" w:tentative="1">
      <w:start w:val="1"/>
      <w:numFmt w:val="bullet"/>
      <w:lvlText w:val="•"/>
      <w:lvlJc w:val="left"/>
      <w:pPr>
        <w:tabs>
          <w:tab w:val="num" w:pos="1440"/>
        </w:tabs>
        <w:ind w:left="1440" w:hanging="360"/>
      </w:pPr>
      <w:rPr>
        <w:rFonts w:ascii="Arial" w:hAnsi="Arial" w:hint="default"/>
      </w:rPr>
    </w:lvl>
    <w:lvl w:ilvl="2" w:tplc="8A766FA6" w:tentative="1">
      <w:start w:val="1"/>
      <w:numFmt w:val="bullet"/>
      <w:lvlText w:val="•"/>
      <w:lvlJc w:val="left"/>
      <w:pPr>
        <w:tabs>
          <w:tab w:val="num" w:pos="2160"/>
        </w:tabs>
        <w:ind w:left="2160" w:hanging="360"/>
      </w:pPr>
      <w:rPr>
        <w:rFonts w:ascii="Arial" w:hAnsi="Arial" w:hint="default"/>
      </w:rPr>
    </w:lvl>
    <w:lvl w:ilvl="3" w:tplc="B802CC9E" w:tentative="1">
      <w:start w:val="1"/>
      <w:numFmt w:val="bullet"/>
      <w:lvlText w:val="•"/>
      <w:lvlJc w:val="left"/>
      <w:pPr>
        <w:tabs>
          <w:tab w:val="num" w:pos="2880"/>
        </w:tabs>
        <w:ind w:left="2880" w:hanging="360"/>
      </w:pPr>
      <w:rPr>
        <w:rFonts w:ascii="Arial" w:hAnsi="Arial" w:hint="default"/>
      </w:rPr>
    </w:lvl>
    <w:lvl w:ilvl="4" w:tplc="81168B46" w:tentative="1">
      <w:start w:val="1"/>
      <w:numFmt w:val="bullet"/>
      <w:lvlText w:val="•"/>
      <w:lvlJc w:val="left"/>
      <w:pPr>
        <w:tabs>
          <w:tab w:val="num" w:pos="3600"/>
        </w:tabs>
        <w:ind w:left="3600" w:hanging="360"/>
      </w:pPr>
      <w:rPr>
        <w:rFonts w:ascii="Arial" w:hAnsi="Arial" w:hint="default"/>
      </w:rPr>
    </w:lvl>
    <w:lvl w:ilvl="5" w:tplc="8B7ED8B2" w:tentative="1">
      <w:start w:val="1"/>
      <w:numFmt w:val="bullet"/>
      <w:lvlText w:val="•"/>
      <w:lvlJc w:val="left"/>
      <w:pPr>
        <w:tabs>
          <w:tab w:val="num" w:pos="4320"/>
        </w:tabs>
        <w:ind w:left="4320" w:hanging="360"/>
      </w:pPr>
      <w:rPr>
        <w:rFonts w:ascii="Arial" w:hAnsi="Arial" w:hint="default"/>
      </w:rPr>
    </w:lvl>
    <w:lvl w:ilvl="6" w:tplc="D564D428" w:tentative="1">
      <w:start w:val="1"/>
      <w:numFmt w:val="bullet"/>
      <w:lvlText w:val="•"/>
      <w:lvlJc w:val="left"/>
      <w:pPr>
        <w:tabs>
          <w:tab w:val="num" w:pos="5040"/>
        </w:tabs>
        <w:ind w:left="5040" w:hanging="360"/>
      </w:pPr>
      <w:rPr>
        <w:rFonts w:ascii="Arial" w:hAnsi="Arial" w:hint="default"/>
      </w:rPr>
    </w:lvl>
    <w:lvl w:ilvl="7" w:tplc="89F0384E" w:tentative="1">
      <w:start w:val="1"/>
      <w:numFmt w:val="bullet"/>
      <w:lvlText w:val="•"/>
      <w:lvlJc w:val="left"/>
      <w:pPr>
        <w:tabs>
          <w:tab w:val="num" w:pos="5760"/>
        </w:tabs>
        <w:ind w:left="5760" w:hanging="360"/>
      </w:pPr>
      <w:rPr>
        <w:rFonts w:ascii="Arial" w:hAnsi="Arial" w:hint="default"/>
      </w:rPr>
    </w:lvl>
    <w:lvl w:ilvl="8" w:tplc="500C403C" w:tentative="1">
      <w:start w:val="1"/>
      <w:numFmt w:val="bullet"/>
      <w:lvlText w:val="•"/>
      <w:lvlJc w:val="left"/>
      <w:pPr>
        <w:tabs>
          <w:tab w:val="num" w:pos="6480"/>
        </w:tabs>
        <w:ind w:left="6480" w:hanging="360"/>
      </w:pPr>
      <w:rPr>
        <w:rFonts w:ascii="Arial" w:hAnsi="Arial" w:hint="default"/>
      </w:rPr>
    </w:lvl>
  </w:abstractNum>
  <w:abstractNum w:abstractNumId="21">
    <w:nsid w:val="4384538C"/>
    <w:multiLevelType w:val="hybridMultilevel"/>
    <w:tmpl w:val="D3D67946"/>
    <w:lvl w:ilvl="0" w:tplc="DEAADAE2">
      <w:start w:val="1"/>
      <w:numFmt w:val="bullet"/>
      <w:lvlText w:val="•"/>
      <w:lvlJc w:val="left"/>
      <w:pPr>
        <w:tabs>
          <w:tab w:val="num" w:pos="720"/>
        </w:tabs>
        <w:ind w:left="720" w:hanging="360"/>
      </w:pPr>
      <w:rPr>
        <w:rFonts w:ascii="Arial" w:hAnsi="Arial" w:hint="default"/>
      </w:rPr>
    </w:lvl>
    <w:lvl w:ilvl="1" w:tplc="9894FAD2" w:tentative="1">
      <w:start w:val="1"/>
      <w:numFmt w:val="bullet"/>
      <w:lvlText w:val="•"/>
      <w:lvlJc w:val="left"/>
      <w:pPr>
        <w:tabs>
          <w:tab w:val="num" w:pos="1440"/>
        </w:tabs>
        <w:ind w:left="1440" w:hanging="360"/>
      </w:pPr>
      <w:rPr>
        <w:rFonts w:ascii="Arial" w:hAnsi="Arial" w:hint="default"/>
      </w:rPr>
    </w:lvl>
    <w:lvl w:ilvl="2" w:tplc="D36EA59A" w:tentative="1">
      <w:start w:val="1"/>
      <w:numFmt w:val="bullet"/>
      <w:lvlText w:val="•"/>
      <w:lvlJc w:val="left"/>
      <w:pPr>
        <w:tabs>
          <w:tab w:val="num" w:pos="2160"/>
        </w:tabs>
        <w:ind w:left="2160" w:hanging="360"/>
      </w:pPr>
      <w:rPr>
        <w:rFonts w:ascii="Arial" w:hAnsi="Arial" w:hint="default"/>
      </w:rPr>
    </w:lvl>
    <w:lvl w:ilvl="3" w:tplc="810ADC8C" w:tentative="1">
      <w:start w:val="1"/>
      <w:numFmt w:val="bullet"/>
      <w:lvlText w:val="•"/>
      <w:lvlJc w:val="left"/>
      <w:pPr>
        <w:tabs>
          <w:tab w:val="num" w:pos="2880"/>
        </w:tabs>
        <w:ind w:left="2880" w:hanging="360"/>
      </w:pPr>
      <w:rPr>
        <w:rFonts w:ascii="Arial" w:hAnsi="Arial" w:hint="default"/>
      </w:rPr>
    </w:lvl>
    <w:lvl w:ilvl="4" w:tplc="60E0FE42" w:tentative="1">
      <w:start w:val="1"/>
      <w:numFmt w:val="bullet"/>
      <w:lvlText w:val="•"/>
      <w:lvlJc w:val="left"/>
      <w:pPr>
        <w:tabs>
          <w:tab w:val="num" w:pos="3600"/>
        </w:tabs>
        <w:ind w:left="3600" w:hanging="360"/>
      </w:pPr>
      <w:rPr>
        <w:rFonts w:ascii="Arial" w:hAnsi="Arial" w:hint="default"/>
      </w:rPr>
    </w:lvl>
    <w:lvl w:ilvl="5" w:tplc="CFF23286" w:tentative="1">
      <w:start w:val="1"/>
      <w:numFmt w:val="bullet"/>
      <w:lvlText w:val="•"/>
      <w:lvlJc w:val="left"/>
      <w:pPr>
        <w:tabs>
          <w:tab w:val="num" w:pos="4320"/>
        </w:tabs>
        <w:ind w:left="4320" w:hanging="360"/>
      </w:pPr>
      <w:rPr>
        <w:rFonts w:ascii="Arial" w:hAnsi="Arial" w:hint="default"/>
      </w:rPr>
    </w:lvl>
    <w:lvl w:ilvl="6" w:tplc="AB1AA2A2" w:tentative="1">
      <w:start w:val="1"/>
      <w:numFmt w:val="bullet"/>
      <w:lvlText w:val="•"/>
      <w:lvlJc w:val="left"/>
      <w:pPr>
        <w:tabs>
          <w:tab w:val="num" w:pos="5040"/>
        </w:tabs>
        <w:ind w:left="5040" w:hanging="360"/>
      </w:pPr>
      <w:rPr>
        <w:rFonts w:ascii="Arial" w:hAnsi="Arial" w:hint="default"/>
      </w:rPr>
    </w:lvl>
    <w:lvl w:ilvl="7" w:tplc="CDEC9328" w:tentative="1">
      <w:start w:val="1"/>
      <w:numFmt w:val="bullet"/>
      <w:lvlText w:val="•"/>
      <w:lvlJc w:val="left"/>
      <w:pPr>
        <w:tabs>
          <w:tab w:val="num" w:pos="5760"/>
        </w:tabs>
        <w:ind w:left="5760" w:hanging="360"/>
      </w:pPr>
      <w:rPr>
        <w:rFonts w:ascii="Arial" w:hAnsi="Arial" w:hint="default"/>
      </w:rPr>
    </w:lvl>
    <w:lvl w:ilvl="8" w:tplc="E9121A48" w:tentative="1">
      <w:start w:val="1"/>
      <w:numFmt w:val="bullet"/>
      <w:lvlText w:val="•"/>
      <w:lvlJc w:val="left"/>
      <w:pPr>
        <w:tabs>
          <w:tab w:val="num" w:pos="6480"/>
        </w:tabs>
        <w:ind w:left="6480" w:hanging="360"/>
      </w:pPr>
      <w:rPr>
        <w:rFonts w:ascii="Arial" w:hAnsi="Arial" w:hint="default"/>
      </w:rPr>
    </w:lvl>
  </w:abstractNum>
  <w:abstractNum w:abstractNumId="22">
    <w:nsid w:val="468069EC"/>
    <w:multiLevelType w:val="hybridMultilevel"/>
    <w:tmpl w:val="80C2098A"/>
    <w:lvl w:ilvl="0" w:tplc="6B5C1616">
      <w:start w:val="1"/>
      <w:numFmt w:val="bullet"/>
      <w:lvlText w:val="•"/>
      <w:lvlJc w:val="left"/>
      <w:pPr>
        <w:tabs>
          <w:tab w:val="num" w:pos="720"/>
        </w:tabs>
        <w:ind w:left="720" w:hanging="360"/>
      </w:pPr>
      <w:rPr>
        <w:rFonts w:ascii="Arial" w:hAnsi="Arial" w:hint="default"/>
      </w:rPr>
    </w:lvl>
    <w:lvl w:ilvl="1" w:tplc="9FD0A0FC" w:tentative="1">
      <w:start w:val="1"/>
      <w:numFmt w:val="bullet"/>
      <w:lvlText w:val="•"/>
      <w:lvlJc w:val="left"/>
      <w:pPr>
        <w:tabs>
          <w:tab w:val="num" w:pos="1440"/>
        </w:tabs>
        <w:ind w:left="1440" w:hanging="360"/>
      </w:pPr>
      <w:rPr>
        <w:rFonts w:ascii="Arial" w:hAnsi="Arial" w:hint="default"/>
      </w:rPr>
    </w:lvl>
    <w:lvl w:ilvl="2" w:tplc="5EB4A5BA" w:tentative="1">
      <w:start w:val="1"/>
      <w:numFmt w:val="bullet"/>
      <w:lvlText w:val="•"/>
      <w:lvlJc w:val="left"/>
      <w:pPr>
        <w:tabs>
          <w:tab w:val="num" w:pos="2160"/>
        </w:tabs>
        <w:ind w:left="2160" w:hanging="360"/>
      </w:pPr>
      <w:rPr>
        <w:rFonts w:ascii="Arial" w:hAnsi="Arial" w:hint="default"/>
      </w:rPr>
    </w:lvl>
    <w:lvl w:ilvl="3" w:tplc="5BD8018A" w:tentative="1">
      <w:start w:val="1"/>
      <w:numFmt w:val="bullet"/>
      <w:lvlText w:val="•"/>
      <w:lvlJc w:val="left"/>
      <w:pPr>
        <w:tabs>
          <w:tab w:val="num" w:pos="2880"/>
        </w:tabs>
        <w:ind w:left="2880" w:hanging="360"/>
      </w:pPr>
      <w:rPr>
        <w:rFonts w:ascii="Arial" w:hAnsi="Arial" w:hint="default"/>
      </w:rPr>
    </w:lvl>
    <w:lvl w:ilvl="4" w:tplc="805E2614" w:tentative="1">
      <w:start w:val="1"/>
      <w:numFmt w:val="bullet"/>
      <w:lvlText w:val="•"/>
      <w:lvlJc w:val="left"/>
      <w:pPr>
        <w:tabs>
          <w:tab w:val="num" w:pos="3600"/>
        </w:tabs>
        <w:ind w:left="3600" w:hanging="360"/>
      </w:pPr>
      <w:rPr>
        <w:rFonts w:ascii="Arial" w:hAnsi="Arial" w:hint="default"/>
      </w:rPr>
    </w:lvl>
    <w:lvl w:ilvl="5" w:tplc="38FC9B16" w:tentative="1">
      <w:start w:val="1"/>
      <w:numFmt w:val="bullet"/>
      <w:lvlText w:val="•"/>
      <w:lvlJc w:val="left"/>
      <w:pPr>
        <w:tabs>
          <w:tab w:val="num" w:pos="4320"/>
        </w:tabs>
        <w:ind w:left="4320" w:hanging="360"/>
      </w:pPr>
      <w:rPr>
        <w:rFonts w:ascii="Arial" w:hAnsi="Arial" w:hint="default"/>
      </w:rPr>
    </w:lvl>
    <w:lvl w:ilvl="6" w:tplc="1A5A5D18" w:tentative="1">
      <w:start w:val="1"/>
      <w:numFmt w:val="bullet"/>
      <w:lvlText w:val="•"/>
      <w:lvlJc w:val="left"/>
      <w:pPr>
        <w:tabs>
          <w:tab w:val="num" w:pos="5040"/>
        </w:tabs>
        <w:ind w:left="5040" w:hanging="360"/>
      </w:pPr>
      <w:rPr>
        <w:rFonts w:ascii="Arial" w:hAnsi="Arial" w:hint="default"/>
      </w:rPr>
    </w:lvl>
    <w:lvl w:ilvl="7" w:tplc="DFCC3280" w:tentative="1">
      <w:start w:val="1"/>
      <w:numFmt w:val="bullet"/>
      <w:lvlText w:val="•"/>
      <w:lvlJc w:val="left"/>
      <w:pPr>
        <w:tabs>
          <w:tab w:val="num" w:pos="5760"/>
        </w:tabs>
        <w:ind w:left="5760" w:hanging="360"/>
      </w:pPr>
      <w:rPr>
        <w:rFonts w:ascii="Arial" w:hAnsi="Arial" w:hint="default"/>
      </w:rPr>
    </w:lvl>
    <w:lvl w:ilvl="8" w:tplc="C3DED0CA" w:tentative="1">
      <w:start w:val="1"/>
      <w:numFmt w:val="bullet"/>
      <w:lvlText w:val="•"/>
      <w:lvlJc w:val="left"/>
      <w:pPr>
        <w:tabs>
          <w:tab w:val="num" w:pos="6480"/>
        </w:tabs>
        <w:ind w:left="6480" w:hanging="360"/>
      </w:pPr>
      <w:rPr>
        <w:rFonts w:ascii="Arial" w:hAnsi="Arial" w:hint="default"/>
      </w:rPr>
    </w:lvl>
  </w:abstractNum>
  <w:abstractNum w:abstractNumId="23">
    <w:nsid w:val="46CD70B4"/>
    <w:multiLevelType w:val="hybridMultilevel"/>
    <w:tmpl w:val="CCDEE462"/>
    <w:lvl w:ilvl="0" w:tplc="23A03510">
      <w:start w:val="1"/>
      <w:numFmt w:val="bullet"/>
      <w:lvlText w:val="•"/>
      <w:lvlJc w:val="left"/>
      <w:pPr>
        <w:tabs>
          <w:tab w:val="num" w:pos="720"/>
        </w:tabs>
        <w:ind w:left="720" w:hanging="360"/>
      </w:pPr>
      <w:rPr>
        <w:rFonts w:ascii="Arial" w:hAnsi="Arial" w:hint="default"/>
      </w:rPr>
    </w:lvl>
    <w:lvl w:ilvl="1" w:tplc="FEE40760" w:tentative="1">
      <w:start w:val="1"/>
      <w:numFmt w:val="bullet"/>
      <w:lvlText w:val="•"/>
      <w:lvlJc w:val="left"/>
      <w:pPr>
        <w:tabs>
          <w:tab w:val="num" w:pos="1440"/>
        </w:tabs>
        <w:ind w:left="1440" w:hanging="360"/>
      </w:pPr>
      <w:rPr>
        <w:rFonts w:ascii="Arial" w:hAnsi="Arial" w:hint="default"/>
      </w:rPr>
    </w:lvl>
    <w:lvl w:ilvl="2" w:tplc="347035B0" w:tentative="1">
      <w:start w:val="1"/>
      <w:numFmt w:val="bullet"/>
      <w:lvlText w:val="•"/>
      <w:lvlJc w:val="left"/>
      <w:pPr>
        <w:tabs>
          <w:tab w:val="num" w:pos="2160"/>
        </w:tabs>
        <w:ind w:left="2160" w:hanging="360"/>
      </w:pPr>
      <w:rPr>
        <w:rFonts w:ascii="Arial" w:hAnsi="Arial" w:hint="default"/>
      </w:rPr>
    </w:lvl>
    <w:lvl w:ilvl="3" w:tplc="16647F2A" w:tentative="1">
      <w:start w:val="1"/>
      <w:numFmt w:val="bullet"/>
      <w:lvlText w:val="•"/>
      <w:lvlJc w:val="left"/>
      <w:pPr>
        <w:tabs>
          <w:tab w:val="num" w:pos="2880"/>
        </w:tabs>
        <w:ind w:left="2880" w:hanging="360"/>
      </w:pPr>
      <w:rPr>
        <w:rFonts w:ascii="Arial" w:hAnsi="Arial" w:hint="default"/>
      </w:rPr>
    </w:lvl>
    <w:lvl w:ilvl="4" w:tplc="03EAAB64" w:tentative="1">
      <w:start w:val="1"/>
      <w:numFmt w:val="bullet"/>
      <w:lvlText w:val="•"/>
      <w:lvlJc w:val="left"/>
      <w:pPr>
        <w:tabs>
          <w:tab w:val="num" w:pos="3600"/>
        </w:tabs>
        <w:ind w:left="3600" w:hanging="360"/>
      </w:pPr>
      <w:rPr>
        <w:rFonts w:ascii="Arial" w:hAnsi="Arial" w:hint="default"/>
      </w:rPr>
    </w:lvl>
    <w:lvl w:ilvl="5" w:tplc="C2A0154E" w:tentative="1">
      <w:start w:val="1"/>
      <w:numFmt w:val="bullet"/>
      <w:lvlText w:val="•"/>
      <w:lvlJc w:val="left"/>
      <w:pPr>
        <w:tabs>
          <w:tab w:val="num" w:pos="4320"/>
        </w:tabs>
        <w:ind w:left="4320" w:hanging="360"/>
      </w:pPr>
      <w:rPr>
        <w:rFonts w:ascii="Arial" w:hAnsi="Arial" w:hint="default"/>
      </w:rPr>
    </w:lvl>
    <w:lvl w:ilvl="6" w:tplc="A21ECA22" w:tentative="1">
      <w:start w:val="1"/>
      <w:numFmt w:val="bullet"/>
      <w:lvlText w:val="•"/>
      <w:lvlJc w:val="left"/>
      <w:pPr>
        <w:tabs>
          <w:tab w:val="num" w:pos="5040"/>
        </w:tabs>
        <w:ind w:left="5040" w:hanging="360"/>
      </w:pPr>
      <w:rPr>
        <w:rFonts w:ascii="Arial" w:hAnsi="Arial" w:hint="default"/>
      </w:rPr>
    </w:lvl>
    <w:lvl w:ilvl="7" w:tplc="F43C26E0" w:tentative="1">
      <w:start w:val="1"/>
      <w:numFmt w:val="bullet"/>
      <w:lvlText w:val="•"/>
      <w:lvlJc w:val="left"/>
      <w:pPr>
        <w:tabs>
          <w:tab w:val="num" w:pos="5760"/>
        </w:tabs>
        <w:ind w:left="5760" w:hanging="360"/>
      </w:pPr>
      <w:rPr>
        <w:rFonts w:ascii="Arial" w:hAnsi="Arial" w:hint="default"/>
      </w:rPr>
    </w:lvl>
    <w:lvl w:ilvl="8" w:tplc="CD28FC2C" w:tentative="1">
      <w:start w:val="1"/>
      <w:numFmt w:val="bullet"/>
      <w:lvlText w:val="•"/>
      <w:lvlJc w:val="left"/>
      <w:pPr>
        <w:tabs>
          <w:tab w:val="num" w:pos="6480"/>
        </w:tabs>
        <w:ind w:left="6480" w:hanging="360"/>
      </w:pPr>
      <w:rPr>
        <w:rFonts w:ascii="Arial" w:hAnsi="Arial" w:hint="default"/>
      </w:rPr>
    </w:lvl>
  </w:abstractNum>
  <w:abstractNum w:abstractNumId="24">
    <w:nsid w:val="5BD122AC"/>
    <w:multiLevelType w:val="hybridMultilevel"/>
    <w:tmpl w:val="C0724540"/>
    <w:lvl w:ilvl="0" w:tplc="22B6E710">
      <w:start w:val="1"/>
      <w:numFmt w:val="bullet"/>
      <w:lvlText w:val="•"/>
      <w:lvlJc w:val="left"/>
      <w:pPr>
        <w:tabs>
          <w:tab w:val="num" w:pos="720"/>
        </w:tabs>
        <w:ind w:left="720" w:hanging="360"/>
      </w:pPr>
      <w:rPr>
        <w:rFonts w:ascii="Arial" w:hAnsi="Arial" w:hint="default"/>
      </w:rPr>
    </w:lvl>
    <w:lvl w:ilvl="1" w:tplc="057CC402" w:tentative="1">
      <w:start w:val="1"/>
      <w:numFmt w:val="bullet"/>
      <w:lvlText w:val="•"/>
      <w:lvlJc w:val="left"/>
      <w:pPr>
        <w:tabs>
          <w:tab w:val="num" w:pos="1440"/>
        </w:tabs>
        <w:ind w:left="1440" w:hanging="360"/>
      </w:pPr>
      <w:rPr>
        <w:rFonts w:ascii="Arial" w:hAnsi="Arial" w:hint="default"/>
      </w:rPr>
    </w:lvl>
    <w:lvl w:ilvl="2" w:tplc="29422640" w:tentative="1">
      <w:start w:val="1"/>
      <w:numFmt w:val="bullet"/>
      <w:lvlText w:val="•"/>
      <w:lvlJc w:val="left"/>
      <w:pPr>
        <w:tabs>
          <w:tab w:val="num" w:pos="2160"/>
        </w:tabs>
        <w:ind w:left="2160" w:hanging="360"/>
      </w:pPr>
      <w:rPr>
        <w:rFonts w:ascii="Arial" w:hAnsi="Arial" w:hint="default"/>
      </w:rPr>
    </w:lvl>
    <w:lvl w:ilvl="3" w:tplc="B1D6D564" w:tentative="1">
      <w:start w:val="1"/>
      <w:numFmt w:val="bullet"/>
      <w:lvlText w:val="•"/>
      <w:lvlJc w:val="left"/>
      <w:pPr>
        <w:tabs>
          <w:tab w:val="num" w:pos="2880"/>
        </w:tabs>
        <w:ind w:left="2880" w:hanging="360"/>
      </w:pPr>
      <w:rPr>
        <w:rFonts w:ascii="Arial" w:hAnsi="Arial" w:hint="default"/>
      </w:rPr>
    </w:lvl>
    <w:lvl w:ilvl="4" w:tplc="1964980E" w:tentative="1">
      <w:start w:val="1"/>
      <w:numFmt w:val="bullet"/>
      <w:lvlText w:val="•"/>
      <w:lvlJc w:val="left"/>
      <w:pPr>
        <w:tabs>
          <w:tab w:val="num" w:pos="3600"/>
        </w:tabs>
        <w:ind w:left="3600" w:hanging="360"/>
      </w:pPr>
      <w:rPr>
        <w:rFonts w:ascii="Arial" w:hAnsi="Arial" w:hint="default"/>
      </w:rPr>
    </w:lvl>
    <w:lvl w:ilvl="5" w:tplc="CCCC3C74" w:tentative="1">
      <w:start w:val="1"/>
      <w:numFmt w:val="bullet"/>
      <w:lvlText w:val="•"/>
      <w:lvlJc w:val="left"/>
      <w:pPr>
        <w:tabs>
          <w:tab w:val="num" w:pos="4320"/>
        </w:tabs>
        <w:ind w:left="4320" w:hanging="360"/>
      </w:pPr>
      <w:rPr>
        <w:rFonts w:ascii="Arial" w:hAnsi="Arial" w:hint="default"/>
      </w:rPr>
    </w:lvl>
    <w:lvl w:ilvl="6" w:tplc="8B54847E" w:tentative="1">
      <w:start w:val="1"/>
      <w:numFmt w:val="bullet"/>
      <w:lvlText w:val="•"/>
      <w:lvlJc w:val="left"/>
      <w:pPr>
        <w:tabs>
          <w:tab w:val="num" w:pos="5040"/>
        </w:tabs>
        <w:ind w:left="5040" w:hanging="360"/>
      </w:pPr>
      <w:rPr>
        <w:rFonts w:ascii="Arial" w:hAnsi="Arial" w:hint="default"/>
      </w:rPr>
    </w:lvl>
    <w:lvl w:ilvl="7" w:tplc="797CFBB0" w:tentative="1">
      <w:start w:val="1"/>
      <w:numFmt w:val="bullet"/>
      <w:lvlText w:val="•"/>
      <w:lvlJc w:val="left"/>
      <w:pPr>
        <w:tabs>
          <w:tab w:val="num" w:pos="5760"/>
        </w:tabs>
        <w:ind w:left="5760" w:hanging="360"/>
      </w:pPr>
      <w:rPr>
        <w:rFonts w:ascii="Arial" w:hAnsi="Arial" w:hint="default"/>
      </w:rPr>
    </w:lvl>
    <w:lvl w:ilvl="8" w:tplc="3CA61AEE" w:tentative="1">
      <w:start w:val="1"/>
      <w:numFmt w:val="bullet"/>
      <w:lvlText w:val="•"/>
      <w:lvlJc w:val="left"/>
      <w:pPr>
        <w:tabs>
          <w:tab w:val="num" w:pos="6480"/>
        </w:tabs>
        <w:ind w:left="6480" w:hanging="360"/>
      </w:pPr>
      <w:rPr>
        <w:rFonts w:ascii="Arial" w:hAnsi="Arial" w:hint="default"/>
      </w:rPr>
    </w:lvl>
  </w:abstractNum>
  <w:abstractNum w:abstractNumId="25">
    <w:nsid w:val="5C0A44FD"/>
    <w:multiLevelType w:val="hybridMultilevel"/>
    <w:tmpl w:val="E772859E"/>
    <w:lvl w:ilvl="0" w:tplc="72B4D3E2">
      <w:start w:val="1"/>
      <w:numFmt w:val="bullet"/>
      <w:lvlText w:val="•"/>
      <w:lvlJc w:val="left"/>
      <w:pPr>
        <w:tabs>
          <w:tab w:val="num" w:pos="720"/>
        </w:tabs>
        <w:ind w:left="720" w:hanging="360"/>
      </w:pPr>
      <w:rPr>
        <w:rFonts w:ascii="Arial" w:hAnsi="Arial" w:hint="default"/>
      </w:rPr>
    </w:lvl>
    <w:lvl w:ilvl="1" w:tplc="3BAA6C44" w:tentative="1">
      <w:start w:val="1"/>
      <w:numFmt w:val="bullet"/>
      <w:lvlText w:val="•"/>
      <w:lvlJc w:val="left"/>
      <w:pPr>
        <w:tabs>
          <w:tab w:val="num" w:pos="1440"/>
        </w:tabs>
        <w:ind w:left="1440" w:hanging="360"/>
      </w:pPr>
      <w:rPr>
        <w:rFonts w:ascii="Arial" w:hAnsi="Arial" w:hint="default"/>
      </w:rPr>
    </w:lvl>
    <w:lvl w:ilvl="2" w:tplc="E2846FBC" w:tentative="1">
      <w:start w:val="1"/>
      <w:numFmt w:val="bullet"/>
      <w:lvlText w:val="•"/>
      <w:lvlJc w:val="left"/>
      <w:pPr>
        <w:tabs>
          <w:tab w:val="num" w:pos="2160"/>
        </w:tabs>
        <w:ind w:left="2160" w:hanging="360"/>
      </w:pPr>
      <w:rPr>
        <w:rFonts w:ascii="Arial" w:hAnsi="Arial" w:hint="default"/>
      </w:rPr>
    </w:lvl>
    <w:lvl w:ilvl="3" w:tplc="20B2944E" w:tentative="1">
      <w:start w:val="1"/>
      <w:numFmt w:val="bullet"/>
      <w:lvlText w:val="•"/>
      <w:lvlJc w:val="left"/>
      <w:pPr>
        <w:tabs>
          <w:tab w:val="num" w:pos="2880"/>
        </w:tabs>
        <w:ind w:left="2880" w:hanging="360"/>
      </w:pPr>
      <w:rPr>
        <w:rFonts w:ascii="Arial" w:hAnsi="Arial" w:hint="default"/>
      </w:rPr>
    </w:lvl>
    <w:lvl w:ilvl="4" w:tplc="15BA00B0" w:tentative="1">
      <w:start w:val="1"/>
      <w:numFmt w:val="bullet"/>
      <w:lvlText w:val="•"/>
      <w:lvlJc w:val="left"/>
      <w:pPr>
        <w:tabs>
          <w:tab w:val="num" w:pos="3600"/>
        </w:tabs>
        <w:ind w:left="3600" w:hanging="360"/>
      </w:pPr>
      <w:rPr>
        <w:rFonts w:ascii="Arial" w:hAnsi="Arial" w:hint="default"/>
      </w:rPr>
    </w:lvl>
    <w:lvl w:ilvl="5" w:tplc="C4625C1C" w:tentative="1">
      <w:start w:val="1"/>
      <w:numFmt w:val="bullet"/>
      <w:lvlText w:val="•"/>
      <w:lvlJc w:val="left"/>
      <w:pPr>
        <w:tabs>
          <w:tab w:val="num" w:pos="4320"/>
        </w:tabs>
        <w:ind w:left="4320" w:hanging="360"/>
      </w:pPr>
      <w:rPr>
        <w:rFonts w:ascii="Arial" w:hAnsi="Arial" w:hint="default"/>
      </w:rPr>
    </w:lvl>
    <w:lvl w:ilvl="6" w:tplc="221E620E" w:tentative="1">
      <w:start w:val="1"/>
      <w:numFmt w:val="bullet"/>
      <w:lvlText w:val="•"/>
      <w:lvlJc w:val="left"/>
      <w:pPr>
        <w:tabs>
          <w:tab w:val="num" w:pos="5040"/>
        </w:tabs>
        <w:ind w:left="5040" w:hanging="360"/>
      </w:pPr>
      <w:rPr>
        <w:rFonts w:ascii="Arial" w:hAnsi="Arial" w:hint="default"/>
      </w:rPr>
    </w:lvl>
    <w:lvl w:ilvl="7" w:tplc="437E8D92" w:tentative="1">
      <w:start w:val="1"/>
      <w:numFmt w:val="bullet"/>
      <w:lvlText w:val="•"/>
      <w:lvlJc w:val="left"/>
      <w:pPr>
        <w:tabs>
          <w:tab w:val="num" w:pos="5760"/>
        </w:tabs>
        <w:ind w:left="5760" w:hanging="360"/>
      </w:pPr>
      <w:rPr>
        <w:rFonts w:ascii="Arial" w:hAnsi="Arial" w:hint="default"/>
      </w:rPr>
    </w:lvl>
    <w:lvl w:ilvl="8" w:tplc="A7C8197C" w:tentative="1">
      <w:start w:val="1"/>
      <w:numFmt w:val="bullet"/>
      <w:lvlText w:val="•"/>
      <w:lvlJc w:val="left"/>
      <w:pPr>
        <w:tabs>
          <w:tab w:val="num" w:pos="6480"/>
        </w:tabs>
        <w:ind w:left="6480" w:hanging="360"/>
      </w:pPr>
      <w:rPr>
        <w:rFonts w:ascii="Arial" w:hAnsi="Arial" w:hint="default"/>
      </w:rPr>
    </w:lvl>
  </w:abstractNum>
  <w:abstractNum w:abstractNumId="26">
    <w:nsid w:val="64E2056E"/>
    <w:multiLevelType w:val="hybridMultilevel"/>
    <w:tmpl w:val="0934825E"/>
    <w:lvl w:ilvl="0" w:tplc="BB8EE35A">
      <w:start w:val="1"/>
      <w:numFmt w:val="bullet"/>
      <w:lvlText w:val="•"/>
      <w:lvlJc w:val="left"/>
      <w:pPr>
        <w:tabs>
          <w:tab w:val="num" w:pos="720"/>
        </w:tabs>
        <w:ind w:left="720" w:hanging="360"/>
      </w:pPr>
      <w:rPr>
        <w:rFonts w:ascii="Arial" w:hAnsi="Arial" w:hint="default"/>
      </w:rPr>
    </w:lvl>
    <w:lvl w:ilvl="1" w:tplc="87F40982" w:tentative="1">
      <w:start w:val="1"/>
      <w:numFmt w:val="bullet"/>
      <w:lvlText w:val="•"/>
      <w:lvlJc w:val="left"/>
      <w:pPr>
        <w:tabs>
          <w:tab w:val="num" w:pos="1440"/>
        </w:tabs>
        <w:ind w:left="1440" w:hanging="360"/>
      </w:pPr>
      <w:rPr>
        <w:rFonts w:ascii="Arial" w:hAnsi="Arial" w:hint="default"/>
      </w:rPr>
    </w:lvl>
    <w:lvl w:ilvl="2" w:tplc="02D85C20" w:tentative="1">
      <w:start w:val="1"/>
      <w:numFmt w:val="bullet"/>
      <w:lvlText w:val="•"/>
      <w:lvlJc w:val="left"/>
      <w:pPr>
        <w:tabs>
          <w:tab w:val="num" w:pos="2160"/>
        </w:tabs>
        <w:ind w:left="2160" w:hanging="360"/>
      </w:pPr>
      <w:rPr>
        <w:rFonts w:ascii="Arial" w:hAnsi="Arial" w:hint="default"/>
      </w:rPr>
    </w:lvl>
    <w:lvl w:ilvl="3" w:tplc="B1E072AC" w:tentative="1">
      <w:start w:val="1"/>
      <w:numFmt w:val="bullet"/>
      <w:lvlText w:val="•"/>
      <w:lvlJc w:val="left"/>
      <w:pPr>
        <w:tabs>
          <w:tab w:val="num" w:pos="2880"/>
        </w:tabs>
        <w:ind w:left="2880" w:hanging="360"/>
      </w:pPr>
      <w:rPr>
        <w:rFonts w:ascii="Arial" w:hAnsi="Arial" w:hint="default"/>
      </w:rPr>
    </w:lvl>
    <w:lvl w:ilvl="4" w:tplc="B7A4A69C" w:tentative="1">
      <w:start w:val="1"/>
      <w:numFmt w:val="bullet"/>
      <w:lvlText w:val="•"/>
      <w:lvlJc w:val="left"/>
      <w:pPr>
        <w:tabs>
          <w:tab w:val="num" w:pos="3600"/>
        </w:tabs>
        <w:ind w:left="3600" w:hanging="360"/>
      </w:pPr>
      <w:rPr>
        <w:rFonts w:ascii="Arial" w:hAnsi="Arial" w:hint="default"/>
      </w:rPr>
    </w:lvl>
    <w:lvl w:ilvl="5" w:tplc="24B6BC30" w:tentative="1">
      <w:start w:val="1"/>
      <w:numFmt w:val="bullet"/>
      <w:lvlText w:val="•"/>
      <w:lvlJc w:val="left"/>
      <w:pPr>
        <w:tabs>
          <w:tab w:val="num" w:pos="4320"/>
        </w:tabs>
        <w:ind w:left="4320" w:hanging="360"/>
      </w:pPr>
      <w:rPr>
        <w:rFonts w:ascii="Arial" w:hAnsi="Arial" w:hint="default"/>
      </w:rPr>
    </w:lvl>
    <w:lvl w:ilvl="6" w:tplc="23026FCE" w:tentative="1">
      <w:start w:val="1"/>
      <w:numFmt w:val="bullet"/>
      <w:lvlText w:val="•"/>
      <w:lvlJc w:val="left"/>
      <w:pPr>
        <w:tabs>
          <w:tab w:val="num" w:pos="5040"/>
        </w:tabs>
        <w:ind w:left="5040" w:hanging="360"/>
      </w:pPr>
      <w:rPr>
        <w:rFonts w:ascii="Arial" w:hAnsi="Arial" w:hint="default"/>
      </w:rPr>
    </w:lvl>
    <w:lvl w:ilvl="7" w:tplc="B65EC610" w:tentative="1">
      <w:start w:val="1"/>
      <w:numFmt w:val="bullet"/>
      <w:lvlText w:val="•"/>
      <w:lvlJc w:val="left"/>
      <w:pPr>
        <w:tabs>
          <w:tab w:val="num" w:pos="5760"/>
        </w:tabs>
        <w:ind w:left="5760" w:hanging="360"/>
      </w:pPr>
      <w:rPr>
        <w:rFonts w:ascii="Arial" w:hAnsi="Arial" w:hint="default"/>
      </w:rPr>
    </w:lvl>
    <w:lvl w:ilvl="8" w:tplc="E28CCF10" w:tentative="1">
      <w:start w:val="1"/>
      <w:numFmt w:val="bullet"/>
      <w:lvlText w:val="•"/>
      <w:lvlJc w:val="left"/>
      <w:pPr>
        <w:tabs>
          <w:tab w:val="num" w:pos="6480"/>
        </w:tabs>
        <w:ind w:left="6480" w:hanging="360"/>
      </w:pPr>
      <w:rPr>
        <w:rFonts w:ascii="Arial" w:hAnsi="Arial" w:hint="default"/>
      </w:rPr>
    </w:lvl>
  </w:abstractNum>
  <w:abstractNum w:abstractNumId="27">
    <w:nsid w:val="657171CB"/>
    <w:multiLevelType w:val="hybridMultilevel"/>
    <w:tmpl w:val="9892A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9421AF"/>
    <w:multiLevelType w:val="hybridMultilevel"/>
    <w:tmpl w:val="D382E008"/>
    <w:lvl w:ilvl="0" w:tplc="392A8700">
      <w:start w:val="1"/>
      <w:numFmt w:val="bullet"/>
      <w:lvlText w:val="•"/>
      <w:lvlJc w:val="left"/>
      <w:pPr>
        <w:tabs>
          <w:tab w:val="num" w:pos="720"/>
        </w:tabs>
        <w:ind w:left="720" w:hanging="360"/>
      </w:pPr>
      <w:rPr>
        <w:rFonts w:ascii="Arial" w:hAnsi="Arial" w:hint="default"/>
      </w:rPr>
    </w:lvl>
    <w:lvl w:ilvl="1" w:tplc="6A303390" w:tentative="1">
      <w:start w:val="1"/>
      <w:numFmt w:val="bullet"/>
      <w:lvlText w:val="•"/>
      <w:lvlJc w:val="left"/>
      <w:pPr>
        <w:tabs>
          <w:tab w:val="num" w:pos="1440"/>
        </w:tabs>
        <w:ind w:left="1440" w:hanging="360"/>
      </w:pPr>
      <w:rPr>
        <w:rFonts w:ascii="Arial" w:hAnsi="Arial" w:hint="default"/>
      </w:rPr>
    </w:lvl>
    <w:lvl w:ilvl="2" w:tplc="7CA0691E" w:tentative="1">
      <w:start w:val="1"/>
      <w:numFmt w:val="bullet"/>
      <w:lvlText w:val="•"/>
      <w:lvlJc w:val="left"/>
      <w:pPr>
        <w:tabs>
          <w:tab w:val="num" w:pos="2160"/>
        </w:tabs>
        <w:ind w:left="2160" w:hanging="360"/>
      </w:pPr>
      <w:rPr>
        <w:rFonts w:ascii="Arial" w:hAnsi="Arial" w:hint="default"/>
      </w:rPr>
    </w:lvl>
    <w:lvl w:ilvl="3" w:tplc="0032E8C6" w:tentative="1">
      <w:start w:val="1"/>
      <w:numFmt w:val="bullet"/>
      <w:lvlText w:val="•"/>
      <w:lvlJc w:val="left"/>
      <w:pPr>
        <w:tabs>
          <w:tab w:val="num" w:pos="2880"/>
        </w:tabs>
        <w:ind w:left="2880" w:hanging="360"/>
      </w:pPr>
      <w:rPr>
        <w:rFonts w:ascii="Arial" w:hAnsi="Arial" w:hint="default"/>
      </w:rPr>
    </w:lvl>
    <w:lvl w:ilvl="4" w:tplc="83700408" w:tentative="1">
      <w:start w:val="1"/>
      <w:numFmt w:val="bullet"/>
      <w:lvlText w:val="•"/>
      <w:lvlJc w:val="left"/>
      <w:pPr>
        <w:tabs>
          <w:tab w:val="num" w:pos="3600"/>
        </w:tabs>
        <w:ind w:left="3600" w:hanging="360"/>
      </w:pPr>
      <w:rPr>
        <w:rFonts w:ascii="Arial" w:hAnsi="Arial" w:hint="default"/>
      </w:rPr>
    </w:lvl>
    <w:lvl w:ilvl="5" w:tplc="182E0D42" w:tentative="1">
      <w:start w:val="1"/>
      <w:numFmt w:val="bullet"/>
      <w:lvlText w:val="•"/>
      <w:lvlJc w:val="left"/>
      <w:pPr>
        <w:tabs>
          <w:tab w:val="num" w:pos="4320"/>
        </w:tabs>
        <w:ind w:left="4320" w:hanging="360"/>
      </w:pPr>
      <w:rPr>
        <w:rFonts w:ascii="Arial" w:hAnsi="Arial" w:hint="default"/>
      </w:rPr>
    </w:lvl>
    <w:lvl w:ilvl="6" w:tplc="E5105CEA" w:tentative="1">
      <w:start w:val="1"/>
      <w:numFmt w:val="bullet"/>
      <w:lvlText w:val="•"/>
      <w:lvlJc w:val="left"/>
      <w:pPr>
        <w:tabs>
          <w:tab w:val="num" w:pos="5040"/>
        </w:tabs>
        <w:ind w:left="5040" w:hanging="360"/>
      </w:pPr>
      <w:rPr>
        <w:rFonts w:ascii="Arial" w:hAnsi="Arial" w:hint="default"/>
      </w:rPr>
    </w:lvl>
    <w:lvl w:ilvl="7" w:tplc="EE663D06" w:tentative="1">
      <w:start w:val="1"/>
      <w:numFmt w:val="bullet"/>
      <w:lvlText w:val="•"/>
      <w:lvlJc w:val="left"/>
      <w:pPr>
        <w:tabs>
          <w:tab w:val="num" w:pos="5760"/>
        </w:tabs>
        <w:ind w:left="5760" w:hanging="360"/>
      </w:pPr>
      <w:rPr>
        <w:rFonts w:ascii="Arial" w:hAnsi="Arial" w:hint="default"/>
      </w:rPr>
    </w:lvl>
    <w:lvl w:ilvl="8" w:tplc="9EDABD96" w:tentative="1">
      <w:start w:val="1"/>
      <w:numFmt w:val="bullet"/>
      <w:lvlText w:val="•"/>
      <w:lvlJc w:val="left"/>
      <w:pPr>
        <w:tabs>
          <w:tab w:val="num" w:pos="6480"/>
        </w:tabs>
        <w:ind w:left="6480" w:hanging="360"/>
      </w:pPr>
      <w:rPr>
        <w:rFonts w:ascii="Arial" w:hAnsi="Arial" w:hint="default"/>
      </w:rPr>
    </w:lvl>
  </w:abstractNum>
  <w:abstractNum w:abstractNumId="29">
    <w:nsid w:val="6854285A"/>
    <w:multiLevelType w:val="hybridMultilevel"/>
    <w:tmpl w:val="62C6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9B0573"/>
    <w:multiLevelType w:val="hybridMultilevel"/>
    <w:tmpl w:val="57A6EDF4"/>
    <w:lvl w:ilvl="0" w:tplc="30E059EC">
      <w:start w:val="1"/>
      <w:numFmt w:val="bullet"/>
      <w:lvlText w:val="•"/>
      <w:lvlJc w:val="left"/>
      <w:pPr>
        <w:tabs>
          <w:tab w:val="num" w:pos="720"/>
        </w:tabs>
        <w:ind w:left="720" w:hanging="360"/>
      </w:pPr>
      <w:rPr>
        <w:rFonts w:ascii="Arial" w:hAnsi="Arial" w:hint="default"/>
      </w:rPr>
    </w:lvl>
    <w:lvl w:ilvl="1" w:tplc="18EEB4C2" w:tentative="1">
      <w:start w:val="1"/>
      <w:numFmt w:val="bullet"/>
      <w:lvlText w:val="•"/>
      <w:lvlJc w:val="left"/>
      <w:pPr>
        <w:tabs>
          <w:tab w:val="num" w:pos="1440"/>
        </w:tabs>
        <w:ind w:left="1440" w:hanging="360"/>
      </w:pPr>
      <w:rPr>
        <w:rFonts w:ascii="Arial" w:hAnsi="Arial" w:hint="default"/>
      </w:rPr>
    </w:lvl>
    <w:lvl w:ilvl="2" w:tplc="02FE045A" w:tentative="1">
      <w:start w:val="1"/>
      <w:numFmt w:val="bullet"/>
      <w:lvlText w:val="•"/>
      <w:lvlJc w:val="left"/>
      <w:pPr>
        <w:tabs>
          <w:tab w:val="num" w:pos="2160"/>
        </w:tabs>
        <w:ind w:left="2160" w:hanging="360"/>
      </w:pPr>
      <w:rPr>
        <w:rFonts w:ascii="Arial" w:hAnsi="Arial" w:hint="default"/>
      </w:rPr>
    </w:lvl>
    <w:lvl w:ilvl="3" w:tplc="4692B46E" w:tentative="1">
      <w:start w:val="1"/>
      <w:numFmt w:val="bullet"/>
      <w:lvlText w:val="•"/>
      <w:lvlJc w:val="left"/>
      <w:pPr>
        <w:tabs>
          <w:tab w:val="num" w:pos="2880"/>
        </w:tabs>
        <w:ind w:left="2880" w:hanging="360"/>
      </w:pPr>
      <w:rPr>
        <w:rFonts w:ascii="Arial" w:hAnsi="Arial" w:hint="default"/>
      </w:rPr>
    </w:lvl>
    <w:lvl w:ilvl="4" w:tplc="56F6987E" w:tentative="1">
      <w:start w:val="1"/>
      <w:numFmt w:val="bullet"/>
      <w:lvlText w:val="•"/>
      <w:lvlJc w:val="left"/>
      <w:pPr>
        <w:tabs>
          <w:tab w:val="num" w:pos="3600"/>
        </w:tabs>
        <w:ind w:left="3600" w:hanging="360"/>
      </w:pPr>
      <w:rPr>
        <w:rFonts w:ascii="Arial" w:hAnsi="Arial" w:hint="default"/>
      </w:rPr>
    </w:lvl>
    <w:lvl w:ilvl="5" w:tplc="AE964CEA" w:tentative="1">
      <w:start w:val="1"/>
      <w:numFmt w:val="bullet"/>
      <w:lvlText w:val="•"/>
      <w:lvlJc w:val="left"/>
      <w:pPr>
        <w:tabs>
          <w:tab w:val="num" w:pos="4320"/>
        </w:tabs>
        <w:ind w:left="4320" w:hanging="360"/>
      </w:pPr>
      <w:rPr>
        <w:rFonts w:ascii="Arial" w:hAnsi="Arial" w:hint="default"/>
      </w:rPr>
    </w:lvl>
    <w:lvl w:ilvl="6" w:tplc="352EAAE6" w:tentative="1">
      <w:start w:val="1"/>
      <w:numFmt w:val="bullet"/>
      <w:lvlText w:val="•"/>
      <w:lvlJc w:val="left"/>
      <w:pPr>
        <w:tabs>
          <w:tab w:val="num" w:pos="5040"/>
        </w:tabs>
        <w:ind w:left="5040" w:hanging="360"/>
      </w:pPr>
      <w:rPr>
        <w:rFonts w:ascii="Arial" w:hAnsi="Arial" w:hint="default"/>
      </w:rPr>
    </w:lvl>
    <w:lvl w:ilvl="7" w:tplc="BC989688" w:tentative="1">
      <w:start w:val="1"/>
      <w:numFmt w:val="bullet"/>
      <w:lvlText w:val="•"/>
      <w:lvlJc w:val="left"/>
      <w:pPr>
        <w:tabs>
          <w:tab w:val="num" w:pos="5760"/>
        </w:tabs>
        <w:ind w:left="5760" w:hanging="360"/>
      </w:pPr>
      <w:rPr>
        <w:rFonts w:ascii="Arial" w:hAnsi="Arial" w:hint="default"/>
      </w:rPr>
    </w:lvl>
    <w:lvl w:ilvl="8" w:tplc="50E48EDE" w:tentative="1">
      <w:start w:val="1"/>
      <w:numFmt w:val="bullet"/>
      <w:lvlText w:val="•"/>
      <w:lvlJc w:val="left"/>
      <w:pPr>
        <w:tabs>
          <w:tab w:val="num" w:pos="6480"/>
        </w:tabs>
        <w:ind w:left="6480" w:hanging="360"/>
      </w:pPr>
      <w:rPr>
        <w:rFonts w:ascii="Arial" w:hAnsi="Arial" w:hint="default"/>
      </w:rPr>
    </w:lvl>
  </w:abstractNum>
  <w:abstractNum w:abstractNumId="31">
    <w:nsid w:val="6F596D14"/>
    <w:multiLevelType w:val="hybridMultilevel"/>
    <w:tmpl w:val="AD80B852"/>
    <w:lvl w:ilvl="0" w:tplc="9904C1A2">
      <w:start w:val="1"/>
      <w:numFmt w:val="bullet"/>
      <w:lvlText w:val="•"/>
      <w:lvlJc w:val="left"/>
      <w:pPr>
        <w:tabs>
          <w:tab w:val="num" w:pos="720"/>
        </w:tabs>
        <w:ind w:left="720" w:hanging="360"/>
      </w:pPr>
      <w:rPr>
        <w:rFonts w:ascii="Arial" w:hAnsi="Arial" w:hint="default"/>
      </w:rPr>
    </w:lvl>
    <w:lvl w:ilvl="1" w:tplc="F99C8E66" w:tentative="1">
      <w:start w:val="1"/>
      <w:numFmt w:val="bullet"/>
      <w:lvlText w:val="•"/>
      <w:lvlJc w:val="left"/>
      <w:pPr>
        <w:tabs>
          <w:tab w:val="num" w:pos="1440"/>
        </w:tabs>
        <w:ind w:left="1440" w:hanging="360"/>
      </w:pPr>
      <w:rPr>
        <w:rFonts w:ascii="Arial" w:hAnsi="Arial" w:hint="default"/>
      </w:rPr>
    </w:lvl>
    <w:lvl w:ilvl="2" w:tplc="5F0243FA" w:tentative="1">
      <w:start w:val="1"/>
      <w:numFmt w:val="bullet"/>
      <w:lvlText w:val="•"/>
      <w:lvlJc w:val="left"/>
      <w:pPr>
        <w:tabs>
          <w:tab w:val="num" w:pos="2160"/>
        </w:tabs>
        <w:ind w:left="2160" w:hanging="360"/>
      </w:pPr>
      <w:rPr>
        <w:rFonts w:ascii="Arial" w:hAnsi="Arial" w:hint="default"/>
      </w:rPr>
    </w:lvl>
    <w:lvl w:ilvl="3" w:tplc="212847AE" w:tentative="1">
      <w:start w:val="1"/>
      <w:numFmt w:val="bullet"/>
      <w:lvlText w:val="•"/>
      <w:lvlJc w:val="left"/>
      <w:pPr>
        <w:tabs>
          <w:tab w:val="num" w:pos="2880"/>
        </w:tabs>
        <w:ind w:left="2880" w:hanging="360"/>
      </w:pPr>
      <w:rPr>
        <w:rFonts w:ascii="Arial" w:hAnsi="Arial" w:hint="default"/>
      </w:rPr>
    </w:lvl>
    <w:lvl w:ilvl="4" w:tplc="6FC8DB9E" w:tentative="1">
      <w:start w:val="1"/>
      <w:numFmt w:val="bullet"/>
      <w:lvlText w:val="•"/>
      <w:lvlJc w:val="left"/>
      <w:pPr>
        <w:tabs>
          <w:tab w:val="num" w:pos="3600"/>
        </w:tabs>
        <w:ind w:left="3600" w:hanging="360"/>
      </w:pPr>
      <w:rPr>
        <w:rFonts w:ascii="Arial" w:hAnsi="Arial" w:hint="default"/>
      </w:rPr>
    </w:lvl>
    <w:lvl w:ilvl="5" w:tplc="C9D0D02E" w:tentative="1">
      <w:start w:val="1"/>
      <w:numFmt w:val="bullet"/>
      <w:lvlText w:val="•"/>
      <w:lvlJc w:val="left"/>
      <w:pPr>
        <w:tabs>
          <w:tab w:val="num" w:pos="4320"/>
        </w:tabs>
        <w:ind w:left="4320" w:hanging="360"/>
      </w:pPr>
      <w:rPr>
        <w:rFonts w:ascii="Arial" w:hAnsi="Arial" w:hint="default"/>
      </w:rPr>
    </w:lvl>
    <w:lvl w:ilvl="6" w:tplc="32462C00" w:tentative="1">
      <w:start w:val="1"/>
      <w:numFmt w:val="bullet"/>
      <w:lvlText w:val="•"/>
      <w:lvlJc w:val="left"/>
      <w:pPr>
        <w:tabs>
          <w:tab w:val="num" w:pos="5040"/>
        </w:tabs>
        <w:ind w:left="5040" w:hanging="360"/>
      </w:pPr>
      <w:rPr>
        <w:rFonts w:ascii="Arial" w:hAnsi="Arial" w:hint="default"/>
      </w:rPr>
    </w:lvl>
    <w:lvl w:ilvl="7" w:tplc="40AA3400" w:tentative="1">
      <w:start w:val="1"/>
      <w:numFmt w:val="bullet"/>
      <w:lvlText w:val="•"/>
      <w:lvlJc w:val="left"/>
      <w:pPr>
        <w:tabs>
          <w:tab w:val="num" w:pos="5760"/>
        </w:tabs>
        <w:ind w:left="5760" w:hanging="360"/>
      </w:pPr>
      <w:rPr>
        <w:rFonts w:ascii="Arial" w:hAnsi="Arial" w:hint="default"/>
      </w:rPr>
    </w:lvl>
    <w:lvl w:ilvl="8" w:tplc="62F4B492" w:tentative="1">
      <w:start w:val="1"/>
      <w:numFmt w:val="bullet"/>
      <w:lvlText w:val="•"/>
      <w:lvlJc w:val="left"/>
      <w:pPr>
        <w:tabs>
          <w:tab w:val="num" w:pos="6480"/>
        </w:tabs>
        <w:ind w:left="6480" w:hanging="360"/>
      </w:pPr>
      <w:rPr>
        <w:rFonts w:ascii="Arial" w:hAnsi="Arial" w:hint="default"/>
      </w:rPr>
    </w:lvl>
  </w:abstractNum>
  <w:abstractNum w:abstractNumId="32">
    <w:nsid w:val="71DC4CE5"/>
    <w:multiLevelType w:val="hybridMultilevel"/>
    <w:tmpl w:val="7FBE2B70"/>
    <w:lvl w:ilvl="0" w:tplc="AD784894">
      <w:start w:val="1"/>
      <w:numFmt w:val="bullet"/>
      <w:lvlText w:val="•"/>
      <w:lvlJc w:val="left"/>
      <w:pPr>
        <w:tabs>
          <w:tab w:val="num" w:pos="720"/>
        </w:tabs>
        <w:ind w:left="720" w:hanging="360"/>
      </w:pPr>
      <w:rPr>
        <w:rFonts w:ascii="Arial" w:hAnsi="Arial" w:hint="default"/>
      </w:rPr>
    </w:lvl>
    <w:lvl w:ilvl="1" w:tplc="AA68E950" w:tentative="1">
      <w:start w:val="1"/>
      <w:numFmt w:val="bullet"/>
      <w:lvlText w:val="•"/>
      <w:lvlJc w:val="left"/>
      <w:pPr>
        <w:tabs>
          <w:tab w:val="num" w:pos="1440"/>
        </w:tabs>
        <w:ind w:left="1440" w:hanging="360"/>
      </w:pPr>
      <w:rPr>
        <w:rFonts w:ascii="Arial" w:hAnsi="Arial" w:hint="default"/>
      </w:rPr>
    </w:lvl>
    <w:lvl w:ilvl="2" w:tplc="5600C740" w:tentative="1">
      <w:start w:val="1"/>
      <w:numFmt w:val="bullet"/>
      <w:lvlText w:val="•"/>
      <w:lvlJc w:val="left"/>
      <w:pPr>
        <w:tabs>
          <w:tab w:val="num" w:pos="2160"/>
        </w:tabs>
        <w:ind w:left="2160" w:hanging="360"/>
      </w:pPr>
      <w:rPr>
        <w:rFonts w:ascii="Arial" w:hAnsi="Arial" w:hint="default"/>
      </w:rPr>
    </w:lvl>
    <w:lvl w:ilvl="3" w:tplc="5C546400" w:tentative="1">
      <w:start w:val="1"/>
      <w:numFmt w:val="bullet"/>
      <w:lvlText w:val="•"/>
      <w:lvlJc w:val="left"/>
      <w:pPr>
        <w:tabs>
          <w:tab w:val="num" w:pos="2880"/>
        </w:tabs>
        <w:ind w:left="2880" w:hanging="360"/>
      </w:pPr>
      <w:rPr>
        <w:rFonts w:ascii="Arial" w:hAnsi="Arial" w:hint="default"/>
      </w:rPr>
    </w:lvl>
    <w:lvl w:ilvl="4" w:tplc="BA2CB2E4" w:tentative="1">
      <w:start w:val="1"/>
      <w:numFmt w:val="bullet"/>
      <w:lvlText w:val="•"/>
      <w:lvlJc w:val="left"/>
      <w:pPr>
        <w:tabs>
          <w:tab w:val="num" w:pos="3600"/>
        </w:tabs>
        <w:ind w:left="3600" w:hanging="360"/>
      </w:pPr>
      <w:rPr>
        <w:rFonts w:ascii="Arial" w:hAnsi="Arial" w:hint="default"/>
      </w:rPr>
    </w:lvl>
    <w:lvl w:ilvl="5" w:tplc="70A4D99A" w:tentative="1">
      <w:start w:val="1"/>
      <w:numFmt w:val="bullet"/>
      <w:lvlText w:val="•"/>
      <w:lvlJc w:val="left"/>
      <w:pPr>
        <w:tabs>
          <w:tab w:val="num" w:pos="4320"/>
        </w:tabs>
        <w:ind w:left="4320" w:hanging="360"/>
      </w:pPr>
      <w:rPr>
        <w:rFonts w:ascii="Arial" w:hAnsi="Arial" w:hint="default"/>
      </w:rPr>
    </w:lvl>
    <w:lvl w:ilvl="6" w:tplc="7332EA72" w:tentative="1">
      <w:start w:val="1"/>
      <w:numFmt w:val="bullet"/>
      <w:lvlText w:val="•"/>
      <w:lvlJc w:val="left"/>
      <w:pPr>
        <w:tabs>
          <w:tab w:val="num" w:pos="5040"/>
        </w:tabs>
        <w:ind w:left="5040" w:hanging="360"/>
      </w:pPr>
      <w:rPr>
        <w:rFonts w:ascii="Arial" w:hAnsi="Arial" w:hint="default"/>
      </w:rPr>
    </w:lvl>
    <w:lvl w:ilvl="7" w:tplc="C3CAB732" w:tentative="1">
      <w:start w:val="1"/>
      <w:numFmt w:val="bullet"/>
      <w:lvlText w:val="•"/>
      <w:lvlJc w:val="left"/>
      <w:pPr>
        <w:tabs>
          <w:tab w:val="num" w:pos="5760"/>
        </w:tabs>
        <w:ind w:left="5760" w:hanging="360"/>
      </w:pPr>
      <w:rPr>
        <w:rFonts w:ascii="Arial" w:hAnsi="Arial" w:hint="default"/>
      </w:rPr>
    </w:lvl>
    <w:lvl w:ilvl="8" w:tplc="85EE99B6" w:tentative="1">
      <w:start w:val="1"/>
      <w:numFmt w:val="bullet"/>
      <w:lvlText w:val="•"/>
      <w:lvlJc w:val="left"/>
      <w:pPr>
        <w:tabs>
          <w:tab w:val="num" w:pos="6480"/>
        </w:tabs>
        <w:ind w:left="6480" w:hanging="360"/>
      </w:pPr>
      <w:rPr>
        <w:rFonts w:ascii="Arial" w:hAnsi="Arial" w:hint="default"/>
      </w:rPr>
    </w:lvl>
  </w:abstractNum>
  <w:abstractNum w:abstractNumId="33">
    <w:nsid w:val="73A41B67"/>
    <w:multiLevelType w:val="hybridMultilevel"/>
    <w:tmpl w:val="D6D8AD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5395933"/>
    <w:multiLevelType w:val="hybridMultilevel"/>
    <w:tmpl w:val="5FDC18FA"/>
    <w:lvl w:ilvl="0" w:tplc="6CFC92AE">
      <w:start w:val="1"/>
      <w:numFmt w:val="bullet"/>
      <w:lvlText w:val="•"/>
      <w:lvlJc w:val="left"/>
      <w:pPr>
        <w:tabs>
          <w:tab w:val="num" w:pos="720"/>
        </w:tabs>
        <w:ind w:left="720" w:hanging="360"/>
      </w:pPr>
      <w:rPr>
        <w:rFonts w:ascii="Arial" w:hAnsi="Arial" w:hint="default"/>
      </w:rPr>
    </w:lvl>
    <w:lvl w:ilvl="1" w:tplc="B67E776C" w:tentative="1">
      <w:start w:val="1"/>
      <w:numFmt w:val="bullet"/>
      <w:lvlText w:val="•"/>
      <w:lvlJc w:val="left"/>
      <w:pPr>
        <w:tabs>
          <w:tab w:val="num" w:pos="1440"/>
        </w:tabs>
        <w:ind w:left="1440" w:hanging="360"/>
      </w:pPr>
      <w:rPr>
        <w:rFonts w:ascii="Arial" w:hAnsi="Arial" w:hint="default"/>
      </w:rPr>
    </w:lvl>
    <w:lvl w:ilvl="2" w:tplc="0A083218" w:tentative="1">
      <w:start w:val="1"/>
      <w:numFmt w:val="bullet"/>
      <w:lvlText w:val="•"/>
      <w:lvlJc w:val="left"/>
      <w:pPr>
        <w:tabs>
          <w:tab w:val="num" w:pos="2160"/>
        </w:tabs>
        <w:ind w:left="2160" w:hanging="360"/>
      </w:pPr>
      <w:rPr>
        <w:rFonts w:ascii="Arial" w:hAnsi="Arial" w:hint="default"/>
      </w:rPr>
    </w:lvl>
    <w:lvl w:ilvl="3" w:tplc="0B76F08A" w:tentative="1">
      <w:start w:val="1"/>
      <w:numFmt w:val="bullet"/>
      <w:lvlText w:val="•"/>
      <w:lvlJc w:val="left"/>
      <w:pPr>
        <w:tabs>
          <w:tab w:val="num" w:pos="2880"/>
        </w:tabs>
        <w:ind w:left="2880" w:hanging="360"/>
      </w:pPr>
      <w:rPr>
        <w:rFonts w:ascii="Arial" w:hAnsi="Arial" w:hint="default"/>
      </w:rPr>
    </w:lvl>
    <w:lvl w:ilvl="4" w:tplc="7C320EB8" w:tentative="1">
      <w:start w:val="1"/>
      <w:numFmt w:val="bullet"/>
      <w:lvlText w:val="•"/>
      <w:lvlJc w:val="left"/>
      <w:pPr>
        <w:tabs>
          <w:tab w:val="num" w:pos="3600"/>
        </w:tabs>
        <w:ind w:left="3600" w:hanging="360"/>
      </w:pPr>
      <w:rPr>
        <w:rFonts w:ascii="Arial" w:hAnsi="Arial" w:hint="default"/>
      </w:rPr>
    </w:lvl>
    <w:lvl w:ilvl="5" w:tplc="2DDA7ECA" w:tentative="1">
      <w:start w:val="1"/>
      <w:numFmt w:val="bullet"/>
      <w:lvlText w:val="•"/>
      <w:lvlJc w:val="left"/>
      <w:pPr>
        <w:tabs>
          <w:tab w:val="num" w:pos="4320"/>
        </w:tabs>
        <w:ind w:left="4320" w:hanging="360"/>
      </w:pPr>
      <w:rPr>
        <w:rFonts w:ascii="Arial" w:hAnsi="Arial" w:hint="default"/>
      </w:rPr>
    </w:lvl>
    <w:lvl w:ilvl="6" w:tplc="72EAF9FA" w:tentative="1">
      <w:start w:val="1"/>
      <w:numFmt w:val="bullet"/>
      <w:lvlText w:val="•"/>
      <w:lvlJc w:val="left"/>
      <w:pPr>
        <w:tabs>
          <w:tab w:val="num" w:pos="5040"/>
        </w:tabs>
        <w:ind w:left="5040" w:hanging="360"/>
      </w:pPr>
      <w:rPr>
        <w:rFonts w:ascii="Arial" w:hAnsi="Arial" w:hint="default"/>
      </w:rPr>
    </w:lvl>
    <w:lvl w:ilvl="7" w:tplc="932C6B50" w:tentative="1">
      <w:start w:val="1"/>
      <w:numFmt w:val="bullet"/>
      <w:lvlText w:val="•"/>
      <w:lvlJc w:val="left"/>
      <w:pPr>
        <w:tabs>
          <w:tab w:val="num" w:pos="5760"/>
        </w:tabs>
        <w:ind w:left="5760" w:hanging="360"/>
      </w:pPr>
      <w:rPr>
        <w:rFonts w:ascii="Arial" w:hAnsi="Arial" w:hint="default"/>
      </w:rPr>
    </w:lvl>
    <w:lvl w:ilvl="8" w:tplc="5E2422A0" w:tentative="1">
      <w:start w:val="1"/>
      <w:numFmt w:val="bullet"/>
      <w:lvlText w:val="•"/>
      <w:lvlJc w:val="left"/>
      <w:pPr>
        <w:tabs>
          <w:tab w:val="num" w:pos="6480"/>
        </w:tabs>
        <w:ind w:left="6480" w:hanging="360"/>
      </w:pPr>
      <w:rPr>
        <w:rFonts w:ascii="Arial" w:hAnsi="Arial" w:hint="default"/>
      </w:rPr>
    </w:lvl>
  </w:abstractNum>
  <w:abstractNum w:abstractNumId="35">
    <w:nsid w:val="778C0C79"/>
    <w:multiLevelType w:val="multilevel"/>
    <w:tmpl w:val="A06A98FC"/>
    <w:lvl w:ilvl="0">
      <w:start w:val="1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6">
    <w:nsid w:val="77DA49B8"/>
    <w:multiLevelType w:val="hybridMultilevel"/>
    <w:tmpl w:val="D1A67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C7C7376"/>
    <w:multiLevelType w:val="singleLevel"/>
    <w:tmpl w:val="AFD88520"/>
    <w:lvl w:ilvl="0">
      <w:start w:val="1"/>
      <w:numFmt w:val="bullet"/>
      <w:pStyle w:val="Bullet2"/>
      <w:lvlText w:val=""/>
      <w:lvlJc w:val="left"/>
      <w:pPr>
        <w:ind w:left="785" w:hanging="360"/>
      </w:pPr>
      <w:rPr>
        <w:rFonts w:ascii="Symbol" w:hAnsi="Symbol" w:hint="default"/>
        <w:color w:val="73A81C" w:themeColor="accent2"/>
        <w:sz w:val="22"/>
      </w:rPr>
    </w:lvl>
  </w:abstractNum>
  <w:num w:numId="1">
    <w:abstractNumId w:val="9"/>
  </w:num>
  <w:num w:numId="2">
    <w:abstractNumId w:val="7"/>
  </w:num>
  <w:num w:numId="3">
    <w:abstractNumId w:val="6"/>
  </w:num>
  <w:num w:numId="4">
    <w:abstractNumId w:val="5"/>
  </w:num>
  <w:num w:numId="5">
    <w:abstractNumId w:val="4"/>
  </w:num>
  <w:num w:numId="6">
    <w:abstractNumId w:val="37"/>
  </w:num>
  <w:num w:numId="7">
    <w:abstractNumId w:val="35"/>
  </w:num>
  <w:num w:numId="8">
    <w:abstractNumId w:val="14"/>
  </w:num>
  <w:num w:numId="9">
    <w:abstractNumId w:val="29"/>
  </w:num>
  <w:num w:numId="10">
    <w:abstractNumId w:val="15"/>
  </w:num>
  <w:num w:numId="11">
    <w:abstractNumId w:val="36"/>
  </w:num>
  <w:num w:numId="12">
    <w:abstractNumId w:val="27"/>
  </w:num>
  <w:num w:numId="13">
    <w:abstractNumId w:val="33"/>
  </w:num>
  <w:num w:numId="14">
    <w:abstractNumId w:val="12"/>
  </w:num>
  <w:num w:numId="15">
    <w:abstractNumId w:val="21"/>
  </w:num>
  <w:num w:numId="16">
    <w:abstractNumId w:val="22"/>
  </w:num>
  <w:num w:numId="17">
    <w:abstractNumId w:val="20"/>
  </w:num>
  <w:num w:numId="18">
    <w:abstractNumId w:val="30"/>
  </w:num>
  <w:num w:numId="19">
    <w:abstractNumId w:val="19"/>
  </w:num>
  <w:num w:numId="20">
    <w:abstractNumId w:val="11"/>
  </w:num>
  <w:num w:numId="21">
    <w:abstractNumId w:val="34"/>
  </w:num>
  <w:num w:numId="22">
    <w:abstractNumId w:val="10"/>
  </w:num>
  <w:num w:numId="23">
    <w:abstractNumId w:val="31"/>
  </w:num>
  <w:num w:numId="24">
    <w:abstractNumId w:val="23"/>
  </w:num>
  <w:num w:numId="25">
    <w:abstractNumId w:val="26"/>
  </w:num>
  <w:num w:numId="26">
    <w:abstractNumId w:val="24"/>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28"/>
  </w:num>
  <w:num w:numId="34">
    <w:abstractNumId w:val="25"/>
  </w:num>
  <w:num w:numId="35">
    <w:abstractNumId w:val="17"/>
  </w:num>
  <w:num w:numId="36">
    <w:abstractNumId w:val="13"/>
  </w:num>
  <w:num w:numId="37">
    <w:abstractNumId w:val="7"/>
  </w:num>
  <w:num w:numId="38">
    <w:abstractNumId w:val="16"/>
  </w:num>
  <w:num w:numId="3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507"/>
    <w:rsid w:val="00005FF3"/>
    <w:rsid w:val="000165D0"/>
    <w:rsid w:val="00017433"/>
    <w:rsid w:val="000242A6"/>
    <w:rsid w:val="000375C2"/>
    <w:rsid w:val="00037E34"/>
    <w:rsid w:val="00040BDE"/>
    <w:rsid w:val="000524A2"/>
    <w:rsid w:val="000553EA"/>
    <w:rsid w:val="00055C79"/>
    <w:rsid w:val="00060EF7"/>
    <w:rsid w:val="00070F29"/>
    <w:rsid w:val="0007577B"/>
    <w:rsid w:val="000825F8"/>
    <w:rsid w:val="000860C6"/>
    <w:rsid w:val="000A07D2"/>
    <w:rsid w:val="000A26FE"/>
    <w:rsid w:val="000B1693"/>
    <w:rsid w:val="000B3A18"/>
    <w:rsid w:val="000B4B7E"/>
    <w:rsid w:val="000C0A0E"/>
    <w:rsid w:val="000C43FF"/>
    <w:rsid w:val="000C79D3"/>
    <w:rsid w:val="000D37D5"/>
    <w:rsid w:val="000D60ED"/>
    <w:rsid w:val="000F6872"/>
    <w:rsid w:val="000F7654"/>
    <w:rsid w:val="000F779E"/>
    <w:rsid w:val="00100E40"/>
    <w:rsid w:val="00100E9E"/>
    <w:rsid w:val="00105D3D"/>
    <w:rsid w:val="00106234"/>
    <w:rsid w:val="00112EA4"/>
    <w:rsid w:val="001170DA"/>
    <w:rsid w:val="001232E3"/>
    <w:rsid w:val="00125198"/>
    <w:rsid w:val="00130109"/>
    <w:rsid w:val="001337C3"/>
    <w:rsid w:val="0013691C"/>
    <w:rsid w:val="00136D53"/>
    <w:rsid w:val="00141C4C"/>
    <w:rsid w:val="001435F4"/>
    <w:rsid w:val="00144057"/>
    <w:rsid w:val="00146F60"/>
    <w:rsid w:val="00152303"/>
    <w:rsid w:val="00167771"/>
    <w:rsid w:val="00167DCD"/>
    <w:rsid w:val="001707EB"/>
    <w:rsid w:val="00171150"/>
    <w:rsid w:val="00183CBC"/>
    <w:rsid w:val="001943BA"/>
    <w:rsid w:val="00197C2F"/>
    <w:rsid w:val="001A018B"/>
    <w:rsid w:val="001A315F"/>
    <w:rsid w:val="001C02D9"/>
    <w:rsid w:val="001C5A3B"/>
    <w:rsid w:val="001C7DD2"/>
    <w:rsid w:val="001D1F9C"/>
    <w:rsid w:val="001D568E"/>
    <w:rsid w:val="001E247C"/>
    <w:rsid w:val="001E34AA"/>
    <w:rsid w:val="001F3616"/>
    <w:rsid w:val="001F6F07"/>
    <w:rsid w:val="001F7AD3"/>
    <w:rsid w:val="002016CD"/>
    <w:rsid w:val="0020388F"/>
    <w:rsid w:val="00214EB7"/>
    <w:rsid w:val="002153F4"/>
    <w:rsid w:val="00220643"/>
    <w:rsid w:val="002257A3"/>
    <w:rsid w:val="00232B1C"/>
    <w:rsid w:val="00232B1E"/>
    <w:rsid w:val="00241327"/>
    <w:rsid w:val="002432EB"/>
    <w:rsid w:val="00256FB9"/>
    <w:rsid w:val="002644F1"/>
    <w:rsid w:val="00264613"/>
    <w:rsid w:val="0026534A"/>
    <w:rsid w:val="00265FF5"/>
    <w:rsid w:val="002712DD"/>
    <w:rsid w:val="00280833"/>
    <w:rsid w:val="00285D82"/>
    <w:rsid w:val="002877BE"/>
    <w:rsid w:val="00292A4C"/>
    <w:rsid w:val="00294FD5"/>
    <w:rsid w:val="002C3406"/>
    <w:rsid w:val="002D4D81"/>
    <w:rsid w:val="002D5033"/>
    <w:rsid w:val="002D5D4D"/>
    <w:rsid w:val="002D69D3"/>
    <w:rsid w:val="002D6C90"/>
    <w:rsid w:val="002D70B3"/>
    <w:rsid w:val="002D73EF"/>
    <w:rsid w:val="002E104F"/>
    <w:rsid w:val="002E3CCD"/>
    <w:rsid w:val="002E6B59"/>
    <w:rsid w:val="002E7602"/>
    <w:rsid w:val="002F721F"/>
    <w:rsid w:val="002F7417"/>
    <w:rsid w:val="00301760"/>
    <w:rsid w:val="0030381F"/>
    <w:rsid w:val="00314D7B"/>
    <w:rsid w:val="00320E12"/>
    <w:rsid w:val="0032476C"/>
    <w:rsid w:val="00330B22"/>
    <w:rsid w:val="0034642C"/>
    <w:rsid w:val="003466E7"/>
    <w:rsid w:val="00347E59"/>
    <w:rsid w:val="00355578"/>
    <w:rsid w:val="003734AE"/>
    <w:rsid w:val="0037363F"/>
    <w:rsid w:val="0037494C"/>
    <w:rsid w:val="00375791"/>
    <w:rsid w:val="00377D87"/>
    <w:rsid w:val="003806DB"/>
    <w:rsid w:val="00390A83"/>
    <w:rsid w:val="00392BCF"/>
    <w:rsid w:val="003946DD"/>
    <w:rsid w:val="003A0107"/>
    <w:rsid w:val="003A1B71"/>
    <w:rsid w:val="003B0EA3"/>
    <w:rsid w:val="003B2E4B"/>
    <w:rsid w:val="003B3F49"/>
    <w:rsid w:val="003B7830"/>
    <w:rsid w:val="003C0918"/>
    <w:rsid w:val="003C7EDC"/>
    <w:rsid w:val="003E2758"/>
    <w:rsid w:val="003E2B31"/>
    <w:rsid w:val="003E32EE"/>
    <w:rsid w:val="003E59A1"/>
    <w:rsid w:val="003F01A1"/>
    <w:rsid w:val="003F253B"/>
    <w:rsid w:val="003F53A7"/>
    <w:rsid w:val="003F5660"/>
    <w:rsid w:val="003F575E"/>
    <w:rsid w:val="003F5964"/>
    <w:rsid w:val="003F6EC0"/>
    <w:rsid w:val="003F6F4A"/>
    <w:rsid w:val="0040464E"/>
    <w:rsid w:val="004068BD"/>
    <w:rsid w:val="004108B6"/>
    <w:rsid w:val="00412A2E"/>
    <w:rsid w:val="0041488E"/>
    <w:rsid w:val="00415953"/>
    <w:rsid w:val="00415AFF"/>
    <w:rsid w:val="004201C0"/>
    <w:rsid w:val="00423C94"/>
    <w:rsid w:val="0043603F"/>
    <w:rsid w:val="004412B5"/>
    <w:rsid w:val="0044174B"/>
    <w:rsid w:val="00452AE6"/>
    <w:rsid w:val="00453F05"/>
    <w:rsid w:val="00460640"/>
    <w:rsid w:val="0046151D"/>
    <w:rsid w:val="004644C7"/>
    <w:rsid w:val="00464A8F"/>
    <w:rsid w:val="00472C18"/>
    <w:rsid w:val="00473D16"/>
    <w:rsid w:val="00476718"/>
    <w:rsid w:val="004831F4"/>
    <w:rsid w:val="00493447"/>
    <w:rsid w:val="00494586"/>
    <w:rsid w:val="00494D95"/>
    <w:rsid w:val="004976CA"/>
    <w:rsid w:val="004A54C0"/>
    <w:rsid w:val="004B3239"/>
    <w:rsid w:val="004B39F6"/>
    <w:rsid w:val="004C5D6A"/>
    <w:rsid w:val="004E3532"/>
    <w:rsid w:val="004E76BE"/>
    <w:rsid w:val="004F4100"/>
    <w:rsid w:val="005016AB"/>
    <w:rsid w:val="00505744"/>
    <w:rsid w:val="00506210"/>
    <w:rsid w:val="00510359"/>
    <w:rsid w:val="00513E77"/>
    <w:rsid w:val="00521030"/>
    <w:rsid w:val="005237BF"/>
    <w:rsid w:val="005319EC"/>
    <w:rsid w:val="005369C4"/>
    <w:rsid w:val="00537261"/>
    <w:rsid w:val="00543B43"/>
    <w:rsid w:val="005444BD"/>
    <w:rsid w:val="0055069A"/>
    <w:rsid w:val="00565A79"/>
    <w:rsid w:val="00570C63"/>
    <w:rsid w:val="005721FC"/>
    <w:rsid w:val="00575D6D"/>
    <w:rsid w:val="0058017B"/>
    <w:rsid w:val="005946ED"/>
    <w:rsid w:val="0059692A"/>
    <w:rsid w:val="005A0854"/>
    <w:rsid w:val="005A4087"/>
    <w:rsid w:val="005C4F3D"/>
    <w:rsid w:val="005C6C2D"/>
    <w:rsid w:val="005D197B"/>
    <w:rsid w:val="005F0FDA"/>
    <w:rsid w:val="00605078"/>
    <w:rsid w:val="0061145D"/>
    <w:rsid w:val="00612BDE"/>
    <w:rsid w:val="006268CF"/>
    <w:rsid w:val="00632DB4"/>
    <w:rsid w:val="00637071"/>
    <w:rsid w:val="006425EE"/>
    <w:rsid w:val="00645362"/>
    <w:rsid w:val="00645E2A"/>
    <w:rsid w:val="00646055"/>
    <w:rsid w:val="00646663"/>
    <w:rsid w:val="006505C4"/>
    <w:rsid w:val="00663295"/>
    <w:rsid w:val="00665A54"/>
    <w:rsid w:val="006756C4"/>
    <w:rsid w:val="006843E6"/>
    <w:rsid w:val="00694C1B"/>
    <w:rsid w:val="00697676"/>
    <w:rsid w:val="006A045A"/>
    <w:rsid w:val="006A241D"/>
    <w:rsid w:val="006A6A6B"/>
    <w:rsid w:val="006B060F"/>
    <w:rsid w:val="006B7079"/>
    <w:rsid w:val="006C17D0"/>
    <w:rsid w:val="006C216F"/>
    <w:rsid w:val="006D5373"/>
    <w:rsid w:val="006E037C"/>
    <w:rsid w:val="006E6943"/>
    <w:rsid w:val="006F3A72"/>
    <w:rsid w:val="006F3C42"/>
    <w:rsid w:val="00701286"/>
    <w:rsid w:val="007106D9"/>
    <w:rsid w:val="00714EDD"/>
    <w:rsid w:val="0072002F"/>
    <w:rsid w:val="00720E0A"/>
    <w:rsid w:val="00722697"/>
    <w:rsid w:val="00723368"/>
    <w:rsid w:val="00726473"/>
    <w:rsid w:val="00726D94"/>
    <w:rsid w:val="0072704B"/>
    <w:rsid w:val="0073133A"/>
    <w:rsid w:val="00733A24"/>
    <w:rsid w:val="00736C23"/>
    <w:rsid w:val="007432C3"/>
    <w:rsid w:val="007457DD"/>
    <w:rsid w:val="0074760D"/>
    <w:rsid w:val="00752128"/>
    <w:rsid w:val="007538B6"/>
    <w:rsid w:val="00753954"/>
    <w:rsid w:val="00772397"/>
    <w:rsid w:val="00773EB6"/>
    <w:rsid w:val="007773E2"/>
    <w:rsid w:val="007857EE"/>
    <w:rsid w:val="00785D1A"/>
    <w:rsid w:val="00787AAC"/>
    <w:rsid w:val="007934B2"/>
    <w:rsid w:val="00794D35"/>
    <w:rsid w:val="007A08AB"/>
    <w:rsid w:val="007A128E"/>
    <w:rsid w:val="007B2462"/>
    <w:rsid w:val="007C2DCC"/>
    <w:rsid w:val="007C7F32"/>
    <w:rsid w:val="007D6921"/>
    <w:rsid w:val="007E3BFD"/>
    <w:rsid w:val="007E6B1C"/>
    <w:rsid w:val="00806A23"/>
    <w:rsid w:val="00815E37"/>
    <w:rsid w:val="00823CE7"/>
    <w:rsid w:val="00833E6F"/>
    <w:rsid w:val="008365E1"/>
    <w:rsid w:val="00837638"/>
    <w:rsid w:val="00846B6A"/>
    <w:rsid w:val="0084709C"/>
    <w:rsid w:val="00853598"/>
    <w:rsid w:val="00853A76"/>
    <w:rsid w:val="00855C12"/>
    <w:rsid w:val="00857873"/>
    <w:rsid w:val="008638C7"/>
    <w:rsid w:val="00865407"/>
    <w:rsid w:val="008727B4"/>
    <w:rsid w:val="00874066"/>
    <w:rsid w:val="008817C7"/>
    <w:rsid w:val="008868E1"/>
    <w:rsid w:val="00895411"/>
    <w:rsid w:val="008A40FF"/>
    <w:rsid w:val="008B01EE"/>
    <w:rsid w:val="008B0803"/>
    <w:rsid w:val="008B1937"/>
    <w:rsid w:val="008B653F"/>
    <w:rsid w:val="008C0D58"/>
    <w:rsid w:val="008C7A19"/>
    <w:rsid w:val="008D1211"/>
    <w:rsid w:val="008D1CCE"/>
    <w:rsid w:val="008D29A4"/>
    <w:rsid w:val="008D2E02"/>
    <w:rsid w:val="008D3182"/>
    <w:rsid w:val="008D6238"/>
    <w:rsid w:val="008D6C1C"/>
    <w:rsid w:val="008E5882"/>
    <w:rsid w:val="008F0159"/>
    <w:rsid w:val="0090192A"/>
    <w:rsid w:val="00902251"/>
    <w:rsid w:val="00902751"/>
    <w:rsid w:val="00904E58"/>
    <w:rsid w:val="00916C1B"/>
    <w:rsid w:val="009171F1"/>
    <w:rsid w:val="0092140B"/>
    <w:rsid w:val="0092206A"/>
    <w:rsid w:val="00922215"/>
    <w:rsid w:val="0092488A"/>
    <w:rsid w:val="00927415"/>
    <w:rsid w:val="00935844"/>
    <w:rsid w:val="009470B6"/>
    <w:rsid w:val="00956DB9"/>
    <w:rsid w:val="00961627"/>
    <w:rsid w:val="00964481"/>
    <w:rsid w:val="0096460A"/>
    <w:rsid w:val="009650DD"/>
    <w:rsid w:val="00967688"/>
    <w:rsid w:val="00970A1C"/>
    <w:rsid w:val="00970D57"/>
    <w:rsid w:val="00980E94"/>
    <w:rsid w:val="00991DDE"/>
    <w:rsid w:val="009934BF"/>
    <w:rsid w:val="009954DA"/>
    <w:rsid w:val="00997B18"/>
    <w:rsid w:val="009A1602"/>
    <w:rsid w:val="009B0E44"/>
    <w:rsid w:val="009B2EF3"/>
    <w:rsid w:val="009C3010"/>
    <w:rsid w:val="009C3DB8"/>
    <w:rsid w:val="009D6AC0"/>
    <w:rsid w:val="00A047B7"/>
    <w:rsid w:val="00A111CD"/>
    <w:rsid w:val="00A11970"/>
    <w:rsid w:val="00A12AEC"/>
    <w:rsid w:val="00A206A9"/>
    <w:rsid w:val="00A30463"/>
    <w:rsid w:val="00A31073"/>
    <w:rsid w:val="00A32EA6"/>
    <w:rsid w:val="00A356D4"/>
    <w:rsid w:val="00A3659C"/>
    <w:rsid w:val="00A37166"/>
    <w:rsid w:val="00A51446"/>
    <w:rsid w:val="00A60364"/>
    <w:rsid w:val="00A639E3"/>
    <w:rsid w:val="00A648DA"/>
    <w:rsid w:val="00A64B58"/>
    <w:rsid w:val="00A64F91"/>
    <w:rsid w:val="00A650BE"/>
    <w:rsid w:val="00A674EE"/>
    <w:rsid w:val="00A67886"/>
    <w:rsid w:val="00A7185B"/>
    <w:rsid w:val="00A7756F"/>
    <w:rsid w:val="00A84712"/>
    <w:rsid w:val="00A92FCE"/>
    <w:rsid w:val="00A9701D"/>
    <w:rsid w:val="00AA0621"/>
    <w:rsid w:val="00AB189A"/>
    <w:rsid w:val="00AB4F3C"/>
    <w:rsid w:val="00AB56BF"/>
    <w:rsid w:val="00AC04CD"/>
    <w:rsid w:val="00AC1C46"/>
    <w:rsid w:val="00AC44EB"/>
    <w:rsid w:val="00AD1B64"/>
    <w:rsid w:val="00AD2CB3"/>
    <w:rsid w:val="00AD4A95"/>
    <w:rsid w:val="00AE3686"/>
    <w:rsid w:val="00AE66E2"/>
    <w:rsid w:val="00AE7785"/>
    <w:rsid w:val="00AF1367"/>
    <w:rsid w:val="00AF3257"/>
    <w:rsid w:val="00AF4C99"/>
    <w:rsid w:val="00AF6A45"/>
    <w:rsid w:val="00B01A12"/>
    <w:rsid w:val="00B03EFD"/>
    <w:rsid w:val="00B07EAD"/>
    <w:rsid w:val="00B13958"/>
    <w:rsid w:val="00B163E9"/>
    <w:rsid w:val="00B20CF4"/>
    <w:rsid w:val="00B312E2"/>
    <w:rsid w:val="00B36573"/>
    <w:rsid w:val="00B3697C"/>
    <w:rsid w:val="00B5456A"/>
    <w:rsid w:val="00B57D4C"/>
    <w:rsid w:val="00B621C6"/>
    <w:rsid w:val="00B64492"/>
    <w:rsid w:val="00B67F5E"/>
    <w:rsid w:val="00B70565"/>
    <w:rsid w:val="00B71F38"/>
    <w:rsid w:val="00B7382E"/>
    <w:rsid w:val="00B7439C"/>
    <w:rsid w:val="00B7644F"/>
    <w:rsid w:val="00B76C4F"/>
    <w:rsid w:val="00B8090B"/>
    <w:rsid w:val="00B81009"/>
    <w:rsid w:val="00B853F9"/>
    <w:rsid w:val="00B908F7"/>
    <w:rsid w:val="00B91148"/>
    <w:rsid w:val="00B97130"/>
    <w:rsid w:val="00BA470A"/>
    <w:rsid w:val="00BA4A7C"/>
    <w:rsid w:val="00BB07E4"/>
    <w:rsid w:val="00BB15DF"/>
    <w:rsid w:val="00BB1780"/>
    <w:rsid w:val="00BB225E"/>
    <w:rsid w:val="00BB22CF"/>
    <w:rsid w:val="00BB2717"/>
    <w:rsid w:val="00BB5A3E"/>
    <w:rsid w:val="00BC0934"/>
    <w:rsid w:val="00BD2B2F"/>
    <w:rsid w:val="00BD3922"/>
    <w:rsid w:val="00BE3663"/>
    <w:rsid w:val="00BF1881"/>
    <w:rsid w:val="00BF1B2C"/>
    <w:rsid w:val="00C177AD"/>
    <w:rsid w:val="00C1791B"/>
    <w:rsid w:val="00C26F7D"/>
    <w:rsid w:val="00C30416"/>
    <w:rsid w:val="00C42F5F"/>
    <w:rsid w:val="00C50820"/>
    <w:rsid w:val="00C50CF8"/>
    <w:rsid w:val="00C5314A"/>
    <w:rsid w:val="00C611C3"/>
    <w:rsid w:val="00C61A9B"/>
    <w:rsid w:val="00C65142"/>
    <w:rsid w:val="00C77507"/>
    <w:rsid w:val="00C80B42"/>
    <w:rsid w:val="00C8677F"/>
    <w:rsid w:val="00C871B3"/>
    <w:rsid w:val="00C95DF5"/>
    <w:rsid w:val="00C97390"/>
    <w:rsid w:val="00CA4003"/>
    <w:rsid w:val="00CB5768"/>
    <w:rsid w:val="00CC4961"/>
    <w:rsid w:val="00CC7C27"/>
    <w:rsid w:val="00CD0501"/>
    <w:rsid w:val="00CD641B"/>
    <w:rsid w:val="00CD73AA"/>
    <w:rsid w:val="00CE2945"/>
    <w:rsid w:val="00CF4234"/>
    <w:rsid w:val="00CF7087"/>
    <w:rsid w:val="00D0050B"/>
    <w:rsid w:val="00D027E3"/>
    <w:rsid w:val="00D02F4E"/>
    <w:rsid w:val="00D03DB4"/>
    <w:rsid w:val="00D04AA6"/>
    <w:rsid w:val="00D06319"/>
    <w:rsid w:val="00D11495"/>
    <w:rsid w:val="00D16B04"/>
    <w:rsid w:val="00D17ED5"/>
    <w:rsid w:val="00D22555"/>
    <w:rsid w:val="00D25CB9"/>
    <w:rsid w:val="00D34DA5"/>
    <w:rsid w:val="00D40D75"/>
    <w:rsid w:val="00D41AE6"/>
    <w:rsid w:val="00D4228F"/>
    <w:rsid w:val="00D47CB4"/>
    <w:rsid w:val="00D515F7"/>
    <w:rsid w:val="00D5376A"/>
    <w:rsid w:val="00D55FBD"/>
    <w:rsid w:val="00D61029"/>
    <w:rsid w:val="00D626A6"/>
    <w:rsid w:val="00D62B88"/>
    <w:rsid w:val="00D62B8F"/>
    <w:rsid w:val="00D771F0"/>
    <w:rsid w:val="00D8385D"/>
    <w:rsid w:val="00D83C0A"/>
    <w:rsid w:val="00D86376"/>
    <w:rsid w:val="00D86CC6"/>
    <w:rsid w:val="00D900A9"/>
    <w:rsid w:val="00D9252B"/>
    <w:rsid w:val="00D96D14"/>
    <w:rsid w:val="00DA563C"/>
    <w:rsid w:val="00DB3C97"/>
    <w:rsid w:val="00DB7E29"/>
    <w:rsid w:val="00DC7622"/>
    <w:rsid w:val="00DE3967"/>
    <w:rsid w:val="00DF155C"/>
    <w:rsid w:val="00DF30A3"/>
    <w:rsid w:val="00E06D05"/>
    <w:rsid w:val="00E11B9C"/>
    <w:rsid w:val="00E15871"/>
    <w:rsid w:val="00E1666C"/>
    <w:rsid w:val="00E24872"/>
    <w:rsid w:val="00E25F17"/>
    <w:rsid w:val="00E27254"/>
    <w:rsid w:val="00E34900"/>
    <w:rsid w:val="00E3696E"/>
    <w:rsid w:val="00E427EB"/>
    <w:rsid w:val="00E42F13"/>
    <w:rsid w:val="00E505B9"/>
    <w:rsid w:val="00E508E8"/>
    <w:rsid w:val="00E61F55"/>
    <w:rsid w:val="00E70DFB"/>
    <w:rsid w:val="00E71134"/>
    <w:rsid w:val="00E803B8"/>
    <w:rsid w:val="00E81CDE"/>
    <w:rsid w:val="00E84B0E"/>
    <w:rsid w:val="00E86208"/>
    <w:rsid w:val="00E8677B"/>
    <w:rsid w:val="00E920E3"/>
    <w:rsid w:val="00E93E20"/>
    <w:rsid w:val="00E95F29"/>
    <w:rsid w:val="00EA1418"/>
    <w:rsid w:val="00EA397A"/>
    <w:rsid w:val="00EB0C55"/>
    <w:rsid w:val="00EB4913"/>
    <w:rsid w:val="00EC0022"/>
    <w:rsid w:val="00EC0BD8"/>
    <w:rsid w:val="00EC4D3C"/>
    <w:rsid w:val="00EC6F11"/>
    <w:rsid w:val="00ED09C4"/>
    <w:rsid w:val="00ED0C58"/>
    <w:rsid w:val="00ED6F47"/>
    <w:rsid w:val="00EE1471"/>
    <w:rsid w:val="00EE50E2"/>
    <w:rsid w:val="00F04BD8"/>
    <w:rsid w:val="00F05A52"/>
    <w:rsid w:val="00F10D63"/>
    <w:rsid w:val="00F10DCF"/>
    <w:rsid w:val="00F11248"/>
    <w:rsid w:val="00F13F63"/>
    <w:rsid w:val="00F14162"/>
    <w:rsid w:val="00F15E73"/>
    <w:rsid w:val="00F236AB"/>
    <w:rsid w:val="00F23FBE"/>
    <w:rsid w:val="00F24B7B"/>
    <w:rsid w:val="00F348F9"/>
    <w:rsid w:val="00F42EC5"/>
    <w:rsid w:val="00F522E3"/>
    <w:rsid w:val="00F53F98"/>
    <w:rsid w:val="00F56C87"/>
    <w:rsid w:val="00F668DA"/>
    <w:rsid w:val="00F73CD1"/>
    <w:rsid w:val="00F750E7"/>
    <w:rsid w:val="00F76D76"/>
    <w:rsid w:val="00F8079E"/>
    <w:rsid w:val="00F82509"/>
    <w:rsid w:val="00F85ED8"/>
    <w:rsid w:val="00F86761"/>
    <w:rsid w:val="00F92E76"/>
    <w:rsid w:val="00F95946"/>
    <w:rsid w:val="00F97F2F"/>
    <w:rsid w:val="00FA46D5"/>
    <w:rsid w:val="00FB6D59"/>
    <w:rsid w:val="00FB6DBD"/>
    <w:rsid w:val="00FC0E57"/>
    <w:rsid w:val="00FC3BC6"/>
    <w:rsid w:val="00FC76A1"/>
    <w:rsid w:val="00FC7A51"/>
    <w:rsid w:val="00FD4C04"/>
    <w:rsid w:val="00FE06FC"/>
    <w:rsid w:val="00FE0ED4"/>
    <w:rsid w:val="00FE482A"/>
    <w:rsid w:val="00FE63E8"/>
    <w:rsid w:val="00FF2750"/>
    <w:rsid w:val="00FF2C5D"/>
    <w:rsid w:val="00FF3FA2"/>
    <w:rsid w:val="00FF45B7"/>
    <w:rsid w:val="00FF5B1E"/>
    <w:rsid w:val="00FF6A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B04"/>
    <w:pPr>
      <w:spacing w:before="120" w:after="120" w:line="240" w:lineRule="auto"/>
      <w:jc w:val="both"/>
    </w:pPr>
    <w:rPr>
      <w:rFonts w:ascii="Arial" w:eastAsia="Times New Roman" w:hAnsi="Arial" w:cs="Times New Roman"/>
      <w:kern w:val="28"/>
      <w:sz w:val="24"/>
      <w:szCs w:val="24"/>
      <w:lang w:val="ca-ES"/>
    </w:rPr>
  </w:style>
  <w:style w:type="paragraph" w:styleId="Ttulo1">
    <w:name w:val="heading 1"/>
    <w:basedOn w:val="Normal"/>
    <w:next w:val="Normal"/>
    <w:link w:val="Ttulo1Car"/>
    <w:uiPriority w:val="9"/>
    <w:qFormat/>
    <w:rsid w:val="00D03DB4"/>
    <w:pPr>
      <w:keepNext/>
      <w:keepLines/>
      <w:numPr>
        <w:numId w:val="7"/>
      </w:numPr>
      <w:outlineLvl w:val="0"/>
    </w:pPr>
    <w:rPr>
      <w:rFonts w:asciiTheme="majorHAnsi" w:eastAsiaTheme="majorEastAsia" w:hAnsiTheme="majorHAnsi" w:cstheme="majorBidi"/>
      <w:b/>
      <w:bCs/>
      <w:color w:val="1D5C0C" w:themeColor="accent1"/>
      <w:sz w:val="28"/>
      <w:szCs w:val="28"/>
      <w:lang w:val="es-ES"/>
    </w:rPr>
  </w:style>
  <w:style w:type="paragraph" w:styleId="Ttulo2">
    <w:name w:val="heading 2"/>
    <w:basedOn w:val="Normal"/>
    <w:next w:val="Normal"/>
    <w:link w:val="Ttulo2Car"/>
    <w:uiPriority w:val="9"/>
    <w:unhideWhenUsed/>
    <w:qFormat/>
    <w:rsid w:val="00D03DB4"/>
    <w:pPr>
      <w:keepNext/>
      <w:keepLines/>
      <w:numPr>
        <w:ilvl w:val="1"/>
        <w:numId w:val="7"/>
      </w:numPr>
      <w:spacing w:before="200"/>
      <w:outlineLvl w:val="1"/>
    </w:pPr>
    <w:rPr>
      <w:rFonts w:asciiTheme="majorHAnsi" w:eastAsia="Arial Unicode MS" w:hAnsiTheme="majorHAnsi" w:cstheme="majorBidi"/>
      <w:b/>
      <w:bCs/>
      <w:szCs w:val="26"/>
      <w:lang w:val="es-ES"/>
    </w:rPr>
  </w:style>
  <w:style w:type="paragraph" w:styleId="Ttulo3">
    <w:name w:val="heading 3"/>
    <w:basedOn w:val="Normal"/>
    <w:next w:val="Normal"/>
    <w:link w:val="Ttulo3Car"/>
    <w:uiPriority w:val="9"/>
    <w:unhideWhenUsed/>
    <w:qFormat/>
    <w:rsid w:val="00D03DB4"/>
    <w:pPr>
      <w:keepNext/>
      <w:keepLines/>
      <w:numPr>
        <w:ilvl w:val="2"/>
        <w:numId w:val="7"/>
      </w:numPr>
      <w:spacing w:before="200" w:after="0"/>
      <w:outlineLvl w:val="2"/>
    </w:pPr>
    <w:rPr>
      <w:rFonts w:asciiTheme="majorHAnsi" w:eastAsia="Arial Unicode MS" w:hAnsiTheme="majorHAnsi" w:cstheme="majorBidi"/>
      <w:b/>
      <w:bCs/>
      <w:lang w:val="es-ES"/>
    </w:rPr>
  </w:style>
  <w:style w:type="paragraph" w:styleId="Ttulo4">
    <w:name w:val="heading 4"/>
    <w:basedOn w:val="Normal"/>
    <w:next w:val="Normal"/>
    <w:link w:val="Ttulo4Car"/>
    <w:uiPriority w:val="9"/>
    <w:unhideWhenUsed/>
    <w:qFormat/>
    <w:rsid w:val="007432C3"/>
    <w:pPr>
      <w:keepNext/>
      <w:keepLines/>
      <w:numPr>
        <w:ilvl w:val="3"/>
        <w:numId w:val="7"/>
      </w:numPr>
      <w:spacing w:before="200"/>
      <w:outlineLvl w:val="3"/>
    </w:pPr>
    <w:rPr>
      <w:rFonts w:asciiTheme="majorHAnsi" w:eastAsiaTheme="majorEastAsia" w:hAnsiTheme="majorHAnsi" w:cstheme="majorBidi"/>
      <w:b/>
      <w:bCs/>
      <w:iCs/>
      <w:sz w:val="22"/>
    </w:rPr>
  </w:style>
  <w:style w:type="paragraph" w:styleId="Ttulo5">
    <w:name w:val="heading 5"/>
    <w:basedOn w:val="Normal"/>
    <w:next w:val="Normal"/>
    <w:link w:val="Ttulo5Car"/>
    <w:uiPriority w:val="9"/>
    <w:unhideWhenUsed/>
    <w:qFormat/>
    <w:rsid w:val="00214EB7"/>
    <w:pPr>
      <w:keepNext/>
      <w:keepLines/>
      <w:numPr>
        <w:ilvl w:val="4"/>
        <w:numId w:val="7"/>
      </w:numPr>
      <w:spacing w:before="200"/>
      <w:outlineLvl w:val="4"/>
    </w:pPr>
    <w:rPr>
      <w:rFonts w:asciiTheme="majorHAnsi" w:eastAsiaTheme="majorEastAsia" w:hAnsiTheme="majorHAnsi" w:cstheme="majorBidi"/>
      <w:b/>
      <w:color w:val="000000" w:themeColor="text1"/>
    </w:rPr>
  </w:style>
  <w:style w:type="paragraph" w:styleId="Ttulo6">
    <w:name w:val="heading 6"/>
    <w:basedOn w:val="Normal"/>
    <w:next w:val="Normal"/>
    <w:link w:val="Ttulo6Car"/>
    <w:uiPriority w:val="9"/>
    <w:semiHidden/>
    <w:unhideWhenUsed/>
    <w:qFormat/>
    <w:rsid w:val="009954DA"/>
    <w:pPr>
      <w:keepNext/>
      <w:keepLines/>
      <w:numPr>
        <w:ilvl w:val="5"/>
        <w:numId w:val="7"/>
      </w:numPr>
      <w:spacing w:before="200"/>
      <w:outlineLvl w:val="5"/>
    </w:pPr>
    <w:rPr>
      <w:rFonts w:asciiTheme="majorHAnsi" w:eastAsiaTheme="majorEastAsia" w:hAnsiTheme="majorHAnsi" w:cstheme="majorBidi"/>
      <w:i/>
      <w:iCs/>
      <w:color w:val="0E2D06" w:themeColor="accent1" w:themeShade="7F"/>
    </w:rPr>
  </w:style>
  <w:style w:type="paragraph" w:styleId="Ttulo7">
    <w:name w:val="heading 7"/>
    <w:basedOn w:val="Normal"/>
    <w:next w:val="Normal"/>
    <w:link w:val="Ttulo7Car"/>
    <w:uiPriority w:val="9"/>
    <w:semiHidden/>
    <w:unhideWhenUsed/>
    <w:qFormat/>
    <w:rsid w:val="009954DA"/>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954DA"/>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7417"/>
    <w:pPr>
      <w:tabs>
        <w:tab w:val="center" w:pos="4252"/>
        <w:tab w:val="right" w:pos="8504"/>
      </w:tabs>
    </w:pPr>
    <w:rPr>
      <w:color w:val="718188" w:themeColor="accent4"/>
    </w:rPr>
  </w:style>
  <w:style w:type="character" w:customStyle="1" w:styleId="EncabezadoCar">
    <w:name w:val="Encabezado Car"/>
    <w:basedOn w:val="Fuentedeprrafopredeter"/>
    <w:link w:val="Encabezado"/>
    <w:uiPriority w:val="99"/>
    <w:rsid w:val="002F7417"/>
    <w:rPr>
      <w:rFonts w:ascii="Arial" w:eastAsia="Times New Roman" w:hAnsi="Arial" w:cs="Times New Roman"/>
      <w:color w:val="718188" w:themeColor="accent4"/>
      <w:kern w:val="28"/>
      <w:sz w:val="20"/>
      <w:szCs w:val="24"/>
      <w:lang w:val="en-US"/>
    </w:rPr>
  </w:style>
  <w:style w:type="paragraph" w:styleId="Piedepgina">
    <w:name w:val="footer"/>
    <w:basedOn w:val="Normal"/>
    <w:link w:val="PiedepginaCar"/>
    <w:uiPriority w:val="99"/>
    <w:unhideWhenUsed/>
    <w:rsid w:val="002D69D3"/>
    <w:pPr>
      <w:tabs>
        <w:tab w:val="center" w:pos="4252"/>
        <w:tab w:val="right" w:pos="8504"/>
      </w:tabs>
    </w:pPr>
    <w:rPr>
      <w:color w:val="1D5C0C" w:themeColor="accent1"/>
    </w:rPr>
  </w:style>
  <w:style w:type="character" w:customStyle="1" w:styleId="PiedepginaCar">
    <w:name w:val="Pie de página Car"/>
    <w:basedOn w:val="Fuentedeprrafopredeter"/>
    <w:link w:val="Piedepgina"/>
    <w:uiPriority w:val="99"/>
    <w:rsid w:val="002D69D3"/>
    <w:rPr>
      <w:rFonts w:ascii="Arial" w:eastAsia="Times New Roman" w:hAnsi="Arial" w:cs="Times New Roman"/>
      <w:color w:val="1D5C0C" w:themeColor="accent1"/>
      <w:kern w:val="28"/>
      <w:sz w:val="20"/>
      <w:szCs w:val="24"/>
      <w:lang w:val="en-US"/>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Fecha">
    <w:name w:val="Date"/>
    <w:basedOn w:val="Normal"/>
    <w:next w:val="Normal"/>
    <w:link w:val="FechaCar"/>
    <w:rsid w:val="00415953"/>
    <w:pPr>
      <w:spacing w:before="480" w:after="480"/>
    </w:pPr>
    <w:rPr>
      <w:kern w:val="0"/>
    </w:rPr>
  </w:style>
  <w:style w:type="character" w:customStyle="1" w:styleId="FechaCar">
    <w:name w:val="Fecha Car"/>
    <w:basedOn w:val="Fuentedeprrafopredeter"/>
    <w:link w:val="Fecha"/>
    <w:rsid w:val="00415953"/>
    <w:rPr>
      <w:rFonts w:ascii="Times New Roman" w:eastAsia="Times New Roman" w:hAnsi="Times New Roman" w:cs="Times New Roman"/>
      <w:sz w:val="24"/>
      <w:szCs w:val="24"/>
      <w:lang w:val="en-US"/>
    </w:rPr>
  </w:style>
  <w:style w:type="paragraph" w:customStyle="1" w:styleId="Direccindeldestinatario">
    <w:name w:val="Dirección del destinatario"/>
    <w:basedOn w:val="Normal"/>
    <w:rsid w:val="00415953"/>
    <w:rPr>
      <w:kern w:val="0"/>
      <w:lang w:bidi="en-US"/>
    </w:rPr>
  </w:style>
  <w:style w:type="paragraph" w:styleId="Prrafodelista">
    <w:name w:val="List Paragraph"/>
    <w:basedOn w:val="Normal"/>
    <w:uiPriority w:val="34"/>
    <w:qFormat/>
    <w:rsid w:val="00415953"/>
    <w:pPr>
      <w:ind w:left="720"/>
      <w:contextualSpacing/>
    </w:pPr>
  </w:style>
  <w:style w:type="paragraph" w:styleId="Listaconvietas">
    <w:name w:val="List Bullet"/>
    <w:basedOn w:val="Normal"/>
    <w:uiPriority w:val="99"/>
    <w:unhideWhenUsed/>
    <w:rsid w:val="000A07D2"/>
    <w:pPr>
      <w:numPr>
        <w:numId w:val="1"/>
      </w:numPr>
      <w:ind w:left="357" w:hanging="357"/>
    </w:pPr>
  </w:style>
  <w:style w:type="paragraph" w:styleId="Listaconvietas2">
    <w:name w:val="List Bullet 2"/>
    <w:basedOn w:val="Normal"/>
    <w:uiPriority w:val="99"/>
    <w:unhideWhenUsed/>
    <w:rsid w:val="00EB4913"/>
    <w:pPr>
      <w:numPr>
        <w:numId w:val="2"/>
      </w:numPr>
      <w:tabs>
        <w:tab w:val="left" w:pos="644"/>
      </w:tabs>
    </w:pPr>
    <w:rPr>
      <w:lang w:val="es-ES"/>
    </w:rPr>
  </w:style>
  <w:style w:type="paragraph" w:styleId="Listaconvietas3">
    <w:name w:val="List Bullet 3"/>
    <w:basedOn w:val="Normal"/>
    <w:uiPriority w:val="99"/>
    <w:unhideWhenUsed/>
    <w:rsid w:val="003B7830"/>
    <w:pPr>
      <w:numPr>
        <w:numId w:val="3"/>
      </w:numPr>
      <w:ind w:left="924" w:hanging="357"/>
    </w:pPr>
  </w:style>
  <w:style w:type="paragraph" w:styleId="Listaconvietas4">
    <w:name w:val="List Bullet 4"/>
    <w:basedOn w:val="Normal"/>
    <w:uiPriority w:val="99"/>
    <w:unhideWhenUsed/>
    <w:rsid w:val="00D41AE6"/>
    <w:pPr>
      <w:numPr>
        <w:numId w:val="4"/>
      </w:numPr>
      <w:spacing w:before="60" w:after="60"/>
      <w:ind w:left="1208" w:hanging="357"/>
      <w:contextualSpacing/>
    </w:pPr>
  </w:style>
  <w:style w:type="paragraph" w:styleId="Listaconvietas5">
    <w:name w:val="List Bullet 5"/>
    <w:basedOn w:val="Normal"/>
    <w:uiPriority w:val="99"/>
    <w:unhideWhenUsed/>
    <w:rsid w:val="00D41AE6"/>
    <w:pPr>
      <w:numPr>
        <w:numId w:val="5"/>
      </w:numPr>
      <w:spacing w:before="60" w:after="60"/>
      <w:ind w:left="1491" w:hanging="357"/>
      <w:contextualSpacing/>
    </w:pPr>
  </w:style>
  <w:style w:type="character" w:customStyle="1" w:styleId="Ttulo1Car">
    <w:name w:val="Título 1 Car"/>
    <w:basedOn w:val="Fuentedeprrafopredeter"/>
    <w:link w:val="Ttulo1"/>
    <w:uiPriority w:val="9"/>
    <w:rsid w:val="00D03DB4"/>
    <w:rPr>
      <w:rFonts w:asciiTheme="majorHAnsi" w:eastAsiaTheme="majorEastAsia" w:hAnsiTheme="majorHAnsi" w:cstheme="majorBidi"/>
      <w:b/>
      <w:bCs/>
      <w:color w:val="1D5C0C" w:themeColor="accent1"/>
      <w:kern w:val="28"/>
      <w:sz w:val="28"/>
      <w:szCs w:val="28"/>
    </w:rPr>
  </w:style>
  <w:style w:type="character" w:customStyle="1" w:styleId="Ttulo2Car">
    <w:name w:val="Título 2 Car"/>
    <w:basedOn w:val="Fuentedeprrafopredeter"/>
    <w:link w:val="Ttulo2"/>
    <w:uiPriority w:val="9"/>
    <w:rsid w:val="00D03DB4"/>
    <w:rPr>
      <w:rFonts w:asciiTheme="majorHAnsi" w:eastAsia="Arial Unicode MS" w:hAnsiTheme="majorHAnsi" w:cstheme="majorBidi"/>
      <w:b/>
      <w:bCs/>
      <w:kern w:val="28"/>
      <w:sz w:val="24"/>
      <w:szCs w:val="26"/>
    </w:rPr>
  </w:style>
  <w:style w:type="character" w:customStyle="1" w:styleId="Ttulo3Car">
    <w:name w:val="Título 3 Car"/>
    <w:basedOn w:val="Fuentedeprrafopredeter"/>
    <w:link w:val="Ttulo3"/>
    <w:uiPriority w:val="9"/>
    <w:rsid w:val="00D03DB4"/>
    <w:rPr>
      <w:rFonts w:asciiTheme="majorHAnsi" w:eastAsia="Arial Unicode MS" w:hAnsiTheme="majorHAnsi" w:cstheme="majorBidi"/>
      <w:b/>
      <w:bCs/>
      <w:kern w:val="28"/>
      <w:sz w:val="24"/>
      <w:szCs w:val="24"/>
    </w:rPr>
  </w:style>
  <w:style w:type="character" w:customStyle="1" w:styleId="Ttulo4Car">
    <w:name w:val="Título 4 Car"/>
    <w:basedOn w:val="Fuentedeprrafopredeter"/>
    <w:link w:val="Ttulo4"/>
    <w:uiPriority w:val="9"/>
    <w:rsid w:val="007432C3"/>
    <w:rPr>
      <w:rFonts w:asciiTheme="majorHAnsi" w:eastAsiaTheme="majorEastAsia" w:hAnsiTheme="majorHAnsi" w:cstheme="majorBidi"/>
      <w:b/>
      <w:bCs/>
      <w:iCs/>
      <w:kern w:val="28"/>
      <w:szCs w:val="24"/>
      <w:lang w:val="ca-ES"/>
    </w:rPr>
  </w:style>
  <w:style w:type="character" w:customStyle="1" w:styleId="Ttulo5Car">
    <w:name w:val="Título 5 Car"/>
    <w:basedOn w:val="Fuentedeprrafopredeter"/>
    <w:link w:val="Ttulo5"/>
    <w:uiPriority w:val="9"/>
    <w:rsid w:val="00214EB7"/>
    <w:rPr>
      <w:rFonts w:asciiTheme="majorHAnsi" w:eastAsiaTheme="majorEastAsia" w:hAnsiTheme="majorHAnsi" w:cstheme="majorBidi"/>
      <w:b/>
      <w:color w:val="000000" w:themeColor="text1"/>
      <w:kern w:val="28"/>
      <w:sz w:val="24"/>
      <w:szCs w:val="24"/>
      <w:lang w:val="ca-ES"/>
    </w:rPr>
  </w:style>
  <w:style w:type="paragraph" w:styleId="Ttulo">
    <w:name w:val="Title"/>
    <w:basedOn w:val="Normal"/>
    <w:next w:val="Normal"/>
    <w:link w:val="TtuloCar"/>
    <w:uiPriority w:val="10"/>
    <w:qFormat/>
    <w:rsid w:val="00241327"/>
    <w:pPr>
      <w:spacing w:before="0" w:after="300"/>
      <w:ind w:left="567"/>
      <w:contextualSpacing/>
      <w:jc w:val="left"/>
    </w:pPr>
    <w:rPr>
      <w:rFonts w:ascii="Arial Rounded MT Bold" w:eastAsiaTheme="majorEastAsia" w:hAnsi="Arial Rounded MT Bold" w:cstheme="majorBidi"/>
      <w:spacing w:val="5"/>
      <w:sz w:val="44"/>
      <w:szCs w:val="52"/>
    </w:rPr>
  </w:style>
  <w:style w:type="character" w:customStyle="1" w:styleId="TtuloCar">
    <w:name w:val="Título Car"/>
    <w:basedOn w:val="Fuentedeprrafopredeter"/>
    <w:link w:val="Ttulo"/>
    <w:uiPriority w:val="10"/>
    <w:rsid w:val="00241327"/>
    <w:rPr>
      <w:rFonts w:ascii="Arial Rounded MT Bold" w:eastAsiaTheme="majorEastAsia" w:hAnsi="Arial Rounded MT Bold" w:cstheme="majorBidi"/>
      <w:spacing w:val="5"/>
      <w:kern w:val="28"/>
      <w:sz w:val="44"/>
      <w:szCs w:val="52"/>
    </w:rPr>
  </w:style>
  <w:style w:type="paragraph" w:customStyle="1" w:styleId="Bullet2">
    <w:name w:val="Bullet 2"/>
    <w:basedOn w:val="Normal"/>
    <w:rsid w:val="00320E12"/>
    <w:pPr>
      <w:numPr>
        <w:numId w:val="6"/>
      </w:numPr>
    </w:pPr>
    <w:rPr>
      <w:sz w:val="22"/>
      <w:szCs w:val="20"/>
      <w:lang w:val="es-ES_tradnl"/>
    </w:rPr>
  </w:style>
  <w:style w:type="table" w:styleId="Tablaconcuadrcula">
    <w:name w:val="Table Grid"/>
    <w:basedOn w:val="Tablanormal"/>
    <w:rsid w:val="00320E12"/>
    <w:pPr>
      <w:spacing w:after="0" w:line="240" w:lineRule="auto"/>
      <w:jc w:val="both"/>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41327"/>
    <w:pPr>
      <w:numPr>
        <w:ilvl w:val="1"/>
      </w:numPr>
      <w:ind w:left="567"/>
      <w:jc w:val="left"/>
    </w:pPr>
    <w:rPr>
      <w:rFonts w:ascii="Arial Rounded MT Bold" w:eastAsiaTheme="majorEastAsia" w:hAnsi="Arial Rounded MT Bold" w:cstheme="majorBidi"/>
      <w:iCs/>
      <w:color w:val="1D5C0C" w:themeColor="accent1"/>
      <w:spacing w:val="15"/>
      <w:sz w:val="32"/>
    </w:rPr>
  </w:style>
  <w:style w:type="character" w:customStyle="1" w:styleId="SubttuloCar">
    <w:name w:val="Subtítulo Car"/>
    <w:basedOn w:val="Fuentedeprrafopredeter"/>
    <w:link w:val="Subttulo"/>
    <w:uiPriority w:val="11"/>
    <w:rsid w:val="00241327"/>
    <w:rPr>
      <w:rFonts w:ascii="Arial Rounded MT Bold" w:eastAsiaTheme="majorEastAsia" w:hAnsi="Arial Rounded MT Bold" w:cstheme="majorBidi"/>
      <w:iCs/>
      <w:color w:val="1D5C0C" w:themeColor="accent1"/>
      <w:spacing w:val="15"/>
      <w:kern w:val="28"/>
      <w:sz w:val="32"/>
      <w:szCs w:val="24"/>
    </w:rPr>
  </w:style>
  <w:style w:type="paragraph" w:styleId="TDC2">
    <w:name w:val="toc 2"/>
    <w:basedOn w:val="Normal"/>
    <w:next w:val="Normal"/>
    <w:autoRedefine/>
    <w:uiPriority w:val="39"/>
    <w:unhideWhenUsed/>
    <w:rsid w:val="0092140B"/>
    <w:pPr>
      <w:spacing w:after="100"/>
      <w:ind w:left="200"/>
    </w:pPr>
  </w:style>
  <w:style w:type="paragraph" w:styleId="TDC1">
    <w:name w:val="toc 1"/>
    <w:basedOn w:val="Normal"/>
    <w:next w:val="Normal"/>
    <w:autoRedefine/>
    <w:uiPriority w:val="39"/>
    <w:unhideWhenUsed/>
    <w:rsid w:val="00F8079E"/>
    <w:pPr>
      <w:tabs>
        <w:tab w:val="left" w:pos="400"/>
        <w:tab w:val="right" w:leader="dot" w:pos="8847"/>
      </w:tabs>
      <w:spacing w:after="100"/>
    </w:pPr>
    <w:rPr>
      <w:color w:val="000000" w:themeColor="text1"/>
    </w:rPr>
  </w:style>
  <w:style w:type="paragraph" w:styleId="TDC3">
    <w:name w:val="toc 3"/>
    <w:basedOn w:val="Normal"/>
    <w:next w:val="Normal"/>
    <w:autoRedefine/>
    <w:uiPriority w:val="39"/>
    <w:unhideWhenUsed/>
    <w:rsid w:val="0092140B"/>
    <w:pPr>
      <w:spacing w:after="100"/>
      <w:ind w:left="400"/>
    </w:pPr>
  </w:style>
  <w:style w:type="character" w:styleId="Hipervnculo">
    <w:name w:val="Hyperlink"/>
    <w:basedOn w:val="Fuentedeprrafopredeter"/>
    <w:uiPriority w:val="99"/>
    <w:unhideWhenUsed/>
    <w:rsid w:val="0092140B"/>
    <w:rPr>
      <w:color w:val="C0DE8E" w:themeColor="hyperlink"/>
      <w:u w:val="single"/>
    </w:rPr>
  </w:style>
  <w:style w:type="character" w:customStyle="1" w:styleId="Ttulo6Car">
    <w:name w:val="Título 6 Car"/>
    <w:basedOn w:val="Fuentedeprrafopredeter"/>
    <w:link w:val="Ttulo6"/>
    <w:uiPriority w:val="9"/>
    <w:semiHidden/>
    <w:rsid w:val="009954DA"/>
    <w:rPr>
      <w:rFonts w:asciiTheme="majorHAnsi" w:eastAsiaTheme="majorEastAsia" w:hAnsiTheme="majorHAnsi" w:cstheme="majorBidi"/>
      <w:i/>
      <w:iCs/>
      <w:color w:val="0E2D06" w:themeColor="accent1" w:themeShade="7F"/>
      <w:kern w:val="28"/>
      <w:sz w:val="24"/>
      <w:szCs w:val="24"/>
      <w:lang w:val="ca-ES"/>
    </w:rPr>
  </w:style>
  <w:style w:type="character" w:customStyle="1" w:styleId="Ttulo7Car">
    <w:name w:val="Título 7 Car"/>
    <w:basedOn w:val="Fuentedeprrafopredeter"/>
    <w:link w:val="Ttulo7"/>
    <w:uiPriority w:val="9"/>
    <w:semiHidden/>
    <w:rsid w:val="009954DA"/>
    <w:rPr>
      <w:rFonts w:asciiTheme="majorHAnsi" w:eastAsiaTheme="majorEastAsia" w:hAnsiTheme="majorHAnsi" w:cstheme="majorBidi"/>
      <w:i/>
      <w:iCs/>
      <w:color w:val="404040" w:themeColor="text1" w:themeTint="BF"/>
      <w:kern w:val="28"/>
      <w:sz w:val="24"/>
      <w:szCs w:val="24"/>
      <w:lang w:val="ca-E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404040" w:themeColor="text1" w:themeTint="BF"/>
      <w:kern w:val="28"/>
      <w:sz w:val="24"/>
      <w:szCs w:val="20"/>
      <w:lang w:val="ca-E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404040" w:themeColor="text1" w:themeTint="BF"/>
      <w:kern w:val="28"/>
      <w:sz w:val="24"/>
      <w:szCs w:val="20"/>
      <w:lang w:val="ca-ES"/>
    </w:rPr>
  </w:style>
  <w:style w:type="paragraph" w:styleId="Epgrafe">
    <w:name w:val="caption"/>
    <w:basedOn w:val="Normal"/>
    <w:next w:val="Normal"/>
    <w:uiPriority w:val="35"/>
    <w:unhideWhenUsed/>
    <w:qFormat/>
    <w:rsid w:val="00902751"/>
    <w:pPr>
      <w:spacing w:after="0"/>
      <w:jc w:val="center"/>
    </w:pPr>
    <w:rPr>
      <w:bCs/>
      <w:sz w:val="20"/>
      <w:szCs w:val="18"/>
      <w:lang w:val="es-ES"/>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Ind w:w="0" w:type="dxa"/>
      <w:tblBorders>
        <w:top w:val="single" w:sz="8" w:space="0" w:color="1D5C0C" w:themeColor="accent1"/>
        <w:left w:val="single" w:sz="8" w:space="0" w:color="1D5C0C" w:themeColor="accent1"/>
        <w:bottom w:val="single" w:sz="8" w:space="0" w:color="1D5C0C" w:themeColor="accent1"/>
        <w:right w:val="single" w:sz="8" w:space="0" w:color="1D5C0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D5C0C" w:themeFill="accent1"/>
      </w:tcPr>
    </w:tblStylePr>
    <w:tblStylePr w:type="lastRow">
      <w:pPr>
        <w:spacing w:before="0" w:after="0" w:line="240" w:lineRule="auto"/>
      </w:pPr>
      <w:rPr>
        <w:b/>
        <w:bCs/>
      </w:rPr>
      <w:tblPr/>
      <w:tcPr>
        <w:tcBorders>
          <w:top w:val="double" w:sz="6" w:space="0" w:color="1D5C0C" w:themeColor="accent1"/>
          <w:left w:val="single" w:sz="8" w:space="0" w:color="1D5C0C" w:themeColor="accent1"/>
          <w:bottom w:val="single" w:sz="8" w:space="0" w:color="1D5C0C" w:themeColor="accent1"/>
          <w:right w:val="single" w:sz="8" w:space="0" w:color="1D5C0C" w:themeColor="accent1"/>
        </w:tcBorders>
      </w:tcPr>
    </w:tblStylePr>
    <w:tblStylePr w:type="firstCol">
      <w:rPr>
        <w:b/>
        <w:bCs/>
      </w:rPr>
    </w:tblStylePr>
    <w:tblStylePr w:type="lastCol">
      <w:rPr>
        <w:b/>
        <w:bCs/>
      </w:rPr>
    </w:tblStylePr>
    <w:tblStylePr w:type="band1Vert">
      <w:tblPr/>
      <w:tcPr>
        <w:tcBorders>
          <w:top w:val="single" w:sz="8" w:space="0" w:color="1D5C0C" w:themeColor="accent1"/>
          <w:left w:val="single" w:sz="8" w:space="0" w:color="1D5C0C" w:themeColor="accent1"/>
          <w:bottom w:val="single" w:sz="8" w:space="0" w:color="1D5C0C" w:themeColor="accent1"/>
          <w:right w:val="single" w:sz="8" w:space="0" w:color="1D5C0C" w:themeColor="accent1"/>
        </w:tcBorders>
      </w:tcPr>
    </w:tblStylePr>
    <w:tblStylePr w:type="band1Horz">
      <w:tblPr/>
      <w:tcPr>
        <w:tcBorders>
          <w:top w:val="single" w:sz="8" w:space="0" w:color="1D5C0C" w:themeColor="accent1"/>
          <w:left w:val="single" w:sz="8" w:space="0" w:color="1D5C0C" w:themeColor="accent1"/>
          <w:bottom w:val="single" w:sz="8" w:space="0" w:color="1D5C0C" w:themeColor="accent1"/>
          <w:right w:val="single" w:sz="8" w:space="0" w:color="1D5C0C" w:themeColor="accent1"/>
        </w:tcBorders>
      </w:tcPr>
    </w:tblStylePr>
  </w:style>
  <w:style w:type="paragraph" w:styleId="Tabladeilustraciones">
    <w:name w:val="table of figures"/>
    <w:basedOn w:val="Normal"/>
    <w:next w:val="Normal"/>
    <w:uiPriority w:val="99"/>
    <w:unhideWhenUsed/>
    <w:rsid w:val="00AD4A95"/>
  </w:style>
  <w:style w:type="table" w:styleId="Cuadrculamedia1-nfasis5">
    <w:name w:val="Medium Grid 1 Accent 5"/>
    <w:basedOn w:val="Tablanormal"/>
    <w:uiPriority w:val="67"/>
    <w:rsid w:val="00214EB7"/>
    <w:pPr>
      <w:spacing w:after="0" w:line="240" w:lineRule="auto"/>
    </w:pPr>
    <w:tblPr>
      <w:tblStyleRowBandSize w:val="1"/>
      <w:tblStyleColBandSize w:val="1"/>
      <w:tblInd w:w="0" w:type="dxa"/>
      <w:tbl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single" w:sz="8" w:space="0" w:color="B7BFC3" w:themeColor="accent5" w:themeTint="BF"/>
        <w:insideV w:val="single" w:sz="8" w:space="0" w:color="B7BFC3" w:themeColor="accent5" w:themeTint="BF"/>
      </w:tblBorders>
      <w:tblCellMar>
        <w:top w:w="0" w:type="dxa"/>
        <w:left w:w="108" w:type="dxa"/>
        <w:bottom w:w="0" w:type="dxa"/>
        <w:right w:w="108" w:type="dxa"/>
      </w:tblCellMar>
    </w:tblPr>
    <w:tcPr>
      <w:shd w:val="clear" w:color="auto" w:fill="E7E9EB" w:themeFill="accent5" w:themeFillTint="3F"/>
    </w:tcPr>
    <w:tblStylePr w:type="firstRow">
      <w:rPr>
        <w:b/>
        <w:bCs/>
      </w:rPr>
    </w:tblStylePr>
    <w:tblStylePr w:type="lastRow">
      <w:rPr>
        <w:b/>
        <w:bCs/>
      </w:rPr>
      <w:tblPr/>
      <w:tcPr>
        <w:tcBorders>
          <w:top w:val="single" w:sz="18" w:space="0" w:color="B7BFC3" w:themeColor="accent5" w:themeTint="BF"/>
        </w:tcBorders>
      </w:tcPr>
    </w:tblStylePr>
    <w:tblStylePr w:type="firstCol">
      <w:rPr>
        <w:b/>
        <w:bCs/>
      </w:rPr>
    </w:tblStylePr>
    <w:tblStylePr w:type="lastCol">
      <w:rPr>
        <w:b/>
        <w:bCs/>
      </w:rPr>
    </w:tblStylePr>
    <w:tblStylePr w:type="band1Vert">
      <w:tblPr/>
      <w:tcPr>
        <w:shd w:val="clear" w:color="auto" w:fill="CFD4D7" w:themeFill="accent5" w:themeFillTint="7F"/>
      </w:tcPr>
    </w:tblStylePr>
    <w:tblStylePr w:type="band1Horz">
      <w:tblPr/>
      <w:tcPr>
        <w:shd w:val="clear" w:color="auto" w:fill="CFD4D7" w:themeFill="accent5" w:themeFillTint="7F"/>
      </w:tcPr>
    </w:tblStylePr>
  </w:style>
  <w:style w:type="table" w:styleId="Listaclara-nfasis5">
    <w:name w:val="Light List Accent 5"/>
    <w:basedOn w:val="Tablanormal"/>
    <w:uiPriority w:val="61"/>
    <w:rsid w:val="003B7830"/>
    <w:pPr>
      <w:spacing w:after="0" w:line="240" w:lineRule="auto"/>
    </w:pPr>
    <w:tblPr>
      <w:tblStyleRowBandSize w:val="1"/>
      <w:tblStyleColBandSize w:val="1"/>
      <w:tblInd w:w="0" w:type="dxa"/>
      <w:tblBorders>
        <w:top w:val="single" w:sz="8" w:space="0" w:color="9FAAAF" w:themeColor="accent5"/>
        <w:left w:val="single" w:sz="8" w:space="0" w:color="9FAAAF" w:themeColor="accent5"/>
        <w:bottom w:val="single" w:sz="8" w:space="0" w:color="9FAAAF" w:themeColor="accent5"/>
        <w:right w:val="single" w:sz="8" w:space="0" w:color="9FAAA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AAAF" w:themeFill="accent5"/>
      </w:tcPr>
    </w:tblStylePr>
    <w:tblStylePr w:type="lastRow">
      <w:pPr>
        <w:spacing w:before="0" w:after="0" w:line="240" w:lineRule="auto"/>
      </w:pPr>
      <w:rPr>
        <w:b/>
        <w:bCs/>
      </w:rPr>
      <w:tblPr/>
      <w:tcPr>
        <w:tcBorders>
          <w:top w:val="double" w:sz="6" w:space="0" w:color="9FAAAF" w:themeColor="accent5"/>
          <w:left w:val="single" w:sz="8" w:space="0" w:color="9FAAAF" w:themeColor="accent5"/>
          <w:bottom w:val="single" w:sz="8" w:space="0" w:color="9FAAAF" w:themeColor="accent5"/>
          <w:right w:val="single" w:sz="8" w:space="0" w:color="9FAAAF" w:themeColor="accent5"/>
        </w:tcBorders>
      </w:tcPr>
    </w:tblStylePr>
    <w:tblStylePr w:type="firstCol">
      <w:rPr>
        <w:b/>
        <w:bCs/>
      </w:rPr>
    </w:tblStylePr>
    <w:tblStylePr w:type="lastCol">
      <w:rPr>
        <w:b/>
        <w:bCs/>
      </w:rPr>
    </w:tblStylePr>
    <w:tblStylePr w:type="band1Vert">
      <w:tblPr/>
      <w:tcPr>
        <w:tcBorders>
          <w:top w:val="single" w:sz="8" w:space="0" w:color="9FAAAF" w:themeColor="accent5"/>
          <w:left w:val="single" w:sz="8" w:space="0" w:color="9FAAAF" w:themeColor="accent5"/>
          <w:bottom w:val="single" w:sz="8" w:space="0" w:color="9FAAAF" w:themeColor="accent5"/>
          <w:right w:val="single" w:sz="8" w:space="0" w:color="9FAAAF" w:themeColor="accent5"/>
        </w:tcBorders>
      </w:tcPr>
    </w:tblStylePr>
    <w:tblStylePr w:type="band1Horz">
      <w:tblPr/>
      <w:tcPr>
        <w:tcBorders>
          <w:top w:val="single" w:sz="8" w:space="0" w:color="9FAAAF" w:themeColor="accent5"/>
          <w:left w:val="single" w:sz="8" w:space="0" w:color="9FAAAF" w:themeColor="accent5"/>
          <w:bottom w:val="single" w:sz="8" w:space="0" w:color="9FAAAF" w:themeColor="accent5"/>
          <w:right w:val="single" w:sz="8" w:space="0" w:color="9FAAAF" w:themeColor="accent5"/>
        </w:tcBorders>
      </w:tcPr>
    </w:tblStylePr>
  </w:style>
  <w:style w:type="table" w:styleId="Sombreadomedio1-nfasis5">
    <w:name w:val="Medium Shading 1 Accent 5"/>
    <w:basedOn w:val="Tablanormal"/>
    <w:uiPriority w:val="63"/>
    <w:rsid w:val="003B7830"/>
    <w:pPr>
      <w:spacing w:after="0" w:line="240" w:lineRule="auto"/>
    </w:pPr>
    <w:tblPr>
      <w:tblStyleRowBandSize w:val="1"/>
      <w:tblStyleColBandSize w:val="1"/>
      <w:tblInd w:w="0" w:type="dxa"/>
      <w:tbl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single" w:sz="8" w:space="0" w:color="B7BFC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nil"/>
          <w:insideV w:val="nil"/>
        </w:tcBorders>
        <w:shd w:val="clear" w:color="auto" w:fill="9FAAAF" w:themeFill="accent5"/>
      </w:tcPr>
    </w:tblStylePr>
    <w:tblStylePr w:type="lastRow">
      <w:pPr>
        <w:spacing w:before="0" w:after="0" w:line="240" w:lineRule="auto"/>
      </w:pPr>
      <w:rPr>
        <w:b/>
        <w:bCs/>
      </w:rPr>
      <w:tblPr/>
      <w:tcPr>
        <w:tcBorders>
          <w:top w:val="double" w:sz="6"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9EB" w:themeFill="accent5" w:themeFillTint="3F"/>
      </w:tcPr>
    </w:tblStylePr>
    <w:tblStylePr w:type="band1Horz">
      <w:tblPr/>
      <w:tcPr>
        <w:tcBorders>
          <w:insideH w:val="nil"/>
          <w:insideV w:val="nil"/>
        </w:tcBorders>
        <w:shd w:val="clear" w:color="auto" w:fill="E7E9EB" w:themeFill="accent5" w:themeFillTint="3F"/>
      </w:tcPr>
    </w:tblStylePr>
    <w:tblStylePr w:type="band2Horz">
      <w:tblPr/>
      <w:tcPr>
        <w:tcBorders>
          <w:insideH w:val="nil"/>
          <w:insideV w:val="nil"/>
        </w:tcBorders>
      </w:tcPr>
    </w:tblStylePr>
  </w:style>
  <w:style w:type="character" w:styleId="Referenciasutil">
    <w:name w:val="Subtle Reference"/>
    <w:basedOn w:val="Fuentedeprrafopredeter"/>
    <w:uiPriority w:val="31"/>
    <w:qFormat/>
    <w:rsid w:val="00772397"/>
    <w:rPr>
      <w:rFonts w:asciiTheme="minorHAnsi" w:eastAsia="Arial Unicode MS" w:hAnsiTheme="minorHAnsi"/>
      <w:i/>
      <w:smallCaps/>
      <w:sz w:val="16"/>
    </w:rPr>
  </w:style>
  <w:style w:type="table" w:styleId="Cuadrculamedia3-nfasis2">
    <w:name w:val="Medium Grid 3 Accent 2"/>
    <w:basedOn w:val="Tablanormal"/>
    <w:uiPriority w:val="69"/>
    <w:rsid w:val="00D03DB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F4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81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81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81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81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78" w:themeFill="accent2" w:themeFillTint="7F"/>
      </w:tcPr>
    </w:tblStylePr>
  </w:style>
  <w:style w:type="table" w:customStyle="1" w:styleId="Sombreadoclaro1">
    <w:name w:val="Sombreado claro1"/>
    <w:basedOn w:val="Tablanormal"/>
    <w:uiPriority w:val="60"/>
    <w:rsid w:val="00B71F3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2">
    <w:name w:val="Light List Accent 2"/>
    <w:basedOn w:val="Tablanormal"/>
    <w:uiPriority w:val="61"/>
    <w:rsid w:val="00B71F38"/>
    <w:pPr>
      <w:spacing w:after="0" w:line="240" w:lineRule="auto"/>
    </w:pPr>
    <w:tblPr>
      <w:tblStyleRowBandSize w:val="1"/>
      <w:tblStyleColBandSize w:val="1"/>
      <w:tblInd w:w="0" w:type="dxa"/>
      <w:tblBorders>
        <w:top w:val="single" w:sz="8" w:space="0" w:color="73A81C" w:themeColor="accent2"/>
        <w:left w:val="single" w:sz="8" w:space="0" w:color="73A81C" w:themeColor="accent2"/>
        <w:bottom w:val="single" w:sz="8" w:space="0" w:color="73A81C" w:themeColor="accent2"/>
        <w:right w:val="single" w:sz="8" w:space="0" w:color="73A81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A81C" w:themeFill="accent2"/>
      </w:tcPr>
    </w:tblStylePr>
    <w:tblStylePr w:type="lastRow">
      <w:pPr>
        <w:spacing w:before="0" w:after="0" w:line="240" w:lineRule="auto"/>
      </w:pPr>
      <w:rPr>
        <w:b/>
        <w:bCs/>
      </w:rPr>
      <w:tblPr/>
      <w:tcPr>
        <w:tcBorders>
          <w:top w:val="double" w:sz="6" w:space="0" w:color="73A81C" w:themeColor="accent2"/>
          <w:left w:val="single" w:sz="8" w:space="0" w:color="73A81C" w:themeColor="accent2"/>
          <w:bottom w:val="single" w:sz="8" w:space="0" w:color="73A81C" w:themeColor="accent2"/>
          <w:right w:val="single" w:sz="8" w:space="0" w:color="73A81C" w:themeColor="accent2"/>
        </w:tcBorders>
      </w:tcPr>
    </w:tblStylePr>
    <w:tblStylePr w:type="firstCol">
      <w:rPr>
        <w:b/>
        <w:bCs/>
      </w:rPr>
    </w:tblStylePr>
    <w:tblStylePr w:type="lastCol">
      <w:rPr>
        <w:b/>
        <w:bCs/>
      </w:rPr>
    </w:tblStylePr>
    <w:tblStylePr w:type="band1Vert">
      <w:tblPr/>
      <w:tcPr>
        <w:tcBorders>
          <w:top w:val="single" w:sz="8" w:space="0" w:color="73A81C" w:themeColor="accent2"/>
          <w:left w:val="single" w:sz="8" w:space="0" w:color="73A81C" w:themeColor="accent2"/>
          <w:bottom w:val="single" w:sz="8" w:space="0" w:color="73A81C" w:themeColor="accent2"/>
          <w:right w:val="single" w:sz="8" w:space="0" w:color="73A81C" w:themeColor="accent2"/>
        </w:tcBorders>
      </w:tcPr>
    </w:tblStylePr>
    <w:tblStylePr w:type="band1Horz">
      <w:tblPr/>
      <w:tcPr>
        <w:tcBorders>
          <w:top w:val="single" w:sz="8" w:space="0" w:color="73A81C" w:themeColor="accent2"/>
          <w:left w:val="single" w:sz="8" w:space="0" w:color="73A81C" w:themeColor="accent2"/>
          <w:bottom w:val="single" w:sz="8" w:space="0" w:color="73A81C" w:themeColor="accent2"/>
          <w:right w:val="single" w:sz="8" w:space="0" w:color="73A81C" w:themeColor="accent2"/>
        </w:tcBorders>
      </w:tcPr>
    </w:tblStylePr>
  </w:style>
  <w:style w:type="character" w:customStyle="1" w:styleId="apple-converted-space">
    <w:name w:val="apple-converted-space"/>
    <w:basedOn w:val="Fuentedeprrafopredeter"/>
    <w:rsid w:val="00B71F38"/>
  </w:style>
  <w:style w:type="paragraph" w:customStyle="1" w:styleId="Default">
    <w:name w:val="Default"/>
    <w:rsid w:val="00B71F38"/>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3E2758"/>
    <w:pPr>
      <w:spacing w:before="100" w:beforeAutospacing="1" w:after="100" w:afterAutospacing="1"/>
      <w:jc w:val="left"/>
    </w:pPr>
    <w:rPr>
      <w:rFonts w:ascii="Times New Roman" w:hAnsi="Times New Roman"/>
      <w:kern w:val="0"/>
      <w:lang w:val="en-US"/>
    </w:rPr>
  </w:style>
  <w:style w:type="paragraph" w:customStyle="1" w:styleId="p3">
    <w:name w:val="p3"/>
    <w:basedOn w:val="Normal"/>
    <w:rsid w:val="003E2758"/>
    <w:pPr>
      <w:spacing w:before="100" w:beforeAutospacing="1" w:after="100" w:afterAutospacing="1"/>
      <w:jc w:val="left"/>
    </w:pPr>
    <w:rPr>
      <w:rFonts w:ascii="Times New Roman" w:hAnsi="Times New Roman"/>
      <w:kern w:val="0"/>
      <w:lang w:val="en-US"/>
    </w:rPr>
  </w:style>
  <w:style w:type="paragraph" w:customStyle="1" w:styleId="p2">
    <w:name w:val="p2"/>
    <w:basedOn w:val="Normal"/>
    <w:rsid w:val="003E2758"/>
    <w:pPr>
      <w:spacing w:before="100" w:beforeAutospacing="1" w:after="100" w:afterAutospacing="1"/>
      <w:jc w:val="left"/>
    </w:pPr>
    <w:rPr>
      <w:rFonts w:ascii="Times New Roman" w:hAnsi="Times New Roman"/>
      <w:kern w:val="0"/>
      <w:lang w:val="en-US"/>
    </w:rPr>
  </w:style>
  <w:style w:type="paragraph" w:customStyle="1" w:styleId="p1">
    <w:name w:val="p1"/>
    <w:basedOn w:val="Normal"/>
    <w:rsid w:val="00D16B04"/>
    <w:pPr>
      <w:spacing w:before="100" w:beforeAutospacing="1" w:after="100" w:afterAutospacing="1"/>
      <w:jc w:val="left"/>
    </w:pPr>
    <w:rPr>
      <w:rFonts w:ascii="Times New Roman" w:hAnsi="Times New Roman"/>
      <w:kern w:val="0"/>
      <w:lang w:val="en-US"/>
    </w:rPr>
  </w:style>
  <w:style w:type="table" w:styleId="Listamedia1-nfasis5">
    <w:name w:val="Medium List 1 Accent 5"/>
    <w:basedOn w:val="Tablanormal"/>
    <w:uiPriority w:val="65"/>
    <w:rsid w:val="0013691C"/>
    <w:pPr>
      <w:spacing w:after="0" w:line="240" w:lineRule="auto"/>
    </w:pPr>
    <w:rPr>
      <w:color w:val="000000" w:themeColor="text1"/>
    </w:rPr>
    <w:tblPr>
      <w:tblStyleRowBandSize w:val="1"/>
      <w:tblStyleColBandSize w:val="1"/>
      <w:tblInd w:w="0" w:type="dxa"/>
      <w:tblBorders>
        <w:top w:val="single" w:sz="8" w:space="0" w:color="9FAAAF" w:themeColor="accent5"/>
        <w:bottom w:val="single" w:sz="8" w:space="0" w:color="9FAAA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AAAF" w:themeColor="accent5"/>
        </w:tcBorders>
      </w:tcPr>
    </w:tblStylePr>
    <w:tblStylePr w:type="lastRow">
      <w:rPr>
        <w:b/>
        <w:bCs/>
        <w:color w:val="9FAAAF" w:themeColor="text2"/>
      </w:rPr>
      <w:tblPr/>
      <w:tcPr>
        <w:tcBorders>
          <w:top w:val="single" w:sz="8" w:space="0" w:color="9FAAAF" w:themeColor="accent5"/>
          <w:bottom w:val="single" w:sz="8" w:space="0" w:color="9FAAAF" w:themeColor="accent5"/>
        </w:tcBorders>
      </w:tcPr>
    </w:tblStylePr>
    <w:tblStylePr w:type="firstCol">
      <w:rPr>
        <w:b/>
        <w:bCs/>
      </w:rPr>
    </w:tblStylePr>
    <w:tblStylePr w:type="lastCol">
      <w:rPr>
        <w:b/>
        <w:bCs/>
      </w:rPr>
      <w:tblPr/>
      <w:tcPr>
        <w:tcBorders>
          <w:top w:val="single" w:sz="8" w:space="0" w:color="9FAAAF" w:themeColor="accent5"/>
          <w:bottom w:val="single" w:sz="8" w:space="0" w:color="9FAAAF" w:themeColor="accent5"/>
        </w:tcBorders>
      </w:tcPr>
    </w:tblStylePr>
    <w:tblStylePr w:type="band1Vert">
      <w:tblPr/>
      <w:tcPr>
        <w:shd w:val="clear" w:color="auto" w:fill="E7E9EB" w:themeFill="accent5" w:themeFillTint="3F"/>
      </w:tcPr>
    </w:tblStylePr>
    <w:tblStylePr w:type="band1Horz">
      <w:tblPr/>
      <w:tcPr>
        <w:shd w:val="clear" w:color="auto" w:fill="E7E9EB" w:themeFill="accent5" w:themeFillTint="3F"/>
      </w:tcPr>
    </w:tblStylePr>
  </w:style>
  <w:style w:type="table" w:styleId="Sombreadoclaro-nfasis4">
    <w:name w:val="Light Shading Accent 4"/>
    <w:basedOn w:val="Tablanormal"/>
    <w:uiPriority w:val="60"/>
    <w:rsid w:val="0013691C"/>
    <w:pPr>
      <w:spacing w:after="0" w:line="240" w:lineRule="auto"/>
    </w:pPr>
    <w:rPr>
      <w:color w:val="546065" w:themeColor="accent4" w:themeShade="BF"/>
    </w:rPr>
    <w:tblPr>
      <w:tblStyleRowBandSize w:val="1"/>
      <w:tblStyleColBandSize w:val="1"/>
      <w:tblInd w:w="0" w:type="dxa"/>
      <w:tblBorders>
        <w:top w:val="single" w:sz="8" w:space="0" w:color="718188" w:themeColor="accent4"/>
        <w:bottom w:val="single" w:sz="8" w:space="0" w:color="71818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8188" w:themeColor="accent4"/>
          <w:left w:val="nil"/>
          <w:bottom w:val="single" w:sz="8" w:space="0" w:color="718188" w:themeColor="accent4"/>
          <w:right w:val="nil"/>
          <w:insideH w:val="nil"/>
          <w:insideV w:val="nil"/>
        </w:tcBorders>
      </w:tcPr>
    </w:tblStylePr>
    <w:tblStylePr w:type="lastRow">
      <w:pPr>
        <w:spacing w:before="0" w:after="0" w:line="240" w:lineRule="auto"/>
      </w:pPr>
      <w:rPr>
        <w:b/>
        <w:bCs/>
      </w:rPr>
      <w:tblPr/>
      <w:tcPr>
        <w:tcBorders>
          <w:top w:val="single" w:sz="8" w:space="0" w:color="718188" w:themeColor="accent4"/>
          <w:left w:val="nil"/>
          <w:bottom w:val="single" w:sz="8" w:space="0" w:color="71818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4" w:themeFillTint="3F"/>
      </w:tcPr>
    </w:tblStylePr>
    <w:tblStylePr w:type="band1Horz">
      <w:tblPr/>
      <w:tcPr>
        <w:tcBorders>
          <w:left w:val="nil"/>
          <w:right w:val="nil"/>
          <w:insideH w:val="nil"/>
          <w:insideV w:val="nil"/>
        </w:tcBorders>
        <w:shd w:val="clear" w:color="auto" w:fill="DBDFE1" w:themeFill="accent4" w:themeFillTint="3F"/>
      </w:tcPr>
    </w:tblStylePr>
  </w:style>
  <w:style w:type="table" w:styleId="Sombreadoclaro-nfasis5">
    <w:name w:val="Light Shading Accent 5"/>
    <w:basedOn w:val="Tablanormal"/>
    <w:uiPriority w:val="60"/>
    <w:rsid w:val="001D568E"/>
    <w:pPr>
      <w:spacing w:after="0" w:line="240" w:lineRule="auto"/>
    </w:pPr>
    <w:rPr>
      <w:color w:val="718188" w:themeColor="accent5" w:themeShade="BF"/>
    </w:rPr>
    <w:tblPr>
      <w:tblStyleRowBandSize w:val="1"/>
      <w:tblStyleColBandSize w:val="1"/>
      <w:tblInd w:w="0" w:type="dxa"/>
      <w:tblBorders>
        <w:top w:val="single" w:sz="8" w:space="0" w:color="9FAAAF" w:themeColor="accent5"/>
        <w:bottom w:val="single" w:sz="8" w:space="0" w:color="9FAAA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AAAF" w:themeColor="accent5"/>
          <w:left w:val="nil"/>
          <w:bottom w:val="single" w:sz="8" w:space="0" w:color="9FAAAF" w:themeColor="accent5"/>
          <w:right w:val="nil"/>
          <w:insideH w:val="nil"/>
          <w:insideV w:val="nil"/>
        </w:tcBorders>
      </w:tcPr>
    </w:tblStylePr>
    <w:tblStylePr w:type="lastRow">
      <w:pPr>
        <w:spacing w:before="0" w:after="0" w:line="240" w:lineRule="auto"/>
      </w:pPr>
      <w:rPr>
        <w:b/>
        <w:bCs/>
      </w:rPr>
      <w:tblPr/>
      <w:tcPr>
        <w:tcBorders>
          <w:top w:val="single" w:sz="8" w:space="0" w:color="9FAAAF" w:themeColor="accent5"/>
          <w:left w:val="nil"/>
          <w:bottom w:val="single" w:sz="8" w:space="0" w:color="9FAAA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B" w:themeFill="accent5" w:themeFillTint="3F"/>
      </w:tcPr>
    </w:tblStylePr>
    <w:tblStylePr w:type="band1Horz">
      <w:tblPr/>
      <w:tcPr>
        <w:tcBorders>
          <w:left w:val="nil"/>
          <w:right w:val="nil"/>
          <w:insideH w:val="nil"/>
          <w:insideV w:val="nil"/>
        </w:tcBorders>
        <w:shd w:val="clear" w:color="auto" w:fill="E7E9EB" w:themeFill="accent5" w:themeFillTint="3F"/>
      </w:tcPr>
    </w:tblStylePr>
  </w:style>
  <w:style w:type="table" w:styleId="Sombreadoclaro-nfasis6">
    <w:name w:val="Light Shading Accent 6"/>
    <w:basedOn w:val="Tablanormal"/>
    <w:uiPriority w:val="60"/>
    <w:rsid w:val="00FC0E57"/>
    <w:pPr>
      <w:spacing w:after="0" w:line="240" w:lineRule="auto"/>
    </w:pPr>
    <w:rPr>
      <w:color w:val="899B9B" w:themeColor="accent6" w:themeShade="BF"/>
    </w:rPr>
    <w:tblPr>
      <w:tblStyleRowBandSize w:val="1"/>
      <w:tblStyleColBandSize w:val="1"/>
      <w:tblInd w:w="0" w:type="dxa"/>
      <w:tblBorders>
        <w:top w:val="single" w:sz="8" w:space="0" w:color="BFC9C9" w:themeColor="accent6"/>
        <w:bottom w:val="single" w:sz="8" w:space="0" w:color="BFC9C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C9C9" w:themeColor="accent6"/>
          <w:left w:val="nil"/>
          <w:bottom w:val="single" w:sz="8" w:space="0" w:color="BFC9C9" w:themeColor="accent6"/>
          <w:right w:val="nil"/>
          <w:insideH w:val="nil"/>
          <w:insideV w:val="nil"/>
        </w:tcBorders>
      </w:tcPr>
    </w:tblStylePr>
    <w:tblStylePr w:type="lastRow">
      <w:pPr>
        <w:spacing w:before="0" w:after="0" w:line="240" w:lineRule="auto"/>
      </w:pPr>
      <w:rPr>
        <w:b/>
        <w:bCs/>
      </w:rPr>
      <w:tblPr/>
      <w:tcPr>
        <w:tcBorders>
          <w:top w:val="single" w:sz="8" w:space="0" w:color="BFC9C9" w:themeColor="accent6"/>
          <w:left w:val="nil"/>
          <w:bottom w:val="single" w:sz="8" w:space="0" w:color="BFC9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1" w:themeFill="accent6" w:themeFillTint="3F"/>
      </w:tcPr>
    </w:tblStylePr>
    <w:tblStylePr w:type="band1Horz">
      <w:tblPr/>
      <w:tcPr>
        <w:tcBorders>
          <w:left w:val="nil"/>
          <w:right w:val="nil"/>
          <w:insideH w:val="nil"/>
          <w:insideV w:val="nil"/>
        </w:tcBorders>
        <w:shd w:val="clear" w:color="auto" w:fill="EFF1F1" w:themeFill="accent6" w:themeFillTint="3F"/>
      </w:tcPr>
    </w:tblStylePr>
  </w:style>
  <w:style w:type="paragraph" w:styleId="Cita">
    <w:name w:val="Quote"/>
    <w:basedOn w:val="Normal"/>
    <w:next w:val="Normal"/>
    <w:link w:val="CitaCar"/>
    <w:uiPriority w:val="29"/>
    <w:qFormat/>
    <w:rsid w:val="00902751"/>
    <w:rPr>
      <w:i/>
      <w:iCs/>
      <w:color w:val="000000" w:themeColor="text1"/>
    </w:rPr>
  </w:style>
  <w:style w:type="character" w:customStyle="1" w:styleId="CitaCar">
    <w:name w:val="Cita Car"/>
    <w:basedOn w:val="Fuentedeprrafopredeter"/>
    <w:link w:val="Cita"/>
    <w:uiPriority w:val="29"/>
    <w:rsid w:val="00902751"/>
    <w:rPr>
      <w:rFonts w:ascii="Arial" w:eastAsia="Times New Roman" w:hAnsi="Arial" w:cs="Times New Roman"/>
      <w:i/>
      <w:iCs/>
      <w:color w:val="000000" w:themeColor="text1"/>
      <w:kern w:val="28"/>
      <w:sz w:val="24"/>
      <w:szCs w:val="24"/>
      <w:lang w:val="ca-ES"/>
    </w:rPr>
  </w:style>
  <w:style w:type="paragraph" w:styleId="Citadestacada">
    <w:name w:val="Intense Quote"/>
    <w:basedOn w:val="Normal"/>
    <w:next w:val="Normal"/>
    <w:link w:val="CitadestacadaCar"/>
    <w:uiPriority w:val="30"/>
    <w:qFormat/>
    <w:rsid w:val="00902751"/>
    <w:pPr>
      <w:pBdr>
        <w:bottom w:val="single" w:sz="4" w:space="4" w:color="1D5C0C" w:themeColor="accent1"/>
      </w:pBdr>
      <w:spacing w:before="200" w:after="280"/>
      <w:ind w:left="936" w:right="936"/>
    </w:pPr>
    <w:rPr>
      <w:b/>
      <w:bCs/>
      <w:i/>
      <w:iCs/>
      <w:color w:val="1D5C0C" w:themeColor="accent1"/>
    </w:rPr>
  </w:style>
  <w:style w:type="character" w:customStyle="1" w:styleId="CitadestacadaCar">
    <w:name w:val="Cita destacada Car"/>
    <w:basedOn w:val="Fuentedeprrafopredeter"/>
    <w:link w:val="Citadestacada"/>
    <w:uiPriority w:val="30"/>
    <w:rsid w:val="00902751"/>
    <w:rPr>
      <w:rFonts w:ascii="Arial" w:eastAsia="Times New Roman" w:hAnsi="Arial" w:cs="Times New Roman"/>
      <w:b/>
      <w:bCs/>
      <w:i/>
      <w:iCs/>
      <w:color w:val="1D5C0C" w:themeColor="accent1"/>
      <w:kern w:val="28"/>
      <w:sz w:val="24"/>
      <w:szCs w:val="24"/>
      <w:lang w:val="ca-ES"/>
    </w:rPr>
  </w:style>
  <w:style w:type="paragraph" w:styleId="Textoindependiente">
    <w:name w:val="Body Text"/>
    <w:basedOn w:val="Default"/>
    <w:next w:val="Default"/>
    <w:link w:val="TextoindependienteCar"/>
    <w:uiPriority w:val="99"/>
    <w:rsid w:val="00473D16"/>
    <w:rPr>
      <w:color w:val="auto"/>
    </w:rPr>
  </w:style>
  <w:style w:type="character" w:customStyle="1" w:styleId="TextoindependienteCar">
    <w:name w:val="Texto independiente Car"/>
    <w:basedOn w:val="Fuentedeprrafopredeter"/>
    <w:link w:val="Textoindependiente"/>
    <w:uiPriority w:val="99"/>
    <w:rsid w:val="00473D16"/>
    <w:rPr>
      <w:rFonts w:ascii="Arial" w:hAnsi="Arial" w:cs="Arial"/>
      <w:sz w:val="24"/>
      <w:szCs w:val="24"/>
      <w:lang w:val="en-US"/>
    </w:rPr>
  </w:style>
  <w:style w:type="table" w:styleId="Sombreadoclaro-nfasis2">
    <w:name w:val="Light Shading Accent 2"/>
    <w:basedOn w:val="Tablanormal"/>
    <w:uiPriority w:val="60"/>
    <w:rsid w:val="006C216F"/>
    <w:pPr>
      <w:spacing w:after="0" w:line="240" w:lineRule="auto"/>
    </w:pPr>
    <w:rPr>
      <w:color w:val="557D15" w:themeColor="accent2" w:themeShade="BF"/>
    </w:rPr>
    <w:tblPr>
      <w:tblStyleRowBandSize w:val="1"/>
      <w:tblStyleColBandSize w:val="1"/>
      <w:tblInd w:w="0" w:type="dxa"/>
      <w:tblBorders>
        <w:top w:val="single" w:sz="8" w:space="0" w:color="73A81C" w:themeColor="accent2"/>
        <w:bottom w:val="single" w:sz="8" w:space="0" w:color="73A81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A81C" w:themeColor="accent2"/>
          <w:left w:val="nil"/>
          <w:bottom w:val="single" w:sz="8" w:space="0" w:color="73A81C" w:themeColor="accent2"/>
          <w:right w:val="nil"/>
          <w:insideH w:val="nil"/>
          <w:insideV w:val="nil"/>
        </w:tcBorders>
      </w:tcPr>
    </w:tblStylePr>
    <w:tblStylePr w:type="lastRow">
      <w:pPr>
        <w:spacing w:before="0" w:after="0" w:line="240" w:lineRule="auto"/>
      </w:pPr>
      <w:rPr>
        <w:b/>
        <w:bCs/>
      </w:rPr>
      <w:tblPr/>
      <w:tcPr>
        <w:tcBorders>
          <w:top w:val="single" w:sz="8" w:space="0" w:color="73A81C" w:themeColor="accent2"/>
          <w:left w:val="nil"/>
          <w:bottom w:val="single" w:sz="8" w:space="0" w:color="73A81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BC" w:themeFill="accent2" w:themeFillTint="3F"/>
      </w:tcPr>
    </w:tblStylePr>
    <w:tblStylePr w:type="band1Horz">
      <w:tblPr/>
      <w:tcPr>
        <w:tcBorders>
          <w:left w:val="nil"/>
          <w:right w:val="nil"/>
          <w:insideH w:val="nil"/>
          <w:insideV w:val="nil"/>
        </w:tcBorders>
        <w:shd w:val="clear" w:color="auto" w:fill="DEF4BC" w:themeFill="accent2" w:themeFillTint="3F"/>
      </w:tcPr>
    </w:tblStylePr>
  </w:style>
  <w:style w:type="paragraph" w:styleId="Sinespaciado">
    <w:name w:val="No Spacing"/>
    <w:uiPriority w:val="1"/>
    <w:qFormat/>
    <w:rsid w:val="00E508E8"/>
    <w:pPr>
      <w:spacing w:after="0" w:line="240" w:lineRule="auto"/>
      <w:jc w:val="both"/>
    </w:pPr>
    <w:rPr>
      <w:rFonts w:ascii="Arial" w:eastAsia="Times New Roman" w:hAnsi="Arial" w:cs="Times New Roman"/>
      <w:kern w:val="28"/>
      <w:sz w:val="24"/>
      <w:szCs w:val="24"/>
      <w:lang w:val="ca-ES"/>
    </w:rPr>
  </w:style>
  <w:style w:type="character" w:styleId="Refdecomentario">
    <w:name w:val="annotation reference"/>
    <w:basedOn w:val="Fuentedeprrafopredeter"/>
    <w:uiPriority w:val="99"/>
    <w:semiHidden/>
    <w:unhideWhenUsed/>
    <w:rsid w:val="00FE482A"/>
    <w:rPr>
      <w:sz w:val="16"/>
      <w:szCs w:val="16"/>
    </w:rPr>
  </w:style>
  <w:style w:type="paragraph" w:styleId="Textocomentario">
    <w:name w:val="annotation text"/>
    <w:basedOn w:val="Normal"/>
    <w:link w:val="TextocomentarioCar"/>
    <w:uiPriority w:val="99"/>
    <w:semiHidden/>
    <w:unhideWhenUsed/>
    <w:rsid w:val="00FE482A"/>
    <w:rPr>
      <w:sz w:val="20"/>
      <w:szCs w:val="20"/>
    </w:rPr>
  </w:style>
  <w:style w:type="character" w:customStyle="1" w:styleId="TextocomentarioCar">
    <w:name w:val="Texto comentario Car"/>
    <w:basedOn w:val="Fuentedeprrafopredeter"/>
    <w:link w:val="Textocomentario"/>
    <w:uiPriority w:val="99"/>
    <w:semiHidden/>
    <w:rsid w:val="00FE482A"/>
    <w:rPr>
      <w:rFonts w:ascii="Arial" w:eastAsia="Times New Roman" w:hAnsi="Arial" w:cs="Times New Roman"/>
      <w:kern w:val="28"/>
      <w:sz w:val="20"/>
      <w:szCs w:val="20"/>
      <w:lang w:val="ca-ES"/>
    </w:rPr>
  </w:style>
  <w:style w:type="paragraph" w:styleId="Asuntodelcomentario">
    <w:name w:val="annotation subject"/>
    <w:basedOn w:val="Textocomentario"/>
    <w:next w:val="Textocomentario"/>
    <w:link w:val="AsuntodelcomentarioCar"/>
    <w:uiPriority w:val="99"/>
    <w:semiHidden/>
    <w:unhideWhenUsed/>
    <w:rsid w:val="00FE482A"/>
    <w:rPr>
      <w:b/>
      <w:bCs/>
    </w:rPr>
  </w:style>
  <w:style w:type="character" w:customStyle="1" w:styleId="AsuntodelcomentarioCar">
    <w:name w:val="Asunto del comentario Car"/>
    <w:basedOn w:val="TextocomentarioCar"/>
    <w:link w:val="Asuntodelcomentario"/>
    <w:uiPriority w:val="99"/>
    <w:semiHidden/>
    <w:rsid w:val="00FE482A"/>
    <w:rPr>
      <w:rFonts w:ascii="Arial" w:eastAsia="Times New Roman" w:hAnsi="Arial" w:cs="Times New Roman"/>
      <w:b/>
      <w:bCs/>
      <w:kern w:val="28"/>
      <w:sz w:val="20"/>
      <w:szCs w:val="20"/>
      <w:lang w:val="ca-ES"/>
    </w:rPr>
  </w:style>
  <w:style w:type="paragraph" w:styleId="Textonotapie">
    <w:name w:val="footnote text"/>
    <w:basedOn w:val="Normal"/>
    <w:link w:val="TextonotapieCar"/>
    <w:uiPriority w:val="99"/>
    <w:semiHidden/>
    <w:unhideWhenUsed/>
    <w:rsid w:val="00632DB4"/>
    <w:pPr>
      <w:spacing w:before="0" w:after="0"/>
    </w:pPr>
    <w:rPr>
      <w:sz w:val="20"/>
      <w:szCs w:val="20"/>
      <w:lang w:val="es-ES"/>
    </w:rPr>
  </w:style>
  <w:style w:type="character" w:customStyle="1" w:styleId="TextonotapieCar">
    <w:name w:val="Texto nota pie Car"/>
    <w:basedOn w:val="Fuentedeprrafopredeter"/>
    <w:link w:val="Textonotapie"/>
    <w:uiPriority w:val="99"/>
    <w:semiHidden/>
    <w:rsid w:val="00632DB4"/>
    <w:rPr>
      <w:rFonts w:ascii="Arial" w:eastAsia="Times New Roman" w:hAnsi="Arial" w:cs="Times New Roman"/>
      <w:kern w:val="28"/>
      <w:sz w:val="20"/>
      <w:szCs w:val="20"/>
    </w:rPr>
  </w:style>
  <w:style w:type="character" w:styleId="Refdenotaalpie">
    <w:name w:val="footnote reference"/>
    <w:basedOn w:val="Fuentedeprrafopredeter"/>
    <w:uiPriority w:val="99"/>
    <w:semiHidden/>
    <w:unhideWhenUsed/>
    <w:rsid w:val="00632DB4"/>
    <w:rPr>
      <w:vertAlign w:val="superscript"/>
    </w:rPr>
  </w:style>
  <w:style w:type="character" w:styleId="Textoennegrita">
    <w:name w:val="Strong"/>
    <w:basedOn w:val="Fuentedeprrafopredeter"/>
    <w:uiPriority w:val="22"/>
    <w:qFormat/>
    <w:rsid w:val="00CD05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B04"/>
    <w:pPr>
      <w:spacing w:before="120" w:after="120" w:line="240" w:lineRule="auto"/>
      <w:jc w:val="both"/>
    </w:pPr>
    <w:rPr>
      <w:rFonts w:ascii="Arial" w:eastAsia="Times New Roman" w:hAnsi="Arial" w:cs="Times New Roman"/>
      <w:kern w:val="28"/>
      <w:sz w:val="24"/>
      <w:szCs w:val="24"/>
      <w:lang w:val="ca-ES"/>
    </w:rPr>
  </w:style>
  <w:style w:type="paragraph" w:styleId="Ttulo1">
    <w:name w:val="heading 1"/>
    <w:basedOn w:val="Normal"/>
    <w:next w:val="Normal"/>
    <w:link w:val="Ttulo1Car"/>
    <w:uiPriority w:val="9"/>
    <w:qFormat/>
    <w:rsid w:val="00D03DB4"/>
    <w:pPr>
      <w:keepNext/>
      <w:keepLines/>
      <w:numPr>
        <w:numId w:val="7"/>
      </w:numPr>
      <w:outlineLvl w:val="0"/>
    </w:pPr>
    <w:rPr>
      <w:rFonts w:asciiTheme="majorHAnsi" w:eastAsiaTheme="majorEastAsia" w:hAnsiTheme="majorHAnsi" w:cstheme="majorBidi"/>
      <w:b/>
      <w:bCs/>
      <w:color w:val="1D5C0C" w:themeColor="accent1"/>
      <w:sz w:val="28"/>
      <w:szCs w:val="28"/>
      <w:lang w:val="es-ES"/>
    </w:rPr>
  </w:style>
  <w:style w:type="paragraph" w:styleId="Ttulo2">
    <w:name w:val="heading 2"/>
    <w:basedOn w:val="Normal"/>
    <w:next w:val="Normal"/>
    <w:link w:val="Ttulo2Car"/>
    <w:uiPriority w:val="9"/>
    <w:unhideWhenUsed/>
    <w:qFormat/>
    <w:rsid w:val="00D03DB4"/>
    <w:pPr>
      <w:keepNext/>
      <w:keepLines/>
      <w:numPr>
        <w:ilvl w:val="1"/>
        <w:numId w:val="7"/>
      </w:numPr>
      <w:spacing w:before="200"/>
      <w:outlineLvl w:val="1"/>
    </w:pPr>
    <w:rPr>
      <w:rFonts w:asciiTheme="majorHAnsi" w:eastAsia="Arial Unicode MS" w:hAnsiTheme="majorHAnsi" w:cstheme="majorBidi"/>
      <w:b/>
      <w:bCs/>
      <w:szCs w:val="26"/>
      <w:lang w:val="es-ES"/>
    </w:rPr>
  </w:style>
  <w:style w:type="paragraph" w:styleId="Ttulo3">
    <w:name w:val="heading 3"/>
    <w:basedOn w:val="Normal"/>
    <w:next w:val="Normal"/>
    <w:link w:val="Ttulo3Car"/>
    <w:uiPriority w:val="9"/>
    <w:unhideWhenUsed/>
    <w:qFormat/>
    <w:rsid w:val="00D03DB4"/>
    <w:pPr>
      <w:keepNext/>
      <w:keepLines/>
      <w:numPr>
        <w:ilvl w:val="2"/>
        <w:numId w:val="7"/>
      </w:numPr>
      <w:spacing w:before="200" w:after="0"/>
      <w:outlineLvl w:val="2"/>
    </w:pPr>
    <w:rPr>
      <w:rFonts w:asciiTheme="majorHAnsi" w:eastAsia="Arial Unicode MS" w:hAnsiTheme="majorHAnsi" w:cstheme="majorBidi"/>
      <w:b/>
      <w:bCs/>
      <w:lang w:val="es-ES"/>
    </w:rPr>
  </w:style>
  <w:style w:type="paragraph" w:styleId="Ttulo4">
    <w:name w:val="heading 4"/>
    <w:basedOn w:val="Normal"/>
    <w:next w:val="Normal"/>
    <w:link w:val="Ttulo4Car"/>
    <w:uiPriority w:val="9"/>
    <w:unhideWhenUsed/>
    <w:qFormat/>
    <w:rsid w:val="007432C3"/>
    <w:pPr>
      <w:keepNext/>
      <w:keepLines/>
      <w:numPr>
        <w:ilvl w:val="3"/>
        <w:numId w:val="7"/>
      </w:numPr>
      <w:spacing w:before="200"/>
      <w:outlineLvl w:val="3"/>
    </w:pPr>
    <w:rPr>
      <w:rFonts w:asciiTheme="majorHAnsi" w:eastAsiaTheme="majorEastAsia" w:hAnsiTheme="majorHAnsi" w:cstheme="majorBidi"/>
      <w:b/>
      <w:bCs/>
      <w:iCs/>
      <w:sz w:val="22"/>
    </w:rPr>
  </w:style>
  <w:style w:type="paragraph" w:styleId="Ttulo5">
    <w:name w:val="heading 5"/>
    <w:basedOn w:val="Normal"/>
    <w:next w:val="Normal"/>
    <w:link w:val="Ttulo5Car"/>
    <w:uiPriority w:val="9"/>
    <w:unhideWhenUsed/>
    <w:qFormat/>
    <w:rsid w:val="00214EB7"/>
    <w:pPr>
      <w:keepNext/>
      <w:keepLines/>
      <w:numPr>
        <w:ilvl w:val="4"/>
        <w:numId w:val="7"/>
      </w:numPr>
      <w:spacing w:before="200"/>
      <w:outlineLvl w:val="4"/>
    </w:pPr>
    <w:rPr>
      <w:rFonts w:asciiTheme="majorHAnsi" w:eastAsiaTheme="majorEastAsia" w:hAnsiTheme="majorHAnsi" w:cstheme="majorBidi"/>
      <w:b/>
      <w:color w:val="000000" w:themeColor="text1"/>
    </w:rPr>
  </w:style>
  <w:style w:type="paragraph" w:styleId="Ttulo6">
    <w:name w:val="heading 6"/>
    <w:basedOn w:val="Normal"/>
    <w:next w:val="Normal"/>
    <w:link w:val="Ttulo6Car"/>
    <w:uiPriority w:val="9"/>
    <w:semiHidden/>
    <w:unhideWhenUsed/>
    <w:qFormat/>
    <w:rsid w:val="009954DA"/>
    <w:pPr>
      <w:keepNext/>
      <w:keepLines/>
      <w:numPr>
        <w:ilvl w:val="5"/>
        <w:numId w:val="7"/>
      </w:numPr>
      <w:spacing w:before="200"/>
      <w:outlineLvl w:val="5"/>
    </w:pPr>
    <w:rPr>
      <w:rFonts w:asciiTheme="majorHAnsi" w:eastAsiaTheme="majorEastAsia" w:hAnsiTheme="majorHAnsi" w:cstheme="majorBidi"/>
      <w:i/>
      <w:iCs/>
      <w:color w:val="0E2D06" w:themeColor="accent1" w:themeShade="7F"/>
    </w:rPr>
  </w:style>
  <w:style w:type="paragraph" w:styleId="Ttulo7">
    <w:name w:val="heading 7"/>
    <w:basedOn w:val="Normal"/>
    <w:next w:val="Normal"/>
    <w:link w:val="Ttulo7Car"/>
    <w:uiPriority w:val="9"/>
    <w:semiHidden/>
    <w:unhideWhenUsed/>
    <w:qFormat/>
    <w:rsid w:val="009954DA"/>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954DA"/>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7417"/>
    <w:pPr>
      <w:tabs>
        <w:tab w:val="center" w:pos="4252"/>
        <w:tab w:val="right" w:pos="8504"/>
      </w:tabs>
    </w:pPr>
    <w:rPr>
      <w:color w:val="718188" w:themeColor="accent4"/>
    </w:rPr>
  </w:style>
  <w:style w:type="character" w:customStyle="1" w:styleId="EncabezadoCar">
    <w:name w:val="Encabezado Car"/>
    <w:basedOn w:val="Fuentedeprrafopredeter"/>
    <w:link w:val="Encabezado"/>
    <w:uiPriority w:val="99"/>
    <w:rsid w:val="002F7417"/>
    <w:rPr>
      <w:rFonts w:ascii="Arial" w:eastAsia="Times New Roman" w:hAnsi="Arial" w:cs="Times New Roman"/>
      <w:color w:val="718188" w:themeColor="accent4"/>
      <w:kern w:val="28"/>
      <w:sz w:val="20"/>
      <w:szCs w:val="24"/>
      <w:lang w:val="en-US"/>
    </w:rPr>
  </w:style>
  <w:style w:type="paragraph" w:styleId="Piedepgina">
    <w:name w:val="footer"/>
    <w:basedOn w:val="Normal"/>
    <w:link w:val="PiedepginaCar"/>
    <w:uiPriority w:val="99"/>
    <w:unhideWhenUsed/>
    <w:rsid w:val="002D69D3"/>
    <w:pPr>
      <w:tabs>
        <w:tab w:val="center" w:pos="4252"/>
        <w:tab w:val="right" w:pos="8504"/>
      </w:tabs>
    </w:pPr>
    <w:rPr>
      <w:color w:val="1D5C0C" w:themeColor="accent1"/>
    </w:rPr>
  </w:style>
  <w:style w:type="character" w:customStyle="1" w:styleId="PiedepginaCar">
    <w:name w:val="Pie de página Car"/>
    <w:basedOn w:val="Fuentedeprrafopredeter"/>
    <w:link w:val="Piedepgina"/>
    <w:uiPriority w:val="99"/>
    <w:rsid w:val="002D69D3"/>
    <w:rPr>
      <w:rFonts w:ascii="Arial" w:eastAsia="Times New Roman" w:hAnsi="Arial" w:cs="Times New Roman"/>
      <w:color w:val="1D5C0C" w:themeColor="accent1"/>
      <w:kern w:val="28"/>
      <w:sz w:val="20"/>
      <w:szCs w:val="24"/>
      <w:lang w:val="en-US"/>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Fecha">
    <w:name w:val="Date"/>
    <w:basedOn w:val="Normal"/>
    <w:next w:val="Normal"/>
    <w:link w:val="FechaCar"/>
    <w:rsid w:val="00415953"/>
    <w:pPr>
      <w:spacing w:before="480" w:after="480"/>
    </w:pPr>
    <w:rPr>
      <w:kern w:val="0"/>
    </w:rPr>
  </w:style>
  <w:style w:type="character" w:customStyle="1" w:styleId="FechaCar">
    <w:name w:val="Fecha Car"/>
    <w:basedOn w:val="Fuentedeprrafopredeter"/>
    <w:link w:val="Fecha"/>
    <w:rsid w:val="00415953"/>
    <w:rPr>
      <w:rFonts w:ascii="Times New Roman" w:eastAsia="Times New Roman" w:hAnsi="Times New Roman" w:cs="Times New Roman"/>
      <w:sz w:val="24"/>
      <w:szCs w:val="24"/>
      <w:lang w:val="en-US"/>
    </w:rPr>
  </w:style>
  <w:style w:type="paragraph" w:customStyle="1" w:styleId="Direccindeldestinatario">
    <w:name w:val="Dirección del destinatario"/>
    <w:basedOn w:val="Normal"/>
    <w:rsid w:val="00415953"/>
    <w:rPr>
      <w:kern w:val="0"/>
      <w:lang w:bidi="en-US"/>
    </w:rPr>
  </w:style>
  <w:style w:type="paragraph" w:styleId="Prrafodelista">
    <w:name w:val="List Paragraph"/>
    <w:basedOn w:val="Normal"/>
    <w:uiPriority w:val="34"/>
    <w:qFormat/>
    <w:rsid w:val="00415953"/>
    <w:pPr>
      <w:ind w:left="720"/>
      <w:contextualSpacing/>
    </w:pPr>
  </w:style>
  <w:style w:type="paragraph" w:styleId="Listaconvietas">
    <w:name w:val="List Bullet"/>
    <w:basedOn w:val="Normal"/>
    <w:uiPriority w:val="99"/>
    <w:unhideWhenUsed/>
    <w:rsid w:val="000A07D2"/>
    <w:pPr>
      <w:numPr>
        <w:numId w:val="1"/>
      </w:numPr>
      <w:ind w:left="357" w:hanging="357"/>
    </w:pPr>
  </w:style>
  <w:style w:type="paragraph" w:styleId="Listaconvietas2">
    <w:name w:val="List Bullet 2"/>
    <w:basedOn w:val="Normal"/>
    <w:uiPriority w:val="99"/>
    <w:unhideWhenUsed/>
    <w:rsid w:val="00EB4913"/>
    <w:pPr>
      <w:numPr>
        <w:numId w:val="2"/>
      </w:numPr>
      <w:tabs>
        <w:tab w:val="left" w:pos="644"/>
      </w:tabs>
    </w:pPr>
    <w:rPr>
      <w:lang w:val="es-ES"/>
    </w:rPr>
  </w:style>
  <w:style w:type="paragraph" w:styleId="Listaconvietas3">
    <w:name w:val="List Bullet 3"/>
    <w:basedOn w:val="Normal"/>
    <w:uiPriority w:val="99"/>
    <w:unhideWhenUsed/>
    <w:rsid w:val="003B7830"/>
    <w:pPr>
      <w:numPr>
        <w:numId w:val="3"/>
      </w:numPr>
      <w:ind w:left="924" w:hanging="357"/>
    </w:pPr>
  </w:style>
  <w:style w:type="paragraph" w:styleId="Listaconvietas4">
    <w:name w:val="List Bullet 4"/>
    <w:basedOn w:val="Normal"/>
    <w:uiPriority w:val="99"/>
    <w:unhideWhenUsed/>
    <w:rsid w:val="00D41AE6"/>
    <w:pPr>
      <w:numPr>
        <w:numId w:val="4"/>
      </w:numPr>
      <w:spacing w:before="60" w:after="60"/>
      <w:ind w:left="1208" w:hanging="357"/>
      <w:contextualSpacing/>
    </w:pPr>
  </w:style>
  <w:style w:type="paragraph" w:styleId="Listaconvietas5">
    <w:name w:val="List Bullet 5"/>
    <w:basedOn w:val="Normal"/>
    <w:uiPriority w:val="99"/>
    <w:unhideWhenUsed/>
    <w:rsid w:val="00D41AE6"/>
    <w:pPr>
      <w:numPr>
        <w:numId w:val="5"/>
      </w:numPr>
      <w:spacing w:before="60" w:after="60"/>
      <w:ind w:left="1491" w:hanging="357"/>
      <w:contextualSpacing/>
    </w:pPr>
  </w:style>
  <w:style w:type="character" w:customStyle="1" w:styleId="Ttulo1Car">
    <w:name w:val="Título 1 Car"/>
    <w:basedOn w:val="Fuentedeprrafopredeter"/>
    <w:link w:val="Ttulo1"/>
    <w:uiPriority w:val="9"/>
    <w:rsid w:val="00D03DB4"/>
    <w:rPr>
      <w:rFonts w:asciiTheme="majorHAnsi" w:eastAsiaTheme="majorEastAsia" w:hAnsiTheme="majorHAnsi" w:cstheme="majorBidi"/>
      <w:b/>
      <w:bCs/>
      <w:color w:val="1D5C0C" w:themeColor="accent1"/>
      <w:kern w:val="28"/>
      <w:sz w:val="28"/>
      <w:szCs w:val="28"/>
    </w:rPr>
  </w:style>
  <w:style w:type="character" w:customStyle="1" w:styleId="Ttulo2Car">
    <w:name w:val="Título 2 Car"/>
    <w:basedOn w:val="Fuentedeprrafopredeter"/>
    <w:link w:val="Ttulo2"/>
    <w:uiPriority w:val="9"/>
    <w:rsid w:val="00D03DB4"/>
    <w:rPr>
      <w:rFonts w:asciiTheme="majorHAnsi" w:eastAsia="Arial Unicode MS" w:hAnsiTheme="majorHAnsi" w:cstheme="majorBidi"/>
      <w:b/>
      <w:bCs/>
      <w:kern w:val="28"/>
      <w:sz w:val="24"/>
      <w:szCs w:val="26"/>
    </w:rPr>
  </w:style>
  <w:style w:type="character" w:customStyle="1" w:styleId="Ttulo3Car">
    <w:name w:val="Título 3 Car"/>
    <w:basedOn w:val="Fuentedeprrafopredeter"/>
    <w:link w:val="Ttulo3"/>
    <w:uiPriority w:val="9"/>
    <w:rsid w:val="00D03DB4"/>
    <w:rPr>
      <w:rFonts w:asciiTheme="majorHAnsi" w:eastAsia="Arial Unicode MS" w:hAnsiTheme="majorHAnsi" w:cstheme="majorBidi"/>
      <w:b/>
      <w:bCs/>
      <w:kern w:val="28"/>
      <w:sz w:val="24"/>
      <w:szCs w:val="24"/>
    </w:rPr>
  </w:style>
  <w:style w:type="character" w:customStyle="1" w:styleId="Ttulo4Car">
    <w:name w:val="Título 4 Car"/>
    <w:basedOn w:val="Fuentedeprrafopredeter"/>
    <w:link w:val="Ttulo4"/>
    <w:uiPriority w:val="9"/>
    <w:rsid w:val="007432C3"/>
    <w:rPr>
      <w:rFonts w:asciiTheme="majorHAnsi" w:eastAsiaTheme="majorEastAsia" w:hAnsiTheme="majorHAnsi" w:cstheme="majorBidi"/>
      <w:b/>
      <w:bCs/>
      <w:iCs/>
      <w:kern w:val="28"/>
      <w:szCs w:val="24"/>
      <w:lang w:val="ca-ES"/>
    </w:rPr>
  </w:style>
  <w:style w:type="character" w:customStyle="1" w:styleId="Ttulo5Car">
    <w:name w:val="Título 5 Car"/>
    <w:basedOn w:val="Fuentedeprrafopredeter"/>
    <w:link w:val="Ttulo5"/>
    <w:uiPriority w:val="9"/>
    <w:rsid w:val="00214EB7"/>
    <w:rPr>
      <w:rFonts w:asciiTheme="majorHAnsi" w:eastAsiaTheme="majorEastAsia" w:hAnsiTheme="majorHAnsi" w:cstheme="majorBidi"/>
      <w:b/>
      <w:color w:val="000000" w:themeColor="text1"/>
      <w:kern w:val="28"/>
      <w:sz w:val="24"/>
      <w:szCs w:val="24"/>
      <w:lang w:val="ca-ES"/>
    </w:rPr>
  </w:style>
  <w:style w:type="paragraph" w:styleId="Ttulo">
    <w:name w:val="Title"/>
    <w:basedOn w:val="Normal"/>
    <w:next w:val="Normal"/>
    <w:link w:val="TtuloCar"/>
    <w:uiPriority w:val="10"/>
    <w:qFormat/>
    <w:rsid w:val="00241327"/>
    <w:pPr>
      <w:spacing w:before="0" w:after="300"/>
      <w:ind w:left="567"/>
      <w:contextualSpacing/>
      <w:jc w:val="left"/>
    </w:pPr>
    <w:rPr>
      <w:rFonts w:ascii="Arial Rounded MT Bold" w:eastAsiaTheme="majorEastAsia" w:hAnsi="Arial Rounded MT Bold" w:cstheme="majorBidi"/>
      <w:spacing w:val="5"/>
      <w:sz w:val="44"/>
      <w:szCs w:val="52"/>
    </w:rPr>
  </w:style>
  <w:style w:type="character" w:customStyle="1" w:styleId="TtuloCar">
    <w:name w:val="Título Car"/>
    <w:basedOn w:val="Fuentedeprrafopredeter"/>
    <w:link w:val="Ttulo"/>
    <w:uiPriority w:val="10"/>
    <w:rsid w:val="00241327"/>
    <w:rPr>
      <w:rFonts w:ascii="Arial Rounded MT Bold" w:eastAsiaTheme="majorEastAsia" w:hAnsi="Arial Rounded MT Bold" w:cstheme="majorBidi"/>
      <w:spacing w:val="5"/>
      <w:kern w:val="28"/>
      <w:sz w:val="44"/>
      <w:szCs w:val="52"/>
    </w:rPr>
  </w:style>
  <w:style w:type="paragraph" w:customStyle="1" w:styleId="Bullet2">
    <w:name w:val="Bullet 2"/>
    <w:basedOn w:val="Normal"/>
    <w:rsid w:val="00320E12"/>
    <w:pPr>
      <w:numPr>
        <w:numId w:val="6"/>
      </w:numPr>
    </w:pPr>
    <w:rPr>
      <w:sz w:val="22"/>
      <w:szCs w:val="20"/>
      <w:lang w:val="es-ES_tradnl"/>
    </w:rPr>
  </w:style>
  <w:style w:type="table" w:styleId="Tablaconcuadrcula">
    <w:name w:val="Table Grid"/>
    <w:basedOn w:val="Tablanormal"/>
    <w:rsid w:val="00320E12"/>
    <w:pPr>
      <w:spacing w:after="0" w:line="240" w:lineRule="auto"/>
      <w:jc w:val="both"/>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41327"/>
    <w:pPr>
      <w:numPr>
        <w:ilvl w:val="1"/>
      </w:numPr>
      <w:ind w:left="567"/>
      <w:jc w:val="left"/>
    </w:pPr>
    <w:rPr>
      <w:rFonts w:ascii="Arial Rounded MT Bold" w:eastAsiaTheme="majorEastAsia" w:hAnsi="Arial Rounded MT Bold" w:cstheme="majorBidi"/>
      <w:iCs/>
      <w:color w:val="1D5C0C" w:themeColor="accent1"/>
      <w:spacing w:val="15"/>
      <w:sz w:val="32"/>
    </w:rPr>
  </w:style>
  <w:style w:type="character" w:customStyle="1" w:styleId="SubttuloCar">
    <w:name w:val="Subtítulo Car"/>
    <w:basedOn w:val="Fuentedeprrafopredeter"/>
    <w:link w:val="Subttulo"/>
    <w:uiPriority w:val="11"/>
    <w:rsid w:val="00241327"/>
    <w:rPr>
      <w:rFonts w:ascii="Arial Rounded MT Bold" w:eastAsiaTheme="majorEastAsia" w:hAnsi="Arial Rounded MT Bold" w:cstheme="majorBidi"/>
      <w:iCs/>
      <w:color w:val="1D5C0C" w:themeColor="accent1"/>
      <w:spacing w:val="15"/>
      <w:kern w:val="28"/>
      <w:sz w:val="32"/>
      <w:szCs w:val="24"/>
    </w:rPr>
  </w:style>
  <w:style w:type="paragraph" w:styleId="TDC2">
    <w:name w:val="toc 2"/>
    <w:basedOn w:val="Normal"/>
    <w:next w:val="Normal"/>
    <w:autoRedefine/>
    <w:uiPriority w:val="39"/>
    <w:unhideWhenUsed/>
    <w:rsid w:val="0092140B"/>
    <w:pPr>
      <w:spacing w:after="100"/>
      <w:ind w:left="200"/>
    </w:pPr>
  </w:style>
  <w:style w:type="paragraph" w:styleId="TDC1">
    <w:name w:val="toc 1"/>
    <w:basedOn w:val="Normal"/>
    <w:next w:val="Normal"/>
    <w:autoRedefine/>
    <w:uiPriority w:val="39"/>
    <w:unhideWhenUsed/>
    <w:rsid w:val="00F8079E"/>
    <w:pPr>
      <w:tabs>
        <w:tab w:val="left" w:pos="400"/>
        <w:tab w:val="right" w:leader="dot" w:pos="8847"/>
      </w:tabs>
      <w:spacing w:after="100"/>
    </w:pPr>
    <w:rPr>
      <w:color w:val="000000" w:themeColor="text1"/>
    </w:rPr>
  </w:style>
  <w:style w:type="paragraph" w:styleId="TDC3">
    <w:name w:val="toc 3"/>
    <w:basedOn w:val="Normal"/>
    <w:next w:val="Normal"/>
    <w:autoRedefine/>
    <w:uiPriority w:val="39"/>
    <w:unhideWhenUsed/>
    <w:rsid w:val="0092140B"/>
    <w:pPr>
      <w:spacing w:after="100"/>
      <w:ind w:left="400"/>
    </w:pPr>
  </w:style>
  <w:style w:type="character" w:styleId="Hipervnculo">
    <w:name w:val="Hyperlink"/>
    <w:basedOn w:val="Fuentedeprrafopredeter"/>
    <w:uiPriority w:val="99"/>
    <w:unhideWhenUsed/>
    <w:rsid w:val="0092140B"/>
    <w:rPr>
      <w:color w:val="C0DE8E" w:themeColor="hyperlink"/>
      <w:u w:val="single"/>
    </w:rPr>
  </w:style>
  <w:style w:type="character" w:customStyle="1" w:styleId="Ttulo6Car">
    <w:name w:val="Título 6 Car"/>
    <w:basedOn w:val="Fuentedeprrafopredeter"/>
    <w:link w:val="Ttulo6"/>
    <w:uiPriority w:val="9"/>
    <w:semiHidden/>
    <w:rsid w:val="009954DA"/>
    <w:rPr>
      <w:rFonts w:asciiTheme="majorHAnsi" w:eastAsiaTheme="majorEastAsia" w:hAnsiTheme="majorHAnsi" w:cstheme="majorBidi"/>
      <w:i/>
      <w:iCs/>
      <w:color w:val="0E2D06" w:themeColor="accent1" w:themeShade="7F"/>
      <w:kern w:val="28"/>
      <w:sz w:val="24"/>
      <w:szCs w:val="24"/>
      <w:lang w:val="ca-ES"/>
    </w:rPr>
  </w:style>
  <w:style w:type="character" w:customStyle="1" w:styleId="Ttulo7Car">
    <w:name w:val="Título 7 Car"/>
    <w:basedOn w:val="Fuentedeprrafopredeter"/>
    <w:link w:val="Ttulo7"/>
    <w:uiPriority w:val="9"/>
    <w:semiHidden/>
    <w:rsid w:val="009954DA"/>
    <w:rPr>
      <w:rFonts w:asciiTheme="majorHAnsi" w:eastAsiaTheme="majorEastAsia" w:hAnsiTheme="majorHAnsi" w:cstheme="majorBidi"/>
      <w:i/>
      <w:iCs/>
      <w:color w:val="404040" w:themeColor="text1" w:themeTint="BF"/>
      <w:kern w:val="28"/>
      <w:sz w:val="24"/>
      <w:szCs w:val="24"/>
      <w:lang w:val="ca-E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404040" w:themeColor="text1" w:themeTint="BF"/>
      <w:kern w:val="28"/>
      <w:sz w:val="24"/>
      <w:szCs w:val="20"/>
      <w:lang w:val="ca-E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404040" w:themeColor="text1" w:themeTint="BF"/>
      <w:kern w:val="28"/>
      <w:sz w:val="24"/>
      <w:szCs w:val="20"/>
      <w:lang w:val="ca-ES"/>
    </w:rPr>
  </w:style>
  <w:style w:type="paragraph" w:styleId="Epgrafe">
    <w:name w:val="caption"/>
    <w:basedOn w:val="Normal"/>
    <w:next w:val="Normal"/>
    <w:uiPriority w:val="35"/>
    <w:unhideWhenUsed/>
    <w:qFormat/>
    <w:rsid w:val="00902751"/>
    <w:pPr>
      <w:spacing w:after="0"/>
      <w:jc w:val="center"/>
    </w:pPr>
    <w:rPr>
      <w:bCs/>
      <w:sz w:val="20"/>
      <w:szCs w:val="18"/>
      <w:lang w:val="es-ES"/>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Ind w:w="0" w:type="dxa"/>
      <w:tblBorders>
        <w:top w:val="single" w:sz="8" w:space="0" w:color="1D5C0C" w:themeColor="accent1"/>
        <w:left w:val="single" w:sz="8" w:space="0" w:color="1D5C0C" w:themeColor="accent1"/>
        <w:bottom w:val="single" w:sz="8" w:space="0" w:color="1D5C0C" w:themeColor="accent1"/>
        <w:right w:val="single" w:sz="8" w:space="0" w:color="1D5C0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D5C0C" w:themeFill="accent1"/>
      </w:tcPr>
    </w:tblStylePr>
    <w:tblStylePr w:type="lastRow">
      <w:pPr>
        <w:spacing w:before="0" w:after="0" w:line="240" w:lineRule="auto"/>
      </w:pPr>
      <w:rPr>
        <w:b/>
        <w:bCs/>
      </w:rPr>
      <w:tblPr/>
      <w:tcPr>
        <w:tcBorders>
          <w:top w:val="double" w:sz="6" w:space="0" w:color="1D5C0C" w:themeColor="accent1"/>
          <w:left w:val="single" w:sz="8" w:space="0" w:color="1D5C0C" w:themeColor="accent1"/>
          <w:bottom w:val="single" w:sz="8" w:space="0" w:color="1D5C0C" w:themeColor="accent1"/>
          <w:right w:val="single" w:sz="8" w:space="0" w:color="1D5C0C" w:themeColor="accent1"/>
        </w:tcBorders>
      </w:tcPr>
    </w:tblStylePr>
    <w:tblStylePr w:type="firstCol">
      <w:rPr>
        <w:b/>
        <w:bCs/>
      </w:rPr>
    </w:tblStylePr>
    <w:tblStylePr w:type="lastCol">
      <w:rPr>
        <w:b/>
        <w:bCs/>
      </w:rPr>
    </w:tblStylePr>
    <w:tblStylePr w:type="band1Vert">
      <w:tblPr/>
      <w:tcPr>
        <w:tcBorders>
          <w:top w:val="single" w:sz="8" w:space="0" w:color="1D5C0C" w:themeColor="accent1"/>
          <w:left w:val="single" w:sz="8" w:space="0" w:color="1D5C0C" w:themeColor="accent1"/>
          <w:bottom w:val="single" w:sz="8" w:space="0" w:color="1D5C0C" w:themeColor="accent1"/>
          <w:right w:val="single" w:sz="8" w:space="0" w:color="1D5C0C" w:themeColor="accent1"/>
        </w:tcBorders>
      </w:tcPr>
    </w:tblStylePr>
    <w:tblStylePr w:type="band1Horz">
      <w:tblPr/>
      <w:tcPr>
        <w:tcBorders>
          <w:top w:val="single" w:sz="8" w:space="0" w:color="1D5C0C" w:themeColor="accent1"/>
          <w:left w:val="single" w:sz="8" w:space="0" w:color="1D5C0C" w:themeColor="accent1"/>
          <w:bottom w:val="single" w:sz="8" w:space="0" w:color="1D5C0C" w:themeColor="accent1"/>
          <w:right w:val="single" w:sz="8" w:space="0" w:color="1D5C0C" w:themeColor="accent1"/>
        </w:tcBorders>
      </w:tcPr>
    </w:tblStylePr>
  </w:style>
  <w:style w:type="paragraph" w:styleId="Tabladeilustraciones">
    <w:name w:val="table of figures"/>
    <w:basedOn w:val="Normal"/>
    <w:next w:val="Normal"/>
    <w:uiPriority w:val="99"/>
    <w:unhideWhenUsed/>
    <w:rsid w:val="00AD4A95"/>
  </w:style>
  <w:style w:type="table" w:styleId="Cuadrculamedia1-nfasis5">
    <w:name w:val="Medium Grid 1 Accent 5"/>
    <w:basedOn w:val="Tablanormal"/>
    <w:uiPriority w:val="67"/>
    <w:rsid w:val="00214EB7"/>
    <w:pPr>
      <w:spacing w:after="0" w:line="240" w:lineRule="auto"/>
    </w:pPr>
    <w:tblPr>
      <w:tblStyleRowBandSize w:val="1"/>
      <w:tblStyleColBandSize w:val="1"/>
      <w:tblInd w:w="0" w:type="dxa"/>
      <w:tbl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single" w:sz="8" w:space="0" w:color="B7BFC3" w:themeColor="accent5" w:themeTint="BF"/>
        <w:insideV w:val="single" w:sz="8" w:space="0" w:color="B7BFC3" w:themeColor="accent5" w:themeTint="BF"/>
      </w:tblBorders>
      <w:tblCellMar>
        <w:top w:w="0" w:type="dxa"/>
        <w:left w:w="108" w:type="dxa"/>
        <w:bottom w:w="0" w:type="dxa"/>
        <w:right w:w="108" w:type="dxa"/>
      </w:tblCellMar>
    </w:tblPr>
    <w:tcPr>
      <w:shd w:val="clear" w:color="auto" w:fill="E7E9EB" w:themeFill="accent5" w:themeFillTint="3F"/>
    </w:tcPr>
    <w:tblStylePr w:type="firstRow">
      <w:rPr>
        <w:b/>
        <w:bCs/>
      </w:rPr>
    </w:tblStylePr>
    <w:tblStylePr w:type="lastRow">
      <w:rPr>
        <w:b/>
        <w:bCs/>
      </w:rPr>
      <w:tblPr/>
      <w:tcPr>
        <w:tcBorders>
          <w:top w:val="single" w:sz="18" w:space="0" w:color="B7BFC3" w:themeColor="accent5" w:themeTint="BF"/>
        </w:tcBorders>
      </w:tcPr>
    </w:tblStylePr>
    <w:tblStylePr w:type="firstCol">
      <w:rPr>
        <w:b/>
        <w:bCs/>
      </w:rPr>
    </w:tblStylePr>
    <w:tblStylePr w:type="lastCol">
      <w:rPr>
        <w:b/>
        <w:bCs/>
      </w:rPr>
    </w:tblStylePr>
    <w:tblStylePr w:type="band1Vert">
      <w:tblPr/>
      <w:tcPr>
        <w:shd w:val="clear" w:color="auto" w:fill="CFD4D7" w:themeFill="accent5" w:themeFillTint="7F"/>
      </w:tcPr>
    </w:tblStylePr>
    <w:tblStylePr w:type="band1Horz">
      <w:tblPr/>
      <w:tcPr>
        <w:shd w:val="clear" w:color="auto" w:fill="CFD4D7" w:themeFill="accent5" w:themeFillTint="7F"/>
      </w:tcPr>
    </w:tblStylePr>
  </w:style>
  <w:style w:type="table" w:styleId="Listaclara-nfasis5">
    <w:name w:val="Light List Accent 5"/>
    <w:basedOn w:val="Tablanormal"/>
    <w:uiPriority w:val="61"/>
    <w:rsid w:val="003B7830"/>
    <w:pPr>
      <w:spacing w:after="0" w:line="240" w:lineRule="auto"/>
    </w:pPr>
    <w:tblPr>
      <w:tblStyleRowBandSize w:val="1"/>
      <w:tblStyleColBandSize w:val="1"/>
      <w:tblInd w:w="0" w:type="dxa"/>
      <w:tblBorders>
        <w:top w:val="single" w:sz="8" w:space="0" w:color="9FAAAF" w:themeColor="accent5"/>
        <w:left w:val="single" w:sz="8" w:space="0" w:color="9FAAAF" w:themeColor="accent5"/>
        <w:bottom w:val="single" w:sz="8" w:space="0" w:color="9FAAAF" w:themeColor="accent5"/>
        <w:right w:val="single" w:sz="8" w:space="0" w:color="9FAAA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AAAF" w:themeFill="accent5"/>
      </w:tcPr>
    </w:tblStylePr>
    <w:tblStylePr w:type="lastRow">
      <w:pPr>
        <w:spacing w:before="0" w:after="0" w:line="240" w:lineRule="auto"/>
      </w:pPr>
      <w:rPr>
        <w:b/>
        <w:bCs/>
      </w:rPr>
      <w:tblPr/>
      <w:tcPr>
        <w:tcBorders>
          <w:top w:val="double" w:sz="6" w:space="0" w:color="9FAAAF" w:themeColor="accent5"/>
          <w:left w:val="single" w:sz="8" w:space="0" w:color="9FAAAF" w:themeColor="accent5"/>
          <w:bottom w:val="single" w:sz="8" w:space="0" w:color="9FAAAF" w:themeColor="accent5"/>
          <w:right w:val="single" w:sz="8" w:space="0" w:color="9FAAAF" w:themeColor="accent5"/>
        </w:tcBorders>
      </w:tcPr>
    </w:tblStylePr>
    <w:tblStylePr w:type="firstCol">
      <w:rPr>
        <w:b/>
        <w:bCs/>
      </w:rPr>
    </w:tblStylePr>
    <w:tblStylePr w:type="lastCol">
      <w:rPr>
        <w:b/>
        <w:bCs/>
      </w:rPr>
    </w:tblStylePr>
    <w:tblStylePr w:type="band1Vert">
      <w:tblPr/>
      <w:tcPr>
        <w:tcBorders>
          <w:top w:val="single" w:sz="8" w:space="0" w:color="9FAAAF" w:themeColor="accent5"/>
          <w:left w:val="single" w:sz="8" w:space="0" w:color="9FAAAF" w:themeColor="accent5"/>
          <w:bottom w:val="single" w:sz="8" w:space="0" w:color="9FAAAF" w:themeColor="accent5"/>
          <w:right w:val="single" w:sz="8" w:space="0" w:color="9FAAAF" w:themeColor="accent5"/>
        </w:tcBorders>
      </w:tcPr>
    </w:tblStylePr>
    <w:tblStylePr w:type="band1Horz">
      <w:tblPr/>
      <w:tcPr>
        <w:tcBorders>
          <w:top w:val="single" w:sz="8" w:space="0" w:color="9FAAAF" w:themeColor="accent5"/>
          <w:left w:val="single" w:sz="8" w:space="0" w:color="9FAAAF" w:themeColor="accent5"/>
          <w:bottom w:val="single" w:sz="8" w:space="0" w:color="9FAAAF" w:themeColor="accent5"/>
          <w:right w:val="single" w:sz="8" w:space="0" w:color="9FAAAF" w:themeColor="accent5"/>
        </w:tcBorders>
      </w:tcPr>
    </w:tblStylePr>
  </w:style>
  <w:style w:type="table" w:styleId="Sombreadomedio1-nfasis5">
    <w:name w:val="Medium Shading 1 Accent 5"/>
    <w:basedOn w:val="Tablanormal"/>
    <w:uiPriority w:val="63"/>
    <w:rsid w:val="003B7830"/>
    <w:pPr>
      <w:spacing w:after="0" w:line="240" w:lineRule="auto"/>
    </w:pPr>
    <w:tblPr>
      <w:tblStyleRowBandSize w:val="1"/>
      <w:tblStyleColBandSize w:val="1"/>
      <w:tblInd w:w="0" w:type="dxa"/>
      <w:tbl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single" w:sz="8" w:space="0" w:color="B7BFC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nil"/>
          <w:insideV w:val="nil"/>
        </w:tcBorders>
        <w:shd w:val="clear" w:color="auto" w:fill="9FAAAF" w:themeFill="accent5"/>
      </w:tcPr>
    </w:tblStylePr>
    <w:tblStylePr w:type="lastRow">
      <w:pPr>
        <w:spacing w:before="0" w:after="0" w:line="240" w:lineRule="auto"/>
      </w:pPr>
      <w:rPr>
        <w:b/>
        <w:bCs/>
      </w:rPr>
      <w:tblPr/>
      <w:tcPr>
        <w:tcBorders>
          <w:top w:val="double" w:sz="6" w:space="0" w:color="B7BFC3" w:themeColor="accent5" w:themeTint="BF"/>
          <w:left w:val="single" w:sz="8" w:space="0" w:color="B7BFC3" w:themeColor="accent5" w:themeTint="BF"/>
          <w:bottom w:val="single" w:sz="8" w:space="0" w:color="B7BFC3" w:themeColor="accent5" w:themeTint="BF"/>
          <w:right w:val="single" w:sz="8" w:space="0" w:color="B7BFC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9EB" w:themeFill="accent5" w:themeFillTint="3F"/>
      </w:tcPr>
    </w:tblStylePr>
    <w:tblStylePr w:type="band1Horz">
      <w:tblPr/>
      <w:tcPr>
        <w:tcBorders>
          <w:insideH w:val="nil"/>
          <w:insideV w:val="nil"/>
        </w:tcBorders>
        <w:shd w:val="clear" w:color="auto" w:fill="E7E9EB" w:themeFill="accent5" w:themeFillTint="3F"/>
      </w:tcPr>
    </w:tblStylePr>
    <w:tblStylePr w:type="band2Horz">
      <w:tblPr/>
      <w:tcPr>
        <w:tcBorders>
          <w:insideH w:val="nil"/>
          <w:insideV w:val="nil"/>
        </w:tcBorders>
      </w:tcPr>
    </w:tblStylePr>
  </w:style>
  <w:style w:type="character" w:styleId="Referenciasutil">
    <w:name w:val="Subtle Reference"/>
    <w:basedOn w:val="Fuentedeprrafopredeter"/>
    <w:uiPriority w:val="31"/>
    <w:qFormat/>
    <w:rsid w:val="00772397"/>
    <w:rPr>
      <w:rFonts w:asciiTheme="minorHAnsi" w:eastAsia="Arial Unicode MS" w:hAnsiTheme="minorHAnsi"/>
      <w:i/>
      <w:smallCaps/>
      <w:sz w:val="16"/>
    </w:rPr>
  </w:style>
  <w:style w:type="table" w:styleId="Cuadrculamedia3-nfasis2">
    <w:name w:val="Medium Grid 3 Accent 2"/>
    <w:basedOn w:val="Tablanormal"/>
    <w:uiPriority w:val="69"/>
    <w:rsid w:val="00D03DB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F4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81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81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81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81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78" w:themeFill="accent2" w:themeFillTint="7F"/>
      </w:tcPr>
    </w:tblStylePr>
  </w:style>
  <w:style w:type="table" w:customStyle="1" w:styleId="Sombreadoclaro1">
    <w:name w:val="Sombreado claro1"/>
    <w:basedOn w:val="Tablanormal"/>
    <w:uiPriority w:val="60"/>
    <w:rsid w:val="00B71F3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2">
    <w:name w:val="Light List Accent 2"/>
    <w:basedOn w:val="Tablanormal"/>
    <w:uiPriority w:val="61"/>
    <w:rsid w:val="00B71F38"/>
    <w:pPr>
      <w:spacing w:after="0" w:line="240" w:lineRule="auto"/>
    </w:pPr>
    <w:tblPr>
      <w:tblStyleRowBandSize w:val="1"/>
      <w:tblStyleColBandSize w:val="1"/>
      <w:tblInd w:w="0" w:type="dxa"/>
      <w:tblBorders>
        <w:top w:val="single" w:sz="8" w:space="0" w:color="73A81C" w:themeColor="accent2"/>
        <w:left w:val="single" w:sz="8" w:space="0" w:color="73A81C" w:themeColor="accent2"/>
        <w:bottom w:val="single" w:sz="8" w:space="0" w:color="73A81C" w:themeColor="accent2"/>
        <w:right w:val="single" w:sz="8" w:space="0" w:color="73A81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A81C" w:themeFill="accent2"/>
      </w:tcPr>
    </w:tblStylePr>
    <w:tblStylePr w:type="lastRow">
      <w:pPr>
        <w:spacing w:before="0" w:after="0" w:line="240" w:lineRule="auto"/>
      </w:pPr>
      <w:rPr>
        <w:b/>
        <w:bCs/>
      </w:rPr>
      <w:tblPr/>
      <w:tcPr>
        <w:tcBorders>
          <w:top w:val="double" w:sz="6" w:space="0" w:color="73A81C" w:themeColor="accent2"/>
          <w:left w:val="single" w:sz="8" w:space="0" w:color="73A81C" w:themeColor="accent2"/>
          <w:bottom w:val="single" w:sz="8" w:space="0" w:color="73A81C" w:themeColor="accent2"/>
          <w:right w:val="single" w:sz="8" w:space="0" w:color="73A81C" w:themeColor="accent2"/>
        </w:tcBorders>
      </w:tcPr>
    </w:tblStylePr>
    <w:tblStylePr w:type="firstCol">
      <w:rPr>
        <w:b/>
        <w:bCs/>
      </w:rPr>
    </w:tblStylePr>
    <w:tblStylePr w:type="lastCol">
      <w:rPr>
        <w:b/>
        <w:bCs/>
      </w:rPr>
    </w:tblStylePr>
    <w:tblStylePr w:type="band1Vert">
      <w:tblPr/>
      <w:tcPr>
        <w:tcBorders>
          <w:top w:val="single" w:sz="8" w:space="0" w:color="73A81C" w:themeColor="accent2"/>
          <w:left w:val="single" w:sz="8" w:space="0" w:color="73A81C" w:themeColor="accent2"/>
          <w:bottom w:val="single" w:sz="8" w:space="0" w:color="73A81C" w:themeColor="accent2"/>
          <w:right w:val="single" w:sz="8" w:space="0" w:color="73A81C" w:themeColor="accent2"/>
        </w:tcBorders>
      </w:tcPr>
    </w:tblStylePr>
    <w:tblStylePr w:type="band1Horz">
      <w:tblPr/>
      <w:tcPr>
        <w:tcBorders>
          <w:top w:val="single" w:sz="8" w:space="0" w:color="73A81C" w:themeColor="accent2"/>
          <w:left w:val="single" w:sz="8" w:space="0" w:color="73A81C" w:themeColor="accent2"/>
          <w:bottom w:val="single" w:sz="8" w:space="0" w:color="73A81C" w:themeColor="accent2"/>
          <w:right w:val="single" w:sz="8" w:space="0" w:color="73A81C" w:themeColor="accent2"/>
        </w:tcBorders>
      </w:tcPr>
    </w:tblStylePr>
  </w:style>
  <w:style w:type="character" w:customStyle="1" w:styleId="apple-converted-space">
    <w:name w:val="apple-converted-space"/>
    <w:basedOn w:val="Fuentedeprrafopredeter"/>
    <w:rsid w:val="00B71F38"/>
  </w:style>
  <w:style w:type="paragraph" w:customStyle="1" w:styleId="Default">
    <w:name w:val="Default"/>
    <w:rsid w:val="00B71F38"/>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3E2758"/>
    <w:pPr>
      <w:spacing w:before="100" w:beforeAutospacing="1" w:after="100" w:afterAutospacing="1"/>
      <w:jc w:val="left"/>
    </w:pPr>
    <w:rPr>
      <w:rFonts w:ascii="Times New Roman" w:hAnsi="Times New Roman"/>
      <w:kern w:val="0"/>
      <w:lang w:val="en-US"/>
    </w:rPr>
  </w:style>
  <w:style w:type="paragraph" w:customStyle="1" w:styleId="p3">
    <w:name w:val="p3"/>
    <w:basedOn w:val="Normal"/>
    <w:rsid w:val="003E2758"/>
    <w:pPr>
      <w:spacing w:before="100" w:beforeAutospacing="1" w:after="100" w:afterAutospacing="1"/>
      <w:jc w:val="left"/>
    </w:pPr>
    <w:rPr>
      <w:rFonts w:ascii="Times New Roman" w:hAnsi="Times New Roman"/>
      <w:kern w:val="0"/>
      <w:lang w:val="en-US"/>
    </w:rPr>
  </w:style>
  <w:style w:type="paragraph" w:customStyle="1" w:styleId="p2">
    <w:name w:val="p2"/>
    <w:basedOn w:val="Normal"/>
    <w:rsid w:val="003E2758"/>
    <w:pPr>
      <w:spacing w:before="100" w:beforeAutospacing="1" w:after="100" w:afterAutospacing="1"/>
      <w:jc w:val="left"/>
    </w:pPr>
    <w:rPr>
      <w:rFonts w:ascii="Times New Roman" w:hAnsi="Times New Roman"/>
      <w:kern w:val="0"/>
      <w:lang w:val="en-US"/>
    </w:rPr>
  </w:style>
  <w:style w:type="paragraph" w:customStyle="1" w:styleId="p1">
    <w:name w:val="p1"/>
    <w:basedOn w:val="Normal"/>
    <w:rsid w:val="00D16B04"/>
    <w:pPr>
      <w:spacing w:before="100" w:beforeAutospacing="1" w:after="100" w:afterAutospacing="1"/>
      <w:jc w:val="left"/>
    </w:pPr>
    <w:rPr>
      <w:rFonts w:ascii="Times New Roman" w:hAnsi="Times New Roman"/>
      <w:kern w:val="0"/>
      <w:lang w:val="en-US"/>
    </w:rPr>
  </w:style>
  <w:style w:type="table" w:styleId="Listamedia1-nfasis5">
    <w:name w:val="Medium List 1 Accent 5"/>
    <w:basedOn w:val="Tablanormal"/>
    <w:uiPriority w:val="65"/>
    <w:rsid w:val="0013691C"/>
    <w:pPr>
      <w:spacing w:after="0" w:line="240" w:lineRule="auto"/>
    </w:pPr>
    <w:rPr>
      <w:color w:val="000000" w:themeColor="text1"/>
    </w:rPr>
    <w:tblPr>
      <w:tblStyleRowBandSize w:val="1"/>
      <w:tblStyleColBandSize w:val="1"/>
      <w:tblInd w:w="0" w:type="dxa"/>
      <w:tblBorders>
        <w:top w:val="single" w:sz="8" w:space="0" w:color="9FAAAF" w:themeColor="accent5"/>
        <w:bottom w:val="single" w:sz="8" w:space="0" w:color="9FAAA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AAAF" w:themeColor="accent5"/>
        </w:tcBorders>
      </w:tcPr>
    </w:tblStylePr>
    <w:tblStylePr w:type="lastRow">
      <w:rPr>
        <w:b/>
        <w:bCs/>
        <w:color w:val="9FAAAF" w:themeColor="text2"/>
      </w:rPr>
      <w:tblPr/>
      <w:tcPr>
        <w:tcBorders>
          <w:top w:val="single" w:sz="8" w:space="0" w:color="9FAAAF" w:themeColor="accent5"/>
          <w:bottom w:val="single" w:sz="8" w:space="0" w:color="9FAAAF" w:themeColor="accent5"/>
        </w:tcBorders>
      </w:tcPr>
    </w:tblStylePr>
    <w:tblStylePr w:type="firstCol">
      <w:rPr>
        <w:b/>
        <w:bCs/>
      </w:rPr>
    </w:tblStylePr>
    <w:tblStylePr w:type="lastCol">
      <w:rPr>
        <w:b/>
        <w:bCs/>
      </w:rPr>
      <w:tblPr/>
      <w:tcPr>
        <w:tcBorders>
          <w:top w:val="single" w:sz="8" w:space="0" w:color="9FAAAF" w:themeColor="accent5"/>
          <w:bottom w:val="single" w:sz="8" w:space="0" w:color="9FAAAF" w:themeColor="accent5"/>
        </w:tcBorders>
      </w:tcPr>
    </w:tblStylePr>
    <w:tblStylePr w:type="band1Vert">
      <w:tblPr/>
      <w:tcPr>
        <w:shd w:val="clear" w:color="auto" w:fill="E7E9EB" w:themeFill="accent5" w:themeFillTint="3F"/>
      </w:tcPr>
    </w:tblStylePr>
    <w:tblStylePr w:type="band1Horz">
      <w:tblPr/>
      <w:tcPr>
        <w:shd w:val="clear" w:color="auto" w:fill="E7E9EB" w:themeFill="accent5" w:themeFillTint="3F"/>
      </w:tcPr>
    </w:tblStylePr>
  </w:style>
  <w:style w:type="table" w:styleId="Sombreadoclaro-nfasis4">
    <w:name w:val="Light Shading Accent 4"/>
    <w:basedOn w:val="Tablanormal"/>
    <w:uiPriority w:val="60"/>
    <w:rsid w:val="0013691C"/>
    <w:pPr>
      <w:spacing w:after="0" w:line="240" w:lineRule="auto"/>
    </w:pPr>
    <w:rPr>
      <w:color w:val="546065" w:themeColor="accent4" w:themeShade="BF"/>
    </w:rPr>
    <w:tblPr>
      <w:tblStyleRowBandSize w:val="1"/>
      <w:tblStyleColBandSize w:val="1"/>
      <w:tblInd w:w="0" w:type="dxa"/>
      <w:tblBorders>
        <w:top w:val="single" w:sz="8" w:space="0" w:color="718188" w:themeColor="accent4"/>
        <w:bottom w:val="single" w:sz="8" w:space="0" w:color="71818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8188" w:themeColor="accent4"/>
          <w:left w:val="nil"/>
          <w:bottom w:val="single" w:sz="8" w:space="0" w:color="718188" w:themeColor="accent4"/>
          <w:right w:val="nil"/>
          <w:insideH w:val="nil"/>
          <w:insideV w:val="nil"/>
        </w:tcBorders>
      </w:tcPr>
    </w:tblStylePr>
    <w:tblStylePr w:type="lastRow">
      <w:pPr>
        <w:spacing w:before="0" w:after="0" w:line="240" w:lineRule="auto"/>
      </w:pPr>
      <w:rPr>
        <w:b/>
        <w:bCs/>
      </w:rPr>
      <w:tblPr/>
      <w:tcPr>
        <w:tcBorders>
          <w:top w:val="single" w:sz="8" w:space="0" w:color="718188" w:themeColor="accent4"/>
          <w:left w:val="nil"/>
          <w:bottom w:val="single" w:sz="8" w:space="0" w:color="71818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4" w:themeFillTint="3F"/>
      </w:tcPr>
    </w:tblStylePr>
    <w:tblStylePr w:type="band1Horz">
      <w:tblPr/>
      <w:tcPr>
        <w:tcBorders>
          <w:left w:val="nil"/>
          <w:right w:val="nil"/>
          <w:insideH w:val="nil"/>
          <w:insideV w:val="nil"/>
        </w:tcBorders>
        <w:shd w:val="clear" w:color="auto" w:fill="DBDFE1" w:themeFill="accent4" w:themeFillTint="3F"/>
      </w:tcPr>
    </w:tblStylePr>
  </w:style>
  <w:style w:type="table" w:styleId="Sombreadoclaro-nfasis5">
    <w:name w:val="Light Shading Accent 5"/>
    <w:basedOn w:val="Tablanormal"/>
    <w:uiPriority w:val="60"/>
    <w:rsid w:val="001D568E"/>
    <w:pPr>
      <w:spacing w:after="0" w:line="240" w:lineRule="auto"/>
    </w:pPr>
    <w:rPr>
      <w:color w:val="718188" w:themeColor="accent5" w:themeShade="BF"/>
    </w:rPr>
    <w:tblPr>
      <w:tblStyleRowBandSize w:val="1"/>
      <w:tblStyleColBandSize w:val="1"/>
      <w:tblInd w:w="0" w:type="dxa"/>
      <w:tblBorders>
        <w:top w:val="single" w:sz="8" w:space="0" w:color="9FAAAF" w:themeColor="accent5"/>
        <w:bottom w:val="single" w:sz="8" w:space="0" w:color="9FAAA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AAAF" w:themeColor="accent5"/>
          <w:left w:val="nil"/>
          <w:bottom w:val="single" w:sz="8" w:space="0" w:color="9FAAAF" w:themeColor="accent5"/>
          <w:right w:val="nil"/>
          <w:insideH w:val="nil"/>
          <w:insideV w:val="nil"/>
        </w:tcBorders>
      </w:tcPr>
    </w:tblStylePr>
    <w:tblStylePr w:type="lastRow">
      <w:pPr>
        <w:spacing w:before="0" w:after="0" w:line="240" w:lineRule="auto"/>
      </w:pPr>
      <w:rPr>
        <w:b/>
        <w:bCs/>
      </w:rPr>
      <w:tblPr/>
      <w:tcPr>
        <w:tcBorders>
          <w:top w:val="single" w:sz="8" w:space="0" w:color="9FAAAF" w:themeColor="accent5"/>
          <w:left w:val="nil"/>
          <w:bottom w:val="single" w:sz="8" w:space="0" w:color="9FAAA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B" w:themeFill="accent5" w:themeFillTint="3F"/>
      </w:tcPr>
    </w:tblStylePr>
    <w:tblStylePr w:type="band1Horz">
      <w:tblPr/>
      <w:tcPr>
        <w:tcBorders>
          <w:left w:val="nil"/>
          <w:right w:val="nil"/>
          <w:insideH w:val="nil"/>
          <w:insideV w:val="nil"/>
        </w:tcBorders>
        <w:shd w:val="clear" w:color="auto" w:fill="E7E9EB" w:themeFill="accent5" w:themeFillTint="3F"/>
      </w:tcPr>
    </w:tblStylePr>
  </w:style>
  <w:style w:type="table" w:styleId="Sombreadoclaro-nfasis6">
    <w:name w:val="Light Shading Accent 6"/>
    <w:basedOn w:val="Tablanormal"/>
    <w:uiPriority w:val="60"/>
    <w:rsid w:val="00FC0E57"/>
    <w:pPr>
      <w:spacing w:after="0" w:line="240" w:lineRule="auto"/>
    </w:pPr>
    <w:rPr>
      <w:color w:val="899B9B" w:themeColor="accent6" w:themeShade="BF"/>
    </w:rPr>
    <w:tblPr>
      <w:tblStyleRowBandSize w:val="1"/>
      <w:tblStyleColBandSize w:val="1"/>
      <w:tblInd w:w="0" w:type="dxa"/>
      <w:tblBorders>
        <w:top w:val="single" w:sz="8" w:space="0" w:color="BFC9C9" w:themeColor="accent6"/>
        <w:bottom w:val="single" w:sz="8" w:space="0" w:color="BFC9C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C9C9" w:themeColor="accent6"/>
          <w:left w:val="nil"/>
          <w:bottom w:val="single" w:sz="8" w:space="0" w:color="BFC9C9" w:themeColor="accent6"/>
          <w:right w:val="nil"/>
          <w:insideH w:val="nil"/>
          <w:insideV w:val="nil"/>
        </w:tcBorders>
      </w:tcPr>
    </w:tblStylePr>
    <w:tblStylePr w:type="lastRow">
      <w:pPr>
        <w:spacing w:before="0" w:after="0" w:line="240" w:lineRule="auto"/>
      </w:pPr>
      <w:rPr>
        <w:b/>
        <w:bCs/>
      </w:rPr>
      <w:tblPr/>
      <w:tcPr>
        <w:tcBorders>
          <w:top w:val="single" w:sz="8" w:space="0" w:color="BFC9C9" w:themeColor="accent6"/>
          <w:left w:val="nil"/>
          <w:bottom w:val="single" w:sz="8" w:space="0" w:color="BFC9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1" w:themeFill="accent6" w:themeFillTint="3F"/>
      </w:tcPr>
    </w:tblStylePr>
    <w:tblStylePr w:type="band1Horz">
      <w:tblPr/>
      <w:tcPr>
        <w:tcBorders>
          <w:left w:val="nil"/>
          <w:right w:val="nil"/>
          <w:insideH w:val="nil"/>
          <w:insideV w:val="nil"/>
        </w:tcBorders>
        <w:shd w:val="clear" w:color="auto" w:fill="EFF1F1" w:themeFill="accent6" w:themeFillTint="3F"/>
      </w:tcPr>
    </w:tblStylePr>
  </w:style>
  <w:style w:type="paragraph" w:styleId="Cita">
    <w:name w:val="Quote"/>
    <w:basedOn w:val="Normal"/>
    <w:next w:val="Normal"/>
    <w:link w:val="CitaCar"/>
    <w:uiPriority w:val="29"/>
    <w:qFormat/>
    <w:rsid w:val="00902751"/>
    <w:rPr>
      <w:i/>
      <w:iCs/>
      <w:color w:val="000000" w:themeColor="text1"/>
    </w:rPr>
  </w:style>
  <w:style w:type="character" w:customStyle="1" w:styleId="CitaCar">
    <w:name w:val="Cita Car"/>
    <w:basedOn w:val="Fuentedeprrafopredeter"/>
    <w:link w:val="Cita"/>
    <w:uiPriority w:val="29"/>
    <w:rsid w:val="00902751"/>
    <w:rPr>
      <w:rFonts w:ascii="Arial" w:eastAsia="Times New Roman" w:hAnsi="Arial" w:cs="Times New Roman"/>
      <w:i/>
      <w:iCs/>
      <w:color w:val="000000" w:themeColor="text1"/>
      <w:kern w:val="28"/>
      <w:sz w:val="24"/>
      <w:szCs w:val="24"/>
      <w:lang w:val="ca-ES"/>
    </w:rPr>
  </w:style>
  <w:style w:type="paragraph" w:styleId="Citadestacada">
    <w:name w:val="Intense Quote"/>
    <w:basedOn w:val="Normal"/>
    <w:next w:val="Normal"/>
    <w:link w:val="CitadestacadaCar"/>
    <w:uiPriority w:val="30"/>
    <w:qFormat/>
    <w:rsid w:val="00902751"/>
    <w:pPr>
      <w:pBdr>
        <w:bottom w:val="single" w:sz="4" w:space="4" w:color="1D5C0C" w:themeColor="accent1"/>
      </w:pBdr>
      <w:spacing w:before="200" w:after="280"/>
      <w:ind w:left="936" w:right="936"/>
    </w:pPr>
    <w:rPr>
      <w:b/>
      <w:bCs/>
      <w:i/>
      <w:iCs/>
      <w:color w:val="1D5C0C" w:themeColor="accent1"/>
    </w:rPr>
  </w:style>
  <w:style w:type="character" w:customStyle="1" w:styleId="CitadestacadaCar">
    <w:name w:val="Cita destacada Car"/>
    <w:basedOn w:val="Fuentedeprrafopredeter"/>
    <w:link w:val="Citadestacada"/>
    <w:uiPriority w:val="30"/>
    <w:rsid w:val="00902751"/>
    <w:rPr>
      <w:rFonts w:ascii="Arial" w:eastAsia="Times New Roman" w:hAnsi="Arial" w:cs="Times New Roman"/>
      <w:b/>
      <w:bCs/>
      <w:i/>
      <w:iCs/>
      <w:color w:val="1D5C0C" w:themeColor="accent1"/>
      <w:kern w:val="28"/>
      <w:sz w:val="24"/>
      <w:szCs w:val="24"/>
      <w:lang w:val="ca-ES"/>
    </w:rPr>
  </w:style>
  <w:style w:type="paragraph" w:styleId="Textoindependiente">
    <w:name w:val="Body Text"/>
    <w:basedOn w:val="Default"/>
    <w:next w:val="Default"/>
    <w:link w:val="TextoindependienteCar"/>
    <w:uiPriority w:val="99"/>
    <w:rsid w:val="00473D16"/>
    <w:rPr>
      <w:color w:val="auto"/>
    </w:rPr>
  </w:style>
  <w:style w:type="character" w:customStyle="1" w:styleId="TextoindependienteCar">
    <w:name w:val="Texto independiente Car"/>
    <w:basedOn w:val="Fuentedeprrafopredeter"/>
    <w:link w:val="Textoindependiente"/>
    <w:uiPriority w:val="99"/>
    <w:rsid w:val="00473D16"/>
    <w:rPr>
      <w:rFonts w:ascii="Arial" w:hAnsi="Arial" w:cs="Arial"/>
      <w:sz w:val="24"/>
      <w:szCs w:val="24"/>
      <w:lang w:val="en-US"/>
    </w:rPr>
  </w:style>
  <w:style w:type="table" w:styleId="Sombreadoclaro-nfasis2">
    <w:name w:val="Light Shading Accent 2"/>
    <w:basedOn w:val="Tablanormal"/>
    <w:uiPriority w:val="60"/>
    <w:rsid w:val="006C216F"/>
    <w:pPr>
      <w:spacing w:after="0" w:line="240" w:lineRule="auto"/>
    </w:pPr>
    <w:rPr>
      <w:color w:val="557D15" w:themeColor="accent2" w:themeShade="BF"/>
    </w:rPr>
    <w:tblPr>
      <w:tblStyleRowBandSize w:val="1"/>
      <w:tblStyleColBandSize w:val="1"/>
      <w:tblInd w:w="0" w:type="dxa"/>
      <w:tblBorders>
        <w:top w:val="single" w:sz="8" w:space="0" w:color="73A81C" w:themeColor="accent2"/>
        <w:bottom w:val="single" w:sz="8" w:space="0" w:color="73A81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A81C" w:themeColor="accent2"/>
          <w:left w:val="nil"/>
          <w:bottom w:val="single" w:sz="8" w:space="0" w:color="73A81C" w:themeColor="accent2"/>
          <w:right w:val="nil"/>
          <w:insideH w:val="nil"/>
          <w:insideV w:val="nil"/>
        </w:tcBorders>
      </w:tcPr>
    </w:tblStylePr>
    <w:tblStylePr w:type="lastRow">
      <w:pPr>
        <w:spacing w:before="0" w:after="0" w:line="240" w:lineRule="auto"/>
      </w:pPr>
      <w:rPr>
        <w:b/>
        <w:bCs/>
      </w:rPr>
      <w:tblPr/>
      <w:tcPr>
        <w:tcBorders>
          <w:top w:val="single" w:sz="8" w:space="0" w:color="73A81C" w:themeColor="accent2"/>
          <w:left w:val="nil"/>
          <w:bottom w:val="single" w:sz="8" w:space="0" w:color="73A81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BC" w:themeFill="accent2" w:themeFillTint="3F"/>
      </w:tcPr>
    </w:tblStylePr>
    <w:tblStylePr w:type="band1Horz">
      <w:tblPr/>
      <w:tcPr>
        <w:tcBorders>
          <w:left w:val="nil"/>
          <w:right w:val="nil"/>
          <w:insideH w:val="nil"/>
          <w:insideV w:val="nil"/>
        </w:tcBorders>
        <w:shd w:val="clear" w:color="auto" w:fill="DEF4BC" w:themeFill="accent2" w:themeFillTint="3F"/>
      </w:tcPr>
    </w:tblStylePr>
  </w:style>
  <w:style w:type="paragraph" w:styleId="Sinespaciado">
    <w:name w:val="No Spacing"/>
    <w:uiPriority w:val="1"/>
    <w:qFormat/>
    <w:rsid w:val="00E508E8"/>
    <w:pPr>
      <w:spacing w:after="0" w:line="240" w:lineRule="auto"/>
      <w:jc w:val="both"/>
    </w:pPr>
    <w:rPr>
      <w:rFonts w:ascii="Arial" w:eastAsia="Times New Roman" w:hAnsi="Arial" w:cs="Times New Roman"/>
      <w:kern w:val="28"/>
      <w:sz w:val="24"/>
      <w:szCs w:val="24"/>
      <w:lang w:val="ca-ES"/>
    </w:rPr>
  </w:style>
  <w:style w:type="character" w:styleId="Refdecomentario">
    <w:name w:val="annotation reference"/>
    <w:basedOn w:val="Fuentedeprrafopredeter"/>
    <w:uiPriority w:val="99"/>
    <w:semiHidden/>
    <w:unhideWhenUsed/>
    <w:rsid w:val="00FE482A"/>
    <w:rPr>
      <w:sz w:val="16"/>
      <w:szCs w:val="16"/>
    </w:rPr>
  </w:style>
  <w:style w:type="paragraph" w:styleId="Textocomentario">
    <w:name w:val="annotation text"/>
    <w:basedOn w:val="Normal"/>
    <w:link w:val="TextocomentarioCar"/>
    <w:uiPriority w:val="99"/>
    <w:semiHidden/>
    <w:unhideWhenUsed/>
    <w:rsid w:val="00FE482A"/>
    <w:rPr>
      <w:sz w:val="20"/>
      <w:szCs w:val="20"/>
    </w:rPr>
  </w:style>
  <w:style w:type="character" w:customStyle="1" w:styleId="TextocomentarioCar">
    <w:name w:val="Texto comentario Car"/>
    <w:basedOn w:val="Fuentedeprrafopredeter"/>
    <w:link w:val="Textocomentario"/>
    <w:uiPriority w:val="99"/>
    <w:semiHidden/>
    <w:rsid w:val="00FE482A"/>
    <w:rPr>
      <w:rFonts w:ascii="Arial" w:eastAsia="Times New Roman" w:hAnsi="Arial" w:cs="Times New Roman"/>
      <w:kern w:val="28"/>
      <w:sz w:val="20"/>
      <w:szCs w:val="20"/>
      <w:lang w:val="ca-ES"/>
    </w:rPr>
  </w:style>
  <w:style w:type="paragraph" w:styleId="Asuntodelcomentario">
    <w:name w:val="annotation subject"/>
    <w:basedOn w:val="Textocomentario"/>
    <w:next w:val="Textocomentario"/>
    <w:link w:val="AsuntodelcomentarioCar"/>
    <w:uiPriority w:val="99"/>
    <w:semiHidden/>
    <w:unhideWhenUsed/>
    <w:rsid w:val="00FE482A"/>
    <w:rPr>
      <w:b/>
      <w:bCs/>
    </w:rPr>
  </w:style>
  <w:style w:type="character" w:customStyle="1" w:styleId="AsuntodelcomentarioCar">
    <w:name w:val="Asunto del comentario Car"/>
    <w:basedOn w:val="TextocomentarioCar"/>
    <w:link w:val="Asuntodelcomentario"/>
    <w:uiPriority w:val="99"/>
    <w:semiHidden/>
    <w:rsid w:val="00FE482A"/>
    <w:rPr>
      <w:rFonts w:ascii="Arial" w:eastAsia="Times New Roman" w:hAnsi="Arial" w:cs="Times New Roman"/>
      <w:b/>
      <w:bCs/>
      <w:kern w:val="28"/>
      <w:sz w:val="20"/>
      <w:szCs w:val="20"/>
      <w:lang w:val="ca-ES"/>
    </w:rPr>
  </w:style>
  <w:style w:type="paragraph" w:styleId="Textonotapie">
    <w:name w:val="footnote text"/>
    <w:basedOn w:val="Normal"/>
    <w:link w:val="TextonotapieCar"/>
    <w:uiPriority w:val="99"/>
    <w:semiHidden/>
    <w:unhideWhenUsed/>
    <w:rsid w:val="00632DB4"/>
    <w:pPr>
      <w:spacing w:before="0" w:after="0"/>
    </w:pPr>
    <w:rPr>
      <w:sz w:val="20"/>
      <w:szCs w:val="20"/>
      <w:lang w:val="es-ES"/>
    </w:rPr>
  </w:style>
  <w:style w:type="character" w:customStyle="1" w:styleId="TextonotapieCar">
    <w:name w:val="Texto nota pie Car"/>
    <w:basedOn w:val="Fuentedeprrafopredeter"/>
    <w:link w:val="Textonotapie"/>
    <w:uiPriority w:val="99"/>
    <w:semiHidden/>
    <w:rsid w:val="00632DB4"/>
    <w:rPr>
      <w:rFonts w:ascii="Arial" w:eastAsia="Times New Roman" w:hAnsi="Arial" w:cs="Times New Roman"/>
      <w:kern w:val="28"/>
      <w:sz w:val="20"/>
      <w:szCs w:val="20"/>
    </w:rPr>
  </w:style>
  <w:style w:type="character" w:styleId="Refdenotaalpie">
    <w:name w:val="footnote reference"/>
    <w:basedOn w:val="Fuentedeprrafopredeter"/>
    <w:uiPriority w:val="99"/>
    <w:semiHidden/>
    <w:unhideWhenUsed/>
    <w:rsid w:val="00632DB4"/>
    <w:rPr>
      <w:vertAlign w:val="superscript"/>
    </w:rPr>
  </w:style>
  <w:style w:type="character" w:styleId="Textoennegrita">
    <w:name w:val="Strong"/>
    <w:basedOn w:val="Fuentedeprrafopredeter"/>
    <w:uiPriority w:val="22"/>
    <w:qFormat/>
    <w:rsid w:val="00CD05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87087">
      <w:bodyDiv w:val="1"/>
      <w:marLeft w:val="0"/>
      <w:marRight w:val="0"/>
      <w:marTop w:val="0"/>
      <w:marBottom w:val="0"/>
      <w:divBdr>
        <w:top w:val="none" w:sz="0" w:space="0" w:color="auto"/>
        <w:left w:val="none" w:sz="0" w:space="0" w:color="auto"/>
        <w:bottom w:val="none" w:sz="0" w:space="0" w:color="auto"/>
        <w:right w:val="none" w:sz="0" w:space="0" w:color="auto"/>
      </w:divBdr>
    </w:div>
    <w:div w:id="219026501">
      <w:bodyDiv w:val="1"/>
      <w:marLeft w:val="0"/>
      <w:marRight w:val="0"/>
      <w:marTop w:val="0"/>
      <w:marBottom w:val="0"/>
      <w:divBdr>
        <w:top w:val="none" w:sz="0" w:space="0" w:color="auto"/>
        <w:left w:val="none" w:sz="0" w:space="0" w:color="auto"/>
        <w:bottom w:val="none" w:sz="0" w:space="0" w:color="auto"/>
        <w:right w:val="none" w:sz="0" w:space="0" w:color="auto"/>
      </w:divBdr>
      <w:divsChild>
        <w:div w:id="607858126">
          <w:marLeft w:val="288"/>
          <w:marRight w:val="0"/>
          <w:marTop w:val="240"/>
          <w:marBottom w:val="0"/>
          <w:divBdr>
            <w:top w:val="none" w:sz="0" w:space="0" w:color="auto"/>
            <w:left w:val="none" w:sz="0" w:space="0" w:color="auto"/>
            <w:bottom w:val="none" w:sz="0" w:space="0" w:color="auto"/>
            <w:right w:val="none" w:sz="0" w:space="0" w:color="auto"/>
          </w:divBdr>
        </w:div>
        <w:div w:id="1506672909">
          <w:marLeft w:val="288"/>
          <w:marRight w:val="0"/>
          <w:marTop w:val="240"/>
          <w:marBottom w:val="0"/>
          <w:divBdr>
            <w:top w:val="none" w:sz="0" w:space="0" w:color="auto"/>
            <w:left w:val="none" w:sz="0" w:space="0" w:color="auto"/>
            <w:bottom w:val="none" w:sz="0" w:space="0" w:color="auto"/>
            <w:right w:val="none" w:sz="0" w:space="0" w:color="auto"/>
          </w:divBdr>
        </w:div>
        <w:div w:id="1545605771">
          <w:marLeft w:val="288"/>
          <w:marRight w:val="0"/>
          <w:marTop w:val="240"/>
          <w:marBottom w:val="0"/>
          <w:divBdr>
            <w:top w:val="none" w:sz="0" w:space="0" w:color="auto"/>
            <w:left w:val="none" w:sz="0" w:space="0" w:color="auto"/>
            <w:bottom w:val="none" w:sz="0" w:space="0" w:color="auto"/>
            <w:right w:val="none" w:sz="0" w:space="0" w:color="auto"/>
          </w:divBdr>
        </w:div>
        <w:div w:id="2021077212">
          <w:marLeft w:val="288"/>
          <w:marRight w:val="0"/>
          <w:marTop w:val="240"/>
          <w:marBottom w:val="0"/>
          <w:divBdr>
            <w:top w:val="none" w:sz="0" w:space="0" w:color="auto"/>
            <w:left w:val="none" w:sz="0" w:space="0" w:color="auto"/>
            <w:bottom w:val="none" w:sz="0" w:space="0" w:color="auto"/>
            <w:right w:val="none" w:sz="0" w:space="0" w:color="auto"/>
          </w:divBdr>
        </w:div>
      </w:divsChild>
    </w:div>
    <w:div w:id="220167792">
      <w:bodyDiv w:val="1"/>
      <w:marLeft w:val="0"/>
      <w:marRight w:val="0"/>
      <w:marTop w:val="0"/>
      <w:marBottom w:val="0"/>
      <w:divBdr>
        <w:top w:val="none" w:sz="0" w:space="0" w:color="auto"/>
        <w:left w:val="none" w:sz="0" w:space="0" w:color="auto"/>
        <w:bottom w:val="none" w:sz="0" w:space="0" w:color="auto"/>
        <w:right w:val="none" w:sz="0" w:space="0" w:color="auto"/>
      </w:divBdr>
      <w:divsChild>
        <w:div w:id="1193306383">
          <w:marLeft w:val="0"/>
          <w:marRight w:val="0"/>
          <w:marTop w:val="0"/>
          <w:marBottom w:val="0"/>
          <w:divBdr>
            <w:top w:val="none" w:sz="0" w:space="0" w:color="auto"/>
            <w:left w:val="none" w:sz="0" w:space="0" w:color="auto"/>
            <w:bottom w:val="none" w:sz="0" w:space="0" w:color="auto"/>
            <w:right w:val="none" w:sz="0" w:space="0" w:color="auto"/>
          </w:divBdr>
        </w:div>
        <w:div w:id="49423445">
          <w:marLeft w:val="0"/>
          <w:marRight w:val="0"/>
          <w:marTop w:val="0"/>
          <w:marBottom w:val="0"/>
          <w:divBdr>
            <w:top w:val="none" w:sz="0" w:space="0" w:color="auto"/>
            <w:left w:val="none" w:sz="0" w:space="0" w:color="auto"/>
            <w:bottom w:val="none" w:sz="0" w:space="0" w:color="auto"/>
            <w:right w:val="none" w:sz="0" w:space="0" w:color="auto"/>
          </w:divBdr>
        </w:div>
        <w:div w:id="1423717354">
          <w:marLeft w:val="0"/>
          <w:marRight w:val="0"/>
          <w:marTop w:val="0"/>
          <w:marBottom w:val="0"/>
          <w:divBdr>
            <w:top w:val="none" w:sz="0" w:space="0" w:color="auto"/>
            <w:left w:val="none" w:sz="0" w:space="0" w:color="auto"/>
            <w:bottom w:val="none" w:sz="0" w:space="0" w:color="auto"/>
            <w:right w:val="none" w:sz="0" w:space="0" w:color="auto"/>
          </w:divBdr>
        </w:div>
        <w:div w:id="537397402">
          <w:marLeft w:val="0"/>
          <w:marRight w:val="0"/>
          <w:marTop w:val="0"/>
          <w:marBottom w:val="0"/>
          <w:divBdr>
            <w:top w:val="none" w:sz="0" w:space="0" w:color="auto"/>
            <w:left w:val="none" w:sz="0" w:space="0" w:color="auto"/>
            <w:bottom w:val="none" w:sz="0" w:space="0" w:color="auto"/>
            <w:right w:val="none" w:sz="0" w:space="0" w:color="auto"/>
          </w:divBdr>
        </w:div>
        <w:div w:id="377628492">
          <w:marLeft w:val="0"/>
          <w:marRight w:val="0"/>
          <w:marTop w:val="0"/>
          <w:marBottom w:val="0"/>
          <w:divBdr>
            <w:top w:val="none" w:sz="0" w:space="0" w:color="auto"/>
            <w:left w:val="none" w:sz="0" w:space="0" w:color="auto"/>
            <w:bottom w:val="none" w:sz="0" w:space="0" w:color="auto"/>
            <w:right w:val="none" w:sz="0" w:space="0" w:color="auto"/>
          </w:divBdr>
        </w:div>
        <w:div w:id="381439415">
          <w:marLeft w:val="0"/>
          <w:marRight w:val="0"/>
          <w:marTop w:val="0"/>
          <w:marBottom w:val="0"/>
          <w:divBdr>
            <w:top w:val="none" w:sz="0" w:space="0" w:color="auto"/>
            <w:left w:val="none" w:sz="0" w:space="0" w:color="auto"/>
            <w:bottom w:val="none" w:sz="0" w:space="0" w:color="auto"/>
            <w:right w:val="none" w:sz="0" w:space="0" w:color="auto"/>
          </w:divBdr>
        </w:div>
        <w:div w:id="288047030">
          <w:marLeft w:val="0"/>
          <w:marRight w:val="0"/>
          <w:marTop w:val="0"/>
          <w:marBottom w:val="0"/>
          <w:divBdr>
            <w:top w:val="none" w:sz="0" w:space="0" w:color="auto"/>
            <w:left w:val="none" w:sz="0" w:space="0" w:color="auto"/>
            <w:bottom w:val="none" w:sz="0" w:space="0" w:color="auto"/>
            <w:right w:val="none" w:sz="0" w:space="0" w:color="auto"/>
          </w:divBdr>
        </w:div>
        <w:div w:id="1032414376">
          <w:marLeft w:val="0"/>
          <w:marRight w:val="0"/>
          <w:marTop w:val="0"/>
          <w:marBottom w:val="0"/>
          <w:divBdr>
            <w:top w:val="none" w:sz="0" w:space="0" w:color="auto"/>
            <w:left w:val="none" w:sz="0" w:space="0" w:color="auto"/>
            <w:bottom w:val="none" w:sz="0" w:space="0" w:color="auto"/>
            <w:right w:val="none" w:sz="0" w:space="0" w:color="auto"/>
          </w:divBdr>
        </w:div>
        <w:div w:id="783575052">
          <w:marLeft w:val="0"/>
          <w:marRight w:val="0"/>
          <w:marTop w:val="0"/>
          <w:marBottom w:val="0"/>
          <w:divBdr>
            <w:top w:val="none" w:sz="0" w:space="0" w:color="auto"/>
            <w:left w:val="none" w:sz="0" w:space="0" w:color="auto"/>
            <w:bottom w:val="none" w:sz="0" w:space="0" w:color="auto"/>
            <w:right w:val="none" w:sz="0" w:space="0" w:color="auto"/>
          </w:divBdr>
        </w:div>
        <w:div w:id="1092166203">
          <w:marLeft w:val="0"/>
          <w:marRight w:val="0"/>
          <w:marTop w:val="0"/>
          <w:marBottom w:val="0"/>
          <w:divBdr>
            <w:top w:val="none" w:sz="0" w:space="0" w:color="auto"/>
            <w:left w:val="none" w:sz="0" w:space="0" w:color="auto"/>
            <w:bottom w:val="none" w:sz="0" w:space="0" w:color="auto"/>
            <w:right w:val="none" w:sz="0" w:space="0" w:color="auto"/>
          </w:divBdr>
        </w:div>
        <w:div w:id="1358503232">
          <w:marLeft w:val="0"/>
          <w:marRight w:val="0"/>
          <w:marTop w:val="0"/>
          <w:marBottom w:val="0"/>
          <w:divBdr>
            <w:top w:val="none" w:sz="0" w:space="0" w:color="auto"/>
            <w:left w:val="none" w:sz="0" w:space="0" w:color="auto"/>
            <w:bottom w:val="none" w:sz="0" w:space="0" w:color="auto"/>
            <w:right w:val="none" w:sz="0" w:space="0" w:color="auto"/>
          </w:divBdr>
        </w:div>
        <w:div w:id="625621301">
          <w:marLeft w:val="0"/>
          <w:marRight w:val="0"/>
          <w:marTop w:val="0"/>
          <w:marBottom w:val="0"/>
          <w:divBdr>
            <w:top w:val="none" w:sz="0" w:space="0" w:color="auto"/>
            <w:left w:val="none" w:sz="0" w:space="0" w:color="auto"/>
            <w:bottom w:val="none" w:sz="0" w:space="0" w:color="auto"/>
            <w:right w:val="none" w:sz="0" w:space="0" w:color="auto"/>
          </w:divBdr>
        </w:div>
        <w:div w:id="995455570">
          <w:marLeft w:val="0"/>
          <w:marRight w:val="0"/>
          <w:marTop w:val="0"/>
          <w:marBottom w:val="0"/>
          <w:divBdr>
            <w:top w:val="none" w:sz="0" w:space="0" w:color="auto"/>
            <w:left w:val="none" w:sz="0" w:space="0" w:color="auto"/>
            <w:bottom w:val="none" w:sz="0" w:space="0" w:color="auto"/>
            <w:right w:val="none" w:sz="0" w:space="0" w:color="auto"/>
          </w:divBdr>
        </w:div>
        <w:div w:id="1777946682">
          <w:marLeft w:val="0"/>
          <w:marRight w:val="0"/>
          <w:marTop w:val="0"/>
          <w:marBottom w:val="0"/>
          <w:divBdr>
            <w:top w:val="none" w:sz="0" w:space="0" w:color="auto"/>
            <w:left w:val="none" w:sz="0" w:space="0" w:color="auto"/>
            <w:bottom w:val="none" w:sz="0" w:space="0" w:color="auto"/>
            <w:right w:val="none" w:sz="0" w:space="0" w:color="auto"/>
          </w:divBdr>
        </w:div>
        <w:div w:id="1373649791">
          <w:marLeft w:val="0"/>
          <w:marRight w:val="0"/>
          <w:marTop w:val="0"/>
          <w:marBottom w:val="0"/>
          <w:divBdr>
            <w:top w:val="none" w:sz="0" w:space="0" w:color="auto"/>
            <w:left w:val="none" w:sz="0" w:space="0" w:color="auto"/>
            <w:bottom w:val="none" w:sz="0" w:space="0" w:color="auto"/>
            <w:right w:val="none" w:sz="0" w:space="0" w:color="auto"/>
          </w:divBdr>
        </w:div>
        <w:div w:id="460004308">
          <w:marLeft w:val="0"/>
          <w:marRight w:val="0"/>
          <w:marTop w:val="0"/>
          <w:marBottom w:val="0"/>
          <w:divBdr>
            <w:top w:val="none" w:sz="0" w:space="0" w:color="auto"/>
            <w:left w:val="none" w:sz="0" w:space="0" w:color="auto"/>
            <w:bottom w:val="none" w:sz="0" w:space="0" w:color="auto"/>
            <w:right w:val="none" w:sz="0" w:space="0" w:color="auto"/>
          </w:divBdr>
        </w:div>
        <w:div w:id="706298135">
          <w:marLeft w:val="0"/>
          <w:marRight w:val="0"/>
          <w:marTop w:val="0"/>
          <w:marBottom w:val="0"/>
          <w:divBdr>
            <w:top w:val="none" w:sz="0" w:space="0" w:color="auto"/>
            <w:left w:val="none" w:sz="0" w:space="0" w:color="auto"/>
            <w:bottom w:val="none" w:sz="0" w:space="0" w:color="auto"/>
            <w:right w:val="none" w:sz="0" w:space="0" w:color="auto"/>
          </w:divBdr>
        </w:div>
        <w:div w:id="577058724">
          <w:marLeft w:val="0"/>
          <w:marRight w:val="0"/>
          <w:marTop w:val="0"/>
          <w:marBottom w:val="0"/>
          <w:divBdr>
            <w:top w:val="none" w:sz="0" w:space="0" w:color="auto"/>
            <w:left w:val="none" w:sz="0" w:space="0" w:color="auto"/>
            <w:bottom w:val="none" w:sz="0" w:space="0" w:color="auto"/>
            <w:right w:val="none" w:sz="0" w:space="0" w:color="auto"/>
          </w:divBdr>
        </w:div>
        <w:div w:id="903758005">
          <w:marLeft w:val="0"/>
          <w:marRight w:val="0"/>
          <w:marTop w:val="0"/>
          <w:marBottom w:val="0"/>
          <w:divBdr>
            <w:top w:val="none" w:sz="0" w:space="0" w:color="auto"/>
            <w:left w:val="none" w:sz="0" w:space="0" w:color="auto"/>
            <w:bottom w:val="none" w:sz="0" w:space="0" w:color="auto"/>
            <w:right w:val="none" w:sz="0" w:space="0" w:color="auto"/>
          </w:divBdr>
        </w:div>
        <w:div w:id="237448487">
          <w:marLeft w:val="0"/>
          <w:marRight w:val="0"/>
          <w:marTop w:val="0"/>
          <w:marBottom w:val="0"/>
          <w:divBdr>
            <w:top w:val="none" w:sz="0" w:space="0" w:color="auto"/>
            <w:left w:val="none" w:sz="0" w:space="0" w:color="auto"/>
            <w:bottom w:val="none" w:sz="0" w:space="0" w:color="auto"/>
            <w:right w:val="none" w:sz="0" w:space="0" w:color="auto"/>
          </w:divBdr>
        </w:div>
        <w:div w:id="1128358626">
          <w:marLeft w:val="0"/>
          <w:marRight w:val="0"/>
          <w:marTop w:val="0"/>
          <w:marBottom w:val="0"/>
          <w:divBdr>
            <w:top w:val="none" w:sz="0" w:space="0" w:color="auto"/>
            <w:left w:val="none" w:sz="0" w:space="0" w:color="auto"/>
            <w:bottom w:val="none" w:sz="0" w:space="0" w:color="auto"/>
            <w:right w:val="none" w:sz="0" w:space="0" w:color="auto"/>
          </w:divBdr>
        </w:div>
      </w:divsChild>
    </w:div>
    <w:div w:id="242225882">
      <w:bodyDiv w:val="1"/>
      <w:marLeft w:val="0"/>
      <w:marRight w:val="0"/>
      <w:marTop w:val="0"/>
      <w:marBottom w:val="0"/>
      <w:divBdr>
        <w:top w:val="none" w:sz="0" w:space="0" w:color="auto"/>
        <w:left w:val="none" w:sz="0" w:space="0" w:color="auto"/>
        <w:bottom w:val="none" w:sz="0" w:space="0" w:color="auto"/>
        <w:right w:val="none" w:sz="0" w:space="0" w:color="auto"/>
      </w:divBdr>
      <w:divsChild>
        <w:div w:id="1435205249">
          <w:marLeft w:val="130"/>
          <w:marRight w:val="0"/>
          <w:marTop w:val="0"/>
          <w:marBottom w:val="0"/>
          <w:divBdr>
            <w:top w:val="none" w:sz="0" w:space="0" w:color="auto"/>
            <w:left w:val="none" w:sz="0" w:space="0" w:color="auto"/>
            <w:bottom w:val="none" w:sz="0" w:space="0" w:color="auto"/>
            <w:right w:val="none" w:sz="0" w:space="0" w:color="auto"/>
          </w:divBdr>
        </w:div>
        <w:div w:id="1331373074">
          <w:marLeft w:val="130"/>
          <w:marRight w:val="0"/>
          <w:marTop w:val="0"/>
          <w:marBottom w:val="0"/>
          <w:divBdr>
            <w:top w:val="none" w:sz="0" w:space="0" w:color="auto"/>
            <w:left w:val="none" w:sz="0" w:space="0" w:color="auto"/>
            <w:bottom w:val="none" w:sz="0" w:space="0" w:color="auto"/>
            <w:right w:val="none" w:sz="0" w:space="0" w:color="auto"/>
          </w:divBdr>
        </w:div>
        <w:div w:id="387610421">
          <w:marLeft w:val="130"/>
          <w:marRight w:val="0"/>
          <w:marTop w:val="0"/>
          <w:marBottom w:val="0"/>
          <w:divBdr>
            <w:top w:val="none" w:sz="0" w:space="0" w:color="auto"/>
            <w:left w:val="none" w:sz="0" w:space="0" w:color="auto"/>
            <w:bottom w:val="none" w:sz="0" w:space="0" w:color="auto"/>
            <w:right w:val="none" w:sz="0" w:space="0" w:color="auto"/>
          </w:divBdr>
        </w:div>
        <w:div w:id="1719624086">
          <w:marLeft w:val="130"/>
          <w:marRight w:val="0"/>
          <w:marTop w:val="0"/>
          <w:marBottom w:val="0"/>
          <w:divBdr>
            <w:top w:val="none" w:sz="0" w:space="0" w:color="auto"/>
            <w:left w:val="none" w:sz="0" w:space="0" w:color="auto"/>
            <w:bottom w:val="none" w:sz="0" w:space="0" w:color="auto"/>
            <w:right w:val="none" w:sz="0" w:space="0" w:color="auto"/>
          </w:divBdr>
        </w:div>
        <w:div w:id="1243414723">
          <w:marLeft w:val="130"/>
          <w:marRight w:val="0"/>
          <w:marTop w:val="0"/>
          <w:marBottom w:val="0"/>
          <w:divBdr>
            <w:top w:val="none" w:sz="0" w:space="0" w:color="auto"/>
            <w:left w:val="none" w:sz="0" w:space="0" w:color="auto"/>
            <w:bottom w:val="none" w:sz="0" w:space="0" w:color="auto"/>
            <w:right w:val="none" w:sz="0" w:space="0" w:color="auto"/>
          </w:divBdr>
        </w:div>
        <w:div w:id="486671663">
          <w:marLeft w:val="130"/>
          <w:marRight w:val="0"/>
          <w:marTop w:val="0"/>
          <w:marBottom w:val="0"/>
          <w:divBdr>
            <w:top w:val="none" w:sz="0" w:space="0" w:color="auto"/>
            <w:left w:val="none" w:sz="0" w:space="0" w:color="auto"/>
            <w:bottom w:val="none" w:sz="0" w:space="0" w:color="auto"/>
            <w:right w:val="none" w:sz="0" w:space="0" w:color="auto"/>
          </w:divBdr>
        </w:div>
        <w:div w:id="1878614798">
          <w:marLeft w:val="130"/>
          <w:marRight w:val="0"/>
          <w:marTop w:val="0"/>
          <w:marBottom w:val="0"/>
          <w:divBdr>
            <w:top w:val="none" w:sz="0" w:space="0" w:color="auto"/>
            <w:left w:val="none" w:sz="0" w:space="0" w:color="auto"/>
            <w:bottom w:val="none" w:sz="0" w:space="0" w:color="auto"/>
            <w:right w:val="none" w:sz="0" w:space="0" w:color="auto"/>
          </w:divBdr>
        </w:div>
        <w:div w:id="1697076687">
          <w:marLeft w:val="288"/>
          <w:marRight w:val="0"/>
          <w:marTop w:val="0"/>
          <w:marBottom w:val="0"/>
          <w:divBdr>
            <w:top w:val="none" w:sz="0" w:space="0" w:color="auto"/>
            <w:left w:val="none" w:sz="0" w:space="0" w:color="auto"/>
            <w:bottom w:val="none" w:sz="0" w:space="0" w:color="auto"/>
            <w:right w:val="none" w:sz="0" w:space="0" w:color="auto"/>
          </w:divBdr>
        </w:div>
        <w:div w:id="1665741856">
          <w:marLeft w:val="288"/>
          <w:marRight w:val="0"/>
          <w:marTop w:val="0"/>
          <w:marBottom w:val="0"/>
          <w:divBdr>
            <w:top w:val="none" w:sz="0" w:space="0" w:color="auto"/>
            <w:left w:val="none" w:sz="0" w:space="0" w:color="auto"/>
            <w:bottom w:val="none" w:sz="0" w:space="0" w:color="auto"/>
            <w:right w:val="none" w:sz="0" w:space="0" w:color="auto"/>
          </w:divBdr>
        </w:div>
        <w:div w:id="1578903298">
          <w:marLeft w:val="130"/>
          <w:marRight w:val="0"/>
          <w:marTop w:val="0"/>
          <w:marBottom w:val="0"/>
          <w:divBdr>
            <w:top w:val="none" w:sz="0" w:space="0" w:color="auto"/>
            <w:left w:val="none" w:sz="0" w:space="0" w:color="auto"/>
            <w:bottom w:val="none" w:sz="0" w:space="0" w:color="auto"/>
            <w:right w:val="none" w:sz="0" w:space="0" w:color="auto"/>
          </w:divBdr>
        </w:div>
        <w:div w:id="615520915">
          <w:marLeft w:val="130"/>
          <w:marRight w:val="0"/>
          <w:marTop w:val="0"/>
          <w:marBottom w:val="0"/>
          <w:divBdr>
            <w:top w:val="none" w:sz="0" w:space="0" w:color="auto"/>
            <w:left w:val="none" w:sz="0" w:space="0" w:color="auto"/>
            <w:bottom w:val="none" w:sz="0" w:space="0" w:color="auto"/>
            <w:right w:val="none" w:sz="0" w:space="0" w:color="auto"/>
          </w:divBdr>
        </w:div>
        <w:div w:id="1370184266">
          <w:marLeft w:val="130"/>
          <w:marRight w:val="0"/>
          <w:marTop w:val="0"/>
          <w:marBottom w:val="0"/>
          <w:divBdr>
            <w:top w:val="none" w:sz="0" w:space="0" w:color="auto"/>
            <w:left w:val="none" w:sz="0" w:space="0" w:color="auto"/>
            <w:bottom w:val="none" w:sz="0" w:space="0" w:color="auto"/>
            <w:right w:val="none" w:sz="0" w:space="0" w:color="auto"/>
          </w:divBdr>
        </w:div>
        <w:div w:id="1239444341">
          <w:marLeft w:val="130"/>
          <w:marRight w:val="0"/>
          <w:marTop w:val="0"/>
          <w:marBottom w:val="0"/>
          <w:divBdr>
            <w:top w:val="none" w:sz="0" w:space="0" w:color="auto"/>
            <w:left w:val="none" w:sz="0" w:space="0" w:color="auto"/>
            <w:bottom w:val="none" w:sz="0" w:space="0" w:color="auto"/>
            <w:right w:val="none" w:sz="0" w:space="0" w:color="auto"/>
          </w:divBdr>
        </w:div>
        <w:div w:id="1291979140">
          <w:marLeft w:val="130"/>
          <w:marRight w:val="0"/>
          <w:marTop w:val="0"/>
          <w:marBottom w:val="0"/>
          <w:divBdr>
            <w:top w:val="none" w:sz="0" w:space="0" w:color="auto"/>
            <w:left w:val="none" w:sz="0" w:space="0" w:color="auto"/>
            <w:bottom w:val="none" w:sz="0" w:space="0" w:color="auto"/>
            <w:right w:val="none" w:sz="0" w:space="0" w:color="auto"/>
          </w:divBdr>
        </w:div>
        <w:div w:id="1782454600">
          <w:marLeft w:val="130"/>
          <w:marRight w:val="0"/>
          <w:marTop w:val="0"/>
          <w:marBottom w:val="0"/>
          <w:divBdr>
            <w:top w:val="none" w:sz="0" w:space="0" w:color="auto"/>
            <w:left w:val="none" w:sz="0" w:space="0" w:color="auto"/>
            <w:bottom w:val="none" w:sz="0" w:space="0" w:color="auto"/>
            <w:right w:val="none" w:sz="0" w:space="0" w:color="auto"/>
          </w:divBdr>
        </w:div>
        <w:div w:id="949049864">
          <w:marLeft w:val="130"/>
          <w:marRight w:val="0"/>
          <w:marTop w:val="0"/>
          <w:marBottom w:val="0"/>
          <w:divBdr>
            <w:top w:val="none" w:sz="0" w:space="0" w:color="auto"/>
            <w:left w:val="none" w:sz="0" w:space="0" w:color="auto"/>
            <w:bottom w:val="none" w:sz="0" w:space="0" w:color="auto"/>
            <w:right w:val="none" w:sz="0" w:space="0" w:color="auto"/>
          </w:divBdr>
        </w:div>
        <w:div w:id="37248208">
          <w:marLeft w:val="130"/>
          <w:marRight w:val="0"/>
          <w:marTop w:val="0"/>
          <w:marBottom w:val="0"/>
          <w:divBdr>
            <w:top w:val="none" w:sz="0" w:space="0" w:color="auto"/>
            <w:left w:val="none" w:sz="0" w:space="0" w:color="auto"/>
            <w:bottom w:val="none" w:sz="0" w:space="0" w:color="auto"/>
            <w:right w:val="none" w:sz="0" w:space="0" w:color="auto"/>
          </w:divBdr>
        </w:div>
        <w:div w:id="1289631323">
          <w:marLeft w:val="130"/>
          <w:marRight w:val="0"/>
          <w:marTop w:val="0"/>
          <w:marBottom w:val="0"/>
          <w:divBdr>
            <w:top w:val="none" w:sz="0" w:space="0" w:color="auto"/>
            <w:left w:val="none" w:sz="0" w:space="0" w:color="auto"/>
            <w:bottom w:val="none" w:sz="0" w:space="0" w:color="auto"/>
            <w:right w:val="none" w:sz="0" w:space="0" w:color="auto"/>
          </w:divBdr>
        </w:div>
        <w:div w:id="1400522265">
          <w:marLeft w:val="130"/>
          <w:marRight w:val="0"/>
          <w:marTop w:val="0"/>
          <w:marBottom w:val="0"/>
          <w:divBdr>
            <w:top w:val="none" w:sz="0" w:space="0" w:color="auto"/>
            <w:left w:val="none" w:sz="0" w:space="0" w:color="auto"/>
            <w:bottom w:val="none" w:sz="0" w:space="0" w:color="auto"/>
            <w:right w:val="none" w:sz="0" w:space="0" w:color="auto"/>
          </w:divBdr>
        </w:div>
        <w:div w:id="740560990">
          <w:marLeft w:val="130"/>
          <w:marRight w:val="0"/>
          <w:marTop w:val="0"/>
          <w:marBottom w:val="0"/>
          <w:divBdr>
            <w:top w:val="none" w:sz="0" w:space="0" w:color="auto"/>
            <w:left w:val="none" w:sz="0" w:space="0" w:color="auto"/>
            <w:bottom w:val="none" w:sz="0" w:space="0" w:color="auto"/>
            <w:right w:val="none" w:sz="0" w:space="0" w:color="auto"/>
          </w:divBdr>
        </w:div>
        <w:div w:id="1578976438">
          <w:marLeft w:val="130"/>
          <w:marRight w:val="0"/>
          <w:marTop w:val="0"/>
          <w:marBottom w:val="0"/>
          <w:divBdr>
            <w:top w:val="none" w:sz="0" w:space="0" w:color="auto"/>
            <w:left w:val="none" w:sz="0" w:space="0" w:color="auto"/>
            <w:bottom w:val="none" w:sz="0" w:space="0" w:color="auto"/>
            <w:right w:val="none" w:sz="0" w:space="0" w:color="auto"/>
          </w:divBdr>
        </w:div>
      </w:divsChild>
    </w:div>
    <w:div w:id="243418008">
      <w:bodyDiv w:val="1"/>
      <w:marLeft w:val="0"/>
      <w:marRight w:val="0"/>
      <w:marTop w:val="0"/>
      <w:marBottom w:val="0"/>
      <w:divBdr>
        <w:top w:val="none" w:sz="0" w:space="0" w:color="auto"/>
        <w:left w:val="none" w:sz="0" w:space="0" w:color="auto"/>
        <w:bottom w:val="none" w:sz="0" w:space="0" w:color="auto"/>
        <w:right w:val="none" w:sz="0" w:space="0" w:color="auto"/>
      </w:divBdr>
    </w:div>
    <w:div w:id="361169451">
      <w:bodyDiv w:val="1"/>
      <w:marLeft w:val="0"/>
      <w:marRight w:val="0"/>
      <w:marTop w:val="0"/>
      <w:marBottom w:val="0"/>
      <w:divBdr>
        <w:top w:val="none" w:sz="0" w:space="0" w:color="auto"/>
        <w:left w:val="none" w:sz="0" w:space="0" w:color="auto"/>
        <w:bottom w:val="none" w:sz="0" w:space="0" w:color="auto"/>
        <w:right w:val="none" w:sz="0" w:space="0" w:color="auto"/>
      </w:divBdr>
      <w:divsChild>
        <w:div w:id="3285498">
          <w:marLeft w:val="288"/>
          <w:marRight w:val="0"/>
          <w:marTop w:val="240"/>
          <w:marBottom w:val="0"/>
          <w:divBdr>
            <w:top w:val="none" w:sz="0" w:space="0" w:color="auto"/>
            <w:left w:val="none" w:sz="0" w:space="0" w:color="auto"/>
            <w:bottom w:val="none" w:sz="0" w:space="0" w:color="auto"/>
            <w:right w:val="none" w:sz="0" w:space="0" w:color="auto"/>
          </w:divBdr>
        </w:div>
        <w:div w:id="1977950265">
          <w:marLeft w:val="288"/>
          <w:marRight w:val="0"/>
          <w:marTop w:val="240"/>
          <w:marBottom w:val="0"/>
          <w:divBdr>
            <w:top w:val="none" w:sz="0" w:space="0" w:color="auto"/>
            <w:left w:val="none" w:sz="0" w:space="0" w:color="auto"/>
            <w:bottom w:val="none" w:sz="0" w:space="0" w:color="auto"/>
            <w:right w:val="none" w:sz="0" w:space="0" w:color="auto"/>
          </w:divBdr>
        </w:div>
        <w:div w:id="1179587695">
          <w:marLeft w:val="288"/>
          <w:marRight w:val="0"/>
          <w:marTop w:val="240"/>
          <w:marBottom w:val="0"/>
          <w:divBdr>
            <w:top w:val="none" w:sz="0" w:space="0" w:color="auto"/>
            <w:left w:val="none" w:sz="0" w:space="0" w:color="auto"/>
            <w:bottom w:val="none" w:sz="0" w:space="0" w:color="auto"/>
            <w:right w:val="none" w:sz="0" w:space="0" w:color="auto"/>
          </w:divBdr>
        </w:div>
        <w:div w:id="104932399">
          <w:marLeft w:val="288"/>
          <w:marRight w:val="0"/>
          <w:marTop w:val="240"/>
          <w:marBottom w:val="0"/>
          <w:divBdr>
            <w:top w:val="none" w:sz="0" w:space="0" w:color="auto"/>
            <w:left w:val="none" w:sz="0" w:space="0" w:color="auto"/>
            <w:bottom w:val="none" w:sz="0" w:space="0" w:color="auto"/>
            <w:right w:val="none" w:sz="0" w:space="0" w:color="auto"/>
          </w:divBdr>
        </w:div>
        <w:div w:id="664090114">
          <w:marLeft w:val="288"/>
          <w:marRight w:val="0"/>
          <w:marTop w:val="240"/>
          <w:marBottom w:val="0"/>
          <w:divBdr>
            <w:top w:val="none" w:sz="0" w:space="0" w:color="auto"/>
            <w:left w:val="none" w:sz="0" w:space="0" w:color="auto"/>
            <w:bottom w:val="none" w:sz="0" w:space="0" w:color="auto"/>
            <w:right w:val="none" w:sz="0" w:space="0" w:color="auto"/>
          </w:divBdr>
        </w:div>
      </w:divsChild>
    </w:div>
    <w:div w:id="395980230">
      <w:bodyDiv w:val="1"/>
      <w:marLeft w:val="0"/>
      <w:marRight w:val="0"/>
      <w:marTop w:val="0"/>
      <w:marBottom w:val="0"/>
      <w:divBdr>
        <w:top w:val="none" w:sz="0" w:space="0" w:color="auto"/>
        <w:left w:val="none" w:sz="0" w:space="0" w:color="auto"/>
        <w:bottom w:val="none" w:sz="0" w:space="0" w:color="auto"/>
        <w:right w:val="none" w:sz="0" w:space="0" w:color="auto"/>
      </w:divBdr>
    </w:div>
    <w:div w:id="452869221">
      <w:bodyDiv w:val="1"/>
      <w:marLeft w:val="0"/>
      <w:marRight w:val="0"/>
      <w:marTop w:val="0"/>
      <w:marBottom w:val="0"/>
      <w:divBdr>
        <w:top w:val="none" w:sz="0" w:space="0" w:color="auto"/>
        <w:left w:val="none" w:sz="0" w:space="0" w:color="auto"/>
        <w:bottom w:val="none" w:sz="0" w:space="0" w:color="auto"/>
        <w:right w:val="none" w:sz="0" w:space="0" w:color="auto"/>
      </w:divBdr>
    </w:div>
    <w:div w:id="477115934">
      <w:bodyDiv w:val="1"/>
      <w:marLeft w:val="0"/>
      <w:marRight w:val="0"/>
      <w:marTop w:val="0"/>
      <w:marBottom w:val="0"/>
      <w:divBdr>
        <w:top w:val="none" w:sz="0" w:space="0" w:color="auto"/>
        <w:left w:val="none" w:sz="0" w:space="0" w:color="auto"/>
        <w:bottom w:val="none" w:sz="0" w:space="0" w:color="auto"/>
        <w:right w:val="none" w:sz="0" w:space="0" w:color="auto"/>
      </w:divBdr>
    </w:div>
    <w:div w:id="520165717">
      <w:bodyDiv w:val="1"/>
      <w:marLeft w:val="0"/>
      <w:marRight w:val="0"/>
      <w:marTop w:val="0"/>
      <w:marBottom w:val="0"/>
      <w:divBdr>
        <w:top w:val="none" w:sz="0" w:space="0" w:color="auto"/>
        <w:left w:val="none" w:sz="0" w:space="0" w:color="auto"/>
        <w:bottom w:val="none" w:sz="0" w:space="0" w:color="auto"/>
        <w:right w:val="none" w:sz="0" w:space="0" w:color="auto"/>
      </w:divBdr>
    </w:div>
    <w:div w:id="601688007">
      <w:bodyDiv w:val="1"/>
      <w:marLeft w:val="0"/>
      <w:marRight w:val="0"/>
      <w:marTop w:val="0"/>
      <w:marBottom w:val="0"/>
      <w:divBdr>
        <w:top w:val="none" w:sz="0" w:space="0" w:color="auto"/>
        <w:left w:val="none" w:sz="0" w:space="0" w:color="auto"/>
        <w:bottom w:val="none" w:sz="0" w:space="0" w:color="auto"/>
        <w:right w:val="none" w:sz="0" w:space="0" w:color="auto"/>
      </w:divBdr>
    </w:div>
    <w:div w:id="622809873">
      <w:bodyDiv w:val="1"/>
      <w:marLeft w:val="0"/>
      <w:marRight w:val="0"/>
      <w:marTop w:val="0"/>
      <w:marBottom w:val="0"/>
      <w:divBdr>
        <w:top w:val="none" w:sz="0" w:space="0" w:color="auto"/>
        <w:left w:val="none" w:sz="0" w:space="0" w:color="auto"/>
        <w:bottom w:val="none" w:sz="0" w:space="0" w:color="auto"/>
        <w:right w:val="none" w:sz="0" w:space="0" w:color="auto"/>
      </w:divBdr>
    </w:div>
    <w:div w:id="767581601">
      <w:bodyDiv w:val="1"/>
      <w:marLeft w:val="0"/>
      <w:marRight w:val="0"/>
      <w:marTop w:val="0"/>
      <w:marBottom w:val="0"/>
      <w:divBdr>
        <w:top w:val="none" w:sz="0" w:space="0" w:color="auto"/>
        <w:left w:val="none" w:sz="0" w:space="0" w:color="auto"/>
        <w:bottom w:val="none" w:sz="0" w:space="0" w:color="auto"/>
        <w:right w:val="none" w:sz="0" w:space="0" w:color="auto"/>
      </w:divBdr>
      <w:divsChild>
        <w:div w:id="183909658">
          <w:marLeft w:val="547"/>
          <w:marRight w:val="0"/>
          <w:marTop w:val="60"/>
          <w:marBottom w:val="60"/>
          <w:divBdr>
            <w:top w:val="none" w:sz="0" w:space="0" w:color="auto"/>
            <w:left w:val="none" w:sz="0" w:space="0" w:color="auto"/>
            <w:bottom w:val="none" w:sz="0" w:space="0" w:color="auto"/>
            <w:right w:val="none" w:sz="0" w:space="0" w:color="auto"/>
          </w:divBdr>
        </w:div>
      </w:divsChild>
    </w:div>
    <w:div w:id="828442202">
      <w:bodyDiv w:val="1"/>
      <w:marLeft w:val="0"/>
      <w:marRight w:val="0"/>
      <w:marTop w:val="0"/>
      <w:marBottom w:val="0"/>
      <w:divBdr>
        <w:top w:val="none" w:sz="0" w:space="0" w:color="auto"/>
        <w:left w:val="none" w:sz="0" w:space="0" w:color="auto"/>
        <w:bottom w:val="none" w:sz="0" w:space="0" w:color="auto"/>
        <w:right w:val="none" w:sz="0" w:space="0" w:color="auto"/>
      </w:divBdr>
      <w:divsChild>
        <w:div w:id="630015203">
          <w:marLeft w:val="360"/>
          <w:marRight w:val="0"/>
          <w:marTop w:val="0"/>
          <w:marBottom w:val="0"/>
          <w:divBdr>
            <w:top w:val="none" w:sz="0" w:space="0" w:color="auto"/>
            <w:left w:val="none" w:sz="0" w:space="0" w:color="auto"/>
            <w:bottom w:val="none" w:sz="0" w:space="0" w:color="auto"/>
            <w:right w:val="none" w:sz="0" w:space="0" w:color="auto"/>
          </w:divBdr>
        </w:div>
        <w:div w:id="1577663046">
          <w:marLeft w:val="360"/>
          <w:marRight w:val="0"/>
          <w:marTop w:val="0"/>
          <w:marBottom w:val="0"/>
          <w:divBdr>
            <w:top w:val="none" w:sz="0" w:space="0" w:color="auto"/>
            <w:left w:val="none" w:sz="0" w:space="0" w:color="auto"/>
            <w:bottom w:val="none" w:sz="0" w:space="0" w:color="auto"/>
            <w:right w:val="none" w:sz="0" w:space="0" w:color="auto"/>
          </w:divBdr>
        </w:div>
      </w:divsChild>
    </w:div>
    <w:div w:id="844129622">
      <w:bodyDiv w:val="1"/>
      <w:marLeft w:val="0"/>
      <w:marRight w:val="0"/>
      <w:marTop w:val="0"/>
      <w:marBottom w:val="0"/>
      <w:divBdr>
        <w:top w:val="none" w:sz="0" w:space="0" w:color="auto"/>
        <w:left w:val="none" w:sz="0" w:space="0" w:color="auto"/>
        <w:bottom w:val="none" w:sz="0" w:space="0" w:color="auto"/>
        <w:right w:val="none" w:sz="0" w:space="0" w:color="auto"/>
      </w:divBdr>
    </w:div>
    <w:div w:id="912933707">
      <w:bodyDiv w:val="1"/>
      <w:marLeft w:val="0"/>
      <w:marRight w:val="0"/>
      <w:marTop w:val="0"/>
      <w:marBottom w:val="0"/>
      <w:divBdr>
        <w:top w:val="none" w:sz="0" w:space="0" w:color="auto"/>
        <w:left w:val="none" w:sz="0" w:space="0" w:color="auto"/>
        <w:bottom w:val="none" w:sz="0" w:space="0" w:color="auto"/>
        <w:right w:val="none" w:sz="0" w:space="0" w:color="auto"/>
      </w:divBdr>
    </w:div>
    <w:div w:id="982277612">
      <w:bodyDiv w:val="1"/>
      <w:marLeft w:val="0"/>
      <w:marRight w:val="0"/>
      <w:marTop w:val="0"/>
      <w:marBottom w:val="0"/>
      <w:divBdr>
        <w:top w:val="none" w:sz="0" w:space="0" w:color="auto"/>
        <w:left w:val="none" w:sz="0" w:space="0" w:color="auto"/>
        <w:bottom w:val="none" w:sz="0" w:space="0" w:color="auto"/>
        <w:right w:val="none" w:sz="0" w:space="0" w:color="auto"/>
      </w:divBdr>
    </w:div>
    <w:div w:id="984747104">
      <w:bodyDiv w:val="1"/>
      <w:marLeft w:val="0"/>
      <w:marRight w:val="0"/>
      <w:marTop w:val="0"/>
      <w:marBottom w:val="0"/>
      <w:divBdr>
        <w:top w:val="none" w:sz="0" w:space="0" w:color="auto"/>
        <w:left w:val="none" w:sz="0" w:space="0" w:color="auto"/>
        <w:bottom w:val="none" w:sz="0" w:space="0" w:color="auto"/>
        <w:right w:val="none" w:sz="0" w:space="0" w:color="auto"/>
      </w:divBdr>
      <w:divsChild>
        <w:div w:id="541593460">
          <w:marLeft w:val="547"/>
          <w:marRight w:val="0"/>
          <w:marTop w:val="60"/>
          <w:marBottom w:val="60"/>
          <w:divBdr>
            <w:top w:val="none" w:sz="0" w:space="0" w:color="auto"/>
            <w:left w:val="none" w:sz="0" w:space="0" w:color="auto"/>
            <w:bottom w:val="none" w:sz="0" w:space="0" w:color="auto"/>
            <w:right w:val="none" w:sz="0" w:space="0" w:color="auto"/>
          </w:divBdr>
        </w:div>
        <w:div w:id="91971631">
          <w:marLeft w:val="547"/>
          <w:marRight w:val="0"/>
          <w:marTop w:val="60"/>
          <w:marBottom w:val="60"/>
          <w:divBdr>
            <w:top w:val="none" w:sz="0" w:space="0" w:color="auto"/>
            <w:left w:val="none" w:sz="0" w:space="0" w:color="auto"/>
            <w:bottom w:val="none" w:sz="0" w:space="0" w:color="auto"/>
            <w:right w:val="none" w:sz="0" w:space="0" w:color="auto"/>
          </w:divBdr>
        </w:div>
      </w:divsChild>
    </w:div>
    <w:div w:id="1100836829">
      <w:bodyDiv w:val="1"/>
      <w:marLeft w:val="0"/>
      <w:marRight w:val="0"/>
      <w:marTop w:val="0"/>
      <w:marBottom w:val="0"/>
      <w:divBdr>
        <w:top w:val="none" w:sz="0" w:space="0" w:color="auto"/>
        <w:left w:val="none" w:sz="0" w:space="0" w:color="auto"/>
        <w:bottom w:val="none" w:sz="0" w:space="0" w:color="auto"/>
        <w:right w:val="none" w:sz="0" w:space="0" w:color="auto"/>
      </w:divBdr>
      <w:divsChild>
        <w:div w:id="960921434">
          <w:marLeft w:val="0"/>
          <w:marRight w:val="0"/>
          <w:marTop w:val="0"/>
          <w:marBottom w:val="0"/>
          <w:divBdr>
            <w:top w:val="none" w:sz="0" w:space="0" w:color="auto"/>
            <w:left w:val="none" w:sz="0" w:space="0" w:color="auto"/>
            <w:bottom w:val="none" w:sz="0" w:space="0" w:color="auto"/>
            <w:right w:val="none" w:sz="0" w:space="0" w:color="auto"/>
          </w:divBdr>
        </w:div>
      </w:divsChild>
    </w:div>
    <w:div w:id="1189300050">
      <w:bodyDiv w:val="1"/>
      <w:marLeft w:val="0"/>
      <w:marRight w:val="0"/>
      <w:marTop w:val="0"/>
      <w:marBottom w:val="0"/>
      <w:divBdr>
        <w:top w:val="none" w:sz="0" w:space="0" w:color="auto"/>
        <w:left w:val="none" w:sz="0" w:space="0" w:color="auto"/>
        <w:bottom w:val="none" w:sz="0" w:space="0" w:color="auto"/>
        <w:right w:val="none" w:sz="0" w:space="0" w:color="auto"/>
      </w:divBdr>
    </w:div>
    <w:div w:id="1277903558">
      <w:bodyDiv w:val="1"/>
      <w:marLeft w:val="0"/>
      <w:marRight w:val="0"/>
      <w:marTop w:val="0"/>
      <w:marBottom w:val="0"/>
      <w:divBdr>
        <w:top w:val="none" w:sz="0" w:space="0" w:color="auto"/>
        <w:left w:val="none" w:sz="0" w:space="0" w:color="auto"/>
        <w:bottom w:val="none" w:sz="0" w:space="0" w:color="auto"/>
        <w:right w:val="none" w:sz="0" w:space="0" w:color="auto"/>
      </w:divBdr>
    </w:div>
    <w:div w:id="1349327523">
      <w:bodyDiv w:val="1"/>
      <w:marLeft w:val="0"/>
      <w:marRight w:val="0"/>
      <w:marTop w:val="0"/>
      <w:marBottom w:val="0"/>
      <w:divBdr>
        <w:top w:val="none" w:sz="0" w:space="0" w:color="auto"/>
        <w:left w:val="none" w:sz="0" w:space="0" w:color="auto"/>
        <w:bottom w:val="none" w:sz="0" w:space="0" w:color="auto"/>
        <w:right w:val="none" w:sz="0" w:space="0" w:color="auto"/>
      </w:divBdr>
      <w:divsChild>
        <w:div w:id="213665130">
          <w:marLeft w:val="144"/>
          <w:marRight w:val="0"/>
          <w:marTop w:val="60"/>
          <w:marBottom w:val="0"/>
          <w:divBdr>
            <w:top w:val="none" w:sz="0" w:space="0" w:color="auto"/>
            <w:left w:val="none" w:sz="0" w:space="0" w:color="auto"/>
            <w:bottom w:val="none" w:sz="0" w:space="0" w:color="auto"/>
            <w:right w:val="none" w:sz="0" w:space="0" w:color="auto"/>
          </w:divBdr>
        </w:div>
        <w:div w:id="490414551">
          <w:marLeft w:val="144"/>
          <w:marRight w:val="0"/>
          <w:marTop w:val="60"/>
          <w:marBottom w:val="0"/>
          <w:divBdr>
            <w:top w:val="none" w:sz="0" w:space="0" w:color="auto"/>
            <w:left w:val="none" w:sz="0" w:space="0" w:color="auto"/>
            <w:bottom w:val="none" w:sz="0" w:space="0" w:color="auto"/>
            <w:right w:val="none" w:sz="0" w:space="0" w:color="auto"/>
          </w:divBdr>
        </w:div>
        <w:div w:id="368189723">
          <w:marLeft w:val="144"/>
          <w:marRight w:val="0"/>
          <w:marTop w:val="60"/>
          <w:marBottom w:val="0"/>
          <w:divBdr>
            <w:top w:val="none" w:sz="0" w:space="0" w:color="auto"/>
            <w:left w:val="none" w:sz="0" w:space="0" w:color="auto"/>
            <w:bottom w:val="none" w:sz="0" w:space="0" w:color="auto"/>
            <w:right w:val="none" w:sz="0" w:space="0" w:color="auto"/>
          </w:divBdr>
        </w:div>
        <w:div w:id="595553495">
          <w:marLeft w:val="144"/>
          <w:marRight w:val="0"/>
          <w:marTop w:val="60"/>
          <w:marBottom w:val="0"/>
          <w:divBdr>
            <w:top w:val="none" w:sz="0" w:space="0" w:color="auto"/>
            <w:left w:val="none" w:sz="0" w:space="0" w:color="auto"/>
            <w:bottom w:val="none" w:sz="0" w:space="0" w:color="auto"/>
            <w:right w:val="none" w:sz="0" w:space="0" w:color="auto"/>
          </w:divBdr>
        </w:div>
        <w:div w:id="1320230823">
          <w:marLeft w:val="144"/>
          <w:marRight w:val="0"/>
          <w:marTop w:val="60"/>
          <w:marBottom w:val="0"/>
          <w:divBdr>
            <w:top w:val="none" w:sz="0" w:space="0" w:color="auto"/>
            <w:left w:val="none" w:sz="0" w:space="0" w:color="auto"/>
            <w:bottom w:val="none" w:sz="0" w:space="0" w:color="auto"/>
            <w:right w:val="none" w:sz="0" w:space="0" w:color="auto"/>
          </w:divBdr>
        </w:div>
        <w:div w:id="1108545334">
          <w:marLeft w:val="144"/>
          <w:marRight w:val="0"/>
          <w:marTop w:val="60"/>
          <w:marBottom w:val="0"/>
          <w:divBdr>
            <w:top w:val="none" w:sz="0" w:space="0" w:color="auto"/>
            <w:left w:val="none" w:sz="0" w:space="0" w:color="auto"/>
            <w:bottom w:val="none" w:sz="0" w:space="0" w:color="auto"/>
            <w:right w:val="none" w:sz="0" w:space="0" w:color="auto"/>
          </w:divBdr>
        </w:div>
        <w:div w:id="740909732">
          <w:marLeft w:val="144"/>
          <w:marRight w:val="0"/>
          <w:marTop w:val="60"/>
          <w:marBottom w:val="0"/>
          <w:divBdr>
            <w:top w:val="none" w:sz="0" w:space="0" w:color="auto"/>
            <w:left w:val="none" w:sz="0" w:space="0" w:color="auto"/>
            <w:bottom w:val="none" w:sz="0" w:space="0" w:color="auto"/>
            <w:right w:val="none" w:sz="0" w:space="0" w:color="auto"/>
          </w:divBdr>
        </w:div>
      </w:divsChild>
    </w:div>
    <w:div w:id="1407385981">
      <w:bodyDiv w:val="1"/>
      <w:marLeft w:val="0"/>
      <w:marRight w:val="0"/>
      <w:marTop w:val="0"/>
      <w:marBottom w:val="0"/>
      <w:divBdr>
        <w:top w:val="none" w:sz="0" w:space="0" w:color="auto"/>
        <w:left w:val="none" w:sz="0" w:space="0" w:color="auto"/>
        <w:bottom w:val="none" w:sz="0" w:space="0" w:color="auto"/>
        <w:right w:val="none" w:sz="0" w:space="0" w:color="auto"/>
      </w:divBdr>
      <w:divsChild>
        <w:div w:id="1201281655">
          <w:marLeft w:val="288"/>
          <w:marRight w:val="0"/>
          <w:marTop w:val="60"/>
          <w:marBottom w:val="0"/>
          <w:divBdr>
            <w:top w:val="none" w:sz="0" w:space="0" w:color="auto"/>
            <w:left w:val="none" w:sz="0" w:space="0" w:color="auto"/>
            <w:bottom w:val="none" w:sz="0" w:space="0" w:color="auto"/>
            <w:right w:val="none" w:sz="0" w:space="0" w:color="auto"/>
          </w:divBdr>
        </w:div>
      </w:divsChild>
    </w:div>
    <w:div w:id="1431900333">
      <w:bodyDiv w:val="1"/>
      <w:marLeft w:val="0"/>
      <w:marRight w:val="0"/>
      <w:marTop w:val="0"/>
      <w:marBottom w:val="0"/>
      <w:divBdr>
        <w:top w:val="none" w:sz="0" w:space="0" w:color="auto"/>
        <w:left w:val="none" w:sz="0" w:space="0" w:color="auto"/>
        <w:bottom w:val="none" w:sz="0" w:space="0" w:color="auto"/>
        <w:right w:val="none" w:sz="0" w:space="0" w:color="auto"/>
      </w:divBdr>
    </w:div>
    <w:div w:id="1539850536">
      <w:bodyDiv w:val="1"/>
      <w:marLeft w:val="0"/>
      <w:marRight w:val="0"/>
      <w:marTop w:val="0"/>
      <w:marBottom w:val="0"/>
      <w:divBdr>
        <w:top w:val="none" w:sz="0" w:space="0" w:color="auto"/>
        <w:left w:val="none" w:sz="0" w:space="0" w:color="auto"/>
        <w:bottom w:val="none" w:sz="0" w:space="0" w:color="auto"/>
        <w:right w:val="none" w:sz="0" w:space="0" w:color="auto"/>
      </w:divBdr>
    </w:div>
    <w:div w:id="1638293353">
      <w:bodyDiv w:val="1"/>
      <w:marLeft w:val="0"/>
      <w:marRight w:val="0"/>
      <w:marTop w:val="0"/>
      <w:marBottom w:val="0"/>
      <w:divBdr>
        <w:top w:val="none" w:sz="0" w:space="0" w:color="auto"/>
        <w:left w:val="none" w:sz="0" w:space="0" w:color="auto"/>
        <w:bottom w:val="none" w:sz="0" w:space="0" w:color="auto"/>
        <w:right w:val="none" w:sz="0" w:space="0" w:color="auto"/>
      </w:divBdr>
    </w:div>
    <w:div w:id="1820032215">
      <w:bodyDiv w:val="1"/>
      <w:marLeft w:val="0"/>
      <w:marRight w:val="0"/>
      <w:marTop w:val="0"/>
      <w:marBottom w:val="0"/>
      <w:divBdr>
        <w:top w:val="none" w:sz="0" w:space="0" w:color="auto"/>
        <w:left w:val="none" w:sz="0" w:space="0" w:color="auto"/>
        <w:bottom w:val="none" w:sz="0" w:space="0" w:color="auto"/>
        <w:right w:val="none" w:sz="0" w:space="0" w:color="auto"/>
      </w:divBdr>
    </w:div>
    <w:div w:id="1936472520">
      <w:bodyDiv w:val="1"/>
      <w:marLeft w:val="0"/>
      <w:marRight w:val="0"/>
      <w:marTop w:val="0"/>
      <w:marBottom w:val="0"/>
      <w:divBdr>
        <w:top w:val="none" w:sz="0" w:space="0" w:color="auto"/>
        <w:left w:val="none" w:sz="0" w:space="0" w:color="auto"/>
        <w:bottom w:val="none" w:sz="0" w:space="0" w:color="auto"/>
        <w:right w:val="none" w:sz="0" w:space="0" w:color="auto"/>
      </w:divBdr>
      <w:divsChild>
        <w:div w:id="64106817">
          <w:marLeft w:val="547"/>
          <w:marRight w:val="0"/>
          <w:marTop w:val="60"/>
          <w:marBottom w:val="60"/>
          <w:divBdr>
            <w:top w:val="none" w:sz="0" w:space="0" w:color="auto"/>
            <w:left w:val="none" w:sz="0" w:space="0" w:color="auto"/>
            <w:bottom w:val="none" w:sz="0" w:space="0" w:color="auto"/>
            <w:right w:val="none" w:sz="0" w:space="0" w:color="auto"/>
          </w:divBdr>
        </w:div>
        <w:div w:id="86854120">
          <w:marLeft w:val="547"/>
          <w:marRight w:val="0"/>
          <w:marTop w:val="60"/>
          <w:marBottom w:val="60"/>
          <w:divBdr>
            <w:top w:val="none" w:sz="0" w:space="0" w:color="auto"/>
            <w:left w:val="none" w:sz="0" w:space="0" w:color="auto"/>
            <w:bottom w:val="none" w:sz="0" w:space="0" w:color="auto"/>
            <w:right w:val="none" w:sz="0" w:space="0" w:color="auto"/>
          </w:divBdr>
        </w:div>
      </w:divsChild>
    </w:div>
    <w:div w:id="1956132017">
      <w:bodyDiv w:val="1"/>
      <w:marLeft w:val="0"/>
      <w:marRight w:val="0"/>
      <w:marTop w:val="0"/>
      <w:marBottom w:val="0"/>
      <w:divBdr>
        <w:top w:val="none" w:sz="0" w:space="0" w:color="auto"/>
        <w:left w:val="none" w:sz="0" w:space="0" w:color="auto"/>
        <w:bottom w:val="none" w:sz="0" w:space="0" w:color="auto"/>
        <w:right w:val="none" w:sz="0" w:space="0" w:color="auto"/>
      </w:divBdr>
    </w:div>
    <w:div w:id="1996955775">
      <w:bodyDiv w:val="1"/>
      <w:marLeft w:val="0"/>
      <w:marRight w:val="0"/>
      <w:marTop w:val="0"/>
      <w:marBottom w:val="0"/>
      <w:divBdr>
        <w:top w:val="none" w:sz="0" w:space="0" w:color="auto"/>
        <w:left w:val="none" w:sz="0" w:space="0" w:color="auto"/>
        <w:bottom w:val="none" w:sz="0" w:space="0" w:color="auto"/>
        <w:right w:val="none" w:sz="0" w:space="0" w:color="auto"/>
      </w:divBdr>
    </w:div>
    <w:div w:id="203727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emf"/><Relationship Id="rId11" Type="http://schemas.microsoft.com/office/2007/relationships/hdphoto" Target="media/hdphoto1.wdp"/><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header" Target="header2.xml"/><Relationship Id="rId52"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ALG">
      <a:dk1>
        <a:sysClr val="windowText" lastClr="000000"/>
      </a:dk1>
      <a:lt1>
        <a:sysClr val="window" lastClr="FFFFFF"/>
      </a:lt1>
      <a:dk2>
        <a:srgbClr val="9FAAAF"/>
      </a:dk2>
      <a:lt2>
        <a:srgbClr val="E6EAEA"/>
      </a:lt2>
      <a:accent1>
        <a:srgbClr val="1D5C0C"/>
      </a:accent1>
      <a:accent2>
        <a:srgbClr val="73A81C"/>
      </a:accent2>
      <a:accent3>
        <a:srgbClr val="C0DE8E"/>
      </a:accent3>
      <a:accent4>
        <a:srgbClr val="718188"/>
      </a:accent4>
      <a:accent5>
        <a:srgbClr val="9FAAAF"/>
      </a:accent5>
      <a:accent6>
        <a:srgbClr val="BFC9C9"/>
      </a:accent6>
      <a:hlink>
        <a:srgbClr val="C0DE8E"/>
      </a:hlink>
      <a:folHlink>
        <a:srgbClr val="C0DE8E"/>
      </a:folHlink>
    </a:clrScheme>
    <a:fontScheme name="EP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f0be0ad-272c-4e7f-a157-3f0abda6cde5" ContentTypeId="0x01010046CF21643EE8D14686A648AA6DAD0892"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8BB4C3D6CBBD3D4DACBDAA08D38AD8DE" ma:contentTypeVersion="0" ma:contentTypeDescription="A content type to manage public (operations) IDB documents" ma:contentTypeScope="" ma:versionID="261de951b07c217e4468c453dfd23a86">
  <xsd:schema xmlns:xsd="http://www.w3.org/2001/XMLSchema" xmlns:xs="http://www.w3.org/2001/XMLSchema" xmlns:p="http://schemas.microsoft.com/office/2006/metadata/properties" xmlns:ns2="9c571b2f-e523-4ab2-ba2e-09e151a03ef4" targetNamespace="http://schemas.microsoft.com/office/2006/metadata/properties" ma:root="true" ma:fieldsID="b8b222a5f0b75ad5f19cc3b3d192848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c4ff23e-f1e5-4a3c-b68a-ce854a860959}" ma:internalName="TaxCatchAll" ma:showField="CatchAllData"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4ff23e-f1e5-4a3c-b68a-ce854a860959}" ma:internalName="TaxCatchAllLabel" ma:readOnly="true" ma:showField="CatchAllDataLabel"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37707173</IDBDocs_x0020_Number>
    <Document_x0020_Author xmlns="9c571b2f-e523-4ab2-ba2e-09e151a03ef4">NICOLASDC</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2013</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BO-L1076</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TR-PUE</Webtopic>
    <Identifier xmlns="9c571b2f-e523-4ab2-ba2e-09e151a03ef4"> FULL DOC</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13352F4A-ACE5-44D3-BF3C-97166FB0F7AE}"/>
</file>

<file path=customXml/itemProps2.xml><?xml version="1.0" encoding="utf-8"?>
<ds:datastoreItem xmlns:ds="http://schemas.openxmlformats.org/officeDocument/2006/customXml" ds:itemID="{ABAAA9FD-829F-4973-91AF-476E27E8830E}"/>
</file>

<file path=customXml/itemProps3.xml><?xml version="1.0" encoding="utf-8"?>
<ds:datastoreItem xmlns:ds="http://schemas.openxmlformats.org/officeDocument/2006/customXml" ds:itemID="{50887B0D-1928-4F87-89F1-758E66AD524E}"/>
</file>

<file path=customXml/itemProps4.xml><?xml version="1.0" encoding="utf-8"?>
<ds:datastoreItem xmlns:ds="http://schemas.openxmlformats.org/officeDocument/2006/customXml" ds:itemID="{D5D32270-6DA1-4ED6-8505-60E00F0FE506}"/>
</file>

<file path=customXml/itemProps5.xml><?xml version="1.0" encoding="utf-8"?>
<ds:datastoreItem xmlns:ds="http://schemas.openxmlformats.org/officeDocument/2006/customXml" ds:itemID="{221D5E25-5BA8-443F-BD15-0F6120CE9C95}"/>
</file>

<file path=customXml/itemProps6.xml><?xml version="1.0" encoding="utf-8"?>
<ds:datastoreItem xmlns:ds="http://schemas.openxmlformats.org/officeDocument/2006/customXml" ds:itemID="{DCF74634-D7CB-4BF2-BB1E-85E4BBA1644E}"/>
</file>

<file path=docProps/app.xml><?xml version="1.0" encoding="utf-8"?>
<Properties xmlns="http://schemas.openxmlformats.org/officeDocument/2006/extended-properties" xmlns:vt="http://schemas.openxmlformats.org/officeDocument/2006/docPropsVTypes">
  <Template>Normal.dotm</Template>
  <TotalTime>321</TotalTime>
  <Pages>1</Pages>
  <Words>7495</Words>
  <Characters>41224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EuroPraxis Consulting</Company>
  <LinksUpToDate>false</LinksUpToDate>
  <CharactersWithSpaces>48622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Opcional _2-B_ Análisis económico_TDD_v270313</dc:title>
  <dc:creator>mlopez</dc:creator>
  <cp:lastModifiedBy>Miguel Rodríguez</cp:lastModifiedBy>
  <cp:revision>11</cp:revision>
  <cp:lastPrinted>2012-12-03T21:21:00Z</cp:lastPrinted>
  <dcterms:created xsi:type="dcterms:W3CDTF">2013-04-04T14:37:00Z</dcterms:created>
  <dcterms:modified xsi:type="dcterms:W3CDTF">2013-05-21T17:08:00Z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0x01010046CF21643EE8D14686A648AA6DAD0892008BB4C3D6CBBD3D4DACBDAA08D38AD8DE</vt:lpwstr>
  </property>
  <property fmtid="{D5CDD505-2E9C-101B-9397-08002B2CF9AE}" pid="5" name="TaxKeywordTaxHTField">
    <vt:lpwstr/>
  </property>
  <property fmtid="{D5CDD505-2E9C-101B-9397-08002B2CF9AE}" pid="6" name="Series Operations IDB">
    <vt:lpwstr>3;#Unclassified|a6dff32e-d477-44cd-a56b-85efe9e0a56c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