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A7354" w14:textId="22BB6DB5" w:rsidR="002D3907" w:rsidRDefault="002D3907" w:rsidP="002D3907">
      <w:pPr>
        <w:tabs>
          <w:tab w:val="left" w:pos="9270"/>
        </w:tabs>
        <w:jc w:val="center"/>
        <w:rPr>
          <w:rFonts w:ascii="Arial" w:hAnsi="Arial" w:cs="Arial"/>
          <w:b/>
          <w:bCs/>
          <w:sz w:val="22"/>
          <w:szCs w:val="22"/>
          <w:lang w:val="es-ES_tradnl"/>
        </w:rPr>
      </w:pPr>
      <w:r w:rsidRPr="002D3907">
        <w:rPr>
          <w:rFonts w:ascii="Arial" w:hAnsi="Arial" w:cs="Arial"/>
          <w:b/>
          <w:bCs/>
          <w:sz w:val="22"/>
          <w:szCs w:val="22"/>
          <w:lang w:val="es-ES_tradnl"/>
        </w:rPr>
        <w:t xml:space="preserve">Tribunal Administrativo del </w:t>
      </w:r>
      <w:r>
        <w:rPr>
          <w:rFonts w:ascii="Arial" w:hAnsi="Arial" w:cs="Arial"/>
          <w:b/>
          <w:bCs/>
          <w:sz w:val="22"/>
          <w:szCs w:val="22"/>
          <w:lang w:val="es-ES_tradnl"/>
        </w:rPr>
        <w:t xml:space="preserve">Grupo del </w:t>
      </w:r>
      <w:r w:rsidRPr="002D3907">
        <w:rPr>
          <w:rFonts w:ascii="Arial" w:hAnsi="Arial" w:cs="Arial"/>
          <w:b/>
          <w:bCs/>
          <w:sz w:val="22"/>
          <w:szCs w:val="22"/>
          <w:lang w:val="es-ES_tradnl"/>
        </w:rPr>
        <w:t>Banco Interamericano de Desarrollo</w:t>
      </w:r>
      <w:r>
        <w:rPr>
          <w:rFonts w:ascii="Arial" w:hAnsi="Arial" w:cs="Arial"/>
          <w:b/>
          <w:bCs/>
          <w:sz w:val="22"/>
          <w:szCs w:val="22"/>
          <w:lang w:val="es-ES_tradnl"/>
        </w:rPr>
        <w:br/>
      </w:r>
    </w:p>
    <w:p w14:paraId="489FEFB2" w14:textId="77777777" w:rsidR="002D3907" w:rsidRDefault="002D3907" w:rsidP="002D3907">
      <w:pPr>
        <w:tabs>
          <w:tab w:val="left" w:pos="9270"/>
        </w:tabs>
        <w:jc w:val="center"/>
        <w:rPr>
          <w:rFonts w:ascii="Arial" w:hAnsi="Arial" w:cs="Arial"/>
          <w:b/>
          <w:bCs/>
          <w:sz w:val="22"/>
          <w:szCs w:val="22"/>
          <w:lang w:val="es-ES_tradnl"/>
        </w:rPr>
      </w:pPr>
      <w:r>
        <w:rPr>
          <w:rFonts w:ascii="Arial" w:hAnsi="Arial" w:cs="Arial"/>
          <w:b/>
          <w:bCs/>
          <w:sz w:val="22"/>
          <w:szCs w:val="22"/>
          <w:lang w:val="es-ES_tradnl"/>
        </w:rPr>
        <w:t xml:space="preserve">Términos de Referencia </w:t>
      </w:r>
    </w:p>
    <w:p w14:paraId="3E99903A" w14:textId="77777777" w:rsidR="002D3907" w:rsidRDefault="002D3907" w:rsidP="002D3907">
      <w:pPr>
        <w:tabs>
          <w:tab w:val="left" w:pos="9270"/>
        </w:tabs>
        <w:jc w:val="center"/>
        <w:rPr>
          <w:rFonts w:ascii="Arial" w:hAnsi="Arial" w:cs="Arial"/>
          <w:b/>
          <w:bCs/>
          <w:sz w:val="22"/>
          <w:szCs w:val="22"/>
          <w:lang w:val="es-ES_tradnl"/>
        </w:rPr>
      </w:pPr>
    </w:p>
    <w:p w14:paraId="5FE8FCA3" w14:textId="3309104D" w:rsidR="002D3907" w:rsidRDefault="002D3907" w:rsidP="002D3907">
      <w:pPr>
        <w:tabs>
          <w:tab w:val="left" w:pos="9270"/>
        </w:tabs>
        <w:jc w:val="center"/>
        <w:rPr>
          <w:rFonts w:ascii="Arial" w:hAnsi="Arial" w:cs="Arial"/>
          <w:b/>
          <w:bCs/>
          <w:sz w:val="22"/>
          <w:szCs w:val="22"/>
          <w:lang w:val="es-ES_tradnl"/>
        </w:rPr>
      </w:pPr>
      <w:r>
        <w:rPr>
          <w:rFonts w:ascii="Arial" w:hAnsi="Arial" w:cs="Arial"/>
          <w:b/>
          <w:bCs/>
          <w:sz w:val="22"/>
          <w:szCs w:val="22"/>
          <w:lang w:val="es-ES_tradnl"/>
        </w:rPr>
        <w:t>Miembro del Tribunal</w:t>
      </w:r>
    </w:p>
    <w:p w14:paraId="30D0EC46" w14:textId="77777777" w:rsidR="002D3907" w:rsidRPr="002D3907" w:rsidRDefault="002D3907" w:rsidP="002D3907">
      <w:pPr>
        <w:tabs>
          <w:tab w:val="left" w:pos="9270"/>
        </w:tabs>
        <w:jc w:val="center"/>
        <w:rPr>
          <w:rFonts w:ascii="Arial" w:hAnsi="Arial" w:cs="Arial"/>
          <w:b/>
          <w:bCs/>
          <w:sz w:val="22"/>
          <w:szCs w:val="22"/>
          <w:lang w:val="es-ES_tradnl"/>
        </w:rPr>
      </w:pPr>
    </w:p>
    <w:p w14:paraId="2775A376" w14:textId="77777777" w:rsidR="002D3907" w:rsidRPr="002D3907" w:rsidRDefault="002D3907" w:rsidP="002D3907">
      <w:pPr>
        <w:tabs>
          <w:tab w:val="left" w:pos="9270"/>
        </w:tabs>
        <w:jc w:val="both"/>
        <w:rPr>
          <w:rFonts w:ascii="Arial" w:hAnsi="Arial" w:cs="Arial"/>
          <w:b/>
          <w:bCs/>
          <w:sz w:val="22"/>
          <w:szCs w:val="22"/>
          <w:lang w:val="es-ES_tradnl"/>
        </w:rPr>
      </w:pPr>
    </w:p>
    <w:p w14:paraId="30E06816" w14:textId="1DC4EDFB" w:rsidR="002D3907" w:rsidRPr="0088402F" w:rsidRDefault="002D3907" w:rsidP="002D3907">
      <w:pPr>
        <w:tabs>
          <w:tab w:val="left" w:pos="9270"/>
        </w:tabs>
        <w:jc w:val="both"/>
        <w:rPr>
          <w:rFonts w:ascii="Arial" w:hAnsi="Arial" w:cs="Arial"/>
          <w:b/>
          <w:bCs/>
          <w:sz w:val="22"/>
          <w:szCs w:val="22"/>
          <w:lang w:val="es-ES_tradnl"/>
        </w:rPr>
      </w:pPr>
      <w:r w:rsidRPr="0088402F">
        <w:rPr>
          <w:rFonts w:ascii="Arial" w:hAnsi="Arial" w:cs="Arial"/>
          <w:b/>
          <w:bCs/>
          <w:sz w:val="22"/>
          <w:szCs w:val="22"/>
          <w:lang w:val="es-ES_tradnl"/>
        </w:rPr>
        <w:t>Contexto general</w:t>
      </w:r>
    </w:p>
    <w:p w14:paraId="2C05E956" w14:textId="77777777" w:rsidR="002D3907" w:rsidRPr="0088402F" w:rsidRDefault="002D3907" w:rsidP="002D3907">
      <w:pPr>
        <w:tabs>
          <w:tab w:val="left" w:pos="9270"/>
        </w:tabs>
        <w:jc w:val="both"/>
        <w:rPr>
          <w:rFonts w:ascii="Arial" w:hAnsi="Arial" w:cs="Arial"/>
          <w:b/>
          <w:bCs/>
          <w:sz w:val="22"/>
          <w:szCs w:val="22"/>
          <w:lang w:val="es-ES_tradnl"/>
        </w:rPr>
      </w:pPr>
    </w:p>
    <w:p w14:paraId="79D55DCF" w14:textId="77777777" w:rsidR="002D3907" w:rsidRDefault="002D3907" w:rsidP="002D3907">
      <w:pPr>
        <w:tabs>
          <w:tab w:val="left" w:pos="9270"/>
        </w:tabs>
        <w:jc w:val="both"/>
        <w:rPr>
          <w:rFonts w:ascii="Arial" w:hAnsi="Arial" w:cs="Arial"/>
          <w:sz w:val="22"/>
          <w:szCs w:val="22"/>
          <w:lang w:val="es-ES_tradnl"/>
        </w:rPr>
      </w:pPr>
      <w:r>
        <w:rPr>
          <w:rFonts w:ascii="Arial" w:hAnsi="Arial" w:cs="Arial"/>
          <w:sz w:val="22"/>
          <w:szCs w:val="22"/>
          <w:lang w:val="es-ES_tradnl"/>
        </w:rPr>
        <w:t>El Banco Interamericano de Desarrollo (“BID” o “Banco”), fundado en 1959, trabaja para mejorar las condiciones de vida en América Latina y el Caribe. A través del apoyo financiero y técnico a los países que trabajan para reducir la pobreza y la desigualdad, el BID ayuda a mejorar la salud, la educación y la infraestructura. Su objetivo es alcanzar el desarrollo de una manera sostenible y respetuosa con el clima. El Banco es hoy la principal fuente de financiamiento para el desarrollo para América Latina y el Caribe, y ofrece préstamos, financiamiento no reembolsable y asistencia técnica y realiza investigaciones de gran alcance. El BID mantiene un firme compromiso con la consecución de resultados medibles y los más altos estándares de integridad, transparencia y rendición de cuentas</w:t>
      </w:r>
      <w:r>
        <w:rPr>
          <w:rFonts w:ascii="Arial" w:hAnsi="Arial" w:cs="Arial"/>
          <w:color w:val="000000"/>
          <w:sz w:val="22"/>
          <w:szCs w:val="22"/>
          <w:lang w:val="es-ES_tradnl"/>
        </w:rPr>
        <w:t>.</w:t>
      </w:r>
    </w:p>
    <w:p w14:paraId="097CB8AD" w14:textId="77777777" w:rsidR="002D3907" w:rsidRDefault="002D3907" w:rsidP="002D3907">
      <w:pPr>
        <w:tabs>
          <w:tab w:val="left" w:pos="9270"/>
        </w:tabs>
        <w:jc w:val="both"/>
        <w:rPr>
          <w:rFonts w:ascii="Arial" w:hAnsi="Arial" w:cs="Arial"/>
          <w:sz w:val="22"/>
          <w:szCs w:val="22"/>
          <w:lang w:val="es-ES_tradnl"/>
        </w:rPr>
      </w:pPr>
    </w:p>
    <w:p w14:paraId="10C57CAC" w14:textId="3BB919C7" w:rsidR="002D3907" w:rsidRDefault="002D3907" w:rsidP="002D3907">
      <w:pPr>
        <w:tabs>
          <w:tab w:val="left" w:pos="9270"/>
        </w:tabs>
        <w:jc w:val="both"/>
        <w:rPr>
          <w:rFonts w:ascii="Arial" w:hAnsi="Arial" w:cs="Arial"/>
          <w:sz w:val="22"/>
          <w:szCs w:val="22"/>
          <w:lang w:val="es-ES_tradnl"/>
        </w:rPr>
      </w:pPr>
      <w:r>
        <w:rPr>
          <w:rFonts w:ascii="Arial" w:hAnsi="Arial" w:cs="Arial"/>
          <w:sz w:val="22"/>
          <w:szCs w:val="22"/>
          <w:lang w:val="es-ES_tradnl"/>
        </w:rPr>
        <w:t>La Corporación Interamericana de Inversiones (</w:t>
      </w:r>
      <w:r w:rsidR="0094579C">
        <w:rPr>
          <w:rFonts w:ascii="Arial" w:hAnsi="Arial" w:cs="Arial"/>
          <w:sz w:val="22"/>
          <w:szCs w:val="22"/>
          <w:lang w:val="es-ES_tradnl"/>
        </w:rPr>
        <w:t>BID Invest</w:t>
      </w:r>
      <w:r>
        <w:rPr>
          <w:rFonts w:ascii="Arial" w:hAnsi="Arial" w:cs="Arial"/>
          <w:sz w:val="22"/>
          <w:szCs w:val="22"/>
          <w:lang w:val="es-ES_tradnl"/>
        </w:rPr>
        <w:t xml:space="preserve">) es una organización del Grupo del Banco Interamericano de Desarrollo comprometida con la promoción del desarrollo de América Latina y el Caribe a través del sector privado. </w:t>
      </w:r>
      <w:r w:rsidR="00666BB7">
        <w:rPr>
          <w:rFonts w:ascii="Arial" w:hAnsi="Arial" w:cs="Arial"/>
          <w:sz w:val="22"/>
          <w:szCs w:val="22"/>
          <w:lang w:val="es-ES_tradnl"/>
        </w:rPr>
        <w:t>BID Invest</w:t>
      </w:r>
      <w:r>
        <w:rPr>
          <w:rFonts w:ascii="Arial" w:hAnsi="Arial" w:cs="Arial"/>
          <w:sz w:val="22"/>
          <w:szCs w:val="22"/>
          <w:lang w:val="es-ES_tradnl"/>
        </w:rPr>
        <w:t xml:space="preserve"> apoya el sector privado y las empresas de propiedad estatal a través del financiamiento en forma de préstamos, inversiones de capital y garantías. La CII también ofrece servicios de asesoramiento y capacitación.</w:t>
      </w:r>
    </w:p>
    <w:p w14:paraId="034C9254" w14:textId="77777777" w:rsidR="002D3907" w:rsidRDefault="002D3907" w:rsidP="002D3907">
      <w:pPr>
        <w:tabs>
          <w:tab w:val="left" w:pos="9270"/>
        </w:tabs>
        <w:jc w:val="both"/>
        <w:rPr>
          <w:rFonts w:ascii="Arial" w:hAnsi="Arial" w:cs="Arial"/>
          <w:sz w:val="22"/>
          <w:szCs w:val="22"/>
          <w:lang w:val="es-ES_tradnl"/>
        </w:rPr>
      </w:pPr>
    </w:p>
    <w:p w14:paraId="2B964AB4" w14:textId="7EFF6FD0" w:rsidR="002D3907" w:rsidRDefault="002D3907" w:rsidP="002D3907">
      <w:pPr>
        <w:tabs>
          <w:tab w:val="left" w:pos="9270"/>
        </w:tabs>
        <w:jc w:val="both"/>
        <w:rPr>
          <w:rFonts w:ascii="Arial" w:hAnsi="Arial" w:cs="Arial"/>
          <w:sz w:val="22"/>
          <w:szCs w:val="22"/>
          <w:lang w:val="es-ES_tradnl"/>
        </w:rPr>
      </w:pPr>
      <w:r>
        <w:rPr>
          <w:rFonts w:ascii="Arial" w:hAnsi="Arial" w:cs="Arial"/>
          <w:sz w:val="22"/>
          <w:szCs w:val="22"/>
          <w:lang w:val="es-ES_tradnl"/>
        </w:rPr>
        <w:t>El Tribunal Administrativo del Grupo del Banco Interamericano de Desarrollo (“Tribunal Administrativo” o “Tribunal”), fundado por el Directorio Ejecutivo del BID en 1981, conoce y juzga las peticiones en virtud de las cuales un empleado del Banco o de</w:t>
      </w:r>
      <w:r w:rsidR="00473594">
        <w:rPr>
          <w:rFonts w:ascii="Arial" w:hAnsi="Arial" w:cs="Arial"/>
          <w:sz w:val="22"/>
          <w:szCs w:val="22"/>
          <w:lang w:val="es-ES_tradnl"/>
        </w:rPr>
        <w:t>l BID Invest</w:t>
      </w:r>
      <w:r>
        <w:rPr>
          <w:rFonts w:ascii="Arial" w:hAnsi="Arial" w:cs="Arial"/>
          <w:sz w:val="22"/>
          <w:szCs w:val="22"/>
          <w:lang w:val="es-ES_tradnl"/>
        </w:rPr>
        <w:t xml:space="preserve"> alega el incumplimiento de su contrato de empleo o de los términos y condiciones de nombramiento. En el contexto de este mandato, el Tribunal Administrativo ha revisado, en promedio, entre tres y cinco peticiones por año.</w:t>
      </w:r>
    </w:p>
    <w:p w14:paraId="3FBC98FC" w14:textId="77777777" w:rsidR="002D3907" w:rsidRDefault="002D3907" w:rsidP="002D3907">
      <w:pPr>
        <w:tabs>
          <w:tab w:val="left" w:pos="9270"/>
        </w:tabs>
        <w:jc w:val="both"/>
        <w:rPr>
          <w:rFonts w:ascii="Arial" w:hAnsi="Arial" w:cs="Arial"/>
          <w:sz w:val="22"/>
          <w:szCs w:val="22"/>
          <w:lang w:val="es-ES_tradnl"/>
        </w:rPr>
      </w:pPr>
    </w:p>
    <w:p w14:paraId="4145D1DD" w14:textId="77777777" w:rsidR="002D3907" w:rsidRDefault="002D3907" w:rsidP="002D3907">
      <w:pPr>
        <w:tabs>
          <w:tab w:val="left" w:pos="9270"/>
        </w:tabs>
        <w:jc w:val="both"/>
        <w:rPr>
          <w:rFonts w:ascii="Arial" w:hAnsi="Arial" w:cs="Arial"/>
          <w:sz w:val="22"/>
          <w:szCs w:val="22"/>
          <w:lang w:val="es-ES_tradnl"/>
        </w:rPr>
      </w:pPr>
      <w:r>
        <w:rPr>
          <w:rFonts w:ascii="Arial" w:hAnsi="Arial" w:cs="Arial"/>
          <w:sz w:val="22"/>
          <w:szCs w:val="22"/>
          <w:lang w:val="es-ES_tradnl"/>
        </w:rPr>
        <w:t>El Estatuto del Tribunal Administrativo, aprobado por el Directorio Ejecutivo del BID, establece que el Tribunal Administrativo estará compuesto por siete miembros. Los miembros del Tribunal deberán ser personas de competencia profesional e integridad reconocidas, y deberán poseer los requisitos necesarios para desempeñar un puesto similar en los tribunales superiores de justicia de su país o ser jurisconsultos de reconocida competencia.</w:t>
      </w:r>
    </w:p>
    <w:p w14:paraId="2E90EEB7" w14:textId="77777777" w:rsidR="002D3907" w:rsidRDefault="002D3907" w:rsidP="002D3907">
      <w:pPr>
        <w:tabs>
          <w:tab w:val="left" w:pos="9270"/>
        </w:tabs>
        <w:jc w:val="both"/>
        <w:rPr>
          <w:rFonts w:ascii="Arial" w:hAnsi="Arial" w:cs="Arial"/>
          <w:bCs/>
          <w:sz w:val="22"/>
          <w:szCs w:val="22"/>
          <w:lang w:val="es-ES_tradnl"/>
        </w:rPr>
      </w:pPr>
    </w:p>
    <w:p w14:paraId="0922BDBF" w14:textId="77777777" w:rsidR="002D3907" w:rsidRDefault="002D3907" w:rsidP="002D3907">
      <w:pPr>
        <w:tabs>
          <w:tab w:val="left" w:pos="9270"/>
        </w:tabs>
        <w:jc w:val="both"/>
        <w:rPr>
          <w:rFonts w:ascii="Arial" w:hAnsi="Arial" w:cs="Arial"/>
          <w:bCs/>
          <w:sz w:val="22"/>
          <w:szCs w:val="22"/>
          <w:lang w:val="es-ES_tradnl"/>
        </w:rPr>
      </w:pPr>
      <w:r>
        <w:rPr>
          <w:rFonts w:ascii="Arial" w:hAnsi="Arial" w:cs="Arial"/>
          <w:bCs/>
          <w:sz w:val="22"/>
          <w:szCs w:val="22"/>
          <w:lang w:val="es-ES_tradnl"/>
        </w:rPr>
        <w:t>Los miembros del Tribunal serán designados por el Directorio Ejecutivo del BID a partir de una lista de candidatos presentada por un Comité de Nominación.</w:t>
      </w:r>
    </w:p>
    <w:p w14:paraId="14D60502" w14:textId="77777777" w:rsidR="002D3907" w:rsidRDefault="002D3907" w:rsidP="002D3907">
      <w:pPr>
        <w:tabs>
          <w:tab w:val="left" w:pos="9270"/>
        </w:tabs>
        <w:jc w:val="both"/>
        <w:rPr>
          <w:rFonts w:ascii="Arial" w:hAnsi="Arial" w:cs="Arial"/>
          <w:b/>
          <w:bCs/>
          <w:sz w:val="22"/>
          <w:szCs w:val="22"/>
          <w:lang w:val="es-ES_tradnl"/>
        </w:rPr>
      </w:pPr>
    </w:p>
    <w:p w14:paraId="718ACF2D" w14:textId="77777777" w:rsidR="002D3907" w:rsidRDefault="002D3907" w:rsidP="002D3907">
      <w:pPr>
        <w:tabs>
          <w:tab w:val="left" w:pos="9270"/>
        </w:tabs>
        <w:jc w:val="both"/>
        <w:rPr>
          <w:rFonts w:ascii="Arial" w:hAnsi="Arial" w:cs="Arial"/>
          <w:b/>
          <w:bCs/>
          <w:sz w:val="22"/>
          <w:szCs w:val="22"/>
          <w:lang w:val="es-ES_tradnl"/>
        </w:rPr>
      </w:pPr>
      <w:r>
        <w:rPr>
          <w:rFonts w:ascii="Arial" w:hAnsi="Arial" w:cs="Arial"/>
          <w:b/>
          <w:bCs/>
          <w:sz w:val="22"/>
          <w:szCs w:val="22"/>
          <w:lang w:val="es-ES_tradnl"/>
        </w:rPr>
        <w:t>Miembros del Tribunal</w:t>
      </w:r>
    </w:p>
    <w:p w14:paraId="753AED0D" w14:textId="77777777" w:rsidR="002D3907" w:rsidRDefault="002D3907" w:rsidP="002D3907">
      <w:pPr>
        <w:tabs>
          <w:tab w:val="left" w:pos="9270"/>
        </w:tabs>
        <w:jc w:val="both"/>
        <w:rPr>
          <w:rFonts w:ascii="Arial" w:hAnsi="Arial" w:cs="Arial"/>
          <w:b/>
          <w:bCs/>
          <w:sz w:val="22"/>
          <w:szCs w:val="22"/>
          <w:lang w:val="es-ES_tradnl"/>
        </w:rPr>
      </w:pPr>
    </w:p>
    <w:p w14:paraId="70A507BA" w14:textId="75974672" w:rsidR="002D3907" w:rsidRDefault="002D3907" w:rsidP="002D3907">
      <w:pPr>
        <w:tabs>
          <w:tab w:val="left" w:pos="9270"/>
        </w:tabs>
        <w:jc w:val="both"/>
        <w:rPr>
          <w:rFonts w:ascii="Arial" w:hAnsi="Arial" w:cs="Arial"/>
          <w:bCs/>
          <w:sz w:val="22"/>
          <w:szCs w:val="22"/>
          <w:lang w:val="es-ES_tradnl"/>
        </w:rPr>
      </w:pPr>
      <w:r>
        <w:rPr>
          <w:rFonts w:ascii="Arial" w:hAnsi="Arial" w:cs="Arial"/>
          <w:bCs/>
          <w:sz w:val="22"/>
          <w:szCs w:val="22"/>
          <w:lang w:val="es-ES_tradnl"/>
        </w:rPr>
        <w:t xml:space="preserve">El Tribunal tiene autoridad para celebrar audiencias, examinar pruebas, tomar decisiones y dictar sentencias en las controversias y diferencias entre el Banco o </w:t>
      </w:r>
      <w:r w:rsidR="005143D2">
        <w:rPr>
          <w:rFonts w:ascii="Arial" w:hAnsi="Arial" w:cs="Arial"/>
          <w:bCs/>
          <w:sz w:val="22"/>
          <w:szCs w:val="22"/>
          <w:lang w:val="es-ES_tradnl"/>
        </w:rPr>
        <w:t>el BID Invest</w:t>
      </w:r>
      <w:r>
        <w:rPr>
          <w:rFonts w:ascii="Arial" w:hAnsi="Arial" w:cs="Arial"/>
          <w:bCs/>
          <w:sz w:val="22"/>
          <w:szCs w:val="22"/>
          <w:lang w:val="es-ES_tradnl"/>
        </w:rPr>
        <w:t xml:space="preserve"> y sus respectivos empleados. En el cumplimiento de sus funciones el Tribunal no estará sujeto ni a las leyes ni a la jurisprudencia de ninguno de los países miembros del Banco o de</w:t>
      </w:r>
      <w:r w:rsidR="000E3435">
        <w:rPr>
          <w:rFonts w:ascii="Arial" w:hAnsi="Arial" w:cs="Arial"/>
          <w:bCs/>
          <w:sz w:val="22"/>
          <w:szCs w:val="22"/>
          <w:lang w:val="es-ES_tradnl"/>
        </w:rPr>
        <w:t>l B</w:t>
      </w:r>
      <w:r w:rsidR="00A37D8D">
        <w:rPr>
          <w:rFonts w:ascii="Arial" w:hAnsi="Arial" w:cs="Arial"/>
          <w:bCs/>
          <w:sz w:val="22"/>
          <w:szCs w:val="22"/>
          <w:lang w:val="es-ES_tradnl"/>
        </w:rPr>
        <w:t>ID</w:t>
      </w:r>
      <w:r w:rsidR="000E3435">
        <w:rPr>
          <w:rFonts w:ascii="Arial" w:hAnsi="Arial" w:cs="Arial"/>
          <w:bCs/>
          <w:sz w:val="22"/>
          <w:szCs w:val="22"/>
          <w:lang w:val="es-ES_tradnl"/>
        </w:rPr>
        <w:t xml:space="preserve"> Invest</w:t>
      </w:r>
      <w:r>
        <w:rPr>
          <w:rFonts w:ascii="Arial" w:hAnsi="Arial" w:cs="Arial"/>
          <w:bCs/>
          <w:sz w:val="22"/>
          <w:szCs w:val="22"/>
          <w:lang w:val="es-ES_tradnl"/>
        </w:rPr>
        <w:t xml:space="preserve"> ni a las de ninguna de sus subdivisiones políticas o administrativas.</w:t>
      </w:r>
    </w:p>
    <w:p w14:paraId="47766FAF" w14:textId="77777777" w:rsidR="0088402F" w:rsidRDefault="0088402F" w:rsidP="002D3907">
      <w:pPr>
        <w:tabs>
          <w:tab w:val="left" w:pos="9270"/>
        </w:tabs>
        <w:jc w:val="both"/>
        <w:rPr>
          <w:rFonts w:ascii="Arial" w:hAnsi="Arial" w:cs="Arial"/>
          <w:bCs/>
          <w:sz w:val="22"/>
          <w:szCs w:val="22"/>
          <w:lang w:val="es-ES_tradnl"/>
        </w:rPr>
      </w:pPr>
    </w:p>
    <w:p w14:paraId="06265C17" w14:textId="77777777" w:rsidR="002D3907" w:rsidRDefault="002D3907" w:rsidP="002D3907">
      <w:pPr>
        <w:tabs>
          <w:tab w:val="left" w:pos="9270"/>
        </w:tabs>
        <w:jc w:val="both"/>
        <w:rPr>
          <w:rFonts w:ascii="Arial" w:hAnsi="Arial" w:cs="Arial"/>
          <w:bCs/>
          <w:sz w:val="22"/>
          <w:szCs w:val="22"/>
          <w:lang w:val="es-ES_tradnl"/>
        </w:rPr>
      </w:pPr>
      <w:r>
        <w:rPr>
          <w:rFonts w:ascii="Arial" w:hAnsi="Arial" w:cs="Arial"/>
          <w:bCs/>
          <w:sz w:val="22"/>
          <w:szCs w:val="22"/>
          <w:lang w:val="es-ES_tradnl"/>
        </w:rPr>
        <w:t xml:space="preserve">Los miembros estarán sujetos al </w:t>
      </w:r>
      <w:hyperlink r:id="rId11" w:history="1">
        <w:r>
          <w:rPr>
            <w:rStyle w:val="Hyperlink"/>
            <w:rFonts w:ascii="Arial" w:hAnsi="Arial" w:cs="Arial"/>
            <w:bCs/>
            <w:sz w:val="22"/>
            <w:szCs w:val="22"/>
            <w:lang w:val="es-ES_tradnl"/>
          </w:rPr>
          <w:t>Estatuto del Tribunal Administrativo</w:t>
        </w:r>
      </w:hyperlink>
      <w:r>
        <w:rPr>
          <w:rFonts w:ascii="Arial" w:hAnsi="Arial" w:cs="Arial"/>
          <w:bCs/>
          <w:sz w:val="22"/>
          <w:szCs w:val="22"/>
          <w:lang w:val="es-ES_tradnl"/>
        </w:rPr>
        <w:t xml:space="preserve"> y su </w:t>
      </w:r>
      <w:hyperlink r:id="rId12" w:history="1">
        <w:r>
          <w:rPr>
            <w:rStyle w:val="Hyperlink"/>
            <w:rFonts w:ascii="Arial" w:hAnsi="Arial" w:cs="Arial"/>
            <w:bCs/>
            <w:sz w:val="22"/>
            <w:szCs w:val="22"/>
            <w:lang w:val="es-ES_tradnl"/>
          </w:rPr>
          <w:t>Reglamento</w:t>
        </w:r>
      </w:hyperlink>
      <w:r>
        <w:rPr>
          <w:rFonts w:ascii="Arial" w:hAnsi="Arial" w:cs="Arial"/>
          <w:bCs/>
          <w:sz w:val="22"/>
          <w:szCs w:val="22"/>
          <w:lang w:val="es-ES_tradnl"/>
        </w:rPr>
        <w:t>.</w:t>
      </w:r>
    </w:p>
    <w:p w14:paraId="08A79907" w14:textId="77777777" w:rsidR="002D3907" w:rsidRDefault="002D3907" w:rsidP="002D3907">
      <w:pPr>
        <w:tabs>
          <w:tab w:val="left" w:pos="9270"/>
        </w:tabs>
        <w:jc w:val="both"/>
        <w:rPr>
          <w:rFonts w:ascii="Arial" w:hAnsi="Arial" w:cs="Arial"/>
          <w:bCs/>
          <w:sz w:val="22"/>
          <w:szCs w:val="22"/>
          <w:lang w:val="es-ES_tradnl"/>
        </w:rPr>
      </w:pPr>
    </w:p>
    <w:p w14:paraId="2963039E" w14:textId="77777777" w:rsidR="002D3907" w:rsidRDefault="002D3907" w:rsidP="002D3907">
      <w:pPr>
        <w:tabs>
          <w:tab w:val="left" w:pos="9270"/>
        </w:tabs>
        <w:jc w:val="both"/>
        <w:rPr>
          <w:rFonts w:ascii="Arial" w:hAnsi="Arial" w:cs="Arial"/>
          <w:b/>
          <w:bCs/>
          <w:sz w:val="22"/>
          <w:szCs w:val="22"/>
          <w:lang w:val="es-ES_tradnl"/>
        </w:rPr>
      </w:pPr>
      <w:r>
        <w:rPr>
          <w:rFonts w:ascii="Arial" w:hAnsi="Arial" w:cs="Arial"/>
          <w:b/>
          <w:bCs/>
          <w:sz w:val="22"/>
          <w:szCs w:val="22"/>
          <w:lang w:val="es-ES_tradnl"/>
        </w:rPr>
        <w:br w:type="page"/>
      </w:r>
      <w:r>
        <w:rPr>
          <w:rFonts w:ascii="Arial" w:hAnsi="Arial" w:cs="Arial"/>
          <w:b/>
          <w:bCs/>
          <w:sz w:val="22"/>
          <w:szCs w:val="22"/>
          <w:lang w:val="es-ES_tradnl"/>
        </w:rPr>
        <w:lastRenderedPageBreak/>
        <w:t>Responsabilidades principales</w:t>
      </w:r>
    </w:p>
    <w:p w14:paraId="568E903A" w14:textId="77777777" w:rsidR="002D3907" w:rsidRDefault="002D3907" w:rsidP="002D3907">
      <w:pPr>
        <w:tabs>
          <w:tab w:val="left" w:pos="9270"/>
        </w:tabs>
        <w:jc w:val="both"/>
        <w:rPr>
          <w:rFonts w:ascii="Arial" w:hAnsi="Arial" w:cs="Arial"/>
          <w:bCs/>
          <w:sz w:val="22"/>
          <w:szCs w:val="22"/>
          <w:lang w:val="es-ES_tradnl"/>
        </w:rPr>
      </w:pPr>
    </w:p>
    <w:p w14:paraId="363FD404" w14:textId="77777777" w:rsidR="002D3907" w:rsidRDefault="002D3907" w:rsidP="008E3393">
      <w:pPr>
        <w:widowControl/>
        <w:numPr>
          <w:ilvl w:val="0"/>
          <w:numId w:val="1"/>
        </w:numPr>
        <w:tabs>
          <w:tab w:val="left" w:pos="9270"/>
        </w:tabs>
        <w:autoSpaceDE/>
        <w:adjustRightInd/>
        <w:spacing w:before="60" w:after="120"/>
        <w:ind w:left="360"/>
        <w:jc w:val="both"/>
        <w:rPr>
          <w:rFonts w:ascii="Arial" w:hAnsi="Arial" w:cs="Arial"/>
          <w:bCs/>
          <w:sz w:val="22"/>
          <w:szCs w:val="22"/>
          <w:lang w:val="es-ES_tradnl"/>
        </w:rPr>
      </w:pPr>
      <w:r>
        <w:rPr>
          <w:rFonts w:ascii="Arial" w:hAnsi="Arial" w:cs="Arial"/>
          <w:bCs/>
          <w:sz w:val="22"/>
          <w:szCs w:val="22"/>
          <w:lang w:val="es-ES_tradnl"/>
        </w:rPr>
        <w:t>Tomar decisiones y dictar sentencias con base en el Convenio Constitutivo del Banco o el Convenio Constitutivo de la Corporación, según corresponda, así como en las respectivas políticas escritas y aprobadas, las normas y reglamentos de sus respectivas Asambleas de Gobernadores y Directorios Ejecutivos, los Planes de Jubilación del Personal y las políticas administrativas y de personal que estén en vigor al momento del incumplimiento alegado.</w:t>
      </w:r>
    </w:p>
    <w:p w14:paraId="521E64E0" w14:textId="76445497" w:rsidR="002D3907" w:rsidRDefault="002D3907" w:rsidP="008E3393">
      <w:pPr>
        <w:widowControl/>
        <w:numPr>
          <w:ilvl w:val="0"/>
          <w:numId w:val="1"/>
        </w:numPr>
        <w:tabs>
          <w:tab w:val="left" w:pos="360"/>
        </w:tabs>
        <w:autoSpaceDE/>
        <w:adjustRightInd/>
        <w:spacing w:before="60" w:after="120"/>
        <w:ind w:left="360"/>
        <w:jc w:val="both"/>
        <w:rPr>
          <w:rFonts w:ascii="Arial" w:hAnsi="Arial" w:cs="Arial"/>
          <w:bCs/>
          <w:sz w:val="22"/>
          <w:szCs w:val="22"/>
          <w:lang w:val="es-ES_tradnl"/>
        </w:rPr>
      </w:pPr>
      <w:r>
        <w:rPr>
          <w:rFonts w:ascii="Arial" w:hAnsi="Arial" w:cs="Arial"/>
          <w:bCs/>
          <w:sz w:val="22"/>
          <w:szCs w:val="22"/>
          <w:lang w:val="es-ES_tradnl"/>
        </w:rPr>
        <w:t>Proteger la confidencialidad de la información teniendo en cuenta las políticas del Banco y de</w:t>
      </w:r>
      <w:r w:rsidR="00AD33C3">
        <w:rPr>
          <w:rFonts w:ascii="Arial" w:hAnsi="Arial" w:cs="Arial"/>
          <w:bCs/>
          <w:sz w:val="22"/>
          <w:szCs w:val="22"/>
          <w:lang w:val="es-ES_tradnl"/>
        </w:rPr>
        <w:t>l BID Invest</w:t>
      </w:r>
      <w:r>
        <w:rPr>
          <w:rFonts w:ascii="Arial" w:hAnsi="Arial" w:cs="Arial"/>
          <w:bCs/>
          <w:sz w:val="22"/>
          <w:szCs w:val="22"/>
          <w:lang w:val="es-ES_tradnl"/>
        </w:rPr>
        <w:t>.</w:t>
      </w:r>
    </w:p>
    <w:p w14:paraId="635C5FF9" w14:textId="77777777" w:rsidR="002D3907" w:rsidRDefault="002D3907" w:rsidP="008E3393">
      <w:pPr>
        <w:widowControl/>
        <w:numPr>
          <w:ilvl w:val="0"/>
          <w:numId w:val="1"/>
        </w:numPr>
        <w:tabs>
          <w:tab w:val="left" w:pos="360"/>
        </w:tabs>
        <w:autoSpaceDE/>
        <w:adjustRightInd/>
        <w:spacing w:before="60" w:after="120"/>
        <w:ind w:left="360"/>
        <w:jc w:val="both"/>
        <w:rPr>
          <w:rFonts w:ascii="Arial" w:hAnsi="Arial" w:cs="Arial"/>
          <w:bCs/>
          <w:sz w:val="22"/>
          <w:szCs w:val="22"/>
          <w:lang w:val="es-ES_tradnl"/>
        </w:rPr>
      </w:pPr>
      <w:r>
        <w:rPr>
          <w:rFonts w:ascii="Arial" w:hAnsi="Arial" w:cs="Arial"/>
          <w:bCs/>
          <w:sz w:val="22"/>
          <w:szCs w:val="22"/>
          <w:lang w:val="es-ES_tradnl"/>
        </w:rPr>
        <w:t>Promover el funcionamiento eficiente y la pronta adjudicación de los asuntos dentro de la jurisdicción del Tribunal.</w:t>
      </w:r>
    </w:p>
    <w:p w14:paraId="05878AAA" w14:textId="77777777" w:rsidR="002D3907" w:rsidRDefault="002D3907" w:rsidP="008E3393">
      <w:pPr>
        <w:widowControl/>
        <w:numPr>
          <w:ilvl w:val="0"/>
          <w:numId w:val="1"/>
        </w:numPr>
        <w:tabs>
          <w:tab w:val="left" w:pos="360"/>
        </w:tabs>
        <w:autoSpaceDE/>
        <w:adjustRightInd/>
        <w:spacing w:before="60" w:after="120"/>
        <w:ind w:left="360"/>
        <w:jc w:val="both"/>
        <w:rPr>
          <w:rFonts w:ascii="Arial" w:hAnsi="Arial" w:cs="Arial"/>
          <w:bCs/>
          <w:sz w:val="22"/>
          <w:szCs w:val="22"/>
          <w:lang w:val="es-ES_tradnl"/>
        </w:rPr>
      </w:pPr>
      <w:r>
        <w:rPr>
          <w:rFonts w:ascii="Arial" w:hAnsi="Arial" w:cs="Arial"/>
          <w:bCs/>
          <w:sz w:val="22"/>
          <w:szCs w:val="22"/>
          <w:lang w:val="es-ES_tradnl"/>
        </w:rPr>
        <w:t>Decidir sobre la admisibilidad de las peticiones presentadas por los empleados con base en el Reglamento del Tribunal Administrativo.</w:t>
      </w:r>
    </w:p>
    <w:p w14:paraId="00D2C3C4" w14:textId="5E6A2934" w:rsidR="002D3907" w:rsidRDefault="002D3907" w:rsidP="008E3393">
      <w:pPr>
        <w:widowControl/>
        <w:numPr>
          <w:ilvl w:val="0"/>
          <w:numId w:val="1"/>
        </w:numPr>
        <w:tabs>
          <w:tab w:val="left" w:pos="360"/>
        </w:tabs>
        <w:autoSpaceDE/>
        <w:adjustRightInd/>
        <w:spacing w:before="60" w:after="120"/>
        <w:ind w:left="360"/>
        <w:jc w:val="both"/>
        <w:rPr>
          <w:rFonts w:ascii="Arial" w:hAnsi="Arial" w:cs="Arial"/>
          <w:bCs/>
          <w:sz w:val="22"/>
          <w:szCs w:val="22"/>
          <w:lang w:val="es-ES_tradnl"/>
        </w:rPr>
      </w:pPr>
      <w:r>
        <w:rPr>
          <w:rFonts w:ascii="Arial" w:hAnsi="Arial" w:cs="Arial"/>
          <w:bCs/>
          <w:sz w:val="22"/>
          <w:szCs w:val="22"/>
          <w:lang w:val="es-ES_tradnl"/>
        </w:rPr>
        <w:t xml:space="preserve">Interpretar los términos de los contratos de empleo entre el Banco o </w:t>
      </w:r>
      <w:r w:rsidR="00F2649F">
        <w:rPr>
          <w:rFonts w:ascii="Arial" w:hAnsi="Arial" w:cs="Arial"/>
          <w:bCs/>
          <w:sz w:val="22"/>
          <w:szCs w:val="22"/>
          <w:lang w:val="es-ES_tradnl"/>
        </w:rPr>
        <w:t>el BID Invest</w:t>
      </w:r>
      <w:r>
        <w:rPr>
          <w:rFonts w:ascii="Arial" w:hAnsi="Arial" w:cs="Arial"/>
          <w:bCs/>
          <w:sz w:val="22"/>
          <w:szCs w:val="22"/>
          <w:lang w:val="es-ES_tradnl"/>
        </w:rPr>
        <w:t xml:space="preserve"> y sus respectivos empleados, así como los términos y condiciones de nombramiento.</w:t>
      </w:r>
    </w:p>
    <w:p w14:paraId="74E985BE" w14:textId="77777777" w:rsidR="002D3907" w:rsidRDefault="002D3907" w:rsidP="008E3393">
      <w:pPr>
        <w:widowControl/>
        <w:numPr>
          <w:ilvl w:val="0"/>
          <w:numId w:val="1"/>
        </w:numPr>
        <w:tabs>
          <w:tab w:val="left" w:pos="360"/>
        </w:tabs>
        <w:autoSpaceDE/>
        <w:adjustRightInd/>
        <w:spacing w:before="60" w:after="120"/>
        <w:ind w:left="360"/>
        <w:jc w:val="both"/>
        <w:rPr>
          <w:rFonts w:ascii="Arial" w:hAnsi="Arial" w:cs="Arial"/>
          <w:bCs/>
          <w:sz w:val="22"/>
          <w:szCs w:val="22"/>
          <w:lang w:val="es-ES_tradnl"/>
        </w:rPr>
      </w:pPr>
      <w:r>
        <w:rPr>
          <w:rFonts w:ascii="Arial" w:hAnsi="Arial" w:cs="Arial"/>
          <w:bCs/>
          <w:sz w:val="22"/>
          <w:szCs w:val="22"/>
          <w:lang w:val="es-ES_tradnl"/>
        </w:rPr>
        <w:t>Revisar y decidir sobre solicitudes de suspensión de decisiones impugnadas.</w:t>
      </w:r>
    </w:p>
    <w:p w14:paraId="0DCAFEC0" w14:textId="77777777" w:rsidR="002D3907" w:rsidRDefault="002D3907" w:rsidP="008E3393">
      <w:pPr>
        <w:widowControl/>
        <w:numPr>
          <w:ilvl w:val="0"/>
          <w:numId w:val="1"/>
        </w:numPr>
        <w:tabs>
          <w:tab w:val="left" w:pos="360"/>
        </w:tabs>
        <w:autoSpaceDE/>
        <w:adjustRightInd/>
        <w:spacing w:before="60" w:after="120"/>
        <w:ind w:left="360"/>
        <w:jc w:val="both"/>
        <w:rPr>
          <w:rFonts w:ascii="Arial" w:hAnsi="Arial" w:cs="Arial"/>
          <w:bCs/>
          <w:sz w:val="22"/>
          <w:szCs w:val="22"/>
          <w:lang w:val="es-ES_tradnl"/>
        </w:rPr>
      </w:pPr>
      <w:r>
        <w:rPr>
          <w:rFonts w:ascii="Arial" w:hAnsi="Arial" w:cs="Arial"/>
          <w:bCs/>
          <w:sz w:val="22"/>
          <w:szCs w:val="22"/>
          <w:lang w:val="es-ES_tradnl"/>
        </w:rPr>
        <w:t>Celebrar audiencias orales cuando el Tribunal determine que dichas audiencias se consideran apropiadas para la resolución de los casos.</w:t>
      </w:r>
    </w:p>
    <w:p w14:paraId="57C4260E" w14:textId="77777777" w:rsidR="002D3907" w:rsidRDefault="002D3907" w:rsidP="008E3393">
      <w:pPr>
        <w:widowControl/>
        <w:numPr>
          <w:ilvl w:val="0"/>
          <w:numId w:val="1"/>
        </w:numPr>
        <w:tabs>
          <w:tab w:val="left" w:pos="360"/>
        </w:tabs>
        <w:autoSpaceDE/>
        <w:adjustRightInd/>
        <w:spacing w:before="60" w:after="120"/>
        <w:ind w:left="360"/>
        <w:jc w:val="both"/>
        <w:rPr>
          <w:rFonts w:ascii="Arial" w:hAnsi="Arial" w:cs="Arial"/>
          <w:bCs/>
          <w:sz w:val="22"/>
          <w:szCs w:val="22"/>
          <w:lang w:val="es-ES_tradnl"/>
        </w:rPr>
      </w:pPr>
      <w:r>
        <w:rPr>
          <w:rFonts w:ascii="Arial" w:hAnsi="Arial" w:cs="Arial"/>
          <w:bCs/>
          <w:sz w:val="22"/>
          <w:szCs w:val="22"/>
          <w:lang w:val="es-ES_tradnl"/>
        </w:rPr>
        <w:t>Conducir el proceso de presentación de pruebas en los casos.</w:t>
      </w:r>
    </w:p>
    <w:p w14:paraId="3E740969" w14:textId="77777777" w:rsidR="002D3907" w:rsidRDefault="002D3907" w:rsidP="008E3393">
      <w:pPr>
        <w:widowControl/>
        <w:numPr>
          <w:ilvl w:val="0"/>
          <w:numId w:val="1"/>
        </w:numPr>
        <w:tabs>
          <w:tab w:val="left" w:pos="360"/>
        </w:tabs>
        <w:autoSpaceDE/>
        <w:adjustRightInd/>
        <w:spacing w:before="60" w:after="120"/>
        <w:ind w:left="360"/>
        <w:jc w:val="both"/>
        <w:rPr>
          <w:rFonts w:ascii="Arial" w:hAnsi="Arial" w:cs="Arial"/>
          <w:bCs/>
          <w:sz w:val="22"/>
          <w:szCs w:val="22"/>
          <w:lang w:val="es-ES_tradnl"/>
        </w:rPr>
      </w:pPr>
      <w:r>
        <w:rPr>
          <w:rFonts w:ascii="Arial" w:hAnsi="Arial" w:cs="Arial"/>
          <w:bCs/>
          <w:sz w:val="22"/>
          <w:szCs w:val="22"/>
          <w:lang w:val="es-ES_tradnl"/>
        </w:rPr>
        <w:t>Considerar los casos y desarrollar la presentación de pruebas a través de medios tecnológicos tales como videoconferencia y teleconferencia, según lo determine el Presidente del Tribunal.</w:t>
      </w:r>
    </w:p>
    <w:p w14:paraId="1E449DC8" w14:textId="77777777" w:rsidR="002D3907" w:rsidRDefault="002D3907" w:rsidP="008E3393">
      <w:pPr>
        <w:widowControl/>
        <w:numPr>
          <w:ilvl w:val="0"/>
          <w:numId w:val="1"/>
        </w:numPr>
        <w:tabs>
          <w:tab w:val="left" w:pos="360"/>
        </w:tabs>
        <w:autoSpaceDE/>
        <w:adjustRightInd/>
        <w:spacing w:before="60" w:after="120"/>
        <w:ind w:left="360"/>
        <w:jc w:val="both"/>
        <w:rPr>
          <w:rFonts w:ascii="Arial" w:hAnsi="Arial" w:cs="Arial"/>
          <w:bCs/>
          <w:sz w:val="22"/>
          <w:szCs w:val="22"/>
          <w:lang w:val="es-ES_tradnl"/>
        </w:rPr>
      </w:pPr>
      <w:r>
        <w:rPr>
          <w:rFonts w:ascii="Arial" w:hAnsi="Arial" w:cs="Arial"/>
          <w:bCs/>
          <w:sz w:val="22"/>
          <w:szCs w:val="22"/>
          <w:lang w:val="es-ES_tradnl"/>
        </w:rPr>
        <w:t xml:space="preserve">Participar en las sesiones del Tribunal Administrativo celebradas en la oficina principal del Banco o en algún otro lugar, según lo solicite el Presidente del Tribunal. </w:t>
      </w:r>
    </w:p>
    <w:p w14:paraId="5EBA4153" w14:textId="77777777" w:rsidR="002D3907" w:rsidRDefault="002D3907" w:rsidP="008E3393">
      <w:pPr>
        <w:widowControl/>
        <w:numPr>
          <w:ilvl w:val="0"/>
          <w:numId w:val="1"/>
        </w:numPr>
        <w:tabs>
          <w:tab w:val="left" w:pos="360"/>
        </w:tabs>
        <w:autoSpaceDE/>
        <w:adjustRightInd/>
        <w:spacing w:before="60" w:after="120"/>
        <w:ind w:left="360"/>
        <w:jc w:val="both"/>
        <w:rPr>
          <w:rFonts w:ascii="Arial" w:hAnsi="Arial" w:cs="Arial"/>
          <w:bCs/>
          <w:sz w:val="22"/>
          <w:szCs w:val="22"/>
          <w:lang w:val="es-ES_tradnl"/>
        </w:rPr>
      </w:pPr>
      <w:r>
        <w:rPr>
          <w:rFonts w:ascii="Arial" w:hAnsi="Arial" w:cs="Arial"/>
          <w:bCs/>
          <w:sz w:val="22"/>
          <w:szCs w:val="22"/>
          <w:lang w:val="es-ES_tradnl"/>
        </w:rPr>
        <w:t>Trabajar en paneles de tres jueces designados por el Presidente del Tribunal para cada caso, a menos que las circunstancias excepcionales del caso ameriten la consideración del Tribunal en pleno (siete miembros).</w:t>
      </w:r>
    </w:p>
    <w:p w14:paraId="2A68E45F" w14:textId="77777777" w:rsidR="002D3907" w:rsidRDefault="002D3907" w:rsidP="002D3907">
      <w:pPr>
        <w:tabs>
          <w:tab w:val="left" w:pos="360"/>
        </w:tabs>
        <w:ind w:left="720"/>
        <w:jc w:val="both"/>
        <w:rPr>
          <w:rFonts w:ascii="Arial" w:hAnsi="Arial" w:cs="Arial"/>
          <w:sz w:val="22"/>
          <w:szCs w:val="22"/>
          <w:lang w:val="es-ES_tradnl"/>
        </w:rPr>
      </w:pPr>
    </w:p>
    <w:p w14:paraId="150DD47A" w14:textId="77777777" w:rsidR="002D3907" w:rsidRDefault="002D3907" w:rsidP="002D3907">
      <w:pPr>
        <w:tabs>
          <w:tab w:val="left" w:pos="9270"/>
        </w:tabs>
        <w:rPr>
          <w:rFonts w:ascii="Arial" w:hAnsi="Arial" w:cs="Arial"/>
          <w:b/>
          <w:bCs/>
          <w:sz w:val="22"/>
          <w:szCs w:val="22"/>
          <w:lang w:val="es-ES_tradnl"/>
        </w:rPr>
      </w:pPr>
    </w:p>
    <w:p w14:paraId="4E9CF621" w14:textId="4021386A" w:rsidR="002D3907" w:rsidRPr="00882AF6" w:rsidRDefault="002D376E" w:rsidP="002D3907">
      <w:pPr>
        <w:tabs>
          <w:tab w:val="left" w:pos="9270"/>
        </w:tabs>
        <w:jc w:val="both"/>
        <w:rPr>
          <w:rFonts w:ascii="Arial" w:hAnsi="Arial" w:cs="Arial"/>
          <w:b/>
          <w:bCs/>
          <w:sz w:val="22"/>
          <w:szCs w:val="22"/>
          <w:lang w:val="es-ES_tradnl"/>
        </w:rPr>
      </w:pPr>
      <w:r w:rsidRPr="00882AF6">
        <w:rPr>
          <w:rFonts w:ascii="Arial" w:hAnsi="Arial" w:cs="Arial"/>
          <w:b/>
          <w:bCs/>
          <w:sz w:val="22"/>
          <w:szCs w:val="22"/>
          <w:lang w:val="es-ES_tradnl"/>
        </w:rPr>
        <w:t>Ca</w:t>
      </w:r>
      <w:r w:rsidR="009A2F89" w:rsidRPr="00882AF6">
        <w:rPr>
          <w:rFonts w:ascii="Arial" w:hAnsi="Arial" w:cs="Arial"/>
          <w:b/>
          <w:bCs/>
          <w:sz w:val="22"/>
          <w:szCs w:val="22"/>
          <w:lang w:val="es-ES_tradnl"/>
        </w:rPr>
        <w:t>lificaciones</w:t>
      </w:r>
    </w:p>
    <w:p w14:paraId="769B3776" w14:textId="77777777" w:rsidR="002D3907" w:rsidRDefault="002D3907" w:rsidP="002D3907">
      <w:pPr>
        <w:tabs>
          <w:tab w:val="left" w:pos="9270"/>
        </w:tabs>
        <w:jc w:val="both"/>
        <w:rPr>
          <w:rFonts w:ascii="Arial" w:hAnsi="Arial" w:cs="Arial"/>
          <w:bCs/>
          <w:iCs/>
          <w:color w:val="000000"/>
          <w:sz w:val="22"/>
          <w:szCs w:val="22"/>
          <w:lang w:val="es-ES_tradnl"/>
        </w:rPr>
      </w:pPr>
    </w:p>
    <w:p w14:paraId="3BABA427" w14:textId="35FEFD46" w:rsidR="002D3907" w:rsidRPr="00792179" w:rsidRDefault="009A2F89" w:rsidP="00792179">
      <w:pPr>
        <w:pStyle w:val="ListParagraph"/>
        <w:widowControl/>
        <w:numPr>
          <w:ilvl w:val="0"/>
          <w:numId w:val="9"/>
        </w:numPr>
        <w:tabs>
          <w:tab w:val="left" w:pos="1080"/>
        </w:tabs>
        <w:autoSpaceDE/>
        <w:adjustRightInd/>
        <w:ind w:left="360"/>
        <w:jc w:val="both"/>
        <w:rPr>
          <w:rFonts w:ascii="Arial" w:hAnsi="Arial" w:cs="Arial"/>
          <w:bCs/>
          <w:iCs/>
          <w:color w:val="000000"/>
          <w:sz w:val="22"/>
          <w:szCs w:val="22"/>
          <w:lang w:val="es-ES_tradnl"/>
        </w:rPr>
      </w:pPr>
      <w:r w:rsidRPr="00792179">
        <w:rPr>
          <w:rFonts w:ascii="Arial" w:hAnsi="Arial" w:cs="Arial"/>
          <w:b/>
          <w:iCs/>
          <w:color w:val="000000"/>
          <w:sz w:val="22"/>
          <w:szCs w:val="22"/>
          <w:lang w:val="es-ES_tradnl"/>
        </w:rPr>
        <w:t>Ciudadanía:</w:t>
      </w:r>
      <w:r w:rsidRPr="00792179">
        <w:rPr>
          <w:rFonts w:ascii="Arial" w:hAnsi="Arial" w:cs="Arial"/>
          <w:bCs/>
          <w:iCs/>
          <w:color w:val="000000"/>
          <w:sz w:val="22"/>
          <w:szCs w:val="22"/>
          <w:lang w:val="es-ES_tradnl"/>
        </w:rPr>
        <w:t xml:space="preserve"> </w:t>
      </w:r>
      <w:r w:rsidR="002D3907" w:rsidRPr="00792179">
        <w:rPr>
          <w:rFonts w:ascii="Arial" w:hAnsi="Arial" w:cs="Arial"/>
          <w:bCs/>
          <w:iCs/>
          <w:color w:val="000000"/>
          <w:sz w:val="22"/>
          <w:szCs w:val="22"/>
          <w:lang w:val="es-ES_tradnl"/>
        </w:rPr>
        <w:t xml:space="preserve">Los candidatos deberán ser ciudadanos de uno de los 48 países miembros del Banco Interamericano de Desarrollo. </w:t>
      </w:r>
    </w:p>
    <w:p w14:paraId="42C5306E" w14:textId="10B02E2C" w:rsidR="002D3907" w:rsidRPr="00792179" w:rsidRDefault="001971D5" w:rsidP="00792179">
      <w:pPr>
        <w:pStyle w:val="ListParagraph"/>
        <w:widowControl/>
        <w:numPr>
          <w:ilvl w:val="0"/>
          <w:numId w:val="9"/>
        </w:numPr>
        <w:tabs>
          <w:tab w:val="left" w:pos="1080"/>
        </w:tabs>
        <w:autoSpaceDE/>
        <w:adjustRightInd/>
        <w:ind w:left="360"/>
        <w:jc w:val="both"/>
        <w:rPr>
          <w:rFonts w:ascii="Arial" w:hAnsi="Arial" w:cs="Arial"/>
          <w:bCs/>
          <w:iCs/>
          <w:color w:val="000000"/>
          <w:sz w:val="22"/>
          <w:szCs w:val="22"/>
          <w:lang w:val="es-ES_tradnl"/>
        </w:rPr>
      </w:pPr>
      <w:r w:rsidRPr="00792179">
        <w:rPr>
          <w:rFonts w:ascii="Arial" w:hAnsi="Arial" w:cs="Arial"/>
          <w:b/>
          <w:iCs/>
          <w:color w:val="000000"/>
          <w:sz w:val="22"/>
          <w:szCs w:val="22"/>
          <w:lang w:val="es-ES_tradnl"/>
        </w:rPr>
        <w:t xml:space="preserve">Consanguinidad: </w:t>
      </w:r>
      <w:r w:rsidR="002D3907" w:rsidRPr="00792179">
        <w:rPr>
          <w:rFonts w:ascii="Arial" w:hAnsi="Arial" w:cs="Arial"/>
          <w:bCs/>
          <w:iCs/>
          <w:color w:val="000000"/>
          <w:sz w:val="22"/>
          <w:szCs w:val="22"/>
          <w:lang w:val="es-ES_tradnl"/>
        </w:rPr>
        <w:t xml:space="preserve">No serán elegibles aquellos individuos con familiares que trabajen para el BID o </w:t>
      </w:r>
      <w:r w:rsidR="004A72C8" w:rsidRPr="00792179">
        <w:rPr>
          <w:rFonts w:ascii="Arial" w:hAnsi="Arial" w:cs="Arial"/>
          <w:bCs/>
          <w:iCs/>
          <w:color w:val="000000"/>
          <w:sz w:val="22"/>
          <w:szCs w:val="22"/>
          <w:lang w:val="es-ES_tradnl"/>
        </w:rPr>
        <w:t>BID Invest</w:t>
      </w:r>
      <w:r w:rsidR="002D3907" w:rsidRPr="00792179">
        <w:rPr>
          <w:rFonts w:ascii="Arial" w:hAnsi="Arial" w:cs="Arial"/>
          <w:bCs/>
          <w:iCs/>
          <w:color w:val="000000"/>
          <w:sz w:val="22"/>
          <w:szCs w:val="22"/>
          <w:lang w:val="es-ES_tradnl"/>
        </w:rPr>
        <w:t>, hasta el cuarto grado de consanguineidad y el segundo grado de afinidad, inclusive.</w:t>
      </w:r>
    </w:p>
    <w:p w14:paraId="21DFB1A5" w14:textId="6CAF963E" w:rsidR="002D3907" w:rsidRPr="00792179" w:rsidRDefault="009E5882" w:rsidP="00792179">
      <w:pPr>
        <w:pStyle w:val="ListParagraph"/>
        <w:widowControl/>
        <w:numPr>
          <w:ilvl w:val="0"/>
          <w:numId w:val="9"/>
        </w:numPr>
        <w:tabs>
          <w:tab w:val="left" w:pos="1080"/>
        </w:tabs>
        <w:autoSpaceDE/>
        <w:adjustRightInd/>
        <w:ind w:left="360"/>
        <w:jc w:val="both"/>
        <w:rPr>
          <w:rFonts w:ascii="Arial" w:hAnsi="Arial" w:cs="Arial"/>
          <w:bCs/>
          <w:iCs/>
          <w:color w:val="000000"/>
          <w:sz w:val="22"/>
          <w:szCs w:val="22"/>
          <w:lang w:val="es-ES_tradnl"/>
        </w:rPr>
      </w:pPr>
      <w:r w:rsidRPr="00792179">
        <w:rPr>
          <w:rFonts w:ascii="Arial" w:hAnsi="Arial" w:cs="Arial"/>
          <w:b/>
          <w:iCs/>
          <w:color w:val="000000"/>
          <w:sz w:val="22"/>
          <w:szCs w:val="22"/>
          <w:lang w:val="es-ES_tradnl"/>
        </w:rPr>
        <w:t xml:space="preserve">Anteriores funcionarios: </w:t>
      </w:r>
      <w:r w:rsidR="00892D9C" w:rsidRPr="00792179">
        <w:rPr>
          <w:rFonts w:ascii="Arial" w:hAnsi="Arial" w:cs="Arial"/>
          <w:bCs/>
          <w:iCs/>
          <w:color w:val="000000"/>
          <w:sz w:val="22"/>
          <w:szCs w:val="22"/>
          <w:lang w:val="es-ES_tradnl"/>
        </w:rPr>
        <w:t>L</w:t>
      </w:r>
      <w:r w:rsidR="002D3907" w:rsidRPr="00792179">
        <w:rPr>
          <w:rFonts w:ascii="Arial" w:hAnsi="Arial" w:cs="Arial"/>
          <w:bCs/>
          <w:iCs/>
          <w:color w:val="000000"/>
          <w:sz w:val="22"/>
          <w:szCs w:val="22"/>
          <w:lang w:val="es-ES_tradnl"/>
        </w:rPr>
        <w:t>os candidatos no podrán ser empleados actuales o ex empleados del BID o de la Corporación.</w:t>
      </w:r>
    </w:p>
    <w:p w14:paraId="0F83A28C" w14:textId="77777777" w:rsidR="008E3393" w:rsidRDefault="002D3907" w:rsidP="008E3393">
      <w:pPr>
        <w:pStyle w:val="ListParagraph"/>
        <w:widowControl/>
        <w:numPr>
          <w:ilvl w:val="0"/>
          <w:numId w:val="9"/>
        </w:numPr>
        <w:tabs>
          <w:tab w:val="left" w:pos="720"/>
        </w:tabs>
        <w:autoSpaceDE/>
        <w:adjustRightInd/>
        <w:ind w:left="360"/>
        <w:jc w:val="both"/>
        <w:rPr>
          <w:rFonts w:ascii="Arial" w:hAnsi="Arial" w:cs="Arial"/>
          <w:bCs/>
          <w:sz w:val="22"/>
          <w:szCs w:val="22"/>
          <w:lang w:val="es-ES_tradnl"/>
        </w:rPr>
      </w:pPr>
      <w:r w:rsidRPr="00792179">
        <w:rPr>
          <w:rFonts w:ascii="Arial" w:hAnsi="Arial" w:cs="Arial"/>
          <w:b/>
          <w:sz w:val="22"/>
          <w:szCs w:val="22"/>
          <w:lang w:val="es-ES_tradnl"/>
        </w:rPr>
        <w:t>Educación</w:t>
      </w:r>
      <w:r w:rsidRPr="00792179">
        <w:rPr>
          <w:rFonts w:ascii="Arial" w:hAnsi="Arial" w:cs="Arial"/>
          <w:bCs/>
          <w:sz w:val="22"/>
          <w:szCs w:val="22"/>
          <w:lang w:val="es-ES_tradnl"/>
        </w:rPr>
        <w:t>: Título de estudios avanzados (Maestría, Juris Doctor o Licenciatura) en Derecho.</w:t>
      </w:r>
    </w:p>
    <w:p w14:paraId="31B7F7CD" w14:textId="7685BFEA" w:rsidR="002D3907" w:rsidRPr="008E3393" w:rsidRDefault="002D3907" w:rsidP="008E3393">
      <w:pPr>
        <w:pStyle w:val="ListParagraph"/>
        <w:widowControl/>
        <w:numPr>
          <w:ilvl w:val="0"/>
          <w:numId w:val="9"/>
        </w:numPr>
        <w:tabs>
          <w:tab w:val="left" w:pos="720"/>
        </w:tabs>
        <w:autoSpaceDE/>
        <w:adjustRightInd/>
        <w:ind w:left="360"/>
        <w:jc w:val="both"/>
        <w:rPr>
          <w:rFonts w:ascii="Arial" w:hAnsi="Arial" w:cs="Arial"/>
          <w:bCs/>
          <w:sz w:val="22"/>
          <w:szCs w:val="22"/>
          <w:lang w:val="es-ES_tradnl"/>
        </w:rPr>
      </w:pPr>
      <w:r w:rsidRPr="008E3393">
        <w:rPr>
          <w:rFonts w:ascii="Arial" w:hAnsi="Arial" w:cs="Arial"/>
          <w:b/>
          <w:sz w:val="22"/>
          <w:szCs w:val="22"/>
          <w:lang w:val="es-ES_tradnl"/>
        </w:rPr>
        <w:t>Experiencia</w:t>
      </w:r>
      <w:r w:rsidRPr="008E3393">
        <w:rPr>
          <w:rFonts w:ascii="Arial" w:hAnsi="Arial" w:cs="Arial"/>
          <w:bCs/>
          <w:sz w:val="22"/>
          <w:szCs w:val="22"/>
          <w:lang w:val="es-ES_tradnl"/>
        </w:rPr>
        <w:t>:</w:t>
      </w:r>
    </w:p>
    <w:p w14:paraId="161CBF76" w14:textId="6C4303A6" w:rsidR="002D3907" w:rsidRPr="007E31B6" w:rsidRDefault="002D3907" w:rsidP="007A08F4">
      <w:pPr>
        <w:widowControl/>
        <w:numPr>
          <w:ilvl w:val="1"/>
          <w:numId w:val="9"/>
        </w:numPr>
        <w:tabs>
          <w:tab w:val="left" w:pos="360"/>
        </w:tabs>
        <w:ind w:left="1080"/>
        <w:jc w:val="both"/>
        <w:rPr>
          <w:rFonts w:ascii="Arial" w:hAnsi="Arial" w:cs="Arial"/>
          <w:sz w:val="22"/>
          <w:szCs w:val="22"/>
          <w:lang w:val="es-ES_tradnl"/>
        </w:rPr>
      </w:pPr>
      <w:r>
        <w:rPr>
          <w:rFonts w:ascii="Arial" w:hAnsi="Arial" w:cs="Arial"/>
          <w:sz w:val="22"/>
          <w:szCs w:val="22"/>
          <w:lang w:val="es-ES_tradnl"/>
        </w:rPr>
        <w:t>Como mínimo 15 años de experiencia profesional. Preferentemente, 10 años o más de amplia experiencia profesional pertinente.</w:t>
      </w:r>
    </w:p>
    <w:p w14:paraId="0EF10AE2" w14:textId="0F0A4B0F" w:rsidR="002D3907" w:rsidRPr="007E31B6" w:rsidRDefault="002D3907" w:rsidP="007A08F4">
      <w:pPr>
        <w:widowControl/>
        <w:numPr>
          <w:ilvl w:val="1"/>
          <w:numId w:val="9"/>
        </w:numPr>
        <w:tabs>
          <w:tab w:val="left" w:pos="360"/>
        </w:tabs>
        <w:ind w:left="1080"/>
        <w:jc w:val="both"/>
        <w:rPr>
          <w:rFonts w:ascii="Arial" w:hAnsi="Arial" w:cs="Arial"/>
          <w:sz w:val="22"/>
          <w:szCs w:val="22"/>
          <w:lang w:val="es-ES_tradnl"/>
        </w:rPr>
      </w:pPr>
      <w:r>
        <w:rPr>
          <w:rFonts w:ascii="Arial" w:hAnsi="Arial" w:cs="Arial"/>
          <w:sz w:val="22"/>
          <w:szCs w:val="22"/>
          <w:lang w:val="es-ES_tradnl"/>
        </w:rPr>
        <w:lastRenderedPageBreak/>
        <w:t>Los candidatos deberán poseer las calificaciones necesarias para desempeñar un puesto similar en los tribunales superiores de justicia de su país, o ser jurisconsultos de reconocida competencia.</w:t>
      </w:r>
    </w:p>
    <w:p w14:paraId="503B4868" w14:textId="77777777" w:rsidR="002D3907" w:rsidRDefault="002D3907" w:rsidP="00792179">
      <w:pPr>
        <w:widowControl/>
        <w:numPr>
          <w:ilvl w:val="1"/>
          <w:numId w:val="9"/>
        </w:numPr>
        <w:tabs>
          <w:tab w:val="left" w:pos="360"/>
        </w:tabs>
        <w:ind w:left="1080"/>
        <w:jc w:val="both"/>
        <w:rPr>
          <w:rFonts w:ascii="Arial" w:hAnsi="Arial" w:cs="Arial"/>
          <w:sz w:val="22"/>
          <w:szCs w:val="22"/>
          <w:lang w:val="es-ES_tradnl"/>
        </w:rPr>
      </w:pPr>
      <w:r>
        <w:rPr>
          <w:rFonts w:ascii="Arial" w:hAnsi="Arial" w:cs="Arial"/>
          <w:sz w:val="22"/>
          <w:szCs w:val="22"/>
          <w:lang w:val="es-ES_tradnl"/>
        </w:rPr>
        <w:t>Preferentemente, conocimientos y experiencia demostrados en derecho administrativo y mecanismos de resolución de conflictos en el contexto de las organizaciones internacionales de desarrollo.</w:t>
      </w:r>
    </w:p>
    <w:p w14:paraId="29474DAF" w14:textId="77777777" w:rsidR="002D3907" w:rsidRDefault="002D3907" w:rsidP="00792179">
      <w:pPr>
        <w:widowControl/>
        <w:numPr>
          <w:ilvl w:val="1"/>
          <w:numId w:val="9"/>
        </w:numPr>
        <w:tabs>
          <w:tab w:val="left" w:pos="720"/>
        </w:tabs>
        <w:ind w:left="1080"/>
        <w:jc w:val="both"/>
        <w:rPr>
          <w:rFonts w:ascii="Arial" w:hAnsi="Arial" w:cs="Arial"/>
          <w:sz w:val="22"/>
          <w:szCs w:val="22"/>
          <w:lang w:val="es-ES_tradnl"/>
        </w:rPr>
      </w:pPr>
      <w:r>
        <w:rPr>
          <w:rFonts w:ascii="Arial" w:hAnsi="Arial" w:cs="Arial"/>
          <w:sz w:val="22"/>
          <w:szCs w:val="22"/>
          <w:lang w:val="es-ES_tradnl"/>
        </w:rPr>
        <w:t>Integridad y competencia profesional reconocidas.</w:t>
      </w:r>
    </w:p>
    <w:p w14:paraId="7FEFFCA2" w14:textId="71E580FB" w:rsidR="002D3907" w:rsidRPr="00792179" w:rsidRDefault="002D3907" w:rsidP="00792179">
      <w:pPr>
        <w:pStyle w:val="ListParagraph"/>
        <w:widowControl/>
        <w:numPr>
          <w:ilvl w:val="0"/>
          <w:numId w:val="9"/>
        </w:numPr>
        <w:tabs>
          <w:tab w:val="left" w:pos="360"/>
        </w:tabs>
        <w:autoSpaceDE/>
        <w:adjustRightInd/>
        <w:ind w:left="360"/>
        <w:jc w:val="both"/>
        <w:rPr>
          <w:rFonts w:ascii="Arial" w:hAnsi="Arial" w:cs="Arial"/>
          <w:bCs/>
          <w:sz w:val="22"/>
          <w:szCs w:val="22"/>
          <w:lang w:val="es-ES_tradnl"/>
        </w:rPr>
      </w:pPr>
      <w:r w:rsidRPr="00792179">
        <w:rPr>
          <w:rFonts w:ascii="Arial" w:hAnsi="Arial" w:cs="Arial"/>
          <w:b/>
          <w:sz w:val="22"/>
          <w:szCs w:val="22"/>
          <w:lang w:val="es-ES_tradnl"/>
        </w:rPr>
        <w:t xml:space="preserve">Idiomas: </w:t>
      </w:r>
      <w:r w:rsidRPr="00792179">
        <w:rPr>
          <w:rFonts w:ascii="Arial" w:hAnsi="Arial" w:cs="Arial"/>
          <w:bCs/>
          <w:sz w:val="22"/>
          <w:szCs w:val="22"/>
          <w:lang w:val="es-ES_tradnl"/>
        </w:rPr>
        <w:t>Se requiere el dominio del español y el inglés; se valorará altamente un conocimiento avanzado del portugués y un buen nivel en francés.</w:t>
      </w:r>
    </w:p>
    <w:p w14:paraId="34BBDD2C" w14:textId="714E2AEF" w:rsidR="002D3907" w:rsidRDefault="00CA0EF0" w:rsidP="002D3907">
      <w:pPr>
        <w:tabs>
          <w:tab w:val="left" w:pos="9270"/>
        </w:tabs>
        <w:rPr>
          <w:rFonts w:ascii="Arial" w:hAnsi="Arial" w:cs="Arial"/>
          <w:b/>
          <w:bCs/>
          <w:sz w:val="22"/>
          <w:szCs w:val="22"/>
          <w:lang w:val="es-ES_tradnl"/>
        </w:rPr>
      </w:pPr>
      <w:r>
        <w:rPr>
          <w:rFonts w:ascii="Arial" w:hAnsi="Arial" w:cs="Arial"/>
          <w:b/>
          <w:bCs/>
          <w:sz w:val="22"/>
          <w:szCs w:val="22"/>
          <w:lang w:val="es-ES_tradnl"/>
        </w:rPr>
        <w:br/>
      </w:r>
    </w:p>
    <w:p w14:paraId="2620A073" w14:textId="77777777" w:rsidR="002D3907" w:rsidRDefault="002D3907" w:rsidP="002D3907">
      <w:pPr>
        <w:tabs>
          <w:tab w:val="left" w:pos="9270"/>
        </w:tabs>
        <w:rPr>
          <w:rFonts w:ascii="Arial" w:hAnsi="Arial" w:cs="Arial"/>
          <w:b/>
          <w:bCs/>
          <w:sz w:val="22"/>
          <w:szCs w:val="22"/>
          <w:lang w:val="es-ES_tradnl"/>
        </w:rPr>
      </w:pPr>
      <w:r>
        <w:rPr>
          <w:rFonts w:ascii="Arial" w:hAnsi="Arial" w:cs="Arial"/>
          <w:b/>
          <w:bCs/>
          <w:sz w:val="22"/>
          <w:szCs w:val="22"/>
          <w:lang w:val="es-ES_tradnl"/>
        </w:rPr>
        <w:t>Competencias principales</w:t>
      </w:r>
    </w:p>
    <w:p w14:paraId="4CB82FD9" w14:textId="77777777" w:rsidR="002D3907" w:rsidRDefault="002D3907" w:rsidP="002D3907">
      <w:pPr>
        <w:tabs>
          <w:tab w:val="left" w:pos="9270"/>
        </w:tabs>
        <w:jc w:val="both"/>
        <w:rPr>
          <w:rFonts w:ascii="Arial" w:hAnsi="Arial" w:cs="Arial"/>
          <w:bCs/>
          <w:sz w:val="22"/>
          <w:szCs w:val="22"/>
          <w:lang w:val="es-ES_tradnl"/>
        </w:rPr>
      </w:pPr>
    </w:p>
    <w:p w14:paraId="51106A07" w14:textId="77777777" w:rsidR="002D3907" w:rsidRDefault="002D3907" w:rsidP="008E3393">
      <w:pPr>
        <w:widowControl/>
        <w:numPr>
          <w:ilvl w:val="0"/>
          <w:numId w:val="1"/>
        </w:numPr>
        <w:tabs>
          <w:tab w:val="left" w:pos="360"/>
        </w:tabs>
        <w:autoSpaceDE/>
        <w:adjustRightInd/>
        <w:spacing w:before="60" w:after="120"/>
        <w:ind w:left="360"/>
        <w:jc w:val="both"/>
        <w:rPr>
          <w:rFonts w:ascii="Arial" w:hAnsi="Arial" w:cs="Arial"/>
          <w:bCs/>
          <w:sz w:val="22"/>
          <w:szCs w:val="22"/>
          <w:lang w:val="es-ES_tradnl"/>
        </w:rPr>
      </w:pPr>
      <w:r>
        <w:rPr>
          <w:rFonts w:ascii="Arial" w:hAnsi="Arial" w:cs="Arial"/>
          <w:bCs/>
          <w:sz w:val="22"/>
          <w:szCs w:val="22"/>
          <w:lang w:val="es-ES_tradnl"/>
        </w:rPr>
        <w:t>Experiencia en derecho administrativo o mecanismos de resolución de conflictos relacionados con organizaciones internacionales, para atender asuntos tales como contratos de empleo y términos y condiciones de nombramiento.</w:t>
      </w:r>
    </w:p>
    <w:p w14:paraId="5AEF9812" w14:textId="77777777" w:rsidR="002D3907" w:rsidRDefault="002D3907" w:rsidP="008E3393">
      <w:pPr>
        <w:widowControl/>
        <w:numPr>
          <w:ilvl w:val="0"/>
          <w:numId w:val="1"/>
        </w:numPr>
        <w:tabs>
          <w:tab w:val="left" w:pos="360"/>
        </w:tabs>
        <w:autoSpaceDE/>
        <w:adjustRightInd/>
        <w:spacing w:before="60" w:after="120"/>
        <w:ind w:left="360"/>
        <w:jc w:val="both"/>
        <w:rPr>
          <w:rFonts w:ascii="Arial" w:hAnsi="Arial" w:cs="Arial"/>
          <w:bCs/>
          <w:sz w:val="22"/>
          <w:szCs w:val="22"/>
          <w:lang w:val="es-ES_tradnl"/>
        </w:rPr>
      </w:pPr>
      <w:r>
        <w:rPr>
          <w:rFonts w:ascii="Arial" w:hAnsi="Arial" w:cs="Arial"/>
          <w:bCs/>
          <w:sz w:val="22"/>
          <w:szCs w:val="22"/>
          <w:lang w:val="es-ES_tradnl"/>
        </w:rPr>
        <w:t>Alta capacidad de análisis y evaluación, junto con buen criterio en la resolución de casos.</w:t>
      </w:r>
    </w:p>
    <w:p w14:paraId="73EA605A" w14:textId="77777777" w:rsidR="002D3907" w:rsidRDefault="002D3907" w:rsidP="008E3393">
      <w:pPr>
        <w:widowControl/>
        <w:numPr>
          <w:ilvl w:val="0"/>
          <w:numId w:val="1"/>
        </w:numPr>
        <w:tabs>
          <w:tab w:val="left" w:pos="360"/>
        </w:tabs>
        <w:autoSpaceDE/>
        <w:adjustRightInd/>
        <w:spacing w:before="60" w:after="120"/>
        <w:ind w:left="360"/>
        <w:jc w:val="both"/>
        <w:rPr>
          <w:rFonts w:ascii="Arial" w:hAnsi="Arial" w:cs="Arial"/>
          <w:bCs/>
          <w:sz w:val="22"/>
          <w:szCs w:val="22"/>
          <w:lang w:val="es-ES_tradnl"/>
        </w:rPr>
      </w:pPr>
      <w:r>
        <w:rPr>
          <w:rFonts w:ascii="Arial" w:hAnsi="Arial" w:cs="Arial"/>
          <w:bCs/>
          <w:sz w:val="22"/>
          <w:szCs w:val="22"/>
          <w:lang w:val="es-ES_tradnl"/>
        </w:rPr>
        <w:t>Comprensión de los deberes y obligaciones de los funcionarios públicos internacionales y los ambientes multiculturales.</w:t>
      </w:r>
    </w:p>
    <w:p w14:paraId="0A2DA292" w14:textId="77777777" w:rsidR="002D3907" w:rsidRDefault="002D3907" w:rsidP="008E3393">
      <w:pPr>
        <w:widowControl/>
        <w:numPr>
          <w:ilvl w:val="0"/>
          <w:numId w:val="1"/>
        </w:numPr>
        <w:tabs>
          <w:tab w:val="left" w:pos="360"/>
        </w:tabs>
        <w:autoSpaceDE/>
        <w:adjustRightInd/>
        <w:spacing w:before="60" w:after="120"/>
        <w:ind w:left="360"/>
        <w:jc w:val="both"/>
        <w:rPr>
          <w:rFonts w:ascii="Arial" w:hAnsi="Arial" w:cs="Arial"/>
          <w:bCs/>
          <w:sz w:val="22"/>
          <w:szCs w:val="22"/>
          <w:lang w:val="es-ES_tradnl"/>
        </w:rPr>
      </w:pPr>
      <w:r>
        <w:rPr>
          <w:rFonts w:ascii="Arial" w:hAnsi="Arial" w:cs="Arial"/>
          <w:bCs/>
          <w:sz w:val="22"/>
          <w:szCs w:val="22"/>
          <w:lang w:val="es-ES_tradnl"/>
        </w:rPr>
        <w:t>Temperamento y objetividad jurídicos.</w:t>
      </w:r>
    </w:p>
    <w:p w14:paraId="23C08A85" w14:textId="77777777" w:rsidR="002D3907" w:rsidRPr="008E3393" w:rsidRDefault="002D3907" w:rsidP="008E3393">
      <w:pPr>
        <w:widowControl/>
        <w:numPr>
          <w:ilvl w:val="0"/>
          <w:numId w:val="1"/>
        </w:numPr>
        <w:tabs>
          <w:tab w:val="left" w:pos="360"/>
        </w:tabs>
        <w:autoSpaceDE/>
        <w:adjustRightInd/>
        <w:spacing w:before="60" w:after="120"/>
        <w:ind w:left="360"/>
        <w:jc w:val="both"/>
        <w:rPr>
          <w:rFonts w:ascii="Arial" w:hAnsi="Arial" w:cs="Arial"/>
          <w:bCs/>
          <w:sz w:val="22"/>
          <w:szCs w:val="22"/>
          <w:lang w:val="es-ES_tradnl"/>
        </w:rPr>
      </w:pPr>
      <w:r w:rsidRPr="008E3393">
        <w:rPr>
          <w:rFonts w:ascii="Arial" w:hAnsi="Arial" w:cs="Arial"/>
          <w:bCs/>
          <w:sz w:val="22"/>
          <w:szCs w:val="22"/>
          <w:lang w:val="es-ES_tradnl"/>
        </w:rPr>
        <w:t>Integridad probada.</w:t>
      </w:r>
    </w:p>
    <w:p w14:paraId="7CDBBA43" w14:textId="77777777" w:rsidR="002D3907" w:rsidRPr="008E3393" w:rsidRDefault="002D3907" w:rsidP="008E3393">
      <w:pPr>
        <w:widowControl/>
        <w:numPr>
          <w:ilvl w:val="0"/>
          <w:numId w:val="1"/>
        </w:numPr>
        <w:tabs>
          <w:tab w:val="left" w:pos="360"/>
        </w:tabs>
        <w:autoSpaceDE/>
        <w:adjustRightInd/>
        <w:spacing w:before="60" w:after="120"/>
        <w:ind w:left="360"/>
        <w:jc w:val="both"/>
        <w:rPr>
          <w:rFonts w:ascii="Arial" w:hAnsi="Arial" w:cs="Arial"/>
          <w:bCs/>
          <w:sz w:val="22"/>
          <w:szCs w:val="22"/>
          <w:lang w:val="es-ES_tradnl"/>
        </w:rPr>
      </w:pPr>
      <w:r w:rsidRPr="008E3393">
        <w:rPr>
          <w:rFonts w:ascii="Arial" w:hAnsi="Arial" w:cs="Arial"/>
          <w:bCs/>
          <w:sz w:val="22"/>
          <w:szCs w:val="22"/>
          <w:lang w:val="es-ES_tradnl"/>
        </w:rPr>
        <w:t>Excelentes habilidades de comunicación escrita y verbal, incluidas habilidades de presentación comprobadas.</w:t>
      </w:r>
    </w:p>
    <w:p w14:paraId="65253E85" w14:textId="77777777" w:rsidR="002D3907" w:rsidRDefault="002D3907" w:rsidP="008E3393">
      <w:pPr>
        <w:widowControl/>
        <w:numPr>
          <w:ilvl w:val="0"/>
          <w:numId w:val="1"/>
        </w:numPr>
        <w:tabs>
          <w:tab w:val="left" w:pos="360"/>
        </w:tabs>
        <w:autoSpaceDE/>
        <w:adjustRightInd/>
        <w:spacing w:before="60" w:after="120"/>
        <w:ind w:left="360"/>
        <w:jc w:val="both"/>
        <w:rPr>
          <w:rFonts w:ascii="Arial" w:hAnsi="Arial" w:cs="Arial"/>
          <w:bCs/>
          <w:sz w:val="22"/>
          <w:szCs w:val="22"/>
          <w:lang w:val="es-ES_tradnl"/>
        </w:rPr>
      </w:pPr>
      <w:r>
        <w:rPr>
          <w:rFonts w:ascii="Arial" w:hAnsi="Arial" w:cs="Arial"/>
          <w:bCs/>
          <w:sz w:val="22"/>
          <w:szCs w:val="22"/>
          <w:lang w:val="es-ES_tradnl"/>
        </w:rPr>
        <w:t>Capacidad para trabajar como miembro de un equipo con orígenes y culturas diferentes.</w:t>
      </w:r>
    </w:p>
    <w:p w14:paraId="7EC90509" w14:textId="77777777" w:rsidR="002D3907" w:rsidRPr="008E3393" w:rsidRDefault="002D3907" w:rsidP="008E3393">
      <w:pPr>
        <w:widowControl/>
        <w:numPr>
          <w:ilvl w:val="0"/>
          <w:numId w:val="1"/>
        </w:numPr>
        <w:tabs>
          <w:tab w:val="left" w:pos="360"/>
        </w:tabs>
        <w:autoSpaceDE/>
        <w:adjustRightInd/>
        <w:spacing w:before="60" w:after="120"/>
        <w:ind w:left="360"/>
        <w:jc w:val="both"/>
        <w:rPr>
          <w:rFonts w:ascii="Arial" w:hAnsi="Arial" w:cs="Arial"/>
          <w:bCs/>
          <w:sz w:val="22"/>
          <w:szCs w:val="22"/>
          <w:lang w:val="es-ES_tradnl"/>
        </w:rPr>
      </w:pPr>
      <w:r w:rsidRPr="008E3393">
        <w:rPr>
          <w:rFonts w:ascii="Arial" w:hAnsi="Arial" w:cs="Arial"/>
          <w:bCs/>
          <w:sz w:val="22"/>
          <w:szCs w:val="22"/>
          <w:lang w:val="es-ES_tradnl"/>
        </w:rPr>
        <w:t>Excelentes habilidades interpersonales; exposición a ambientes internacionales y multiculturales.</w:t>
      </w:r>
    </w:p>
    <w:p w14:paraId="4030D45B" w14:textId="77777777" w:rsidR="002D3907" w:rsidRDefault="002D3907" w:rsidP="008E3393">
      <w:pPr>
        <w:widowControl/>
        <w:numPr>
          <w:ilvl w:val="0"/>
          <w:numId w:val="1"/>
        </w:numPr>
        <w:tabs>
          <w:tab w:val="left" w:pos="360"/>
        </w:tabs>
        <w:autoSpaceDE/>
        <w:adjustRightInd/>
        <w:spacing w:before="60" w:after="120"/>
        <w:ind w:left="360"/>
        <w:jc w:val="both"/>
        <w:rPr>
          <w:rFonts w:ascii="Arial" w:hAnsi="Arial" w:cs="Arial"/>
          <w:sz w:val="22"/>
          <w:szCs w:val="22"/>
          <w:lang w:val="es-ES_tradnl"/>
        </w:rPr>
      </w:pPr>
      <w:r w:rsidRPr="008E3393">
        <w:rPr>
          <w:rFonts w:ascii="Arial" w:hAnsi="Arial" w:cs="Arial"/>
          <w:bCs/>
          <w:sz w:val="22"/>
          <w:szCs w:val="22"/>
          <w:lang w:val="es-ES_tradnl"/>
        </w:rPr>
        <w:t>De preferencia, capacidad</w:t>
      </w:r>
      <w:r>
        <w:rPr>
          <w:rFonts w:ascii="Arial" w:hAnsi="Arial" w:cs="Arial"/>
          <w:sz w:val="22"/>
          <w:szCs w:val="22"/>
          <w:lang w:val="es-ES_tradnl"/>
        </w:rPr>
        <w:t xml:space="preserve"> para trabajar con herramientas de comunicación de tecnología de la información tales como video y teleconferencia.</w:t>
      </w:r>
    </w:p>
    <w:p w14:paraId="2C4F876B" w14:textId="77777777" w:rsidR="002D3907" w:rsidRDefault="002D3907" w:rsidP="002D3907">
      <w:pPr>
        <w:tabs>
          <w:tab w:val="left" w:pos="9270"/>
        </w:tabs>
        <w:jc w:val="both"/>
        <w:rPr>
          <w:rFonts w:ascii="Arial" w:hAnsi="Arial" w:cs="Arial"/>
          <w:sz w:val="22"/>
          <w:szCs w:val="22"/>
          <w:lang w:val="es-ES_tradnl"/>
        </w:rPr>
      </w:pPr>
    </w:p>
    <w:p w14:paraId="020AE971" w14:textId="77777777" w:rsidR="002D3907" w:rsidRDefault="002D3907" w:rsidP="002D3907">
      <w:pPr>
        <w:tabs>
          <w:tab w:val="left" w:pos="9270"/>
        </w:tabs>
        <w:jc w:val="both"/>
        <w:rPr>
          <w:rFonts w:ascii="Arial" w:hAnsi="Arial" w:cs="Arial"/>
          <w:bCs/>
          <w:sz w:val="22"/>
          <w:szCs w:val="22"/>
          <w:lang w:val="es-ES_tradnl"/>
        </w:rPr>
      </w:pPr>
    </w:p>
    <w:p w14:paraId="77AA5828" w14:textId="77777777" w:rsidR="002D3907" w:rsidRDefault="002D3907" w:rsidP="002D3907">
      <w:pPr>
        <w:tabs>
          <w:tab w:val="left" w:pos="9270"/>
        </w:tabs>
        <w:jc w:val="both"/>
        <w:rPr>
          <w:rFonts w:ascii="Arial" w:hAnsi="Arial" w:cs="Arial"/>
          <w:bCs/>
          <w:i/>
          <w:sz w:val="22"/>
          <w:szCs w:val="22"/>
          <w:lang w:val="es-ES_tradnl"/>
        </w:rPr>
      </w:pPr>
    </w:p>
    <w:p w14:paraId="5D04FB01" w14:textId="77777777" w:rsidR="002D3907" w:rsidRDefault="002D3907" w:rsidP="002D3907">
      <w:pPr>
        <w:tabs>
          <w:tab w:val="left" w:pos="9270"/>
        </w:tabs>
        <w:jc w:val="both"/>
        <w:rPr>
          <w:rFonts w:ascii="Arial" w:hAnsi="Arial" w:cs="Arial"/>
          <w:b/>
          <w:bCs/>
          <w:sz w:val="22"/>
          <w:szCs w:val="22"/>
          <w:lang w:val="es-ES_tradnl"/>
        </w:rPr>
      </w:pPr>
      <w:r>
        <w:rPr>
          <w:rFonts w:ascii="Arial" w:hAnsi="Arial" w:cs="Arial"/>
          <w:b/>
          <w:bCs/>
          <w:sz w:val="22"/>
          <w:szCs w:val="22"/>
          <w:lang w:val="es-ES_tradnl"/>
        </w:rPr>
        <w:t>Características de la consultoría</w:t>
      </w:r>
    </w:p>
    <w:p w14:paraId="231E4BAD" w14:textId="77777777" w:rsidR="002D3907" w:rsidRDefault="002D3907" w:rsidP="002D3907">
      <w:pPr>
        <w:tabs>
          <w:tab w:val="left" w:pos="9270"/>
        </w:tabs>
        <w:jc w:val="both"/>
        <w:rPr>
          <w:rFonts w:ascii="Arial" w:hAnsi="Arial" w:cs="Arial"/>
          <w:b/>
          <w:bCs/>
          <w:sz w:val="22"/>
          <w:szCs w:val="22"/>
          <w:lang w:val="es-ES_tradnl"/>
        </w:rPr>
      </w:pPr>
    </w:p>
    <w:p w14:paraId="1DB22F28" w14:textId="75478633" w:rsidR="002D3907" w:rsidRPr="000B130B" w:rsidRDefault="002D3907" w:rsidP="000B130B">
      <w:pPr>
        <w:widowControl/>
        <w:numPr>
          <w:ilvl w:val="0"/>
          <w:numId w:val="8"/>
        </w:numPr>
        <w:tabs>
          <w:tab w:val="left" w:pos="360"/>
        </w:tabs>
        <w:autoSpaceDE/>
        <w:adjustRightInd/>
        <w:ind w:left="360"/>
        <w:jc w:val="both"/>
        <w:rPr>
          <w:rFonts w:ascii="Arial" w:hAnsi="Arial" w:cs="Arial"/>
          <w:sz w:val="22"/>
          <w:szCs w:val="22"/>
          <w:lang w:val="es-ES_tradnl"/>
        </w:rPr>
      </w:pPr>
      <w:r>
        <w:rPr>
          <w:rFonts w:ascii="Arial" w:eastAsia="Calibri" w:hAnsi="Arial" w:cs="Arial"/>
          <w:sz w:val="22"/>
          <w:szCs w:val="22"/>
          <w:lang w:val="es-ES_tradnl"/>
        </w:rPr>
        <w:t>Modalidad contractual de productos y servicios externos, con garantía de honorarios mínimos por disponibilidad</w:t>
      </w:r>
      <w:r>
        <w:rPr>
          <w:rFonts w:ascii="Arial" w:hAnsi="Arial" w:cs="Arial"/>
          <w:sz w:val="22"/>
          <w:szCs w:val="22"/>
          <w:lang w:val="es-ES_tradnl"/>
        </w:rPr>
        <w:t>.</w:t>
      </w:r>
    </w:p>
    <w:p w14:paraId="2836745F" w14:textId="06E2D3BE" w:rsidR="002D3907" w:rsidRPr="000B130B" w:rsidRDefault="002D3907" w:rsidP="002D3907">
      <w:pPr>
        <w:widowControl/>
        <w:numPr>
          <w:ilvl w:val="0"/>
          <w:numId w:val="8"/>
        </w:numPr>
        <w:tabs>
          <w:tab w:val="left" w:pos="360"/>
        </w:tabs>
        <w:autoSpaceDE/>
        <w:adjustRightInd/>
        <w:ind w:left="360"/>
        <w:jc w:val="both"/>
        <w:rPr>
          <w:rFonts w:ascii="Arial" w:hAnsi="Arial" w:cs="Arial"/>
          <w:sz w:val="22"/>
          <w:szCs w:val="22"/>
          <w:lang w:val="es-ES_tradnl"/>
        </w:rPr>
      </w:pPr>
      <w:r>
        <w:rPr>
          <w:rFonts w:ascii="Arial" w:hAnsi="Arial" w:cs="Arial"/>
          <w:sz w:val="22"/>
          <w:szCs w:val="22"/>
          <w:lang w:val="es-ES_tradnl"/>
        </w:rPr>
        <w:t>Duración: período de seis años no renovable</w:t>
      </w:r>
      <w:r>
        <w:rPr>
          <w:rFonts w:ascii="Arial" w:hAnsi="Arial" w:cs="Arial"/>
          <w:bCs/>
          <w:sz w:val="22"/>
          <w:szCs w:val="22"/>
          <w:lang w:val="es-ES_tradnl"/>
        </w:rPr>
        <w:t>.</w:t>
      </w:r>
    </w:p>
    <w:p w14:paraId="68BCB66A" w14:textId="77777777" w:rsidR="00500F32" w:rsidRPr="00500F32" w:rsidRDefault="002D3907" w:rsidP="002D3907">
      <w:pPr>
        <w:widowControl/>
        <w:numPr>
          <w:ilvl w:val="0"/>
          <w:numId w:val="8"/>
        </w:numPr>
        <w:tabs>
          <w:tab w:val="left" w:pos="360"/>
        </w:tabs>
        <w:autoSpaceDE/>
        <w:adjustRightInd/>
        <w:ind w:left="360"/>
        <w:jc w:val="both"/>
        <w:rPr>
          <w:rFonts w:ascii="Arial" w:hAnsi="Arial" w:cs="Arial"/>
          <w:b/>
          <w:bCs/>
          <w:color w:val="000000"/>
          <w:sz w:val="22"/>
          <w:szCs w:val="22"/>
          <w:lang w:val="es-ES_tradnl"/>
        </w:rPr>
      </w:pPr>
      <w:r w:rsidRPr="00500F32">
        <w:rPr>
          <w:rFonts w:ascii="Arial" w:hAnsi="Arial" w:cs="Arial"/>
          <w:sz w:val="22"/>
          <w:szCs w:val="22"/>
          <w:lang w:val="es-ES_tradnl"/>
        </w:rPr>
        <w:t>Lugar(es) de trabajo: Trabajo a distancia</w:t>
      </w:r>
      <w:r>
        <w:rPr>
          <w:rStyle w:val="FootnoteReference"/>
          <w:rFonts w:ascii="Arial" w:hAnsi="Arial" w:cs="Arial"/>
          <w:sz w:val="22"/>
          <w:szCs w:val="22"/>
          <w:lang w:val="es-ES_tradnl"/>
        </w:rPr>
        <w:footnoteReference w:id="1"/>
      </w:r>
      <w:r w:rsidRPr="00500F32">
        <w:rPr>
          <w:rFonts w:ascii="Arial" w:hAnsi="Arial" w:cs="Arial"/>
          <w:sz w:val="22"/>
          <w:szCs w:val="22"/>
          <w:lang w:val="es-ES_tradnl"/>
        </w:rPr>
        <w:t xml:space="preserve"> y en la Sede, Washington D.C.</w:t>
      </w:r>
    </w:p>
    <w:p w14:paraId="4DEB217F" w14:textId="3FFB930C" w:rsidR="002D3907" w:rsidRPr="006B27E7" w:rsidRDefault="002D3907" w:rsidP="002D3907">
      <w:pPr>
        <w:widowControl/>
        <w:numPr>
          <w:ilvl w:val="0"/>
          <w:numId w:val="8"/>
        </w:numPr>
        <w:tabs>
          <w:tab w:val="left" w:pos="360"/>
        </w:tabs>
        <w:autoSpaceDE/>
        <w:adjustRightInd/>
        <w:ind w:left="360"/>
        <w:jc w:val="both"/>
        <w:rPr>
          <w:rFonts w:ascii="Arial" w:hAnsi="Arial" w:cs="Arial"/>
          <w:bCs/>
          <w:color w:val="000000"/>
          <w:sz w:val="22"/>
          <w:szCs w:val="22"/>
          <w:lang w:val="es-ES_tradnl"/>
        </w:rPr>
      </w:pPr>
      <w:r w:rsidRPr="006B27E7">
        <w:rPr>
          <w:rFonts w:ascii="Arial" w:hAnsi="Arial" w:cs="Arial"/>
          <w:color w:val="000000"/>
          <w:sz w:val="22"/>
          <w:szCs w:val="22"/>
          <w:lang w:val="es-ES_tradnl"/>
        </w:rPr>
        <w:t>Pago y condiciones de empleo</w:t>
      </w:r>
      <w:r w:rsidR="006B27E7" w:rsidRPr="006B27E7">
        <w:rPr>
          <w:rFonts w:ascii="Arial" w:hAnsi="Arial" w:cs="Arial"/>
          <w:color w:val="000000"/>
          <w:sz w:val="22"/>
          <w:szCs w:val="22"/>
          <w:lang w:val="es-ES_tradnl"/>
        </w:rPr>
        <w:t xml:space="preserve">: </w:t>
      </w:r>
      <w:r w:rsidRPr="006B27E7">
        <w:rPr>
          <w:rFonts w:ascii="Arial" w:hAnsi="Arial" w:cs="Arial"/>
          <w:sz w:val="22"/>
          <w:szCs w:val="22"/>
          <w:lang w:val="es-ES_tradnl"/>
        </w:rPr>
        <w:t>La remuneración financiera de los miembros del Tribunal será regulada por el Directorio Ejecutivo del BID.</w:t>
      </w:r>
    </w:p>
    <w:p w14:paraId="5070F681" w14:textId="77777777" w:rsidR="002D3907" w:rsidRDefault="002D3907" w:rsidP="002D3907">
      <w:pPr>
        <w:tabs>
          <w:tab w:val="left" w:pos="9270"/>
        </w:tabs>
        <w:jc w:val="both"/>
        <w:rPr>
          <w:rFonts w:ascii="Arial" w:hAnsi="Arial" w:cs="Arial"/>
          <w:bCs/>
          <w:color w:val="000000"/>
          <w:sz w:val="22"/>
          <w:szCs w:val="22"/>
          <w:lang w:val="es-ES_tradnl"/>
        </w:rPr>
      </w:pPr>
    </w:p>
    <w:p w14:paraId="18AD85E3" w14:textId="77777777" w:rsidR="002D3907" w:rsidRDefault="002D3907" w:rsidP="002D3907">
      <w:pPr>
        <w:tabs>
          <w:tab w:val="left" w:pos="9270"/>
        </w:tabs>
        <w:jc w:val="both"/>
        <w:rPr>
          <w:rFonts w:ascii="Arial" w:hAnsi="Arial" w:cs="Arial"/>
          <w:bCs/>
          <w:color w:val="000000"/>
          <w:sz w:val="22"/>
          <w:szCs w:val="22"/>
          <w:lang w:val="es-ES_tradnl"/>
        </w:rPr>
      </w:pPr>
    </w:p>
    <w:p w14:paraId="53F612D5" w14:textId="4569FD13" w:rsidR="002D3907" w:rsidRDefault="002D3907" w:rsidP="00692E60">
      <w:pPr>
        <w:tabs>
          <w:tab w:val="left" w:pos="9270"/>
        </w:tabs>
        <w:jc w:val="center"/>
        <w:rPr>
          <w:rFonts w:ascii="Arial" w:hAnsi="Arial" w:cs="Arial"/>
          <w:bCs/>
          <w:i/>
          <w:iCs/>
          <w:color w:val="000000"/>
          <w:sz w:val="22"/>
          <w:szCs w:val="22"/>
          <w:lang w:val="es-ES_tradnl"/>
        </w:rPr>
      </w:pPr>
      <w:r w:rsidRPr="00585FD2">
        <w:rPr>
          <w:rFonts w:ascii="Arial" w:hAnsi="Arial" w:cs="Arial"/>
          <w:bCs/>
          <w:i/>
          <w:iCs/>
          <w:color w:val="000000"/>
          <w:sz w:val="22"/>
          <w:szCs w:val="22"/>
          <w:lang w:val="es-ES_tradnl"/>
        </w:rPr>
        <w:t>Se invita a las mujeres, afro-descendentes, personas de origen indígena y personas con discapacidad a presentar su candidatura.</w:t>
      </w:r>
    </w:p>
    <w:p w14:paraId="223D4627" w14:textId="4480C52C" w:rsidR="002D3907" w:rsidRDefault="002D3907" w:rsidP="002D3907">
      <w:pPr>
        <w:tabs>
          <w:tab w:val="left" w:pos="9270"/>
        </w:tabs>
        <w:jc w:val="both"/>
        <w:rPr>
          <w:rFonts w:ascii="Arial" w:hAnsi="Arial" w:cs="Arial"/>
          <w:bCs/>
          <w:i/>
          <w:iCs/>
          <w:color w:val="000000"/>
          <w:sz w:val="22"/>
          <w:szCs w:val="22"/>
          <w:lang w:val="es-ES_tradnl"/>
        </w:rPr>
      </w:pPr>
    </w:p>
    <w:p w14:paraId="1B18F530" w14:textId="0E1E9A05" w:rsidR="00572B81" w:rsidRDefault="00572B81" w:rsidP="002D3907">
      <w:pPr>
        <w:tabs>
          <w:tab w:val="left" w:pos="9270"/>
        </w:tabs>
        <w:jc w:val="both"/>
        <w:rPr>
          <w:rFonts w:ascii="Arial" w:hAnsi="Arial" w:cs="Arial"/>
          <w:bCs/>
          <w:i/>
          <w:iCs/>
          <w:color w:val="000000"/>
          <w:sz w:val="22"/>
          <w:szCs w:val="22"/>
          <w:lang w:val="es-ES_tradnl"/>
        </w:rPr>
      </w:pPr>
    </w:p>
    <w:p w14:paraId="47077CAB" w14:textId="05469792" w:rsidR="00692E60" w:rsidRDefault="00692E60" w:rsidP="002D3907">
      <w:pPr>
        <w:tabs>
          <w:tab w:val="left" w:pos="9270"/>
        </w:tabs>
        <w:jc w:val="both"/>
        <w:rPr>
          <w:rFonts w:ascii="Arial" w:hAnsi="Arial" w:cs="Arial"/>
          <w:bCs/>
          <w:i/>
          <w:iCs/>
          <w:color w:val="000000"/>
          <w:sz w:val="22"/>
          <w:szCs w:val="22"/>
          <w:lang w:val="es-ES_tradnl"/>
        </w:rPr>
      </w:pPr>
    </w:p>
    <w:p w14:paraId="46DA2CA1" w14:textId="14420E51" w:rsidR="00070800" w:rsidRDefault="00F64EC4" w:rsidP="00070800">
      <w:pPr>
        <w:tabs>
          <w:tab w:val="left" w:pos="9270"/>
        </w:tabs>
        <w:jc w:val="both"/>
        <w:rPr>
          <w:rFonts w:ascii="Arial" w:hAnsi="Arial" w:cs="Arial"/>
          <w:sz w:val="22"/>
          <w:szCs w:val="22"/>
          <w:lang w:val="es-ES"/>
        </w:rPr>
      </w:pPr>
      <w:r>
        <w:rPr>
          <w:rFonts w:ascii="Arial" w:hAnsi="Arial" w:cs="Arial"/>
          <w:sz w:val="22"/>
          <w:szCs w:val="22"/>
          <w:lang w:val="es-ES"/>
        </w:rPr>
        <w:t>_____________________________</w:t>
      </w:r>
    </w:p>
    <w:p w14:paraId="74DBD8C3" w14:textId="452BF631" w:rsidR="002127FC" w:rsidRDefault="00070800" w:rsidP="000B130B">
      <w:pPr>
        <w:tabs>
          <w:tab w:val="left" w:pos="9270"/>
        </w:tabs>
        <w:jc w:val="both"/>
        <w:rPr>
          <w:rFonts w:ascii="Arial" w:hAnsi="Arial" w:cs="Arial"/>
          <w:sz w:val="22"/>
          <w:szCs w:val="22"/>
          <w:lang w:val="es-ES"/>
        </w:rPr>
      </w:pPr>
      <w:r>
        <w:rPr>
          <w:rStyle w:val="FootnoteReference"/>
          <w:rFonts w:ascii="Arial" w:hAnsi="Arial" w:cs="Arial"/>
          <w:sz w:val="22"/>
          <w:szCs w:val="22"/>
          <w:lang w:val="es-ES"/>
        </w:rPr>
        <w:t>1</w:t>
      </w:r>
      <w:r>
        <w:rPr>
          <w:rFonts w:ascii="Arial" w:hAnsi="Arial" w:cs="Arial"/>
          <w:sz w:val="22"/>
          <w:szCs w:val="22"/>
          <w:lang w:val="es-ES"/>
        </w:rPr>
        <w:t xml:space="preserve"> Según lo determine el Presidente del Tribunal, será posible trabajar a distancia valiéndose de herramientas de comunicación de tecnología de la información, tales como video y teleconferencia, correo electrónico y programas de voz por IP como Skype.</w:t>
      </w:r>
    </w:p>
    <w:p w14:paraId="42909B8E" w14:textId="40AC63B0" w:rsidR="00F64EC4" w:rsidRDefault="00F64EC4" w:rsidP="000B130B">
      <w:pPr>
        <w:tabs>
          <w:tab w:val="left" w:pos="9270"/>
        </w:tabs>
        <w:jc w:val="both"/>
        <w:rPr>
          <w:rFonts w:ascii="Arial" w:hAnsi="Arial" w:cs="Arial"/>
          <w:sz w:val="22"/>
          <w:szCs w:val="22"/>
          <w:lang w:val="es-ES"/>
        </w:rPr>
      </w:pPr>
    </w:p>
    <w:p w14:paraId="30792D42" w14:textId="352F1E95" w:rsidR="00F64EC4" w:rsidRPr="000B130B" w:rsidRDefault="00F64EC4" w:rsidP="00CA0EF0">
      <w:pPr>
        <w:tabs>
          <w:tab w:val="left" w:pos="9270"/>
        </w:tabs>
        <w:jc w:val="center"/>
        <w:rPr>
          <w:rFonts w:ascii="Arial" w:hAnsi="Arial" w:cs="Arial"/>
          <w:bCs/>
          <w:i/>
          <w:iCs/>
          <w:color w:val="000000"/>
          <w:sz w:val="22"/>
          <w:szCs w:val="22"/>
          <w:lang w:val="es-ES_tradnl"/>
        </w:rPr>
      </w:pPr>
      <w:r>
        <w:rPr>
          <w:rFonts w:ascii="Arial" w:hAnsi="Arial" w:cs="Arial"/>
          <w:sz w:val="22"/>
          <w:szCs w:val="22"/>
          <w:lang w:val="es-ES"/>
        </w:rPr>
        <w:t>Nuestro equipo de Recursos Humanos revisa cuidadosamente todas las aplicaciones</w:t>
      </w:r>
      <w:r w:rsidR="00CA0EF0">
        <w:rPr>
          <w:rFonts w:ascii="Arial" w:hAnsi="Arial" w:cs="Arial"/>
          <w:sz w:val="22"/>
          <w:szCs w:val="22"/>
          <w:lang w:val="es-ES"/>
        </w:rPr>
        <w:t>.</w:t>
      </w:r>
    </w:p>
    <w:sectPr w:rsidR="00F64EC4" w:rsidRPr="000B130B" w:rsidSect="004E5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97AE1" w14:textId="77777777" w:rsidR="0015796A" w:rsidRDefault="0015796A" w:rsidP="002D3907">
      <w:r>
        <w:separator/>
      </w:r>
    </w:p>
  </w:endnote>
  <w:endnote w:type="continuationSeparator" w:id="0">
    <w:p w14:paraId="4812AA1C" w14:textId="77777777" w:rsidR="0015796A" w:rsidRDefault="0015796A" w:rsidP="002D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9E3A9" w14:textId="77777777" w:rsidR="0015796A" w:rsidRDefault="0015796A" w:rsidP="002D3907">
      <w:r>
        <w:separator/>
      </w:r>
    </w:p>
  </w:footnote>
  <w:footnote w:type="continuationSeparator" w:id="0">
    <w:p w14:paraId="79499A4D" w14:textId="77777777" w:rsidR="0015796A" w:rsidRDefault="0015796A" w:rsidP="002D3907">
      <w:r>
        <w:continuationSeparator/>
      </w:r>
    </w:p>
  </w:footnote>
  <w:footnote w:id="1">
    <w:p w14:paraId="6E05CC2B" w14:textId="77777777" w:rsidR="002D3907" w:rsidRDefault="002D3907" w:rsidP="002D3907">
      <w:pPr>
        <w:pStyle w:val="FootnoteText"/>
        <w:jc w:val="both"/>
        <w:rPr>
          <w:rFonts w:ascii="Arial" w:hAnsi="Arial" w:cs="Arial"/>
          <w:sz w:val="22"/>
          <w:szCs w:val="22"/>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33BC"/>
    <w:multiLevelType w:val="hybridMultilevel"/>
    <w:tmpl w:val="FC5CF6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D03CD"/>
    <w:multiLevelType w:val="hybridMultilevel"/>
    <w:tmpl w:val="180829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E0F1F"/>
    <w:multiLevelType w:val="hybridMultilevel"/>
    <w:tmpl w:val="FDD80262"/>
    <w:lvl w:ilvl="0" w:tplc="04090001">
      <w:numFmt w:val="decimal"/>
      <w:lvlText w:val=""/>
      <w:lvlJc w:val="left"/>
      <w:pPr>
        <w:ind w:left="720" w:hanging="360"/>
      </w:pPr>
      <w:rPr>
        <w:rFonts w:ascii="Symbol" w:hAnsi="Symbol" w:hint="default"/>
      </w:rPr>
    </w:lvl>
    <w:lvl w:ilvl="1" w:tplc="04090003">
      <w:numFmt w:val="decimal"/>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AB449D"/>
    <w:multiLevelType w:val="hybridMultilevel"/>
    <w:tmpl w:val="1ABE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C0060"/>
    <w:multiLevelType w:val="hybridMultilevel"/>
    <w:tmpl w:val="02DA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D6548"/>
    <w:multiLevelType w:val="hybridMultilevel"/>
    <w:tmpl w:val="9334A3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E92433"/>
    <w:multiLevelType w:val="hybridMultilevel"/>
    <w:tmpl w:val="9BAA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7059DD"/>
    <w:multiLevelType w:val="hybridMultilevel"/>
    <w:tmpl w:val="699CD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219A7"/>
    <w:multiLevelType w:val="hybridMultilevel"/>
    <w:tmpl w:val="62A49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1"/>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07"/>
    <w:rsid w:val="00070800"/>
    <w:rsid w:val="000B130B"/>
    <w:rsid w:val="000B598A"/>
    <w:rsid w:val="000E3435"/>
    <w:rsid w:val="00101308"/>
    <w:rsid w:val="0015796A"/>
    <w:rsid w:val="001971D5"/>
    <w:rsid w:val="002D376E"/>
    <w:rsid w:val="002D3907"/>
    <w:rsid w:val="00301637"/>
    <w:rsid w:val="00394AFF"/>
    <w:rsid w:val="00473594"/>
    <w:rsid w:val="00475067"/>
    <w:rsid w:val="004A72C8"/>
    <w:rsid w:val="004E5102"/>
    <w:rsid w:val="00500F32"/>
    <w:rsid w:val="005143D2"/>
    <w:rsid w:val="00572B81"/>
    <w:rsid w:val="00597395"/>
    <w:rsid w:val="005C3A59"/>
    <w:rsid w:val="00666BB7"/>
    <w:rsid w:val="00692E60"/>
    <w:rsid w:val="006B27E7"/>
    <w:rsid w:val="006E0FD9"/>
    <w:rsid w:val="00792179"/>
    <w:rsid w:val="007A08F4"/>
    <w:rsid w:val="007A59AE"/>
    <w:rsid w:val="007E31B6"/>
    <w:rsid w:val="00862569"/>
    <w:rsid w:val="00882AF6"/>
    <w:rsid w:val="0088402F"/>
    <w:rsid w:val="00892D9C"/>
    <w:rsid w:val="008A537C"/>
    <w:rsid w:val="008E3393"/>
    <w:rsid w:val="0094579C"/>
    <w:rsid w:val="009A2F89"/>
    <w:rsid w:val="009E5882"/>
    <w:rsid w:val="00A37D8D"/>
    <w:rsid w:val="00AD33C3"/>
    <w:rsid w:val="00B72BCB"/>
    <w:rsid w:val="00CA0EF0"/>
    <w:rsid w:val="00DE7514"/>
    <w:rsid w:val="00DE7B39"/>
    <w:rsid w:val="00EF31D0"/>
    <w:rsid w:val="00F2649F"/>
    <w:rsid w:val="00F64EC4"/>
  </w:rsids>
  <m:mathPr>
    <m:mathFont m:val="Cambria Math"/>
    <m:brkBin m:val="before"/>
    <m:brkBinSub m:val="--"/>
    <m:smallFrac m:val="0"/>
    <m:dispDef/>
    <m:lMargin m:val="0"/>
    <m:rMargin m:val="0"/>
    <m:defJc m:val="centerGroup"/>
    <m:wrapIndent m:val="1440"/>
    <m:intLim m:val="subSup"/>
    <m:naryLim m:val="undOvr"/>
  </m:mathPr>
  <w:themeFontLang w:val="en-US" w:eastAsia="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A48E"/>
  <w15:chartTrackingRefBased/>
  <w15:docId w15:val="{9A96D544-963B-4A47-8D34-56C14E2F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D390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3907"/>
    <w:pPr>
      <w:widowControl/>
      <w:autoSpaceDE/>
      <w:autoSpaceDN/>
      <w:adjustRightInd/>
    </w:pPr>
    <w:rPr>
      <w:sz w:val="20"/>
      <w:szCs w:val="20"/>
    </w:rPr>
  </w:style>
  <w:style w:type="character" w:customStyle="1" w:styleId="FootnoteTextChar">
    <w:name w:val="Footnote Text Char"/>
    <w:basedOn w:val="DefaultParagraphFont"/>
    <w:link w:val="FootnoteText"/>
    <w:uiPriority w:val="99"/>
    <w:semiHidden/>
    <w:rsid w:val="002D3907"/>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2D3907"/>
    <w:rPr>
      <w:vertAlign w:val="superscript"/>
    </w:rPr>
  </w:style>
  <w:style w:type="character" w:styleId="Hyperlink">
    <w:name w:val="Hyperlink"/>
    <w:unhideWhenUsed/>
    <w:rsid w:val="002D3907"/>
    <w:rPr>
      <w:color w:val="0000FF"/>
      <w:u w:val="single"/>
    </w:rPr>
  </w:style>
  <w:style w:type="paragraph" w:styleId="ListParagraph">
    <w:name w:val="List Paragraph"/>
    <w:basedOn w:val="Normal"/>
    <w:uiPriority w:val="34"/>
    <w:qFormat/>
    <w:rsid w:val="00792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adb.org/document.cfm?id=38247173" TargetMode="Externa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adb.org/document.cfm?id=3824734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ic46d7e087fd4a108fb86518ca413cc6>
    <Division_x0020_or_x0020_Unit xmlns="cdc7663a-08f0-4737-9e8c-148ce897a09c">HRD/TLM</Division_x0020_or_x0020_Unit>
    <Fiscal_x0020_Year_x0020_IDB xmlns="cdc7663a-08f0-4737-9e8c-148ce897a09c">2021</Fiscal_x0020_Year_x0020_IDB>
    <Other_x0020_Author xmlns="cdc7663a-08f0-4737-9e8c-148ce897a09c" xsi:nil="true"/>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PUB-01 General</TermName>
          <TermId xmlns="http://schemas.microsoft.com/office/infopath/2007/PartnerControls">7311f4cc-f5ce-4dfe-9eb9-47bb213a6a6d</TermId>
        </TermInfo>
      </Terms>
    </j65ec2e3a7e44c39a1acebfd2a19200a>
    <Document_x0020_Author xmlns="cdc7663a-08f0-4737-9e8c-148ce897a09c">Cruz Ortega Mireya del Valle</Document_x0020_Author>
    <Document_x0020_Language_x0020_IDB xmlns="cdc7663a-08f0-4737-9e8c-148ce897a09c">Spanish</Document_x0020_Language_x0020_IDB>
    <Related_x0020_SisCor_x0020_Number xmlns="cdc7663a-08f0-4737-9e8c-148ce897a09c" xsi:nil="true"/>
    <TaxCatchAll xmlns="cdc7663a-08f0-4737-9e8c-148ce897a09c">
      <Value>20</Value>
      <Value>1420</Value>
      <Value>21</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7 Public Relations</TermName>
          <TermId xmlns="http://schemas.microsoft.com/office/infopath/2007/PartnerControls">d23e511c-fa8c-4069-b074-dbe83e1cd122</TermId>
        </TermInfo>
      </Terms>
    </cf0f1ca6d90e4583ad80995bcde0e58a>
    <Extracted_x0020_Keywords xmlns="cdc7663a-08f0-4737-9e8c-148ce897a09c"/>
    <_dlc_DocId xmlns="cdc7663a-08f0-4737-9e8c-148ce897a09c">EZSHARE-947469414-3561</_dlc_DocId>
    <_dlc_DocIdUrl xmlns="cdc7663a-08f0-4737-9e8c-148ce897a09c">
      <Url>https://idbg.sharepoint.com/teams/ez-HRD/Outreach/_layouts/15/DocIdRedir.aspx?ID=EZSHARE-947469414-3561</Url>
      <Description>EZSHARE-947469414-3561</Description>
    </_dlc_DocIdUrl>
    <Disclosure_x0020_Activity xmlns="cdc7663a-08f0-4737-9e8c-148ce897a09c">Access to Information</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5.xml><?xml version="1.0" encoding="utf-8"?>
<?mso-contentType ?>
<SharedContentType xmlns="Microsoft.SharePoint.Taxonomy.ContentTypeSync" SourceId="ae61f9b1-e23d-4f49-b3d7-56b991556c4b" ContentTypeId="0x0101000308A27134084F4AA40781B2DCA498A5"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6090A695556E1D4CBCE1054BEA695229" ma:contentTypeVersion="3456" ma:contentTypeDescription="A content type to manage public (corporate) IDB documents" ma:contentTypeScope="" ma:versionID="793fbbe5e0d7226b8f39a8fd8f91e6a0">
  <xsd:schema xmlns:xsd="http://www.w3.org/2001/XMLSchema" xmlns:xs="http://www.w3.org/2001/XMLSchema" xmlns:p="http://schemas.microsoft.com/office/2006/metadata/properties" xmlns:ns2="cdc7663a-08f0-4737-9e8c-148ce897a09c" targetNamespace="http://schemas.microsoft.com/office/2006/metadata/properties" ma:root="true" ma:fieldsID="22114324a75a3bbe2f68fe60498e428b"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7 Public Relations|d23e511c-fa8c-4069-b074-dbe83e1cd122"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3dd5c846-163a-4116-9ea5-d13024f0d361}" ma:internalName="TaxCatchAll" ma:showField="CatchAllData" ma:web="0ee29ab6-50fa-4165-bedb-360af68d2e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3dd5c846-163a-4116-9ea5-d13024f0d361}" ma:internalName="TaxCatchAllLabel" ma:readOnly="true" ma:showField="CatchAllDataLabel" ma:web="0ee29ab6-50fa-4165-bedb-360af68d2eef">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PUB-01 General|7311f4cc-f5ce-4dfe-9eb9-47bb213a6a6d"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element name="Extracted_x0020_Keywords" ma:index="40" nillable="true" ma:displayName="Extracted Keywords" ma:hidden="true" ma:internalName="Extracted_x0020_Keywords" ma:readOnly="false">
      <xsd:complexType>
        <xsd:complexContent>
          <xsd:extension base="dms:MultiChoice">
            <xsd:sequence>
              <xsd:element name="Value" maxOccurs="unbounded" minOccurs="0" nillable="true">
                <xsd:simpleType>
                  <xsd:restriction base="dms:Choice">
                    <xsd:enumeration value="ez"/>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67965-6901-4AFA-8D52-133D0D019277}">
  <ds:schemaRefs>
    <ds:schemaRef ds:uri="http://schemas.microsoft.com/sharepoint/v3/contenttype/forms"/>
  </ds:schemaRefs>
</ds:datastoreItem>
</file>

<file path=customXml/itemProps2.xml><?xml version="1.0" encoding="utf-8"?>
<ds:datastoreItem xmlns:ds="http://schemas.openxmlformats.org/officeDocument/2006/customXml" ds:itemID="{40F18F6A-9A65-482A-9831-F1EB16C78BBA}"/>
</file>

<file path=customXml/itemProps3.xml><?xml version="1.0" encoding="utf-8"?>
<ds:datastoreItem xmlns:ds="http://schemas.openxmlformats.org/officeDocument/2006/customXml" ds:itemID="{21A7343E-2D51-46AE-ACAB-64078EE6800B}">
  <ds:schemaRefs>
    <ds:schemaRef ds:uri="http://schemas.openxmlformats.org/officeDocument/2006/bibliography"/>
  </ds:schemaRefs>
</ds:datastoreItem>
</file>

<file path=customXml/itemProps4.xml><?xml version="1.0" encoding="utf-8"?>
<ds:datastoreItem xmlns:ds="http://schemas.openxmlformats.org/officeDocument/2006/customXml" ds:itemID="{F4ABDE83-75A4-4E75-BF33-A837E97DDAA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0F3FFDD-A8A5-431A-8AD1-CB5CCCC024DA}"/>
</file>

<file path=customXml/itemProps6.xml><?xml version="1.0" encoding="utf-8"?>
<ds:datastoreItem xmlns:ds="http://schemas.openxmlformats.org/officeDocument/2006/customXml" ds:itemID="{7660863E-B68B-467B-9FE1-E60C5C7C8AE8}"/>
</file>

<file path=customXml/itemProps7.xml><?xml version="1.0" encoding="utf-8"?>
<ds:datastoreItem xmlns:ds="http://schemas.openxmlformats.org/officeDocument/2006/customXml" ds:itemID="{1B5B8A3D-88F6-4658-8DE1-E2237C74B1C1}"/>
</file>

<file path=docProps/app.xml><?xml version="1.0" encoding="utf-8"?>
<Properties xmlns="http://schemas.openxmlformats.org/officeDocument/2006/extended-properties" xmlns:vt="http://schemas.openxmlformats.org/officeDocument/2006/docPropsVTypes">
  <Template>Normal.dotm</Template>
  <TotalTime>45</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Elsa</dc:creator>
  <cp:keywords>Spanish version of TORs posted ＂Member of the Administrative Tribunal of The Inter-American Development Bank Group＂ 2100000027</cp:keywords>
  <dc:description/>
  <cp:lastModifiedBy>Cruz Ortega, Mireya del Valle</cp:lastModifiedBy>
  <cp:revision>40</cp:revision>
  <dcterms:created xsi:type="dcterms:W3CDTF">2020-11-17T22:18:00Z</dcterms:created>
  <dcterms:modified xsi:type="dcterms:W3CDTF">2021-01-29T02:23:00Z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1420;#Spanish version of TORs posted ＂Member of the Administrative Tribunal of The Inter-American Development Bank Group＂ 2100000027|315976d1-903d-47cc-b0b7-748da9de44bd</vt:lpwstr>
  </property>
  <property fmtid="{D5CDD505-2E9C-101B-9397-08002B2CF9AE}" pid="4" name="Series Corporate IDB">
    <vt:lpwstr>21;#PUB-01 General|7311f4cc-f5ce-4dfe-9eb9-47bb213a6a6d</vt:lpwstr>
  </property>
  <property fmtid="{D5CDD505-2E9C-101B-9397-08002B2CF9AE}" pid="5" name="TaxKeywordTaxHTField">
    <vt:lpwstr>Spanish version of TORs posted ＂Member of the Administrative Tribunal of The Inter-American Development Bank Group＂ 2100000027|315976d1-903d-47cc-b0b7-748da9de44bd</vt:lpwstr>
  </property>
  <property fmtid="{D5CDD505-2E9C-101B-9397-08002B2CF9AE}" pid="6" name="Country">
    <vt:lpwstr/>
  </property>
  <property fmtid="{D5CDD505-2E9C-101B-9397-08002B2CF9AE}" pid="7" name="Function Corporate IDB">
    <vt:lpwstr>20;#7 Public Relations|d23e511c-fa8c-4069-b074-dbe83e1cd122</vt:lpwstr>
  </property>
  <property fmtid="{D5CDD505-2E9C-101B-9397-08002B2CF9AE}" pid="8" name="_dlc_DocIdItemGuid">
    <vt:lpwstr>beed632c-a4c5-48fc-b650-0b1f7e383e01</vt:lpwstr>
  </property>
  <property fmtid="{D5CDD505-2E9C-101B-9397-08002B2CF9AE}" pid="10" name="ContentTypeId">
    <vt:lpwstr>0x01010066B06E59AB175241BBFB297522263BEB006090A695556E1D4CBCE1054BEA695229</vt:lpwstr>
  </property>
</Properties>
</file>