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ink/ink1.xml" ContentType="application/inkml+xml"/>
  <Override PartName="/word/theme/theme1.xml" ContentType="application/vnd.openxmlformats-officedocument.theme+xml"/>
  <Override PartName="/word/settings.xml" ContentType="application/vnd.openxmlformats-officedocument.wordprocessingml.setting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46E3F" w14:textId="5A1D5527" w:rsidR="00D761FB" w:rsidRPr="00C77D35" w:rsidRDefault="00546C8D">
      <w:pPr>
        <w:pStyle w:val="Heading1a"/>
        <w:keepNext w:val="0"/>
        <w:keepLines w:val="0"/>
        <w:tabs>
          <w:tab w:val="clear" w:pos="-720"/>
        </w:tabs>
        <w:suppressAutoHyphens w:val="0"/>
        <w:jc w:val="left"/>
        <w:rPr>
          <w:rFonts w:asciiTheme="minorHAnsi" w:hAnsiTheme="minorHAnsi" w:cstheme="minorHAnsi"/>
          <w:smallCaps w:val="0"/>
          <w:sz w:val="28"/>
          <w:u w:val="single"/>
          <w:lang w:val="es-PA"/>
        </w:rPr>
      </w:pPr>
      <w:r>
        <w:rPr>
          <w:rFonts w:asciiTheme="minorHAnsi" w:hAnsiTheme="minorHAnsi"/>
          <w:noProof/>
          <w:lang w:val="en-US"/>
        </w:rPr>
        <w:drawing>
          <wp:inline distT="0" distB="0" distL="0" distR="0" wp14:anchorId="24176DB2" wp14:editId="3258B0E8">
            <wp:extent cx="195262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52625" cy="495300"/>
                    </a:xfrm>
                    <a:prstGeom prst="rect">
                      <a:avLst/>
                    </a:prstGeom>
                  </pic:spPr>
                </pic:pic>
              </a:graphicData>
            </a:graphic>
          </wp:inline>
        </w:drawing>
      </w:r>
      <w:r w:rsidRPr="00C77D35">
        <w:rPr>
          <w:rFonts w:asciiTheme="minorHAnsi" w:hAnsiTheme="minorHAnsi"/>
          <w:lang w:val="es-PA"/>
        </w:rPr>
        <w:t xml:space="preserve">                </w:t>
      </w:r>
    </w:p>
    <w:p w14:paraId="6E8E4D84" w14:textId="77777777" w:rsidR="008264E2" w:rsidRDefault="008264E2" w:rsidP="08202347">
      <w:pPr>
        <w:pStyle w:val="Heading1a"/>
        <w:keepNext w:val="0"/>
        <w:keepLines w:val="0"/>
        <w:tabs>
          <w:tab w:val="clear" w:pos="-720"/>
        </w:tabs>
        <w:suppressAutoHyphens w:val="0"/>
        <w:rPr>
          <w:rFonts w:asciiTheme="minorHAnsi" w:eastAsiaTheme="minorEastAsia" w:hAnsiTheme="minorHAnsi" w:cstheme="minorHAnsi"/>
          <w:smallCaps w:val="0"/>
          <w:sz w:val="22"/>
          <w:szCs w:val="22"/>
          <w:u w:val="single"/>
          <w:lang w:val="es-PA"/>
        </w:rPr>
      </w:pPr>
    </w:p>
    <w:p w14:paraId="7BC714B6" w14:textId="4760FB1C" w:rsidR="00D761FB" w:rsidRPr="00901876" w:rsidRDefault="00546C8D" w:rsidP="08202347">
      <w:pPr>
        <w:pStyle w:val="Heading1a"/>
        <w:keepNext w:val="0"/>
        <w:keepLines w:val="0"/>
        <w:tabs>
          <w:tab w:val="clear" w:pos="-720"/>
        </w:tabs>
        <w:suppressAutoHyphens w:val="0"/>
        <w:rPr>
          <w:rFonts w:asciiTheme="minorHAnsi" w:eastAsiaTheme="minorEastAsia" w:hAnsiTheme="minorHAnsi" w:cstheme="minorHAnsi"/>
          <w:sz w:val="22"/>
          <w:szCs w:val="22"/>
          <w:u w:val="single"/>
          <w:lang w:val="es-PA"/>
        </w:rPr>
      </w:pPr>
      <w:r w:rsidRPr="00901876">
        <w:rPr>
          <w:rFonts w:asciiTheme="minorHAnsi" w:eastAsiaTheme="minorEastAsia" w:hAnsiTheme="minorHAnsi" w:cstheme="minorHAnsi"/>
          <w:smallCaps w:val="0"/>
          <w:sz w:val="22"/>
          <w:szCs w:val="22"/>
          <w:u w:val="single"/>
          <w:lang w:val="es-PA"/>
        </w:rPr>
        <w:t xml:space="preserve">SOLICITUD DE </w:t>
      </w:r>
      <w:r w:rsidR="00E82ED1" w:rsidRPr="00901876">
        <w:rPr>
          <w:rFonts w:asciiTheme="minorHAnsi" w:eastAsiaTheme="minorEastAsia" w:hAnsiTheme="minorHAnsi" w:cstheme="minorHAnsi"/>
          <w:smallCaps w:val="0"/>
          <w:sz w:val="22"/>
          <w:szCs w:val="22"/>
          <w:u w:val="single"/>
          <w:lang w:val="es-PA"/>
        </w:rPr>
        <w:t xml:space="preserve">EXPRESIONES </w:t>
      </w:r>
      <w:r w:rsidRPr="00901876">
        <w:rPr>
          <w:rFonts w:asciiTheme="minorHAnsi" w:eastAsiaTheme="minorEastAsia" w:hAnsiTheme="minorHAnsi" w:cstheme="minorHAnsi"/>
          <w:smallCaps w:val="0"/>
          <w:sz w:val="22"/>
          <w:szCs w:val="22"/>
          <w:u w:val="single"/>
          <w:lang w:val="es-PA"/>
        </w:rPr>
        <w:t>DE INTERÉS</w:t>
      </w:r>
    </w:p>
    <w:p w14:paraId="32A39256" w14:textId="77777777" w:rsidR="00D761FB" w:rsidRPr="00901876" w:rsidRDefault="00546C8D" w:rsidP="08202347">
      <w:pPr>
        <w:pStyle w:val="Heading1a"/>
        <w:keepNext w:val="0"/>
        <w:keepLines w:val="0"/>
        <w:tabs>
          <w:tab w:val="clear" w:pos="-720"/>
        </w:tabs>
        <w:suppressAutoHyphens w:val="0"/>
        <w:rPr>
          <w:rFonts w:asciiTheme="minorHAnsi" w:eastAsiaTheme="minorEastAsia" w:hAnsiTheme="minorHAnsi" w:cstheme="minorHAnsi"/>
          <w:sz w:val="22"/>
          <w:szCs w:val="22"/>
          <w:u w:val="single"/>
        </w:rPr>
      </w:pPr>
      <w:r w:rsidRPr="00901876">
        <w:rPr>
          <w:rFonts w:asciiTheme="minorHAnsi" w:eastAsiaTheme="minorEastAsia" w:hAnsiTheme="minorHAnsi" w:cstheme="minorHAnsi"/>
          <w:smallCaps w:val="0"/>
          <w:sz w:val="22"/>
          <w:szCs w:val="22"/>
          <w:u w:val="single"/>
        </w:rPr>
        <w:t>SERVICIOS DE CONSULTORÍA</w:t>
      </w:r>
    </w:p>
    <w:p w14:paraId="2E615853" w14:textId="77777777" w:rsidR="00D761FB" w:rsidRPr="00901876" w:rsidRDefault="00D761FB">
      <w:pPr>
        <w:jc w:val="both"/>
        <w:rPr>
          <w:rFonts w:asciiTheme="minorHAnsi" w:hAnsiTheme="minorHAnsi" w:cstheme="minorHAnsi"/>
          <w:color w:val="auto"/>
          <w:sz w:val="22"/>
          <w:szCs w:val="22"/>
        </w:rPr>
      </w:pPr>
    </w:p>
    <w:p w14:paraId="6724C2B5" w14:textId="77777777" w:rsidR="008264E2" w:rsidRDefault="008264E2" w:rsidP="08202347">
      <w:pPr>
        <w:suppressAutoHyphens/>
        <w:rPr>
          <w:rFonts w:asciiTheme="minorHAnsi" w:hAnsiTheme="minorHAnsi" w:cstheme="minorHAnsi"/>
          <w:color w:val="auto"/>
          <w:sz w:val="22"/>
          <w:szCs w:val="22"/>
        </w:rPr>
      </w:pPr>
    </w:p>
    <w:p w14:paraId="628BF229" w14:textId="632A41A2" w:rsidR="00D761FB" w:rsidRPr="00901876" w:rsidRDefault="08202347" w:rsidP="08202347">
      <w:pPr>
        <w:suppressAutoHyphens/>
        <w:rPr>
          <w:rFonts w:asciiTheme="minorHAnsi" w:hAnsiTheme="minorHAnsi" w:cstheme="minorHAnsi"/>
          <w:color w:val="auto"/>
          <w:sz w:val="22"/>
          <w:szCs w:val="22"/>
        </w:rPr>
      </w:pPr>
      <w:r w:rsidRPr="00901876">
        <w:rPr>
          <w:rFonts w:asciiTheme="minorHAnsi" w:hAnsiTheme="minorHAnsi" w:cstheme="minorHAnsi"/>
          <w:color w:val="auto"/>
          <w:sz w:val="22"/>
          <w:szCs w:val="22"/>
        </w:rPr>
        <w:t xml:space="preserve">Selección #: </w:t>
      </w:r>
      <w:r w:rsidR="00C77D35" w:rsidRPr="00901876">
        <w:rPr>
          <w:rFonts w:asciiTheme="minorHAnsi" w:hAnsiTheme="minorHAnsi" w:cstheme="minorHAnsi"/>
          <w:i/>
          <w:iCs/>
          <w:color w:val="auto"/>
          <w:sz w:val="22"/>
          <w:szCs w:val="22"/>
        </w:rPr>
        <w:t>PN-T12</w:t>
      </w:r>
      <w:r w:rsidR="0013647A">
        <w:rPr>
          <w:rFonts w:asciiTheme="minorHAnsi" w:hAnsiTheme="minorHAnsi" w:cstheme="minorHAnsi"/>
          <w:i/>
          <w:iCs/>
          <w:color w:val="auto"/>
          <w:sz w:val="22"/>
          <w:szCs w:val="22"/>
        </w:rPr>
        <w:t>4</w:t>
      </w:r>
      <w:r w:rsidR="00C77D35" w:rsidRPr="00901876">
        <w:rPr>
          <w:rFonts w:asciiTheme="minorHAnsi" w:hAnsiTheme="minorHAnsi" w:cstheme="minorHAnsi"/>
          <w:i/>
          <w:iCs/>
          <w:color w:val="auto"/>
          <w:sz w:val="22"/>
          <w:szCs w:val="22"/>
        </w:rPr>
        <w:t>9-P002</w:t>
      </w:r>
    </w:p>
    <w:p w14:paraId="2FE659F0" w14:textId="75BE1E24" w:rsidR="00D761FB" w:rsidRPr="00901876" w:rsidRDefault="08202347">
      <w:pPr>
        <w:rPr>
          <w:rFonts w:asciiTheme="minorHAnsi" w:hAnsiTheme="minorHAnsi" w:cstheme="minorHAnsi"/>
          <w:color w:val="auto"/>
          <w:sz w:val="22"/>
          <w:szCs w:val="22"/>
        </w:rPr>
      </w:pPr>
      <w:r w:rsidRPr="00901876">
        <w:rPr>
          <w:rFonts w:asciiTheme="minorHAnsi" w:hAnsiTheme="minorHAnsi" w:cstheme="minorHAnsi"/>
          <w:color w:val="auto"/>
          <w:sz w:val="22"/>
          <w:szCs w:val="22"/>
        </w:rPr>
        <w:t>Método de selección:</w:t>
      </w:r>
      <w:r w:rsidR="00C77D35" w:rsidRPr="00901876">
        <w:rPr>
          <w:rFonts w:asciiTheme="minorHAnsi" w:hAnsiTheme="minorHAnsi" w:cstheme="minorHAnsi"/>
          <w:color w:val="auto"/>
          <w:sz w:val="22"/>
          <w:szCs w:val="22"/>
        </w:rPr>
        <w:t xml:space="preserve"> </w:t>
      </w:r>
      <w:r w:rsidR="00C77D35" w:rsidRPr="00901876">
        <w:rPr>
          <w:rFonts w:asciiTheme="minorHAnsi" w:hAnsiTheme="minorHAnsi" w:cstheme="minorHAnsi"/>
          <w:i/>
          <w:iCs/>
          <w:color w:val="auto"/>
          <w:sz w:val="22"/>
          <w:szCs w:val="22"/>
        </w:rPr>
        <w:t>Proceso Competitivo Simplificado (SCS)</w:t>
      </w:r>
    </w:p>
    <w:p w14:paraId="4356DB27" w14:textId="4BC0198D" w:rsidR="00D761FB" w:rsidRPr="00901876" w:rsidRDefault="08202347" w:rsidP="08202347">
      <w:pPr>
        <w:suppressAutoHyphens/>
        <w:rPr>
          <w:rFonts w:asciiTheme="minorHAnsi" w:hAnsiTheme="minorHAnsi" w:cstheme="minorHAnsi"/>
          <w:color w:val="auto"/>
          <w:sz w:val="22"/>
          <w:szCs w:val="22"/>
        </w:rPr>
      </w:pPr>
      <w:r w:rsidRPr="00901876">
        <w:rPr>
          <w:rFonts w:asciiTheme="minorHAnsi" w:hAnsiTheme="minorHAnsi" w:cstheme="minorHAnsi"/>
          <w:color w:val="auto"/>
          <w:sz w:val="22"/>
          <w:szCs w:val="22"/>
        </w:rPr>
        <w:t>País</w:t>
      </w:r>
      <w:r w:rsidR="00C77D35" w:rsidRPr="00901876">
        <w:rPr>
          <w:rFonts w:asciiTheme="minorHAnsi" w:hAnsiTheme="minorHAnsi" w:cstheme="minorHAnsi"/>
          <w:color w:val="auto"/>
          <w:sz w:val="22"/>
          <w:szCs w:val="22"/>
        </w:rPr>
        <w:t xml:space="preserve">: </w:t>
      </w:r>
      <w:r w:rsidR="00C77D35" w:rsidRPr="00901876">
        <w:rPr>
          <w:rFonts w:asciiTheme="minorHAnsi" w:hAnsiTheme="minorHAnsi" w:cstheme="minorHAnsi"/>
          <w:i/>
          <w:iCs/>
          <w:color w:val="auto"/>
          <w:sz w:val="22"/>
          <w:szCs w:val="22"/>
        </w:rPr>
        <w:t>Panamá</w:t>
      </w:r>
    </w:p>
    <w:p w14:paraId="4C834057" w14:textId="6756F586" w:rsidR="00D761FB" w:rsidRPr="00901876" w:rsidRDefault="08202347" w:rsidP="08202347">
      <w:pPr>
        <w:suppressAutoHyphens/>
        <w:rPr>
          <w:rFonts w:asciiTheme="minorHAnsi" w:hAnsiTheme="minorHAnsi" w:cstheme="minorHAnsi"/>
          <w:i/>
          <w:iCs/>
          <w:color w:val="auto"/>
          <w:sz w:val="22"/>
          <w:szCs w:val="22"/>
        </w:rPr>
      </w:pPr>
      <w:r w:rsidRPr="00901876">
        <w:rPr>
          <w:rFonts w:asciiTheme="minorHAnsi" w:hAnsiTheme="minorHAnsi" w:cstheme="minorHAnsi"/>
          <w:color w:val="auto"/>
          <w:sz w:val="22"/>
          <w:szCs w:val="22"/>
        </w:rPr>
        <w:t>Sector:</w:t>
      </w:r>
      <w:r w:rsidR="00C77D35" w:rsidRPr="00901876">
        <w:rPr>
          <w:rFonts w:asciiTheme="minorHAnsi" w:hAnsiTheme="minorHAnsi" w:cstheme="minorHAnsi"/>
          <w:color w:val="auto"/>
          <w:sz w:val="22"/>
          <w:szCs w:val="22"/>
        </w:rPr>
        <w:t xml:space="preserve"> </w:t>
      </w:r>
      <w:r w:rsidR="00C77D35" w:rsidRPr="00901876">
        <w:rPr>
          <w:rFonts w:asciiTheme="minorHAnsi" w:hAnsiTheme="minorHAnsi" w:cstheme="minorHAnsi"/>
          <w:i/>
          <w:iCs/>
          <w:color w:val="auto"/>
          <w:sz w:val="22"/>
          <w:szCs w:val="22"/>
        </w:rPr>
        <w:t>Agua y Saneamiento</w:t>
      </w:r>
    </w:p>
    <w:p w14:paraId="420580C3" w14:textId="7E762C22" w:rsidR="00D761FB" w:rsidRPr="00901876" w:rsidRDefault="08202347" w:rsidP="08202347">
      <w:pPr>
        <w:suppressAutoHyphens/>
        <w:rPr>
          <w:rFonts w:asciiTheme="minorHAnsi" w:hAnsiTheme="minorHAnsi" w:cstheme="minorHAnsi"/>
          <w:color w:val="auto"/>
          <w:sz w:val="22"/>
          <w:szCs w:val="22"/>
        </w:rPr>
      </w:pPr>
      <w:r w:rsidRPr="00901876">
        <w:rPr>
          <w:rFonts w:asciiTheme="minorHAnsi" w:hAnsiTheme="minorHAnsi" w:cstheme="minorHAnsi"/>
          <w:color w:val="auto"/>
          <w:sz w:val="22"/>
          <w:szCs w:val="22"/>
        </w:rPr>
        <w:t>Financiación - TC #</w:t>
      </w:r>
      <w:r w:rsidR="00C77D35" w:rsidRPr="00901876">
        <w:rPr>
          <w:rFonts w:asciiTheme="minorHAnsi" w:hAnsiTheme="minorHAnsi" w:cstheme="minorHAnsi"/>
          <w:color w:val="auto"/>
          <w:sz w:val="22"/>
          <w:szCs w:val="22"/>
        </w:rPr>
        <w:t xml:space="preserve">: </w:t>
      </w:r>
      <w:r w:rsidR="004F748E" w:rsidRPr="004F748E">
        <w:rPr>
          <w:rFonts w:asciiTheme="minorHAnsi" w:hAnsiTheme="minorHAnsi" w:cstheme="minorHAnsi"/>
          <w:i/>
          <w:iCs/>
          <w:color w:val="auto"/>
          <w:sz w:val="22"/>
          <w:szCs w:val="22"/>
        </w:rPr>
        <w:t>ATN/OC-18177-PN</w:t>
      </w:r>
      <w:r w:rsidRPr="00901876">
        <w:rPr>
          <w:rFonts w:asciiTheme="minorHAnsi" w:hAnsiTheme="minorHAnsi" w:cstheme="minorHAnsi"/>
          <w:color w:val="auto"/>
          <w:sz w:val="22"/>
          <w:szCs w:val="22"/>
        </w:rPr>
        <w:t xml:space="preserve">                     </w:t>
      </w:r>
    </w:p>
    <w:p w14:paraId="6B175998" w14:textId="1C3EA4A7" w:rsidR="00D761FB" w:rsidRPr="00901876" w:rsidRDefault="08202347">
      <w:pPr>
        <w:pStyle w:val="BodyText"/>
        <w:rPr>
          <w:rFonts w:asciiTheme="minorHAnsi" w:hAnsiTheme="minorHAnsi" w:cstheme="minorHAnsi"/>
          <w:i/>
          <w:iCs/>
          <w:sz w:val="22"/>
          <w:szCs w:val="22"/>
        </w:rPr>
      </w:pPr>
      <w:r w:rsidRPr="00901876">
        <w:rPr>
          <w:rFonts w:asciiTheme="minorHAnsi" w:eastAsiaTheme="minorEastAsia" w:hAnsiTheme="minorHAnsi" w:cstheme="minorHAnsi"/>
          <w:sz w:val="22"/>
          <w:szCs w:val="22"/>
        </w:rPr>
        <w:t>Proyecto #:</w:t>
      </w:r>
      <w:r w:rsidR="00C77D35" w:rsidRPr="00901876">
        <w:rPr>
          <w:rFonts w:asciiTheme="minorHAnsi" w:eastAsiaTheme="minorEastAsia" w:hAnsiTheme="minorHAnsi" w:cstheme="minorHAnsi"/>
          <w:sz w:val="22"/>
          <w:szCs w:val="22"/>
        </w:rPr>
        <w:t xml:space="preserve"> </w:t>
      </w:r>
      <w:r w:rsidR="00C77D35" w:rsidRPr="00901876">
        <w:rPr>
          <w:rFonts w:asciiTheme="minorHAnsi" w:eastAsiaTheme="minorEastAsia" w:hAnsiTheme="minorHAnsi" w:cstheme="minorHAnsi"/>
          <w:i/>
          <w:iCs/>
          <w:sz w:val="22"/>
          <w:szCs w:val="22"/>
        </w:rPr>
        <w:t>PN-T12</w:t>
      </w:r>
      <w:r w:rsidR="004F748E">
        <w:rPr>
          <w:rFonts w:asciiTheme="minorHAnsi" w:eastAsiaTheme="minorEastAsia" w:hAnsiTheme="minorHAnsi" w:cstheme="minorHAnsi"/>
          <w:i/>
          <w:iCs/>
          <w:sz w:val="22"/>
          <w:szCs w:val="22"/>
        </w:rPr>
        <w:t>4</w:t>
      </w:r>
      <w:r w:rsidR="00C77D35" w:rsidRPr="00901876">
        <w:rPr>
          <w:rFonts w:asciiTheme="minorHAnsi" w:eastAsiaTheme="minorEastAsia" w:hAnsiTheme="minorHAnsi" w:cstheme="minorHAnsi"/>
          <w:i/>
          <w:iCs/>
          <w:sz w:val="22"/>
          <w:szCs w:val="22"/>
        </w:rPr>
        <w:t>9</w:t>
      </w:r>
    </w:p>
    <w:p w14:paraId="08959238" w14:textId="17076F53" w:rsidR="00D761FB" w:rsidRPr="00901876" w:rsidRDefault="08202347">
      <w:pPr>
        <w:pStyle w:val="BodyText"/>
        <w:rPr>
          <w:rFonts w:asciiTheme="minorHAnsi" w:eastAsiaTheme="minorEastAsia" w:hAnsiTheme="minorHAnsi" w:cstheme="minorHAnsi"/>
          <w:i/>
          <w:iCs/>
          <w:sz w:val="22"/>
          <w:szCs w:val="22"/>
        </w:rPr>
      </w:pPr>
      <w:r w:rsidRPr="00901876">
        <w:rPr>
          <w:rFonts w:asciiTheme="minorHAnsi" w:eastAsiaTheme="minorEastAsia" w:hAnsiTheme="minorHAnsi" w:cstheme="minorHAnsi"/>
          <w:sz w:val="22"/>
          <w:szCs w:val="22"/>
        </w:rPr>
        <w:t>Nombre del TC:</w:t>
      </w:r>
      <w:r w:rsidR="00C77D35" w:rsidRPr="00901876">
        <w:rPr>
          <w:rFonts w:asciiTheme="minorHAnsi" w:eastAsiaTheme="minorEastAsia" w:hAnsiTheme="minorHAnsi" w:cstheme="minorHAnsi"/>
          <w:sz w:val="22"/>
          <w:szCs w:val="22"/>
        </w:rPr>
        <w:t xml:space="preserve"> </w:t>
      </w:r>
      <w:r w:rsidR="0010799F">
        <w:rPr>
          <w:rFonts w:asciiTheme="minorHAnsi" w:eastAsiaTheme="minorEastAsia" w:hAnsiTheme="minorHAnsi" w:cstheme="minorHAnsi"/>
          <w:i/>
          <w:iCs/>
          <w:sz w:val="22"/>
          <w:szCs w:val="22"/>
        </w:rPr>
        <w:t>Apoyo a las Reformas de los Sectores de Agua, Saneamiento y Energía</w:t>
      </w:r>
    </w:p>
    <w:p w14:paraId="358A1794" w14:textId="77777777" w:rsidR="00C77D35" w:rsidRPr="00901876" w:rsidRDefault="00C77D35">
      <w:pPr>
        <w:pStyle w:val="BodyText"/>
        <w:rPr>
          <w:rFonts w:asciiTheme="minorHAnsi" w:hAnsiTheme="minorHAnsi" w:cstheme="minorHAnsi"/>
          <w:i/>
          <w:iCs/>
          <w:sz w:val="22"/>
          <w:szCs w:val="22"/>
        </w:rPr>
      </w:pPr>
    </w:p>
    <w:p w14:paraId="35128683" w14:textId="168806EC" w:rsidR="00D761FB" w:rsidRPr="00901876" w:rsidRDefault="08202347" w:rsidP="008264E2">
      <w:pPr>
        <w:pStyle w:val="BodyText"/>
        <w:jc w:val="both"/>
        <w:rPr>
          <w:rFonts w:asciiTheme="minorHAnsi" w:eastAsiaTheme="minorEastAsia" w:hAnsiTheme="minorHAnsi" w:cstheme="minorHAnsi"/>
          <w:sz w:val="22"/>
          <w:szCs w:val="22"/>
        </w:rPr>
      </w:pPr>
      <w:r w:rsidRPr="00901876">
        <w:rPr>
          <w:rFonts w:asciiTheme="minorHAnsi" w:eastAsiaTheme="minorEastAsia" w:hAnsiTheme="minorHAnsi" w:cstheme="minorHAnsi"/>
          <w:sz w:val="22"/>
          <w:szCs w:val="22"/>
        </w:rPr>
        <w:t>Descripción de los Servicios:</w:t>
      </w:r>
      <w:r w:rsidR="00C77D35" w:rsidRPr="00901876">
        <w:rPr>
          <w:rFonts w:asciiTheme="minorHAnsi" w:eastAsiaTheme="minorEastAsia" w:hAnsiTheme="minorHAnsi" w:cstheme="minorHAnsi"/>
          <w:sz w:val="22"/>
          <w:szCs w:val="22"/>
        </w:rPr>
        <w:t xml:space="preserve"> </w:t>
      </w:r>
      <w:bookmarkStart w:id="0" w:name="_Hlk21426697"/>
      <w:r w:rsidR="00C77D35" w:rsidRPr="00901876">
        <w:rPr>
          <w:rFonts w:asciiTheme="minorHAnsi" w:eastAsiaTheme="minorEastAsia" w:hAnsiTheme="minorHAnsi" w:cstheme="minorHAnsi"/>
          <w:i/>
          <w:iCs/>
          <w:sz w:val="22"/>
          <w:szCs w:val="22"/>
        </w:rPr>
        <w:t>Consultoría técnica de evaluación y actualización de los estudios hidrológicos e hidráulicos relacionados con las obras de mitigación de inundaciones en la cuenca del río Juan Díaz</w:t>
      </w:r>
      <w:bookmarkEnd w:id="0"/>
      <w:r w:rsidR="004F748E">
        <w:rPr>
          <w:rFonts w:asciiTheme="minorHAnsi" w:eastAsiaTheme="minorEastAsia" w:hAnsiTheme="minorHAnsi" w:cstheme="minorHAnsi"/>
          <w:i/>
          <w:iCs/>
          <w:sz w:val="22"/>
          <w:szCs w:val="22"/>
        </w:rPr>
        <w:t>.</w:t>
      </w:r>
    </w:p>
    <w:p w14:paraId="19F1721F" w14:textId="77777777" w:rsidR="00D761FB" w:rsidRPr="00901876" w:rsidRDefault="00D761FB">
      <w:pPr>
        <w:pStyle w:val="BodyText"/>
        <w:rPr>
          <w:rFonts w:asciiTheme="minorHAnsi" w:hAnsiTheme="minorHAnsi" w:cstheme="minorHAnsi"/>
          <w:sz w:val="22"/>
          <w:szCs w:val="22"/>
        </w:rPr>
      </w:pPr>
    </w:p>
    <w:p w14:paraId="1E25884F" w14:textId="77777777" w:rsidR="00C77D35" w:rsidRPr="00901876" w:rsidRDefault="08202347" w:rsidP="00C77D35">
      <w:pPr>
        <w:jc w:val="both"/>
        <w:rPr>
          <w:rFonts w:asciiTheme="minorHAnsi" w:hAnsiTheme="minorHAnsi" w:cstheme="minorHAnsi"/>
          <w:color w:val="auto"/>
          <w:sz w:val="22"/>
          <w:szCs w:val="22"/>
        </w:rPr>
      </w:pPr>
      <w:r w:rsidRPr="00901876">
        <w:rPr>
          <w:rFonts w:asciiTheme="minorHAnsi" w:hAnsiTheme="minorHAnsi" w:cstheme="minorHAnsi"/>
          <w:color w:val="auto"/>
          <w:sz w:val="22"/>
          <w:szCs w:val="22"/>
        </w:rPr>
        <w:t xml:space="preserve">Enlace al documento TC: </w:t>
      </w:r>
    </w:p>
    <w:p w14:paraId="1CD29AF7" w14:textId="737EBD70" w:rsidR="00C77D35" w:rsidRPr="00901876" w:rsidRDefault="00C77840" w:rsidP="00C77D35">
      <w:pPr>
        <w:jc w:val="both"/>
        <w:rPr>
          <w:rFonts w:asciiTheme="minorHAnsi" w:hAnsiTheme="minorHAnsi" w:cstheme="minorHAnsi"/>
          <w:i/>
          <w:iCs/>
          <w:color w:val="auto"/>
          <w:sz w:val="22"/>
          <w:szCs w:val="22"/>
          <w:lang w:val="es-PA"/>
        </w:rPr>
      </w:pPr>
      <w:hyperlink r:id="rId14" w:history="1">
        <w:r w:rsidR="004F748E">
          <w:rPr>
            <w:rStyle w:val="Hyperlink"/>
          </w:rPr>
          <w:t>Documento de CT - Divulgación_57339.pdf | IADB</w:t>
        </w:r>
      </w:hyperlink>
    </w:p>
    <w:p w14:paraId="18F92703" w14:textId="5A8AE07A" w:rsidR="00D761FB" w:rsidRPr="00901876" w:rsidRDefault="00D761FB" w:rsidP="08202347">
      <w:pPr>
        <w:pStyle w:val="BodyText"/>
        <w:rPr>
          <w:rFonts w:asciiTheme="minorHAnsi" w:eastAsiaTheme="minorEastAsia" w:hAnsiTheme="minorHAnsi" w:cstheme="minorHAnsi"/>
          <w:i/>
          <w:iCs/>
          <w:sz w:val="22"/>
          <w:szCs w:val="22"/>
          <w:lang w:val="es-PA"/>
        </w:rPr>
      </w:pPr>
    </w:p>
    <w:p w14:paraId="2C0FC91B" w14:textId="7E4F1D24" w:rsidR="00D761FB" w:rsidRPr="00901876" w:rsidRDefault="08202347" w:rsidP="008264E2">
      <w:pPr>
        <w:jc w:val="both"/>
        <w:rPr>
          <w:rFonts w:asciiTheme="minorHAnsi" w:hAnsiTheme="minorHAnsi" w:cstheme="minorHAnsi"/>
          <w:color w:val="auto"/>
          <w:sz w:val="22"/>
          <w:szCs w:val="22"/>
        </w:rPr>
      </w:pPr>
      <w:r w:rsidRPr="00901876">
        <w:rPr>
          <w:rFonts w:asciiTheme="minorHAnsi" w:hAnsiTheme="minorHAnsi" w:cstheme="minorHAnsi"/>
          <w:color w:val="auto"/>
          <w:sz w:val="22"/>
          <w:szCs w:val="22"/>
        </w:rPr>
        <w:t>El Banco Interamericano de Desarrollo (BID) está ejecutando la operación antes mencionada.  Para esta operación, el BID tiene la intención de contratar los servicios de consultoría descriptos en esta Solicitud de Expresiones de Interés.</w:t>
      </w:r>
      <w:r w:rsidR="005B434A" w:rsidRPr="00901876">
        <w:rPr>
          <w:rFonts w:asciiTheme="minorHAnsi" w:hAnsiTheme="minorHAnsi" w:cstheme="minorHAnsi"/>
          <w:color w:val="auto"/>
          <w:sz w:val="22"/>
          <w:szCs w:val="22"/>
        </w:rPr>
        <w:t xml:space="preserve">  Las expresiones de interés deberán ser recibidas usando el Portal del BID para las Operaciones Ejecutadas por el Banco </w:t>
      </w:r>
      <w:hyperlink r:id="rId15" w:history="1">
        <w:r w:rsidR="005B434A" w:rsidRPr="00901876">
          <w:rPr>
            <w:rStyle w:val="Hyperlink"/>
            <w:rFonts w:asciiTheme="minorHAnsi" w:eastAsia="Calibri" w:hAnsiTheme="minorHAnsi" w:cstheme="minorHAnsi"/>
            <w:color w:val="auto"/>
            <w:sz w:val="22"/>
            <w:szCs w:val="22"/>
            <w:lang w:val="es-ES"/>
          </w:rPr>
          <w:t>http://beo-procurement.iadb.org/home</w:t>
        </w:r>
      </w:hyperlink>
      <w:r w:rsidR="005B434A" w:rsidRPr="00901876">
        <w:rPr>
          <w:rFonts w:asciiTheme="minorHAnsi" w:hAnsiTheme="minorHAnsi" w:cstheme="minorHAnsi"/>
          <w:color w:val="auto"/>
          <w:sz w:val="22"/>
          <w:szCs w:val="22"/>
        </w:rPr>
        <w:t xml:space="preserve"> antes de</w:t>
      </w:r>
      <w:r w:rsidR="00C77D35" w:rsidRPr="00901876">
        <w:rPr>
          <w:rFonts w:asciiTheme="minorHAnsi" w:hAnsiTheme="minorHAnsi" w:cstheme="minorHAnsi"/>
          <w:color w:val="auto"/>
          <w:sz w:val="22"/>
          <w:szCs w:val="22"/>
        </w:rPr>
        <w:t xml:space="preserve">l </w:t>
      </w:r>
      <w:r w:rsidR="0010799F">
        <w:rPr>
          <w:rFonts w:asciiTheme="minorHAnsi" w:hAnsiTheme="minorHAnsi" w:cstheme="minorHAnsi"/>
          <w:color w:val="auto"/>
          <w:sz w:val="22"/>
          <w:szCs w:val="22"/>
        </w:rPr>
        <w:t>18</w:t>
      </w:r>
      <w:r w:rsidR="006934B2">
        <w:rPr>
          <w:rFonts w:asciiTheme="minorHAnsi" w:hAnsiTheme="minorHAnsi" w:cstheme="minorHAnsi"/>
          <w:color w:val="auto"/>
          <w:sz w:val="22"/>
          <w:szCs w:val="22"/>
        </w:rPr>
        <w:t xml:space="preserve"> </w:t>
      </w:r>
      <w:r w:rsidR="00C77D35" w:rsidRPr="00901876">
        <w:rPr>
          <w:rFonts w:asciiTheme="minorHAnsi" w:hAnsiTheme="minorHAnsi" w:cstheme="minorHAnsi"/>
          <w:color w:val="auto"/>
          <w:sz w:val="22"/>
          <w:szCs w:val="22"/>
        </w:rPr>
        <w:t xml:space="preserve">de </w:t>
      </w:r>
      <w:r w:rsidR="0010799F">
        <w:rPr>
          <w:rFonts w:asciiTheme="minorHAnsi" w:hAnsiTheme="minorHAnsi" w:cstheme="minorHAnsi"/>
          <w:color w:val="auto"/>
          <w:sz w:val="22"/>
          <w:szCs w:val="22"/>
        </w:rPr>
        <w:t>enero de 2021</w:t>
      </w:r>
      <w:r w:rsidR="00966DA5" w:rsidRPr="00901876">
        <w:rPr>
          <w:rFonts w:asciiTheme="minorHAnsi" w:hAnsiTheme="minorHAnsi" w:cstheme="minorHAnsi"/>
          <w:color w:val="auto"/>
          <w:sz w:val="22"/>
          <w:szCs w:val="22"/>
        </w:rPr>
        <w:t xml:space="preserve"> a las</w:t>
      </w:r>
      <w:r w:rsidR="005B434A" w:rsidRPr="00901876">
        <w:rPr>
          <w:rFonts w:asciiTheme="minorHAnsi" w:hAnsiTheme="minorHAnsi" w:cstheme="minorHAnsi"/>
          <w:color w:val="auto"/>
          <w:sz w:val="22"/>
          <w:szCs w:val="22"/>
        </w:rPr>
        <w:t xml:space="preserve"> 5:00 P.M. (Hora de Washington DC).</w:t>
      </w:r>
    </w:p>
    <w:p w14:paraId="2CDBF98B" w14:textId="3E0B9307" w:rsidR="00D761FB" w:rsidRPr="00901876" w:rsidRDefault="00D761FB">
      <w:pPr>
        <w:jc w:val="both"/>
        <w:rPr>
          <w:rFonts w:asciiTheme="minorHAnsi" w:hAnsiTheme="minorHAnsi" w:cstheme="minorHAnsi"/>
          <w:color w:val="auto"/>
          <w:sz w:val="22"/>
          <w:szCs w:val="22"/>
        </w:rPr>
      </w:pPr>
    </w:p>
    <w:p w14:paraId="3DB7DADA" w14:textId="77777777" w:rsidR="00C77D35" w:rsidRPr="00901876" w:rsidRDefault="08202347" w:rsidP="08202347">
      <w:pPr>
        <w:suppressAutoHyphens/>
        <w:jc w:val="both"/>
        <w:rPr>
          <w:rFonts w:asciiTheme="minorHAnsi" w:hAnsiTheme="minorHAnsi" w:cstheme="minorHAnsi"/>
          <w:color w:val="auto"/>
          <w:sz w:val="22"/>
          <w:szCs w:val="22"/>
        </w:rPr>
      </w:pPr>
      <w:r w:rsidRPr="00901876">
        <w:rPr>
          <w:rFonts w:asciiTheme="minorHAnsi" w:hAnsiTheme="minorHAnsi" w:cstheme="minorHAnsi"/>
          <w:color w:val="auto"/>
          <w:sz w:val="22"/>
          <w:szCs w:val="22"/>
        </w:rPr>
        <w:t>Los servicios de consultoría ("los Servicios")</w:t>
      </w:r>
      <w:r w:rsidR="00C77D35" w:rsidRPr="00901876">
        <w:rPr>
          <w:rFonts w:asciiTheme="minorHAnsi" w:hAnsiTheme="minorHAnsi" w:cstheme="minorHAnsi"/>
          <w:color w:val="auto"/>
          <w:sz w:val="22"/>
          <w:szCs w:val="22"/>
        </w:rPr>
        <w:t xml:space="preserve"> tienen como objetivo general </w:t>
      </w:r>
      <w:bookmarkStart w:id="1" w:name="_Hlk21426742"/>
      <w:r w:rsidR="00C77D35" w:rsidRPr="00901876">
        <w:rPr>
          <w:rFonts w:asciiTheme="minorHAnsi" w:hAnsiTheme="minorHAnsi" w:cstheme="minorHAnsi"/>
          <w:color w:val="auto"/>
          <w:sz w:val="22"/>
          <w:szCs w:val="22"/>
        </w:rPr>
        <w:t>la revisión, validación y actualización de los estudios hidrológicos e hidráulicos destinados al diseño de medidas estructurales de mitigación de los efectos de las inundaciones fluviales en la cuenca urbana del Río Juan Díaz, cuyas obras se ejecutarían con la operación PN-L1150</w:t>
      </w:r>
      <w:bookmarkEnd w:id="1"/>
      <w:r w:rsidR="00C77D35" w:rsidRPr="00901876">
        <w:rPr>
          <w:rFonts w:asciiTheme="minorHAnsi" w:hAnsiTheme="minorHAnsi" w:cstheme="minorHAnsi"/>
          <w:color w:val="auto"/>
          <w:sz w:val="22"/>
          <w:szCs w:val="22"/>
        </w:rPr>
        <w:t>. I</w:t>
      </w:r>
      <w:r w:rsidRPr="00901876">
        <w:rPr>
          <w:rFonts w:asciiTheme="minorHAnsi" w:hAnsiTheme="minorHAnsi" w:cstheme="minorHAnsi"/>
          <w:color w:val="auto"/>
          <w:sz w:val="22"/>
          <w:szCs w:val="22"/>
        </w:rPr>
        <w:t>ncluye</w:t>
      </w:r>
      <w:r w:rsidR="00C77D35" w:rsidRPr="00901876">
        <w:rPr>
          <w:rFonts w:asciiTheme="minorHAnsi" w:hAnsiTheme="minorHAnsi" w:cstheme="minorHAnsi"/>
          <w:color w:val="auto"/>
          <w:sz w:val="22"/>
          <w:szCs w:val="22"/>
        </w:rPr>
        <w:t xml:space="preserve"> las siguientes actividades: </w:t>
      </w:r>
    </w:p>
    <w:p w14:paraId="3F7B62D6" w14:textId="77777777" w:rsidR="00C77D35" w:rsidRPr="00901876" w:rsidRDefault="00C77D35" w:rsidP="00C77D35">
      <w:pPr>
        <w:numPr>
          <w:ilvl w:val="2"/>
          <w:numId w:val="1"/>
        </w:numPr>
        <w:autoSpaceDE/>
        <w:autoSpaceDN/>
        <w:adjustRightInd/>
        <w:contextualSpacing/>
        <w:jc w:val="both"/>
        <w:rPr>
          <w:rFonts w:asciiTheme="minorHAnsi" w:eastAsiaTheme="minorHAnsi" w:hAnsiTheme="minorHAnsi" w:cstheme="minorHAnsi"/>
          <w:color w:val="auto"/>
          <w:sz w:val="22"/>
          <w:szCs w:val="22"/>
        </w:rPr>
      </w:pPr>
      <w:r w:rsidRPr="00901876">
        <w:rPr>
          <w:rFonts w:asciiTheme="minorHAnsi" w:eastAsiaTheme="minorHAnsi" w:hAnsiTheme="minorHAnsi" w:cstheme="minorHAnsi"/>
          <w:color w:val="auto"/>
          <w:sz w:val="22"/>
          <w:szCs w:val="22"/>
        </w:rPr>
        <w:t>Validación, revisión y actualización de Condiciones Iniciales y de Contorno necesarias para la realización de las correspondientes simulaciones</w:t>
      </w:r>
    </w:p>
    <w:p w14:paraId="7B8B801C" w14:textId="77777777" w:rsidR="00C77D35" w:rsidRPr="00901876" w:rsidRDefault="00C77D35" w:rsidP="00C77D35">
      <w:pPr>
        <w:numPr>
          <w:ilvl w:val="2"/>
          <w:numId w:val="1"/>
        </w:numPr>
        <w:autoSpaceDE/>
        <w:autoSpaceDN/>
        <w:adjustRightInd/>
        <w:contextualSpacing/>
        <w:jc w:val="both"/>
        <w:rPr>
          <w:rFonts w:asciiTheme="minorHAnsi" w:eastAsiaTheme="minorHAnsi" w:hAnsiTheme="minorHAnsi" w:cstheme="minorHAnsi"/>
          <w:color w:val="auto"/>
          <w:sz w:val="22"/>
          <w:szCs w:val="22"/>
        </w:rPr>
      </w:pPr>
      <w:r w:rsidRPr="00901876">
        <w:rPr>
          <w:rFonts w:asciiTheme="minorHAnsi" w:eastAsiaTheme="minorHAnsi" w:hAnsiTheme="minorHAnsi" w:cstheme="minorHAnsi"/>
          <w:color w:val="auto"/>
          <w:sz w:val="22"/>
          <w:szCs w:val="22"/>
        </w:rPr>
        <w:t>Validación, revisión y actualización de la Topo</w:t>
      </w:r>
      <w:r w:rsidRPr="00901876">
        <w:rPr>
          <w:rFonts w:asciiTheme="minorHAnsi" w:eastAsiaTheme="minorHAnsi" w:hAnsiTheme="minorHAnsi" w:cstheme="minorHAnsi"/>
          <w:color w:val="auto"/>
          <w:sz w:val="22"/>
          <w:szCs w:val="22"/>
          <w:lang w:val="es-ES_tradnl"/>
        </w:rPr>
        <w:t>-Batimetría</w:t>
      </w:r>
      <w:r w:rsidRPr="00901876">
        <w:rPr>
          <w:rFonts w:asciiTheme="minorHAnsi" w:eastAsiaTheme="minorHAnsi" w:hAnsiTheme="minorHAnsi" w:cstheme="minorHAnsi"/>
          <w:color w:val="auto"/>
          <w:sz w:val="22"/>
          <w:szCs w:val="22"/>
        </w:rPr>
        <w:t xml:space="preserve"> del cauce del Río Juan Díaz en el área de estudio.</w:t>
      </w:r>
    </w:p>
    <w:p w14:paraId="31BEA03E" w14:textId="77777777" w:rsidR="00C77D35" w:rsidRPr="00901876" w:rsidRDefault="00C77D35" w:rsidP="00C77D35">
      <w:pPr>
        <w:numPr>
          <w:ilvl w:val="2"/>
          <w:numId w:val="1"/>
        </w:numPr>
        <w:autoSpaceDE/>
        <w:autoSpaceDN/>
        <w:adjustRightInd/>
        <w:contextualSpacing/>
        <w:jc w:val="both"/>
        <w:rPr>
          <w:rFonts w:asciiTheme="minorHAnsi" w:eastAsiaTheme="minorHAnsi" w:hAnsiTheme="minorHAnsi" w:cstheme="minorHAnsi"/>
          <w:color w:val="auto"/>
          <w:sz w:val="22"/>
          <w:szCs w:val="22"/>
        </w:rPr>
      </w:pPr>
      <w:r w:rsidRPr="00901876">
        <w:rPr>
          <w:rFonts w:asciiTheme="minorHAnsi" w:eastAsiaTheme="minorHAnsi" w:hAnsiTheme="minorHAnsi" w:cstheme="minorHAnsi"/>
          <w:color w:val="auto"/>
          <w:sz w:val="22"/>
          <w:szCs w:val="22"/>
        </w:rPr>
        <w:t>Simulación Hidrodinámica en condiciones Ante y Post Operam de la cuenca urbana del Río Juan Díaz para TR 20, 100, 200 y 500 a</w:t>
      </w:r>
      <w:r w:rsidRPr="00901876">
        <w:rPr>
          <w:rFonts w:asciiTheme="minorHAnsi" w:eastAsiaTheme="minorHAnsi" w:hAnsiTheme="minorHAnsi" w:cstheme="minorHAnsi"/>
          <w:color w:val="auto"/>
          <w:sz w:val="22"/>
          <w:szCs w:val="22"/>
          <w:lang w:val="es-ES_tradnl"/>
        </w:rPr>
        <w:t>ños</w:t>
      </w:r>
      <w:r w:rsidRPr="00901876">
        <w:rPr>
          <w:rFonts w:asciiTheme="minorHAnsi" w:eastAsiaTheme="minorHAnsi" w:hAnsiTheme="minorHAnsi" w:cstheme="minorHAnsi"/>
          <w:color w:val="auto"/>
          <w:sz w:val="22"/>
          <w:szCs w:val="22"/>
        </w:rPr>
        <w:t>.</w:t>
      </w:r>
    </w:p>
    <w:p w14:paraId="79163DEA" w14:textId="77777777" w:rsidR="00C77D35" w:rsidRPr="00901876" w:rsidRDefault="00C77D35" w:rsidP="00C77D35">
      <w:pPr>
        <w:numPr>
          <w:ilvl w:val="2"/>
          <w:numId w:val="1"/>
        </w:numPr>
        <w:autoSpaceDE/>
        <w:autoSpaceDN/>
        <w:adjustRightInd/>
        <w:contextualSpacing/>
        <w:jc w:val="both"/>
        <w:rPr>
          <w:rFonts w:asciiTheme="minorHAnsi" w:eastAsiaTheme="minorHAnsi" w:hAnsiTheme="minorHAnsi" w:cstheme="minorHAnsi"/>
          <w:color w:val="auto"/>
          <w:sz w:val="22"/>
          <w:szCs w:val="22"/>
        </w:rPr>
      </w:pPr>
      <w:r w:rsidRPr="00901876">
        <w:rPr>
          <w:rFonts w:asciiTheme="minorHAnsi" w:eastAsiaTheme="minorHAnsi" w:hAnsiTheme="minorHAnsi" w:cstheme="minorHAnsi"/>
          <w:color w:val="auto"/>
          <w:sz w:val="22"/>
          <w:szCs w:val="22"/>
        </w:rPr>
        <w:t>Consideraciones sobre la eficiencia de las estructuras o trabajos previstos.</w:t>
      </w:r>
    </w:p>
    <w:p w14:paraId="11ECB99A" w14:textId="320947FB" w:rsidR="00C77D35" w:rsidRPr="00901876" w:rsidRDefault="00C77D35" w:rsidP="08202347">
      <w:pPr>
        <w:suppressAutoHyphens/>
        <w:jc w:val="both"/>
        <w:rPr>
          <w:rFonts w:asciiTheme="minorHAnsi" w:hAnsiTheme="minorHAnsi" w:cstheme="minorHAnsi"/>
          <w:color w:val="auto"/>
          <w:sz w:val="22"/>
          <w:szCs w:val="22"/>
        </w:rPr>
      </w:pPr>
    </w:p>
    <w:p w14:paraId="291B2FE4" w14:textId="402875EC" w:rsidR="00C77D35" w:rsidRPr="00901876" w:rsidRDefault="00C77D35" w:rsidP="08202347">
      <w:pPr>
        <w:suppressAutoHyphens/>
        <w:jc w:val="both"/>
        <w:rPr>
          <w:rFonts w:asciiTheme="minorHAnsi" w:hAnsiTheme="minorHAnsi" w:cstheme="minorHAnsi"/>
          <w:color w:val="auto"/>
          <w:sz w:val="22"/>
          <w:szCs w:val="22"/>
        </w:rPr>
      </w:pPr>
      <w:r w:rsidRPr="00901876">
        <w:rPr>
          <w:rFonts w:asciiTheme="minorHAnsi" w:hAnsiTheme="minorHAnsi" w:cstheme="minorHAnsi"/>
          <w:color w:val="auto"/>
          <w:sz w:val="22"/>
          <w:szCs w:val="22"/>
        </w:rPr>
        <w:t xml:space="preserve">Se </w:t>
      </w:r>
      <w:r w:rsidR="002659A2">
        <w:rPr>
          <w:rFonts w:asciiTheme="minorHAnsi" w:hAnsiTheme="minorHAnsi" w:cstheme="minorHAnsi"/>
          <w:color w:val="auto"/>
          <w:sz w:val="22"/>
          <w:szCs w:val="22"/>
        </w:rPr>
        <w:t>estima</w:t>
      </w:r>
      <w:r w:rsidRPr="00901876">
        <w:rPr>
          <w:rFonts w:asciiTheme="minorHAnsi" w:hAnsiTheme="minorHAnsi" w:cstheme="minorHAnsi"/>
          <w:color w:val="auto"/>
          <w:sz w:val="22"/>
          <w:szCs w:val="22"/>
        </w:rPr>
        <w:t xml:space="preserve"> que los Servicios tengan una duración total de 6 meses calendario.</w:t>
      </w:r>
    </w:p>
    <w:p w14:paraId="02E7532C" w14:textId="7F6E7DD8" w:rsidR="00C77D35" w:rsidRPr="00901876" w:rsidRDefault="00C77D35" w:rsidP="08202347">
      <w:pPr>
        <w:suppressAutoHyphens/>
        <w:jc w:val="both"/>
        <w:rPr>
          <w:rFonts w:asciiTheme="minorHAnsi" w:hAnsiTheme="minorHAnsi" w:cstheme="minorHAnsi"/>
          <w:color w:val="auto"/>
          <w:sz w:val="22"/>
          <w:szCs w:val="22"/>
        </w:rPr>
      </w:pPr>
    </w:p>
    <w:p w14:paraId="35803BFB" w14:textId="19C9FCB7" w:rsidR="00D761FB" w:rsidRPr="00901876" w:rsidRDefault="08202347">
      <w:pPr>
        <w:jc w:val="both"/>
        <w:rPr>
          <w:rFonts w:asciiTheme="minorHAnsi" w:hAnsiTheme="minorHAnsi" w:cstheme="minorHAnsi"/>
          <w:color w:val="auto"/>
          <w:sz w:val="22"/>
          <w:szCs w:val="22"/>
        </w:rPr>
      </w:pPr>
      <w:r w:rsidRPr="00901876">
        <w:rPr>
          <w:rFonts w:asciiTheme="minorHAnsi" w:hAnsiTheme="minorHAnsi" w:cstheme="minorHAnsi"/>
          <w:color w:val="auto"/>
          <w:sz w:val="22"/>
          <w:szCs w:val="22"/>
        </w:rPr>
        <w:t xml:space="preserve">Las firmas consultoras elegibles serán seleccionados de acuerdo con los procedimientos establecidos en el Banco Interamericano de Desarrollo: </w:t>
      </w:r>
      <w:hyperlink r:id="rId16" w:history="1">
        <w:r w:rsidRPr="00901876">
          <w:rPr>
            <w:rStyle w:val="Hyperlink"/>
            <w:rFonts w:asciiTheme="minorHAnsi" w:hAnsiTheme="minorHAnsi" w:cstheme="minorHAnsi"/>
            <w:color w:val="auto"/>
            <w:sz w:val="22"/>
            <w:szCs w:val="22"/>
          </w:rPr>
          <w:t>Política para la Selección y Contratación de Firmas Consultoras para el</w:t>
        </w:r>
        <w:r w:rsidR="0010799F">
          <w:rPr>
            <w:rStyle w:val="Hyperlink"/>
            <w:rFonts w:asciiTheme="minorHAnsi" w:hAnsiTheme="minorHAnsi" w:cstheme="minorHAnsi"/>
            <w:color w:val="auto"/>
            <w:sz w:val="22"/>
            <w:szCs w:val="22"/>
          </w:rPr>
          <w:t xml:space="preserve"> </w:t>
        </w:r>
        <w:r w:rsidRPr="00901876">
          <w:rPr>
            <w:rStyle w:val="Hyperlink"/>
            <w:rFonts w:asciiTheme="minorHAnsi" w:hAnsiTheme="minorHAnsi" w:cstheme="minorHAnsi"/>
            <w:color w:val="auto"/>
            <w:sz w:val="22"/>
            <w:szCs w:val="22"/>
          </w:rPr>
          <w:t>Trabajo Operativo ejecutado por el Banco - GN-2765-1</w:t>
        </w:r>
      </w:hyperlink>
      <w:r w:rsidR="00C90263" w:rsidRPr="00901876">
        <w:rPr>
          <w:rFonts w:asciiTheme="minorHAnsi" w:hAnsiTheme="minorHAnsi" w:cstheme="minorHAnsi"/>
          <w:color w:val="auto"/>
          <w:sz w:val="22"/>
          <w:szCs w:val="22"/>
        </w:rPr>
        <w:t xml:space="preserve">. </w:t>
      </w:r>
      <w:r w:rsidRPr="00901876">
        <w:rPr>
          <w:rFonts w:asciiTheme="minorHAnsi" w:hAnsiTheme="minorHAnsi" w:cstheme="minorHAnsi"/>
          <w:color w:val="auto"/>
          <w:sz w:val="22"/>
          <w:szCs w:val="22"/>
        </w:rPr>
        <w:t xml:space="preserve">Todas las firmas consultoras elegibles, según se define en la política, pueden manifestar su interés. </w:t>
      </w:r>
      <w:r w:rsidR="00C90263" w:rsidRPr="00901876">
        <w:rPr>
          <w:rFonts w:asciiTheme="minorHAnsi" w:hAnsiTheme="minorHAnsi" w:cstheme="minorHAnsi"/>
          <w:color w:val="auto"/>
          <w:sz w:val="22"/>
          <w:szCs w:val="22"/>
        </w:rPr>
        <w:t>Si la Firma consultora se presentara en Consorcio, designará a una de ellas como representante, y ésta será responsable de las comunicaciones, del registro en el portal y del envío de los documento</w:t>
      </w:r>
      <w:r w:rsidR="007001EE" w:rsidRPr="00901876">
        <w:rPr>
          <w:rFonts w:asciiTheme="minorHAnsi" w:hAnsiTheme="minorHAnsi" w:cstheme="minorHAnsi"/>
          <w:color w:val="auto"/>
          <w:sz w:val="22"/>
          <w:szCs w:val="22"/>
        </w:rPr>
        <w:t>s correspondientes.</w:t>
      </w:r>
    </w:p>
    <w:p w14:paraId="68B2066F" w14:textId="77777777" w:rsidR="007001EE" w:rsidRPr="00901876" w:rsidRDefault="007001EE">
      <w:pPr>
        <w:jc w:val="both"/>
        <w:rPr>
          <w:rFonts w:asciiTheme="minorHAnsi" w:hAnsiTheme="minorHAnsi" w:cstheme="minorHAnsi"/>
          <w:color w:val="auto"/>
          <w:sz w:val="22"/>
          <w:szCs w:val="22"/>
        </w:rPr>
      </w:pPr>
    </w:p>
    <w:p w14:paraId="61707059" w14:textId="7766A351" w:rsidR="00D761FB" w:rsidRPr="00901876" w:rsidRDefault="08202347" w:rsidP="08202347">
      <w:pPr>
        <w:jc w:val="both"/>
        <w:rPr>
          <w:rFonts w:asciiTheme="minorHAnsi" w:hAnsiTheme="minorHAnsi" w:cstheme="minorHAnsi"/>
          <w:color w:val="auto"/>
          <w:sz w:val="22"/>
          <w:szCs w:val="22"/>
        </w:rPr>
      </w:pPr>
      <w:r w:rsidRPr="00901876">
        <w:rPr>
          <w:rFonts w:asciiTheme="minorHAnsi" w:hAnsiTheme="minorHAnsi" w:cstheme="minorHAnsi"/>
          <w:color w:val="auto"/>
          <w:sz w:val="22"/>
          <w:szCs w:val="22"/>
        </w:rPr>
        <w:t>El BID invita ahora a las firmas consultoras elegibles a expresar su interés en prestar los servicios</w:t>
      </w:r>
      <w:r w:rsidR="00CE0491" w:rsidRPr="00901876">
        <w:rPr>
          <w:rFonts w:asciiTheme="minorHAnsi" w:hAnsiTheme="minorHAnsi" w:cstheme="minorHAnsi"/>
          <w:color w:val="auto"/>
          <w:sz w:val="22"/>
          <w:szCs w:val="22"/>
        </w:rPr>
        <w:t xml:space="preserve"> </w:t>
      </w:r>
      <w:r w:rsidR="005B434A" w:rsidRPr="00901876">
        <w:rPr>
          <w:rFonts w:asciiTheme="minorHAnsi" w:hAnsiTheme="minorHAnsi" w:cstheme="minorHAnsi"/>
          <w:color w:val="auto"/>
          <w:sz w:val="22"/>
          <w:szCs w:val="22"/>
        </w:rPr>
        <w:t>descritos</w:t>
      </w:r>
      <w:r w:rsidR="00CE0491" w:rsidRPr="00901876">
        <w:rPr>
          <w:rFonts w:asciiTheme="minorHAnsi" w:hAnsiTheme="minorHAnsi" w:cstheme="minorHAnsi"/>
          <w:color w:val="auto"/>
          <w:sz w:val="22"/>
          <w:szCs w:val="22"/>
        </w:rPr>
        <w:t xml:space="preserve"> </w:t>
      </w:r>
      <w:r w:rsidR="005B434A" w:rsidRPr="00901876">
        <w:rPr>
          <w:rFonts w:asciiTheme="minorHAnsi" w:hAnsiTheme="minorHAnsi" w:cstheme="minorHAnsi"/>
          <w:color w:val="auto"/>
          <w:sz w:val="22"/>
          <w:szCs w:val="22"/>
        </w:rPr>
        <w:t>a continuación</w:t>
      </w:r>
      <w:r w:rsidR="00CE0491" w:rsidRPr="00901876">
        <w:rPr>
          <w:rFonts w:asciiTheme="minorHAnsi" w:hAnsiTheme="minorHAnsi" w:cstheme="minorHAnsi"/>
          <w:color w:val="auto"/>
          <w:sz w:val="22"/>
          <w:szCs w:val="22"/>
        </w:rPr>
        <w:t xml:space="preserve"> </w:t>
      </w:r>
      <w:r w:rsidR="005B434A" w:rsidRPr="00901876">
        <w:rPr>
          <w:rFonts w:asciiTheme="minorHAnsi" w:hAnsiTheme="minorHAnsi" w:cstheme="minorHAnsi"/>
          <w:color w:val="auto"/>
          <w:sz w:val="22"/>
          <w:szCs w:val="22"/>
        </w:rPr>
        <w:t xml:space="preserve">donde </w:t>
      </w:r>
      <w:r w:rsidR="00CE0491" w:rsidRPr="00901876">
        <w:rPr>
          <w:rFonts w:asciiTheme="minorHAnsi" w:hAnsiTheme="minorHAnsi" w:cstheme="minorHAnsi"/>
          <w:color w:val="auto"/>
          <w:sz w:val="22"/>
          <w:szCs w:val="22"/>
        </w:rPr>
        <w:t xml:space="preserve">se presenta un </w:t>
      </w:r>
      <w:r w:rsidR="00CE0491" w:rsidRPr="00901876">
        <w:rPr>
          <w:rFonts w:asciiTheme="minorHAnsi" w:hAnsiTheme="minorHAnsi" w:cstheme="minorHAnsi"/>
          <w:color w:val="auto"/>
          <w:sz w:val="22"/>
          <w:szCs w:val="22"/>
          <w:u w:val="single"/>
        </w:rPr>
        <w:t>borrador del resumen de los Términos de Referencia</w:t>
      </w:r>
      <w:r w:rsidR="005B434A" w:rsidRPr="00901876">
        <w:rPr>
          <w:rFonts w:asciiTheme="minorHAnsi" w:hAnsiTheme="minorHAnsi" w:cstheme="minorHAnsi"/>
          <w:color w:val="auto"/>
          <w:sz w:val="22"/>
          <w:szCs w:val="22"/>
        </w:rPr>
        <w:t xml:space="preserve"> de esta asignación</w:t>
      </w:r>
      <w:r w:rsidR="00520DB1">
        <w:rPr>
          <w:rFonts w:asciiTheme="minorHAnsi" w:hAnsiTheme="minorHAnsi" w:cstheme="minorHAnsi"/>
          <w:color w:val="auto"/>
          <w:sz w:val="22"/>
          <w:szCs w:val="22"/>
        </w:rPr>
        <w:t xml:space="preserve"> (Anexo 1 de este documento)</w:t>
      </w:r>
      <w:r w:rsidRPr="00901876">
        <w:rPr>
          <w:rFonts w:asciiTheme="minorHAnsi" w:hAnsiTheme="minorHAnsi" w:cstheme="minorHAnsi"/>
          <w:color w:val="auto"/>
          <w:sz w:val="22"/>
          <w:szCs w:val="22"/>
        </w:rPr>
        <w:t>. Las f</w:t>
      </w:r>
      <w:r w:rsidR="00C90263" w:rsidRPr="00901876">
        <w:rPr>
          <w:rFonts w:asciiTheme="minorHAnsi" w:hAnsiTheme="minorHAnsi" w:cstheme="minorHAnsi"/>
          <w:color w:val="auto"/>
          <w:sz w:val="22"/>
          <w:szCs w:val="22"/>
        </w:rPr>
        <w:t xml:space="preserve">irmas consultoras interesadas </w:t>
      </w:r>
      <w:r w:rsidRPr="00901876">
        <w:rPr>
          <w:rFonts w:asciiTheme="minorHAnsi" w:hAnsiTheme="minorHAnsi" w:cstheme="minorHAnsi"/>
          <w:color w:val="auto"/>
          <w:sz w:val="22"/>
          <w:szCs w:val="22"/>
        </w:rPr>
        <w:t>deberán proporcionar información que indique que están cualificadas para suministrar los servicios (folletos, descripción de trabajos similares, experiencia en condiciones similares, disponibilidad de personal que tenga los conocimientos pertinentes, etc.). Las firmas consultoras elegibles se pueden asociar como un emprendimiento conjunto o en un acuerdo de sub-consultoría para mejorar sus calificaciones. Dicha asociación o emprendimiento conjunto nombrará a una de las firmas como representante.</w:t>
      </w:r>
    </w:p>
    <w:p w14:paraId="62F95FFB" w14:textId="77777777" w:rsidR="00D761FB" w:rsidRPr="00901876" w:rsidRDefault="00D761FB">
      <w:pPr>
        <w:jc w:val="both"/>
        <w:rPr>
          <w:rFonts w:asciiTheme="minorHAnsi" w:hAnsiTheme="minorHAnsi" w:cstheme="minorHAnsi"/>
          <w:smallCaps/>
          <w:color w:val="auto"/>
          <w:sz w:val="22"/>
          <w:szCs w:val="22"/>
        </w:rPr>
      </w:pPr>
    </w:p>
    <w:p w14:paraId="70D0EF38" w14:textId="295A59CF" w:rsidR="00D761FB" w:rsidRPr="00901876" w:rsidRDefault="08202347" w:rsidP="08202347">
      <w:pPr>
        <w:jc w:val="both"/>
        <w:rPr>
          <w:rFonts w:asciiTheme="minorHAnsi" w:hAnsiTheme="minorHAnsi" w:cstheme="minorHAnsi"/>
          <w:color w:val="auto"/>
          <w:sz w:val="22"/>
          <w:szCs w:val="22"/>
        </w:rPr>
      </w:pPr>
      <w:r w:rsidRPr="00901876">
        <w:rPr>
          <w:rFonts w:asciiTheme="minorHAnsi" w:hAnsiTheme="minorHAnsi" w:cstheme="minorHAnsi"/>
          <w:color w:val="auto"/>
          <w:sz w:val="22"/>
          <w:szCs w:val="22"/>
        </w:rPr>
        <w:t>Las firmas consultoras el</w:t>
      </w:r>
      <w:r w:rsidR="007001EE" w:rsidRPr="00901876">
        <w:rPr>
          <w:rFonts w:asciiTheme="minorHAnsi" w:hAnsiTheme="minorHAnsi" w:cstheme="minorHAnsi"/>
          <w:color w:val="auto"/>
          <w:sz w:val="22"/>
          <w:szCs w:val="22"/>
        </w:rPr>
        <w:t xml:space="preserve">egibles que estén interesadas </w:t>
      </w:r>
      <w:r w:rsidRPr="00901876">
        <w:rPr>
          <w:rFonts w:asciiTheme="minorHAnsi" w:hAnsiTheme="minorHAnsi" w:cstheme="minorHAnsi"/>
          <w:color w:val="auto"/>
          <w:sz w:val="22"/>
          <w:szCs w:val="22"/>
        </w:rPr>
        <w:t xml:space="preserve">podrán obtener información adicional en horario de oficina, 09:00 a.m. - 5:00 PM (Hora de Washington DC), mediante el envío de un correo electrónico a: </w:t>
      </w:r>
      <w:r w:rsidR="0010799F">
        <w:rPr>
          <w:rFonts w:asciiTheme="minorHAnsi" w:hAnsiTheme="minorHAnsi" w:cstheme="minorHAnsi"/>
          <w:i/>
          <w:iCs/>
          <w:color w:val="auto"/>
          <w:sz w:val="22"/>
          <w:szCs w:val="22"/>
        </w:rPr>
        <w:t>Marco Antonio Cevallos</w:t>
      </w:r>
      <w:r w:rsidR="00966DA5" w:rsidRPr="00901876">
        <w:rPr>
          <w:rFonts w:asciiTheme="minorHAnsi" w:hAnsiTheme="minorHAnsi" w:cstheme="minorHAnsi"/>
          <w:i/>
          <w:iCs/>
          <w:color w:val="auto"/>
          <w:sz w:val="22"/>
          <w:szCs w:val="22"/>
        </w:rPr>
        <w:t xml:space="preserve"> (</w:t>
      </w:r>
      <w:hyperlink r:id="rId17" w:history="1">
        <w:r w:rsidR="0010799F" w:rsidRPr="00721CE7">
          <w:rPr>
            <w:rStyle w:val="Hyperlink"/>
            <w:rFonts w:asciiTheme="minorHAnsi" w:hAnsiTheme="minorHAnsi" w:cstheme="minorHAnsi"/>
            <w:i/>
            <w:iCs/>
            <w:sz w:val="22"/>
            <w:szCs w:val="22"/>
          </w:rPr>
          <w:t>marcoce@iadb.org</w:t>
        </w:r>
      </w:hyperlink>
      <w:r w:rsidR="00966DA5" w:rsidRPr="00901876">
        <w:rPr>
          <w:rFonts w:asciiTheme="minorHAnsi" w:hAnsiTheme="minorHAnsi" w:cstheme="minorHAnsi"/>
          <w:i/>
          <w:iCs/>
          <w:color w:val="auto"/>
          <w:sz w:val="22"/>
          <w:szCs w:val="22"/>
        </w:rPr>
        <w:t>).</w:t>
      </w:r>
    </w:p>
    <w:p w14:paraId="03405C6F" w14:textId="77777777" w:rsidR="00D761FB" w:rsidRPr="00901876" w:rsidRDefault="00D761FB">
      <w:pPr>
        <w:jc w:val="both"/>
        <w:rPr>
          <w:rFonts w:asciiTheme="minorHAnsi" w:hAnsiTheme="minorHAnsi" w:cstheme="minorHAnsi"/>
          <w:color w:val="auto"/>
          <w:sz w:val="22"/>
          <w:szCs w:val="22"/>
        </w:rPr>
      </w:pPr>
    </w:p>
    <w:p w14:paraId="200D8E06" w14:textId="19822C2D" w:rsidR="00D761FB" w:rsidRPr="00901876" w:rsidRDefault="00D761FB">
      <w:pPr>
        <w:jc w:val="both"/>
        <w:rPr>
          <w:rFonts w:asciiTheme="minorHAnsi" w:hAnsiTheme="minorHAnsi" w:cstheme="minorHAnsi"/>
          <w:color w:val="auto"/>
          <w:sz w:val="22"/>
          <w:szCs w:val="22"/>
        </w:rPr>
      </w:pPr>
    </w:p>
    <w:p w14:paraId="4B527D25" w14:textId="77777777" w:rsidR="00D761FB" w:rsidRPr="00901876" w:rsidRDefault="08202347" w:rsidP="08202347">
      <w:pPr>
        <w:jc w:val="both"/>
        <w:rPr>
          <w:rFonts w:asciiTheme="minorHAnsi" w:hAnsiTheme="minorHAnsi" w:cstheme="minorHAnsi"/>
          <w:color w:val="auto"/>
          <w:sz w:val="22"/>
          <w:szCs w:val="22"/>
        </w:rPr>
      </w:pPr>
      <w:r w:rsidRPr="00901876">
        <w:rPr>
          <w:rFonts w:asciiTheme="minorHAnsi" w:hAnsiTheme="minorHAnsi" w:cstheme="minorHAnsi"/>
          <w:color w:val="auto"/>
          <w:sz w:val="22"/>
          <w:szCs w:val="22"/>
        </w:rPr>
        <w:t>Banco Interamericano de Desarrollo</w:t>
      </w:r>
    </w:p>
    <w:p w14:paraId="5B03049A" w14:textId="64F7007E" w:rsidR="00D761FB" w:rsidRPr="00901876" w:rsidRDefault="00546C8D" w:rsidP="08202347">
      <w:pPr>
        <w:jc w:val="both"/>
        <w:rPr>
          <w:rFonts w:asciiTheme="minorHAnsi" w:hAnsiTheme="minorHAnsi" w:cstheme="minorHAnsi"/>
          <w:i/>
          <w:iCs/>
          <w:color w:val="auto"/>
          <w:sz w:val="22"/>
          <w:szCs w:val="22"/>
        </w:rPr>
      </w:pPr>
      <w:r w:rsidRPr="00901876">
        <w:rPr>
          <w:rFonts w:asciiTheme="minorHAnsi" w:hAnsiTheme="minorHAnsi" w:cstheme="minorHAnsi"/>
          <w:color w:val="auto"/>
          <w:sz w:val="22"/>
          <w:szCs w:val="22"/>
        </w:rPr>
        <w:t xml:space="preserve">División: </w:t>
      </w:r>
      <w:r w:rsidR="00966DA5" w:rsidRPr="00901876">
        <w:rPr>
          <w:rFonts w:asciiTheme="minorHAnsi" w:hAnsiTheme="minorHAnsi" w:cstheme="minorHAnsi"/>
          <w:i/>
          <w:iCs/>
          <w:color w:val="auto"/>
          <w:sz w:val="22"/>
          <w:szCs w:val="22"/>
        </w:rPr>
        <w:t>Agua y Saneamiento</w:t>
      </w:r>
    </w:p>
    <w:p w14:paraId="3A83DC3F" w14:textId="765B37DE" w:rsidR="00D761FB" w:rsidRPr="00901876" w:rsidRDefault="08202347" w:rsidP="08202347">
      <w:pPr>
        <w:jc w:val="both"/>
        <w:rPr>
          <w:rFonts w:asciiTheme="minorHAnsi" w:hAnsiTheme="minorHAnsi" w:cstheme="minorHAnsi"/>
          <w:color w:val="auto"/>
          <w:sz w:val="22"/>
          <w:szCs w:val="22"/>
        </w:rPr>
      </w:pPr>
      <w:r w:rsidRPr="00901876">
        <w:rPr>
          <w:rFonts w:asciiTheme="minorHAnsi" w:hAnsiTheme="minorHAnsi" w:cstheme="minorHAnsi"/>
          <w:color w:val="auto"/>
          <w:sz w:val="22"/>
          <w:szCs w:val="22"/>
        </w:rPr>
        <w:t>Atención:</w:t>
      </w:r>
      <w:r w:rsidRPr="00901876">
        <w:rPr>
          <w:rFonts w:asciiTheme="minorHAnsi" w:hAnsiTheme="minorHAnsi" w:cstheme="minorHAnsi"/>
          <w:i/>
          <w:iCs/>
          <w:color w:val="auto"/>
          <w:sz w:val="22"/>
          <w:szCs w:val="22"/>
        </w:rPr>
        <w:t xml:space="preserve"> </w:t>
      </w:r>
      <w:r w:rsidR="0010799F">
        <w:rPr>
          <w:rFonts w:asciiTheme="minorHAnsi" w:hAnsiTheme="minorHAnsi" w:cstheme="minorHAnsi"/>
          <w:i/>
          <w:iCs/>
          <w:color w:val="auto"/>
          <w:sz w:val="22"/>
          <w:szCs w:val="22"/>
        </w:rPr>
        <w:t>Marco Antonio Cevallos</w:t>
      </w:r>
    </w:p>
    <w:p w14:paraId="6C3797D2" w14:textId="08B770BD" w:rsidR="00D761FB" w:rsidRPr="00901876" w:rsidRDefault="00D761FB">
      <w:pPr>
        <w:jc w:val="both"/>
        <w:rPr>
          <w:rFonts w:asciiTheme="minorHAnsi" w:hAnsiTheme="minorHAnsi" w:cstheme="minorHAnsi"/>
          <w:color w:val="auto"/>
          <w:sz w:val="22"/>
          <w:szCs w:val="22"/>
        </w:rPr>
      </w:pPr>
    </w:p>
    <w:p w14:paraId="7A3B9024" w14:textId="77777777" w:rsidR="00D761FB" w:rsidRPr="0010799F" w:rsidRDefault="08202347" w:rsidP="08202347">
      <w:pPr>
        <w:jc w:val="both"/>
        <w:rPr>
          <w:rFonts w:asciiTheme="minorHAnsi" w:hAnsiTheme="minorHAnsi" w:cstheme="minorHAnsi"/>
          <w:color w:val="auto"/>
          <w:sz w:val="22"/>
          <w:szCs w:val="22"/>
          <w:lang w:val="en-US"/>
        </w:rPr>
      </w:pPr>
      <w:r w:rsidRPr="0010799F">
        <w:rPr>
          <w:rFonts w:asciiTheme="minorHAnsi" w:hAnsiTheme="minorHAnsi" w:cstheme="minorHAnsi"/>
          <w:color w:val="auto"/>
          <w:sz w:val="22"/>
          <w:szCs w:val="22"/>
          <w:lang w:val="en-US"/>
        </w:rPr>
        <w:t>1300 New York Avenue, NW, Washington, DC 20577, EE.UU.</w:t>
      </w:r>
    </w:p>
    <w:p w14:paraId="6BF90EBF" w14:textId="057CC077" w:rsidR="00D761FB" w:rsidRPr="0010799F" w:rsidRDefault="08202347" w:rsidP="08202347">
      <w:pPr>
        <w:suppressAutoHyphens/>
        <w:rPr>
          <w:rFonts w:asciiTheme="minorHAnsi" w:hAnsiTheme="minorHAnsi" w:cstheme="minorHAnsi"/>
          <w:i/>
          <w:iCs/>
          <w:color w:val="auto"/>
          <w:sz w:val="22"/>
          <w:szCs w:val="22"/>
          <w:lang w:val="en-US"/>
        </w:rPr>
      </w:pPr>
      <w:r w:rsidRPr="0010799F">
        <w:rPr>
          <w:rFonts w:asciiTheme="minorHAnsi" w:hAnsiTheme="minorHAnsi" w:cstheme="minorHAnsi"/>
          <w:color w:val="auto"/>
          <w:sz w:val="22"/>
          <w:szCs w:val="22"/>
          <w:lang w:val="en-US"/>
        </w:rPr>
        <w:t xml:space="preserve">Tel: </w:t>
      </w:r>
      <w:r w:rsidR="00966DA5" w:rsidRPr="0010799F">
        <w:rPr>
          <w:rFonts w:asciiTheme="minorHAnsi" w:hAnsiTheme="minorHAnsi" w:cstheme="minorHAnsi"/>
          <w:i/>
          <w:iCs/>
          <w:color w:val="auto"/>
          <w:sz w:val="22"/>
          <w:szCs w:val="22"/>
          <w:lang w:val="en-US"/>
        </w:rPr>
        <w:t>+507 206-0928</w:t>
      </w:r>
    </w:p>
    <w:p w14:paraId="292E1F53" w14:textId="033E58C0" w:rsidR="00D761FB" w:rsidRPr="0010799F" w:rsidRDefault="08202347" w:rsidP="08202347">
      <w:pPr>
        <w:suppressAutoHyphens/>
        <w:rPr>
          <w:rFonts w:asciiTheme="minorHAnsi" w:hAnsiTheme="minorHAnsi" w:cstheme="minorHAnsi"/>
          <w:color w:val="auto"/>
          <w:sz w:val="22"/>
          <w:szCs w:val="22"/>
          <w:lang w:val="en-US"/>
        </w:rPr>
      </w:pPr>
      <w:r w:rsidRPr="0010799F">
        <w:rPr>
          <w:rFonts w:asciiTheme="minorHAnsi" w:hAnsiTheme="minorHAnsi" w:cstheme="minorHAnsi"/>
          <w:color w:val="auto"/>
          <w:sz w:val="22"/>
          <w:szCs w:val="22"/>
          <w:lang w:val="en-US"/>
        </w:rPr>
        <w:t>Fax:</w:t>
      </w:r>
      <w:r w:rsidR="00966DA5" w:rsidRPr="0010799F">
        <w:rPr>
          <w:rFonts w:asciiTheme="minorHAnsi" w:hAnsiTheme="minorHAnsi" w:cstheme="minorHAnsi"/>
          <w:color w:val="auto"/>
          <w:sz w:val="22"/>
          <w:szCs w:val="22"/>
          <w:lang w:val="en-US"/>
        </w:rPr>
        <w:t xml:space="preserve"> </w:t>
      </w:r>
      <w:r w:rsidR="00966DA5" w:rsidRPr="0010799F">
        <w:rPr>
          <w:rFonts w:asciiTheme="minorHAnsi" w:hAnsiTheme="minorHAnsi" w:cstheme="minorHAnsi"/>
          <w:i/>
          <w:iCs/>
          <w:color w:val="auto"/>
          <w:sz w:val="22"/>
          <w:szCs w:val="22"/>
          <w:lang w:val="en-US"/>
        </w:rPr>
        <w:t>+507 206-0999</w:t>
      </w:r>
    </w:p>
    <w:p w14:paraId="06942085" w14:textId="330B4E50" w:rsidR="00520DB1" w:rsidRPr="00520DB1" w:rsidRDefault="08202347" w:rsidP="08202347">
      <w:pPr>
        <w:suppressAutoHyphens/>
        <w:jc w:val="both"/>
        <w:rPr>
          <w:rFonts w:asciiTheme="minorHAnsi" w:hAnsiTheme="minorHAnsi" w:cstheme="minorHAnsi"/>
          <w:i/>
          <w:iCs/>
          <w:color w:val="auto"/>
          <w:sz w:val="22"/>
          <w:szCs w:val="22"/>
          <w:lang w:val="en-US"/>
        </w:rPr>
      </w:pPr>
      <w:r w:rsidRPr="0010799F">
        <w:rPr>
          <w:rFonts w:asciiTheme="minorHAnsi" w:hAnsiTheme="minorHAnsi" w:cstheme="minorHAnsi"/>
          <w:color w:val="auto"/>
          <w:sz w:val="22"/>
          <w:szCs w:val="22"/>
          <w:lang w:val="en-US"/>
        </w:rPr>
        <w:t xml:space="preserve">Email: </w:t>
      </w:r>
      <w:hyperlink r:id="rId18" w:history="1">
        <w:r w:rsidR="00520DB1" w:rsidRPr="00721CE7">
          <w:rPr>
            <w:rStyle w:val="Hyperlink"/>
            <w:rFonts w:asciiTheme="minorHAnsi" w:hAnsiTheme="minorHAnsi" w:cstheme="minorHAnsi"/>
            <w:i/>
            <w:iCs/>
            <w:sz w:val="22"/>
            <w:szCs w:val="22"/>
            <w:lang w:val="en-US"/>
          </w:rPr>
          <w:t>marcoce@iadb.org</w:t>
        </w:r>
      </w:hyperlink>
      <w:r w:rsidR="00520DB1">
        <w:rPr>
          <w:rFonts w:asciiTheme="minorHAnsi" w:hAnsiTheme="minorHAnsi" w:cstheme="minorHAnsi"/>
          <w:i/>
          <w:iCs/>
          <w:color w:val="auto"/>
          <w:sz w:val="22"/>
          <w:szCs w:val="22"/>
          <w:lang w:val="en-US"/>
        </w:rPr>
        <w:t xml:space="preserve"> </w:t>
      </w:r>
    </w:p>
    <w:p w14:paraId="6B9A2A55" w14:textId="5A7EFBBB" w:rsidR="00D761FB" w:rsidRPr="00520DB1" w:rsidRDefault="08202347" w:rsidP="08202347">
      <w:pPr>
        <w:jc w:val="both"/>
        <w:rPr>
          <w:rFonts w:asciiTheme="minorHAnsi" w:hAnsiTheme="minorHAnsi" w:cstheme="minorHAnsi"/>
          <w:color w:val="auto"/>
          <w:sz w:val="22"/>
          <w:szCs w:val="22"/>
          <w:lang w:val="en-US"/>
        </w:rPr>
      </w:pPr>
      <w:r w:rsidRPr="00520DB1">
        <w:rPr>
          <w:rFonts w:asciiTheme="minorHAnsi" w:hAnsiTheme="minorHAnsi" w:cstheme="minorHAnsi"/>
          <w:color w:val="auto"/>
          <w:sz w:val="22"/>
          <w:szCs w:val="22"/>
          <w:lang w:val="en-US"/>
        </w:rPr>
        <w:t xml:space="preserve">Sitio Web: </w:t>
      </w:r>
      <w:hyperlink r:id="rId19">
        <w:r w:rsidRPr="00520DB1">
          <w:rPr>
            <w:rStyle w:val="Hyperlink"/>
            <w:rFonts w:asciiTheme="minorHAnsi" w:hAnsiTheme="minorHAnsi" w:cstheme="minorHAnsi"/>
            <w:color w:val="auto"/>
            <w:sz w:val="22"/>
            <w:szCs w:val="22"/>
            <w:lang w:val="en-US"/>
          </w:rPr>
          <w:t>www.iadb.org</w:t>
        </w:r>
      </w:hyperlink>
      <w:r w:rsidRPr="00520DB1">
        <w:rPr>
          <w:rFonts w:asciiTheme="minorHAnsi" w:hAnsiTheme="minorHAnsi" w:cstheme="minorHAnsi"/>
          <w:color w:val="auto"/>
          <w:sz w:val="22"/>
          <w:szCs w:val="22"/>
          <w:lang w:val="en-US"/>
        </w:rPr>
        <w:t xml:space="preserve"> </w:t>
      </w:r>
    </w:p>
    <w:p w14:paraId="548C12AB" w14:textId="1CB50CE1" w:rsidR="00CE0491" w:rsidRPr="00520DB1" w:rsidRDefault="00CE0491" w:rsidP="08202347">
      <w:pPr>
        <w:jc w:val="both"/>
        <w:rPr>
          <w:rFonts w:asciiTheme="minorHAnsi" w:hAnsiTheme="minorHAnsi" w:cstheme="minorHAnsi"/>
          <w:color w:val="auto"/>
          <w:sz w:val="22"/>
          <w:szCs w:val="22"/>
          <w:lang w:val="en-US"/>
        </w:rPr>
      </w:pPr>
    </w:p>
    <w:p w14:paraId="68BBD6A6" w14:textId="09268004" w:rsidR="00CE0491" w:rsidRPr="00520DB1" w:rsidRDefault="00CE0491" w:rsidP="08202347">
      <w:pPr>
        <w:jc w:val="both"/>
        <w:rPr>
          <w:rFonts w:asciiTheme="minorHAnsi" w:hAnsiTheme="minorHAnsi" w:cstheme="minorHAnsi"/>
          <w:color w:val="auto"/>
          <w:sz w:val="22"/>
          <w:szCs w:val="22"/>
          <w:lang w:val="en-US"/>
        </w:rPr>
      </w:pPr>
    </w:p>
    <w:p w14:paraId="2509C789" w14:textId="7C2930CB" w:rsidR="00901876" w:rsidRPr="00520DB1" w:rsidRDefault="00901876">
      <w:pPr>
        <w:widowControl/>
        <w:autoSpaceDE/>
        <w:autoSpaceDN/>
        <w:adjustRightInd/>
        <w:spacing w:after="200" w:line="276" w:lineRule="auto"/>
        <w:rPr>
          <w:rFonts w:asciiTheme="minorHAnsi" w:hAnsiTheme="minorHAnsi" w:cstheme="minorHAnsi"/>
          <w:color w:val="auto"/>
          <w:sz w:val="22"/>
          <w:szCs w:val="22"/>
          <w:lang w:val="en-US"/>
        </w:rPr>
      </w:pPr>
      <w:r w:rsidRPr="00520DB1">
        <w:rPr>
          <w:rFonts w:asciiTheme="minorHAnsi" w:hAnsiTheme="minorHAnsi" w:cstheme="minorHAnsi"/>
          <w:color w:val="auto"/>
          <w:sz w:val="22"/>
          <w:szCs w:val="22"/>
          <w:lang w:val="en-US"/>
        </w:rPr>
        <w:br w:type="page"/>
      </w:r>
    </w:p>
    <w:p w14:paraId="3F9E14E3" w14:textId="2328AFBE" w:rsidR="00901876" w:rsidRDefault="00901876" w:rsidP="00901876">
      <w:pPr>
        <w:jc w:val="both"/>
        <w:rPr>
          <w:rFonts w:cstheme="minorHAnsi"/>
          <w:i/>
          <w:color w:val="0070C0"/>
        </w:rPr>
      </w:pPr>
      <w:r>
        <w:rPr>
          <w:i/>
          <w:color w:val="4F81BD" w:themeColor="accent1"/>
        </w:rPr>
        <w:lastRenderedPageBreak/>
        <w:t>Proceso de selección # PN-T12</w:t>
      </w:r>
      <w:r w:rsidR="0010799F">
        <w:rPr>
          <w:i/>
          <w:color w:val="4F81BD" w:themeColor="accent1"/>
        </w:rPr>
        <w:t>4</w:t>
      </w:r>
      <w:r>
        <w:rPr>
          <w:i/>
          <w:color w:val="4F81BD" w:themeColor="accent1"/>
        </w:rPr>
        <w:t>9-P002</w:t>
      </w:r>
      <w:sdt>
        <w:sdtPr>
          <w:id w:val="1237895371"/>
          <w:docPartObj>
            <w:docPartGallery w:val="Watermarks"/>
            <w:docPartUnique/>
          </w:docPartObj>
        </w:sdtPr>
        <w:sdtEndPr/>
        <w:sdtContent/>
      </w:sdt>
    </w:p>
    <w:p w14:paraId="2E942334" w14:textId="77777777" w:rsidR="00901876" w:rsidRDefault="00901876" w:rsidP="00901876">
      <w:pPr>
        <w:jc w:val="both"/>
        <w:rPr>
          <w:rFonts w:asciiTheme="minorHAnsi" w:hAnsiTheme="minorHAnsi"/>
          <w:b/>
          <w:sz w:val="22"/>
          <w:u w:val="single"/>
        </w:rPr>
      </w:pPr>
    </w:p>
    <w:p w14:paraId="3A8B51E2" w14:textId="77777777" w:rsidR="00901876" w:rsidRDefault="00901876" w:rsidP="00901876">
      <w:pPr>
        <w:pStyle w:val="Heading1"/>
        <w:jc w:val="center"/>
        <w:rPr>
          <w:rFonts w:asciiTheme="minorHAnsi" w:hAnsiTheme="minorHAnsi"/>
          <w:sz w:val="22"/>
          <w:u w:val="single"/>
        </w:rPr>
      </w:pPr>
      <w:r>
        <w:rPr>
          <w:rFonts w:asciiTheme="minorHAnsi" w:hAnsiTheme="minorHAnsi"/>
          <w:sz w:val="22"/>
          <w:u w:val="single"/>
        </w:rPr>
        <w:t>ANEXO 1</w:t>
      </w:r>
    </w:p>
    <w:p w14:paraId="04175A76" w14:textId="6F0D4DFC" w:rsidR="00901876" w:rsidRDefault="00901876" w:rsidP="00901876">
      <w:pPr>
        <w:pStyle w:val="Heading1"/>
        <w:jc w:val="center"/>
        <w:rPr>
          <w:rFonts w:asciiTheme="minorHAnsi" w:hAnsiTheme="minorHAnsi"/>
          <w:b w:val="0"/>
          <w:sz w:val="22"/>
          <w:u w:val="single"/>
        </w:rPr>
      </w:pPr>
      <w:r>
        <w:rPr>
          <w:rFonts w:asciiTheme="minorHAnsi" w:hAnsiTheme="minorHAnsi"/>
          <w:sz w:val="22"/>
          <w:u w:val="single"/>
        </w:rPr>
        <w:t xml:space="preserve">BORRADOR DE </w:t>
      </w:r>
      <w:r w:rsidRPr="00397040">
        <w:rPr>
          <w:rFonts w:asciiTheme="minorHAnsi" w:hAnsiTheme="minorHAnsi"/>
          <w:sz w:val="22"/>
          <w:u w:val="single"/>
        </w:rPr>
        <w:t>TÉRMINOS DE REFERENCIA</w:t>
      </w:r>
    </w:p>
    <w:p w14:paraId="0EF608CF" w14:textId="77777777" w:rsidR="00901876" w:rsidRDefault="00901876" w:rsidP="00901876">
      <w:pPr>
        <w:jc w:val="both"/>
        <w:rPr>
          <w:rFonts w:cstheme="minorHAnsi"/>
          <w:i/>
          <w:color w:val="0070C0"/>
        </w:rPr>
      </w:pPr>
    </w:p>
    <w:p w14:paraId="0FBC998F" w14:textId="77777777" w:rsidR="00901876" w:rsidRPr="00E12199" w:rsidRDefault="00901876" w:rsidP="00901876">
      <w:pPr>
        <w:jc w:val="center"/>
        <w:rPr>
          <w:rFonts w:cstheme="minorHAnsi"/>
          <w:i/>
          <w:caps/>
          <w:color w:val="0070C0"/>
        </w:rPr>
      </w:pPr>
      <w:r w:rsidRPr="00E12199">
        <w:rPr>
          <w:rFonts w:cstheme="minorHAnsi"/>
          <w:i/>
          <w:caps/>
          <w:color w:val="0070C0"/>
        </w:rPr>
        <w:t xml:space="preserve">Consultoría Técnica de Evaluación y Actualización de los Estudios Hidrológicos e Hidráulicos Relacionados con las Obras de Mitigación de Inundaciones en la Cuenca del Río Juan Díaz </w:t>
      </w:r>
    </w:p>
    <w:p w14:paraId="515BCACE" w14:textId="77777777" w:rsidR="00901876" w:rsidRPr="00397040" w:rsidRDefault="00901876" w:rsidP="00901876">
      <w:pPr>
        <w:jc w:val="center"/>
        <w:rPr>
          <w:rFonts w:cstheme="minorHAnsi"/>
          <w:i/>
          <w:color w:val="0070C0"/>
        </w:rPr>
      </w:pPr>
    </w:p>
    <w:p w14:paraId="49802218" w14:textId="77777777" w:rsidR="00901876" w:rsidRPr="00E12199" w:rsidRDefault="00901876" w:rsidP="00901876">
      <w:pPr>
        <w:suppressAutoHyphens/>
        <w:rPr>
          <w:rFonts w:asciiTheme="minorHAnsi" w:hAnsiTheme="minorHAnsi" w:cstheme="minorHAnsi"/>
          <w:color w:val="0070C0"/>
          <w:lang w:val="fr-FR"/>
        </w:rPr>
      </w:pPr>
      <w:r w:rsidRPr="00E12199">
        <w:rPr>
          <w:rFonts w:asciiTheme="minorHAnsi" w:hAnsiTheme="minorHAnsi" w:cstheme="minorHAnsi"/>
          <w:i/>
          <w:color w:val="0070C0"/>
          <w:lang w:val="fr-FR"/>
        </w:rPr>
        <w:t>Panamá</w:t>
      </w:r>
    </w:p>
    <w:p w14:paraId="53A8C3B7" w14:textId="21624546" w:rsidR="00901876" w:rsidRDefault="00901876" w:rsidP="00901876">
      <w:pPr>
        <w:jc w:val="both"/>
        <w:rPr>
          <w:rFonts w:asciiTheme="minorHAnsi" w:hAnsiTheme="minorHAnsi" w:cstheme="minorHAnsi"/>
          <w:i/>
          <w:color w:val="0070C0"/>
          <w:lang w:val="es-ES"/>
        </w:rPr>
      </w:pPr>
      <w:r w:rsidRPr="0035624C">
        <w:rPr>
          <w:rFonts w:asciiTheme="minorHAnsi" w:hAnsiTheme="minorHAnsi" w:cstheme="minorHAnsi"/>
          <w:i/>
          <w:color w:val="0070C0"/>
          <w:lang w:val="es-ES"/>
        </w:rPr>
        <w:t>P</w:t>
      </w:r>
      <w:r>
        <w:rPr>
          <w:rFonts w:asciiTheme="minorHAnsi" w:hAnsiTheme="minorHAnsi" w:cstheme="minorHAnsi"/>
          <w:i/>
          <w:color w:val="0070C0"/>
          <w:lang w:val="es-ES"/>
        </w:rPr>
        <w:t>N-T12</w:t>
      </w:r>
      <w:r w:rsidR="0010799F">
        <w:rPr>
          <w:rFonts w:asciiTheme="minorHAnsi" w:hAnsiTheme="minorHAnsi" w:cstheme="minorHAnsi"/>
          <w:i/>
          <w:color w:val="0070C0"/>
          <w:lang w:val="es-ES"/>
        </w:rPr>
        <w:t>4</w:t>
      </w:r>
      <w:r>
        <w:rPr>
          <w:rFonts w:asciiTheme="minorHAnsi" w:hAnsiTheme="minorHAnsi" w:cstheme="minorHAnsi"/>
          <w:i/>
          <w:color w:val="0070C0"/>
          <w:lang w:val="es-ES"/>
        </w:rPr>
        <w:t>9</w:t>
      </w:r>
    </w:p>
    <w:p w14:paraId="0C692AE3" w14:textId="29C3B32A" w:rsidR="00901876" w:rsidRPr="00AF5B22" w:rsidRDefault="0010799F" w:rsidP="00901876">
      <w:pPr>
        <w:jc w:val="both"/>
        <w:rPr>
          <w:rFonts w:asciiTheme="minorHAnsi" w:hAnsiTheme="minorHAnsi" w:cstheme="minorHAnsi"/>
          <w:i/>
          <w:color w:val="0070C0"/>
          <w:lang w:val="es-PA"/>
        </w:rPr>
      </w:pPr>
      <w:hyperlink r:id="rId20" w:history="1">
        <w:r>
          <w:rPr>
            <w:rStyle w:val="Hyperlink"/>
          </w:rPr>
          <w:t>Documento de CT - Divulgación_57339.pdf | IADB</w:t>
        </w:r>
      </w:hyperlink>
    </w:p>
    <w:p w14:paraId="399EED0E" w14:textId="72214520" w:rsidR="00901876" w:rsidRDefault="008264E2" w:rsidP="00901876">
      <w:pPr>
        <w:rPr>
          <w:rFonts w:asciiTheme="minorHAnsi" w:hAnsiTheme="minorHAnsi" w:cstheme="minorHAnsi"/>
          <w:i/>
          <w:color w:val="0070C0"/>
          <w:lang w:val="es-ES_tradnl"/>
        </w:rPr>
      </w:pPr>
      <w:r w:rsidRPr="008264E2">
        <w:rPr>
          <w:rFonts w:asciiTheme="minorHAnsi" w:hAnsiTheme="minorHAnsi" w:cstheme="minorHAnsi"/>
          <w:i/>
          <w:color w:val="0070C0"/>
          <w:lang w:val="es-ES_tradnl"/>
        </w:rPr>
        <w:t>Apoyo a las Reformas de los Sectores de Agua, Saneamiento y Energía</w:t>
      </w:r>
    </w:p>
    <w:p w14:paraId="0165C60E" w14:textId="77777777" w:rsidR="00C77840" w:rsidRPr="00142320" w:rsidRDefault="00C77840" w:rsidP="00901876">
      <w:pPr>
        <w:rPr>
          <w:rFonts w:asciiTheme="minorHAnsi" w:hAnsiTheme="minorHAnsi" w:cstheme="minorHAnsi"/>
          <w:i/>
          <w:color w:val="0070C0"/>
          <w:lang w:val="es-ES_tradnl"/>
        </w:rPr>
      </w:pPr>
    </w:p>
    <w:p w14:paraId="20F8FA78" w14:textId="77777777" w:rsidR="00901876" w:rsidRPr="00FA1433" w:rsidRDefault="00901876" w:rsidP="00901876">
      <w:pPr>
        <w:rPr>
          <w:rFonts w:asciiTheme="minorHAnsi" w:hAnsiTheme="minorHAnsi" w:cstheme="minorHAnsi"/>
          <w:i/>
          <w:color w:val="0070C0"/>
          <w:lang w:val="es-PA"/>
        </w:rPr>
      </w:pPr>
    </w:p>
    <w:p w14:paraId="0AAD92E8" w14:textId="77777777" w:rsidR="00901876" w:rsidRDefault="00901876" w:rsidP="00901876">
      <w:pPr>
        <w:numPr>
          <w:ilvl w:val="0"/>
          <w:numId w:val="2"/>
        </w:numPr>
        <w:autoSpaceDE/>
        <w:autoSpaceDN/>
        <w:adjustRightInd/>
        <w:contextualSpacing/>
        <w:rPr>
          <w:rFonts w:asciiTheme="minorHAnsi" w:eastAsiaTheme="minorHAnsi" w:hAnsiTheme="minorHAnsi"/>
          <w:b/>
          <w:sz w:val="22"/>
          <w:u w:val="single"/>
        </w:rPr>
      </w:pPr>
      <w:r>
        <w:rPr>
          <w:rFonts w:asciiTheme="minorHAnsi" w:eastAsiaTheme="minorHAnsi" w:hAnsiTheme="minorHAnsi"/>
          <w:b/>
          <w:sz w:val="22"/>
          <w:u w:val="single"/>
        </w:rPr>
        <w:t>Antecedentes y Justificación</w:t>
      </w:r>
    </w:p>
    <w:p w14:paraId="3FE9826F" w14:textId="77777777" w:rsidR="00901876" w:rsidRDefault="00901876" w:rsidP="00901876">
      <w:pPr>
        <w:ind w:left="792"/>
        <w:contextualSpacing/>
        <w:jc w:val="both"/>
        <w:rPr>
          <w:rFonts w:asciiTheme="minorHAnsi" w:eastAsiaTheme="minorHAnsi" w:hAnsiTheme="minorHAnsi"/>
          <w:sz w:val="22"/>
        </w:rPr>
      </w:pPr>
    </w:p>
    <w:p w14:paraId="7C3D9FFB" w14:textId="77777777" w:rsidR="00901876" w:rsidRPr="00D56101" w:rsidRDefault="00901876" w:rsidP="00901876">
      <w:pPr>
        <w:pStyle w:val="ListParagraph"/>
        <w:numPr>
          <w:ilvl w:val="1"/>
          <w:numId w:val="2"/>
        </w:numPr>
        <w:jc w:val="both"/>
        <w:rPr>
          <w:rFonts w:asciiTheme="minorHAnsi" w:eastAsiaTheme="minorHAnsi" w:hAnsiTheme="minorHAnsi"/>
          <w:sz w:val="22"/>
        </w:rPr>
      </w:pPr>
      <w:r w:rsidRPr="00D56101">
        <w:rPr>
          <w:rFonts w:asciiTheme="minorHAnsi" w:eastAsiaTheme="minorHAnsi" w:hAnsiTheme="minorHAnsi"/>
          <w:sz w:val="22"/>
        </w:rPr>
        <w:t>La Cuenca del Río Juan Díaz (CRJD) está ubicada en el corregimiento del mismo nombre y atraviesa los distritos de Panamá y San Miguelito. Cuenta con una superficie de 161,2 km2, y la longitud de su cauce principal es de 22,5 km, siendo una de las cuencas hidrográficas más grandes e importantes que atraviesan el Área Metropolitana de Panamá (AMP) en dirección norte-sur. El corregimiento de Juan Díaz cuenta con una población superior a los 100 mil habitantes.</w:t>
      </w:r>
    </w:p>
    <w:p w14:paraId="632F6135" w14:textId="77777777" w:rsidR="00901876" w:rsidRPr="0075425B" w:rsidRDefault="00901876" w:rsidP="00901876">
      <w:pPr>
        <w:pStyle w:val="ListParagraph"/>
        <w:numPr>
          <w:ilvl w:val="1"/>
          <w:numId w:val="2"/>
        </w:numPr>
        <w:jc w:val="both"/>
        <w:rPr>
          <w:rFonts w:asciiTheme="minorHAnsi" w:eastAsiaTheme="minorHAnsi" w:hAnsiTheme="minorHAnsi"/>
          <w:sz w:val="22"/>
        </w:rPr>
      </w:pPr>
      <w:r w:rsidRPr="0075425B">
        <w:rPr>
          <w:rFonts w:asciiTheme="minorHAnsi" w:eastAsiaTheme="minorHAnsi" w:hAnsiTheme="minorHAnsi"/>
          <w:sz w:val="22"/>
        </w:rPr>
        <w:t>El río Juan Díaz presenta dos zonas claramente diferenciadas a lo largo de su traza: una zona alta con varios afluentes y pendientes importantes y una baja, aguas abajo de la Av. Domingo Díaz, donde la pendiente se reduce drásticamente. En esta zona la influencia mareal se hace patente, habiéndose comprobado que las mareas más altas son capaces de alcanzar la urbanización Balmoral, situada aguas arriba de dicha avenida. La cuenca del Juan Díaz corresponde a la región pacífica caracterizada por abundantes lluvias de intensidades moderada a fuerte con una temporada de lluvias que comienza el mes de mayo y finaliza el mes de noviembre.</w:t>
      </w:r>
    </w:p>
    <w:p w14:paraId="2BB1265E" w14:textId="77777777" w:rsidR="00901876" w:rsidRPr="009D2734" w:rsidRDefault="00901876" w:rsidP="00901876">
      <w:pPr>
        <w:pStyle w:val="ListParagraph"/>
        <w:numPr>
          <w:ilvl w:val="1"/>
          <w:numId w:val="2"/>
        </w:numPr>
        <w:jc w:val="both"/>
        <w:rPr>
          <w:rFonts w:asciiTheme="minorHAnsi" w:eastAsiaTheme="minorHAnsi" w:hAnsiTheme="minorHAnsi"/>
          <w:sz w:val="22"/>
        </w:rPr>
      </w:pPr>
      <w:r w:rsidRPr="009D2734">
        <w:rPr>
          <w:rFonts w:asciiTheme="minorHAnsi" w:eastAsiaTheme="minorHAnsi" w:hAnsiTheme="minorHAnsi"/>
          <w:sz w:val="22"/>
        </w:rPr>
        <w:t>La cuenca del río Juan Díaz constituye en la actualidad una de las zonas de la ciudad de Panamá que sufren mayores problemas de inundación. El desarrollo urbano de la ciudad ha dado lugar en esta cuenca a fuertes cambios en los usos del suelo y a la ocupación de las llanuras de inundación con rellenos, urbanizaciones y vías de comunicación. Todo ello está originando un aumento en las escorrentías y una reducción drástica de la capacidad hidráulica y de laminación del río. Estos hechos, unidos a la insuficiencia de redes de drenaje en las zonas urbanas y a la influencia de las mareas en las áreas más bajas, tienen como consecuencia que los sucesos de inundación sean cada vez más frecuentes y graves.</w:t>
      </w:r>
    </w:p>
    <w:p w14:paraId="46199E25" w14:textId="77777777" w:rsidR="00901876" w:rsidRPr="005F1EB8" w:rsidRDefault="00901876" w:rsidP="00901876">
      <w:pPr>
        <w:pStyle w:val="ListParagraph"/>
        <w:numPr>
          <w:ilvl w:val="1"/>
          <w:numId w:val="2"/>
        </w:numPr>
        <w:jc w:val="both"/>
        <w:rPr>
          <w:rFonts w:asciiTheme="minorHAnsi" w:eastAsiaTheme="minorHAnsi" w:hAnsiTheme="minorHAnsi"/>
          <w:sz w:val="22"/>
        </w:rPr>
      </w:pPr>
      <w:r w:rsidRPr="005F1EB8">
        <w:rPr>
          <w:rFonts w:asciiTheme="minorHAnsi" w:eastAsiaTheme="minorHAnsi" w:hAnsiTheme="minorHAnsi"/>
          <w:sz w:val="22"/>
        </w:rPr>
        <w:t xml:space="preserve">El Gobierno de Panamá ha solicitado al BID un préstamo “Programa Cuenca Urbana Resiliente” (PN-L1150) por </w:t>
      </w:r>
      <w:r>
        <w:rPr>
          <w:rFonts w:asciiTheme="minorHAnsi" w:eastAsiaTheme="minorHAnsi" w:hAnsiTheme="minorHAnsi"/>
          <w:sz w:val="22"/>
        </w:rPr>
        <w:t>100</w:t>
      </w:r>
      <w:r w:rsidRPr="005F1EB8">
        <w:rPr>
          <w:rFonts w:asciiTheme="minorHAnsi" w:eastAsiaTheme="minorHAnsi" w:hAnsiTheme="minorHAnsi"/>
          <w:sz w:val="22"/>
        </w:rPr>
        <w:t xml:space="preserve"> millones de dólares, aprobado en 2018, cuyo objetivo propuesto del préstamo es mitigar la vulnerabilidad climática, valorizar activos ambientales y mejorar la calidad del hábitat urbano en la cuenca urbana del río Juan Díaz. El Banco prevé que la operación será categorizada como obras múltiples y para ello se definirá una muestra de proyectos de por lo menos el 30% del monto del financiamiento para la realización del análisis de viabilidad del proyecto. El organismo ejecutor del préstamo será al Municipio de Panamá (MUPA).</w:t>
      </w:r>
    </w:p>
    <w:p w14:paraId="5FD4BB8B" w14:textId="77777777" w:rsidR="00901876" w:rsidRPr="008F08C6" w:rsidRDefault="00901876" w:rsidP="00901876">
      <w:pPr>
        <w:pStyle w:val="ListParagraph"/>
        <w:numPr>
          <w:ilvl w:val="1"/>
          <w:numId w:val="2"/>
        </w:numPr>
        <w:jc w:val="both"/>
        <w:rPr>
          <w:rFonts w:asciiTheme="minorHAnsi" w:eastAsiaTheme="minorHAnsi" w:hAnsiTheme="minorHAnsi"/>
          <w:sz w:val="22"/>
        </w:rPr>
      </w:pPr>
      <w:r w:rsidRPr="008F08C6">
        <w:rPr>
          <w:rFonts w:asciiTheme="minorHAnsi" w:eastAsiaTheme="minorHAnsi" w:hAnsiTheme="minorHAnsi"/>
          <w:sz w:val="22"/>
        </w:rPr>
        <w:t xml:space="preserve">Como base para la preparación de este préstamo de utilizó el del estudio de factibilidad técnica denominado </w:t>
      </w:r>
      <w:r>
        <w:rPr>
          <w:rFonts w:asciiTheme="minorHAnsi" w:eastAsiaTheme="minorHAnsi" w:hAnsiTheme="minorHAnsi"/>
          <w:sz w:val="22"/>
        </w:rPr>
        <w:t>“</w:t>
      </w:r>
      <w:r w:rsidRPr="008F08C6">
        <w:rPr>
          <w:rFonts w:asciiTheme="minorHAnsi" w:eastAsiaTheme="minorHAnsi" w:hAnsiTheme="minorHAnsi"/>
          <w:sz w:val="22"/>
        </w:rPr>
        <w:t>Estudio Integral de Actuaciones de Mitigación de Inundaciones en la Cuenca de Juan Díaz</w:t>
      </w:r>
      <w:r>
        <w:rPr>
          <w:rFonts w:asciiTheme="minorHAnsi" w:eastAsiaTheme="minorHAnsi" w:hAnsiTheme="minorHAnsi"/>
          <w:sz w:val="22"/>
        </w:rPr>
        <w:t>”</w:t>
      </w:r>
      <w:r w:rsidRPr="008F08C6">
        <w:rPr>
          <w:rFonts w:asciiTheme="minorHAnsi" w:eastAsiaTheme="minorHAnsi" w:hAnsiTheme="minorHAnsi"/>
          <w:sz w:val="22"/>
        </w:rPr>
        <w:t xml:space="preserve">  desarrollado por el Instituto de Hidráulica Ambiental de la Universidad de Cantabria (IH CANTABRIA), finalizado el 30 de septiembre de 2016 y para el cual se desarrolla un modelo digital del terreno así el desarrollo de la hidrología necesaria para la realización de las simulaciones requeridas (incluyendo el análisis del efecto potencial del cambio climático en las tormentas de diseño) y se caracterizó la marea como una condición de borde crítica.</w:t>
      </w:r>
    </w:p>
    <w:p w14:paraId="7F2BB5FC" w14:textId="77777777" w:rsidR="00901876" w:rsidRPr="00732B55" w:rsidRDefault="00901876" w:rsidP="00901876">
      <w:pPr>
        <w:pStyle w:val="ListParagraph"/>
        <w:numPr>
          <w:ilvl w:val="1"/>
          <w:numId w:val="2"/>
        </w:numPr>
        <w:jc w:val="both"/>
        <w:rPr>
          <w:rFonts w:asciiTheme="minorHAnsi" w:eastAsiaTheme="minorHAnsi" w:hAnsiTheme="minorHAnsi"/>
          <w:sz w:val="22"/>
        </w:rPr>
      </w:pPr>
      <w:r w:rsidRPr="00732B55">
        <w:rPr>
          <w:rFonts w:asciiTheme="minorHAnsi" w:eastAsiaTheme="minorHAnsi" w:hAnsiTheme="minorHAnsi"/>
          <w:sz w:val="22"/>
        </w:rPr>
        <w:t xml:space="preserve">Las simulaciones ser realizaron para condiciones iniciales (situación </w:t>
      </w:r>
      <w:r>
        <w:rPr>
          <w:rFonts w:asciiTheme="minorHAnsi" w:eastAsiaTheme="minorHAnsi" w:hAnsiTheme="minorHAnsi"/>
          <w:sz w:val="22"/>
        </w:rPr>
        <w:t>A</w:t>
      </w:r>
      <w:r w:rsidRPr="00732B55">
        <w:rPr>
          <w:rFonts w:asciiTheme="minorHAnsi" w:eastAsiaTheme="minorHAnsi" w:hAnsiTheme="minorHAnsi"/>
          <w:sz w:val="22"/>
        </w:rPr>
        <w:t>nte-</w:t>
      </w:r>
      <w:r>
        <w:rPr>
          <w:rFonts w:asciiTheme="minorHAnsi" w:eastAsiaTheme="minorHAnsi" w:hAnsiTheme="minorHAnsi"/>
          <w:sz w:val="22"/>
        </w:rPr>
        <w:t>O</w:t>
      </w:r>
      <w:r w:rsidRPr="00732B55">
        <w:rPr>
          <w:rFonts w:asciiTheme="minorHAnsi" w:eastAsiaTheme="minorHAnsi" w:hAnsiTheme="minorHAnsi"/>
          <w:sz w:val="22"/>
        </w:rPr>
        <w:t>peram) y finales (</w:t>
      </w:r>
      <w:r>
        <w:rPr>
          <w:rFonts w:asciiTheme="minorHAnsi" w:eastAsiaTheme="minorHAnsi" w:hAnsiTheme="minorHAnsi"/>
          <w:sz w:val="22"/>
        </w:rPr>
        <w:t>P</w:t>
      </w:r>
      <w:r w:rsidRPr="00732B55">
        <w:rPr>
          <w:rFonts w:asciiTheme="minorHAnsi" w:eastAsiaTheme="minorHAnsi" w:hAnsiTheme="minorHAnsi"/>
          <w:sz w:val="22"/>
        </w:rPr>
        <w:t>ost-</w:t>
      </w:r>
      <w:r>
        <w:rPr>
          <w:rFonts w:asciiTheme="minorHAnsi" w:eastAsiaTheme="minorHAnsi" w:hAnsiTheme="minorHAnsi"/>
          <w:sz w:val="22"/>
        </w:rPr>
        <w:t>O</w:t>
      </w:r>
      <w:r w:rsidRPr="00732B55">
        <w:rPr>
          <w:rFonts w:asciiTheme="minorHAnsi" w:eastAsiaTheme="minorHAnsi" w:hAnsiTheme="minorHAnsi"/>
          <w:sz w:val="22"/>
        </w:rPr>
        <w:t>peram) a lo largo de 5355m de cauce fluvial. Incluyendo diversos análisis de factibilidad con la finalidad de establecer la tipología y ubicación final de las obras de mitigación al efecto de inundaciones fluviales.</w:t>
      </w:r>
    </w:p>
    <w:p w14:paraId="4AF1735E" w14:textId="77777777" w:rsidR="00901876" w:rsidRPr="00397040" w:rsidRDefault="00901876" w:rsidP="00901876">
      <w:pPr>
        <w:numPr>
          <w:ilvl w:val="1"/>
          <w:numId w:val="2"/>
        </w:numPr>
        <w:autoSpaceDE/>
        <w:autoSpaceDN/>
        <w:adjustRightInd/>
        <w:contextualSpacing/>
        <w:jc w:val="both"/>
        <w:rPr>
          <w:rFonts w:asciiTheme="minorHAnsi" w:eastAsiaTheme="minorHAnsi" w:hAnsiTheme="minorHAnsi"/>
          <w:sz w:val="22"/>
        </w:rPr>
      </w:pPr>
      <w:r w:rsidRPr="007F6751">
        <w:rPr>
          <w:rFonts w:asciiTheme="minorHAnsi" w:eastAsiaTheme="minorHAnsi" w:hAnsiTheme="minorHAnsi"/>
          <w:sz w:val="22"/>
        </w:rPr>
        <w:t>La propuesta técnica final incluye el encauzamiento del río complementado por tres balsas de laminación.</w:t>
      </w:r>
    </w:p>
    <w:p w14:paraId="2BE3A980" w14:textId="77777777" w:rsidR="00901876" w:rsidRPr="00397040" w:rsidRDefault="00901876" w:rsidP="00901876">
      <w:pPr>
        <w:ind w:left="360"/>
        <w:contextualSpacing/>
        <w:jc w:val="both"/>
        <w:rPr>
          <w:rFonts w:asciiTheme="minorHAnsi" w:eastAsiaTheme="minorHAnsi" w:hAnsiTheme="minorHAnsi"/>
          <w:sz w:val="22"/>
        </w:rPr>
      </w:pPr>
    </w:p>
    <w:p w14:paraId="57EA70DC" w14:textId="77777777" w:rsidR="00901876" w:rsidRDefault="00901876" w:rsidP="00901876">
      <w:pPr>
        <w:numPr>
          <w:ilvl w:val="0"/>
          <w:numId w:val="2"/>
        </w:numPr>
        <w:autoSpaceDE/>
        <w:autoSpaceDN/>
        <w:adjustRightInd/>
        <w:contextualSpacing/>
        <w:jc w:val="both"/>
        <w:rPr>
          <w:rFonts w:asciiTheme="minorHAnsi" w:eastAsiaTheme="minorHAnsi" w:hAnsiTheme="minorHAnsi"/>
          <w:b/>
          <w:sz w:val="22"/>
          <w:u w:val="single"/>
        </w:rPr>
      </w:pPr>
      <w:r>
        <w:rPr>
          <w:rFonts w:asciiTheme="minorHAnsi" w:eastAsiaTheme="minorHAnsi" w:hAnsiTheme="minorHAnsi"/>
          <w:b/>
          <w:sz w:val="22"/>
          <w:u w:val="single"/>
        </w:rPr>
        <w:lastRenderedPageBreak/>
        <w:t>Objetivos</w:t>
      </w:r>
    </w:p>
    <w:p w14:paraId="57F88E33" w14:textId="11BF9A32" w:rsidR="00901876" w:rsidRDefault="00901876" w:rsidP="00901876">
      <w:pPr>
        <w:ind w:left="360"/>
        <w:contextualSpacing/>
        <w:jc w:val="both"/>
        <w:rPr>
          <w:rFonts w:asciiTheme="minorHAnsi" w:eastAsiaTheme="minorHAnsi" w:hAnsiTheme="minorHAnsi"/>
          <w:b/>
          <w:sz w:val="22"/>
          <w:u w:val="single"/>
        </w:rPr>
      </w:pPr>
    </w:p>
    <w:p w14:paraId="7574120A" w14:textId="77777777" w:rsidR="00901876" w:rsidRPr="00397040" w:rsidRDefault="00901876" w:rsidP="00901876">
      <w:pPr>
        <w:numPr>
          <w:ilvl w:val="1"/>
          <w:numId w:val="2"/>
        </w:numPr>
        <w:autoSpaceDE/>
        <w:autoSpaceDN/>
        <w:adjustRightInd/>
        <w:contextualSpacing/>
        <w:jc w:val="both"/>
        <w:rPr>
          <w:rFonts w:asciiTheme="minorHAnsi" w:eastAsiaTheme="minorHAnsi" w:hAnsiTheme="minorHAnsi"/>
          <w:sz w:val="22"/>
        </w:rPr>
      </w:pPr>
      <w:r w:rsidRPr="00397040">
        <w:rPr>
          <w:rFonts w:asciiTheme="minorHAnsi" w:eastAsiaTheme="minorHAnsi" w:hAnsiTheme="minorHAnsi"/>
          <w:sz w:val="22"/>
        </w:rPr>
        <w:t>El objetivo general de est</w:t>
      </w:r>
      <w:r>
        <w:rPr>
          <w:rFonts w:asciiTheme="minorHAnsi" w:eastAsiaTheme="minorHAnsi" w:hAnsiTheme="minorHAnsi"/>
          <w:sz w:val="22"/>
        </w:rPr>
        <w:t xml:space="preserve">e proyecto </w:t>
      </w:r>
      <w:r w:rsidRPr="00397040">
        <w:rPr>
          <w:rFonts w:asciiTheme="minorHAnsi" w:eastAsiaTheme="minorHAnsi" w:hAnsiTheme="minorHAnsi"/>
          <w:sz w:val="22"/>
        </w:rPr>
        <w:t xml:space="preserve">es la </w:t>
      </w:r>
      <w:r>
        <w:rPr>
          <w:rFonts w:asciiTheme="minorHAnsi" w:eastAsiaTheme="minorHAnsi" w:hAnsiTheme="minorHAnsi"/>
          <w:sz w:val="22"/>
        </w:rPr>
        <w:t>revisión, validación y actualización de los estudios hidrológicos e hidráulicos destinados al diseño de medidas estructurales de mitigación de los efectos de las inundaciones fluviales en la cuenca urbana del Río Juan Díaz, cuyas obras se ejecutarían con la operación PN-L1150.</w:t>
      </w:r>
    </w:p>
    <w:p w14:paraId="00E50FD5" w14:textId="77777777" w:rsidR="00901876" w:rsidRDefault="00901876" w:rsidP="00901876">
      <w:pPr>
        <w:ind w:left="360"/>
        <w:contextualSpacing/>
        <w:jc w:val="both"/>
        <w:rPr>
          <w:rFonts w:asciiTheme="minorHAnsi" w:eastAsiaTheme="minorHAnsi" w:hAnsiTheme="minorHAnsi"/>
          <w:b/>
          <w:sz w:val="22"/>
          <w:u w:val="single"/>
        </w:rPr>
      </w:pPr>
    </w:p>
    <w:p w14:paraId="6E9D1E24" w14:textId="77777777" w:rsidR="00901876" w:rsidRDefault="00901876" w:rsidP="00901876">
      <w:pPr>
        <w:numPr>
          <w:ilvl w:val="0"/>
          <w:numId w:val="2"/>
        </w:numPr>
        <w:autoSpaceDE/>
        <w:autoSpaceDN/>
        <w:adjustRightInd/>
        <w:contextualSpacing/>
        <w:jc w:val="both"/>
        <w:rPr>
          <w:rFonts w:asciiTheme="minorHAnsi" w:eastAsiaTheme="minorHAnsi" w:hAnsiTheme="minorHAnsi"/>
          <w:b/>
          <w:sz w:val="22"/>
          <w:u w:val="single"/>
        </w:rPr>
      </w:pPr>
      <w:r>
        <w:rPr>
          <w:rFonts w:asciiTheme="minorHAnsi" w:eastAsiaTheme="minorHAnsi" w:hAnsiTheme="minorHAnsi"/>
          <w:b/>
          <w:sz w:val="22"/>
          <w:u w:val="single"/>
        </w:rPr>
        <w:t>Alcance de los Servicios</w:t>
      </w:r>
    </w:p>
    <w:p w14:paraId="1C9A3B06" w14:textId="77777777" w:rsidR="00901876" w:rsidRDefault="00901876" w:rsidP="00901876">
      <w:pPr>
        <w:ind w:left="792"/>
        <w:contextualSpacing/>
        <w:jc w:val="both"/>
        <w:rPr>
          <w:rFonts w:asciiTheme="minorHAnsi" w:eastAsiaTheme="minorHAnsi" w:hAnsiTheme="minorHAnsi"/>
          <w:b/>
          <w:i/>
          <w:color w:val="006600"/>
          <w:sz w:val="22"/>
        </w:rPr>
      </w:pPr>
    </w:p>
    <w:p w14:paraId="63D7226E" w14:textId="77777777" w:rsidR="00901876" w:rsidRDefault="00901876" w:rsidP="00901876">
      <w:pPr>
        <w:numPr>
          <w:ilvl w:val="1"/>
          <w:numId w:val="2"/>
        </w:numPr>
        <w:autoSpaceDE/>
        <w:autoSpaceDN/>
        <w:adjustRightInd/>
        <w:contextualSpacing/>
        <w:jc w:val="both"/>
        <w:rPr>
          <w:rFonts w:asciiTheme="minorHAnsi" w:eastAsiaTheme="minorHAnsi" w:hAnsiTheme="minorHAnsi"/>
          <w:sz w:val="22"/>
        </w:rPr>
      </w:pPr>
      <w:r w:rsidRPr="004C0E48">
        <w:rPr>
          <w:rFonts w:asciiTheme="minorHAnsi" w:eastAsiaTheme="minorHAnsi" w:hAnsiTheme="minorHAnsi"/>
          <w:sz w:val="22"/>
        </w:rPr>
        <w:t xml:space="preserve">  La consultoría deberá </w:t>
      </w:r>
      <w:r>
        <w:rPr>
          <w:rFonts w:asciiTheme="minorHAnsi" w:eastAsiaTheme="minorHAnsi" w:hAnsiTheme="minorHAnsi"/>
          <w:sz w:val="22"/>
        </w:rPr>
        <w:t>proporcionar los siguientes servicios</w:t>
      </w:r>
      <w:r w:rsidRPr="004C0E48">
        <w:rPr>
          <w:rFonts w:asciiTheme="minorHAnsi" w:eastAsiaTheme="minorHAnsi" w:hAnsiTheme="minorHAnsi"/>
          <w:sz w:val="22"/>
        </w:rPr>
        <w:t>:</w:t>
      </w:r>
    </w:p>
    <w:p w14:paraId="4F50BA37" w14:textId="77777777" w:rsidR="00901876" w:rsidRPr="004C0E48" w:rsidRDefault="00901876" w:rsidP="00901876">
      <w:pPr>
        <w:ind w:left="792"/>
        <w:contextualSpacing/>
        <w:jc w:val="both"/>
        <w:rPr>
          <w:rFonts w:asciiTheme="minorHAnsi" w:eastAsiaTheme="minorHAnsi" w:hAnsiTheme="minorHAnsi"/>
          <w:sz w:val="22"/>
        </w:rPr>
      </w:pPr>
    </w:p>
    <w:p w14:paraId="6704AB2B" w14:textId="77777777" w:rsidR="00901876" w:rsidRDefault="00901876" w:rsidP="00901876">
      <w:pPr>
        <w:numPr>
          <w:ilvl w:val="2"/>
          <w:numId w:val="1"/>
        </w:numPr>
        <w:autoSpaceDE/>
        <w:autoSpaceDN/>
        <w:adjustRightInd/>
        <w:contextualSpacing/>
        <w:jc w:val="both"/>
        <w:rPr>
          <w:rFonts w:asciiTheme="minorHAnsi" w:eastAsiaTheme="minorHAnsi" w:hAnsiTheme="minorHAnsi"/>
          <w:sz w:val="22"/>
        </w:rPr>
      </w:pPr>
      <w:r>
        <w:rPr>
          <w:rFonts w:asciiTheme="minorHAnsi" w:eastAsiaTheme="minorHAnsi" w:hAnsiTheme="minorHAnsi"/>
          <w:sz w:val="22"/>
        </w:rPr>
        <w:t>V</w:t>
      </w:r>
      <w:r w:rsidRPr="0067233D">
        <w:rPr>
          <w:rFonts w:asciiTheme="minorHAnsi" w:eastAsiaTheme="minorHAnsi" w:hAnsiTheme="minorHAnsi"/>
          <w:sz w:val="22"/>
        </w:rPr>
        <w:t xml:space="preserve">alidación, revisión y actualización de Condiciones Iniciales y de Contorno </w:t>
      </w:r>
      <w:r>
        <w:rPr>
          <w:rFonts w:asciiTheme="minorHAnsi" w:eastAsiaTheme="minorHAnsi" w:hAnsiTheme="minorHAnsi"/>
          <w:sz w:val="22"/>
        </w:rPr>
        <w:t>necesarias para la realización de las correspondientes simulaciones</w:t>
      </w:r>
    </w:p>
    <w:p w14:paraId="39276CA2" w14:textId="77777777" w:rsidR="00901876" w:rsidRPr="004C0E48" w:rsidRDefault="00901876" w:rsidP="00901876">
      <w:pPr>
        <w:numPr>
          <w:ilvl w:val="2"/>
          <w:numId w:val="1"/>
        </w:numPr>
        <w:autoSpaceDE/>
        <w:autoSpaceDN/>
        <w:adjustRightInd/>
        <w:contextualSpacing/>
        <w:jc w:val="both"/>
        <w:rPr>
          <w:rFonts w:asciiTheme="minorHAnsi" w:eastAsiaTheme="minorHAnsi" w:hAnsiTheme="minorHAnsi"/>
          <w:sz w:val="22"/>
        </w:rPr>
      </w:pPr>
      <w:r>
        <w:rPr>
          <w:rFonts w:asciiTheme="minorHAnsi" w:eastAsiaTheme="minorHAnsi" w:hAnsiTheme="minorHAnsi"/>
          <w:sz w:val="22"/>
        </w:rPr>
        <w:t>V</w:t>
      </w:r>
      <w:r w:rsidRPr="00986268">
        <w:rPr>
          <w:rFonts w:asciiTheme="minorHAnsi" w:eastAsiaTheme="minorHAnsi" w:hAnsiTheme="minorHAnsi"/>
          <w:sz w:val="22"/>
        </w:rPr>
        <w:t xml:space="preserve">alidación, revisión y actualización de </w:t>
      </w:r>
      <w:r>
        <w:rPr>
          <w:rFonts w:asciiTheme="minorHAnsi" w:eastAsiaTheme="minorHAnsi" w:hAnsiTheme="minorHAnsi"/>
          <w:sz w:val="22"/>
        </w:rPr>
        <w:t xml:space="preserve">la </w:t>
      </w:r>
      <w:r w:rsidRPr="00986268">
        <w:rPr>
          <w:rFonts w:asciiTheme="minorHAnsi" w:eastAsiaTheme="minorHAnsi" w:hAnsiTheme="minorHAnsi"/>
          <w:sz w:val="22"/>
        </w:rPr>
        <w:t>Topo</w:t>
      </w:r>
      <w:r w:rsidRPr="00986268">
        <w:rPr>
          <w:rFonts w:asciiTheme="minorHAnsi" w:eastAsiaTheme="minorHAnsi" w:hAnsiTheme="minorHAnsi"/>
          <w:sz w:val="22"/>
          <w:lang w:val="es-ES_tradnl"/>
        </w:rPr>
        <w:t>-</w:t>
      </w:r>
      <w:r>
        <w:rPr>
          <w:rFonts w:asciiTheme="minorHAnsi" w:eastAsiaTheme="minorHAnsi" w:hAnsiTheme="minorHAnsi"/>
          <w:sz w:val="22"/>
          <w:lang w:val="es-ES_tradnl"/>
        </w:rPr>
        <w:t>Batimetría</w:t>
      </w:r>
      <w:r>
        <w:rPr>
          <w:rFonts w:asciiTheme="minorHAnsi" w:eastAsiaTheme="minorHAnsi" w:hAnsiTheme="minorHAnsi"/>
          <w:sz w:val="22"/>
        </w:rPr>
        <w:t xml:space="preserve"> del cauce del Río Juan Díaz en el área de estudio.</w:t>
      </w:r>
    </w:p>
    <w:p w14:paraId="387F5ECA" w14:textId="77777777" w:rsidR="00901876" w:rsidRPr="004C0E48" w:rsidRDefault="00901876" w:rsidP="00901876">
      <w:pPr>
        <w:numPr>
          <w:ilvl w:val="2"/>
          <w:numId w:val="1"/>
        </w:numPr>
        <w:autoSpaceDE/>
        <w:autoSpaceDN/>
        <w:adjustRightInd/>
        <w:contextualSpacing/>
        <w:jc w:val="both"/>
        <w:rPr>
          <w:rFonts w:asciiTheme="minorHAnsi" w:eastAsiaTheme="minorHAnsi" w:hAnsiTheme="minorHAnsi"/>
          <w:sz w:val="22"/>
        </w:rPr>
      </w:pPr>
      <w:r>
        <w:rPr>
          <w:rFonts w:asciiTheme="minorHAnsi" w:eastAsiaTheme="minorHAnsi" w:hAnsiTheme="minorHAnsi"/>
          <w:sz w:val="22"/>
        </w:rPr>
        <w:t>Simulación Hidrodinámica en condiciones Ante y Post Operam de la cuenca urbana del Río Juan Díaz para TR 20, 100, 200 y 500 a</w:t>
      </w:r>
      <w:r>
        <w:rPr>
          <w:rFonts w:asciiTheme="minorHAnsi" w:eastAsiaTheme="minorHAnsi" w:hAnsiTheme="minorHAnsi"/>
          <w:sz w:val="22"/>
          <w:lang w:val="es-ES_tradnl"/>
        </w:rPr>
        <w:t>ños</w:t>
      </w:r>
      <w:r>
        <w:rPr>
          <w:rFonts w:asciiTheme="minorHAnsi" w:eastAsiaTheme="minorHAnsi" w:hAnsiTheme="minorHAnsi"/>
          <w:sz w:val="22"/>
        </w:rPr>
        <w:t>.</w:t>
      </w:r>
    </w:p>
    <w:p w14:paraId="0964405B" w14:textId="77777777" w:rsidR="00901876" w:rsidRPr="004C0E48" w:rsidRDefault="00901876" w:rsidP="00901876">
      <w:pPr>
        <w:numPr>
          <w:ilvl w:val="2"/>
          <w:numId w:val="1"/>
        </w:numPr>
        <w:autoSpaceDE/>
        <w:autoSpaceDN/>
        <w:adjustRightInd/>
        <w:contextualSpacing/>
        <w:jc w:val="both"/>
        <w:rPr>
          <w:rFonts w:asciiTheme="minorHAnsi" w:eastAsiaTheme="minorHAnsi" w:hAnsiTheme="minorHAnsi"/>
          <w:sz w:val="22"/>
        </w:rPr>
      </w:pPr>
      <w:r>
        <w:rPr>
          <w:rFonts w:asciiTheme="minorHAnsi" w:eastAsiaTheme="minorHAnsi" w:hAnsiTheme="minorHAnsi"/>
          <w:sz w:val="22"/>
        </w:rPr>
        <w:t>C</w:t>
      </w:r>
      <w:r w:rsidRPr="003159EC">
        <w:rPr>
          <w:rFonts w:asciiTheme="minorHAnsi" w:eastAsiaTheme="minorHAnsi" w:hAnsiTheme="minorHAnsi"/>
          <w:sz w:val="22"/>
        </w:rPr>
        <w:t>onsideraciones sobre la eficiencia de las estructuras o trabajos previstos</w:t>
      </w:r>
      <w:r>
        <w:rPr>
          <w:rFonts w:asciiTheme="minorHAnsi" w:eastAsiaTheme="minorHAnsi" w:hAnsiTheme="minorHAnsi"/>
          <w:sz w:val="22"/>
        </w:rPr>
        <w:t>.</w:t>
      </w:r>
    </w:p>
    <w:p w14:paraId="660595C8" w14:textId="77777777" w:rsidR="00901876" w:rsidRDefault="00901876" w:rsidP="00901876">
      <w:pPr>
        <w:contextualSpacing/>
        <w:jc w:val="both"/>
        <w:rPr>
          <w:rFonts w:asciiTheme="minorHAnsi" w:eastAsiaTheme="minorHAnsi" w:hAnsiTheme="minorHAnsi"/>
          <w:sz w:val="22"/>
        </w:rPr>
      </w:pPr>
    </w:p>
    <w:p w14:paraId="7F5018BB" w14:textId="77777777" w:rsidR="00901876" w:rsidRDefault="00901876" w:rsidP="00901876">
      <w:pPr>
        <w:numPr>
          <w:ilvl w:val="0"/>
          <w:numId w:val="2"/>
        </w:numPr>
        <w:autoSpaceDE/>
        <w:autoSpaceDN/>
        <w:adjustRightInd/>
        <w:contextualSpacing/>
        <w:jc w:val="both"/>
        <w:rPr>
          <w:rFonts w:asciiTheme="minorHAnsi" w:eastAsiaTheme="minorHAnsi" w:hAnsiTheme="minorHAnsi"/>
          <w:b/>
          <w:sz w:val="22"/>
          <w:u w:val="single"/>
        </w:rPr>
      </w:pPr>
      <w:r>
        <w:rPr>
          <w:rFonts w:asciiTheme="minorHAnsi" w:eastAsiaTheme="minorHAnsi" w:hAnsiTheme="minorHAnsi"/>
          <w:b/>
          <w:sz w:val="22"/>
          <w:u w:val="single"/>
        </w:rPr>
        <w:t>Actividades Clave</w:t>
      </w:r>
    </w:p>
    <w:p w14:paraId="3ED1C089" w14:textId="77777777" w:rsidR="00901876" w:rsidRDefault="00901876" w:rsidP="00901876">
      <w:pPr>
        <w:ind w:left="360"/>
        <w:contextualSpacing/>
        <w:jc w:val="both"/>
        <w:rPr>
          <w:rFonts w:asciiTheme="minorHAnsi" w:eastAsiaTheme="minorHAnsi" w:hAnsiTheme="minorHAnsi"/>
          <w:b/>
          <w:sz w:val="22"/>
          <w:u w:val="single"/>
        </w:rPr>
      </w:pPr>
    </w:p>
    <w:p w14:paraId="0FD41254" w14:textId="77777777" w:rsidR="00901876" w:rsidRDefault="00901876" w:rsidP="00901876">
      <w:pPr>
        <w:numPr>
          <w:ilvl w:val="1"/>
          <w:numId w:val="2"/>
        </w:numPr>
        <w:autoSpaceDE/>
        <w:autoSpaceDN/>
        <w:adjustRightInd/>
        <w:contextualSpacing/>
        <w:jc w:val="both"/>
        <w:rPr>
          <w:rFonts w:asciiTheme="minorHAnsi" w:eastAsiaTheme="minorHAnsi" w:hAnsiTheme="minorHAnsi"/>
          <w:sz w:val="22"/>
        </w:rPr>
      </w:pPr>
      <w:r w:rsidRPr="00096930">
        <w:rPr>
          <w:rFonts w:asciiTheme="minorHAnsi" w:eastAsiaTheme="minorHAnsi" w:hAnsiTheme="minorHAnsi"/>
          <w:sz w:val="22"/>
        </w:rPr>
        <w:t xml:space="preserve">En base a la información proveniente del estudio de factibilidad técnica denominado </w:t>
      </w:r>
      <w:r>
        <w:rPr>
          <w:rFonts w:asciiTheme="minorHAnsi" w:eastAsiaTheme="minorHAnsi" w:hAnsiTheme="minorHAnsi"/>
          <w:sz w:val="22"/>
        </w:rPr>
        <w:t>“</w:t>
      </w:r>
      <w:r w:rsidRPr="00096930">
        <w:rPr>
          <w:rFonts w:asciiTheme="minorHAnsi" w:eastAsiaTheme="minorHAnsi" w:hAnsiTheme="minorHAnsi"/>
          <w:sz w:val="22"/>
        </w:rPr>
        <w:t>Estudio Integral de Actuaciones de Mitigación de Inundaciones en la Cuenca de Juan Díaz</w:t>
      </w:r>
      <w:r>
        <w:rPr>
          <w:rFonts w:asciiTheme="minorHAnsi" w:eastAsiaTheme="minorHAnsi" w:hAnsiTheme="minorHAnsi"/>
          <w:sz w:val="22"/>
        </w:rPr>
        <w:t>”</w:t>
      </w:r>
      <w:r w:rsidRPr="00096930">
        <w:rPr>
          <w:rFonts w:asciiTheme="minorHAnsi" w:eastAsiaTheme="minorHAnsi" w:hAnsiTheme="minorHAnsi"/>
          <w:sz w:val="22"/>
        </w:rPr>
        <w:t xml:space="preserve"> desarrollado por el Instituto de Hidráulica Ambiental de la Universidad de Cantabria (IH CANTABRIA) </w:t>
      </w:r>
      <w:r w:rsidRPr="004E15EB">
        <w:rPr>
          <w:rFonts w:asciiTheme="minorHAnsi" w:eastAsiaTheme="minorHAnsi" w:hAnsiTheme="minorHAnsi"/>
          <w:sz w:val="22"/>
        </w:rPr>
        <w:t>La consultoría deberá desarrollar las siguientes actividades:</w:t>
      </w:r>
    </w:p>
    <w:p w14:paraId="55CFC9BA" w14:textId="77777777" w:rsidR="00901876" w:rsidRPr="004E15EB" w:rsidRDefault="00901876" w:rsidP="00901876">
      <w:pPr>
        <w:ind w:left="792"/>
        <w:contextualSpacing/>
        <w:jc w:val="both"/>
        <w:rPr>
          <w:rFonts w:asciiTheme="minorHAnsi" w:eastAsiaTheme="minorHAnsi" w:hAnsiTheme="minorHAnsi"/>
          <w:sz w:val="22"/>
        </w:rPr>
      </w:pPr>
    </w:p>
    <w:p w14:paraId="1F7ABAAA" w14:textId="77777777" w:rsidR="00901876" w:rsidRPr="00D15AF6" w:rsidRDefault="00901876" w:rsidP="00901876">
      <w:pPr>
        <w:pStyle w:val="ListParagraph"/>
        <w:numPr>
          <w:ilvl w:val="1"/>
          <w:numId w:val="2"/>
        </w:numPr>
        <w:jc w:val="both"/>
        <w:rPr>
          <w:rFonts w:asciiTheme="minorHAnsi" w:eastAsiaTheme="minorHAnsi" w:hAnsiTheme="minorHAnsi"/>
          <w:b/>
          <w:sz w:val="22"/>
        </w:rPr>
      </w:pPr>
      <w:r w:rsidRPr="00D15AF6">
        <w:rPr>
          <w:rFonts w:asciiTheme="minorHAnsi" w:eastAsiaTheme="minorHAnsi" w:hAnsiTheme="minorHAnsi"/>
          <w:b/>
          <w:sz w:val="22"/>
        </w:rPr>
        <w:t>Actividad 1 - Revisión, Validación, Actualización de los Estudios Hidrológicos</w:t>
      </w:r>
    </w:p>
    <w:p w14:paraId="4257DA48" w14:textId="77777777" w:rsidR="00901876" w:rsidRPr="004E15EB" w:rsidRDefault="00901876" w:rsidP="00901876">
      <w:pPr>
        <w:pStyle w:val="ListParagraph"/>
        <w:jc w:val="both"/>
        <w:rPr>
          <w:rFonts w:asciiTheme="minorHAnsi" w:hAnsiTheme="minorHAnsi" w:cstheme="minorHAnsi"/>
          <w:sz w:val="22"/>
        </w:rPr>
      </w:pPr>
    </w:p>
    <w:p w14:paraId="3F5DE3C8" w14:textId="77777777" w:rsidR="00901876" w:rsidRPr="00096930" w:rsidRDefault="00901876" w:rsidP="00901876">
      <w:pPr>
        <w:pStyle w:val="ListParagraph"/>
        <w:numPr>
          <w:ilvl w:val="1"/>
          <w:numId w:val="2"/>
        </w:numPr>
        <w:jc w:val="both"/>
        <w:rPr>
          <w:rFonts w:asciiTheme="minorHAnsi" w:eastAsiaTheme="minorHAnsi" w:hAnsiTheme="minorHAnsi"/>
          <w:b/>
          <w:sz w:val="22"/>
        </w:rPr>
      </w:pPr>
      <w:r w:rsidRPr="00096930">
        <w:rPr>
          <w:rFonts w:asciiTheme="minorHAnsi" w:hAnsiTheme="minorHAnsi" w:cstheme="minorHAnsi"/>
          <w:sz w:val="22"/>
        </w:rPr>
        <w:t>El objetivo de esta actividad es la revisión y actualización de los estudios hidrológicos</w:t>
      </w:r>
      <w:r>
        <w:rPr>
          <w:rFonts w:asciiTheme="minorHAnsi" w:hAnsiTheme="minorHAnsi" w:cstheme="minorHAnsi"/>
          <w:sz w:val="22"/>
        </w:rPr>
        <w:t xml:space="preserve"> disponibles, incluyendo también validación de la modelación hidrológica para la cuenca alta del río Juan Díaz, a ejecutarse por la firma consultora TNC;</w:t>
      </w:r>
      <w:r w:rsidRPr="00096930">
        <w:rPr>
          <w:rFonts w:asciiTheme="minorHAnsi" w:hAnsiTheme="minorHAnsi" w:cstheme="minorHAnsi"/>
          <w:sz w:val="22"/>
        </w:rPr>
        <w:t xml:space="preserve"> la obtención de las curvas IDF y los hidrogramas de diseño para tiempos de retorno 10, 20, 50 100, 200 y 500 años.</w:t>
      </w:r>
    </w:p>
    <w:p w14:paraId="0FF85184" w14:textId="77777777" w:rsidR="00901876" w:rsidRPr="004E15EB" w:rsidRDefault="00901876" w:rsidP="00901876">
      <w:pPr>
        <w:pStyle w:val="ListParagraph"/>
        <w:ind w:left="792"/>
        <w:jc w:val="both"/>
        <w:rPr>
          <w:rFonts w:asciiTheme="minorHAnsi" w:eastAsiaTheme="minorHAnsi" w:hAnsiTheme="minorHAnsi"/>
          <w:b/>
          <w:sz w:val="22"/>
        </w:rPr>
      </w:pPr>
    </w:p>
    <w:p w14:paraId="445BF0F9" w14:textId="082E6AA5" w:rsidR="00901876" w:rsidRPr="00770216" w:rsidRDefault="00901876" w:rsidP="00901876">
      <w:pPr>
        <w:pStyle w:val="ListParagraph"/>
        <w:numPr>
          <w:ilvl w:val="1"/>
          <w:numId w:val="2"/>
        </w:numPr>
        <w:jc w:val="both"/>
        <w:rPr>
          <w:rFonts w:asciiTheme="minorHAnsi" w:eastAsiaTheme="minorHAnsi" w:hAnsiTheme="minorHAnsi"/>
          <w:b/>
          <w:sz w:val="22"/>
        </w:rPr>
      </w:pPr>
      <w:r w:rsidRPr="00770216">
        <w:rPr>
          <w:rFonts w:asciiTheme="minorHAnsi" w:eastAsiaTheme="minorHAnsi" w:hAnsiTheme="minorHAnsi"/>
          <w:b/>
          <w:sz w:val="22"/>
        </w:rPr>
        <w:t xml:space="preserve">Actividad 2 - Revisión, Validación, Actualización de las Condiciones de </w:t>
      </w:r>
      <w:r>
        <w:rPr>
          <w:rFonts w:asciiTheme="minorHAnsi" w:eastAsiaTheme="minorHAnsi" w:hAnsiTheme="minorHAnsi"/>
          <w:b/>
          <w:sz w:val="22"/>
        </w:rPr>
        <w:t xml:space="preserve">Contorno Correspondientes a los Efectos de la </w:t>
      </w:r>
      <w:r w:rsidRPr="00770216">
        <w:rPr>
          <w:rFonts w:asciiTheme="minorHAnsi" w:eastAsiaTheme="minorHAnsi" w:hAnsiTheme="minorHAnsi"/>
          <w:b/>
          <w:sz w:val="22"/>
        </w:rPr>
        <w:t>Marea</w:t>
      </w:r>
    </w:p>
    <w:p w14:paraId="163846E4" w14:textId="77777777" w:rsidR="00901876" w:rsidRPr="004E15EB" w:rsidRDefault="00901876" w:rsidP="00901876">
      <w:pPr>
        <w:pStyle w:val="ListParagraph"/>
        <w:jc w:val="both"/>
        <w:rPr>
          <w:rFonts w:asciiTheme="minorHAnsi" w:eastAsiaTheme="minorHAnsi" w:hAnsiTheme="minorHAnsi"/>
          <w:sz w:val="22"/>
        </w:rPr>
      </w:pPr>
    </w:p>
    <w:p w14:paraId="080468C8" w14:textId="77777777" w:rsidR="00901876" w:rsidRDefault="00901876" w:rsidP="00901876">
      <w:pPr>
        <w:pStyle w:val="ListParagraph"/>
        <w:numPr>
          <w:ilvl w:val="1"/>
          <w:numId w:val="2"/>
        </w:numPr>
        <w:jc w:val="both"/>
        <w:rPr>
          <w:rFonts w:asciiTheme="minorHAnsi" w:eastAsiaTheme="minorHAnsi" w:hAnsiTheme="minorHAnsi"/>
          <w:sz w:val="22"/>
        </w:rPr>
      </w:pPr>
      <w:r w:rsidRPr="00096930">
        <w:rPr>
          <w:rFonts w:asciiTheme="minorHAnsi" w:hAnsiTheme="minorHAnsi" w:cstheme="minorHAnsi"/>
          <w:sz w:val="22"/>
        </w:rPr>
        <w:t xml:space="preserve">El objetivo de esta actividad </w:t>
      </w:r>
      <w:r>
        <w:rPr>
          <w:rFonts w:asciiTheme="minorHAnsi" w:hAnsiTheme="minorHAnsi" w:cstheme="minorHAnsi"/>
          <w:sz w:val="22"/>
        </w:rPr>
        <w:t xml:space="preserve">es </w:t>
      </w:r>
      <w:r w:rsidRPr="006D18A0">
        <w:rPr>
          <w:rFonts w:asciiTheme="minorHAnsi" w:eastAsiaTheme="minorHAnsi" w:hAnsiTheme="minorHAnsi"/>
          <w:sz w:val="22"/>
        </w:rPr>
        <w:t>la revisión, validación y actualización de las condiciones de contorno de Marea a utilizar como condición de borde durante las simulaciones hidrodinámicas.</w:t>
      </w:r>
    </w:p>
    <w:p w14:paraId="2C346CDE" w14:textId="77777777" w:rsidR="00901876" w:rsidRPr="004E15EB" w:rsidRDefault="00901876" w:rsidP="00901876">
      <w:pPr>
        <w:jc w:val="both"/>
        <w:rPr>
          <w:rFonts w:asciiTheme="minorHAnsi" w:eastAsiaTheme="minorHAnsi" w:hAnsiTheme="minorHAnsi"/>
          <w:sz w:val="22"/>
        </w:rPr>
      </w:pPr>
    </w:p>
    <w:p w14:paraId="72413A91" w14:textId="77777777" w:rsidR="00901876" w:rsidRPr="00680834" w:rsidRDefault="00901876" w:rsidP="00901876">
      <w:pPr>
        <w:pStyle w:val="ListParagraph"/>
        <w:numPr>
          <w:ilvl w:val="1"/>
          <w:numId w:val="2"/>
        </w:numPr>
        <w:jc w:val="both"/>
        <w:rPr>
          <w:rFonts w:asciiTheme="minorHAnsi" w:eastAsiaTheme="minorHAnsi" w:hAnsiTheme="minorHAnsi"/>
          <w:b/>
          <w:sz w:val="22"/>
        </w:rPr>
      </w:pPr>
      <w:r w:rsidRPr="00680834">
        <w:rPr>
          <w:rFonts w:asciiTheme="minorHAnsi" w:eastAsiaTheme="minorHAnsi" w:hAnsiTheme="minorHAnsi"/>
          <w:b/>
          <w:sz w:val="22"/>
        </w:rPr>
        <w:t>Actividad 3 - Revisión, Validación, Actualización de los Efectos de Cambio Climático</w:t>
      </w:r>
      <w:r>
        <w:rPr>
          <w:rFonts w:asciiTheme="minorHAnsi" w:eastAsiaTheme="minorHAnsi" w:hAnsiTheme="minorHAnsi"/>
          <w:b/>
          <w:sz w:val="22"/>
        </w:rPr>
        <w:t>.</w:t>
      </w:r>
    </w:p>
    <w:p w14:paraId="4B70B62D" w14:textId="77777777" w:rsidR="00901876" w:rsidRPr="00680834" w:rsidRDefault="00901876" w:rsidP="00901876">
      <w:pPr>
        <w:ind w:left="360"/>
        <w:jc w:val="both"/>
        <w:rPr>
          <w:rFonts w:asciiTheme="minorHAnsi" w:eastAsiaTheme="minorHAnsi" w:hAnsiTheme="minorHAnsi"/>
          <w:b/>
          <w:sz w:val="22"/>
        </w:rPr>
      </w:pPr>
    </w:p>
    <w:p w14:paraId="3E09AC99" w14:textId="77777777" w:rsidR="00901876" w:rsidRDefault="00901876" w:rsidP="00901876">
      <w:pPr>
        <w:pStyle w:val="ListParagraph"/>
        <w:numPr>
          <w:ilvl w:val="1"/>
          <w:numId w:val="2"/>
        </w:numPr>
        <w:jc w:val="both"/>
        <w:rPr>
          <w:rFonts w:asciiTheme="minorHAnsi" w:eastAsiaTheme="minorHAnsi" w:hAnsiTheme="minorHAnsi"/>
          <w:sz w:val="22"/>
        </w:rPr>
      </w:pPr>
      <w:r>
        <w:rPr>
          <w:rFonts w:asciiTheme="minorHAnsi" w:eastAsiaTheme="minorHAnsi" w:hAnsiTheme="minorHAnsi"/>
          <w:sz w:val="22"/>
        </w:rPr>
        <w:t>La consultoría realizará</w:t>
      </w:r>
      <w:r w:rsidRPr="00A72FF9">
        <w:rPr>
          <w:rFonts w:asciiTheme="minorHAnsi" w:eastAsiaTheme="minorHAnsi" w:hAnsiTheme="minorHAnsi"/>
          <w:sz w:val="22"/>
        </w:rPr>
        <w:t xml:space="preserve"> la revisión y validación del criterio de análisis sobre el impacto de los efectos del cambio climático en los patrones de precipitación y en las mareas.</w:t>
      </w:r>
    </w:p>
    <w:p w14:paraId="142F31AB" w14:textId="77777777" w:rsidR="00901876" w:rsidRPr="00DA362E" w:rsidRDefault="00901876" w:rsidP="00901876">
      <w:pPr>
        <w:pStyle w:val="ListParagraph"/>
        <w:jc w:val="both"/>
        <w:rPr>
          <w:rFonts w:asciiTheme="minorHAnsi" w:eastAsiaTheme="minorHAnsi" w:hAnsiTheme="minorHAnsi"/>
          <w:sz w:val="22"/>
        </w:rPr>
      </w:pPr>
    </w:p>
    <w:p w14:paraId="7191168E" w14:textId="77777777" w:rsidR="00901876" w:rsidRPr="004E15EB" w:rsidRDefault="00901876" w:rsidP="00901876">
      <w:pPr>
        <w:pStyle w:val="ListParagraph"/>
        <w:numPr>
          <w:ilvl w:val="1"/>
          <w:numId w:val="2"/>
        </w:numPr>
        <w:jc w:val="both"/>
        <w:rPr>
          <w:rFonts w:asciiTheme="minorHAnsi" w:eastAsiaTheme="minorHAnsi" w:hAnsiTheme="minorHAnsi"/>
          <w:sz w:val="22"/>
        </w:rPr>
      </w:pPr>
      <w:r w:rsidRPr="009B3E85">
        <w:rPr>
          <w:rFonts w:asciiTheme="minorHAnsi" w:eastAsiaTheme="minorHAnsi" w:hAnsiTheme="minorHAnsi"/>
          <w:sz w:val="22"/>
        </w:rPr>
        <w:t xml:space="preserve">En caso de ser necesario </w:t>
      </w:r>
      <w:r>
        <w:rPr>
          <w:rFonts w:asciiTheme="minorHAnsi" w:eastAsiaTheme="minorHAnsi" w:hAnsiTheme="minorHAnsi"/>
          <w:sz w:val="22"/>
        </w:rPr>
        <w:t xml:space="preserve">se deberá </w:t>
      </w:r>
      <w:r w:rsidRPr="009B3E85">
        <w:rPr>
          <w:rFonts w:asciiTheme="minorHAnsi" w:eastAsiaTheme="minorHAnsi" w:hAnsiTheme="minorHAnsi"/>
          <w:sz w:val="22"/>
        </w:rPr>
        <w:t>actualizar el análisis y obtener las nuevas curvas IDF y los hidrogramas de diseño para tiempos de retorno de 10, 20 y 100 años, así como la información relacionada con las series de mareas.</w:t>
      </w:r>
    </w:p>
    <w:p w14:paraId="661B3095" w14:textId="77777777" w:rsidR="00901876" w:rsidRPr="004E15EB" w:rsidRDefault="00901876" w:rsidP="00901876">
      <w:pPr>
        <w:pStyle w:val="ListParagraph"/>
        <w:ind w:left="792"/>
        <w:jc w:val="both"/>
        <w:rPr>
          <w:rFonts w:asciiTheme="minorHAnsi" w:eastAsiaTheme="minorHAnsi" w:hAnsiTheme="minorHAnsi"/>
          <w:b/>
          <w:sz w:val="22"/>
        </w:rPr>
      </w:pPr>
    </w:p>
    <w:p w14:paraId="3C23ACA8" w14:textId="77777777" w:rsidR="00901876" w:rsidRDefault="00901876" w:rsidP="00901876">
      <w:pPr>
        <w:pStyle w:val="ListParagraph"/>
        <w:numPr>
          <w:ilvl w:val="1"/>
          <w:numId w:val="2"/>
        </w:numPr>
        <w:jc w:val="both"/>
        <w:rPr>
          <w:rFonts w:asciiTheme="minorHAnsi" w:eastAsiaTheme="minorHAnsi" w:hAnsiTheme="minorHAnsi"/>
          <w:b/>
          <w:sz w:val="22"/>
        </w:rPr>
      </w:pPr>
      <w:r w:rsidRPr="00F61CEB">
        <w:rPr>
          <w:rFonts w:asciiTheme="minorHAnsi" w:eastAsiaTheme="minorHAnsi" w:hAnsiTheme="minorHAnsi"/>
          <w:b/>
          <w:sz w:val="22"/>
        </w:rPr>
        <w:t>Actividad 4 - Revisión, Validación, Actualización de la Topo-Batimetría del Cauce Fluvial.</w:t>
      </w:r>
    </w:p>
    <w:p w14:paraId="3FA36B6B" w14:textId="77777777" w:rsidR="00901876" w:rsidRPr="007843C3" w:rsidRDefault="00901876" w:rsidP="00901876">
      <w:pPr>
        <w:pStyle w:val="ListParagraph"/>
        <w:jc w:val="both"/>
        <w:rPr>
          <w:rFonts w:asciiTheme="minorHAnsi" w:hAnsiTheme="minorHAnsi" w:cstheme="minorHAnsi"/>
          <w:sz w:val="22"/>
        </w:rPr>
      </w:pPr>
    </w:p>
    <w:p w14:paraId="7B5CBF29" w14:textId="77777777" w:rsidR="00901876" w:rsidRPr="00BC60DC" w:rsidRDefault="00901876" w:rsidP="00901876">
      <w:pPr>
        <w:pStyle w:val="ListParagraph"/>
        <w:numPr>
          <w:ilvl w:val="1"/>
          <w:numId w:val="2"/>
        </w:numPr>
        <w:tabs>
          <w:tab w:val="left" w:pos="990"/>
        </w:tabs>
        <w:jc w:val="both"/>
        <w:rPr>
          <w:rFonts w:asciiTheme="minorHAnsi" w:eastAsiaTheme="minorHAnsi" w:hAnsiTheme="minorHAnsi"/>
          <w:b/>
          <w:sz w:val="22"/>
        </w:rPr>
      </w:pPr>
      <w:r w:rsidRPr="007843C3">
        <w:rPr>
          <w:rFonts w:asciiTheme="minorHAnsi" w:hAnsiTheme="minorHAnsi" w:cstheme="minorHAnsi"/>
          <w:sz w:val="22"/>
        </w:rPr>
        <w:t>Se solicita la revisión y actualización de la topo-batimetría del cauce fluvial del Juan Díaz al interno del área de estudio delimitada por el modelo digital del terreno existente.</w:t>
      </w:r>
    </w:p>
    <w:p w14:paraId="301E7930" w14:textId="77777777" w:rsidR="00901876" w:rsidRPr="00BC60DC" w:rsidRDefault="00901876" w:rsidP="00901876">
      <w:pPr>
        <w:pStyle w:val="ListParagraph"/>
        <w:jc w:val="both"/>
        <w:rPr>
          <w:rFonts w:asciiTheme="minorHAnsi" w:eastAsiaTheme="minorHAnsi" w:hAnsiTheme="minorHAnsi"/>
          <w:b/>
          <w:sz w:val="22"/>
        </w:rPr>
      </w:pPr>
    </w:p>
    <w:p w14:paraId="1C1BF27E" w14:textId="77777777" w:rsidR="00901876" w:rsidRPr="004E7CB8" w:rsidRDefault="00901876" w:rsidP="00901876">
      <w:pPr>
        <w:pStyle w:val="ListParagraph"/>
        <w:numPr>
          <w:ilvl w:val="0"/>
          <w:numId w:val="4"/>
        </w:numPr>
        <w:jc w:val="both"/>
        <w:rPr>
          <w:rFonts w:asciiTheme="minorHAnsi" w:eastAsiaTheme="minorHAnsi" w:hAnsiTheme="minorHAnsi"/>
          <w:sz w:val="22"/>
        </w:rPr>
      </w:pPr>
      <w:r w:rsidRPr="004E7CB8">
        <w:rPr>
          <w:rFonts w:asciiTheme="minorHAnsi" w:eastAsiaTheme="minorHAnsi" w:hAnsiTheme="minorHAnsi"/>
          <w:sz w:val="22"/>
        </w:rPr>
        <w:t>El levantamiento debe incluir secciones representativas a lo largo de los 5355m de cauce fluvial correspondiente prestando particular atención en el levantamiento de las zonas de ubicación de las balsas de laminación y de la infraestructura vial (puentes).</w:t>
      </w:r>
    </w:p>
    <w:p w14:paraId="77328D42" w14:textId="77777777" w:rsidR="00901876" w:rsidRPr="004E7CB8" w:rsidRDefault="00901876" w:rsidP="00901876">
      <w:pPr>
        <w:pStyle w:val="ListParagraph"/>
        <w:numPr>
          <w:ilvl w:val="0"/>
          <w:numId w:val="4"/>
        </w:numPr>
        <w:jc w:val="both"/>
        <w:rPr>
          <w:rFonts w:asciiTheme="minorHAnsi" w:eastAsiaTheme="minorHAnsi" w:hAnsiTheme="minorHAnsi"/>
          <w:sz w:val="22"/>
        </w:rPr>
      </w:pPr>
      <w:r w:rsidRPr="004E7CB8">
        <w:rPr>
          <w:rFonts w:asciiTheme="minorHAnsi" w:eastAsiaTheme="minorHAnsi" w:hAnsiTheme="minorHAnsi"/>
          <w:sz w:val="22"/>
        </w:rPr>
        <w:lastRenderedPageBreak/>
        <w:t>La información relativa a cada sección transversal debe entregarse en formato CAD y adicionalmente debe ser integrada al modelo digital del terreno (MDT) existente para su actualización.</w:t>
      </w:r>
    </w:p>
    <w:p w14:paraId="696213BC" w14:textId="77777777" w:rsidR="00901876" w:rsidRPr="006C677A" w:rsidRDefault="00901876" w:rsidP="00901876">
      <w:pPr>
        <w:pStyle w:val="ListParagraph"/>
        <w:numPr>
          <w:ilvl w:val="0"/>
          <w:numId w:val="4"/>
        </w:numPr>
        <w:jc w:val="both"/>
        <w:rPr>
          <w:rFonts w:asciiTheme="minorHAnsi" w:eastAsiaTheme="minorHAnsi" w:hAnsiTheme="minorHAnsi"/>
          <w:sz w:val="22"/>
        </w:rPr>
      </w:pPr>
      <w:r w:rsidRPr="004E7CB8">
        <w:rPr>
          <w:rFonts w:asciiTheme="minorHAnsi" w:eastAsiaTheme="minorHAnsi" w:hAnsiTheme="minorHAnsi"/>
          <w:sz w:val="22"/>
        </w:rPr>
        <w:t>La información debe entregarse georreferenciada al sistema Universal Transversal Mercator (UTM) WGS 84 UTM Zone 17N</w:t>
      </w:r>
    </w:p>
    <w:p w14:paraId="729C0FC0" w14:textId="77777777" w:rsidR="00901876" w:rsidRPr="004E15EB" w:rsidRDefault="00901876" w:rsidP="00901876">
      <w:pPr>
        <w:contextualSpacing/>
        <w:jc w:val="both"/>
        <w:rPr>
          <w:rFonts w:asciiTheme="minorHAnsi" w:eastAsiaTheme="minorHAnsi" w:hAnsiTheme="minorHAnsi"/>
          <w:b/>
          <w:sz w:val="22"/>
        </w:rPr>
      </w:pPr>
    </w:p>
    <w:p w14:paraId="68152DA3" w14:textId="77777777" w:rsidR="00901876" w:rsidRPr="00FD5817" w:rsidRDefault="00901876" w:rsidP="00901876">
      <w:pPr>
        <w:pStyle w:val="ListParagraph"/>
        <w:numPr>
          <w:ilvl w:val="1"/>
          <w:numId w:val="2"/>
        </w:numPr>
        <w:tabs>
          <w:tab w:val="left" w:pos="990"/>
          <w:tab w:val="left" w:pos="1350"/>
        </w:tabs>
        <w:jc w:val="both"/>
        <w:rPr>
          <w:rFonts w:asciiTheme="minorHAnsi" w:eastAsiaTheme="minorHAnsi" w:hAnsiTheme="minorHAnsi"/>
          <w:b/>
          <w:sz w:val="22"/>
        </w:rPr>
      </w:pPr>
      <w:r w:rsidRPr="00FD5817">
        <w:rPr>
          <w:rFonts w:asciiTheme="minorHAnsi" w:eastAsiaTheme="minorHAnsi" w:hAnsiTheme="minorHAnsi"/>
          <w:b/>
          <w:sz w:val="22"/>
        </w:rPr>
        <w:t>Actividad 5 – Modelaje hidrodinámico del Cauce del Río Juan Díaz</w:t>
      </w:r>
    </w:p>
    <w:p w14:paraId="0F84ADD8" w14:textId="77777777" w:rsidR="00901876" w:rsidRDefault="00901876" w:rsidP="00901876">
      <w:pPr>
        <w:pStyle w:val="ListParagraph"/>
        <w:jc w:val="both"/>
        <w:rPr>
          <w:rFonts w:asciiTheme="minorHAnsi" w:eastAsiaTheme="minorHAnsi" w:hAnsiTheme="minorHAnsi"/>
          <w:b/>
          <w:sz w:val="22"/>
        </w:rPr>
      </w:pPr>
    </w:p>
    <w:p w14:paraId="700DF2F6" w14:textId="77777777" w:rsidR="00901876" w:rsidRPr="008E01CF" w:rsidRDefault="00901876" w:rsidP="00901876">
      <w:pPr>
        <w:pStyle w:val="ListParagraph"/>
        <w:numPr>
          <w:ilvl w:val="1"/>
          <w:numId w:val="2"/>
        </w:numPr>
        <w:tabs>
          <w:tab w:val="left" w:pos="990"/>
        </w:tabs>
        <w:jc w:val="both"/>
        <w:rPr>
          <w:rFonts w:asciiTheme="minorHAnsi" w:eastAsiaTheme="minorHAnsi" w:hAnsiTheme="minorHAnsi"/>
          <w:sz w:val="22"/>
        </w:rPr>
      </w:pPr>
      <w:r w:rsidRPr="008E01CF">
        <w:rPr>
          <w:rFonts w:asciiTheme="minorHAnsi" w:eastAsiaTheme="minorHAnsi" w:hAnsiTheme="minorHAnsi"/>
          <w:sz w:val="22"/>
        </w:rPr>
        <w:t xml:space="preserve">Utilizando el MDT actualizado obtenido en la actividad 4 se solicita implementar un modelaje hidrodinámico bidimensional utilizando ya sea un modelo de licencia libre o el modelo Hydro-BID Flood para evaluar la eficiencia de las obras de control de inundaciones y estabilización de cauce y el efecto de las mismas. El estudio debe incluir una estimación de la capacidad de arrastre de sedimentos del Río para la localización de posibles zonas de erosión y depósito y como se altera esta condición con las obras propuestas. Las simulaciones del modelo deberán incluir escenarios en Ante y Post-Operam que contemplen periodos de retorno comprendidos entre 10 y 500 años. </w:t>
      </w:r>
    </w:p>
    <w:p w14:paraId="622EA9BF" w14:textId="77777777" w:rsidR="00901876" w:rsidRPr="008F1789" w:rsidRDefault="00901876" w:rsidP="00901876">
      <w:pPr>
        <w:pStyle w:val="ListParagraph"/>
        <w:numPr>
          <w:ilvl w:val="1"/>
          <w:numId w:val="2"/>
        </w:numPr>
        <w:tabs>
          <w:tab w:val="left" w:pos="990"/>
        </w:tabs>
        <w:jc w:val="both"/>
        <w:rPr>
          <w:rFonts w:asciiTheme="minorHAnsi" w:eastAsiaTheme="minorHAnsi" w:hAnsiTheme="minorHAnsi"/>
          <w:sz w:val="22"/>
        </w:rPr>
      </w:pPr>
      <w:r w:rsidRPr="008F1789">
        <w:rPr>
          <w:rFonts w:asciiTheme="minorHAnsi" w:eastAsiaTheme="minorHAnsi" w:hAnsiTheme="minorHAnsi"/>
          <w:sz w:val="22"/>
        </w:rPr>
        <w:t>En base a los resultados de las actividades 1 y 2 se solicita la actualización de las condiciones de contorno a utilizar durante las simulaciones hidrodinámicas. Se solita adicionalmente analizar e indicar si las condiciones iniciales y de contorno indicadas en el estudio de referencia son suficientes y adecuadas para la simulación de los eventos a analizar y en caso contrario actualizar las mismas.</w:t>
      </w:r>
    </w:p>
    <w:p w14:paraId="3332F142" w14:textId="77777777" w:rsidR="00901876" w:rsidRPr="009A0FE6" w:rsidRDefault="00901876" w:rsidP="00901876">
      <w:pPr>
        <w:pStyle w:val="ListParagraph"/>
        <w:numPr>
          <w:ilvl w:val="1"/>
          <w:numId w:val="2"/>
        </w:numPr>
        <w:tabs>
          <w:tab w:val="left" w:pos="990"/>
        </w:tabs>
        <w:jc w:val="both"/>
        <w:rPr>
          <w:rFonts w:asciiTheme="minorHAnsi" w:eastAsiaTheme="minorHAnsi" w:hAnsiTheme="minorHAnsi"/>
          <w:sz w:val="22"/>
        </w:rPr>
      </w:pPr>
      <w:r w:rsidRPr="009A0FE6">
        <w:rPr>
          <w:rFonts w:asciiTheme="minorHAnsi" w:eastAsiaTheme="minorHAnsi" w:hAnsiTheme="minorHAnsi"/>
          <w:sz w:val="22"/>
        </w:rPr>
        <w:t xml:space="preserve">De ser necesario </w:t>
      </w:r>
      <w:r>
        <w:rPr>
          <w:rFonts w:asciiTheme="minorHAnsi" w:eastAsiaTheme="minorHAnsi" w:hAnsiTheme="minorHAnsi"/>
          <w:sz w:val="22"/>
        </w:rPr>
        <w:t xml:space="preserve">en base a los resultados de la actividad 3, </w:t>
      </w:r>
      <w:r w:rsidRPr="009A0FE6">
        <w:rPr>
          <w:rFonts w:asciiTheme="minorHAnsi" w:eastAsiaTheme="minorHAnsi" w:hAnsiTheme="minorHAnsi"/>
          <w:sz w:val="22"/>
        </w:rPr>
        <w:t>se deben incluir simulaciones incluyendo el efecto del cambio climático para la tormenta de diseño (TR=100 años) a fin de validar la resiliencia de la solución propuesta.</w:t>
      </w:r>
    </w:p>
    <w:p w14:paraId="445E47E5" w14:textId="77777777" w:rsidR="00901876" w:rsidRPr="00295B95" w:rsidRDefault="00901876" w:rsidP="00901876">
      <w:pPr>
        <w:pStyle w:val="ListParagraph"/>
        <w:numPr>
          <w:ilvl w:val="1"/>
          <w:numId w:val="2"/>
        </w:numPr>
        <w:tabs>
          <w:tab w:val="left" w:pos="990"/>
        </w:tabs>
        <w:jc w:val="both"/>
        <w:rPr>
          <w:rFonts w:asciiTheme="minorHAnsi" w:eastAsiaTheme="minorHAnsi" w:hAnsiTheme="minorHAnsi"/>
          <w:sz w:val="22"/>
        </w:rPr>
      </w:pPr>
      <w:r w:rsidRPr="00295B95">
        <w:rPr>
          <w:rFonts w:asciiTheme="minorHAnsi" w:eastAsiaTheme="minorHAnsi" w:hAnsiTheme="minorHAnsi"/>
          <w:sz w:val="22"/>
        </w:rPr>
        <w:t>El producto de este componente será un informe técnico que incluirá, hipótesis y metodología de trabajo, datos utilizados, metodología utilizada para calibración del modelo y consideraciones sobre la eficiencia de las estructuras o trabajos previstos y en caso de ser necesario indicar las posibles recomendaciones sobre modificaciones a ser incorporadas en los diseños finales. Shape files y Mapas digitales en formato A3 de las condiciones Ante y Post-operam para cada TR analizado.</w:t>
      </w:r>
    </w:p>
    <w:p w14:paraId="6FF8EAA4" w14:textId="77777777" w:rsidR="00901876" w:rsidRDefault="00901876" w:rsidP="00901876">
      <w:pPr>
        <w:numPr>
          <w:ilvl w:val="1"/>
          <w:numId w:val="2"/>
        </w:numPr>
        <w:tabs>
          <w:tab w:val="left" w:pos="990"/>
        </w:tabs>
        <w:autoSpaceDE/>
        <w:autoSpaceDN/>
        <w:adjustRightInd/>
        <w:contextualSpacing/>
        <w:jc w:val="both"/>
        <w:rPr>
          <w:rFonts w:asciiTheme="minorHAnsi" w:eastAsiaTheme="minorHAnsi" w:hAnsiTheme="minorHAnsi"/>
          <w:sz w:val="22"/>
        </w:rPr>
      </w:pPr>
      <w:r w:rsidRPr="00C62960">
        <w:rPr>
          <w:rFonts w:asciiTheme="minorHAnsi" w:eastAsiaTheme="minorHAnsi" w:hAnsiTheme="minorHAnsi"/>
          <w:sz w:val="22"/>
        </w:rPr>
        <w:t>Se requiere la entrega de todos los archivos de entrada y de apoyo necesarios para la realización de las simulaciones</w:t>
      </w:r>
      <w:r>
        <w:rPr>
          <w:rFonts w:asciiTheme="minorHAnsi" w:eastAsiaTheme="minorHAnsi" w:hAnsiTheme="minorHAnsi"/>
          <w:sz w:val="22"/>
        </w:rPr>
        <w:t>.</w:t>
      </w:r>
      <w:r w:rsidRPr="003635F3">
        <w:rPr>
          <w:rFonts w:asciiTheme="minorHAnsi" w:eastAsiaTheme="minorHAnsi" w:hAnsiTheme="minorHAnsi"/>
          <w:sz w:val="22"/>
        </w:rPr>
        <w:t xml:space="preserve"> </w:t>
      </w:r>
    </w:p>
    <w:p w14:paraId="3B4E763C" w14:textId="77777777" w:rsidR="00901876" w:rsidRPr="008D1059" w:rsidRDefault="00901876" w:rsidP="00901876">
      <w:pPr>
        <w:pStyle w:val="ListParagraph"/>
        <w:numPr>
          <w:ilvl w:val="1"/>
          <w:numId w:val="2"/>
        </w:numPr>
        <w:tabs>
          <w:tab w:val="left" w:pos="990"/>
        </w:tabs>
        <w:jc w:val="both"/>
        <w:rPr>
          <w:rFonts w:asciiTheme="minorHAnsi" w:eastAsiaTheme="minorHAnsi" w:hAnsiTheme="minorHAnsi"/>
          <w:sz w:val="22"/>
        </w:rPr>
      </w:pPr>
      <w:r w:rsidRPr="008D1059">
        <w:rPr>
          <w:rFonts w:asciiTheme="minorHAnsi" w:eastAsiaTheme="minorHAnsi" w:hAnsiTheme="minorHAnsi"/>
          <w:sz w:val="22"/>
        </w:rPr>
        <w:t>La información debe entregarse georreferenciada al sistema Universal Transversal Mercator (UTM) WGS 84 UTM Zone 17N</w:t>
      </w:r>
    </w:p>
    <w:p w14:paraId="4C1AC1EC" w14:textId="77777777" w:rsidR="00901876" w:rsidRDefault="00901876" w:rsidP="00901876">
      <w:pPr>
        <w:ind w:left="792"/>
        <w:contextualSpacing/>
        <w:jc w:val="both"/>
        <w:rPr>
          <w:rFonts w:asciiTheme="minorHAnsi" w:eastAsiaTheme="minorHAnsi" w:hAnsiTheme="minorHAnsi"/>
          <w:b/>
          <w:sz w:val="22"/>
        </w:rPr>
      </w:pPr>
    </w:p>
    <w:p w14:paraId="398E6AAE" w14:textId="77777777" w:rsidR="00901876" w:rsidRDefault="00901876" w:rsidP="00901876">
      <w:pPr>
        <w:numPr>
          <w:ilvl w:val="0"/>
          <w:numId w:val="2"/>
        </w:numPr>
        <w:autoSpaceDE/>
        <w:autoSpaceDN/>
        <w:adjustRightInd/>
        <w:contextualSpacing/>
        <w:jc w:val="both"/>
        <w:rPr>
          <w:rFonts w:asciiTheme="minorHAnsi" w:eastAsiaTheme="minorHAnsi" w:hAnsiTheme="minorHAnsi"/>
          <w:b/>
          <w:sz w:val="22"/>
          <w:u w:val="single"/>
        </w:rPr>
      </w:pPr>
      <w:r>
        <w:rPr>
          <w:rFonts w:asciiTheme="minorHAnsi" w:eastAsiaTheme="minorHAnsi" w:hAnsiTheme="minorHAnsi"/>
          <w:b/>
          <w:sz w:val="22"/>
          <w:u w:val="single"/>
        </w:rPr>
        <w:t>Productos Esperados, Calendario del Proyecto e Hitos</w:t>
      </w:r>
    </w:p>
    <w:p w14:paraId="279F56ED" w14:textId="77777777" w:rsidR="00901876" w:rsidRDefault="00901876" w:rsidP="00901876">
      <w:pPr>
        <w:ind w:left="360"/>
        <w:contextualSpacing/>
        <w:jc w:val="both"/>
        <w:rPr>
          <w:rFonts w:asciiTheme="minorHAnsi" w:eastAsiaTheme="minorHAnsi" w:hAnsiTheme="minorHAnsi"/>
          <w:b/>
          <w:sz w:val="22"/>
          <w:u w:val="single"/>
        </w:rPr>
      </w:pPr>
    </w:p>
    <w:p w14:paraId="26D6810A" w14:textId="77777777" w:rsidR="00901876" w:rsidRPr="00FA1433" w:rsidRDefault="00901876" w:rsidP="00901876">
      <w:pPr>
        <w:ind w:left="360"/>
        <w:contextualSpacing/>
        <w:jc w:val="both"/>
        <w:rPr>
          <w:rFonts w:asciiTheme="minorHAnsi" w:eastAsiaTheme="minorHAnsi" w:hAnsiTheme="minorHAnsi"/>
          <w:bCs/>
          <w:sz w:val="22"/>
        </w:rPr>
      </w:pPr>
      <w:r w:rsidRPr="00FA1433">
        <w:rPr>
          <w:rFonts w:asciiTheme="minorHAnsi" w:eastAsiaTheme="minorHAnsi" w:hAnsiTheme="minorHAnsi"/>
          <w:bCs/>
          <w:sz w:val="22"/>
        </w:rPr>
        <w:t>La duración total de la consultoría es de 6 meses.</w:t>
      </w:r>
      <w:r>
        <w:rPr>
          <w:rFonts w:asciiTheme="minorHAnsi" w:eastAsiaTheme="minorHAnsi" w:hAnsiTheme="minorHAnsi"/>
          <w:bCs/>
          <w:sz w:val="22"/>
        </w:rPr>
        <w:t xml:space="preserve"> Los productos esperados se detallan a continuación:</w:t>
      </w:r>
    </w:p>
    <w:p w14:paraId="0E21264A" w14:textId="77777777" w:rsidR="00901876" w:rsidRDefault="00901876" w:rsidP="00901876">
      <w:pPr>
        <w:ind w:left="360"/>
        <w:contextualSpacing/>
        <w:jc w:val="both"/>
        <w:rPr>
          <w:rFonts w:asciiTheme="minorHAnsi" w:eastAsiaTheme="minorHAnsi" w:hAnsiTheme="minorHAnsi"/>
          <w:b/>
          <w:sz w:val="22"/>
          <w:u w:val="single"/>
        </w:rPr>
      </w:pPr>
    </w:p>
    <w:p w14:paraId="28C6AD91" w14:textId="77777777" w:rsidR="00901876" w:rsidRPr="003635F3" w:rsidRDefault="00901876" w:rsidP="00901876">
      <w:pPr>
        <w:numPr>
          <w:ilvl w:val="1"/>
          <w:numId w:val="2"/>
        </w:numPr>
        <w:autoSpaceDE/>
        <w:autoSpaceDN/>
        <w:adjustRightInd/>
        <w:contextualSpacing/>
        <w:jc w:val="both"/>
        <w:rPr>
          <w:rFonts w:asciiTheme="minorHAnsi" w:eastAsiaTheme="minorHAnsi" w:hAnsiTheme="minorHAnsi"/>
          <w:i/>
          <w:sz w:val="22"/>
        </w:rPr>
      </w:pPr>
      <w:bookmarkStart w:id="2" w:name="_Hlk526348512"/>
      <w:r w:rsidRPr="003635F3">
        <w:rPr>
          <w:rFonts w:asciiTheme="minorHAnsi" w:eastAsiaTheme="minorHAnsi" w:hAnsiTheme="minorHAnsi"/>
          <w:sz w:val="22"/>
        </w:rPr>
        <w:t xml:space="preserve">Producto 1:  </w:t>
      </w:r>
      <w:r>
        <w:rPr>
          <w:rFonts w:asciiTheme="minorHAnsi" w:eastAsiaTheme="minorHAnsi" w:hAnsiTheme="minorHAnsi"/>
          <w:sz w:val="22"/>
        </w:rPr>
        <w:t>Plan de trabajo y metodología detallada. Deberá ser entregado 15 días luego de la firma del contrato.</w:t>
      </w:r>
    </w:p>
    <w:p w14:paraId="68FD4E7E" w14:textId="77777777" w:rsidR="00901876" w:rsidRPr="00654E20" w:rsidRDefault="00901876" w:rsidP="00901876">
      <w:pPr>
        <w:pStyle w:val="ListParagraph"/>
        <w:numPr>
          <w:ilvl w:val="1"/>
          <w:numId w:val="2"/>
        </w:numPr>
        <w:jc w:val="both"/>
        <w:rPr>
          <w:rFonts w:asciiTheme="minorHAnsi" w:eastAsiaTheme="minorHAnsi" w:hAnsiTheme="minorHAnsi"/>
          <w:sz w:val="22"/>
        </w:rPr>
      </w:pPr>
      <w:r w:rsidRPr="00654E20">
        <w:rPr>
          <w:rFonts w:asciiTheme="minorHAnsi" w:eastAsiaTheme="minorHAnsi" w:hAnsiTheme="minorHAnsi"/>
          <w:sz w:val="22"/>
        </w:rPr>
        <w:t>Producto 2:  Informe de validación, revisión y actualización de Condiciones Iniciales y de Contorno (Hidrología, Mareas, Cambio Climático)</w:t>
      </w:r>
      <w:r>
        <w:rPr>
          <w:rFonts w:asciiTheme="minorHAnsi" w:eastAsiaTheme="minorHAnsi" w:hAnsiTheme="minorHAnsi"/>
          <w:sz w:val="22"/>
        </w:rPr>
        <w:t>. Deberá ser entregado a los 45 días luego de la firma del contrato.</w:t>
      </w:r>
    </w:p>
    <w:p w14:paraId="58B9282A" w14:textId="77777777" w:rsidR="00901876" w:rsidRPr="000733FB" w:rsidRDefault="00901876" w:rsidP="00901876">
      <w:pPr>
        <w:pStyle w:val="ListParagraph"/>
        <w:numPr>
          <w:ilvl w:val="1"/>
          <w:numId w:val="2"/>
        </w:numPr>
        <w:jc w:val="both"/>
        <w:rPr>
          <w:rFonts w:asciiTheme="minorHAnsi" w:eastAsiaTheme="minorHAnsi" w:hAnsiTheme="minorHAnsi"/>
          <w:sz w:val="22"/>
        </w:rPr>
      </w:pPr>
      <w:r w:rsidRPr="000733FB">
        <w:rPr>
          <w:rFonts w:asciiTheme="minorHAnsi" w:eastAsiaTheme="minorHAnsi" w:hAnsiTheme="minorHAnsi"/>
          <w:sz w:val="22"/>
        </w:rPr>
        <w:t>Producto 3: Informe de validación, revisión y actualización de Topografía</w:t>
      </w:r>
      <w:r>
        <w:rPr>
          <w:rFonts w:asciiTheme="minorHAnsi" w:eastAsiaTheme="minorHAnsi" w:hAnsiTheme="minorHAnsi"/>
          <w:sz w:val="22"/>
        </w:rPr>
        <w:t xml:space="preserve"> y actualización del Modelo Digital del Terreno. Deberá ser entregado a los 90 días luego de la firma del contrato.</w:t>
      </w:r>
    </w:p>
    <w:p w14:paraId="5246BEC7" w14:textId="77777777" w:rsidR="00901876" w:rsidRPr="004604D9" w:rsidRDefault="00901876" w:rsidP="00901876">
      <w:pPr>
        <w:pStyle w:val="ListParagraph"/>
        <w:numPr>
          <w:ilvl w:val="1"/>
          <w:numId w:val="2"/>
        </w:numPr>
        <w:jc w:val="both"/>
        <w:rPr>
          <w:rFonts w:asciiTheme="minorHAnsi" w:eastAsiaTheme="minorHAnsi" w:hAnsiTheme="minorHAnsi"/>
          <w:sz w:val="22"/>
        </w:rPr>
      </w:pPr>
      <w:r w:rsidRPr="00E96F31">
        <w:rPr>
          <w:rFonts w:asciiTheme="minorHAnsi" w:eastAsiaTheme="minorHAnsi" w:hAnsiTheme="minorHAnsi"/>
          <w:sz w:val="22"/>
        </w:rPr>
        <w:t>Producto 4: Informe Técnico de Simulación Hidrodinámica</w:t>
      </w:r>
      <w:r>
        <w:rPr>
          <w:rFonts w:asciiTheme="minorHAnsi" w:eastAsiaTheme="minorHAnsi" w:hAnsiTheme="minorHAnsi"/>
          <w:sz w:val="22"/>
        </w:rPr>
        <w:t xml:space="preserve"> y entrega de p</w:t>
      </w:r>
      <w:r w:rsidRPr="004604D9">
        <w:rPr>
          <w:rFonts w:asciiTheme="minorHAnsi" w:eastAsiaTheme="minorHAnsi" w:hAnsiTheme="minorHAnsi"/>
          <w:sz w:val="22"/>
        </w:rPr>
        <w:t xml:space="preserve">aquete digital datos en información complementaria, </w:t>
      </w:r>
      <w:r>
        <w:rPr>
          <w:rFonts w:asciiTheme="minorHAnsi" w:eastAsiaTheme="minorHAnsi" w:hAnsiTheme="minorHAnsi"/>
          <w:sz w:val="22"/>
        </w:rPr>
        <w:t xml:space="preserve">así como datos </w:t>
      </w:r>
      <w:r w:rsidRPr="004604D9">
        <w:rPr>
          <w:rFonts w:asciiTheme="minorHAnsi" w:eastAsiaTheme="minorHAnsi" w:hAnsiTheme="minorHAnsi"/>
          <w:sz w:val="22"/>
        </w:rPr>
        <w:t>de entrada y salida de los modelos.</w:t>
      </w:r>
      <w:r>
        <w:rPr>
          <w:rFonts w:asciiTheme="minorHAnsi" w:eastAsiaTheme="minorHAnsi" w:hAnsiTheme="minorHAnsi"/>
          <w:sz w:val="22"/>
        </w:rPr>
        <w:t xml:space="preserve"> Deberá ser entregado a los 150 días meses luego de la firma del contrato.</w:t>
      </w:r>
    </w:p>
    <w:p w14:paraId="7F11CB3B" w14:textId="77777777" w:rsidR="00901876" w:rsidRPr="003635F3" w:rsidRDefault="00901876" w:rsidP="00901876">
      <w:pPr>
        <w:numPr>
          <w:ilvl w:val="1"/>
          <w:numId w:val="2"/>
        </w:numPr>
        <w:autoSpaceDE/>
        <w:autoSpaceDN/>
        <w:adjustRightInd/>
        <w:contextualSpacing/>
        <w:jc w:val="both"/>
        <w:rPr>
          <w:rFonts w:asciiTheme="minorHAnsi" w:eastAsiaTheme="minorHAnsi" w:hAnsiTheme="minorHAnsi"/>
          <w:i/>
          <w:sz w:val="22"/>
        </w:rPr>
      </w:pPr>
      <w:r>
        <w:rPr>
          <w:rFonts w:asciiTheme="minorHAnsi" w:eastAsiaTheme="minorHAnsi" w:hAnsiTheme="minorHAnsi"/>
          <w:sz w:val="22"/>
        </w:rPr>
        <w:t>Producto 5</w:t>
      </w:r>
      <w:r w:rsidRPr="003635F3">
        <w:rPr>
          <w:rFonts w:asciiTheme="minorHAnsi" w:eastAsiaTheme="minorHAnsi" w:hAnsiTheme="minorHAnsi"/>
          <w:sz w:val="22"/>
        </w:rPr>
        <w:t xml:space="preserve">: </w:t>
      </w:r>
      <w:r>
        <w:rPr>
          <w:rFonts w:asciiTheme="minorHAnsi" w:eastAsiaTheme="minorHAnsi" w:hAnsiTheme="minorHAnsi"/>
          <w:sz w:val="22"/>
        </w:rPr>
        <w:t>Presentación de los resultados del estudio, a ser entregado a los 180 días luego de la firma del contrato.</w:t>
      </w:r>
    </w:p>
    <w:bookmarkEnd w:id="2"/>
    <w:p w14:paraId="68AE88B2" w14:textId="77777777" w:rsidR="00901876" w:rsidRPr="00887926" w:rsidRDefault="00901876" w:rsidP="00901876">
      <w:pPr>
        <w:tabs>
          <w:tab w:val="left" w:pos="900"/>
        </w:tabs>
        <w:ind w:left="360"/>
        <w:contextualSpacing/>
        <w:jc w:val="both"/>
        <w:rPr>
          <w:rFonts w:asciiTheme="minorHAnsi" w:eastAsiaTheme="minorHAnsi" w:hAnsiTheme="minorHAnsi"/>
          <w:b/>
          <w:sz w:val="22"/>
          <w:u w:val="single"/>
        </w:rPr>
      </w:pPr>
    </w:p>
    <w:p w14:paraId="0ABF1505" w14:textId="77777777" w:rsidR="00901876" w:rsidRDefault="00901876" w:rsidP="00901876">
      <w:pPr>
        <w:numPr>
          <w:ilvl w:val="0"/>
          <w:numId w:val="2"/>
        </w:numPr>
        <w:autoSpaceDE/>
        <w:autoSpaceDN/>
        <w:adjustRightInd/>
        <w:contextualSpacing/>
        <w:jc w:val="both"/>
        <w:rPr>
          <w:rFonts w:asciiTheme="minorHAnsi" w:eastAsiaTheme="minorHAnsi" w:hAnsiTheme="minorHAnsi"/>
          <w:b/>
          <w:sz w:val="22"/>
          <w:u w:val="single"/>
        </w:rPr>
      </w:pPr>
      <w:r>
        <w:rPr>
          <w:rFonts w:asciiTheme="minorHAnsi" w:eastAsiaTheme="minorHAnsi" w:hAnsiTheme="minorHAnsi"/>
          <w:b/>
          <w:sz w:val="22"/>
          <w:u w:val="single"/>
        </w:rPr>
        <w:t>Requisitos de los Informes</w:t>
      </w:r>
    </w:p>
    <w:p w14:paraId="5F961A0F" w14:textId="77777777" w:rsidR="00901876" w:rsidRPr="004C0E48" w:rsidRDefault="00901876" w:rsidP="00901876">
      <w:pPr>
        <w:jc w:val="both"/>
        <w:rPr>
          <w:rFonts w:asciiTheme="minorHAnsi" w:eastAsiaTheme="minorHAnsi" w:hAnsiTheme="minorHAnsi"/>
          <w:b/>
          <w:sz w:val="22"/>
          <w:u w:val="single"/>
        </w:rPr>
      </w:pPr>
    </w:p>
    <w:p w14:paraId="1C72A8F6" w14:textId="77777777" w:rsidR="00901876" w:rsidRPr="004C0E48" w:rsidRDefault="00901876" w:rsidP="00901876">
      <w:pPr>
        <w:pStyle w:val="ListParagraph"/>
        <w:widowControl w:val="0"/>
        <w:numPr>
          <w:ilvl w:val="1"/>
          <w:numId w:val="2"/>
        </w:numPr>
        <w:tabs>
          <w:tab w:val="left" w:pos="360"/>
          <w:tab w:val="num" w:pos="900"/>
          <w:tab w:val="left" w:pos="9360"/>
        </w:tabs>
        <w:jc w:val="both"/>
        <w:rPr>
          <w:rFonts w:asciiTheme="minorHAnsi" w:eastAsiaTheme="minorHAnsi" w:hAnsiTheme="minorHAnsi"/>
          <w:sz w:val="22"/>
        </w:rPr>
      </w:pPr>
      <w:r w:rsidRPr="004C0E48">
        <w:rPr>
          <w:rFonts w:asciiTheme="minorHAnsi" w:eastAsiaTheme="minorHAnsi" w:hAnsiTheme="minorHAnsi"/>
          <w:sz w:val="22"/>
        </w:rPr>
        <w:t>Los productos deben presentarse en inglés y en español. Todos los informes se entregarán de la siguiente manera: i) los archivos electrónicos relevantes en MS Word, Excel u otra aplicación aceptable para el BID (deben incluir todos los anexos y apéndices); ii) un archivo PDF electrónico para cada informe completo. Estos informes y archivos electrónicos deben entregarse dentro de los límites de tiempo mencionados anteriormente.</w:t>
      </w:r>
    </w:p>
    <w:p w14:paraId="75C8B457" w14:textId="77777777" w:rsidR="00901876" w:rsidRPr="004C0E48" w:rsidRDefault="00901876" w:rsidP="00901876">
      <w:pPr>
        <w:pStyle w:val="ListParagraph"/>
        <w:widowControl w:val="0"/>
        <w:numPr>
          <w:ilvl w:val="1"/>
          <w:numId w:val="2"/>
        </w:numPr>
        <w:tabs>
          <w:tab w:val="left" w:pos="360"/>
          <w:tab w:val="num" w:pos="900"/>
          <w:tab w:val="left" w:pos="9360"/>
        </w:tabs>
        <w:jc w:val="both"/>
        <w:rPr>
          <w:rFonts w:asciiTheme="minorHAnsi" w:eastAsiaTheme="minorHAnsi" w:hAnsiTheme="minorHAnsi"/>
          <w:sz w:val="22"/>
        </w:rPr>
      </w:pPr>
      <w:r>
        <w:rPr>
          <w:rFonts w:asciiTheme="minorHAnsi" w:eastAsiaTheme="minorHAnsi" w:hAnsiTheme="minorHAnsi"/>
          <w:sz w:val="22"/>
        </w:rPr>
        <w:t>La firma consultora deberá proporcionar</w:t>
      </w:r>
      <w:r w:rsidRPr="004C0E48">
        <w:rPr>
          <w:rFonts w:asciiTheme="minorHAnsi" w:eastAsiaTheme="minorHAnsi" w:hAnsiTheme="minorHAnsi"/>
          <w:sz w:val="22"/>
        </w:rPr>
        <w:t xml:space="preserve"> copias de trabajo verificadas de todos los archivos</w:t>
      </w:r>
      <w:r>
        <w:rPr>
          <w:rFonts w:asciiTheme="minorHAnsi" w:eastAsiaTheme="minorHAnsi" w:hAnsiTheme="minorHAnsi"/>
          <w:sz w:val="22"/>
        </w:rPr>
        <w:t xml:space="preserve"> ejecutables</w:t>
      </w:r>
      <w:r w:rsidRPr="004C0E48">
        <w:rPr>
          <w:rFonts w:asciiTheme="minorHAnsi" w:eastAsiaTheme="minorHAnsi" w:hAnsiTheme="minorHAnsi"/>
          <w:sz w:val="22"/>
        </w:rPr>
        <w:t xml:space="preserve">, </w:t>
      </w:r>
      <w:r w:rsidRPr="004C0E48">
        <w:rPr>
          <w:rFonts w:asciiTheme="minorHAnsi" w:eastAsiaTheme="minorHAnsi" w:hAnsiTheme="minorHAnsi"/>
          <w:sz w:val="22"/>
        </w:rPr>
        <w:lastRenderedPageBreak/>
        <w:t xml:space="preserve">modelos, bases de datos y otros archivos creados </w:t>
      </w:r>
      <w:r>
        <w:rPr>
          <w:rFonts w:asciiTheme="minorHAnsi" w:eastAsiaTheme="minorHAnsi" w:hAnsiTheme="minorHAnsi"/>
          <w:sz w:val="22"/>
        </w:rPr>
        <w:t xml:space="preserve">y utilizados </w:t>
      </w:r>
      <w:r w:rsidRPr="004C0E48">
        <w:rPr>
          <w:rFonts w:asciiTheme="minorHAnsi" w:eastAsiaTheme="minorHAnsi" w:hAnsiTheme="minorHAnsi"/>
          <w:sz w:val="22"/>
        </w:rPr>
        <w:t>durante la consultoría.</w:t>
      </w:r>
    </w:p>
    <w:p w14:paraId="2FBB58AE" w14:textId="77777777" w:rsidR="00901876" w:rsidRPr="004C0E48" w:rsidRDefault="00901876" w:rsidP="00901876">
      <w:pPr>
        <w:pStyle w:val="ListParagraph"/>
        <w:widowControl w:val="0"/>
        <w:numPr>
          <w:ilvl w:val="1"/>
          <w:numId w:val="2"/>
        </w:numPr>
        <w:tabs>
          <w:tab w:val="left" w:pos="360"/>
          <w:tab w:val="num" w:pos="900"/>
          <w:tab w:val="left" w:pos="9360"/>
        </w:tabs>
        <w:jc w:val="both"/>
        <w:rPr>
          <w:rFonts w:asciiTheme="minorHAnsi" w:eastAsiaTheme="minorHAnsi" w:hAnsiTheme="minorHAnsi"/>
          <w:sz w:val="22"/>
        </w:rPr>
      </w:pPr>
      <w:r w:rsidRPr="004C0E48">
        <w:rPr>
          <w:rFonts w:asciiTheme="minorHAnsi" w:eastAsiaTheme="minorHAnsi" w:hAnsiTheme="minorHAnsi"/>
          <w:sz w:val="22"/>
        </w:rPr>
        <w:t>Además, los principales resultados de la consultoría se deben resumir en una presentación de MS PowerPoint en inglés y en español con un máximo de 30 diapositivas.</w:t>
      </w:r>
    </w:p>
    <w:p w14:paraId="4145D46B" w14:textId="77777777" w:rsidR="00901876" w:rsidRPr="004C0E48" w:rsidRDefault="00901876" w:rsidP="00901876">
      <w:pPr>
        <w:jc w:val="both"/>
        <w:rPr>
          <w:rFonts w:asciiTheme="minorHAnsi" w:eastAsiaTheme="minorHAnsi" w:hAnsiTheme="minorHAnsi"/>
          <w:b/>
          <w:sz w:val="22"/>
        </w:rPr>
      </w:pPr>
    </w:p>
    <w:p w14:paraId="2EF2D21B" w14:textId="77777777" w:rsidR="00901876" w:rsidRPr="004C0E48" w:rsidRDefault="00901876" w:rsidP="00901876">
      <w:pPr>
        <w:numPr>
          <w:ilvl w:val="0"/>
          <w:numId w:val="2"/>
        </w:numPr>
        <w:autoSpaceDE/>
        <w:autoSpaceDN/>
        <w:adjustRightInd/>
        <w:contextualSpacing/>
        <w:jc w:val="both"/>
        <w:rPr>
          <w:rFonts w:asciiTheme="minorHAnsi" w:eastAsiaTheme="minorHAnsi" w:hAnsiTheme="minorHAnsi"/>
          <w:b/>
          <w:sz w:val="22"/>
          <w:u w:val="single"/>
        </w:rPr>
      </w:pPr>
      <w:r>
        <w:rPr>
          <w:rFonts w:asciiTheme="minorHAnsi" w:eastAsiaTheme="minorHAnsi" w:hAnsiTheme="minorHAnsi"/>
          <w:b/>
          <w:sz w:val="22"/>
          <w:u w:val="single"/>
        </w:rPr>
        <w:t>Supervisió</w:t>
      </w:r>
      <w:r w:rsidRPr="004C0E48">
        <w:rPr>
          <w:rFonts w:asciiTheme="minorHAnsi" w:eastAsiaTheme="minorHAnsi" w:hAnsiTheme="minorHAnsi"/>
          <w:b/>
          <w:sz w:val="22"/>
          <w:u w:val="single"/>
        </w:rPr>
        <w:t>n</w:t>
      </w:r>
    </w:p>
    <w:p w14:paraId="3473295B" w14:textId="77777777" w:rsidR="00901876" w:rsidRPr="004C0E48" w:rsidRDefault="00901876" w:rsidP="00901876">
      <w:pPr>
        <w:shd w:val="clear" w:color="auto" w:fill="FFFFFF"/>
        <w:jc w:val="both"/>
        <w:rPr>
          <w:rFonts w:asciiTheme="minorHAnsi" w:hAnsiTheme="minorHAnsi"/>
          <w:color w:val="008800"/>
          <w:sz w:val="22"/>
        </w:rPr>
      </w:pPr>
    </w:p>
    <w:p w14:paraId="41064FD7" w14:textId="7469DF15" w:rsidR="00901876" w:rsidRPr="00FA1433" w:rsidRDefault="00901876" w:rsidP="00901876">
      <w:pPr>
        <w:numPr>
          <w:ilvl w:val="1"/>
          <w:numId w:val="2"/>
        </w:numPr>
        <w:shd w:val="clear" w:color="auto" w:fill="FFFFFF"/>
        <w:autoSpaceDE/>
        <w:autoSpaceDN/>
        <w:adjustRightInd/>
        <w:contextualSpacing/>
        <w:jc w:val="both"/>
        <w:rPr>
          <w:rFonts w:asciiTheme="minorHAnsi" w:eastAsiaTheme="minorHAnsi" w:hAnsiTheme="minorHAnsi"/>
          <w:sz w:val="22"/>
        </w:rPr>
      </w:pPr>
      <w:r w:rsidRPr="00FA1433">
        <w:rPr>
          <w:rFonts w:asciiTheme="minorHAnsi" w:eastAsiaTheme="minorHAnsi" w:hAnsiTheme="minorHAnsi"/>
          <w:sz w:val="22"/>
        </w:rPr>
        <w:t xml:space="preserve">La División de Agua y Saneamiento de la oficina del BID Panamá será la responsable de dar seguimiento a esta consultoría, en coordinación con la División de Desarrollo Urbano y Vivienda y la División de Cambio Climático.  La aprobación de los productos preparados por la firma consultora estará a cargo de Marco Antonio Cevallos (correo electrónico: </w:t>
      </w:r>
      <w:hyperlink r:id="rId21" w:history="1">
        <w:r w:rsidR="0010799F" w:rsidRPr="00721CE7">
          <w:rPr>
            <w:rStyle w:val="Hyperlink"/>
            <w:rFonts w:asciiTheme="minorHAnsi" w:eastAsiaTheme="minorHAnsi" w:hAnsiTheme="minorHAnsi"/>
            <w:sz w:val="22"/>
          </w:rPr>
          <w:t>marcoce@iadb.org</w:t>
        </w:r>
      </w:hyperlink>
      <w:r w:rsidRPr="00FA1433">
        <w:rPr>
          <w:rFonts w:asciiTheme="minorHAnsi" w:eastAsiaTheme="minorHAnsi" w:hAnsiTheme="minorHAnsi"/>
          <w:sz w:val="22"/>
        </w:rPr>
        <w:t>)</w:t>
      </w:r>
      <w:r w:rsidR="0010799F">
        <w:rPr>
          <w:rFonts w:asciiTheme="minorHAnsi" w:eastAsiaTheme="minorHAnsi" w:hAnsiTheme="minorHAnsi"/>
          <w:sz w:val="22"/>
        </w:rPr>
        <w:t xml:space="preserve"> y</w:t>
      </w:r>
      <w:r w:rsidR="0010799F" w:rsidRPr="0010799F">
        <w:rPr>
          <w:rFonts w:asciiTheme="minorHAnsi" w:eastAsiaTheme="minorHAnsi" w:hAnsiTheme="minorHAnsi"/>
          <w:sz w:val="22"/>
        </w:rPr>
        <w:t xml:space="preserve"> </w:t>
      </w:r>
      <w:r w:rsidR="0010799F" w:rsidRPr="00FA1433">
        <w:rPr>
          <w:rFonts w:asciiTheme="minorHAnsi" w:eastAsiaTheme="minorHAnsi" w:hAnsiTheme="minorHAnsi"/>
          <w:sz w:val="22"/>
        </w:rPr>
        <w:t>Omar Garzonio, Especialista</w:t>
      </w:r>
      <w:r w:rsidR="0010799F">
        <w:rPr>
          <w:rFonts w:asciiTheme="minorHAnsi" w:eastAsiaTheme="minorHAnsi" w:hAnsiTheme="minorHAnsi"/>
          <w:sz w:val="22"/>
        </w:rPr>
        <w:t>s de</w:t>
      </w:r>
      <w:r w:rsidR="0010799F" w:rsidRPr="00FA1433">
        <w:rPr>
          <w:rFonts w:asciiTheme="minorHAnsi" w:eastAsiaTheme="minorHAnsi" w:hAnsiTheme="minorHAnsi"/>
          <w:sz w:val="22"/>
        </w:rPr>
        <w:t xml:space="preserve"> Agua y Saneamiento (correo electrónico: </w:t>
      </w:r>
      <w:hyperlink r:id="rId22" w:history="1">
        <w:r w:rsidR="0010799F" w:rsidRPr="00721CE7">
          <w:rPr>
            <w:rStyle w:val="Hyperlink"/>
            <w:rFonts w:asciiTheme="minorHAnsi" w:eastAsiaTheme="minorHAnsi" w:hAnsiTheme="minorHAnsi"/>
            <w:sz w:val="22"/>
          </w:rPr>
          <w:t>omarg@iadb.org</w:t>
        </w:r>
      </w:hyperlink>
      <w:r w:rsidR="0010799F">
        <w:rPr>
          <w:rFonts w:asciiTheme="minorHAnsi" w:eastAsiaTheme="minorHAnsi" w:hAnsiTheme="minorHAnsi"/>
          <w:sz w:val="22"/>
        </w:rPr>
        <w:t xml:space="preserve"> </w:t>
      </w:r>
      <w:r w:rsidR="0010799F" w:rsidRPr="00FA1433">
        <w:rPr>
          <w:rFonts w:asciiTheme="minorHAnsi" w:eastAsiaTheme="minorHAnsi" w:hAnsiTheme="minorHAnsi"/>
          <w:sz w:val="22"/>
        </w:rPr>
        <w:t>)</w:t>
      </w:r>
      <w:r w:rsidR="0010799F">
        <w:rPr>
          <w:rFonts w:asciiTheme="minorHAnsi" w:eastAsiaTheme="minorHAnsi" w:hAnsiTheme="minorHAnsi"/>
          <w:sz w:val="22"/>
        </w:rPr>
        <w:t>.</w:t>
      </w:r>
    </w:p>
    <w:p w14:paraId="2A31C565" w14:textId="77777777" w:rsidR="00901876" w:rsidRPr="004C0E48" w:rsidRDefault="00901876" w:rsidP="00901876">
      <w:pPr>
        <w:shd w:val="clear" w:color="auto" w:fill="FFFFFF"/>
        <w:jc w:val="both"/>
        <w:rPr>
          <w:rFonts w:asciiTheme="minorHAnsi" w:hAnsiTheme="minorHAnsi"/>
          <w:color w:val="008800"/>
          <w:sz w:val="22"/>
        </w:rPr>
      </w:pPr>
    </w:p>
    <w:p w14:paraId="526E88CF" w14:textId="77777777" w:rsidR="00901876" w:rsidRPr="004C0E48" w:rsidRDefault="00901876" w:rsidP="00901876">
      <w:pPr>
        <w:numPr>
          <w:ilvl w:val="0"/>
          <w:numId w:val="2"/>
        </w:numPr>
        <w:autoSpaceDE/>
        <w:autoSpaceDN/>
        <w:adjustRightInd/>
        <w:contextualSpacing/>
        <w:jc w:val="both"/>
        <w:rPr>
          <w:rFonts w:asciiTheme="minorHAnsi" w:eastAsiaTheme="minorHAnsi" w:hAnsiTheme="minorHAnsi"/>
          <w:b/>
          <w:sz w:val="22"/>
          <w:u w:val="single"/>
        </w:rPr>
      </w:pPr>
      <w:r>
        <w:rPr>
          <w:rFonts w:asciiTheme="minorHAnsi" w:eastAsiaTheme="minorHAnsi" w:hAnsiTheme="minorHAnsi"/>
          <w:b/>
          <w:sz w:val="22"/>
          <w:u w:val="single"/>
        </w:rPr>
        <w:t>Equipo de trabajo</w:t>
      </w:r>
    </w:p>
    <w:p w14:paraId="75835439" w14:textId="77777777" w:rsidR="00901876" w:rsidRPr="004C0E48" w:rsidRDefault="00901876" w:rsidP="00901876">
      <w:pPr>
        <w:shd w:val="clear" w:color="auto" w:fill="FFFFFF"/>
        <w:jc w:val="both"/>
        <w:rPr>
          <w:rFonts w:asciiTheme="minorHAnsi" w:hAnsiTheme="minorHAnsi"/>
          <w:color w:val="008800"/>
          <w:sz w:val="22"/>
        </w:rPr>
      </w:pPr>
    </w:p>
    <w:p w14:paraId="4A43058B" w14:textId="77777777" w:rsidR="00901876" w:rsidRDefault="00901876" w:rsidP="00901876">
      <w:pPr>
        <w:numPr>
          <w:ilvl w:val="1"/>
          <w:numId w:val="2"/>
        </w:numPr>
        <w:shd w:val="clear" w:color="auto" w:fill="FFFFFF"/>
        <w:autoSpaceDE/>
        <w:autoSpaceDN/>
        <w:adjustRightInd/>
        <w:contextualSpacing/>
        <w:jc w:val="both"/>
        <w:rPr>
          <w:rFonts w:asciiTheme="minorHAnsi" w:eastAsiaTheme="minorHAnsi" w:hAnsiTheme="minorHAnsi"/>
          <w:sz w:val="22"/>
        </w:rPr>
      </w:pPr>
      <w:r w:rsidRPr="00074854">
        <w:rPr>
          <w:rFonts w:asciiTheme="minorHAnsi" w:eastAsiaTheme="minorHAnsi" w:hAnsiTheme="minorHAnsi"/>
          <w:sz w:val="22"/>
        </w:rPr>
        <w:t xml:space="preserve">El equipo para desarrollar el estudio deberá estar conformado por un grupo de expertos con probada experiencia en la realización de estudios similares en Latinoamérica. El equipo básico deberá estar integrado al menos por: </w:t>
      </w:r>
    </w:p>
    <w:p w14:paraId="083882A3" w14:textId="77777777" w:rsidR="00901876" w:rsidRPr="003D4C3B" w:rsidRDefault="00901876" w:rsidP="00901876">
      <w:pPr>
        <w:pStyle w:val="ListParagraph"/>
        <w:widowControl w:val="0"/>
        <w:numPr>
          <w:ilvl w:val="0"/>
          <w:numId w:val="5"/>
        </w:numPr>
        <w:shd w:val="clear" w:color="auto" w:fill="FFFFFF"/>
        <w:jc w:val="both"/>
        <w:rPr>
          <w:rFonts w:asciiTheme="minorHAnsi" w:eastAsiaTheme="minorHAnsi" w:hAnsiTheme="minorHAnsi"/>
          <w:sz w:val="22"/>
        </w:rPr>
      </w:pPr>
      <w:r w:rsidRPr="003D4C3B">
        <w:rPr>
          <w:rFonts w:asciiTheme="minorHAnsi" w:eastAsiaTheme="minorHAnsi" w:hAnsiTheme="minorHAnsi"/>
          <w:sz w:val="22"/>
        </w:rPr>
        <w:t>Líder Técnico</w:t>
      </w:r>
      <w:r w:rsidRPr="003D4C3B">
        <w:rPr>
          <w:rFonts w:asciiTheme="minorHAnsi" w:eastAsiaTheme="minorHAnsi" w:hAnsiTheme="minorHAnsi"/>
          <w:sz w:val="22"/>
          <w:lang w:val="es-ES_tradnl"/>
        </w:rPr>
        <w:t>:</w:t>
      </w:r>
      <w:r>
        <w:rPr>
          <w:rFonts w:asciiTheme="minorHAnsi" w:eastAsiaTheme="minorHAnsi" w:hAnsiTheme="minorHAnsi"/>
          <w:sz w:val="22"/>
          <w:lang w:val="es-ES_tradnl"/>
        </w:rPr>
        <w:t xml:space="preserve"> </w:t>
      </w:r>
      <w:r w:rsidRPr="003D4C3B">
        <w:rPr>
          <w:rFonts w:asciiTheme="minorHAnsi" w:eastAsiaTheme="minorHAnsi" w:hAnsiTheme="minorHAnsi"/>
          <w:sz w:val="22"/>
        </w:rPr>
        <w:t xml:space="preserve">Ingeniero Hidráulico o Especialista en Estudios Hidráulicos con más de 10 años de experiencia en el área. Preferiblemente con experiencia específica hidráulica fluvial, modelos de simulación, y soporte para toma de decisiones. Se valorará la experiencia en gestión de proyectos en el área de Latinoamérica. </w:t>
      </w:r>
    </w:p>
    <w:p w14:paraId="7AF85238" w14:textId="77777777" w:rsidR="00901876" w:rsidRPr="003D4C3B" w:rsidRDefault="00901876" w:rsidP="00901876">
      <w:pPr>
        <w:pStyle w:val="ListParagraph"/>
        <w:widowControl w:val="0"/>
        <w:numPr>
          <w:ilvl w:val="0"/>
          <w:numId w:val="5"/>
        </w:numPr>
        <w:shd w:val="clear" w:color="auto" w:fill="FFFFFF"/>
        <w:jc w:val="both"/>
        <w:rPr>
          <w:rFonts w:asciiTheme="minorHAnsi" w:eastAsiaTheme="minorHAnsi" w:hAnsiTheme="minorHAnsi"/>
          <w:sz w:val="22"/>
        </w:rPr>
      </w:pPr>
      <w:r w:rsidRPr="003D4C3B">
        <w:rPr>
          <w:rFonts w:asciiTheme="minorHAnsi" w:eastAsiaTheme="minorHAnsi" w:hAnsiTheme="minorHAnsi"/>
          <w:sz w:val="22"/>
        </w:rPr>
        <w:t>Hidrólogo Líder</w:t>
      </w:r>
      <w:r>
        <w:rPr>
          <w:rFonts w:asciiTheme="minorHAnsi" w:eastAsiaTheme="minorHAnsi" w:hAnsiTheme="minorHAnsi"/>
          <w:sz w:val="22"/>
        </w:rPr>
        <w:t xml:space="preserve">: </w:t>
      </w:r>
      <w:r w:rsidRPr="003D4C3B">
        <w:rPr>
          <w:rFonts w:asciiTheme="minorHAnsi" w:eastAsiaTheme="minorHAnsi" w:hAnsiTheme="minorHAnsi"/>
          <w:sz w:val="22"/>
        </w:rPr>
        <w:t>Hidrólogo con más de 10 años de experiencia en el área. Se valorará la experiencia en gestión de proyectos en el área de Latinoamérica.</w:t>
      </w:r>
    </w:p>
    <w:p w14:paraId="23773897" w14:textId="77777777" w:rsidR="00901876" w:rsidRPr="003D4C3B" w:rsidRDefault="00901876" w:rsidP="00901876">
      <w:pPr>
        <w:pStyle w:val="ListParagraph"/>
        <w:widowControl w:val="0"/>
        <w:numPr>
          <w:ilvl w:val="0"/>
          <w:numId w:val="5"/>
        </w:numPr>
        <w:shd w:val="clear" w:color="auto" w:fill="FFFFFF"/>
        <w:jc w:val="both"/>
        <w:rPr>
          <w:rFonts w:asciiTheme="minorHAnsi" w:eastAsiaTheme="minorHAnsi" w:hAnsiTheme="minorHAnsi"/>
          <w:sz w:val="22"/>
        </w:rPr>
      </w:pPr>
      <w:r w:rsidRPr="003D4C3B">
        <w:rPr>
          <w:rFonts w:asciiTheme="minorHAnsi" w:eastAsiaTheme="minorHAnsi" w:hAnsiTheme="minorHAnsi"/>
          <w:sz w:val="22"/>
        </w:rPr>
        <w:t>Especialista GIS</w:t>
      </w:r>
    </w:p>
    <w:p w14:paraId="2FC2B147" w14:textId="77777777" w:rsidR="00901876" w:rsidRPr="00074854" w:rsidRDefault="00901876" w:rsidP="00901876">
      <w:pPr>
        <w:pStyle w:val="ListParagraph"/>
        <w:widowControl w:val="0"/>
        <w:numPr>
          <w:ilvl w:val="0"/>
          <w:numId w:val="5"/>
        </w:numPr>
        <w:shd w:val="clear" w:color="auto" w:fill="FFFFFF"/>
        <w:jc w:val="both"/>
        <w:rPr>
          <w:rFonts w:asciiTheme="minorHAnsi" w:eastAsiaTheme="minorHAnsi" w:hAnsiTheme="minorHAnsi"/>
          <w:sz w:val="22"/>
        </w:rPr>
      </w:pPr>
      <w:r w:rsidRPr="003D4C3B">
        <w:rPr>
          <w:rFonts w:asciiTheme="minorHAnsi" w:eastAsiaTheme="minorHAnsi" w:hAnsiTheme="minorHAnsi"/>
          <w:sz w:val="22"/>
        </w:rPr>
        <w:t>Asistente Administrativo</w:t>
      </w:r>
    </w:p>
    <w:p w14:paraId="5B17C204" w14:textId="77777777" w:rsidR="00901876" w:rsidRPr="004C0E48" w:rsidRDefault="00901876" w:rsidP="00901876">
      <w:pPr>
        <w:shd w:val="clear" w:color="auto" w:fill="FFFFFF"/>
        <w:jc w:val="both"/>
        <w:rPr>
          <w:rFonts w:asciiTheme="minorHAnsi" w:hAnsiTheme="minorHAnsi"/>
          <w:color w:val="008800"/>
          <w:sz w:val="22"/>
        </w:rPr>
      </w:pPr>
    </w:p>
    <w:p w14:paraId="397AE966" w14:textId="77777777" w:rsidR="00901876" w:rsidRDefault="00901876" w:rsidP="00901876">
      <w:pPr>
        <w:ind w:right="-10"/>
        <w:jc w:val="both"/>
        <w:rPr>
          <w:rFonts w:asciiTheme="minorHAnsi" w:hAnsiTheme="minorHAnsi"/>
          <w:b/>
          <w:sz w:val="22"/>
        </w:rPr>
      </w:pPr>
    </w:p>
    <w:p w14:paraId="3B58AEA5" w14:textId="77777777" w:rsidR="00901876" w:rsidRDefault="00901876" w:rsidP="00901876">
      <w:pPr>
        <w:pStyle w:val="ListParagraph"/>
        <w:numPr>
          <w:ilvl w:val="0"/>
          <w:numId w:val="2"/>
        </w:numPr>
        <w:ind w:right="-10"/>
        <w:jc w:val="both"/>
        <w:rPr>
          <w:rFonts w:asciiTheme="minorHAnsi" w:hAnsiTheme="minorHAnsi"/>
          <w:b/>
          <w:sz w:val="22"/>
        </w:rPr>
      </w:pPr>
      <w:r>
        <w:rPr>
          <w:rFonts w:asciiTheme="minorHAnsi" w:hAnsiTheme="minorHAnsi"/>
          <w:b/>
          <w:sz w:val="22"/>
        </w:rPr>
        <w:t>Calendario de Pagos</w:t>
      </w:r>
    </w:p>
    <w:p w14:paraId="5430B972" w14:textId="77777777" w:rsidR="00901876" w:rsidRDefault="00901876" w:rsidP="00901876">
      <w:pPr>
        <w:pStyle w:val="ListParagraph"/>
        <w:ind w:left="360" w:right="-10"/>
        <w:jc w:val="both"/>
        <w:rPr>
          <w:rFonts w:asciiTheme="minorHAnsi" w:hAnsiTheme="minorHAnsi"/>
          <w:b/>
          <w:sz w:val="22"/>
        </w:rPr>
      </w:pPr>
    </w:p>
    <w:p w14:paraId="6C472B85" w14:textId="77777777" w:rsidR="00901876" w:rsidRDefault="00901876" w:rsidP="00901876">
      <w:pPr>
        <w:shd w:val="clear" w:color="auto" w:fill="FFFFFF"/>
        <w:tabs>
          <w:tab w:val="left" w:pos="990"/>
        </w:tabs>
        <w:ind w:right="-10"/>
        <w:contextualSpacing/>
        <w:jc w:val="both"/>
        <w:rPr>
          <w:rFonts w:asciiTheme="minorHAnsi" w:hAnsiTheme="minorHAnsi"/>
          <w:b/>
          <w:sz w:val="22"/>
        </w:rPr>
      </w:pPr>
    </w:p>
    <w:tbl>
      <w:tblPr>
        <w:tblStyle w:val="TableGrid"/>
        <w:tblW w:w="0" w:type="auto"/>
        <w:tblInd w:w="720" w:type="dxa"/>
        <w:tblLook w:val="04A0" w:firstRow="1" w:lastRow="0" w:firstColumn="1" w:lastColumn="0" w:noHBand="0" w:noVBand="1"/>
      </w:tblPr>
      <w:tblGrid>
        <w:gridCol w:w="3688"/>
        <w:gridCol w:w="1368"/>
      </w:tblGrid>
      <w:tr w:rsidR="00901876" w14:paraId="79A12060" w14:textId="77777777" w:rsidTr="00CF3362">
        <w:trPr>
          <w:trHeight w:val="218"/>
        </w:trPr>
        <w:tc>
          <w:tcPr>
            <w:tcW w:w="5055" w:type="dxa"/>
            <w:gridSpan w:val="2"/>
          </w:tcPr>
          <w:p w14:paraId="015D76BF" w14:textId="77777777" w:rsidR="00901876" w:rsidRDefault="00901876" w:rsidP="00CF3362">
            <w:pPr>
              <w:pStyle w:val="ListParagraph"/>
              <w:ind w:left="0" w:right="-10"/>
              <w:jc w:val="both"/>
              <w:rPr>
                <w:rFonts w:asciiTheme="minorHAnsi" w:hAnsiTheme="minorHAnsi"/>
                <w:b/>
              </w:rPr>
            </w:pPr>
            <w:r>
              <w:rPr>
                <w:rFonts w:asciiTheme="minorHAnsi" w:hAnsiTheme="minorHAnsi"/>
                <w:b/>
              </w:rPr>
              <w:t>Plan de Pagos</w:t>
            </w:r>
          </w:p>
        </w:tc>
      </w:tr>
      <w:tr w:rsidR="00901876" w14:paraId="72CC9764" w14:textId="77777777" w:rsidTr="00CF3362">
        <w:trPr>
          <w:trHeight w:val="149"/>
        </w:trPr>
        <w:tc>
          <w:tcPr>
            <w:tcW w:w="3688" w:type="dxa"/>
          </w:tcPr>
          <w:p w14:paraId="3563FC69" w14:textId="77777777" w:rsidR="00901876" w:rsidRDefault="00901876" w:rsidP="00CF3362">
            <w:pPr>
              <w:pStyle w:val="ListParagraph"/>
              <w:ind w:right="-10"/>
              <w:jc w:val="both"/>
              <w:rPr>
                <w:rFonts w:asciiTheme="minorHAnsi" w:hAnsiTheme="minorHAnsi"/>
                <w:b/>
              </w:rPr>
            </w:pPr>
            <w:r>
              <w:rPr>
                <w:rFonts w:asciiTheme="minorHAnsi" w:hAnsiTheme="minorHAnsi"/>
                <w:b/>
                <w:i/>
              </w:rPr>
              <w:t xml:space="preserve">Entregables </w:t>
            </w:r>
          </w:p>
        </w:tc>
        <w:tc>
          <w:tcPr>
            <w:tcW w:w="1368" w:type="dxa"/>
          </w:tcPr>
          <w:p w14:paraId="57D71EFC" w14:textId="77777777" w:rsidR="00901876" w:rsidRDefault="00901876" w:rsidP="00CF3362">
            <w:pPr>
              <w:pStyle w:val="ListParagraph"/>
              <w:ind w:left="0" w:right="-10"/>
              <w:jc w:val="both"/>
              <w:rPr>
                <w:rFonts w:asciiTheme="minorHAnsi" w:hAnsiTheme="minorHAnsi"/>
                <w:b/>
              </w:rPr>
            </w:pPr>
            <w:r>
              <w:rPr>
                <w:rFonts w:asciiTheme="minorHAnsi" w:hAnsiTheme="minorHAnsi"/>
                <w:b/>
              </w:rPr>
              <w:t>%</w:t>
            </w:r>
          </w:p>
        </w:tc>
      </w:tr>
      <w:tr w:rsidR="00901876" w14:paraId="3A04AA8B" w14:textId="77777777" w:rsidTr="00CF3362">
        <w:trPr>
          <w:trHeight w:val="357"/>
        </w:trPr>
        <w:tc>
          <w:tcPr>
            <w:tcW w:w="3688" w:type="dxa"/>
          </w:tcPr>
          <w:p w14:paraId="2DD8BC1C" w14:textId="77777777" w:rsidR="00901876" w:rsidRDefault="00901876" w:rsidP="00901876">
            <w:pPr>
              <w:pStyle w:val="ListParagraph"/>
              <w:numPr>
                <w:ilvl w:val="0"/>
                <w:numId w:val="3"/>
              </w:numPr>
              <w:ind w:right="-10"/>
              <w:jc w:val="both"/>
              <w:rPr>
                <w:rFonts w:asciiTheme="minorHAnsi" w:hAnsiTheme="minorHAnsi"/>
              </w:rPr>
            </w:pPr>
            <w:r>
              <w:rPr>
                <w:rFonts w:asciiTheme="minorHAnsi" w:hAnsiTheme="minorHAnsi"/>
                <w:i/>
                <w:noProof/>
                <w:color w:val="4F81BD" w:themeColor="accent1"/>
                <w:lang w:eastAsia="es-MX"/>
              </w:rPr>
              <mc:AlternateContent>
                <mc:Choice Requires="wpi">
                  <w:drawing>
                    <wp:anchor distT="0" distB="0" distL="114300" distR="114300" simplePos="0" relativeHeight="251659264" behindDoc="0" locked="0" layoutInCell="1" allowOverlap="1" wp14:anchorId="3ACCA97B" wp14:editId="588E9D90">
                      <wp:simplePos x="0" y="0"/>
                      <wp:positionH relativeFrom="column">
                        <wp:posOffset>1902985</wp:posOffset>
                      </wp:positionH>
                      <wp:positionV relativeFrom="paragraph">
                        <wp:posOffset>120340</wp:posOffset>
                      </wp:positionV>
                      <wp:extent cx="6480" cy="360"/>
                      <wp:effectExtent l="38100" t="38100" r="50800" b="38100"/>
                      <wp:wrapNone/>
                      <wp:docPr id="37" name="Ink 37"/>
                      <wp:cNvGraphicFramePr/>
                      <a:graphic xmlns:a="http://schemas.openxmlformats.org/drawingml/2006/main">
                        <a:graphicData uri="http://schemas.microsoft.com/office/word/2010/wordprocessingInk">
                          <w14:contentPart bwMode="auto" r:id="rId23">
                            <w14:nvContentPartPr>
                              <w14:cNvContentPartPr/>
                            </w14:nvContentPartPr>
                            <w14:xfrm>
                              <a:off x="0" y="0"/>
                              <a:ext cx="6480" cy="360"/>
                            </w14:xfrm>
                          </w14:contentPart>
                        </a:graphicData>
                      </a:graphic>
                    </wp:anchor>
                  </w:drawing>
                </mc:Choice>
                <mc:Fallback>
                  <w:pict>
                    <v:shapetype w14:anchorId="792334C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7" o:spid="_x0000_s1026" type="#_x0000_t75" style="position:absolute;margin-left:149.25pt;margin-top:8.55pt;width:1.7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">
                      <v:imagedata r:id="rId24" o:title=""/>
                    </v:shape>
                  </w:pict>
                </mc:Fallback>
              </mc:AlternateContent>
            </w:r>
            <w:r>
              <w:rPr>
                <w:rFonts w:asciiTheme="minorHAnsi" w:hAnsiTheme="minorHAnsi"/>
                <w:i/>
                <w:color w:val="4F81BD" w:themeColor="accent1"/>
              </w:rPr>
              <w:t>A la aprobación del Producto 1 por parte del Banco</w:t>
            </w:r>
          </w:p>
        </w:tc>
        <w:tc>
          <w:tcPr>
            <w:tcW w:w="1368" w:type="dxa"/>
          </w:tcPr>
          <w:p w14:paraId="6EB53D7C" w14:textId="77777777" w:rsidR="00901876" w:rsidRDefault="00901876" w:rsidP="00CF3362">
            <w:pPr>
              <w:pStyle w:val="ListParagraph"/>
              <w:ind w:left="0" w:right="-10"/>
              <w:jc w:val="both"/>
              <w:rPr>
                <w:rFonts w:asciiTheme="minorHAnsi" w:hAnsiTheme="minorHAnsi"/>
              </w:rPr>
            </w:pPr>
            <w:r>
              <w:rPr>
                <w:rFonts w:asciiTheme="minorHAnsi" w:hAnsiTheme="minorHAnsi"/>
                <w:color w:val="4F81BD" w:themeColor="accent1"/>
              </w:rPr>
              <w:t xml:space="preserve">  10%</w:t>
            </w:r>
          </w:p>
        </w:tc>
      </w:tr>
      <w:tr w:rsidR="00901876" w14:paraId="18408D86" w14:textId="77777777" w:rsidTr="00CF3362">
        <w:trPr>
          <w:trHeight w:val="308"/>
        </w:trPr>
        <w:tc>
          <w:tcPr>
            <w:tcW w:w="3688" w:type="dxa"/>
          </w:tcPr>
          <w:p w14:paraId="600F70EF" w14:textId="77777777" w:rsidR="00901876" w:rsidRDefault="00901876" w:rsidP="00901876">
            <w:pPr>
              <w:pStyle w:val="ListParagraph"/>
              <w:numPr>
                <w:ilvl w:val="0"/>
                <w:numId w:val="3"/>
              </w:numPr>
              <w:ind w:right="-10"/>
              <w:jc w:val="both"/>
              <w:rPr>
                <w:rFonts w:asciiTheme="minorHAnsi" w:hAnsiTheme="minorHAnsi"/>
              </w:rPr>
            </w:pPr>
            <w:r>
              <w:rPr>
                <w:rFonts w:asciiTheme="minorHAnsi" w:hAnsiTheme="minorHAnsi"/>
                <w:i/>
                <w:color w:val="4F81BD" w:themeColor="accent1"/>
              </w:rPr>
              <w:t>A la aprobación del Producto 2 por parte del Banco</w:t>
            </w:r>
          </w:p>
        </w:tc>
        <w:tc>
          <w:tcPr>
            <w:tcW w:w="1368" w:type="dxa"/>
          </w:tcPr>
          <w:p w14:paraId="4B6C63E1" w14:textId="77777777" w:rsidR="00901876" w:rsidRDefault="00901876" w:rsidP="00CF3362">
            <w:pPr>
              <w:pStyle w:val="ListParagraph"/>
              <w:ind w:left="0" w:right="-10"/>
              <w:jc w:val="both"/>
              <w:rPr>
                <w:rFonts w:asciiTheme="minorHAnsi" w:hAnsiTheme="minorHAnsi"/>
              </w:rPr>
            </w:pPr>
            <w:r>
              <w:rPr>
                <w:rFonts w:asciiTheme="minorHAnsi" w:hAnsiTheme="minorHAnsi"/>
                <w:color w:val="4F81BD" w:themeColor="accent1"/>
              </w:rPr>
              <w:t xml:space="preserve">  25%</w:t>
            </w:r>
          </w:p>
        </w:tc>
      </w:tr>
      <w:tr w:rsidR="00901876" w14:paraId="15CC33F4" w14:textId="77777777" w:rsidTr="00CF3362">
        <w:trPr>
          <w:trHeight w:val="298"/>
        </w:trPr>
        <w:tc>
          <w:tcPr>
            <w:tcW w:w="3688" w:type="dxa"/>
          </w:tcPr>
          <w:p w14:paraId="7F821EE6" w14:textId="77777777" w:rsidR="00901876" w:rsidRDefault="00901876" w:rsidP="00901876">
            <w:pPr>
              <w:pStyle w:val="ListParagraph"/>
              <w:numPr>
                <w:ilvl w:val="0"/>
                <w:numId w:val="3"/>
              </w:numPr>
              <w:ind w:right="-10"/>
              <w:jc w:val="both"/>
              <w:rPr>
                <w:rFonts w:asciiTheme="minorHAnsi" w:hAnsiTheme="minorHAnsi"/>
              </w:rPr>
            </w:pPr>
            <w:r>
              <w:rPr>
                <w:rFonts w:asciiTheme="minorHAnsi" w:hAnsiTheme="minorHAnsi"/>
                <w:i/>
                <w:color w:val="4F81BD" w:themeColor="accent1"/>
              </w:rPr>
              <w:t>A la aprobación de los Productos 3 por parte del Banco</w:t>
            </w:r>
          </w:p>
        </w:tc>
        <w:tc>
          <w:tcPr>
            <w:tcW w:w="1368" w:type="dxa"/>
          </w:tcPr>
          <w:p w14:paraId="3DE859DC" w14:textId="77777777" w:rsidR="00901876" w:rsidRDefault="00901876" w:rsidP="00CF3362">
            <w:pPr>
              <w:pStyle w:val="ListParagraph"/>
              <w:ind w:left="0" w:right="-10"/>
              <w:jc w:val="both"/>
              <w:rPr>
                <w:rFonts w:asciiTheme="minorHAnsi" w:hAnsiTheme="minorHAnsi"/>
              </w:rPr>
            </w:pPr>
            <w:r>
              <w:rPr>
                <w:rFonts w:asciiTheme="minorHAnsi" w:hAnsiTheme="minorHAnsi"/>
                <w:color w:val="4F81BD" w:themeColor="accent1"/>
              </w:rPr>
              <w:t xml:space="preserve">  30%</w:t>
            </w:r>
          </w:p>
        </w:tc>
      </w:tr>
      <w:tr w:rsidR="00901876" w14:paraId="1CA27919" w14:textId="77777777" w:rsidTr="00CF3362">
        <w:trPr>
          <w:trHeight w:val="298"/>
        </w:trPr>
        <w:tc>
          <w:tcPr>
            <w:tcW w:w="3688" w:type="dxa"/>
          </w:tcPr>
          <w:p w14:paraId="55F1C1C0" w14:textId="77777777" w:rsidR="00901876" w:rsidRDefault="00901876" w:rsidP="00901876">
            <w:pPr>
              <w:pStyle w:val="ListParagraph"/>
              <w:numPr>
                <w:ilvl w:val="0"/>
                <w:numId w:val="3"/>
              </w:numPr>
              <w:ind w:right="-10"/>
              <w:jc w:val="both"/>
              <w:rPr>
                <w:rFonts w:asciiTheme="minorHAnsi" w:hAnsiTheme="minorHAnsi"/>
                <w:i/>
                <w:color w:val="4F81BD" w:themeColor="accent1"/>
              </w:rPr>
            </w:pPr>
            <w:r>
              <w:rPr>
                <w:rFonts w:asciiTheme="minorHAnsi" w:hAnsiTheme="minorHAnsi"/>
                <w:i/>
                <w:color w:val="4F81BD" w:themeColor="accent1"/>
              </w:rPr>
              <w:t>A la aprobación de los Productos 4 y 5 por parte del Banco</w:t>
            </w:r>
          </w:p>
        </w:tc>
        <w:tc>
          <w:tcPr>
            <w:tcW w:w="1368" w:type="dxa"/>
          </w:tcPr>
          <w:p w14:paraId="36A2BFBD" w14:textId="77777777" w:rsidR="00901876" w:rsidRDefault="00901876" w:rsidP="00CF3362">
            <w:pPr>
              <w:pStyle w:val="ListParagraph"/>
              <w:ind w:left="0" w:right="-10"/>
              <w:jc w:val="both"/>
              <w:rPr>
                <w:rFonts w:asciiTheme="minorHAnsi" w:hAnsiTheme="minorHAnsi"/>
                <w:color w:val="4F81BD" w:themeColor="accent1"/>
              </w:rPr>
            </w:pPr>
            <w:r>
              <w:rPr>
                <w:rFonts w:asciiTheme="minorHAnsi" w:hAnsiTheme="minorHAnsi"/>
                <w:color w:val="4F81BD" w:themeColor="accent1"/>
              </w:rPr>
              <w:t xml:space="preserve">  35%</w:t>
            </w:r>
          </w:p>
        </w:tc>
      </w:tr>
      <w:tr w:rsidR="00901876" w14:paraId="51D45C79" w14:textId="77777777" w:rsidTr="00CF3362">
        <w:trPr>
          <w:trHeight w:val="158"/>
        </w:trPr>
        <w:tc>
          <w:tcPr>
            <w:tcW w:w="3688" w:type="dxa"/>
          </w:tcPr>
          <w:p w14:paraId="200C79D8" w14:textId="77777777" w:rsidR="00901876" w:rsidRDefault="00901876" w:rsidP="00CF3362">
            <w:pPr>
              <w:pStyle w:val="ListParagraph"/>
              <w:ind w:left="0" w:right="-10"/>
              <w:jc w:val="both"/>
              <w:rPr>
                <w:rFonts w:asciiTheme="minorHAnsi" w:hAnsiTheme="minorHAnsi"/>
                <w:b/>
              </w:rPr>
            </w:pPr>
            <w:r>
              <w:rPr>
                <w:rFonts w:asciiTheme="minorHAnsi" w:hAnsiTheme="minorHAnsi"/>
                <w:b/>
              </w:rPr>
              <w:t>TOTAL</w:t>
            </w:r>
          </w:p>
        </w:tc>
        <w:tc>
          <w:tcPr>
            <w:tcW w:w="1368" w:type="dxa"/>
          </w:tcPr>
          <w:p w14:paraId="19AB0B11" w14:textId="77777777" w:rsidR="00901876" w:rsidRPr="00074261" w:rsidRDefault="00901876" w:rsidP="00CF3362">
            <w:pPr>
              <w:pStyle w:val="ListParagraph"/>
              <w:ind w:left="0" w:right="-10"/>
              <w:jc w:val="both"/>
              <w:rPr>
                <w:rFonts w:asciiTheme="minorHAnsi" w:hAnsiTheme="minorHAnsi"/>
                <w:b/>
                <w:bCs/>
              </w:rPr>
            </w:pPr>
            <w:r w:rsidRPr="00FA1433">
              <w:rPr>
                <w:rFonts w:asciiTheme="minorHAnsi" w:hAnsiTheme="minorHAnsi"/>
                <w:b/>
                <w:bCs/>
              </w:rPr>
              <w:t>100%</w:t>
            </w:r>
          </w:p>
        </w:tc>
      </w:tr>
    </w:tbl>
    <w:p w14:paraId="5AEC6ADE" w14:textId="77777777" w:rsidR="00901876" w:rsidRDefault="00901876" w:rsidP="00901876">
      <w:pPr>
        <w:jc w:val="both"/>
      </w:pPr>
    </w:p>
    <w:p w14:paraId="5341C445" w14:textId="77777777" w:rsidR="00CE0491" w:rsidRPr="00901876" w:rsidRDefault="00CE0491" w:rsidP="08202347">
      <w:pPr>
        <w:jc w:val="both"/>
        <w:rPr>
          <w:rFonts w:asciiTheme="minorHAnsi" w:hAnsiTheme="minorHAnsi" w:cstheme="minorHAnsi"/>
          <w:color w:val="auto"/>
          <w:sz w:val="22"/>
          <w:szCs w:val="22"/>
          <w:lang w:val="en-US"/>
        </w:rPr>
      </w:pPr>
    </w:p>
    <w:sectPr w:rsidR="00CE0491" w:rsidRPr="00901876">
      <w:headerReference w:type="even" r:id="rId25"/>
      <w:headerReference w:type="default" r:id="rId26"/>
      <w:footerReference w:type="even" r:id="rId27"/>
      <w:footerReference w:type="default" r:id="rId28"/>
      <w:headerReference w:type="first" r:id="rId29"/>
      <w:footerReference w:type="first" r:id="rId30"/>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4C478" w14:textId="77777777" w:rsidR="002B7C02" w:rsidRDefault="002B7C02">
      <w:r>
        <w:separator/>
      </w:r>
    </w:p>
  </w:endnote>
  <w:endnote w:type="continuationSeparator" w:id="0">
    <w:p w14:paraId="7AFE5FE7" w14:textId="77777777" w:rsidR="002B7C02" w:rsidRDefault="002B7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CA370" w14:textId="77777777" w:rsidR="00D761FB" w:rsidRDefault="00D76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FE89A" w14:textId="77777777" w:rsidR="00D761FB" w:rsidRDefault="00D761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53B01" w14:textId="77777777" w:rsidR="00D761FB" w:rsidRDefault="00D76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8D44F" w14:textId="77777777" w:rsidR="002B7C02" w:rsidRDefault="002B7C02">
      <w:r>
        <w:separator/>
      </w:r>
    </w:p>
  </w:footnote>
  <w:footnote w:type="continuationSeparator" w:id="0">
    <w:p w14:paraId="31A24109" w14:textId="77777777" w:rsidR="002B7C02" w:rsidRDefault="002B7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1892B" w14:textId="77777777" w:rsidR="00D761FB" w:rsidRDefault="00D76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34503" w14:textId="50D7B104" w:rsidR="00D761FB" w:rsidRDefault="00D761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52FD5" w14:textId="77777777" w:rsidR="00D761FB" w:rsidRDefault="00D76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A613A"/>
    <w:multiLevelType w:val="hybridMultilevel"/>
    <w:tmpl w:val="7B923414"/>
    <w:lvl w:ilvl="0" w:tplc="040A0001">
      <w:start w:val="1"/>
      <w:numFmt w:val="bullet"/>
      <w:lvlText w:val=""/>
      <w:lvlJc w:val="left"/>
      <w:pPr>
        <w:ind w:left="1512" w:hanging="360"/>
      </w:pPr>
      <w:rPr>
        <w:rFonts w:ascii="Symbol" w:hAnsi="Symbol" w:hint="default"/>
      </w:rPr>
    </w:lvl>
    <w:lvl w:ilvl="1" w:tplc="040A0003" w:tentative="1">
      <w:start w:val="1"/>
      <w:numFmt w:val="bullet"/>
      <w:lvlText w:val="o"/>
      <w:lvlJc w:val="left"/>
      <w:pPr>
        <w:ind w:left="2232" w:hanging="360"/>
      </w:pPr>
      <w:rPr>
        <w:rFonts w:ascii="Courier New" w:hAnsi="Courier New" w:cs="Courier New" w:hint="default"/>
      </w:rPr>
    </w:lvl>
    <w:lvl w:ilvl="2" w:tplc="040A0005" w:tentative="1">
      <w:start w:val="1"/>
      <w:numFmt w:val="bullet"/>
      <w:lvlText w:val=""/>
      <w:lvlJc w:val="left"/>
      <w:pPr>
        <w:ind w:left="2952" w:hanging="360"/>
      </w:pPr>
      <w:rPr>
        <w:rFonts w:ascii="Wingdings" w:hAnsi="Wingdings" w:hint="default"/>
      </w:rPr>
    </w:lvl>
    <w:lvl w:ilvl="3" w:tplc="040A0001" w:tentative="1">
      <w:start w:val="1"/>
      <w:numFmt w:val="bullet"/>
      <w:lvlText w:val=""/>
      <w:lvlJc w:val="left"/>
      <w:pPr>
        <w:ind w:left="3672" w:hanging="360"/>
      </w:pPr>
      <w:rPr>
        <w:rFonts w:ascii="Symbol" w:hAnsi="Symbol" w:hint="default"/>
      </w:rPr>
    </w:lvl>
    <w:lvl w:ilvl="4" w:tplc="040A0003" w:tentative="1">
      <w:start w:val="1"/>
      <w:numFmt w:val="bullet"/>
      <w:lvlText w:val="o"/>
      <w:lvlJc w:val="left"/>
      <w:pPr>
        <w:ind w:left="4392" w:hanging="360"/>
      </w:pPr>
      <w:rPr>
        <w:rFonts w:ascii="Courier New" w:hAnsi="Courier New" w:cs="Courier New" w:hint="default"/>
      </w:rPr>
    </w:lvl>
    <w:lvl w:ilvl="5" w:tplc="040A0005" w:tentative="1">
      <w:start w:val="1"/>
      <w:numFmt w:val="bullet"/>
      <w:lvlText w:val=""/>
      <w:lvlJc w:val="left"/>
      <w:pPr>
        <w:ind w:left="5112" w:hanging="360"/>
      </w:pPr>
      <w:rPr>
        <w:rFonts w:ascii="Wingdings" w:hAnsi="Wingdings" w:hint="default"/>
      </w:rPr>
    </w:lvl>
    <w:lvl w:ilvl="6" w:tplc="040A0001" w:tentative="1">
      <w:start w:val="1"/>
      <w:numFmt w:val="bullet"/>
      <w:lvlText w:val=""/>
      <w:lvlJc w:val="left"/>
      <w:pPr>
        <w:ind w:left="5832" w:hanging="360"/>
      </w:pPr>
      <w:rPr>
        <w:rFonts w:ascii="Symbol" w:hAnsi="Symbol" w:hint="default"/>
      </w:rPr>
    </w:lvl>
    <w:lvl w:ilvl="7" w:tplc="040A0003" w:tentative="1">
      <w:start w:val="1"/>
      <w:numFmt w:val="bullet"/>
      <w:lvlText w:val="o"/>
      <w:lvlJc w:val="left"/>
      <w:pPr>
        <w:ind w:left="6552" w:hanging="360"/>
      </w:pPr>
      <w:rPr>
        <w:rFonts w:ascii="Courier New" w:hAnsi="Courier New" w:cs="Courier New" w:hint="default"/>
      </w:rPr>
    </w:lvl>
    <w:lvl w:ilvl="8" w:tplc="040A0005" w:tentative="1">
      <w:start w:val="1"/>
      <w:numFmt w:val="bullet"/>
      <w:lvlText w:val=""/>
      <w:lvlJc w:val="left"/>
      <w:pPr>
        <w:ind w:left="7272" w:hanging="360"/>
      </w:pPr>
      <w:rPr>
        <w:rFonts w:ascii="Wingdings" w:hAnsi="Wingdings" w:hint="default"/>
      </w:rPr>
    </w:lvl>
  </w:abstractNum>
  <w:abstractNum w:abstractNumId="1" w15:restartNumberingAfterBreak="0">
    <w:nsid w:val="0CCA4D97"/>
    <w:multiLevelType w:val="hybridMultilevel"/>
    <w:tmpl w:val="5E5C49BE"/>
    <w:lvl w:ilvl="0" w:tplc="ABB24ED2">
      <w:start w:val="1"/>
      <w:numFmt w:val="decimal"/>
      <w:lvlText w:val="%1."/>
      <w:lvlJc w:val="left"/>
      <w:pPr>
        <w:ind w:left="720" w:hanging="360"/>
      </w:pPr>
      <w:rPr>
        <w:rFonts w:ascii="Times New Roman" w:hAnsi="Times New Roman" w:hint="default"/>
        <w:b w:val="0"/>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E05159E"/>
    <w:multiLevelType w:val="multilevel"/>
    <w:tmpl w:val="AA480E58"/>
    <w:lvl w:ilvl="0">
      <w:start w:val="1"/>
      <w:numFmt w:val="decimal"/>
      <w:lvlText w:val="%1."/>
      <w:lvlJc w:val="left"/>
      <w:pPr>
        <w:ind w:left="360" w:hanging="360"/>
      </w:pPr>
    </w:lvl>
    <w:lvl w:ilvl="1">
      <w:start w:val="1"/>
      <w:numFmt w:val="decimal"/>
      <w:lvlText w:val="%2."/>
      <w:lvlJc w:val="left"/>
      <w:pPr>
        <w:ind w:left="792" w:hanging="432"/>
      </w:pPr>
      <w:rPr>
        <w:rFonts w:hint="default"/>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8F85A13"/>
    <w:multiLevelType w:val="hybridMultilevel"/>
    <w:tmpl w:val="84C60500"/>
    <w:lvl w:ilvl="0" w:tplc="0409001B">
      <w:start w:val="1"/>
      <w:numFmt w:val="lowerRoman"/>
      <w:lvlText w:val="%1."/>
      <w:lvlJc w:val="right"/>
      <w:pPr>
        <w:ind w:left="1512" w:hanging="360"/>
      </w:pPr>
      <w:rPr>
        <w:rFonts w:hint="default"/>
      </w:rPr>
    </w:lvl>
    <w:lvl w:ilvl="1" w:tplc="040A0003" w:tentative="1">
      <w:start w:val="1"/>
      <w:numFmt w:val="bullet"/>
      <w:lvlText w:val="o"/>
      <w:lvlJc w:val="left"/>
      <w:pPr>
        <w:ind w:left="2232" w:hanging="360"/>
      </w:pPr>
      <w:rPr>
        <w:rFonts w:ascii="Courier New" w:hAnsi="Courier New" w:cs="Courier New" w:hint="default"/>
      </w:rPr>
    </w:lvl>
    <w:lvl w:ilvl="2" w:tplc="040A0005" w:tentative="1">
      <w:start w:val="1"/>
      <w:numFmt w:val="bullet"/>
      <w:lvlText w:val=""/>
      <w:lvlJc w:val="left"/>
      <w:pPr>
        <w:ind w:left="2952" w:hanging="360"/>
      </w:pPr>
      <w:rPr>
        <w:rFonts w:ascii="Wingdings" w:hAnsi="Wingdings" w:hint="default"/>
      </w:rPr>
    </w:lvl>
    <w:lvl w:ilvl="3" w:tplc="040A0001" w:tentative="1">
      <w:start w:val="1"/>
      <w:numFmt w:val="bullet"/>
      <w:lvlText w:val=""/>
      <w:lvlJc w:val="left"/>
      <w:pPr>
        <w:ind w:left="3672" w:hanging="360"/>
      </w:pPr>
      <w:rPr>
        <w:rFonts w:ascii="Symbol" w:hAnsi="Symbol" w:hint="default"/>
      </w:rPr>
    </w:lvl>
    <w:lvl w:ilvl="4" w:tplc="040A0003" w:tentative="1">
      <w:start w:val="1"/>
      <w:numFmt w:val="bullet"/>
      <w:lvlText w:val="o"/>
      <w:lvlJc w:val="left"/>
      <w:pPr>
        <w:ind w:left="4392" w:hanging="360"/>
      </w:pPr>
      <w:rPr>
        <w:rFonts w:ascii="Courier New" w:hAnsi="Courier New" w:cs="Courier New" w:hint="default"/>
      </w:rPr>
    </w:lvl>
    <w:lvl w:ilvl="5" w:tplc="040A0005" w:tentative="1">
      <w:start w:val="1"/>
      <w:numFmt w:val="bullet"/>
      <w:lvlText w:val=""/>
      <w:lvlJc w:val="left"/>
      <w:pPr>
        <w:ind w:left="5112" w:hanging="360"/>
      </w:pPr>
      <w:rPr>
        <w:rFonts w:ascii="Wingdings" w:hAnsi="Wingdings" w:hint="default"/>
      </w:rPr>
    </w:lvl>
    <w:lvl w:ilvl="6" w:tplc="040A0001" w:tentative="1">
      <w:start w:val="1"/>
      <w:numFmt w:val="bullet"/>
      <w:lvlText w:val=""/>
      <w:lvlJc w:val="left"/>
      <w:pPr>
        <w:ind w:left="5832" w:hanging="360"/>
      </w:pPr>
      <w:rPr>
        <w:rFonts w:ascii="Symbol" w:hAnsi="Symbol" w:hint="default"/>
      </w:rPr>
    </w:lvl>
    <w:lvl w:ilvl="7" w:tplc="040A0003" w:tentative="1">
      <w:start w:val="1"/>
      <w:numFmt w:val="bullet"/>
      <w:lvlText w:val="o"/>
      <w:lvlJc w:val="left"/>
      <w:pPr>
        <w:ind w:left="6552" w:hanging="360"/>
      </w:pPr>
      <w:rPr>
        <w:rFonts w:ascii="Courier New" w:hAnsi="Courier New" w:cs="Courier New" w:hint="default"/>
      </w:rPr>
    </w:lvl>
    <w:lvl w:ilvl="8" w:tplc="040A0005" w:tentative="1">
      <w:start w:val="1"/>
      <w:numFmt w:val="bullet"/>
      <w:lvlText w:val=""/>
      <w:lvlJc w:val="left"/>
      <w:pPr>
        <w:ind w:left="7272" w:hanging="360"/>
      </w:pPr>
      <w:rPr>
        <w:rFonts w:ascii="Wingdings" w:hAnsi="Wingdings" w:hint="default"/>
      </w:rPr>
    </w:lvl>
  </w:abstractNum>
  <w:abstractNum w:abstractNumId="4" w15:restartNumberingAfterBreak="0">
    <w:nsid w:val="63C65F78"/>
    <w:multiLevelType w:val="multilevel"/>
    <w:tmpl w:val="FE9C75C0"/>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CA7"/>
    <w:rsid w:val="00032422"/>
    <w:rsid w:val="0003493A"/>
    <w:rsid w:val="00050DB5"/>
    <w:rsid w:val="000C118D"/>
    <w:rsid w:val="0010799F"/>
    <w:rsid w:val="0013647A"/>
    <w:rsid w:val="001C1EA2"/>
    <w:rsid w:val="001F2366"/>
    <w:rsid w:val="00201995"/>
    <w:rsid w:val="00240131"/>
    <w:rsid w:val="002659A2"/>
    <w:rsid w:val="002B7C02"/>
    <w:rsid w:val="00360ACB"/>
    <w:rsid w:val="003800C7"/>
    <w:rsid w:val="003F5CA1"/>
    <w:rsid w:val="004003E8"/>
    <w:rsid w:val="00423E38"/>
    <w:rsid w:val="00463054"/>
    <w:rsid w:val="004A3654"/>
    <w:rsid w:val="004D51F3"/>
    <w:rsid w:val="004E46B5"/>
    <w:rsid w:val="004F748E"/>
    <w:rsid w:val="0051231A"/>
    <w:rsid w:val="00520DB1"/>
    <w:rsid w:val="0052634A"/>
    <w:rsid w:val="00546C8D"/>
    <w:rsid w:val="00556C08"/>
    <w:rsid w:val="005673D5"/>
    <w:rsid w:val="0056772C"/>
    <w:rsid w:val="005B434A"/>
    <w:rsid w:val="006071D7"/>
    <w:rsid w:val="00637714"/>
    <w:rsid w:val="006934B2"/>
    <w:rsid w:val="006C3B20"/>
    <w:rsid w:val="007001EE"/>
    <w:rsid w:val="0078460F"/>
    <w:rsid w:val="008171F3"/>
    <w:rsid w:val="008264E2"/>
    <w:rsid w:val="00891E3C"/>
    <w:rsid w:val="008C7908"/>
    <w:rsid w:val="00901303"/>
    <w:rsid w:val="00901876"/>
    <w:rsid w:val="0090355D"/>
    <w:rsid w:val="0090501E"/>
    <w:rsid w:val="00966DA5"/>
    <w:rsid w:val="00A15B62"/>
    <w:rsid w:val="00A37CA7"/>
    <w:rsid w:val="00A438EB"/>
    <w:rsid w:val="00A838F0"/>
    <w:rsid w:val="00A83D94"/>
    <w:rsid w:val="00AD6E3D"/>
    <w:rsid w:val="00AE7268"/>
    <w:rsid w:val="00B17BF0"/>
    <w:rsid w:val="00B27293"/>
    <w:rsid w:val="00B747D9"/>
    <w:rsid w:val="00BF0B50"/>
    <w:rsid w:val="00BF5CD3"/>
    <w:rsid w:val="00C27587"/>
    <w:rsid w:val="00C42B39"/>
    <w:rsid w:val="00C439C0"/>
    <w:rsid w:val="00C77840"/>
    <w:rsid w:val="00C77D35"/>
    <w:rsid w:val="00C90263"/>
    <w:rsid w:val="00C94EA8"/>
    <w:rsid w:val="00CA7C9E"/>
    <w:rsid w:val="00CD2A27"/>
    <w:rsid w:val="00CD36BB"/>
    <w:rsid w:val="00CD4904"/>
    <w:rsid w:val="00CE0491"/>
    <w:rsid w:val="00D761FB"/>
    <w:rsid w:val="00DE327F"/>
    <w:rsid w:val="00E277C5"/>
    <w:rsid w:val="00E82ED1"/>
    <w:rsid w:val="00ED4D33"/>
    <w:rsid w:val="00F45D9C"/>
    <w:rsid w:val="00F74266"/>
    <w:rsid w:val="08202347"/>
    <w:rsid w:val="4C7BC12C"/>
    <w:rsid w:val="672BA23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532EBCC"/>
  <w14:defaultImageDpi w14:val="0"/>
  <w15:docId w15:val="{84C41C21-C044-464C-B5FF-03941554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lang w:val="es-MX"/>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901303"/>
    <w:rPr>
      <w:rFonts w:ascii="Tahoma" w:hAnsi="Tahoma" w:cs="Tahoma"/>
      <w:sz w:val="16"/>
      <w:szCs w:val="16"/>
    </w:rPr>
  </w:style>
  <w:style w:type="character" w:customStyle="1" w:styleId="BalloonTextChar">
    <w:name w:val="Balloon Text Char"/>
    <w:basedOn w:val="DefaultParagraphFont"/>
    <w:link w:val="BalloonText"/>
    <w:uiPriority w:val="99"/>
    <w:semiHidden/>
    <w:rsid w:val="00901303"/>
    <w:rPr>
      <w:rFonts w:ascii="Tahoma" w:hAnsi="Tahoma" w:cs="Tahoma"/>
      <w:color w:val="000000"/>
      <w:sz w:val="16"/>
      <w:szCs w:val="16"/>
    </w:rPr>
  </w:style>
  <w:style w:type="character" w:styleId="Hyperlink">
    <w:name w:val="Hyperlink"/>
    <w:basedOn w:val="DefaultParagraphFont"/>
    <w:uiPriority w:val="99"/>
    <w:unhideWhenUsed/>
    <w:rsid w:val="00ED4D33"/>
    <w:rPr>
      <w:color w:val="0000FF" w:themeColor="hyperlink"/>
      <w:u w:val="single"/>
    </w:rPr>
  </w:style>
  <w:style w:type="paragraph" w:styleId="Header">
    <w:name w:val="header"/>
    <w:basedOn w:val="Normal"/>
    <w:link w:val="HeaderChar"/>
    <w:uiPriority w:val="99"/>
    <w:unhideWhenUsed/>
    <w:rsid w:val="0056772C"/>
    <w:pPr>
      <w:tabs>
        <w:tab w:val="center" w:pos="4680"/>
        <w:tab w:val="right" w:pos="9360"/>
      </w:tabs>
    </w:pPr>
  </w:style>
  <w:style w:type="character" w:customStyle="1" w:styleId="HeaderChar">
    <w:name w:val="Header Char"/>
    <w:basedOn w:val="DefaultParagraphFont"/>
    <w:link w:val="Header"/>
    <w:uiPriority w:val="99"/>
    <w:rsid w:val="0056772C"/>
    <w:rPr>
      <w:rFonts w:ascii="Arial" w:hAnsi="Arial" w:cs="Arial"/>
      <w:color w:val="000000"/>
      <w:sz w:val="24"/>
      <w:szCs w:val="24"/>
    </w:rPr>
  </w:style>
  <w:style w:type="paragraph" w:styleId="Footer">
    <w:name w:val="footer"/>
    <w:basedOn w:val="Normal"/>
    <w:link w:val="FooterChar"/>
    <w:uiPriority w:val="99"/>
    <w:unhideWhenUsed/>
    <w:rsid w:val="0056772C"/>
    <w:pPr>
      <w:tabs>
        <w:tab w:val="center" w:pos="4680"/>
        <w:tab w:val="right" w:pos="9360"/>
      </w:tabs>
    </w:pPr>
  </w:style>
  <w:style w:type="character" w:customStyle="1" w:styleId="FooterChar">
    <w:name w:val="Footer Char"/>
    <w:basedOn w:val="DefaultParagraphFont"/>
    <w:link w:val="Footer"/>
    <w:uiPriority w:val="99"/>
    <w:rsid w:val="0056772C"/>
    <w:rPr>
      <w:rFonts w:ascii="Arial" w:hAnsi="Arial" w:cs="Arial"/>
      <w:color w:val="000000"/>
      <w:sz w:val="24"/>
      <w:szCs w:val="24"/>
    </w:rPr>
  </w:style>
  <w:style w:type="character" w:styleId="FollowedHyperlink">
    <w:name w:val="FollowedHyperlink"/>
    <w:basedOn w:val="DefaultParagraphFont"/>
    <w:uiPriority w:val="99"/>
    <w:semiHidden/>
    <w:unhideWhenUsed/>
    <w:rsid w:val="00F74266"/>
    <w:rPr>
      <w:color w:val="800080" w:themeColor="followedHyperlink"/>
      <w:u w:val="single"/>
    </w:rPr>
  </w:style>
  <w:style w:type="paragraph" w:customStyle="1" w:styleId="Heading1a">
    <w:name w:val="Heading 1a"/>
    <w:rsid w:val="006C3B2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s-MX" w:eastAsia="en-US"/>
    </w:rPr>
  </w:style>
  <w:style w:type="paragraph" w:styleId="BodyText">
    <w:name w:val="Body Text"/>
    <w:basedOn w:val="Normal"/>
    <w:link w:val="BodyTextChar"/>
    <w:semiHidden/>
    <w:rsid w:val="006C3B20"/>
    <w:pPr>
      <w:widowControl/>
      <w:suppressAutoHyphens/>
      <w:autoSpaceDE/>
      <w:autoSpaceDN/>
      <w:adjustRightInd/>
    </w:pPr>
    <w:rPr>
      <w:rFonts w:ascii="CG Times" w:eastAsia="Times New Roman" w:hAnsi="CG Times" w:cs="Times New Roman"/>
      <w:color w:val="auto"/>
      <w:spacing w:val="-2"/>
      <w:szCs w:val="20"/>
      <w:lang w:eastAsia="en-US"/>
    </w:rPr>
  </w:style>
  <w:style w:type="character" w:customStyle="1" w:styleId="BodyTextChar">
    <w:name w:val="Body Text Char"/>
    <w:basedOn w:val="DefaultParagraphFont"/>
    <w:link w:val="BodyText"/>
    <w:semiHidden/>
    <w:rsid w:val="006C3B20"/>
    <w:rPr>
      <w:rFonts w:ascii="CG Times" w:eastAsia="Times New Roman" w:hAnsi="CG Times" w:cs="Times New Roman"/>
      <w:spacing w:val="-2"/>
      <w:sz w:val="24"/>
      <w:szCs w:val="20"/>
      <w:lang w:val="es-MX" w:eastAsia="en-US"/>
    </w:rPr>
  </w:style>
  <w:style w:type="character" w:styleId="CommentReference">
    <w:name w:val="annotation reference"/>
    <w:basedOn w:val="DefaultParagraphFont"/>
    <w:uiPriority w:val="99"/>
    <w:semiHidden/>
    <w:unhideWhenUsed/>
    <w:rsid w:val="004003E8"/>
    <w:rPr>
      <w:sz w:val="16"/>
      <w:szCs w:val="16"/>
    </w:rPr>
  </w:style>
  <w:style w:type="paragraph" w:styleId="CommentText">
    <w:name w:val="annotation text"/>
    <w:basedOn w:val="Normal"/>
    <w:link w:val="CommentTextChar"/>
    <w:uiPriority w:val="99"/>
    <w:semiHidden/>
    <w:unhideWhenUsed/>
    <w:rsid w:val="004003E8"/>
    <w:rPr>
      <w:sz w:val="20"/>
      <w:szCs w:val="20"/>
    </w:rPr>
  </w:style>
  <w:style w:type="character" w:customStyle="1" w:styleId="CommentTextChar">
    <w:name w:val="Comment Text Char"/>
    <w:basedOn w:val="DefaultParagraphFont"/>
    <w:link w:val="CommentText"/>
    <w:uiPriority w:val="99"/>
    <w:semiHidden/>
    <w:rsid w:val="004003E8"/>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003E8"/>
    <w:rPr>
      <w:b/>
      <w:bCs/>
    </w:rPr>
  </w:style>
  <w:style w:type="character" w:customStyle="1" w:styleId="CommentSubjectChar">
    <w:name w:val="Comment Subject Char"/>
    <w:basedOn w:val="CommentTextChar"/>
    <w:link w:val="CommentSubject"/>
    <w:uiPriority w:val="99"/>
    <w:semiHidden/>
    <w:rsid w:val="004003E8"/>
    <w:rPr>
      <w:rFonts w:ascii="Arial" w:hAnsi="Arial" w:cs="Arial"/>
      <w:b/>
      <w:bCs/>
      <w:color w:val="000000"/>
      <w:sz w:val="20"/>
      <w:szCs w:val="20"/>
    </w:rPr>
  </w:style>
  <w:style w:type="paragraph" w:styleId="NormalWeb">
    <w:name w:val="Normal (Web)"/>
    <w:basedOn w:val="Normal"/>
    <w:uiPriority w:val="99"/>
    <w:semiHidden/>
    <w:unhideWhenUsed/>
    <w:rsid w:val="00A83D94"/>
    <w:pPr>
      <w:widowControl/>
      <w:autoSpaceDE/>
      <w:autoSpaceDN/>
      <w:adjustRightInd/>
      <w:spacing w:before="100" w:beforeAutospacing="1" w:after="100" w:afterAutospacing="1"/>
    </w:pPr>
    <w:rPr>
      <w:rFonts w:ascii="Times New Roman" w:eastAsia="Times New Roman" w:hAnsi="Times New Roman" w:cs="Times New Roman"/>
      <w:color w:val="auto"/>
      <w:lang w:val="en-US" w:eastAsia="en-US"/>
    </w:rPr>
  </w:style>
  <w:style w:type="character" w:styleId="UnresolvedMention">
    <w:name w:val="Unresolved Mention"/>
    <w:basedOn w:val="DefaultParagraphFont"/>
    <w:uiPriority w:val="99"/>
    <w:semiHidden/>
    <w:unhideWhenUsed/>
    <w:rsid w:val="00966DA5"/>
    <w:rPr>
      <w:color w:val="605E5C"/>
      <w:shd w:val="clear" w:color="auto" w:fill="E1DFDD"/>
    </w:rPr>
  </w:style>
  <w:style w:type="table" w:styleId="TableGrid">
    <w:name w:val="Table Grid"/>
    <w:basedOn w:val="TableNormal"/>
    <w:uiPriority w:val="59"/>
    <w:rsid w:val="009018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01876"/>
    <w:pPr>
      <w:widowControl/>
      <w:autoSpaceDE/>
      <w:autoSpaceDN/>
      <w:adjustRightInd/>
      <w:ind w:left="720"/>
      <w:contextualSpacing/>
    </w:pPr>
    <w:rPr>
      <w:rFonts w:ascii="Times New Roman" w:eastAsia="Times New Roman" w:hAnsi="Times New Roman" w:cs="Times New Roman"/>
      <w:color w:val="auto"/>
      <w:sz w:val="20"/>
      <w:szCs w:val="20"/>
      <w:lang w:eastAsia="en-US"/>
    </w:rPr>
  </w:style>
  <w:style w:type="character" w:customStyle="1" w:styleId="ListParagraphChar">
    <w:name w:val="List Paragraph Char"/>
    <w:link w:val="ListParagraph"/>
    <w:uiPriority w:val="34"/>
    <w:locked/>
    <w:rsid w:val="00901876"/>
    <w:rPr>
      <w:rFonts w:ascii="Times New Roman" w:eastAsia="Times New Roman" w:hAnsi="Times New Roman" w:cs="Times New Roman"/>
      <w:sz w:val="20"/>
      <w:szCs w:val="20"/>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0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marcoce@iadb.org"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marcoce@iadb.org" TargetMode="External"/><Relationship Id="rId34" Type="http://schemas.openxmlformats.org/officeDocument/2006/relationships/customXml" Target="../customXml/item8.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marcoce@iadb.org" TargetMode="External"/><Relationship Id="rId25" Type="http://schemas.openxmlformats.org/officeDocument/2006/relationships/header" Target="header1.xml"/><Relationship Id="rId33" Type="http://schemas.openxmlformats.org/officeDocument/2006/relationships/customXml" Target="../customXml/item7.xml"/><Relationship Id="rId29" Type="http://schemas.openxmlformats.org/officeDocument/2006/relationships/header" Target="header3.xml"/><Relationship Id="rId16" Type="http://schemas.openxmlformats.org/officeDocument/2006/relationships/hyperlink" Target="http://www.iadb.org/document.cfm?id=38988613" TargetMode="External"/><Relationship Id="rId20" Type="http://schemas.openxmlformats.org/officeDocument/2006/relationships/hyperlink" Target="https://www.iadb.org/projects/document/EZSHARE-1733953858-36?project=PN-T1249"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beo-procurement.iadb.org/home" TargetMode="External"/><Relationship Id="rId23" Type="http://schemas.openxmlformats.org/officeDocument/2006/relationships/customXml" Target="ink/ink1.xm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iadb.org" TargetMode="External"/><Relationship Id="rId31" Type="http://schemas.openxmlformats.org/officeDocument/2006/relationships/fontTable" Target="fontTable.xml"/><Relationship Id="rId30" Type="http://schemas.openxmlformats.org/officeDocument/2006/relationships/footer" Target="footer3.xml"/><Relationship Id="rId9" Type="http://schemas.openxmlformats.org/officeDocument/2006/relationships/settings" Target="settings.xml"/><Relationship Id="rId14" Type="http://schemas.openxmlformats.org/officeDocument/2006/relationships/hyperlink" Target="https://www.iadb.org/projects/document/EZSHARE-1733953858-36?project=PN-T1249" TargetMode="External"/><Relationship Id="rId22" Type="http://schemas.openxmlformats.org/officeDocument/2006/relationships/hyperlink" Target="mailto:omarg@iadb.org" TargetMode="External"/><Relationship Id="rId27"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01T21:21:19.008"/>
    </inkml:context>
    <inkml:brush xml:id="br0">
      <inkml:brushProperty name="width" value="0.06667" units="cm"/>
      <inkml:brushProperty name="height" value="0.06667" units="cm"/>
    </inkml:brush>
  </inkml:definitions>
  <inkml:trace contextRef="#ctx0" brushRef="#br0">5539 3961 32,'0'0'384,"0"0"2019,-27 0-161,27 0-1666,0 0-319,0 0-1282,0 0-1089,0 0-193,27 0 1891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ae61f9b1-e23d-4f49-b3d7-56b991556c4b" ContentTypeId="0x0101001A458A224826124E8B45B1D613300CFC" PreviousValue="false"/>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FFB1996E203D3849A9DBBCEEFCCB3BD1" ma:contentTypeVersion="0" ma:contentTypeDescription="A content type to manage public (operations) IDB documents" ma:contentTypeScope="" ma:versionID="a569eb4c417b0a655afb15d8582dd4dd">
  <xsd:schema xmlns:xsd="http://www.w3.org/2001/XMLSchema" xmlns:xs="http://www.w3.org/2001/XMLSchema" xmlns:p="http://schemas.microsoft.com/office/2006/metadata/properties" xmlns:ns2="cdc7663a-08f0-4737-9e8c-148ce897a09c" targetNamespace="http://schemas.microsoft.com/office/2006/metadata/properties" ma:root="true" ma:fieldsID="88175d51e1797af223cc37070fea6728"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e61f9b1-e23d-4f49-b3d7-56b991556c4b" ContentTypeId="0x0101000308A27134084F4AA40781B2DCA498A5"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DBDocs_x0020_Number xmlns="cdc7663a-08f0-4737-9e8c-148ce897a09c" xsi:nil="tru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Panama</TermName>
          <TermId xmlns="http://schemas.microsoft.com/office/infopath/2007/PartnerControls">7af43a84-776d-43d1-b0f2-8a1f2a8ffc7b</TermId>
        </TermInfo>
      </Terms>
    </ic46d7e087fd4a108fb86518ca413cc6>
    <Division_x0020_or_x0020_Unit xmlns="cdc7663a-08f0-4737-9e8c-148ce897a09c">INE/WSA</Division_x0020_or_x0020_Unit>
    <Fiscal_x0020_Year_x0020_IDB xmlns="cdc7663a-08f0-4737-9e8c-148ce897a09c">2016</Fiscal_x0020_Year_x0020_IDB>
    <Other_x0020_Author xmlns="cdc7663a-08f0-4737-9e8c-148ce897a09c" xsi:nil="true"/>
    <Migration_x0020_Info xmlns="cdc7663a-08f0-4737-9e8c-148ce897a09c" xsi:nil="true"/>
    <Document_x0020_Author xmlns="cdc7663a-08f0-4737-9e8c-148ce897a09c">Arosemena Angulo Aracelis Itzel</Document_x0020_Author>
    <Document_x0020_Language_x0020_IDB xmlns="cdc7663a-08f0-4737-9e8c-148ce897a09c">Spanish</Document_x0020_Language_x0020_IDB>
    <TaxCatchAll xmlns="cdc7663a-08f0-4737-9e8c-148ce897a09c">
      <Value>69</Value>
      <Value>68</Value>
      <Value>67</Value>
      <Value>25</Value>
      <Value>9</Value>
    </TaxCatchAll>
    <Identifier xmlns="cdc7663a-08f0-4737-9e8c-148ce897a09c" xsi:nil="true"/>
    <_dlc_DocId xmlns="cdc7663a-08f0-4737-9e8c-148ce897a09c">EZSHARE-893539517-14</_dlc_DocId>
    <_dlc_DocIdUrl xmlns="cdc7663a-08f0-4737-9e8c-148ce897a09c">
      <Url>https://idbg.sharepoint.com/teams/EZ-PN-TCP/PN-T1249/_layouts/15/DocIdRedir.aspx?ID=EZSHARE-893539517-14</Url>
      <Description>EZSHARE-893539517-14</Description>
    </_dlc_DocIdUrl>
    <Related_x0020_SisCor_x0020_Number xmlns="cdc7663a-08f0-4737-9e8c-148ce897a09c" xsi:nil="true"/>
    <Record_x0020_Number xmlns="cdc7663a-08f0-4737-9e8c-148ce897a09c" xsi:nil="true"/>
    <b26cdb1da78c4bb4b1c1bac2f6ac5911 xmlns="cdc7663a-08f0-4737-9e8c-148ce897a09c">
      <Terms xmlns="http://schemas.microsoft.com/office/infopath/2007/PartnerControls"/>
    </b26cdb1da78c4bb4b1c1bac2f6ac5911>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Goods and Services</TermName>
          <TermId xmlns="http://schemas.microsoft.com/office/infopath/2007/PartnerControls">5bfebf1b-9f1f-4411-b1dd-4c19b807b799</TermId>
        </TermInfo>
      </Terms>
    </e46fe2894295491da65140ffd2369f49>
    <Approval_x0020_Number xmlns="cdc7663a-08f0-4737-9e8c-148ce897a09c" xsi:nil="true"/>
    <Phase xmlns="cdc7663a-08f0-4737-9e8c-148ce897a09c" xsi:nil="true"/>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AS-GRH</TermName>
          <TermId xmlns="http://schemas.microsoft.com/office/infopath/2007/PartnerControls">b6095696-0808-4ea4-b0d5-c9646be8689e</TermId>
        </TermInfo>
      </Terms>
    </b2ec7cfb18674cb8803df6b262e8b107>
    <Business_x0020_Area xmlns="cdc7663a-08f0-4737-9e8c-148ce897a09c" xsi:nil="true"/>
    <Key_x0020_Document xmlns="cdc7663a-08f0-4737-9e8c-148ce897a09c">false</Key_x0020_Document>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INF</TermName>
          <TermId xmlns="http://schemas.microsoft.com/office/infopath/2007/PartnerControls">474aab72-0205-4196-bca7-4b288939fcb3</TermId>
        </TermInfo>
      </Terms>
    </g511464f9e53401d84b16fa9b379a574>
    <Operation_x0020_Type xmlns="cdc7663a-08f0-4737-9e8c-148ce897a09c">TCP</Operation_x0020_Type>
    <Package_x0020_Code xmlns="cdc7663a-08f0-4737-9e8c-148ce897a09c" xsi:nil="true"/>
    <Project_x0020_Number xmlns="cdc7663a-08f0-4737-9e8c-148ce897a09c">PN-T1249</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AS</TermName>
          <TermId xmlns="http://schemas.microsoft.com/office/infopath/2007/PartnerControls">ba6b63cd-e402-47cb-9357-08149f7ce046</TermId>
        </TermInfo>
      </Terms>
    </nddeef1749674d76abdbe4b239a70bc6>
    <Disclosure_x0020_Activity xmlns="cdc7663a-08f0-4737-9e8c-148ce897a09c">BEO 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7.xml><?xml version="1.0" encoding="utf-8"?>
<?mso-contentType ?>
<SharedContentType xmlns="Microsoft.SharePoint.Taxonomy.ContentTypeSync" SourceId="ae61f9b1-e23d-4f49-b3d7-56b991556c4b" ContentTypeId="0x0101001A458A224826124E8B45B1D613300CFC" PreviousValue="false"/>
</file>

<file path=customXml/item8.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87E23DAA-4EEF-42E2-874B-D6AC0418C7F3}">
  <ds:schemaRefs>
    <ds:schemaRef ds:uri="http://schemas.microsoft.com/sharepoint/events"/>
  </ds:schemaRefs>
</ds:datastoreItem>
</file>

<file path=customXml/itemProps2.xml><?xml version="1.0" encoding="utf-8"?>
<ds:datastoreItem xmlns:ds="http://schemas.openxmlformats.org/officeDocument/2006/customXml" ds:itemID="{560AAB14-D7E7-4C38-959D-D1B4DD599B7B}"/>
</file>

<file path=customXml/itemProps3.xml><?xml version="1.0" encoding="utf-8"?>
<ds:datastoreItem xmlns:ds="http://schemas.openxmlformats.org/officeDocument/2006/customXml" ds:itemID="{C60950A8-3087-40A1-AAE8-74253A934AC3}"/>
</file>

<file path=customXml/itemProps4.xml><?xml version="1.0" encoding="utf-8"?>
<ds:datastoreItem xmlns:ds="http://schemas.openxmlformats.org/officeDocument/2006/customXml" ds:itemID="{FFEDEA4A-9C3A-4E60-81A3-EE5EB5D4CFB2}">
  <ds:schemaRefs>
    <ds:schemaRef ds:uri="Microsoft.SharePoint.Taxonomy.ContentTypeSync"/>
  </ds:schemaRefs>
</ds:datastoreItem>
</file>

<file path=customXml/itemProps5.xml><?xml version="1.0" encoding="utf-8"?>
<ds:datastoreItem xmlns:ds="http://schemas.openxmlformats.org/officeDocument/2006/customXml" ds:itemID="{9F5E50AB-C705-4C53-B2E7-F469F0E2EE3C}">
  <ds:schemaRefs>
    <ds:schemaRef ds:uri="http://schemas.microsoft.com/sharepoint/v3/contenttype/forms"/>
  </ds:schemaRefs>
</ds:datastoreItem>
</file>

<file path=customXml/itemProps6.xml><?xml version="1.0" encoding="utf-8"?>
<ds:datastoreItem xmlns:ds="http://schemas.openxmlformats.org/officeDocument/2006/customXml" ds:itemID="{B98CC96B-FD11-466D-AEB4-CD0D9388406A}">
  <ds:schemaRefs>
    <ds:schemaRef ds:uri="http://schemas.microsoft.com/office/2006/metadata/properties"/>
    <ds:schemaRef ds:uri="http://schemas.microsoft.com/office/infopath/2007/PartnerControls"/>
    <ds:schemaRef ds:uri="cdc7663a-08f0-4737-9e8c-148ce897a09c"/>
  </ds:schemaRefs>
</ds:datastoreItem>
</file>

<file path=customXml/itemProps7.xml><?xml version="1.0" encoding="utf-8"?>
<ds:datastoreItem xmlns:ds="http://schemas.openxmlformats.org/officeDocument/2006/customXml" ds:itemID="{F9AB681A-8207-4097-991E-7AFE0E620B25}"/>
</file>

<file path=customXml/itemProps8.xml><?xml version="1.0" encoding="utf-8"?>
<ds:datastoreItem xmlns:ds="http://schemas.openxmlformats.org/officeDocument/2006/customXml" ds:itemID="{DAC50C7E-4A35-4472-9B12-90A086573D73}"/>
</file>

<file path=docProps/app.xml><?xml version="1.0" encoding="utf-8"?>
<Properties xmlns="http://schemas.openxmlformats.org/officeDocument/2006/extended-properties" xmlns:vt="http://schemas.openxmlformats.org/officeDocument/2006/docPropsVTypes">
  <Template>Normal</Template>
  <TotalTime>38</TotalTime>
  <Pages>6</Pages>
  <Words>2603</Words>
  <Characters>14592</Characters>
  <Application>Microsoft Office Word</Application>
  <DocSecurity>0</DocSecurity>
  <Lines>121</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17161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keywords/>
  <cp:lastModifiedBy>Arosemena Angulo, Aracelis Itzel</cp:lastModifiedBy>
  <cp:revision>9</cp:revision>
  <cp:lastPrinted>2015-01-20T22:56:00Z</cp:lastPrinted>
  <dcterms:created xsi:type="dcterms:W3CDTF">2019-10-08T15:47:00Z</dcterms:created>
  <dcterms:modified xsi:type="dcterms:W3CDTF">2021-01-07T16:35:00Z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Series Corporate IDB">
    <vt:lpwstr>83;#Template|b2485199-60dd-4e3d-8f72-826e396676bc</vt:lpwstr>
  </property>
  <property fmtid="{D5CDD505-2E9C-101B-9397-08002B2CF9AE}" pid="5" name="Function Corporate IDB">
    <vt:lpwstr>2;#Guideline, Standard and Policy|55052825-ede1-4fc0-9b73-7b2230e7239d</vt:lpwstr>
  </property>
  <property fmtid="{D5CDD505-2E9C-101B-9397-08002B2CF9AE}" pid="6" name="TaxKeywordTaxHTField">
    <vt:lpwstr/>
  </property>
  <property fmtid="{D5CDD505-2E9C-101B-9397-08002B2CF9AE}" pid="7" name="Country">
    <vt:lpwstr>25;#Panama|7af43a84-776d-43d1-b0f2-8a1f2a8ffc7b</vt:lpwstr>
  </property>
  <property fmtid="{D5CDD505-2E9C-101B-9397-08002B2CF9AE}" pid="8" name="_dlc_DocIdItemGuid">
    <vt:lpwstr>8b16495f-d362-4d11-839d-161090eaaf62</vt:lpwstr>
  </property>
  <property fmtid="{D5CDD505-2E9C-101B-9397-08002B2CF9AE}" pid="9" name="SharedWithUsers">
    <vt:lpwstr>3006;#Estrada Regalado, Nelson Mauricio;#864;#Naslund-Hadley, Emma Ingrid;#3275;#Sosa Villatoro, Ana Ayme;#4175;#Nelson, Jennifer A;#3710;#Rodriguez Benavides, Rebeca Elizabeth;#4981;#Rubio Codina, Marta;#5381;#Aguilar Rivera, Ana Mylena</vt:lpwstr>
  </property>
  <property fmtid="{D5CDD505-2E9C-101B-9397-08002B2CF9AE}" pid="10" name="Sub-Sector">
    <vt:lpwstr>69;#AS-GRH|b6095696-0808-4ea4-b0d5-c9646be8689e</vt:lpwstr>
  </property>
  <property fmtid="{D5CDD505-2E9C-101B-9397-08002B2CF9AE}" pid="11" name="Series Operations IDB">
    <vt:lpwstr/>
  </property>
  <property fmtid="{D5CDD505-2E9C-101B-9397-08002B2CF9AE}" pid="12" name="Fund IDB">
    <vt:lpwstr>68;#INF|474aab72-0205-4196-bca7-4b288939fcb3</vt:lpwstr>
  </property>
  <property fmtid="{D5CDD505-2E9C-101B-9397-08002B2CF9AE}" pid="13" name="Sector IDB">
    <vt:lpwstr>67;#AS|ba6b63cd-e402-47cb-9357-08149f7ce046</vt:lpwstr>
  </property>
  <property fmtid="{D5CDD505-2E9C-101B-9397-08002B2CF9AE}" pid="14" name="Function Operations IDB">
    <vt:lpwstr>9;#Goods and Services|5bfebf1b-9f1f-4411-b1dd-4c19b807b799</vt:lpwstr>
  </property>
  <property fmtid="{D5CDD505-2E9C-101B-9397-08002B2CF9AE}" pid="21" name="Disclosed">
    <vt:bool>false</vt:bool>
  </property>
  <property fmtid="{D5CDD505-2E9C-101B-9397-08002B2CF9AE}" pid="22" name="ContentTypeId">
    <vt:lpwstr>0x0101001A458A224826124E8B45B1D613300CFC00FFB1996E203D3849A9DBBCEEFCCB3BD1</vt:lpwstr>
  </property>
</Properties>
</file>