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46E3F" w14:textId="0294DE0E" w:rsidR="006C3B20" w:rsidRPr="00E21375" w:rsidRDefault="000C118D" w:rsidP="006C3B20">
      <w:pPr>
        <w:pStyle w:val="Heading1a"/>
        <w:keepNext w:val="0"/>
        <w:keepLines w:val="0"/>
        <w:tabs>
          <w:tab w:val="clear" w:pos="-720"/>
        </w:tabs>
        <w:suppressAutoHyphens w:val="0"/>
        <w:jc w:val="left"/>
        <w:rPr>
          <w:rFonts w:asciiTheme="minorHAnsi" w:hAnsiTheme="minorHAnsi" w:cstheme="minorHAnsi"/>
          <w:bCs/>
          <w:smallCaps w:val="0"/>
          <w:sz w:val="28"/>
          <w:u w:val="single"/>
          <w:lang w:val="es-ES_tradnl"/>
        </w:rPr>
      </w:pPr>
      <w:bookmarkStart w:id="0" w:name="_GoBack"/>
      <w:bookmarkEnd w:id="0"/>
      <w:r>
        <w:rPr>
          <w:noProof/>
        </w:rPr>
        <w:drawing>
          <wp:inline distT="0" distB="0" distL="0" distR="0" wp14:anchorId="24176DB2" wp14:editId="66398157">
            <wp:extent cx="1952625" cy="495300"/>
            <wp:effectExtent l="0" t="0" r="9525" b="0"/>
            <wp:docPr id="1624684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2CDD2216" w:rsidRPr="00E21375">
        <w:rPr>
          <w:rFonts w:asciiTheme="minorHAnsi" w:eastAsiaTheme="minorEastAsia" w:hAnsiTheme="minorHAnsi" w:cstheme="minorBidi"/>
          <w:noProof/>
          <w:lang w:val="es-ES_tradnl"/>
        </w:rPr>
        <w:t xml:space="preserve">                </w:t>
      </w:r>
    </w:p>
    <w:p w14:paraId="20F9977C" w14:textId="3EA367EE" w:rsidR="2CDD2216" w:rsidRPr="00E21375" w:rsidRDefault="2CDD2216" w:rsidP="2CDD2216">
      <w:pPr>
        <w:pStyle w:val="Heading1a"/>
        <w:rPr>
          <w:rFonts w:asciiTheme="minorHAnsi" w:eastAsiaTheme="minorEastAsia" w:hAnsiTheme="minorHAnsi" w:cstheme="minorBidi"/>
          <w:color w:val="FF0000"/>
          <w:sz w:val="28"/>
          <w:szCs w:val="28"/>
          <w:highlight w:val="yellow"/>
          <w:u w:val="single"/>
          <w:lang w:val="es-ES_tradnl"/>
        </w:rPr>
      </w:pPr>
    </w:p>
    <w:p w14:paraId="7BC714B6" w14:textId="526189CA" w:rsidR="008205BA" w:rsidRPr="00E21375" w:rsidRDefault="008205BA" w:rsidP="008205BA">
      <w:pPr>
        <w:pStyle w:val="Heading1a"/>
        <w:keepNext w:val="0"/>
        <w:keepLines w:val="0"/>
        <w:tabs>
          <w:tab w:val="clear" w:pos="-720"/>
        </w:tabs>
        <w:suppressAutoHyphens w:val="0"/>
        <w:rPr>
          <w:rFonts w:asciiTheme="minorHAnsi" w:eastAsiaTheme="minorEastAsia" w:hAnsiTheme="minorHAnsi" w:cstheme="minorBidi"/>
          <w:smallCaps w:val="0"/>
          <w:sz w:val="28"/>
          <w:szCs w:val="28"/>
          <w:u w:val="single"/>
          <w:lang w:val="es-ES_tradnl"/>
        </w:rPr>
      </w:pPr>
      <w:r w:rsidRPr="008205BA">
        <w:rPr>
          <w:rFonts w:asciiTheme="minorHAnsi" w:eastAsiaTheme="minorEastAsia" w:hAnsiTheme="minorHAnsi" w:cstheme="minorBidi"/>
          <w:smallCaps w:val="0"/>
          <w:sz w:val="28"/>
          <w:szCs w:val="28"/>
          <w:u w:val="single"/>
          <w:lang w:val="es-ES_tradnl"/>
        </w:rPr>
        <w:t>SOLICITUD DE EXPRESIÓ</w:t>
      </w:r>
      <w:r w:rsidR="00B14765">
        <w:rPr>
          <w:rFonts w:asciiTheme="minorHAnsi" w:eastAsiaTheme="minorEastAsia" w:hAnsiTheme="minorHAnsi" w:cstheme="minorBidi"/>
          <w:smallCaps w:val="0"/>
          <w:sz w:val="28"/>
          <w:szCs w:val="28"/>
          <w:u w:val="single"/>
          <w:lang w:val="es-ES_tradnl"/>
        </w:rPr>
        <w:t>N</w:t>
      </w:r>
      <w:r w:rsidRPr="008205BA">
        <w:rPr>
          <w:rFonts w:asciiTheme="minorHAnsi" w:eastAsiaTheme="minorEastAsia" w:hAnsiTheme="minorHAnsi" w:cstheme="minorBidi"/>
          <w:smallCaps w:val="0"/>
          <w:sz w:val="28"/>
          <w:szCs w:val="28"/>
          <w:u w:val="single"/>
          <w:lang w:val="es-ES_tradnl"/>
        </w:rPr>
        <w:t xml:space="preserve"> DE INTERÉS PARA CONSULTORÍA </w:t>
      </w:r>
      <w:r>
        <w:rPr>
          <w:rFonts w:asciiTheme="minorHAnsi" w:eastAsiaTheme="minorEastAsia" w:hAnsiTheme="minorHAnsi" w:cstheme="minorBidi"/>
          <w:smallCaps w:val="0"/>
          <w:sz w:val="28"/>
          <w:szCs w:val="28"/>
          <w:u w:val="single"/>
          <w:lang w:val="es-ES_tradnl"/>
        </w:rPr>
        <w:t>DE SERVICIOS</w:t>
      </w:r>
    </w:p>
    <w:p w14:paraId="2B02FCF8" w14:textId="5CD3C867" w:rsidR="006C3B20" w:rsidRPr="00E21375" w:rsidRDefault="006C3B20" w:rsidP="008205BA">
      <w:pPr>
        <w:pStyle w:val="Heading1a"/>
        <w:keepNext w:val="0"/>
        <w:keepLines w:val="0"/>
        <w:tabs>
          <w:tab w:val="clear" w:pos="-720"/>
        </w:tabs>
        <w:suppressAutoHyphens w:val="0"/>
        <w:jc w:val="left"/>
        <w:rPr>
          <w:rFonts w:asciiTheme="minorHAnsi" w:eastAsiaTheme="minorEastAsia" w:hAnsiTheme="minorHAnsi" w:cstheme="minorBidi"/>
          <w:color w:val="FF0000"/>
          <w:sz w:val="28"/>
          <w:szCs w:val="28"/>
          <w:u w:val="single"/>
          <w:lang w:val="es-ES_tradnl"/>
        </w:rPr>
      </w:pPr>
    </w:p>
    <w:p w14:paraId="2E615853" w14:textId="77777777" w:rsidR="003F5CA1" w:rsidRPr="00E21375" w:rsidRDefault="003F5CA1" w:rsidP="00901303">
      <w:pPr>
        <w:jc w:val="both"/>
        <w:rPr>
          <w:rFonts w:asciiTheme="minorHAnsi" w:hAnsiTheme="minorHAnsi" w:cstheme="minorHAnsi"/>
          <w:color w:val="auto"/>
          <w:lang w:val="es-ES_tradnl"/>
        </w:rPr>
      </w:pPr>
    </w:p>
    <w:p w14:paraId="628BF229" w14:textId="58C57FE2" w:rsidR="00F45D9C" w:rsidRPr="00C93147" w:rsidRDefault="00655DDF" w:rsidP="2CDD2216">
      <w:pPr>
        <w:suppressAutoHyphens/>
        <w:rPr>
          <w:rFonts w:asciiTheme="minorHAnsi" w:hAnsiTheme="minorHAnsi" w:cstheme="minorHAnsi"/>
          <w:color w:val="auto"/>
          <w:lang w:val="es-ES_tradnl"/>
        </w:rPr>
      </w:pPr>
      <w:r w:rsidRPr="00C93147">
        <w:rPr>
          <w:rFonts w:asciiTheme="minorHAnsi" w:hAnsiTheme="minorHAnsi" w:cstheme="minorHAnsi"/>
          <w:color w:val="auto"/>
          <w:lang w:val="es-ES_tradnl"/>
        </w:rPr>
        <w:t>Selec</w:t>
      </w:r>
      <w:r w:rsidR="008205BA" w:rsidRPr="00C93147">
        <w:rPr>
          <w:rFonts w:asciiTheme="minorHAnsi" w:hAnsiTheme="minorHAnsi" w:cstheme="minorHAnsi"/>
          <w:color w:val="auto"/>
          <w:lang w:val="es-ES_tradnl"/>
        </w:rPr>
        <w:t>ción</w:t>
      </w:r>
      <w:r w:rsidRPr="00C93147">
        <w:rPr>
          <w:rFonts w:asciiTheme="minorHAnsi" w:hAnsiTheme="minorHAnsi" w:cstheme="minorHAnsi"/>
          <w:color w:val="auto"/>
          <w:lang w:val="es-ES_tradnl"/>
        </w:rPr>
        <w:t xml:space="preserve"> #: </w:t>
      </w:r>
      <w:r w:rsidR="002A56CD" w:rsidRPr="00C93147">
        <w:rPr>
          <w:rFonts w:asciiTheme="minorHAnsi" w:hAnsiTheme="minorHAnsi" w:cstheme="minorHAnsi"/>
          <w:color w:val="auto"/>
          <w:lang w:val="es-ES_tradnl"/>
        </w:rPr>
        <w:t>RG</w:t>
      </w:r>
      <w:r w:rsidR="004311FF" w:rsidRPr="00C93147">
        <w:rPr>
          <w:rFonts w:asciiTheme="minorHAnsi" w:hAnsiTheme="minorHAnsi" w:cstheme="minorHAnsi"/>
          <w:color w:val="auto"/>
          <w:lang w:val="es-ES_tradnl"/>
        </w:rPr>
        <w:t>-T</w:t>
      </w:r>
      <w:r w:rsidR="002A56CD" w:rsidRPr="00C93147">
        <w:rPr>
          <w:rFonts w:asciiTheme="minorHAnsi" w:hAnsiTheme="minorHAnsi" w:cstheme="minorHAnsi"/>
          <w:color w:val="auto"/>
          <w:lang w:val="es-ES_tradnl"/>
        </w:rPr>
        <w:t>2</w:t>
      </w:r>
      <w:r w:rsidR="008E5BAF" w:rsidRPr="00C93147">
        <w:rPr>
          <w:rFonts w:asciiTheme="minorHAnsi" w:hAnsiTheme="minorHAnsi" w:cstheme="minorHAnsi"/>
          <w:color w:val="auto"/>
          <w:lang w:val="es-ES_tradnl"/>
        </w:rPr>
        <w:t>7</w:t>
      </w:r>
      <w:r w:rsidR="004920E0" w:rsidRPr="00C93147">
        <w:rPr>
          <w:rFonts w:asciiTheme="minorHAnsi" w:hAnsiTheme="minorHAnsi" w:cstheme="minorHAnsi"/>
          <w:color w:val="auto"/>
          <w:lang w:val="es-ES_tradnl"/>
        </w:rPr>
        <w:t>85</w:t>
      </w:r>
      <w:r w:rsidR="004311FF" w:rsidRPr="00C93147">
        <w:rPr>
          <w:rFonts w:asciiTheme="minorHAnsi" w:hAnsiTheme="minorHAnsi" w:cstheme="minorHAnsi"/>
          <w:color w:val="auto"/>
          <w:lang w:val="es-ES_tradnl"/>
        </w:rPr>
        <w:t>-P00</w:t>
      </w:r>
      <w:r w:rsidR="008205BA" w:rsidRPr="00C93147">
        <w:rPr>
          <w:rFonts w:asciiTheme="minorHAnsi" w:hAnsiTheme="minorHAnsi" w:cstheme="minorHAnsi"/>
          <w:color w:val="auto"/>
          <w:lang w:val="es-ES_tradnl"/>
        </w:rPr>
        <w:t>7</w:t>
      </w:r>
    </w:p>
    <w:p w14:paraId="2FE659F0" w14:textId="663CD227" w:rsidR="672BA234" w:rsidRPr="00C93147" w:rsidRDefault="008205BA" w:rsidP="672BA234">
      <w:pPr>
        <w:rPr>
          <w:rFonts w:asciiTheme="minorHAnsi" w:hAnsiTheme="minorHAnsi" w:cstheme="minorHAnsi"/>
          <w:color w:val="auto"/>
          <w:lang w:val="es-ES_tradnl"/>
        </w:rPr>
      </w:pPr>
      <w:r w:rsidRPr="00C93147">
        <w:rPr>
          <w:rFonts w:asciiTheme="minorHAnsi" w:hAnsiTheme="minorHAnsi" w:cstheme="minorHAnsi"/>
          <w:color w:val="auto"/>
          <w:lang w:val="es-ES_tradnl"/>
        </w:rPr>
        <w:t>Método de selección</w:t>
      </w:r>
      <w:r w:rsidR="00655DDF" w:rsidRPr="00C93147">
        <w:rPr>
          <w:rFonts w:asciiTheme="minorHAnsi" w:hAnsiTheme="minorHAnsi" w:cstheme="minorHAnsi"/>
          <w:color w:val="auto"/>
          <w:lang w:val="es-ES_tradnl"/>
        </w:rPr>
        <w:t xml:space="preserve">: </w:t>
      </w:r>
      <w:r w:rsidR="00873E90" w:rsidRPr="00C93147">
        <w:rPr>
          <w:rFonts w:asciiTheme="minorHAnsi" w:hAnsiTheme="minorHAnsi" w:cstheme="minorHAnsi"/>
          <w:color w:val="auto"/>
          <w:lang w:val="es-ES_tradnl"/>
        </w:rPr>
        <w:t>Single Source Selection</w:t>
      </w:r>
    </w:p>
    <w:p w14:paraId="4356DB27" w14:textId="369E612E" w:rsidR="00F45D9C" w:rsidRPr="00E21375" w:rsidRDefault="008205BA" w:rsidP="2CDD2216">
      <w:pPr>
        <w:suppressAutoHyphens/>
        <w:rPr>
          <w:rFonts w:asciiTheme="minorHAnsi" w:hAnsiTheme="minorHAnsi" w:cstheme="minorHAnsi"/>
          <w:color w:val="auto"/>
          <w:lang w:val="es-ES_tradnl"/>
        </w:rPr>
      </w:pPr>
      <w:r w:rsidRPr="00E21375">
        <w:rPr>
          <w:rFonts w:asciiTheme="minorHAnsi" w:hAnsiTheme="minorHAnsi" w:cstheme="minorHAnsi"/>
          <w:color w:val="auto"/>
          <w:lang w:val="es-ES_tradnl"/>
        </w:rPr>
        <w:t>País</w:t>
      </w:r>
      <w:r w:rsidR="00F45D9C" w:rsidRPr="00E21375">
        <w:rPr>
          <w:rFonts w:asciiTheme="minorHAnsi" w:hAnsiTheme="minorHAnsi" w:cstheme="minorHAnsi"/>
          <w:color w:val="auto"/>
          <w:lang w:val="es-ES_tradnl"/>
        </w:rPr>
        <w:t xml:space="preserve">: </w:t>
      </w:r>
      <w:r w:rsidR="004920E0" w:rsidRPr="00E21375">
        <w:rPr>
          <w:rFonts w:asciiTheme="minorHAnsi" w:hAnsiTheme="minorHAnsi" w:cstheme="minorHAnsi"/>
          <w:color w:val="auto"/>
          <w:lang w:val="es-ES_tradnl"/>
        </w:rPr>
        <w:t>Paraguay</w:t>
      </w:r>
      <w:r w:rsidR="00F45D9C" w:rsidRPr="00E21375">
        <w:rPr>
          <w:rFonts w:asciiTheme="minorHAnsi" w:hAnsiTheme="minorHAnsi" w:cstheme="minorHAnsi"/>
          <w:color w:val="auto"/>
          <w:lang w:val="es-ES_tradnl"/>
        </w:rPr>
        <w:t xml:space="preserve"> </w:t>
      </w:r>
    </w:p>
    <w:p w14:paraId="4C834057" w14:textId="208539F4" w:rsidR="00F45D9C" w:rsidRPr="00E21375" w:rsidRDefault="2CDD2216" w:rsidP="2CDD2216">
      <w:pPr>
        <w:suppressAutoHyphens/>
        <w:rPr>
          <w:rFonts w:asciiTheme="minorHAnsi" w:hAnsiTheme="minorHAnsi" w:cstheme="minorHAnsi"/>
          <w:color w:val="auto"/>
          <w:lang w:val="es-ES_tradnl"/>
        </w:rPr>
      </w:pPr>
      <w:r w:rsidRPr="00E21375">
        <w:rPr>
          <w:rFonts w:asciiTheme="minorHAnsi" w:hAnsiTheme="minorHAnsi" w:cstheme="minorHAnsi"/>
          <w:color w:val="auto"/>
          <w:lang w:val="es-ES_tradnl"/>
        </w:rPr>
        <w:t>Sector:</w:t>
      </w:r>
      <w:r w:rsidR="004311FF" w:rsidRPr="00E21375">
        <w:rPr>
          <w:rFonts w:asciiTheme="minorHAnsi" w:hAnsiTheme="minorHAnsi" w:cstheme="minorHAnsi"/>
          <w:color w:val="auto"/>
          <w:lang w:val="es-ES_tradnl"/>
        </w:rPr>
        <w:t xml:space="preserve"> IFD/CMF</w:t>
      </w:r>
    </w:p>
    <w:p w14:paraId="77DFD1F0" w14:textId="4B32C702" w:rsidR="0024224B" w:rsidRPr="00C93147" w:rsidRDefault="2CDD2216" w:rsidP="0024224B">
      <w:pPr>
        <w:suppressAutoHyphens/>
        <w:rPr>
          <w:rFonts w:asciiTheme="minorHAnsi" w:hAnsiTheme="minorHAnsi" w:cstheme="minorHAnsi"/>
          <w:color w:val="auto"/>
          <w:lang w:val="es-ES_tradnl"/>
        </w:rPr>
      </w:pPr>
      <w:r w:rsidRPr="00C93147">
        <w:rPr>
          <w:rFonts w:asciiTheme="minorHAnsi" w:hAnsiTheme="minorHAnsi" w:cstheme="minorHAnsi"/>
          <w:color w:val="auto"/>
          <w:lang w:val="es-ES_tradnl"/>
        </w:rPr>
        <w:t>Fu</w:t>
      </w:r>
      <w:r w:rsidR="008205BA" w:rsidRPr="00C93147">
        <w:rPr>
          <w:rFonts w:asciiTheme="minorHAnsi" w:hAnsiTheme="minorHAnsi" w:cstheme="minorHAnsi"/>
          <w:color w:val="auto"/>
          <w:lang w:val="es-ES_tradnl"/>
        </w:rPr>
        <w:t>ente de financiación</w:t>
      </w:r>
      <w:r w:rsidRPr="00C93147">
        <w:rPr>
          <w:rFonts w:asciiTheme="minorHAnsi" w:hAnsiTheme="minorHAnsi" w:cstheme="minorHAnsi"/>
          <w:color w:val="auto"/>
          <w:lang w:val="es-ES_tradnl"/>
        </w:rPr>
        <w:t>:</w:t>
      </w:r>
      <w:r w:rsidR="0024224B" w:rsidRPr="00C93147">
        <w:rPr>
          <w:rFonts w:asciiTheme="minorHAnsi" w:hAnsiTheme="minorHAnsi" w:cstheme="minorHAnsi"/>
          <w:color w:val="auto"/>
          <w:lang w:val="es-ES_tradnl"/>
        </w:rPr>
        <w:t xml:space="preserve"> </w:t>
      </w:r>
      <w:r w:rsidR="004920E0" w:rsidRPr="00C93147">
        <w:rPr>
          <w:rFonts w:asciiTheme="minorHAnsi" w:hAnsiTheme="minorHAnsi" w:cstheme="minorHAnsi"/>
          <w:color w:val="auto"/>
          <w:lang w:val="es-ES_tradnl"/>
        </w:rPr>
        <w:t>ATN/KK-16057-RG</w:t>
      </w:r>
      <w:r w:rsidR="004920E0" w:rsidRPr="00C93147">
        <w:rPr>
          <w:rFonts w:asciiTheme="minorHAnsi" w:hAnsiTheme="minorHAnsi" w:cstheme="minorHAnsi"/>
          <w:lang w:val="es-ES_tradnl"/>
        </w:rPr>
        <w:t>                          </w:t>
      </w:r>
      <w:r w:rsidR="004920E0" w:rsidRPr="00C93147">
        <w:rPr>
          <w:rFonts w:asciiTheme="minorHAnsi" w:eastAsia="Times New Roman" w:hAnsiTheme="minorHAnsi" w:cstheme="minorHAnsi"/>
          <w:lang w:val="es-ES_tradnl"/>
        </w:rPr>
        <w:t>                        </w:t>
      </w:r>
    </w:p>
    <w:p w14:paraId="6B175998" w14:textId="0CCAD857" w:rsidR="00F45D9C" w:rsidRPr="00C93147" w:rsidRDefault="2CDD2216" w:rsidP="00F45D9C">
      <w:pPr>
        <w:pStyle w:val="BodyText"/>
        <w:rPr>
          <w:rFonts w:asciiTheme="minorHAnsi" w:eastAsiaTheme="minorEastAsia" w:hAnsiTheme="minorHAnsi" w:cstheme="minorHAnsi"/>
          <w:spacing w:val="0"/>
          <w:szCs w:val="24"/>
          <w:lang w:eastAsia="es-AR"/>
        </w:rPr>
      </w:pPr>
      <w:r w:rsidRPr="00C93147">
        <w:rPr>
          <w:rFonts w:asciiTheme="minorHAnsi" w:eastAsiaTheme="minorEastAsia" w:hAnsiTheme="minorHAnsi" w:cstheme="minorHAnsi"/>
          <w:spacing w:val="0"/>
          <w:szCs w:val="24"/>
          <w:lang w:eastAsia="es-AR"/>
        </w:rPr>
        <w:t>Pro</w:t>
      </w:r>
      <w:r w:rsidR="00E21375">
        <w:rPr>
          <w:rFonts w:asciiTheme="minorHAnsi" w:eastAsiaTheme="minorEastAsia" w:hAnsiTheme="minorHAnsi" w:cstheme="minorHAnsi"/>
          <w:spacing w:val="0"/>
          <w:szCs w:val="24"/>
          <w:lang w:eastAsia="es-AR"/>
        </w:rPr>
        <w:t>y</w:t>
      </w:r>
      <w:r w:rsidRPr="00C93147">
        <w:rPr>
          <w:rFonts w:asciiTheme="minorHAnsi" w:eastAsiaTheme="minorEastAsia" w:hAnsiTheme="minorHAnsi" w:cstheme="minorHAnsi"/>
          <w:spacing w:val="0"/>
          <w:szCs w:val="24"/>
          <w:lang w:eastAsia="es-AR"/>
        </w:rPr>
        <w:t>ect</w:t>
      </w:r>
      <w:r w:rsidR="008205BA" w:rsidRPr="00C93147">
        <w:rPr>
          <w:rFonts w:asciiTheme="minorHAnsi" w:eastAsiaTheme="minorEastAsia" w:hAnsiTheme="minorHAnsi" w:cstheme="minorHAnsi"/>
          <w:spacing w:val="0"/>
          <w:szCs w:val="24"/>
          <w:lang w:eastAsia="es-AR"/>
        </w:rPr>
        <w:t>o</w:t>
      </w:r>
      <w:r w:rsidRPr="00C93147">
        <w:rPr>
          <w:rFonts w:asciiTheme="minorHAnsi" w:eastAsiaTheme="minorEastAsia" w:hAnsiTheme="minorHAnsi" w:cstheme="minorHAnsi"/>
          <w:spacing w:val="0"/>
          <w:szCs w:val="24"/>
          <w:lang w:eastAsia="es-AR"/>
        </w:rPr>
        <w:t xml:space="preserve"> #:</w:t>
      </w:r>
      <w:r w:rsidR="004311FF" w:rsidRPr="00C93147">
        <w:rPr>
          <w:rFonts w:asciiTheme="minorHAnsi" w:eastAsiaTheme="minorEastAsia" w:hAnsiTheme="minorHAnsi" w:cstheme="minorHAnsi"/>
          <w:spacing w:val="0"/>
          <w:szCs w:val="24"/>
          <w:lang w:eastAsia="es-AR"/>
        </w:rPr>
        <w:t xml:space="preserve"> </w:t>
      </w:r>
      <w:r w:rsidR="002A56CD" w:rsidRPr="00C93147">
        <w:rPr>
          <w:rFonts w:asciiTheme="minorHAnsi" w:eastAsiaTheme="minorEastAsia" w:hAnsiTheme="minorHAnsi" w:cstheme="minorHAnsi"/>
          <w:spacing w:val="0"/>
          <w:szCs w:val="24"/>
          <w:lang w:eastAsia="es-AR"/>
        </w:rPr>
        <w:t>RG</w:t>
      </w:r>
      <w:r w:rsidR="00873E90" w:rsidRPr="00C93147">
        <w:rPr>
          <w:rFonts w:asciiTheme="minorHAnsi" w:eastAsiaTheme="minorEastAsia" w:hAnsiTheme="minorHAnsi" w:cstheme="minorHAnsi"/>
          <w:spacing w:val="0"/>
          <w:szCs w:val="24"/>
          <w:lang w:eastAsia="es-AR"/>
        </w:rPr>
        <w:t>-T</w:t>
      </w:r>
      <w:r w:rsidR="008E5BAF" w:rsidRPr="00C93147">
        <w:rPr>
          <w:rFonts w:asciiTheme="minorHAnsi" w:eastAsiaTheme="minorEastAsia" w:hAnsiTheme="minorHAnsi" w:cstheme="minorHAnsi"/>
          <w:spacing w:val="0"/>
          <w:szCs w:val="24"/>
          <w:lang w:eastAsia="es-AR"/>
        </w:rPr>
        <w:t>27</w:t>
      </w:r>
      <w:r w:rsidR="004920E0" w:rsidRPr="00C93147">
        <w:rPr>
          <w:rFonts w:asciiTheme="minorHAnsi" w:eastAsiaTheme="minorEastAsia" w:hAnsiTheme="minorHAnsi" w:cstheme="minorHAnsi"/>
          <w:spacing w:val="0"/>
          <w:szCs w:val="24"/>
          <w:lang w:eastAsia="es-AR"/>
        </w:rPr>
        <w:t>85</w:t>
      </w:r>
    </w:p>
    <w:p w14:paraId="08959238" w14:textId="6B7B52A3" w:rsidR="00F45D9C" w:rsidRPr="00C93147" w:rsidRDefault="008205BA" w:rsidP="00170248">
      <w:pPr>
        <w:pStyle w:val="BodyText"/>
        <w:tabs>
          <w:tab w:val="left" w:pos="6645"/>
        </w:tabs>
        <w:rPr>
          <w:rFonts w:asciiTheme="minorHAnsi" w:eastAsiaTheme="minorEastAsia" w:hAnsiTheme="minorHAnsi" w:cstheme="minorHAnsi"/>
          <w:spacing w:val="0"/>
          <w:szCs w:val="24"/>
          <w:lang w:eastAsia="es-AR"/>
        </w:rPr>
      </w:pPr>
      <w:r w:rsidRPr="00C93147">
        <w:rPr>
          <w:rFonts w:asciiTheme="minorHAnsi" w:eastAsiaTheme="minorEastAsia" w:hAnsiTheme="minorHAnsi" w:cstheme="minorHAnsi"/>
          <w:spacing w:val="0"/>
          <w:szCs w:val="24"/>
          <w:lang w:eastAsia="es-AR"/>
        </w:rPr>
        <w:t>Nombre TC</w:t>
      </w:r>
      <w:r w:rsidR="672BA234" w:rsidRPr="00C93147">
        <w:rPr>
          <w:rFonts w:asciiTheme="minorHAnsi" w:eastAsiaTheme="minorEastAsia" w:hAnsiTheme="minorHAnsi" w:cstheme="minorHAnsi"/>
          <w:spacing w:val="0"/>
          <w:szCs w:val="24"/>
          <w:lang w:eastAsia="es-AR"/>
        </w:rPr>
        <w:t>:</w:t>
      </w:r>
      <w:r w:rsidR="004311FF" w:rsidRPr="00C93147">
        <w:rPr>
          <w:rFonts w:asciiTheme="minorHAnsi" w:eastAsiaTheme="minorEastAsia" w:hAnsiTheme="minorHAnsi" w:cstheme="minorHAnsi"/>
          <w:spacing w:val="0"/>
          <w:szCs w:val="24"/>
          <w:lang w:eastAsia="es-AR"/>
        </w:rPr>
        <w:t xml:space="preserve"> </w:t>
      </w:r>
      <w:r w:rsidR="004920E0" w:rsidRPr="00C93147">
        <w:rPr>
          <w:rFonts w:asciiTheme="minorHAnsi" w:eastAsiaTheme="minorEastAsia" w:hAnsiTheme="minorHAnsi" w:cstheme="minorHAnsi"/>
          <w:spacing w:val="0"/>
          <w:szCs w:val="24"/>
          <w:lang w:eastAsia="es-AR"/>
        </w:rPr>
        <w:t>Broadband 2.0: Diagnosis and Recommendations for Sustainable Broadband Development in Paraguay,</w:t>
      </w:r>
    </w:p>
    <w:p w14:paraId="25CD70FF" w14:textId="4CB9189D" w:rsidR="008205BA" w:rsidRPr="00C93147" w:rsidRDefault="6D59273E" w:rsidP="008205BA">
      <w:pPr>
        <w:pStyle w:val="BodyText"/>
        <w:rPr>
          <w:rFonts w:asciiTheme="minorHAnsi" w:eastAsiaTheme="minorEastAsia" w:hAnsiTheme="minorHAnsi" w:cstheme="minorHAnsi"/>
          <w:spacing w:val="0"/>
          <w:szCs w:val="24"/>
          <w:lang w:val="es-ES_tradnl" w:eastAsia="es-AR"/>
        </w:rPr>
      </w:pPr>
      <w:r w:rsidRPr="00C93147">
        <w:rPr>
          <w:rFonts w:asciiTheme="minorHAnsi" w:eastAsiaTheme="minorEastAsia" w:hAnsiTheme="minorHAnsi" w:cstheme="minorHAnsi"/>
          <w:spacing w:val="0"/>
          <w:szCs w:val="24"/>
          <w:lang w:val="es-ES_tradnl" w:eastAsia="es-AR"/>
        </w:rPr>
        <w:t>Descrip</w:t>
      </w:r>
      <w:r w:rsidR="008205BA" w:rsidRPr="00C93147">
        <w:rPr>
          <w:rFonts w:asciiTheme="minorHAnsi" w:eastAsiaTheme="minorEastAsia" w:hAnsiTheme="minorHAnsi" w:cstheme="minorHAnsi"/>
          <w:spacing w:val="0"/>
          <w:szCs w:val="24"/>
          <w:lang w:val="es-ES_tradnl" w:eastAsia="es-AR"/>
        </w:rPr>
        <w:t>ción de Servicios</w:t>
      </w:r>
      <w:r w:rsidRPr="00C93147">
        <w:rPr>
          <w:rFonts w:asciiTheme="minorHAnsi" w:eastAsiaTheme="minorEastAsia" w:hAnsiTheme="minorHAnsi" w:cstheme="minorHAnsi"/>
          <w:spacing w:val="0"/>
          <w:szCs w:val="24"/>
          <w:lang w:val="es-ES_tradnl" w:eastAsia="es-AR"/>
        </w:rPr>
        <w:t>:</w:t>
      </w:r>
      <w:r w:rsidR="004311FF" w:rsidRPr="00C93147">
        <w:rPr>
          <w:rFonts w:asciiTheme="minorHAnsi" w:eastAsiaTheme="minorEastAsia" w:hAnsiTheme="minorHAnsi" w:cstheme="minorHAnsi"/>
          <w:spacing w:val="0"/>
          <w:szCs w:val="24"/>
          <w:lang w:val="es-ES_tradnl" w:eastAsia="es-AR"/>
        </w:rPr>
        <w:t xml:space="preserve"> </w:t>
      </w:r>
      <w:r w:rsidR="008205BA" w:rsidRPr="00C93147">
        <w:rPr>
          <w:rFonts w:asciiTheme="minorHAnsi" w:eastAsiaTheme="minorEastAsia" w:hAnsiTheme="minorHAnsi" w:cstheme="minorHAnsi"/>
          <w:spacing w:val="0"/>
          <w:szCs w:val="24"/>
          <w:lang w:val="es-ES_tradnl" w:eastAsia="es-AR"/>
        </w:rPr>
        <w:t xml:space="preserve">Apoyar la ejecución de la operación PR-L1153 (“Agenda Digital”) en lo relativo a la revisión y, en su caso, el desarrollo de Términos de Referencia (TDR) y Especificaciones Técnicas (EETT) necesarias para la obtención de los diferentes productos a obtener, asociados con temas tecnológicos en general y de infraestructura y gestión de comunicaciones y sistemas digitales en particular, en los distintos componentes de la operación (CI: Digitalización de procesos y mejora de la entrega de servicios prestados por el sector público, CII Mejora de la inversión en TIC mediante el apoyo a jóvenes, emprendedores y empresas, CIII Extensión del uso de BA y mejora de su calidad y precio). </w:t>
      </w:r>
    </w:p>
    <w:p w14:paraId="64A840DE" w14:textId="77777777" w:rsidR="008205BA" w:rsidRPr="00C93147" w:rsidRDefault="008205BA" w:rsidP="6D59273E">
      <w:pPr>
        <w:pStyle w:val="BodyText"/>
        <w:rPr>
          <w:rFonts w:asciiTheme="minorHAnsi" w:eastAsiaTheme="minorEastAsia" w:hAnsiTheme="minorHAnsi" w:cstheme="minorHAnsi"/>
          <w:spacing w:val="0"/>
          <w:szCs w:val="24"/>
          <w:lang w:val="es-ES_tradnl" w:eastAsia="es-AR"/>
        </w:rPr>
      </w:pPr>
    </w:p>
    <w:p w14:paraId="19F1721F" w14:textId="77777777" w:rsidR="00F45D9C" w:rsidRPr="00C93147" w:rsidRDefault="00F45D9C" w:rsidP="00F45D9C">
      <w:pPr>
        <w:pStyle w:val="BodyText"/>
        <w:rPr>
          <w:rFonts w:asciiTheme="minorHAnsi" w:eastAsiaTheme="minorEastAsia" w:hAnsiTheme="minorHAnsi" w:cstheme="minorHAnsi"/>
          <w:spacing w:val="0"/>
          <w:szCs w:val="24"/>
          <w:lang w:val="es-ES_tradnl" w:eastAsia="es-AR"/>
        </w:rPr>
      </w:pPr>
    </w:p>
    <w:p w14:paraId="17D0A072" w14:textId="069C40BA" w:rsidR="004920E0" w:rsidRPr="00C93147" w:rsidRDefault="004920E0" w:rsidP="004920E0">
      <w:pPr>
        <w:pStyle w:val="BodyText"/>
        <w:rPr>
          <w:rFonts w:asciiTheme="minorHAnsi" w:eastAsiaTheme="minorEastAsia" w:hAnsiTheme="minorHAnsi" w:cstheme="minorHAnsi"/>
          <w:spacing w:val="0"/>
          <w:szCs w:val="24"/>
          <w:lang w:val="es-ES_tradnl" w:eastAsia="es-AR"/>
        </w:rPr>
      </w:pPr>
      <w:r w:rsidRPr="00C93147">
        <w:rPr>
          <w:rFonts w:asciiTheme="minorHAnsi" w:eastAsiaTheme="minorEastAsia" w:hAnsiTheme="minorHAnsi" w:cstheme="minorHAnsi"/>
          <w:spacing w:val="0"/>
          <w:szCs w:val="24"/>
          <w:lang w:val="es-ES_tradnl" w:eastAsia="es-AR"/>
        </w:rPr>
        <w:t xml:space="preserve">Link </w:t>
      </w:r>
      <w:r w:rsidR="008205BA" w:rsidRPr="00C93147">
        <w:rPr>
          <w:rFonts w:asciiTheme="minorHAnsi" w:eastAsiaTheme="minorEastAsia" w:hAnsiTheme="minorHAnsi" w:cstheme="minorHAnsi"/>
          <w:spacing w:val="0"/>
          <w:szCs w:val="24"/>
          <w:lang w:val="es-ES_tradnl" w:eastAsia="es-AR"/>
        </w:rPr>
        <w:t xml:space="preserve">al </w:t>
      </w:r>
      <w:r w:rsidRPr="00C93147">
        <w:rPr>
          <w:rFonts w:asciiTheme="minorHAnsi" w:eastAsiaTheme="minorEastAsia" w:hAnsiTheme="minorHAnsi" w:cstheme="minorHAnsi"/>
          <w:spacing w:val="0"/>
          <w:szCs w:val="24"/>
          <w:lang w:val="es-ES_tradnl" w:eastAsia="es-AR"/>
        </w:rPr>
        <w:t>Document</w:t>
      </w:r>
      <w:r w:rsidR="008205BA" w:rsidRPr="00C93147">
        <w:rPr>
          <w:rFonts w:asciiTheme="minorHAnsi" w:eastAsiaTheme="minorEastAsia" w:hAnsiTheme="minorHAnsi" w:cstheme="minorHAnsi"/>
          <w:spacing w:val="0"/>
          <w:szCs w:val="24"/>
          <w:lang w:val="es-ES_tradnl" w:eastAsia="es-AR"/>
        </w:rPr>
        <w:t>o de TC</w:t>
      </w:r>
      <w:r w:rsidRPr="00C93147">
        <w:rPr>
          <w:rFonts w:asciiTheme="minorHAnsi" w:eastAsiaTheme="minorEastAsia" w:hAnsiTheme="minorHAnsi" w:cstheme="minorHAnsi"/>
          <w:spacing w:val="0"/>
          <w:szCs w:val="24"/>
          <w:lang w:val="es-ES_tradnl" w:eastAsia="es-AR"/>
        </w:rPr>
        <w:t>: http://www.iadb.org/en/projects/project-description-title,1303.html?id=RG%2DT2785</w:t>
      </w:r>
    </w:p>
    <w:p w14:paraId="39614EFE" w14:textId="77777777" w:rsidR="008E5BAF" w:rsidRPr="00C93147" w:rsidRDefault="008E5BAF" w:rsidP="00F45D9C">
      <w:pPr>
        <w:pStyle w:val="BodyText"/>
        <w:rPr>
          <w:rFonts w:asciiTheme="minorHAnsi" w:hAnsiTheme="minorHAnsi" w:cstheme="minorHAnsi"/>
          <w:i/>
          <w:color w:val="0070C0"/>
          <w:szCs w:val="24"/>
          <w:lang w:val="es-ES_tradnl"/>
        </w:rPr>
      </w:pPr>
    </w:p>
    <w:p w14:paraId="01657C78" w14:textId="77777777" w:rsidR="00C93147" w:rsidRPr="00E21375" w:rsidRDefault="00C93147" w:rsidP="00C93147">
      <w:pPr>
        <w:spacing w:line="320" w:lineRule="atLeast"/>
        <w:jc w:val="both"/>
        <w:rPr>
          <w:rFonts w:asciiTheme="minorHAnsi" w:hAnsiTheme="minorHAnsi" w:cstheme="minorHAnsi"/>
          <w:color w:val="auto"/>
          <w:lang w:val="es-ES_tradnl"/>
        </w:rPr>
      </w:pPr>
      <w:r w:rsidRPr="00C93147">
        <w:rPr>
          <w:rFonts w:asciiTheme="minorHAnsi" w:hAnsiTheme="minorHAnsi" w:cstheme="minorHAnsi"/>
          <w:color w:val="auto"/>
          <w:lang w:val="es-ES_tradnl"/>
        </w:rPr>
        <w:t xml:space="preserve">El Banco Interamericano de Desarrollo (BID) está ejecutando la operación mencionada anteriormente. </w:t>
      </w:r>
      <w:r w:rsidRPr="00E21375">
        <w:rPr>
          <w:rFonts w:asciiTheme="minorHAnsi" w:hAnsiTheme="minorHAnsi" w:cstheme="minorHAnsi"/>
          <w:color w:val="auto"/>
          <w:lang w:val="es-ES_tradnl"/>
        </w:rPr>
        <w:t>Para esta operación, el BID tiene la intención de contratar los servicios de consultoría descritos en esta Solicitud de expresiones de interés.</w:t>
      </w:r>
    </w:p>
    <w:p w14:paraId="2D64B12E" w14:textId="77777777" w:rsidR="00C93147" w:rsidRPr="00E21375" w:rsidRDefault="00C93147" w:rsidP="00C93147">
      <w:pPr>
        <w:spacing w:line="320" w:lineRule="atLeast"/>
        <w:jc w:val="both"/>
        <w:rPr>
          <w:rFonts w:asciiTheme="minorHAnsi" w:hAnsiTheme="minorHAnsi" w:cstheme="minorHAnsi"/>
          <w:color w:val="auto"/>
          <w:lang w:val="es-ES_tradnl"/>
        </w:rPr>
      </w:pPr>
    </w:p>
    <w:p w14:paraId="0AEE0449" w14:textId="77777777" w:rsidR="00C93147" w:rsidRPr="00E21375" w:rsidRDefault="00C93147" w:rsidP="00C93147">
      <w:pPr>
        <w:spacing w:line="320" w:lineRule="atLeast"/>
        <w:jc w:val="both"/>
        <w:rPr>
          <w:rFonts w:asciiTheme="minorHAnsi" w:hAnsiTheme="minorHAnsi" w:cstheme="minorHAnsi"/>
          <w:color w:val="auto"/>
          <w:lang w:val="es-ES_tradnl"/>
        </w:rPr>
      </w:pPr>
      <w:r w:rsidRPr="00E21375">
        <w:rPr>
          <w:rFonts w:asciiTheme="minorHAnsi" w:hAnsiTheme="minorHAnsi" w:cstheme="minorHAnsi"/>
          <w:color w:val="auto"/>
          <w:lang w:val="es-ES_tradnl"/>
        </w:rPr>
        <w:t>Los servicios de consultoría ("los Servicios") incluyen</w:t>
      </w:r>
    </w:p>
    <w:p w14:paraId="7F38BB06" w14:textId="77777777" w:rsidR="00C93147" w:rsidRPr="00C93147" w:rsidRDefault="00C93147" w:rsidP="2CDD2216">
      <w:pPr>
        <w:suppressAutoHyphens/>
        <w:jc w:val="both"/>
        <w:rPr>
          <w:rFonts w:asciiTheme="minorHAnsi" w:hAnsiTheme="minorHAnsi" w:cstheme="minorHAnsi"/>
          <w:spacing w:val="-2"/>
          <w:lang w:val="es-ES_tradnl"/>
        </w:rPr>
      </w:pPr>
    </w:p>
    <w:p w14:paraId="58E16B9E" w14:textId="4388AB37" w:rsidR="004311FF" w:rsidRPr="00C93147" w:rsidRDefault="004311FF" w:rsidP="2CDD2216">
      <w:pPr>
        <w:suppressAutoHyphens/>
        <w:jc w:val="both"/>
        <w:rPr>
          <w:rFonts w:asciiTheme="minorHAnsi" w:hAnsiTheme="minorHAnsi" w:cstheme="minorHAnsi"/>
          <w:spacing w:val="-2"/>
          <w:lang w:val="es-ES_tradnl"/>
        </w:rPr>
      </w:pPr>
    </w:p>
    <w:p w14:paraId="15A22BC4" w14:textId="77777777" w:rsidR="008205BA" w:rsidRPr="00C93147" w:rsidRDefault="008205BA" w:rsidP="00C93147">
      <w:pPr>
        <w:numPr>
          <w:ilvl w:val="0"/>
          <w:numId w:val="10"/>
        </w:numPr>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Proveer asesoría técnica especializada a los tomadores de decisiones gubernamentales y expertos técnicos del Banco sobre temas relativos a:</w:t>
      </w:r>
    </w:p>
    <w:p w14:paraId="0975B73A" w14:textId="77777777" w:rsidR="008205BA" w:rsidRPr="00C93147" w:rsidRDefault="008205BA" w:rsidP="008205BA">
      <w:pPr>
        <w:spacing w:after="240"/>
        <w:ind w:left="792"/>
        <w:contextualSpacing/>
        <w:jc w:val="both"/>
        <w:rPr>
          <w:rFonts w:asciiTheme="minorHAnsi" w:hAnsiTheme="minorHAnsi" w:cstheme="minorHAnsi"/>
          <w:lang w:val="es-ES_tradnl"/>
        </w:rPr>
      </w:pPr>
    </w:p>
    <w:p w14:paraId="0402E851"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Simplificación de trámites: servicio de simplificación y digitalización de trámites y documentos públicos que actualmente se encuentran disponibles en formato presencial</w:t>
      </w:r>
    </w:p>
    <w:p w14:paraId="7E972066"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 xml:space="preserve">Implementación del Sistema de Información de Salud: Se pretende dotar de equipos, herramientas y realizar trabajos de adecuación para fortalecer la infraestructura tecnológica de los establecimientos de salud. </w:t>
      </w:r>
    </w:p>
    <w:p w14:paraId="06C2D302"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 xml:space="preserve">Fortalecimiento del sistema Nacional de Ciberseguridad: Contempla la creación de un SOC gubernamental </w:t>
      </w:r>
    </w:p>
    <w:p w14:paraId="7B25A134"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Transformación digital: Elaboración de unos TDR para la contratación empresa que identifique y apoye proyectos de transformación digital</w:t>
      </w:r>
    </w:p>
    <w:p w14:paraId="6DA651E8"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Sitios y edificios públicos conectados: servicios de conectividad para el público en espacios públicos y en establecimientos de salud</w:t>
      </w:r>
    </w:p>
    <w:p w14:paraId="20A1219A"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lastRenderedPageBreak/>
        <w:t xml:space="preserve"> Data Center y NOC operando: construcción del Data Center, que incluye el diseño ejecutivo de obras, la construcción y supervisión de obras, y la certificación en TIER III; (ii) la dotación de equipamiento para el Data Center, que incluye Racks, cerramientos, pasillos frios, PDUs inteligentes, cabina principal de almacenamiento, cabinas back-up, contingencia, computación, switching central (esquema interno para el manejo de grandes cantidades de datos), equipamiento para conexión con red Fibra Óptica, entre otros</w:t>
      </w:r>
    </w:p>
    <w:p w14:paraId="6092CF36"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Derechos de uso para conectividad internacional, adquiridos</w:t>
      </w:r>
    </w:p>
    <w:p w14:paraId="7B242248" w14:textId="77777777" w:rsidR="008205BA" w:rsidRPr="00C93147" w:rsidRDefault="008205BA" w:rsidP="00C93147">
      <w:pPr>
        <w:numPr>
          <w:ilvl w:val="1"/>
          <w:numId w:val="10"/>
        </w:numPr>
        <w:tabs>
          <w:tab w:val="left" w:pos="1260"/>
        </w:tabs>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 xml:space="preserve"> Desplegar infraestructura y/o adquirir la capacidad de transmisión de datos, mediante una red internacional de fibra óptica que garantice la conexión soberana del país a los puntos de llegada de los cables submarinos en la región.</w:t>
      </w:r>
    </w:p>
    <w:p w14:paraId="344411ED" w14:textId="77777777" w:rsidR="008205BA" w:rsidRPr="00C93147" w:rsidRDefault="008205BA" w:rsidP="008205BA">
      <w:pPr>
        <w:spacing w:after="240"/>
        <w:ind w:left="792"/>
        <w:contextualSpacing/>
        <w:jc w:val="both"/>
        <w:rPr>
          <w:rFonts w:asciiTheme="minorHAnsi" w:hAnsiTheme="minorHAnsi" w:cstheme="minorHAnsi"/>
          <w:lang w:val="es-ES_tradnl"/>
        </w:rPr>
      </w:pPr>
    </w:p>
    <w:p w14:paraId="32708EFC" w14:textId="77777777" w:rsidR="008205BA" w:rsidRPr="00C93147" w:rsidRDefault="008205BA" w:rsidP="00C93147">
      <w:pPr>
        <w:numPr>
          <w:ilvl w:val="0"/>
          <w:numId w:val="10"/>
        </w:numPr>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Acompañamiento técnico de los estudios y productos realizados en el marco del Programa PR-L1153, con el fin de revisar, analizar, evaluar y, en su caso, realizar recomendaciones técnicas que permitan una mayor eficiencia en la gestión e incorporación de sinergias. Entre otros, se espera que el consultor apoye en las siguientes áreas:</w:t>
      </w:r>
    </w:p>
    <w:p w14:paraId="232A23E1"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Revisión de los términos de referencia y especificaciones técnicas relativos a los productos identificados en el numeral I.</w:t>
      </w:r>
    </w:p>
    <w:p w14:paraId="22AF2969"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Revisión de las propuestas técnicas presentadas y elaboración de informes independientes con recomendaciones técnicas que sirvan de insumos para la toma de decisiones relacionadas con la ejecución del proyecto por parte del BID;</w:t>
      </w:r>
    </w:p>
    <w:p w14:paraId="34D45D3D"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Apoyo en la revisión de los entregables establecidos en el componente III;</w:t>
      </w:r>
    </w:p>
    <w:p w14:paraId="5209BA8F"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Especificación de KPIs de calidad de servicio y apoyo en la gestión del NOC y gobernanza de los productos consideradores;</w:t>
      </w:r>
    </w:p>
    <w:p w14:paraId="5A46F223"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Soporte en la definición de planes de trabajo;</w:t>
      </w:r>
    </w:p>
    <w:p w14:paraId="6EC42205" w14:textId="77777777" w:rsidR="008205BA" w:rsidRPr="00C93147" w:rsidRDefault="008205BA" w:rsidP="008205BA">
      <w:pPr>
        <w:pStyle w:val="ListParagraph"/>
        <w:numPr>
          <w:ilvl w:val="1"/>
          <w:numId w:val="11"/>
        </w:numPr>
        <w:autoSpaceDE/>
        <w:autoSpaceDN/>
        <w:adjustRightInd/>
        <w:spacing w:after="240" w:line="276" w:lineRule="auto"/>
        <w:jc w:val="both"/>
        <w:rPr>
          <w:rFonts w:asciiTheme="minorHAnsi" w:hAnsiTheme="minorHAnsi" w:cstheme="minorHAnsi"/>
          <w:lang w:val="es-ES_tradnl"/>
        </w:rPr>
      </w:pPr>
      <w:r w:rsidRPr="00C93147">
        <w:rPr>
          <w:rFonts w:asciiTheme="minorHAnsi" w:hAnsiTheme="minorHAnsi" w:cstheme="minorHAnsi"/>
          <w:lang w:val="es-ES_tradnl"/>
        </w:rPr>
        <w:t>Transferencia de conocimiento de las distintas consultorías y apoyos desarrollados por el programa a las distintas instancias técnicas y decisorias del MITIC a los efectos de potenciar sus capacidades y sostenibilidad estratégica en el mediano y largo plazo.</w:t>
      </w:r>
    </w:p>
    <w:p w14:paraId="755A1CF0" w14:textId="77777777" w:rsidR="008205BA" w:rsidRPr="00C93147" w:rsidRDefault="008205BA" w:rsidP="00C93147">
      <w:pPr>
        <w:numPr>
          <w:ilvl w:val="0"/>
          <w:numId w:val="10"/>
        </w:numPr>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 xml:space="preserve">Identificación de riesgos y oportunidades de sinergias en la ejecución de las actividades de los productos señalados. </w:t>
      </w:r>
    </w:p>
    <w:p w14:paraId="1D151E99" w14:textId="77777777" w:rsidR="008205BA" w:rsidRPr="00C93147" w:rsidRDefault="008205BA" w:rsidP="00C93147">
      <w:pPr>
        <w:autoSpaceDE/>
        <w:autoSpaceDN/>
        <w:adjustRightInd/>
        <w:spacing w:after="240" w:line="276" w:lineRule="auto"/>
        <w:ind w:left="360"/>
        <w:contextualSpacing/>
        <w:jc w:val="both"/>
        <w:rPr>
          <w:rFonts w:asciiTheme="minorHAnsi" w:hAnsiTheme="minorHAnsi" w:cstheme="minorHAnsi"/>
          <w:lang w:val="es-ES_tradnl"/>
        </w:rPr>
      </w:pPr>
    </w:p>
    <w:p w14:paraId="338C460A" w14:textId="74F4342B" w:rsidR="008205BA" w:rsidRPr="00C93147" w:rsidRDefault="008205BA" w:rsidP="00C93147">
      <w:pPr>
        <w:numPr>
          <w:ilvl w:val="0"/>
          <w:numId w:val="10"/>
        </w:numPr>
        <w:autoSpaceDE/>
        <w:autoSpaceDN/>
        <w:adjustRightInd/>
        <w:spacing w:after="240" w:line="276" w:lineRule="auto"/>
        <w:contextualSpacing/>
        <w:jc w:val="both"/>
        <w:rPr>
          <w:rFonts w:asciiTheme="minorHAnsi" w:hAnsiTheme="minorHAnsi" w:cstheme="minorHAnsi"/>
          <w:lang w:val="es-ES_tradnl"/>
        </w:rPr>
      </w:pPr>
      <w:r w:rsidRPr="00C93147">
        <w:rPr>
          <w:rFonts w:asciiTheme="minorHAnsi" w:hAnsiTheme="minorHAnsi" w:cstheme="minorHAnsi"/>
          <w:lang w:val="es-ES_tradnl"/>
        </w:rPr>
        <w:t>Acompañamiento técnico y formulación de recomendaciones para mejorar el proceso de integración de redes móviles.  En particular, las mismas deberán considerar los diagnósticos y recomendaciones de los estudios llevados a cabo en el marco del Programa, así como la información disponible en el sector de Telecomunicaciones.</w:t>
      </w:r>
    </w:p>
    <w:p w14:paraId="0C7E6050" w14:textId="77777777" w:rsidR="008205BA" w:rsidRPr="008205BA" w:rsidRDefault="008205BA" w:rsidP="008205BA">
      <w:pPr>
        <w:pStyle w:val="Paragraph"/>
        <w:numPr>
          <w:ilvl w:val="0"/>
          <w:numId w:val="0"/>
        </w:numPr>
        <w:ind w:left="720"/>
        <w:rPr>
          <w:rFonts w:asciiTheme="minorHAnsi" w:hAnsiTheme="minorHAnsi" w:cs="Arial"/>
          <w:spacing w:val="-4"/>
          <w:szCs w:val="22"/>
          <w:lang w:val="es-ES_tradnl"/>
        </w:rPr>
      </w:pPr>
    </w:p>
    <w:p w14:paraId="6950FB9B" w14:textId="38A7375F" w:rsidR="00F45D9C" w:rsidRPr="00991893" w:rsidRDefault="00991893" w:rsidP="2CDD2216">
      <w:pPr>
        <w:suppressAutoHyphens/>
        <w:jc w:val="both"/>
        <w:rPr>
          <w:rFonts w:asciiTheme="minorHAnsi" w:hAnsiTheme="minorHAnsi" w:cstheme="minorBidi"/>
          <w:i/>
          <w:iCs/>
          <w:color w:val="0070C0"/>
          <w:lang w:val="es-ES_tradnl"/>
        </w:rPr>
      </w:pPr>
      <w:r w:rsidRPr="00991893">
        <w:rPr>
          <w:rFonts w:asciiTheme="minorHAnsi" w:hAnsiTheme="minorHAnsi" w:cstheme="minorBidi"/>
          <w:spacing w:val="-2"/>
          <w:lang w:val="es-ES_tradnl"/>
        </w:rPr>
        <w:t>El tiempo estimado para la ejecuc</w:t>
      </w:r>
      <w:r>
        <w:rPr>
          <w:rFonts w:asciiTheme="minorHAnsi" w:hAnsiTheme="minorHAnsi" w:cstheme="minorBidi"/>
          <w:spacing w:val="-2"/>
          <w:lang w:val="es-ES_tradnl"/>
        </w:rPr>
        <w:t xml:space="preserve">ión de este proyecto es </w:t>
      </w:r>
      <w:r w:rsidRPr="00991893">
        <w:rPr>
          <w:rFonts w:asciiTheme="minorHAnsi" w:hAnsiTheme="minorHAnsi" w:cstheme="minorBidi"/>
          <w:spacing w:val="-2"/>
          <w:lang w:val="es-ES_tradnl"/>
        </w:rPr>
        <w:t>1</w:t>
      </w:r>
      <w:r w:rsidR="00104D9E" w:rsidRPr="00991893">
        <w:rPr>
          <w:rFonts w:asciiTheme="minorHAnsi" w:hAnsiTheme="minorHAnsi" w:cstheme="minorBidi"/>
          <w:spacing w:val="-2"/>
          <w:lang w:val="es-ES_tradnl"/>
        </w:rPr>
        <w:t>6</w:t>
      </w:r>
      <w:r w:rsidR="004311FF" w:rsidRPr="00991893">
        <w:rPr>
          <w:rFonts w:asciiTheme="minorHAnsi" w:hAnsiTheme="minorHAnsi" w:cstheme="minorBidi"/>
          <w:spacing w:val="-2"/>
          <w:lang w:val="es-ES_tradnl"/>
        </w:rPr>
        <w:t xml:space="preserve"> m</w:t>
      </w:r>
      <w:r>
        <w:rPr>
          <w:rFonts w:asciiTheme="minorHAnsi" w:hAnsiTheme="minorHAnsi" w:cstheme="minorBidi"/>
          <w:spacing w:val="-2"/>
          <w:lang w:val="es-ES_tradnl"/>
        </w:rPr>
        <w:t>eses.</w:t>
      </w:r>
    </w:p>
    <w:p w14:paraId="545B4BCE" w14:textId="77777777" w:rsidR="00F45D9C" w:rsidRPr="00991893" w:rsidRDefault="00F45D9C" w:rsidP="00F45D9C">
      <w:pPr>
        <w:spacing w:line="320" w:lineRule="atLeast"/>
        <w:jc w:val="both"/>
        <w:rPr>
          <w:rFonts w:asciiTheme="minorHAnsi" w:hAnsiTheme="minorHAnsi" w:cs="Times New Roman"/>
          <w:color w:val="auto"/>
          <w:lang w:val="es-ES_tradnl"/>
        </w:rPr>
      </w:pPr>
      <w:r w:rsidRPr="00991893">
        <w:rPr>
          <w:rFonts w:asciiTheme="minorHAnsi" w:hAnsiTheme="minorHAnsi" w:cs="Times New Roman"/>
          <w:color w:val="auto"/>
          <w:lang w:val="es-ES_tradnl"/>
        </w:rPr>
        <w:t xml:space="preserve"> </w:t>
      </w:r>
    </w:p>
    <w:p w14:paraId="71A044DC" w14:textId="40152B3C" w:rsidR="00F45D9C" w:rsidRDefault="00991893" w:rsidP="2CDD2216">
      <w:pPr>
        <w:spacing w:line="320" w:lineRule="atLeast"/>
        <w:jc w:val="both"/>
        <w:rPr>
          <w:rFonts w:asciiTheme="minorHAnsi" w:hAnsiTheme="minorHAnsi" w:cstheme="minorBidi"/>
          <w:color w:val="auto"/>
        </w:rPr>
      </w:pPr>
      <w:r w:rsidRPr="00E45693">
        <w:rPr>
          <w:rFonts w:asciiTheme="minorHAnsi" w:hAnsiTheme="minorHAnsi" w:cstheme="minorBidi"/>
          <w:color w:val="auto"/>
          <w:lang w:val="es-ES_tradnl"/>
        </w:rPr>
        <w:t>Las firmas consultoras elegibles serán seleccionad</w:t>
      </w:r>
      <w:r w:rsidR="00E45693" w:rsidRPr="00E45693">
        <w:rPr>
          <w:rFonts w:asciiTheme="minorHAnsi" w:hAnsiTheme="minorHAnsi" w:cstheme="minorBidi"/>
          <w:color w:val="auto"/>
          <w:lang w:val="es-ES_tradnl"/>
        </w:rPr>
        <w:t>as de acuerdo con las políticas de adquisiciones del Banco</w:t>
      </w:r>
      <w:r w:rsidR="2CDD2216" w:rsidRPr="00E45693">
        <w:rPr>
          <w:rFonts w:asciiTheme="minorHAnsi" w:hAnsiTheme="minorHAnsi" w:cstheme="minorBidi"/>
          <w:color w:val="auto"/>
          <w:lang w:val="es-ES_tradnl"/>
        </w:rPr>
        <w:t xml:space="preserve">: </w:t>
      </w:r>
      <w:hyperlink r:id="rId15">
        <w:r w:rsidR="2CDD2216" w:rsidRPr="00E45693">
          <w:rPr>
            <w:rStyle w:val="Hyperlink"/>
            <w:rFonts w:asciiTheme="minorHAnsi" w:hAnsiTheme="minorHAnsi" w:cstheme="minorBidi"/>
            <w:i/>
            <w:iCs/>
            <w:lang w:val="es-ES_tradnl"/>
          </w:rPr>
          <w:t>Policy for the Selection and Contracting of Consulting firms for Bank-executed Operational Work</w:t>
        </w:r>
      </w:hyperlink>
      <w:r w:rsidR="2CDD2216" w:rsidRPr="00E45693">
        <w:rPr>
          <w:rFonts w:asciiTheme="minorHAnsi" w:hAnsiTheme="minorHAnsi" w:cstheme="minorBidi"/>
          <w:color w:val="auto"/>
          <w:lang w:val="es-ES_tradnl"/>
        </w:rPr>
        <w:t xml:space="preserve"> - GN-2765-1.  </w:t>
      </w:r>
    </w:p>
    <w:p w14:paraId="35803BFB" w14:textId="77777777" w:rsidR="00F45D9C" w:rsidRDefault="00F45D9C" w:rsidP="00F45D9C">
      <w:pPr>
        <w:spacing w:line="320" w:lineRule="atLeast"/>
        <w:jc w:val="both"/>
        <w:rPr>
          <w:rFonts w:asciiTheme="minorHAnsi" w:hAnsiTheme="minorHAnsi" w:cs="Times New Roman"/>
          <w:color w:val="auto"/>
        </w:rPr>
      </w:pPr>
    </w:p>
    <w:p w14:paraId="12223E99" w14:textId="77777777" w:rsidR="00991893" w:rsidRDefault="00991893" w:rsidP="6D59273E">
      <w:pPr>
        <w:spacing w:line="320" w:lineRule="atLeast"/>
        <w:jc w:val="both"/>
        <w:rPr>
          <w:rFonts w:asciiTheme="minorHAnsi" w:hAnsiTheme="minorHAnsi" w:cstheme="minorBidi"/>
          <w:color w:val="auto"/>
        </w:rPr>
      </w:pPr>
      <w:r w:rsidRPr="00991893">
        <w:rPr>
          <w:rFonts w:asciiTheme="minorHAnsi" w:hAnsiTheme="minorHAnsi" w:cstheme="minorBidi"/>
          <w:color w:val="auto"/>
          <w:lang w:val="es-ES_tradnl"/>
        </w:rPr>
        <w:t xml:space="preserve">El BID ahora invita a firmas consultoras elegibles a indicar su interés en proporcionar los servicios. </w:t>
      </w:r>
      <w:r w:rsidRPr="00991893">
        <w:rPr>
          <w:rFonts w:asciiTheme="minorHAnsi" w:hAnsiTheme="minorHAnsi" w:cstheme="minorBidi"/>
          <w:color w:val="auto"/>
        </w:rPr>
        <w:t xml:space="preserve">Las </w:t>
      </w:r>
      <w:r w:rsidRPr="00991893">
        <w:rPr>
          <w:rFonts w:asciiTheme="minorHAnsi" w:hAnsiTheme="minorHAnsi" w:cstheme="minorBidi"/>
          <w:color w:val="auto"/>
        </w:rPr>
        <w:lastRenderedPageBreak/>
        <w:t xml:space="preserve">empresas de consultoría interesadas deben proporcionar información que establezca que están calificadas para realizar los Servicios (folletos, descripción de tareas similares, experiencia en condiciones similares, disponibilidad de habilidades apropiadas entre el personal, etc.). </w:t>
      </w:r>
    </w:p>
    <w:p w14:paraId="0989255D" w14:textId="77777777" w:rsidR="00991893" w:rsidRDefault="00991893" w:rsidP="6D59273E">
      <w:pPr>
        <w:spacing w:line="320" w:lineRule="atLeast"/>
        <w:jc w:val="both"/>
        <w:rPr>
          <w:rFonts w:asciiTheme="minorHAnsi" w:hAnsiTheme="minorHAnsi" w:cstheme="minorBidi"/>
          <w:color w:val="auto"/>
        </w:rPr>
      </w:pPr>
    </w:p>
    <w:p w14:paraId="406DDA95" w14:textId="75AFE51A" w:rsidR="00991893" w:rsidRPr="00991893" w:rsidRDefault="00991893" w:rsidP="6D59273E">
      <w:pPr>
        <w:spacing w:line="320" w:lineRule="atLeast"/>
        <w:jc w:val="both"/>
        <w:rPr>
          <w:rFonts w:asciiTheme="minorHAnsi" w:hAnsiTheme="minorHAnsi" w:cstheme="minorBidi"/>
          <w:color w:val="auto"/>
          <w:lang w:val="es-ES_tradnl"/>
        </w:rPr>
      </w:pPr>
      <w:r w:rsidRPr="00991893">
        <w:rPr>
          <w:rFonts w:asciiTheme="minorHAnsi" w:hAnsiTheme="minorHAnsi" w:cstheme="minorBidi"/>
          <w:color w:val="auto"/>
          <w:lang w:val="es-ES_tradnl"/>
        </w:rPr>
        <w:t xml:space="preserve">Las empresas de consultoría elegibles pueden asociarse en forma de un Joint Venture o un acuerdo de subconsultoría para mejorar sus calificaciones. </w:t>
      </w:r>
      <w:r w:rsidRPr="00991893">
        <w:rPr>
          <w:rFonts w:asciiTheme="minorHAnsi" w:hAnsiTheme="minorHAnsi" w:cstheme="minorBidi"/>
          <w:color w:val="auto"/>
        </w:rPr>
        <w:t xml:space="preserve">Dicha asociación o empresa conjunta designará a una de las empresas como representante. </w:t>
      </w:r>
      <w:r w:rsidRPr="00991893">
        <w:rPr>
          <w:rFonts w:asciiTheme="minorHAnsi" w:hAnsiTheme="minorHAnsi" w:cstheme="minorBidi"/>
          <w:color w:val="auto"/>
          <w:lang w:val="es-ES_tradnl"/>
        </w:rPr>
        <w:t xml:space="preserve">Las empresas de consultoría elegibles interesadas pueden obtener más información durante el horario de atención, de 09:00 a.m. a 05:00 p.m. (hora de Washington DC) enviando un correo electrónico a: Antonio García Zaballos (antoniogar@iadb.org) y Enrique Iglesias Rodríguez (enriqueig@iadb.org) </w:t>
      </w:r>
    </w:p>
    <w:p w14:paraId="02D7216E" w14:textId="77777777" w:rsidR="00991893" w:rsidRPr="00991893" w:rsidRDefault="00991893" w:rsidP="6D59273E">
      <w:pPr>
        <w:spacing w:line="320" w:lineRule="atLeast"/>
        <w:jc w:val="both"/>
        <w:rPr>
          <w:rFonts w:asciiTheme="minorHAnsi" w:hAnsiTheme="minorHAnsi" w:cstheme="minorBidi"/>
          <w:color w:val="auto"/>
          <w:lang w:val="es-ES_tradnl"/>
        </w:rPr>
      </w:pPr>
    </w:p>
    <w:p w14:paraId="01C65493" w14:textId="51674BE3" w:rsidR="00991893" w:rsidRPr="00991893" w:rsidRDefault="00991893" w:rsidP="6D59273E">
      <w:pPr>
        <w:spacing w:line="320" w:lineRule="atLeast"/>
        <w:jc w:val="both"/>
        <w:rPr>
          <w:rFonts w:asciiTheme="minorHAnsi" w:hAnsiTheme="minorHAnsi" w:cstheme="minorBidi"/>
          <w:color w:val="auto"/>
          <w:lang w:val="es-ES_tradnl"/>
        </w:rPr>
      </w:pPr>
      <w:r w:rsidRPr="00991893">
        <w:rPr>
          <w:rFonts w:asciiTheme="minorHAnsi" w:hAnsiTheme="minorHAnsi" w:cstheme="minorBidi"/>
          <w:color w:val="auto"/>
          <w:lang w:val="es-ES_tradnl"/>
        </w:rPr>
        <w:t>Las expresiones de interés deben entregarse antes del 15 de octubre de 2019 a las 5 p.m. (hora de Washington D.C.) utilizando el Portal del BID para Operaciones Ejecutadas por el Banco (http://beo-procurement.iadb.org/home)</w:t>
      </w:r>
    </w:p>
    <w:p w14:paraId="200D8E06" w14:textId="77777777" w:rsidR="00F45D9C" w:rsidRPr="00991893" w:rsidRDefault="00F45D9C" w:rsidP="00F45D9C">
      <w:pPr>
        <w:spacing w:line="320" w:lineRule="atLeast"/>
        <w:jc w:val="both"/>
        <w:rPr>
          <w:rFonts w:asciiTheme="minorHAnsi" w:hAnsiTheme="minorHAnsi" w:cs="Times New Roman"/>
          <w:color w:val="auto"/>
          <w:lang w:val="es-ES_tradnl"/>
        </w:rPr>
      </w:pPr>
    </w:p>
    <w:p w14:paraId="4B527D25" w14:textId="042EAA00" w:rsidR="00F45D9C" w:rsidRPr="00AE7268" w:rsidRDefault="00991893" w:rsidP="2CDD2216">
      <w:pPr>
        <w:spacing w:line="320" w:lineRule="atLeast"/>
        <w:jc w:val="both"/>
        <w:rPr>
          <w:rFonts w:asciiTheme="minorHAnsi" w:hAnsiTheme="minorHAnsi" w:cstheme="minorBidi"/>
          <w:color w:val="auto"/>
        </w:rPr>
      </w:pPr>
      <w:r>
        <w:rPr>
          <w:rFonts w:asciiTheme="minorHAnsi" w:hAnsiTheme="minorHAnsi" w:cstheme="minorBidi"/>
          <w:color w:val="auto"/>
        </w:rPr>
        <w:t>Banco Interamericano de Desarrollo</w:t>
      </w:r>
    </w:p>
    <w:p w14:paraId="5B03049A" w14:textId="7CFC1296" w:rsidR="00F45D9C" w:rsidRPr="00991893" w:rsidRDefault="00F45D9C" w:rsidP="2CDD2216">
      <w:pPr>
        <w:spacing w:line="320" w:lineRule="atLeast"/>
        <w:jc w:val="both"/>
        <w:rPr>
          <w:rFonts w:asciiTheme="minorHAnsi" w:hAnsiTheme="minorHAnsi" w:cstheme="minorBidi"/>
          <w:color w:val="auto"/>
          <w:lang w:val="es-ES_tradnl"/>
        </w:rPr>
      </w:pPr>
      <w:r w:rsidRPr="00991893">
        <w:rPr>
          <w:rFonts w:asciiTheme="minorHAnsi" w:hAnsiTheme="minorHAnsi" w:cstheme="minorBidi"/>
          <w:color w:val="auto"/>
          <w:lang w:val="es-ES_tradnl"/>
        </w:rPr>
        <w:t xml:space="preserve">Division: </w:t>
      </w:r>
      <w:r w:rsidR="004311FF" w:rsidRPr="00991893">
        <w:rPr>
          <w:rFonts w:asciiTheme="minorHAnsi" w:hAnsiTheme="minorHAnsi" w:cstheme="minorBidi"/>
          <w:color w:val="auto"/>
          <w:lang w:val="es-ES_tradnl"/>
        </w:rPr>
        <w:t>Con</w:t>
      </w:r>
      <w:r w:rsidR="00991893" w:rsidRPr="00991893">
        <w:rPr>
          <w:rFonts w:asciiTheme="minorHAnsi" w:hAnsiTheme="minorHAnsi" w:cstheme="minorBidi"/>
          <w:color w:val="auto"/>
          <w:lang w:val="es-ES_tradnl"/>
        </w:rPr>
        <w:t>ectivity, Mercados y Finanzas</w:t>
      </w:r>
      <w:r w:rsidR="004311FF" w:rsidRPr="00991893">
        <w:rPr>
          <w:rFonts w:asciiTheme="minorHAnsi" w:hAnsiTheme="minorHAnsi" w:cstheme="minorBidi"/>
          <w:color w:val="auto"/>
          <w:lang w:val="es-ES_tradnl"/>
        </w:rPr>
        <w:t xml:space="preserve"> (IFD/CMF)</w:t>
      </w:r>
    </w:p>
    <w:p w14:paraId="3A83DC3F" w14:textId="144992C6" w:rsidR="00F45D9C" w:rsidRPr="00991893" w:rsidRDefault="00F45D9C" w:rsidP="2CDD2216">
      <w:pPr>
        <w:spacing w:line="320" w:lineRule="atLeast"/>
        <w:jc w:val="both"/>
        <w:rPr>
          <w:rFonts w:asciiTheme="minorHAnsi" w:hAnsiTheme="minorHAnsi" w:cstheme="minorBidi"/>
          <w:color w:val="auto"/>
          <w:lang w:val="es-ES_tradnl"/>
        </w:rPr>
      </w:pPr>
      <w:r w:rsidRPr="00991893">
        <w:rPr>
          <w:rFonts w:asciiTheme="minorHAnsi" w:hAnsiTheme="minorHAnsi" w:cstheme="minorBidi"/>
          <w:color w:val="auto"/>
          <w:lang w:val="es-ES_tradnl"/>
        </w:rPr>
        <w:t>Attn</w:t>
      </w:r>
      <w:r w:rsidR="004311FF" w:rsidRPr="00991893">
        <w:rPr>
          <w:rFonts w:asciiTheme="minorHAnsi" w:hAnsiTheme="minorHAnsi" w:cstheme="minorBidi"/>
          <w:color w:val="auto"/>
          <w:lang w:val="es-ES_tradnl"/>
        </w:rPr>
        <w:t xml:space="preserve">: </w:t>
      </w:r>
      <w:r w:rsidR="00991893" w:rsidRPr="00991893">
        <w:rPr>
          <w:rFonts w:asciiTheme="minorHAnsi" w:hAnsiTheme="minorHAnsi" w:cstheme="minorBidi"/>
          <w:color w:val="auto"/>
          <w:lang w:val="es-ES_tradnl"/>
        </w:rPr>
        <w:t xml:space="preserve">Antonio Garcia Zaballos </w:t>
      </w:r>
      <w:r w:rsidR="004311FF" w:rsidRPr="00991893">
        <w:rPr>
          <w:rFonts w:asciiTheme="minorHAnsi" w:hAnsiTheme="minorHAnsi" w:cstheme="minorBidi"/>
          <w:color w:val="auto"/>
          <w:lang w:val="es-ES_tradnl"/>
        </w:rPr>
        <w:t>(</w:t>
      </w:r>
      <w:r w:rsidR="00991893">
        <w:rPr>
          <w:rFonts w:asciiTheme="minorHAnsi" w:hAnsiTheme="minorHAnsi" w:cstheme="minorBidi"/>
          <w:color w:val="auto"/>
          <w:lang w:val="es-ES_tradnl"/>
        </w:rPr>
        <w:t>antoniogar</w:t>
      </w:r>
      <w:r w:rsidR="004311FF" w:rsidRPr="00991893">
        <w:rPr>
          <w:rFonts w:asciiTheme="minorHAnsi" w:hAnsiTheme="minorHAnsi" w:cstheme="minorBidi"/>
          <w:color w:val="auto"/>
          <w:lang w:val="es-ES_tradnl"/>
        </w:rPr>
        <w:t>@iadb.org)</w:t>
      </w:r>
    </w:p>
    <w:p w14:paraId="7A3B9024" w14:textId="77777777" w:rsidR="00F45D9C" w:rsidRPr="00AE726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14:paraId="71BBB3A6" w14:textId="0EA6D8AC" w:rsidR="00F45D9C" w:rsidRPr="00991893" w:rsidRDefault="00F45D9C" w:rsidP="2CDD2216">
      <w:pPr>
        <w:suppressAutoHyphens/>
        <w:jc w:val="both"/>
        <w:rPr>
          <w:rFonts w:asciiTheme="minorHAnsi" w:hAnsiTheme="minorHAnsi" w:cstheme="minorBidi"/>
          <w:color w:val="0070C0"/>
          <w:lang w:val="pt-BR"/>
        </w:rPr>
      </w:pPr>
      <w:r w:rsidRPr="00991893">
        <w:rPr>
          <w:rFonts w:asciiTheme="minorHAnsi" w:hAnsiTheme="minorHAnsi" w:cstheme="minorBidi"/>
          <w:spacing w:val="-2"/>
          <w:lang w:val="pt-BR"/>
        </w:rPr>
        <w:t xml:space="preserve">E-mail: </w:t>
      </w:r>
      <w:r w:rsidR="00991893" w:rsidRPr="00991893">
        <w:rPr>
          <w:rFonts w:asciiTheme="minorHAnsi" w:hAnsiTheme="minorHAnsi" w:cstheme="minorBidi"/>
          <w:color w:val="auto"/>
          <w:lang w:val="pt-BR"/>
        </w:rPr>
        <w:t>antoniogar</w:t>
      </w:r>
      <w:r w:rsidR="004311FF" w:rsidRPr="00991893">
        <w:rPr>
          <w:rFonts w:asciiTheme="minorHAnsi" w:hAnsiTheme="minorHAnsi" w:cstheme="minorBidi"/>
          <w:color w:val="auto"/>
          <w:lang w:val="pt-BR"/>
        </w:rPr>
        <w:t>@iadb.org</w:t>
      </w:r>
    </w:p>
    <w:p w14:paraId="6B9A2A55" w14:textId="24339567" w:rsidR="00170248" w:rsidRDefault="2CDD2216" w:rsidP="2CDD221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Web site: </w:t>
      </w:r>
      <w:hyperlink r:id="rId16">
        <w:r w:rsidRPr="2CDD2216">
          <w:rPr>
            <w:rStyle w:val="Hyperlink"/>
            <w:rFonts w:asciiTheme="minorHAnsi" w:hAnsiTheme="minorHAnsi" w:cstheme="minorBidi"/>
          </w:rPr>
          <w:t>www.iadb.org</w:t>
        </w:r>
      </w:hyperlink>
      <w:r w:rsidRPr="2CDD2216">
        <w:rPr>
          <w:rFonts w:asciiTheme="minorHAnsi" w:hAnsiTheme="minorHAnsi" w:cstheme="minorBidi"/>
          <w:color w:val="auto"/>
        </w:rPr>
        <w:t xml:space="preserve"> </w:t>
      </w:r>
    </w:p>
    <w:sectPr w:rsidR="00170248">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26D0" w14:textId="77777777" w:rsidR="002249E6" w:rsidRDefault="002249E6" w:rsidP="0056772C">
      <w:r>
        <w:separator/>
      </w:r>
    </w:p>
  </w:endnote>
  <w:endnote w:type="continuationSeparator" w:id="0">
    <w:p w14:paraId="69E99D5F" w14:textId="77777777" w:rsidR="002249E6" w:rsidRDefault="002249E6" w:rsidP="005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A370" w14:textId="77777777" w:rsidR="0056772C" w:rsidRDefault="00567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E89A" w14:textId="77777777" w:rsidR="0056772C" w:rsidRDefault="00567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53B01" w14:textId="77777777" w:rsidR="0056772C" w:rsidRDefault="0056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1065" w14:textId="77777777" w:rsidR="002249E6" w:rsidRDefault="002249E6" w:rsidP="0056772C">
      <w:r>
        <w:separator/>
      </w:r>
    </w:p>
  </w:footnote>
  <w:footnote w:type="continuationSeparator" w:id="0">
    <w:p w14:paraId="23367147" w14:textId="77777777" w:rsidR="002249E6" w:rsidRDefault="002249E6" w:rsidP="0056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1892B" w14:textId="162F58AC" w:rsidR="0056772C" w:rsidRDefault="0056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4503" w14:textId="316989DD" w:rsidR="0056772C" w:rsidRDefault="0056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52FD5" w14:textId="1DF3346F" w:rsidR="0056772C" w:rsidRDefault="0056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FC9"/>
    <w:multiLevelType w:val="multilevel"/>
    <w:tmpl w:val="1856F13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1080"/>
        </w:tabs>
        <w:ind w:left="1080" w:hanging="720"/>
      </w:pPr>
      <w:rPr>
        <w:rFonts w:ascii="Times New Roman" w:hAnsi="Times New Roman" w:cs="Times New Roman" w:hint="default"/>
        <w:b w:val="0"/>
        <w:i w:val="0"/>
        <w:color w:val="auto"/>
      </w:rPr>
    </w:lvl>
    <w:lvl w:ilvl="2">
      <w:start w:val="1"/>
      <w:numFmt w:val="lowerLetter"/>
      <w:pStyle w:val="subpar"/>
      <w:lvlText w:val="%3."/>
      <w:lvlJc w:val="left"/>
      <w:pPr>
        <w:tabs>
          <w:tab w:val="num" w:pos="1152"/>
        </w:tabs>
        <w:ind w:left="1152" w:hanging="432"/>
      </w:pPr>
    </w:lvl>
    <w:lvl w:ilvl="3">
      <w:start w:val="1"/>
      <w:numFmt w:val="lowerLetter"/>
      <w:pStyle w:val="SubSubPar"/>
      <w:lvlText w:val="%4."/>
      <w:lvlJc w:val="left"/>
      <w:pPr>
        <w:tabs>
          <w:tab w:val="num" w:pos="1458"/>
        </w:tabs>
        <w:ind w:left="1458"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15:restartNumberingAfterBreak="0">
    <w:nsid w:val="1BD86FF7"/>
    <w:multiLevelType w:val="hybridMultilevel"/>
    <w:tmpl w:val="E5B62804"/>
    <w:lvl w:ilvl="0" w:tplc="6F1852DC">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92C16"/>
    <w:multiLevelType w:val="hybridMultilevel"/>
    <w:tmpl w:val="EC9EE9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00B8F"/>
    <w:multiLevelType w:val="multilevel"/>
    <w:tmpl w:val="42B0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E76F5"/>
    <w:multiLevelType w:val="hybridMultilevel"/>
    <w:tmpl w:val="D1AC3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C48E3"/>
    <w:multiLevelType w:val="hybridMultilevel"/>
    <w:tmpl w:val="E1FE657E"/>
    <w:lvl w:ilvl="0" w:tplc="04090017">
      <w:start w:val="1"/>
      <w:numFmt w:val="lowerLetter"/>
      <w:lvlText w:val="%1)"/>
      <w:lvlJc w:val="left"/>
      <w:pPr>
        <w:ind w:left="1592" w:hanging="360"/>
      </w:pPr>
    </w:lvl>
    <w:lvl w:ilvl="1" w:tplc="04090019">
      <w:start w:val="1"/>
      <w:numFmt w:val="lowerLetter"/>
      <w:lvlText w:val="%2."/>
      <w:lvlJc w:val="left"/>
      <w:pPr>
        <w:ind w:left="2312" w:hanging="360"/>
      </w:pPr>
    </w:lvl>
    <w:lvl w:ilvl="2" w:tplc="0409001B">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6" w15:restartNumberingAfterBreak="0">
    <w:nsid w:val="63C65F78"/>
    <w:multiLevelType w:val="multilevel"/>
    <w:tmpl w:val="C414B2EC"/>
    <w:lvl w:ilvl="0">
      <w:start w:val="1"/>
      <w:numFmt w:val="decimal"/>
      <w:lvlText w:val="%1."/>
      <w:lvlJc w:val="left"/>
      <w:pPr>
        <w:ind w:left="360" w:hanging="360"/>
      </w:pPr>
    </w:lvl>
    <w:lvl w:ilvl="1">
      <w:start w:val="1"/>
      <w:numFmt w:val="decimal"/>
      <w:lvlText w:val="%1.%2."/>
      <w:lvlJc w:val="left"/>
      <w:pPr>
        <w:ind w:left="792" w:hanging="432"/>
      </w:pPr>
      <w:rPr>
        <w:b/>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4"/>
  </w:num>
  <w:num w:numId="5">
    <w:abstractNumId w:val="1"/>
  </w:num>
  <w:num w:numId="6">
    <w:abstractNumId w:val="0"/>
  </w:num>
  <w:num w:numId="7">
    <w:abstractNumId w:val="0"/>
  </w:num>
  <w:num w:numId="8">
    <w:abstractNumId w:val="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493A"/>
    <w:rsid w:val="00050DB5"/>
    <w:rsid w:val="000C118D"/>
    <w:rsid w:val="00104D9E"/>
    <w:rsid w:val="00170248"/>
    <w:rsid w:val="001F2366"/>
    <w:rsid w:val="002249E6"/>
    <w:rsid w:val="0024224B"/>
    <w:rsid w:val="002A56CD"/>
    <w:rsid w:val="00360ACB"/>
    <w:rsid w:val="003800C7"/>
    <w:rsid w:val="003F5CA1"/>
    <w:rsid w:val="004003E8"/>
    <w:rsid w:val="00423E38"/>
    <w:rsid w:val="00424E51"/>
    <w:rsid w:val="004311FF"/>
    <w:rsid w:val="004920E0"/>
    <w:rsid w:val="004A3654"/>
    <w:rsid w:val="004D1120"/>
    <w:rsid w:val="004D51F3"/>
    <w:rsid w:val="0051231A"/>
    <w:rsid w:val="0052634A"/>
    <w:rsid w:val="00556C08"/>
    <w:rsid w:val="005673D5"/>
    <w:rsid w:val="0056772C"/>
    <w:rsid w:val="00570424"/>
    <w:rsid w:val="006071D7"/>
    <w:rsid w:val="006131F6"/>
    <w:rsid w:val="00637714"/>
    <w:rsid w:val="00637BD8"/>
    <w:rsid w:val="00655DDF"/>
    <w:rsid w:val="0068011C"/>
    <w:rsid w:val="006C3B20"/>
    <w:rsid w:val="007037E4"/>
    <w:rsid w:val="0078460F"/>
    <w:rsid w:val="008171F3"/>
    <w:rsid w:val="008205BA"/>
    <w:rsid w:val="00834FF1"/>
    <w:rsid w:val="00873E90"/>
    <w:rsid w:val="00891E3C"/>
    <w:rsid w:val="008C7908"/>
    <w:rsid w:val="008E5BAF"/>
    <w:rsid w:val="008E7F90"/>
    <w:rsid w:val="00901303"/>
    <w:rsid w:val="00943D43"/>
    <w:rsid w:val="00991893"/>
    <w:rsid w:val="00A15B62"/>
    <w:rsid w:val="00A37CA7"/>
    <w:rsid w:val="00A67A41"/>
    <w:rsid w:val="00A838F0"/>
    <w:rsid w:val="00AD6E3D"/>
    <w:rsid w:val="00AE7268"/>
    <w:rsid w:val="00B14765"/>
    <w:rsid w:val="00B17BF0"/>
    <w:rsid w:val="00B27293"/>
    <w:rsid w:val="00BF0B50"/>
    <w:rsid w:val="00BF5CD3"/>
    <w:rsid w:val="00C27587"/>
    <w:rsid w:val="00C403D7"/>
    <w:rsid w:val="00C42B39"/>
    <w:rsid w:val="00C439C0"/>
    <w:rsid w:val="00C93147"/>
    <w:rsid w:val="00CA7C9E"/>
    <w:rsid w:val="00CD36BB"/>
    <w:rsid w:val="00CD4904"/>
    <w:rsid w:val="00DE327F"/>
    <w:rsid w:val="00E133EF"/>
    <w:rsid w:val="00E21375"/>
    <w:rsid w:val="00E277C5"/>
    <w:rsid w:val="00E45693"/>
    <w:rsid w:val="00E76D67"/>
    <w:rsid w:val="00ED4D33"/>
    <w:rsid w:val="00F2005E"/>
    <w:rsid w:val="00F45D9C"/>
    <w:rsid w:val="00F74266"/>
    <w:rsid w:val="23C30F60"/>
    <w:rsid w:val="2CDD2216"/>
    <w:rsid w:val="672BA234"/>
    <w:rsid w:val="6D5927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n-US"/>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n-US"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Chapter">
    <w:name w:val="Chapter"/>
    <w:basedOn w:val="Normal"/>
    <w:next w:val="Normal"/>
    <w:rsid w:val="004311FF"/>
    <w:pPr>
      <w:widowControl/>
      <w:numPr>
        <w:numId w:val="1"/>
      </w:numPr>
      <w:tabs>
        <w:tab w:val="left" w:pos="1440"/>
      </w:tabs>
      <w:autoSpaceDE/>
      <w:autoSpaceDN/>
      <w:adjustRightInd/>
      <w:spacing w:before="240" w:after="240"/>
      <w:jc w:val="center"/>
    </w:pPr>
    <w:rPr>
      <w:rFonts w:ascii="Times New Roman" w:eastAsia="Times New Roman" w:hAnsi="Times New Roman" w:cs="Times New Roman"/>
      <w:b/>
      <w:smallCaps/>
      <w:color w:val="auto"/>
      <w:sz w:val="20"/>
      <w:szCs w:val="20"/>
      <w:lang w:val="es-ES" w:eastAsia="en-US"/>
    </w:rPr>
  </w:style>
  <w:style w:type="paragraph" w:customStyle="1" w:styleId="Paragraph">
    <w:name w:val="Paragraph"/>
    <w:aliases w:val="paragraph,p,PARAGRAPH,PG,pa,at"/>
    <w:basedOn w:val="BodyTextIndent"/>
    <w:link w:val="ParagraphChar"/>
    <w:rsid w:val="004311FF"/>
    <w:pPr>
      <w:widowControl/>
      <w:numPr>
        <w:ilvl w:val="1"/>
        <w:numId w:val="1"/>
      </w:numPr>
      <w:autoSpaceDE/>
      <w:autoSpaceDN/>
      <w:adjustRightInd/>
      <w:spacing w:before="120"/>
      <w:jc w:val="both"/>
      <w:outlineLvl w:val="1"/>
    </w:pPr>
    <w:rPr>
      <w:rFonts w:ascii="Times New Roman" w:eastAsia="Times New Roman" w:hAnsi="Times New Roman" w:cs="Times New Roman"/>
      <w:color w:val="auto"/>
      <w:szCs w:val="20"/>
      <w:lang w:val="es-ES" w:eastAsia="en-US"/>
    </w:rPr>
  </w:style>
  <w:style w:type="paragraph" w:customStyle="1" w:styleId="subpar">
    <w:name w:val="subpar"/>
    <w:basedOn w:val="BodyTextIndent3"/>
    <w:link w:val="subparChar"/>
    <w:rsid w:val="004311FF"/>
    <w:pPr>
      <w:widowControl/>
      <w:numPr>
        <w:ilvl w:val="2"/>
        <w:numId w:val="1"/>
      </w:numPr>
      <w:autoSpaceDE/>
      <w:autoSpaceDN/>
      <w:adjustRightInd/>
      <w:spacing w:before="120"/>
      <w:jc w:val="both"/>
      <w:outlineLvl w:val="2"/>
    </w:pPr>
    <w:rPr>
      <w:rFonts w:ascii="Times New Roman" w:eastAsia="Times New Roman" w:hAnsi="Times New Roman" w:cs="Times New Roman"/>
      <w:color w:val="auto"/>
      <w:sz w:val="24"/>
      <w:szCs w:val="20"/>
      <w:lang w:val="es-ES_tradnl" w:eastAsia="en-US"/>
    </w:rPr>
  </w:style>
  <w:style w:type="paragraph" w:customStyle="1" w:styleId="SubSubPar">
    <w:name w:val="SubSubPar"/>
    <w:basedOn w:val="subpar"/>
    <w:rsid w:val="004311FF"/>
    <w:pPr>
      <w:numPr>
        <w:ilvl w:val="3"/>
      </w:numPr>
      <w:tabs>
        <w:tab w:val="clear" w:pos="1458"/>
        <w:tab w:val="left" w:pos="0"/>
        <w:tab w:val="num" w:pos="360"/>
      </w:tabs>
    </w:pPr>
  </w:style>
  <w:style w:type="character" w:customStyle="1" w:styleId="subparChar">
    <w:name w:val="subpar Char"/>
    <w:link w:val="subpar"/>
    <w:rsid w:val="004311FF"/>
    <w:rPr>
      <w:rFonts w:ascii="Times New Roman" w:eastAsia="Times New Roman" w:hAnsi="Times New Roman" w:cs="Times New Roman"/>
      <w:sz w:val="24"/>
      <w:szCs w:val="20"/>
      <w:lang w:val="es-ES_tradnl" w:eastAsia="en-US"/>
    </w:rPr>
  </w:style>
  <w:style w:type="paragraph" w:styleId="BodyTextIndent">
    <w:name w:val="Body Text Indent"/>
    <w:basedOn w:val="Normal"/>
    <w:link w:val="BodyTextIndentChar"/>
    <w:uiPriority w:val="99"/>
    <w:semiHidden/>
    <w:unhideWhenUsed/>
    <w:rsid w:val="004311FF"/>
    <w:pPr>
      <w:spacing w:after="120"/>
      <w:ind w:left="360"/>
    </w:pPr>
  </w:style>
  <w:style w:type="character" w:customStyle="1" w:styleId="BodyTextIndentChar">
    <w:name w:val="Body Text Indent Char"/>
    <w:basedOn w:val="DefaultParagraphFont"/>
    <w:link w:val="BodyTextIndent"/>
    <w:uiPriority w:val="99"/>
    <w:semiHidden/>
    <w:rsid w:val="004311FF"/>
    <w:rPr>
      <w:rFonts w:ascii="Arial" w:hAnsi="Arial" w:cs="Arial"/>
      <w:color w:val="000000"/>
      <w:sz w:val="24"/>
      <w:szCs w:val="24"/>
      <w:lang w:val="en-US"/>
    </w:rPr>
  </w:style>
  <w:style w:type="paragraph" w:styleId="BodyTextIndent3">
    <w:name w:val="Body Text Indent 3"/>
    <w:basedOn w:val="Normal"/>
    <w:link w:val="BodyTextIndent3Char"/>
    <w:uiPriority w:val="99"/>
    <w:semiHidden/>
    <w:unhideWhenUsed/>
    <w:rsid w:val="004311F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11FF"/>
    <w:rPr>
      <w:rFonts w:ascii="Arial" w:hAnsi="Arial" w:cs="Arial"/>
      <w:color w:val="000000"/>
      <w:sz w:val="16"/>
      <w:szCs w:val="16"/>
      <w:lang w:val="en-US"/>
    </w:rPr>
  </w:style>
  <w:style w:type="character" w:styleId="Mention">
    <w:name w:val="Mention"/>
    <w:basedOn w:val="DefaultParagraphFont"/>
    <w:uiPriority w:val="99"/>
    <w:semiHidden/>
    <w:unhideWhenUsed/>
    <w:rsid w:val="004311FF"/>
    <w:rPr>
      <w:color w:val="2B579A"/>
      <w:shd w:val="clear" w:color="auto" w:fill="E6E6E6"/>
    </w:rPr>
  </w:style>
  <w:style w:type="paragraph" w:customStyle="1" w:styleId="Default">
    <w:name w:val="Default"/>
    <w:rsid w:val="007037E4"/>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character" w:customStyle="1" w:styleId="ParagraphChar">
    <w:name w:val="Paragraph Char"/>
    <w:basedOn w:val="DefaultParagraphFont"/>
    <w:link w:val="Paragraph"/>
    <w:rsid w:val="002A56CD"/>
    <w:rPr>
      <w:rFonts w:ascii="Times New Roman" w:eastAsia="Times New Roman" w:hAnsi="Times New Roman" w:cs="Times New Roman"/>
      <w:sz w:val="24"/>
      <w:szCs w:val="20"/>
      <w:lang w:val="es-ES" w:eastAsia="en-US"/>
    </w:rPr>
  </w:style>
  <w:style w:type="paragraph" w:styleId="ListParagraph">
    <w:name w:val="List Paragraph"/>
    <w:basedOn w:val="Normal"/>
    <w:link w:val="ListParagraphChar"/>
    <w:uiPriority w:val="34"/>
    <w:qFormat/>
    <w:rsid w:val="004920E0"/>
    <w:pPr>
      <w:ind w:left="720"/>
      <w:contextualSpacing/>
    </w:pPr>
  </w:style>
  <w:style w:type="character" w:customStyle="1" w:styleId="ListParagraphChar">
    <w:name w:val="List Paragraph Char"/>
    <w:link w:val="ListParagraph"/>
    <w:uiPriority w:val="34"/>
    <w:locked/>
    <w:rsid w:val="008205BA"/>
    <w:rPr>
      <w:rFonts w:ascii="Arial" w:hAnsi="Arial" w:cs="Arial"/>
      <w:color w:val="000000"/>
      <w:sz w:val="24"/>
      <w:szCs w:val="24"/>
      <w:lang w:val="en-US"/>
    </w:rPr>
  </w:style>
  <w:style w:type="paragraph" w:styleId="HTMLPreformatted">
    <w:name w:val="HTML Preformatted"/>
    <w:basedOn w:val="Normal"/>
    <w:link w:val="HTMLPreformattedChar"/>
    <w:uiPriority w:val="99"/>
    <w:semiHidden/>
    <w:unhideWhenUsed/>
    <w:rsid w:val="00C93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C93147"/>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5448">
      <w:bodyDiv w:val="1"/>
      <w:marLeft w:val="0"/>
      <w:marRight w:val="0"/>
      <w:marTop w:val="0"/>
      <w:marBottom w:val="0"/>
      <w:divBdr>
        <w:top w:val="none" w:sz="0" w:space="0" w:color="auto"/>
        <w:left w:val="none" w:sz="0" w:space="0" w:color="auto"/>
        <w:bottom w:val="none" w:sz="0" w:space="0" w:color="auto"/>
        <w:right w:val="none" w:sz="0" w:space="0" w:color="auto"/>
      </w:divBdr>
      <w:divsChild>
        <w:div w:id="859783246">
          <w:marLeft w:val="0"/>
          <w:marRight w:val="0"/>
          <w:marTop w:val="0"/>
          <w:marBottom w:val="0"/>
          <w:divBdr>
            <w:top w:val="none" w:sz="0" w:space="0" w:color="auto"/>
            <w:left w:val="none" w:sz="0" w:space="0" w:color="auto"/>
            <w:bottom w:val="none" w:sz="0" w:space="0" w:color="auto"/>
            <w:right w:val="none" w:sz="0" w:space="0" w:color="auto"/>
          </w:divBdr>
          <w:divsChild>
            <w:div w:id="1974361039">
              <w:marLeft w:val="0"/>
              <w:marRight w:val="0"/>
              <w:marTop w:val="0"/>
              <w:marBottom w:val="0"/>
              <w:divBdr>
                <w:top w:val="none" w:sz="0" w:space="0" w:color="auto"/>
                <w:left w:val="none" w:sz="0" w:space="0" w:color="auto"/>
                <w:bottom w:val="none" w:sz="0" w:space="0" w:color="auto"/>
                <w:right w:val="none" w:sz="0" w:space="0" w:color="auto"/>
              </w:divBdr>
              <w:divsChild>
                <w:div w:id="20502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21032">
      <w:bodyDiv w:val="1"/>
      <w:marLeft w:val="0"/>
      <w:marRight w:val="0"/>
      <w:marTop w:val="0"/>
      <w:marBottom w:val="0"/>
      <w:divBdr>
        <w:top w:val="none" w:sz="0" w:space="0" w:color="auto"/>
        <w:left w:val="none" w:sz="0" w:space="0" w:color="auto"/>
        <w:bottom w:val="none" w:sz="0" w:space="0" w:color="auto"/>
        <w:right w:val="none" w:sz="0" w:space="0" w:color="auto"/>
      </w:divBdr>
    </w:div>
    <w:div w:id="1364865323">
      <w:bodyDiv w:val="1"/>
      <w:marLeft w:val="0"/>
      <w:marRight w:val="0"/>
      <w:marTop w:val="0"/>
      <w:marBottom w:val="0"/>
      <w:divBdr>
        <w:top w:val="none" w:sz="0" w:space="0" w:color="auto"/>
        <w:left w:val="none" w:sz="0" w:space="0" w:color="auto"/>
        <w:bottom w:val="none" w:sz="0" w:space="0" w:color="auto"/>
        <w:right w:val="none" w:sz="0" w:space="0" w:color="auto"/>
      </w:divBdr>
      <w:divsChild>
        <w:div w:id="234167910">
          <w:marLeft w:val="0"/>
          <w:marRight w:val="0"/>
          <w:marTop w:val="0"/>
          <w:marBottom w:val="0"/>
          <w:divBdr>
            <w:top w:val="none" w:sz="0" w:space="0" w:color="auto"/>
            <w:left w:val="none" w:sz="0" w:space="0" w:color="auto"/>
            <w:bottom w:val="none" w:sz="0" w:space="0" w:color="auto"/>
            <w:right w:val="none" w:sz="0" w:space="0" w:color="auto"/>
          </w:divBdr>
          <w:divsChild>
            <w:div w:id="1625766112">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customXml" Target="../customXml/item8.xml"/><Relationship Id="rId2" Type="http://schemas.openxmlformats.org/officeDocument/2006/relationships/customXml" Target="../customXml/item2.xml"/><Relationship Id="rId16" Type="http://schemas.openxmlformats.org/officeDocument/2006/relationships/hyperlink" Target="http://www.iad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idbdocs.iadb.org/wsdocs/getdocument.aspx?DOCNUM=38988574"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7845F0EC2280C4DBDEAEFE350A65E31" ma:contentTypeVersion="2641" ma:contentTypeDescription="A content type to manage public (operations) IDB documents" ma:contentTypeScope="" ma:versionID="b96bedcbd6c8cebea1dd271d12209be3">
  <xsd:schema xmlns:xsd="http://www.w3.org/2001/XMLSchema" xmlns:xs="http://www.w3.org/2001/XMLSchema" xmlns:p="http://schemas.microsoft.com/office/2006/metadata/properties" xmlns:ns2="cdc7663a-08f0-4737-9e8c-148ce897a09c" targetNamespace="http://schemas.microsoft.com/office/2006/metadata/properties" ma:root="true" ma:fieldsID="c0ce243c63bdaf87a7bee6d397a8285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278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Division_x0020_or_x0020_Unit xmlns="cdc7663a-08f0-4737-9e8c-148ce897a09c">IFD/CMF</Division_x0020_or_x0020_Unit>
    <Fiscal_x0020_Year_x0020_IDB xmlns="cdc7663a-08f0-4737-9e8c-148ce897a09c">2019</Fiscal_x0020_Year_x0020_IDB>
    <Other_x0020_Author xmlns="cdc7663a-08f0-4737-9e8c-148ce897a09c" xsi:nil="true"/>
    <Migration_x0020_Info xmlns="cdc7663a-08f0-4737-9e8c-148ce897a09c" xsi:nil="true"/>
    <Document_x0020_Author xmlns="cdc7663a-08f0-4737-9e8c-148ce897a09c">Cardozo, Silvana</Document_x0020_Author>
    <Document_x0020_Language_x0020_IDB xmlns="cdc7663a-08f0-4737-9e8c-148ce897a09c">English</Document_x0020_Language_x0020_IDB>
    <TaxCatchAll xmlns="cdc7663a-08f0-4737-9e8c-148ce897a09c">
      <Value>6</Value>
      <Value>103</Value>
      <Value>62</Value>
      <Value>104</Value>
      <Value>44</Value>
    </TaxCatchAll>
    <Identifier xmlns="cdc7663a-08f0-4737-9e8c-148ce897a09c" xsi:nil="true"/>
    <_dlc_DocId xmlns="cdc7663a-08f0-4737-9e8c-148ce897a09c">EZSHARE-842047134-184</_dlc_DocId>
    <_dlc_DocIdUrl xmlns="cdc7663a-08f0-4737-9e8c-148ce897a09c">
      <Url>https://idbg.sharepoint.com/teams/EZ-RG-TCP/RG-T2785/_layouts/15/DocIdRedir.aspx?ID=EZSHARE-842047134-184</Url>
      <Description>EZSHARE-842047134-184</Description>
    </_dlc_DocIdUrl>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ATN/KK-16057-RG;</Approval_x0020_Number>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Operation_x0020_Type xmlns="cdc7663a-08f0-4737-9e8c-148ce897a09c">Technical Cooperation</Operation_x0020_Type>
    <Package_x0020_Code xmlns="cdc7663a-08f0-4737-9e8c-148ce897a09c" xsi:nil="true"/>
    <Project_x0020_Number xmlns="cdc7663a-08f0-4737-9e8c-148ce897a09c">RG-T2785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z-Corporate" ma:contentTypeID="0x0101000308A27134084F4AA40781B2DCA498A500C15F6972804C3F4488B094B53EB6FB35" ma:contentTypeVersion="16" ma:contentTypeDescription="The corporate content type from which other content types in the corporate content type track inherit their information." ma:contentTypeScope="" ma:versionID="f7e53e1a468c0e0423d1ba0a5da45639">
  <xsd:schema xmlns:xsd="http://www.w3.org/2001/XMLSchema" xmlns:xs="http://www.w3.org/2001/XMLSchema" xmlns:p="http://schemas.microsoft.com/office/2006/metadata/properties" xmlns:ns2="cdc7663a-08f0-4737-9e8c-148ce897a09c" targetNamespace="http://schemas.microsoft.com/office/2006/metadata/properties" ma:root="true" ma:fieldsID="6bbe10e62ab43ec941c2b1678ea775d3" ns2:_="">
    <xsd:import namespace="cdc7663a-08f0-4737-9e8c-148ce897a09c"/>
    <xsd:element name="properties">
      <xsd:complexType>
        <xsd:sequence>
          <xsd:element name="documentManagement">
            <xsd:complexType>
              <xsd:all>
                <xsd:element ref="ns2:Access_x0020_to_x0020_Information_x00a0_Policy"/>
                <xsd:element ref="ns2:Document_x0020_Author" minOccurs="0"/>
                <xsd:element ref="ns2:Other_x0020_Author" minOccurs="0"/>
                <xsd:element ref="ns2:Division_x0020_or_x0020_Unit" minOccurs="0"/>
                <xsd:element ref="ns2:Document_x0020_Language_x0020_IDB" minOccurs="0"/>
                <xsd:element ref="ns2:From_x003a_" minOccurs="0"/>
                <xsd:element ref="ns2:To_x003a_" minOccurs="0"/>
                <xsd:element ref="ns2:Identifier" minOccurs="0"/>
                <xsd:element ref="ns2:IDBDocs_x0020_Number" minOccurs="0"/>
                <xsd:element ref="ns2:Migration_x0020_Info" minOccurs="0"/>
                <xsd:element ref="ns2:ic46d7e087fd4a108fb86518ca413cc6" minOccurs="0"/>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j65ec2e3a7e44c39a1acebfd2a19200a" minOccurs="0"/>
                <xsd:element ref="ns2:SISCOR_x0020_Number"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Access_x0020_to_x0020_Information_x00a0_Policy" ma:index="2"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5" nillable="true" ma:displayName="Document Author" ma:internalName="Document_x0020_Author">
      <xsd:simpleType>
        <xsd:restriction base="dms:Text">
          <xsd:maxLength value="255"/>
        </xsd:restriction>
      </xsd:simpleType>
    </xsd:element>
    <xsd:element name="Other_x0020_Author" ma:index="6" nillable="true" ma:displayName="Other Author" ma:internalName="Other_x0020_Author">
      <xsd:simpleType>
        <xsd:restriction base="dms:Text">
          <xsd:maxLength value="255"/>
        </xsd:restriction>
      </xsd:simpleType>
    </xsd:element>
    <xsd:element name="Division_x0020_or_x0020_Unit" ma:index="8" nillable="true" ma:displayName="Division or Unit" ma:internalName="Division_x0020_or_x0020_Unit">
      <xsd:simpleType>
        <xsd:restriction base="dms:Text">
          <xsd:maxLength value="255"/>
        </xsd:restriction>
      </xsd:simpleType>
    </xsd:element>
    <xsd:element name="Document_x0020_Language_x0020_IDB" ma:index="9"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10" nillable="true" ma:displayName="From:" ma:description="Sender name from email message" ma:internalName="From_x003A_">
      <xsd:simpleType>
        <xsd:restriction base="dms:Text">
          <xsd:maxLength value="255"/>
        </xsd:restriction>
      </xsd:simpleType>
    </xsd:element>
    <xsd:element name="To_x003a_" ma:index="11" nillable="true" ma:displayName="To:" ma:description="Addressee names from email message&#10;" ma:internalName="To_x003A_">
      <xsd:simpleType>
        <xsd:restriction base="dms:Text">
          <xsd:maxLength value="255"/>
        </xsd:restriction>
      </xsd:simpleType>
    </xsd:element>
    <xsd:element name="Identifier" ma:index="12" nillable="true" ma:displayName="Identifier" ma:internalName="Identifier">
      <xsd:simpleType>
        <xsd:restriction base="dms:Text">
          <xsd:maxLength value="255"/>
        </xsd:restriction>
      </xsd:simpleType>
    </xsd:element>
    <xsd:element name="IDBDocs_x0020_Number" ma:index="13" nillable="true" ma:displayName="IDBDocs Number" ma:internalName="IDBDocs_x0020_Number" ma:readOnly="false">
      <xsd:simpleType>
        <xsd:restriction base="dms:Text">
          <xsd:maxLength value="255"/>
        </xsd:restriction>
      </xsd:simpleType>
    </xsd:element>
    <xsd:element name="Migration_x0020_Info" ma:index="14" nillable="true" ma:displayName="Migration Info" ma:internalName="Migration_x0020_Info" ma:readOnly="false">
      <xsd:simpleType>
        <xsd:restriction base="dms:Note"/>
      </xsd:simpleType>
    </xsd:element>
    <xsd:element name="ic46d7e087fd4a108fb86518ca413cc6" ma:index="1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cf0f1ca6d90e4583ad80995bcde0e58a" ma:index="23"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j65ec2e3a7e44c39a1acebfd2a19200a" ma:index="27"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SISCOR_x0020_Number" ma:index="29" nillable="true" ma:displayName="SISCOR Number" ma:internalName="SISCOR_x0020_Number" ma:readOnly="false">
      <xsd:simpleType>
        <xsd:restriction base="dms:Text">
          <xsd:maxLength value="255"/>
        </xsd:restriction>
      </xsd:simpleType>
    </xsd:element>
    <xsd:element name="Fiscal_x0020_Year_x0020_IDB" ma:index="30" nillable="true" ma:displayName="Fiscal Year IDB" ma:internalName="Fiscal_x0020_Year_x0020_IDB"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2.xml><?xml version="1.0" encoding="utf-8"?>
<ds:datastoreItem xmlns:ds="http://schemas.openxmlformats.org/officeDocument/2006/customXml" ds:itemID="{FC463B28-DED3-4925-8527-9694F4701EF7}"/>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4C83C8A5-A54C-4BF5-A7A7-A1DE83053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6.xml><?xml version="1.0" encoding="utf-8"?>
<ds:datastoreItem xmlns:ds="http://schemas.openxmlformats.org/officeDocument/2006/customXml" ds:itemID="{471ABB57-654B-4BBD-851D-580982B56E1B}"/>
</file>

<file path=customXml/itemProps7.xml><?xml version="1.0" encoding="utf-8"?>
<ds:datastoreItem xmlns:ds="http://schemas.openxmlformats.org/officeDocument/2006/customXml" ds:itemID="{0347A36B-461C-4FE7-88C6-5AAD63B6B15E}">
  <ds:schemaRefs>
    <ds:schemaRef ds:uri="http://schemas.openxmlformats.org/officeDocument/2006/bibliography"/>
  </ds:schemaRefs>
</ds:datastoreItem>
</file>

<file path=customXml/itemProps8.xml><?xml version="1.0" encoding="utf-8"?>
<ds:datastoreItem xmlns:ds="http://schemas.openxmlformats.org/officeDocument/2006/customXml" ds:itemID="{3D56E112-F0DD-44A7-92DE-1C4B1832DD0A}"/>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Cardozo, Silvana</cp:lastModifiedBy>
  <cp:revision>2</cp:revision>
  <cp:lastPrinted>2017-04-17T20:02:00Z</cp:lastPrinted>
  <dcterms:created xsi:type="dcterms:W3CDTF">2019-09-20T22:39:00Z</dcterms:created>
  <dcterms:modified xsi:type="dcterms:W3CDTF">2019-09-20T22:39:00Z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44;#Regional|2537a5b7-6d8e-482c-94dc-32c3cc44ff65</vt:lpwstr>
  </property>
  <property fmtid="{D5CDD505-2E9C-101B-9397-08002B2CF9AE}" pid="8" name="_dlc_DocIdItemGuid">
    <vt:lpwstr>389e476f-18a4-4605-8293-cbacd8f5bd42</vt:lpwstr>
  </property>
  <property fmtid="{D5CDD505-2E9C-101B-9397-08002B2CF9AE}" pid="9" name="Series Operations IDB">
    <vt:lpwstr/>
  </property>
  <property fmtid="{D5CDD505-2E9C-101B-9397-08002B2CF9AE}" pid="10" name="Sub-Sector">
    <vt:lpwstr>104;#TELECOMMUNICATIONS INFRASTRUCTURE|aefa06f2-9334-47b4-baa8-b6fd58d1b6b7</vt:lpwstr>
  </property>
  <property fmtid="{D5CDD505-2E9C-101B-9397-08002B2CF9AE}" pid="11" name="Fund IDB">
    <vt:lpwstr>62;#KPK|5e9b0b4b-552d-41e7-8443-d0767d768acd</vt:lpwstr>
  </property>
  <property fmtid="{D5CDD505-2E9C-101B-9397-08002B2CF9AE}" pid="12" name="Disclosed">
    <vt:bool>false</vt:bool>
  </property>
  <property fmtid="{D5CDD505-2E9C-101B-9397-08002B2CF9AE}" pid="13" name="Sector IDB">
    <vt:lpwstr>103;#SCIENCE AND TECHNOLOGY|0cc5734e-64eb-4bef-9520-748f3938df0e</vt:lpwstr>
  </property>
  <property fmtid="{D5CDD505-2E9C-101B-9397-08002B2CF9AE}" pid="14" name="Function Operations IDB">
    <vt:lpwstr>6;#Goods and Services|5bfebf1b-9f1f-4411-b1dd-4c19b807b799</vt:lpwstr>
  </property>
  <property fmtid="{D5CDD505-2E9C-101B-9397-08002B2CF9AE}" pid="15" name="ContentTypeId">
    <vt:lpwstr>0x0101001A458A224826124E8B45B1D613300CFC00D7845F0EC2280C4DBDEAEFE350A65E31</vt:lpwstr>
  </property>
</Properties>
</file>