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4F3480D5" w14:textId="6B3920CB" w:rsidR="00653973" w:rsidRPr="00653973" w:rsidRDefault="00170248" w:rsidP="00653973">
      <w:pPr>
        <w:suppressAutoHyphens/>
        <w:rPr>
          <w:rFonts w:asciiTheme="minorHAnsi" w:hAnsiTheme="minorHAnsi" w:cstheme="minorBidi"/>
          <w:color w:val="0070C0"/>
          <w:spacing w:val="-2"/>
        </w:rPr>
      </w:pPr>
      <w:r w:rsidRPr="2CDD2216">
        <w:rPr>
          <w:rFonts w:asciiTheme="minorHAnsi" w:hAnsiTheme="minorHAnsi" w:cstheme="minorBidi"/>
          <w:color w:val="0070C0"/>
          <w:spacing w:val="-2"/>
        </w:rPr>
        <w:t>Selection</w:t>
      </w:r>
      <w:r w:rsidR="00E03A9E">
        <w:rPr>
          <w:rFonts w:asciiTheme="minorHAnsi" w:hAnsiTheme="minorHAnsi" w:cstheme="minorBidi"/>
          <w:color w:val="0070C0"/>
          <w:spacing w:val="-2"/>
        </w:rPr>
        <w:t xml:space="preserve"> #</w:t>
      </w:r>
      <w:r w:rsidR="00360ACB" w:rsidRPr="2CDD2216">
        <w:rPr>
          <w:rFonts w:asciiTheme="minorHAnsi" w:hAnsiTheme="minorHAnsi" w:cstheme="minorBidi"/>
          <w:color w:val="0070C0"/>
          <w:spacing w:val="-2"/>
        </w:rPr>
        <w:t>:</w:t>
      </w:r>
      <w:r w:rsidR="00653973">
        <w:rPr>
          <w:rFonts w:asciiTheme="minorHAnsi" w:hAnsiTheme="minorHAnsi" w:cstheme="minorBidi"/>
          <w:color w:val="0070C0"/>
          <w:spacing w:val="-2"/>
        </w:rPr>
        <w:t xml:space="preserve"> </w:t>
      </w:r>
      <w:r w:rsidR="00653973" w:rsidRPr="00653973">
        <w:rPr>
          <w:rFonts w:asciiTheme="minorHAnsi" w:hAnsiTheme="minorHAnsi" w:cstheme="minorBidi"/>
          <w:color w:val="0070C0"/>
          <w:spacing w:val="-2"/>
        </w:rPr>
        <w:t>SU-T1102-P00</w:t>
      </w:r>
      <w:r w:rsidR="00A06640">
        <w:rPr>
          <w:rFonts w:asciiTheme="minorHAnsi" w:hAnsiTheme="minorHAnsi" w:cstheme="minorBidi"/>
          <w:color w:val="0070C0"/>
          <w:spacing w:val="-2"/>
        </w:rPr>
        <w:t>2</w:t>
      </w:r>
      <w:r w:rsidR="00653973" w:rsidRPr="00653973">
        <w:rPr>
          <w:rFonts w:asciiTheme="minorHAnsi" w:hAnsiTheme="minorHAnsi" w:cstheme="minorBidi"/>
          <w:color w:val="0070C0"/>
          <w:spacing w:val="-2"/>
        </w:rPr>
        <w:t> </w:t>
      </w:r>
    </w:p>
    <w:p w14:paraId="0992F71B" w14:textId="578E0FDB" w:rsidR="672BA234" w:rsidRDefault="2CDD2216" w:rsidP="672BA234">
      <w:r w:rsidRPr="2CDD2216">
        <w:rPr>
          <w:rFonts w:asciiTheme="minorHAnsi" w:hAnsiTheme="minorHAnsi" w:cstheme="minorBidi"/>
          <w:color w:val="0070C0"/>
        </w:rPr>
        <w:t>Selection Method:</w:t>
      </w:r>
      <w:r w:rsidR="00653973">
        <w:rPr>
          <w:rFonts w:asciiTheme="minorHAnsi" w:hAnsiTheme="minorHAnsi" w:cstheme="minorBidi"/>
          <w:color w:val="0070C0"/>
        </w:rPr>
        <w:t xml:space="preserve"> Full competitive Selection</w:t>
      </w:r>
    </w:p>
    <w:p w14:paraId="661E8539" w14:textId="10AB019C" w:rsidR="00F45D9C" w:rsidRPr="00F45D9C" w:rsidRDefault="00F45D9C" w:rsidP="2CDD2216">
      <w:pPr>
        <w:suppressAutoHyphens/>
        <w:rPr>
          <w:rFonts w:asciiTheme="minorHAnsi" w:hAnsiTheme="minorHAnsi" w:cstheme="minorBidi"/>
          <w:i/>
          <w:iCs/>
          <w:color w:val="0070C0"/>
        </w:rPr>
      </w:pPr>
      <w:r w:rsidRPr="2CDD2216">
        <w:rPr>
          <w:rFonts w:asciiTheme="minorHAnsi" w:hAnsiTheme="minorHAnsi" w:cstheme="minorBidi"/>
          <w:color w:val="0070C0"/>
          <w:spacing w:val="-2"/>
        </w:rPr>
        <w:t xml:space="preserve">Country: </w:t>
      </w:r>
      <w:r w:rsidRPr="2CDD2216">
        <w:rPr>
          <w:rFonts w:asciiTheme="minorHAnsi" w:hAnsiTheme="minorHAnsi" w:cstheme="minorBidi"/>
          <w:i/>
          <w:iCs/>
          <w:color w:val="0070C0"/>
        </w:rPr>
        <w:t xml:space="preserve"> </w:t>
      </w:r>
      <w:r w:rsidR="00653973">
        <w:rPr>
          <w:rFonts w:asciiTheme="minorHAnsi" w:hAnsiTheme="minorHAnsi" w:cstheme="minorBidi"/>
          <w:i/>
          <w:iCs/>
          <w:color w:val="0070C0"/>
        </w:rPr>
        <w:t>Suriname</w:t>
      </w:r>
    </w:p>
    <w:p w14:paraId="3BE9C14F" w14:textId="585581B1"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653973">
        <w:rPr>
          <w:rFonts w:asciiTheme="minorHAnsi" w:hAnsiTheme="minorHAnsi" w:cstheme="minorBidi"/>
          <w:i/>
          <w:iCs/>
          <w:color w:val="0070C0"/>
        </w:rPr>
        <w:t xml:space="preserve"> Water and Sanitation </w:t>
      </w:r>
    </w:p>
    <w:p w14:paraId="11A9D93B" w14:textId="3C4D0F17"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Funding – TC #</w:t>
      </w:r>
      <w:r w:rsidR="00653973">
        <w:rPr>
          <w:rFonts w:asciiTheme="minorHAnsi" w:hAnsiTheme="minorHAnsi" w:cstheme="minorBidi"/>
          <w:i/>
          <w:iCs/>
          <w:color w:val="0070C0"/>
        </w:rPr>
        <w:t xml:space="preserve">: </w:t>
      </w:r>
      <w:r w:rsidR="00653973" w:rsidRPr="00CF4FC8">
        <w:rPr>
          <w:rFonts w:asciiTheme="minorHAnsi" w:hAnsiTheme="minorHAnsi" w:cstheme="minorBidi"/>
          <w:iCs/>
          <w:color w:val="auto"/>
        </w:rPr>
        <w:t>ATN/OC-16778-SU</w:t>
      </w:r>
      <w:r w:rsidRPr="00CF4FC8">
        <w:rPr>
          <w:rFonts w:asciiTheme="minorHAnsi" w:hAnsiTheme="minorHAnsi" w:cstheme="minorBidi"/>
          <w:i/>
          <w:iCs/>
          <w:color w:val="auto"/>
        </w:rPr>
        <w:t xml:space="preserve">              </w:t>
      </w:r>
    </w:p>
    <w:p w14:paraId="3BFF64A1" w14:textId="79107E25" w:rsidR="00F45D9C" w:rsidRPr="00AE7268" w:rsidRDefault="2CDD2216" w:rsidP="00F45D9C">
      <w:pPr>
        <w:pStyle w:val="BodyText"/>
      </w:pPr>
      <w:r w:rsidRPr="2CDD2216">
        <w:rPr>
          <w:rFonts w:asciiTheme="minorHAnsi" w:eastAsiaTheme="minorEastAsia" w:hAnsiTheme="minorHAnsi" w:cstheme="minorBidi"/>
          <w:i/>
          <w:iCs/>
          <w:color w:val="0070C0"/>
        </w:rPr>
        <w:t>Project #:</w:t>
      </w:r>
      <w:r w:rsidR="00653973">
        <w:rPr>
          <w:rFonts w:asciiTheme="minorHAnsi" w:eastAsiaTheme="minorEastAsia" w:hAnsiTheme="minorHAnsi" w:cstheme="minorBidi"/>
          <w:i/>
          <w:iCs/>
          <w:color w:val="0070C0"/>
        </w:rPr>
        <w:t xml:space="preserve"> SU-T1102</w:t>
      </w:r>
    </w:p>
    <w:p w14:paraId="1AB27CF1" w14:textId="77777777" w:rsidR="00653973" w:rsidRPr="00653973" w:rsidRDefault="672BA234" w:rsidP="00653973">
      <w:pPr>
        <w:pStyle w:val="BodyText"/>
        <w:tabs>
          <w:tab w:val="left" w:pos="6645"/>
        </w:tabs>
        <w:rPr>
          <w:rFonts w:asciiTheme="minorHAnsi" w:hAnsiTheme="minorHAnsi" w:cstheme="minorBidi"/>
          <w:b/>
          <w:bCs/>
          <w:i/>
          <w:iCs/>
          <w:color w:val="0070C0"/>
        </w:rPr>
      </w:pPr>
      <w:r w:rsidRPr="4738AB8D">
        <w:rPr>
          <w:rFonts w:asciiTheme="minorHAnsi" w:eastAsiaTheme="minorEastAsia" w:hAnsiTheme="minorHAnsi" w:cstheme="minorBidi"/>
          <w:i/>
          <w:iCs/>
          <w:color w:val="0070C0"/>
        </w:rPr>
        <w:t>TC name:</w:t>
      </w:r>
      <w:r w:rsidR="00653973">
        <w:rPr>
          <w:rFonts w:asciiTheme="minorHAnsi" w:eastAsiaTheme="minorEastAsia" w:hAnsiTheme="minorHAnsi" w:cstheme="minorBidi"/>
          <w:i/>
          <w:iCs/>
          <w:color w:val="0070C0"/>
        </w:rPr>
        <w:t xml:space="preserve"> </w:t>
      </w:r>
      <w:r w:rsidR="00653973" w:rsidRPr="00653973">
        <w:rPr>
          <w:rFonts w:asciiTheme="minorHAnsi" w:hAnsiTheme="minorHAnsi" w:cstheme="minorBidi"/>
          <w:b/>
          <w:bCs/>
          <w:i/>
          <w:iCs/>
          <w:color w:val="0070C0"/>
        </w:rPr>
        <w:t>Support to SWM Institutional and Operational Strengthening</w:t>
      </w:r>
    </w:p>
    <w:p w14:paraId="3A50EEED" w14:textId="088AC163" w:rsidR="00F45D9C" w:rsidRDefault="4738AB8D" w:rsidP="00E90CEB">
      <w:pPr>
        <w:pStyle w:val="BodyText"/>
        <w:jc w:val="both"/>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Description of Services: </w:t>
      </w:r>
      <w:r w:rsidR="00E90CEB" w:rsidRPr="00E90CEB">
        <w:rPr>
          <w:rFonts w:asciiTheme="minorHAnsi" w:eastAsiaTheme="minorEastAsia" w:hAnsiTheme="minorHAnsi" w:cstheme="minorBidi"/>
          <w:i/>
          <w:iCs/>
          <w:color w:val="0070C0"/>
        </w:rPr>
        <w:t xml:space="preserve">The assignment will include </w:t>
      </w:r>
      <w:r w:rsidR="00E90CEB">
        <w:rPr>
          <w:rFonts w:asciiTheme="minorHAnsi" w:eastAsiaTheme="minorEastAsia" w:hAnsiTheme="minorHAnsi" w:cstheme="minorBidi"/>
          <w:i/>
          <w:iCs/>
          <w:color w:val="0070C0"/>
        </w:rPr>
        <w:t xml:space="preserve">supporting </w:t>
      </w:r>
      <w:r w:rsidR="00E90CEB" w:rsidRPr="00CF6833">
        <w:rPr>
          <w:rFonts w:asciiTheme="minorHAnsi" w:eastAsiaTheme="minorEastAsia" w:hAnsiTheme="minorHAnsi" w:cstheme="minorBidi"/>
          <w:i/>
          <w:iCs/>
          <w:color w:val="0070C0"/>
        </w:rPr>
        <w:t xml:space="preserve">N.V. </w:t>
      </w:r>
      <w:proofErr w:type="spellStart"/>
      <w:r w:rsidR="00E90CEB" w:rsidRPr="00CF6833">
        <w:rPr>
          <w:rFonts w:asciiTheme="minorHAnsi" w:eastAsiaTheme="minorEastAsia" w:hAnsiTheme="minorHAnsi" w:cstheme="minorBidi"/>
          <w:i/>
          <w:iCs/>
          <w:color w:val="0070C0"/>
        </w:rPr>
        <w:t>Surinaamsche</w:t>
      </w:r>
      <w:proofErr w:type="spellEnd"/>
      <w:r w:rsidR="00CF6833" w:rsidRPr="00CF6833">
        <w:rPr>
          <w:rFonts w:asciiTheme="minorHAnsi" w:eastAsiaTheme="minorEastAsia" w:hAnsiTheme="minorHAnsi" w:cstheme="minorBidi"/>
          <w:i/>
          <w:iCs/>
          <w:color w:val="0070C0"/>
        </w:rPr>
        <w:t xml:space="preserve"> </w:t>
      </w:r>
      <w:proofErr w:type="spellStart"/>
      <w:r w:rsidR="00E90CEB" w:rsidRPr="00CF6833">
        <w:rPr>
          <w:rFonts w:asciiTheme="minorHAnsi" w:eastAsiaTheme="minorEastAsia" w:hAnsiTheme="minorHAnsi" w:cstheme="minorBidi"/>
          <w:i/>
          <w:iCs/>
          <w:color w:val="0070C0"/>
        </w:rPr>
        <w:t>Waterleiding</w:t>
      </w:r>
      <w:proofErr w:type="spellEnd"/>
      <w:r w:rsidR="00CF6833" w:rsidRPr="00CF6833">
        <w:rPr>
          <w:rFonts w:asciiTheme="minorHAnsi" w:eastAsiaTheme="minorEastAsia" w:hAnsiTheme="minorHAnsi" w:cstheme="minorBidi"/>
          <w:i/>
          <w:iCs/>
          <w:color w:val="0070C0"/>
        </w:rPr>
        <w:t xml:space="preserve"> </w:t>
      </w:r>
      <w:proofErr w:type="spellStart"/>
      <w:r w:rsidR="00E90CEB" w:rsidRPr="00CF6833">
        <w:rPr>
          <w:rFonts w:asciiTheme="minorHAnsi" w:eastAsiaTheme="minorEastAsia" w:hAnsiTheme="minorHAnsi" w:cstheme="minorBidi"/>
          <w:i/>
          <w:iCs/>
          <w:color w:val="0070C0"/>
        </w:rPr>
        <w:t>Maatschappij</w:t>
      </w:r>
      <w:proofErr w:type="spellEnd"/>
      <w:r w:rsidR="00E90CEB" w:rsidRPr="00CF6833">
        <w:rPr>
          <w:rFonts w:asciiTheme="minorHAnsi" w:eastAsiaTheme="minorEastAsia" w:hAnsiTheme="minorHAnsi" w:cstheme="minorBidi"/>
          <w:i/>
          <w:iCs/>
          <w:color w:val="0070C0"/>
        </w:rPr>
        <w:t xml:space="preserve"> (SWM)</w:t>
      </w:r>
      <w:r w:rsidR="00E90CEB">
        <w:rPr>
          <w:rFonts w:asciiTheme="minorHAnsi" w:eastAsiaTheme="minorEastAsia" w:hAnsiTheme="minorHAnsi" w:cstheme="minorBidi"/>
          <w:i/>
          <w:iCs/>
          <w:color w:val="0070C0"/>
        </w:rPr>
        <w:t xml:space="preserve"> </w:t>
      </w:r>
      <w:r w:rsidR="00E90CEB" w:rsidRPr="00E90CEB">
        <w:rPr>
          <w:rFonts w:asciiTheme="minorHAnsi" w:eastAsiaTheme="minorEastAsia" w:hAnsiTheme="minorHAnsi" w:cstheme="minorBidi"/>
          <w:i/>
          <w:iCs/>
          <w:color w:val="0070C0"/>
        </w:rPr>
        <w:t xml:space="preserve">evaluating groundwater pollution and assessing the vulnerability, hazards, and risks of pollution on groundwater resources in the </w:t>
      </w:r>
      <w:proofErr w:type="spellStart"/>
      <w:r w:rsidR="00E90CEB" w:rsidRPr="00E90CEB">
        <w:rPr>
          <w:rFonts w:asciiTheme="minorHAnsi" w:eastAsiaTheme="minorEastAsia" w:hAnsiTheme="minorHAnsi" w:cstheme="minorBidi"/>
          <w:i/>
          <w:iCs/>
          <w:color w:val="0070C0"/>
        </w:rPr>
        <w:t>Zanderij</w:t>
      </w:r>
      <w:proofErr w:type="spellEnd"/>
      <w:r w:rsidR="00E90CEB" w:rsidRPr="00E90CEB">
        <w:rPr>
          <w:rFonts w:asciiTheme="minorHAnsi" w:eastAsiaTheme="minorEastAsia" w:hAnsiTheme="minorHAnsi" w:cstheme="minorBidi"/>
          <w:i/>
          <w:iCs/>
          <w:color w:val="0070C0"/>
        </w:rPr>
        <w:t xml:space="preserve"> aquifer at La </w:t>
      </w:r>
      <w:proofErr w:type="spellStart"/>
      <w:r w:rsidR="00E90CEB" w:rsidRPr="00E90CEB">
        <w:rPr>
          <w:rFonts w:asciiTheme="minorHAnsi" w:eastAsiaTheme="minorEastAsia" w:hAnsiTheme="minorHAnsi" w:cstheme="minorBidi"/>
          <w:i/>
          <w:iCs/>
          <w:color w:val="0070C0"/>
        </w:rPr>
        <w:t>Vigilantia</w:t>
      </w:r>
      <w:proofErr w:type="spellEnd"/>
      <w:r w:rsidR="00E90CEB" w:rsidRPr="00E90CEB">
        <w:rPr>
          <w:rFonts w:asciiTheme="minorHAnsi" w:eastAsiaTheme="minorEastAsia" w:hAnsiTheme="minorHAnsi" w:cstheme="minorBidi"/>
          <w:i/>
          <w:iCs/>
          <w:color w:val="0070C0"/>
        </w:rPr>
        <w:t xml:space="preserve">. In addition, the consultant will build upon the model recently developed under the Hydrogeological Assessment of the Coastal Aquifers in Suriname (HACAS), to demonstrate pollutants migration scenarios in the </w:t>
      </w:r>
      <w:proofErr w:type="spellStart"/>
      <w:r w:rsidR="00E90CEB" w:rsidRPr="00E90CEB">
        <w:rPr>
          <w:rFonts w:asciiTheme="minorHAnsi" w:eastAsiaTheme="minorEastAsia" w:hAnsiTheme="minorHAnsi" w:cstheme="minorBidi"/>
          <w:i/>
          <w:iCs/>
          <w:color w:val="0070C0"/>
        </w:rPr>
        <w:t>Zanderij</w:t>
      </w:r>
      <w:proofErr w:type="spellEnd"/>
      <w:r w:rsidR="00E90CEB" w:rsidRPr="00E90CEB">
        <w:rPr>
          <w:rFonts w:asciiTheme="minorHAnsi" w:eastAsiaTheme="minorEastAsia" w:hAnsiTheme="minorHAnsi" w:cstheme="minorBidi"/>
          <w:i/>
          <w:iCs/>
          <w:color w:val="0070C0"/>
        </w:rPr>
        <w:t xml:space="preserve"> aquifer at La </w:t>
      </w:r>
      <w:proofErr w:type="spellStart"/>
      <w:r w:rsidR="00E90CEB" w:rsidRPr="00E90CEB">
        <w:rPr>
          <w:rFonts w:asciiTheme="minorHAnsi" w:eastAsiaTheme="minorEastAsia" w:hAnsiTheme="minorHAnsi" w:cstheme="minorBidi"/>
          <w:i/>
          <w:iCs/>
          <w:color w:val="0070C0"/>
        </w:rPr>
        <w:t>Vigilantia</w:t>
      </w:r>
      <w:proofErr w:type="spellEnd"/>
      <w:r w:rsidR="00E90CEB" w:rsidRPr="00E90CEB">
        <w:rPr>
          <w:rFonts w:asciiTheme="minorHAnsi" w:eastAsiaTheme="minorEastAsia" w:hAnsiTheme="minorHAnsi" w:cstheme="minorBidi"/>
          <w:i/>
          <w:iCs/>
          <w:color w:val="0070C0"/>
        </w:rPr>
        <w:t xml:space="preserve"> and identify management or mitigation procedures in a robust and quantifiable framework and thus inform decision-making for SWM. </w:t>
      </w:r>
      <w:r w:rsidR="00E90CEB">
        <w:rPr>
          <w:rFonts w:asciiTheme="minorHAnsi" w:eastAsiaTheme="minorEastAsia" w:hAnsiTheme="minorHAnsi" w:cstheme="minorBidi"/>
          <w:i/>
          <w:iCs/>
          <w:color w:val="0070C0"/>
        </w:rPr>
        <w:t xml:space="preserve"> </w:t>
      </w:r>
      <w:r w:rsidR="00E90CEB" w:rsidRPr="00E90CEB">
        <w:rPr>
          <w:rFonts w:asciiTheme="minorHAnsi" w:eastAsiaTheme="minorEastAsia" w:hAnsiTheme="minorHAnsi" w:cstheme="minorBidi"/>
          <w:i/>
          <w:iCs/>
          <w:color w:val="0070C0"/>
        </w:rPr>
        <w:t xml:space="preserve">The activities will include water quality sampling/monitoring and analysis and hydrologic flows modelling. The proposed assessment will also improve SWM decision-making capabilities to manage water resources and to protect and guarantee a reliable and affordable provision of potable water in the area La </w:t>
      </w:r>
      <w:proofErr w:type="spellStart"/>
      <w:r w:rsidR="00E90CEB" w:rsidRPr="00E90CEB">
        <w:rPr>
          <w:rFonts w:asciiTheme="minorHAnsi" w:eastAsiaTheme="minorEastAsia" w:hAnsiTheme="minorHAnsi" w:cstheme="minorBidi"/>
          <w:i/>
          <w:iCs/>
          <w:color w:val="0070C0"/>
        </w:rPr>
        <w:t>Vigilantia</w:t>
      </w:r>
      <w:proofErr w:type="spellEnd"/>
      <w:r w:rsidR="00E90CEB" w:rsidRPr="00E90CEB">
        <w:rPr>
          <w:rFonts w:asciiTheme="minorHAnsi" w:eastAsiaTheme="minorEastAsia" w:hAnsiTheme="minorHAnsi" w:cstheme="minorBidi"/>
          <w:i/>
          <w:iCs/>
          <w:color w:val="0070C0"/>
        </w:rPr>
        <w:t>.</w:t>
      </w:r>
    </w:p>
    <w:p w14:paraId="0530D358" w14:textId="77777777" w:rsidR="00BB4D44" w:rsidRPr="00AE7268" w:rsidRDefault="00BB4D44" w:rsidP="00E90CEB">
      <w:pPr>
        <w:pStyle w:val="BodyText"/>
        <w:jc w:val="both"/>
        <w:rPr>
          <w:rFonts w:asciiTheme="minorHAnsi" w:eastAsiaTheme="minorEastAsia" w:hAnsiTheme="minorHAnsi" w:cstheme="minorBidi"/>
          <w:i/>
          <w:iCs/>
          <w:color w:val="0070C0"/>
        </w:rPr>
      </w:pPr>
    </w:p>
    <w:p w14:paraId="469D5B2B" w14:textId="7F0AE859" w:rsidR="00F45D9C" w:rsidRDefault="4738AB8D" w:rsidP="4738AB8D">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Link to TC document: </w:t>
      </w:r>
      <w:hyperlink r:id="rId14" w:history="1">
        <w:r w:rsidR="00653973" w:rsidRPr="00193AAF">
          <w:rPr>
            <w:rStyle w:val="Hyperlink"/>
            <w:rFonts w:asciiTheme="minorHAnsi" w:eastAsiaTheme="minorEastAsia" w:hAnsiTheme="minorHAnsi" w:cstheme="minorBidi"/>
            <w:i/>
            <w:iCs/>
          </w:rPr>
          <w:t>https://www.iadb.org/Document.cfm?id=EZSHARE-1036177694-19</w:t>
        </w:r>
      </w:hyperlink>
    </w:p>
    <w:p w14:paraId="1DBF52D2" w14:textId="77777777" w:rsidR="00F45D9C" w:rsidRDefault="00F45D9C" w:rsidP="00F45D9C">
      <w:pPr>
        <w:pStyle w:val="BodyText"/>
        <w:rPr>
          <w:rFonts w:asciiTheme="minorHAnsi" w:hAnsiTheme="minorHAnsi" w:cstheme="minorHAnsi"/>
          <w:i/>
          <w:color w:val="0070C0"/>
          <w:szCs w:val="24"/>
        </w:rPr>
      </w:pPr>
    </w:p>
    <w:p w14:paraId="4FD8FFBB" w14:textId="62B46493" w:rsidR="002E7B51" w:rsidRPr="00AE7268" w:rsidRDefault="00F45D9C" w:rsidP="002E7B51">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w:t>
      </w:r>
      <w:r w:rsidR="00DD6F06" w:rsidRPr="2CDD2216">
        <w:rPr>
          <w:rFonts w:asciiTheme="minorHAnsi" w:hAnsiTheme="minorHAnsi" w:cstheme="minorBidi"/>
          <w:color w:val="auto"/>
        </w:rPr>
        <w:t>above-mentioned</w:t>
      </w:r>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43600C68" w:rsidR="002E7B51" w:rsidRDefault="002E7B51" w:rsidP="002E7B51">
      <w:pPr>
        <w:spacing w:line="320" w:lineRule="atLeast"/>
        <w:jc w:val="both"/>
        <w:rPr>
          <w:rFonts w:asciiTheme="minorHAnsi" w:hAnsiTheme="minorHAnsi" w:cstheme="minorBidi"/>
          <w:color w:val="auto"/>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 (</w:t>
      </w:r>
      <w:r w:rsidRPr="6D59273E">
        <w:t xml:space="preserve"> </w:t>
      </w:r>
      <w:hyperlink r:id="rId15"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by</w:t>
      </w:r>
      <w:r>
        <w:rPr>
          <w:rFonts w:asciiTheme="minorHAnsi" w:hAnsiTheme="minorHAnsi" w:cstheme="minorBidi"/>
          <w:color w:val="auto"/>
        </w:rPr>
        <w:t xml:space="preserve">: </w:t>
      </w:r>
      <w:r w:rsidR="00921C0C">
        <w:rPr>
          <w:rFonts w:asciiTheme="minorHAnsi" w:hAnsiTheme="minorHAnsi" w:cstheme="minorBidi"/>
          <w:i/>
          <w:iCs/>
          <w:color w:val="0070C0"/>
          <w:spacing w:val="-2"/>
        </w:rPr>
        <w:t xml:space="preserve">October </w:t>
      </w:r>
      <w:r w:rsidR="00767543">
        <w:rPr>
          <w:rFonts w:asciiTheme="minorHAnsi" w:hAnsiTheme="minorHAnsi" w:cstheme="minorBidi"/>
          <w:i/>
          <w:iCs/>
          <w:color w:val="0070C0"/>
          <w:spacing w:val="-2"/>
        </w:rPr>
        <w:t>10</w:t>
      </w:r>
      <w:bookmarkStart w:id="0" w:name="_GoBack"/>
      <w:bookmarkEnd w:id="0"/>
      <w:r w:rsidR="00E60675">
        <w:rPr>
          <w:rFonts w:asciiTheme="minorHAnsi" w:hAnsiTheme="minorHAnsi" w:cstheme="minorBidi"/>
          <w:i/>
          <w:iCs/>
          <w:color w:val="0070C0"/>
          <w:spacing w:val="-2"/>
        </w:rPr>
        <w:t>, 2018</w:t>
      </w:r>
      <w:r>
        <w:rPr>
          <w:rFonts w:asciiTheme="minorHAnsi" w:hAnsiTheme="minorHAnsi" w:cstheme="minorBidi"/>
          <w:color w:val="auto"/>
        </w:rPr>
        <w:t xml:space="preserve">, </w:t>
      </w:r>
      <w:r w:rsidRPr="6D59273E">
        <w:rPr>
          <w:rFonts w:asciiTheme="minorHAnsi" w:hAnsiTheme="minorHAnsi" w:cstheme="minorBidi"/>
          <w:color w:val="auto"/>
        </w:rPr>
        <w:t>5</w:t>
      </w:r>
      <w:r>
        <w:rPr>
          <w:rFonts w:asciiTheme="minorHAnsi" w:hAnsiTheme="minorHAnsi" w:cstheme="minorBidi"/>
          <w:color w:val="auto"/>
        </w:rPr>
        <w:t xml:space="preserve">:00 </w:t>
      </w:r>
      <w:r w:rsidR="003C6547">
        <w:rPr>
          <w:rFonts w:asciiTheme="minorHAnsi" w:hAnsiTheme="minorHAnsi" w:cstheme="minorBidi"/>
          <w:color w:val="auto"/>
        </w:rPr>
        <w:t>P.M.</w:t>
      </w:r>
      <w:r w:rsidRPr="6D59273E">
        <w:rPr>
          <w:rFonts w:asciiTheme="minorHAnsi" w:hAnsiTheme="minorHAnsi" w:cstheme="minorBidi"/>
          <w:color w:val="auto"/>
        </w:rPr>
        <w:t xml:space="preserve"> (Washington D.C. Time)</w:t>
      </w:r>
      <w:r>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5C9CD365" w14:textId="03C41DBF" w:rsidR="00F45D9C" w:rsidRPr="00921C0C" w:rsidRDefault="00F45D9C" w:rsidP="00921C0C">
      <w:pPr>
        <w:pStyle w:val="BodyText"/>
        <w:jc w:val="both"/>
        <w:rPr>
          <w:rFonts w:asciiTheme="minorHAnsi" w:eastAsiaTheme="minorEastAsia" w:hAnsiTheme="minorHAnsi" w:cstheme="minorBidi"/>
          <w:i/>
          <w:iCs/>
          <w:color w:val="0070C0"/>
        </w:rPr>
      </w:pPr>
      <w:r w:rsidRPr="2CDD2216">
        <w:rPr>
          <w:rFonts w:asciiTheme="minorHAnsi" w:hAnsiTheme="minorHAnsi" w:cstheme="minorBidi"/>
        </w:rPr>
        <w:t xml:space="preserve">The consulting services (“the Services”) include </w:t>
      </w:r>
      <w:r w:rsidR="00921C0C">
        <w:rPr>
          <w:rFonts w:asciiTheme="minorHAnsi" w:eastAsiaTheme="minorEastAsia" w:hAnsiTheme="minorHAnsi" w:cstheme="minorBidi"/>
          <w:i/>
          <w:iCs/>
          <w:color w:val="0070C0"/>
        </w:rPr>
        <w:t xml:space="preserve">supporting </w:t>
      </w:r>
      <w:r w:rsidR="00921C0C" w:rsidRPr="00CF6833">
        <w:rPr>
          <w:rFonts w:asciiTheme="minorHAnsi" w:eastAsiaTheme="minorEastAsia" w:hAnsiTheme="minorHAnsi" w:cstheme="minorBidi"/>
          <w:i/>
          <w:iCs/>
          <w:color w:val="0070C0"/>
        </w:rPr>
        <w:t xml:space="preserve">N.V. </w:t>
      </w:r>
      <w:proofErr w:type="spellStart"/>
      <w:r w:rsidR="00921C0C" w:rsidRPr="00CF6833">
        <w:rPr>
          <w:rFonts w:asciiTheme="minorHAnsi" w:eastAsiaTheme="minorEastAsia" w:hAnsiTheme="minorHAnsi" w:cstheme="minorBidi"/>
          <w:i/>
          <w:iCs/>
          <w:color w:val="0070C0"/>
        </w:rPr>
        <w:t>Surinaamsche</w:t>
      </w:r>
      <w:proofErr w:type="spellEnd"/>
      <w:r w:rsidR="00CF6833" w:rsidRPr="00CF6833">
        <w:rPr>
          <w:rFonts w:asciiTheme="minorHAnsi" w:eastAsiaTheme="minorEastAsia" w:hAnsiTheme="minorHAnsi" w:cstheme="minorBidi"/>
          <w:i/>
          <w:iCs/>
          <w:color w:val="0070C0"/>
        </w:rPr>
        <w:t xml:space="preserve"> </w:t>
      </w:r>
      <w:proofErr w:type="spellStart"/>
      <w:r w:rsidR="00921C0C" w:rsidRPr="00CF6833">
        <w:rPr>
          <w:rFonts w:asciiTheme="minorHAnsi" w:eastAsiaTheme="minorEastAsia" w:hAnsiTheme="minorHAnsi" w:cstheme="minorBidi"/>
          <w:i/>
          <w:iCs/>
          <w:color w:val="0070C0"/>
        </w:rPr>
        <w:t>Waterleiding</w:t>
      </w:r>
      <w:proofErr w:type="spellEnd"/>
      <w:r w:rsidR="00CF6833" w:rsidRPr="00CF6833">
        <w:rPr>
          <w:rFonts w:asciiTheme="minorHAnsi" w:eastAsiaTheme="minorEastAsia" w:hAnsiTheme="minorHAnsi" w:cstheme="minorBidi"/>
          <w:i/>
          <w:iCs/>
          <w:color w:val="0070C0"/>
        </w:rPr>
        <w:t xml:space="preserve"> </w:t>
      </w:r>
      <w:proofErr w:type="spellStart"/>
      <w:r w:rsidR="00921C0C" w:rsidRPr="00CF6833">
        <w:rPr>
          <w:rFonts w:asciiTheme="minorHAnsi" w:eastAsiaTheme="minorEastAsia" w:hAnsiTheme="minorHAnsi" w:cstheme="minorBidi"/>
          <w:i/>
          <w:iCs/>
          <w:color w:val="0070C0"/>
        </w:rPr>
        <w:t>Maatschappij</w:t>
      </w:r>
      <w:proofErr w:type="spellEnd"/>
      <w:r w:rsidR="00921C0C" w:rsidRPr="00CF6833">
        <w:rPr>
          <w:rFonts w:asciiTheme="minorHAnsi" w:eastAsiaTheme="minorEastAsia" w:hAnsiTheme="minorHAnsi" w:cstheme="minorBidi"/>
          <w:i/>
          <w:iCs/>
          <w:color w:val="0070C0"/>
        </w:rPr>
        <w:t xml:space="preserve"> (SWM)</w:t>
      </w:r>
      <w:r w:rsidR="00921C0C">
        <w:rPr>
          <w:rFonts w:asciiTheme="minorHAnsi" w:eastAsiaTheme="minorEastAsia" w:hAnsiTheme="minorHAnsi" w:cstheme="minorBidi"/>
          <w:i/>
          <w:iCs/>
          <w:color w:val="0070C0"/>
        </w:rPr>
        <w:t xml:space="preserve"> </w:t>
      </w:r>
      <w:r w:rsidR="00921C0C" w:rsidRPr="00E90CEB">
        <w:rPr>
          <w:rFonts w:asciiTheme="minorHAnsi" w:eastAsiaTheme="minorEastAsia" w:hAnsiTheme="minorHAnsi" w:cstheme="minorBidi"/>
          <w:i/>
          <w:iCs/>
          <w:color w:val="0070C0"/>
        </w:rPr>
        <w:t xml:space="preserve">evaluating groundwater pollution and assessing the vulnerability, hazards, and risks of pollution on groundwater resources in the </w:t>
      </w:r>
      <w:proofErr w:type="spellStart"/>
      <w:r w:rsidR="00921C0C" w:rsidRPr="00E90CEB">
        <w:rPr>
          <w:rFonts w:asciiTheme="minorHAnsi" w:eastAsiaTheme="minorEastAsia" w:hAnsiTheme="minorHAnsi" w:cstheme="minorBidi"/>
          <w:i/>
          <w:iCs/>
          <w:color w:val="0070C0"/>
        </w:rPr>
        <w:t>Zanderij</w:t>
      </w:r>
      <w:proofErr w:type="spellEnd"/>
      <w:r w:rsidR="00921C0C" w:rsidRPr="00E90CEB">
        <w:rPr>
          <w:rFonts w:asciiTheme="minorHAnsi" w:eastAsiaTheme="minorEastAsia" w:hAnsiTheme="minorHAnsi" w:cstheme="minorBidi"/>
          <w:i/>
          <w:iCs/>
          <w:color w:val="0070C0"/>
        </w:rPr>
        <w:t xml:space="preserve"> aquifer at La </w:t>
      </w:r>
      <w:proofErr w:type="spellStart"/>
      <w:r w:rsidR="00921C0C" w:rsidRPr="00E90CEB">
        <w:rPr>
          <w:rFonts w:asciiTheme="minorHAnsi" w:eastAsiaTheme="minorEastAsia" w:hAnsiTheme="minorHAnsi" w:cstheme="minorBidi"/>
          <w:i/>
          <w:iCs/>
          <w:color w:val="0070C0"/>
        </w:rPr>
        <w:t>Vigilantia</w:t>
      </w:r>
      <w:proofErr w:type="spellEnd"/>
      <w:r w:rsidR="00921C0C" w:rsidRPr="00E90CEB">
        <w:rPr>
          <w:rFonts w:asciiTheme="minorHAnsi" w:eastAsiaTheme="minorEastAsia" w:hAnsiTheme="minorHAnsi" w:cstheme="minorBidi"/>
          <w:i/>
          <w:iCs/>
          <w:color w:val="0070C0"/>
        </w:rPr>
        <w:t xml:space="preserve">. In addition, the consultant will build upon the model recently developed under the Hydrogeological Assessment of the Coastal Aquifers in Suriname (HACAS), to demonstrate pollutants migration scenarios in the </w:t>
      </w:r>
      <w:proofErr w:type="spellStart"/>
      <w:r w:rsidR="00921C0C" w:rsidRPr="00E90CEB">
        <w:rPr>
          <w:rFonts w:asciiTheme="minorHAnsi" w:eastAsiaTheme="minorEastAsia" w:hAnsiTheme="minorHAnsi" w:cstheme="minorBidi"/>
          <w:i/>
          <w:iCs/>
          <w:color w:val="0070C0"/>
        </w:rPr>
        <w:t>Zanderij</w:t>
      </w:r>
      <w:proofErr w:type="spellEnd"/>
      <w:r w:rsidR="00921C0C" w:rsidRPr="00E90CEB">
        <w:rPr>
          <w:rFonts w:asciiTheme="minorHAnsi" w:eastAsiaTheme="minorEastAsia" w:hAnsiTheme="minorHAnsi" w:cstheme="minorBidi"/>
          <w:i/>
          <w:iCs/>
          <w:color w:val="0070C0"/>
        </w:rPr>
        <w:t xml:space="preserve"> aquifer at La </w:t>
      </w:r>
      <w:proofErr w:type="spellStart"/>
      <w:r w:rsidR="00921C0C" w:rsidRPr="00E90CEB">
        <w:rPr>
          <w:rFonts w:asciiTheme="minorHAnsi" w:eastAsiaTheme="minorEastAsia" w:hAnsiTheme="minorHAnsi" w:cstheme="minorBidi"/>
          <w:i/>
          <w:iCs/>
          <w:color w:val="0070C0"/>
        </w:rPr>
        <w:t>Vigilantia</w:t>
      </w:r>
      <w:proofErr w:type="spellEnd"/>
      <w:r w:rsidR="00921C0C" w:rsidRPr="00E90CEB">
        <w:rPr>
          <w:rFonts w:asciiTheme="minorHAnsi" w:eastAsiaTheme="minorEastAsia" w:hAnsiTheme="minorHAnsi" w:cstheme="minorBidi"/>
          <w:i/>
          <w:iCs/>
          <w:color w:val="0070C0"/>
        </w:rPr>
        <w:t xml:space="preserve"> and identify management or mitigation procedures in a robust and quantifiable framework and thus inform decision-making for SWM. </w:t>
      </w:r>
      <w:r w:rsidR="00921C0C">
        <w:rPr>
          <w:rFonts w:asciiTheme="minorHAnsi" w:eastAsiaTheme="minorEastAsia" w:hAnsiTheme="minorHAnsi" w:cstheme="minorBidi"/>
          <w:i/>
          <w:iCs/>
          <w:color w:val="0070C0"/>
        </w:rPr>
        <w:t xml:space="preserve"> </w:t>
      </w:r>
      <w:r w:rsidR="00921C0C" w:rsidRPr="00E90CEB">
        <w:rPr>
          <w:rFonts w:asciiTheme="minorHAnsi" w:eastAsiaTheme="minorEastAsia" w:hAnsiTheme="minorHAnsi" w:cstheme="minorBidi"/>
          <w:i/>
          <w:iCs/>
          <w:color w:val="0070C0"/>
        </w:rPr>
        <w:t xml:space="preserve">The activities will include water quality sampling/monitoring and analysis and hydrologic flows modelling. The proposed assessment will also improve SWM decision-making capabilities to manage water resources and to protect and guarantee a reliable and affordable provision of potable water in the area La </w:t>
      </w:r>
      <w:proofErr w:type="spellStart"/>
      <w:r w:rsidR="00921C0C" w:rsidRPr="00E90CEB">
        <w:rPr>
          <w:rFonts w:asciiTheme="minorHAnsi" w:eastAsiaTheme="minorEastAsia" w:hAnsiTheme="minorHAnsi" w:cstheme="minorBidi"/>
          <w:i/>
          <w:iCs/>
          <w:color w:val="0070C0"/>
        </w:rPr>
        <w:t>Vigilantia</w:t>
      </w:r>
      <w:proofErr w:type="spellEnd"/>
      <w:r w:rsidR="00DD6F06">
        <w:rPr>
          <w:rFonts w:asciiTheme="minorHAnsi" w:hAnsiTheme="minorHAnsi" w:cstheme="minorBidi"/>
          <w:i/>
          <w:iCs/>
          <w:color w:val="0070C0"/>
        </w:rPr>
        <w:t xml:space="preserve">, the estimated timeframe to complete this assignment is eight months starting from </w:t>
      </w:r>
      <w:proofErr w:type="gramStart"/>
      <w:r w:rsidR="00921C0C">
        <w:rPr>
          <w:rFonts w:asciiTheme="minorHAnsi" w:hAnsiTheme="minorHAnsi" w:cstheme="minorBidi"/>
          <w:i/>
          <w:iCs/>
          <w:color w:val="0070C0"/>
        </w:rPr>
        <w:t>January</w:t>
      </w:r>
      <w:r w:rsidR="00DD6F06">
        <w:rPr>
          <w:rFonts w:asciiTheme="minorHAnsi" w:hAnsiTheme="minorHAnsi" w:cstheme="minorBidi"/>
          <w:i/>
          <w:iCs/>
          <w:color w:val="0070C0"/>
        </w:rPr>
        <w:t>,</w:t>
      </w:r>
      <w:proofErr w:type="gramEnd"/>
      <w:r w:rsidR="00DD6F06">
        <w:rPr>
          <w:rFonts w:asciiTheme="minorHAnsi" w:hAnsiTheme="minorHAnsi" w:cstheme="minorBidi"/>
          <w:i/>
          <w:iCs/>
          <w:color w:val="0070C0"/>
        </w:rPr>
        <w:t xml:space="preserve"> 201</w:t>
      </w:r>
      <w:r w:rsidR="00587259">
        <w:rPr>
          <w:rFonts w:asciiTheme="minorHAnsi" w:hAnsiTheme="minorHAnsi" w:cstheme="minorBidi"/>
          <w:i/>
          <w:iCs/>
          <w:color w:val="0070C0"/>
        </w:rPr>
        <w:t>9</w:t>
      </w:r>
      <w:r w:rsidR="00DD6F06">
        <w:rPr>
          <w:rFonts w:asciiTheme="minorHAnsi" w:hAnsiTheme="minorHAnsi" w:cstheme="minorBidi"/>
          <w:i/>
          <w:iCs/>
          <w:color w:val="0070C0"/>
        </w:rPr>
        <w:t xml:space="preserve">. </w:t>
      </w:r>
    </w:p>
    <w:p w14:paraId="0766B3CB" w14:textId="77777777" w:rsidR="00F45D9C" w:rsidRPr="00AE7268" w:rsidRDefault="00F45D9C" w:rsidP="00F45D9C">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14:paraId="0A0C2E05" w14:textId="508C1FD4"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6">
        <w:r w:rsidRPr="2CDD2216">
          <w:rPr>
            <w:rStyle w:val="Hyperlink"/>
            <w:rFonts w:asciiTheme="minorHAnsi" w:hAnsiTheme="minorHAnsi" w:cstheme="minorBidi"/>
            <w:i/>
            <w:iCs/>
          </w:rPr>
          <w:t>Policy for the Selection and Contracting of Consulting firms for Bank-executed Operational Work</w:t>
        </w:r>
      </w:hyperlink>
      <w:r w:rsidR="003C4BA8">
        <w:rPr>
          <w:rFonts w:asciiTheme="minorHAnsi" w:hAnsiTheme="minorHAnsi" w:cstheme="minorBidi"/>
          <w:color w:val="auto"/>
        </w:rPr>
        <w:t xml:space="preserve"> - GN-2765-1. </w:t>
      </w:r>
      <w:r w:rsidRPr="2CDD2216">
        <w:rPr>
          <w:rFonts w:asciiTheme="minorHAnsi" w:hAnsiTheme="minorHAnsi" w:cstheme="minorBidi"/>
          <w:color w:val="auto"/>
        </w:rPr>
        <w:t xml:space="preserve">All eligible consulting firms, as defined in the Policy may express an interest. </w:t>
      </w:r>
      <w:r w:rsidR="003C4BA8" w:rsidRPr="003C4BA8">
        <w:rPr>
          <w:rFonts w:asciiTheme="minorHAnsi" w:hAnsiTheme="minorHAnsi" w:cstheme="minorBidi"/>
          <w:color w:val="auto"/>
        </w:rPr>
        <w:t xml:space="preserve">If the Consulting Firm is presented in a Consortium, it will designate one of them as a representative, and the latter will be responsible for the communications, the registration in the portal and </w:t>
      </w:r>
      <w:r w:rsidR="003C4BA8">
        <w:rPr>
          <w:rFonts w:asciiTheme="minorHAnsi" w:hAnsiTheme="minorHAnsi" w:cstheme="minorBidi"/>
          <w:color w:val="auto"/>
        </w:rPr>
        <w:t xml:space="preserve">for submitting </w:t>
      </w:r>
      <w:r w:rsidR="003C4BA8" w:rsidRPr="003C4BA8">
        <w:rPr>
          <w:rFonts w:asciiTheme="minorHAnsi" w:hAnsiTheme="minorHAnsi" w:cstheme="minorBidi"/>
          <w:color w:val="auto"/>
        </w:rPr>
        <w:t>the corresponding documen</w:t>
      </w:r>
      <w:r w:rsidR="003C4BA8">
        <w:rPr>
          <w:rFonts w:asciiTheme="minorHAnsi" w:hAnsiTheme="minorHAnsi" w:cstheme="minorBidi"/>
          <w:color w:val="auto"/>
        </w:rPr>
        <w:t>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2D7E15A6"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 xml:space="preserve">described </w:t>
      </w:r>
      <w:r w:rsidR="002E7B51">
        <w:rPr>
          <w:rFonts w:asciiTheme="minorHAnsi" w:hAnsiTheme="minorHAnsi" w:cstheme="minorBidi"/>
          <w:color w:val="auto"/>
        </w:rPr>
        <w:lastRenderedPageBreak/>
        <w:t>below in the</w:t>
      </w:r>
      <w:r w:rsidR="002C3359" w:rsidRPr="002E7B51">
        <w:rPr>
          <w:rStyle w:val="apple-converted-space"/>
          <w:rFonts w:ascii="Calibri" w:hAnsi="Calibri"/>
          <w:shd w:val="clear" w:color="auto" w:fill="FFFFFF"/>
        </w:rPr>
        <w:t> </w:t>
      </w:r>
      <w:hyperlink w:anchor="_Summary_of_Terms" w:history="1">
        <w:r w:rsidR="002C3359" w:rsidRPr="00036BAE">
          <w:rPr>
            <w:rStyle w:val="Hyperlink"/>
            <w:rFonts w:ascii="Calibri" w:hAnsi="Calibri"/>
            <w:shd w:val="clear" w:color="auto" w:fill="FFFFFF"/>
          </w:rPr>
          <w:t>draft summary </w:t>
        </w:r>
      </w:hyperlink>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4E1C23E0" w14:textId="24A2EC89" w:rsidR="002E7B51" w:rsidRPr="00DD6F06" w:rsidRDefault="002E7B51" w:rsidP="002E7B51">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to: </w:t>
      </w:r>
      <w:r w:rsidR="00DD6F06" w:rsidRPr="00DD6F06">
        <w:rPr>
          <w:rFonts w:asciiTheme="minorHAnsi" w:hAnsiTheme="minorHAnsi" w:cstheme="minorBidi"/>
          <w:i/>
          <w:iCs/>
          <w:color w:val="0070C0"/>
        </w:rPr>
        <w:t>Evan Cayetano (</w:t>
      </w:r>
      <w:hyperlink r:id="rId17" w:history="1">
        <w:r w:rsidR="00DD6F06" w:rsidRPr="00DD6F06">
          <w:rPr>
            <w:rStyle w:val="Hyperlink"/>
            <w:rFonts w:asciiTheme="minorHAnsi" w:hAnsiTheme="minorHAnsi" w:cstheme="minorBidi"/>
            <w:i/>
            <w:iCs/>
          </w:rPr>
          <w:t>evanc@iadb.org</w:t>
        </w:r>
      </w:hyperlink>
      <w:r w:rsidR="00DD6F06" w:rsidRPr="00DD6F06">
        <w:rPr>
          <w:rFonts w:asciiTheme="minorHAnsi" w:hAnsiTheme="minorHAnsi" w:cstheme="minorBidi"/>
          <w:i/>
          <w:iCs/>
          <w:color w:val="0070C0"/>
        </w:rPr>
        <w:t>) and Marle Reyes Pantoja (</w:t>
      </w:r>
      <w:hyperlink r:id="rId18" w:history="1">
        <w:r w:rsidR="00DD6F06" w:rsidRPr="00193AAF">
          <w:rPr>
            <w:rStyle w:val="Hyperlink"/>
            <w:rFonts w:asciiTheme="minorHAnsi" w:hAnsiTheme="minorHAnsi" w:cstheme="minorBidi"/>
            <w:i/>
            <w:iCs/>
          </w:rPr>
          <w:t>marler@iadb.org</w:t>
        </w:r>
      </w:hyperlink>
      <w:r w:rsidR="00DD6F06" w:rsidRPr="00DD6F06">
        <w:rPr>
          <w:rFonts w:asciiTheme="minorHAnsi" w:hAnsiTheme="minorHAnsi" w:cstheme="minorBidi"/>
          <w:i/>
          <w:iCs/>
          <w:color w:val="0070C0"/>
        </w:rPr>
        <w:t>)</w:t>
      </w:r>
      <w:r w:rsidR="00DD6F06">
        <w:rPr>
          <w:rFonts w:asciiTheme="minorHAnsi" w:hAnsiTheme="minorHAnsi" w:cstheme="minorBidi"/>
          <w:i/>
          <w:iCs/>
          <w:color w:val="0070C0"/>
        </w:rPr>
        <w:t xml:space="preserve">. </w:t>
      </w:r>
    </w:p>
    <w:p w14:paraId="28992729" w14:textId="77777777" w:rsidR="00F45D9C" w:rsidRPr="00DD6F06" w:rsidRDefault="00F45D9C" w:rsidP="00F45D9C">
      <w:pPr>
        <w:suppressAutoHyphens/>
        <w:jc w:val="both"/>
        <w:rPr>
          <w:rFonts w:asciiTheme="minorHAnsi" w:hAnsiTheme="minorHAnsi" w:cstheme="minorHAnsi"/>
          <w:i/>
          <w:iCs/>
          <w:color w:val="4F81BD" w:themeColor="accent1"/>
          <w:spacing w:val="-2"/>
        </w:rPr>
      </w:pPr>
    </w:p>
    <w:p w14:paraId="1680211F" w14:textId="77777777" w:rsidR="00F45D9C" w:rsidRPr="00DD6F06" w:rsidRDefault="00F45D9C" w:rsidP="00F45D9C">
      <w:pPr>
        <w:spacing w:line="320" w:lineRule="atLeast"/>
        <w:jc w:val="both"/>
        <w:rPr>
          <w:rFonts w:asciiTheme="minorHAnsi" w:hAnsiTheme="minorHAnsi" w:cs="Times New Roman"/>
          <w:color w:val="auto"/>
        </w:rPr>
      </w:pPr>
    </w:p>
    <w:p w14:paraId="4C8351D7"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14:paraId="64E78C0E" w14:textId="280C8638" w:rsidR="00F45D9C" w:rsidRPr="00AE7268" w:rsidRDefault="00F45D9C" w:rsidP="2CDD2216">
      <w:pPr>
        <w:spacing w:line="320" w:lineRule="atLeast"/>
        <w:jc w:val="both"/>
        <w:rPr>
          <w:rFonts w:asciiTheme="minorHAnsi" w:hAnsiTheme="minorHAnsi" w:cstheme="minorBidi"/>
          <w:i/>
          <w:iCs/>
          <w:color w:val="0070C0"/>
        </w:rPr>
      </w:pPr>
      <w:r w:rsidRPr="2CDD2216">
        <w:rPr>
          <w:rFonts w:asciiTheme="minorHAnsi" w:hAnsiTheme="minorHAnsi" w:cstheme="minorBidi"/>
          <w:color w:val="auto"/>
        </w:rPr>
        <w:t xml:space="preserve">Division: </w:t>
      </w:r>
      <w:r w:rsidR="00DD6F06">
        <w:rPr>
          <w:rFonts w:asciiTheme="minorHAnsi" w:hAnsiTheme="minorHAnsi" w:cstheme="minorBidi"/>
          <w:color w:val="auto"/>
        </w:rPr>
        <w:t xml:space="preserve">Water </w:t>
      </w:r>
      <w:proofErr w:type="gramStart"/>
      <w:r w:rsidR="00DD6F06">
        <w:rPr>
          <w:rFonts w:asciiTheme="minorHAnsi" w:hAnsiTheme="minorHAnsi" w:cstheme="minorBidi"/>
          <w:color w:val="auto"/>
        </w:rPr>
        <w:t>And</w:t>
      </w:r>
      <w:proofErr w:type="gramEnd"/>
      <w:r w:rsidR="00DD6F06">
        <w:rPr>
          <w:rFonts w:asciiTheme="minorHAnsi" w:hAnsiTheme="minorHAnsi" w:cstheme="minorBidi"/>
          <w:color w:val="auto"/>
        </w:rPr>
        <w:t xml:space="preserve"> Sanitation</w:t>
      </w:r>
    </w:p>
    <w:p w14:paraId="21F4E4F5" w14:textId="4F615278" w:rsidR="00F45D9C" w:rsidRPr="00AE7268" w:rsidRDefault="00F45D9C"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Attn:</w:t>
      </w:r>
      <w:r w:rsidRPr="2CDD2216">
        <w:rPr>
          <w:rFonts w:asciiTheme="minorHAnsi" w:hAnsiTheme="minorHAnsi" w:cstheme="minorBidi"/>
          <w:i/>
          <w:iCs/>
          <w:color w:val="0070C0"/>
          <w:spacing w:val="-2"/>
        </w:rPr>
        <w:t xml:space="preserve"> </w:t>
      </w:r>
      <w:r w:rsidR="00DD6F06">
        <w:rPr>
          <w:rFonts w:asciiTheme="minorHAnsi" w:hAnsiTheme="minorHAnsi" w:cstheme="minorBidi"/>
          <w:i/>
          <w:iCs/>
          <w:color w:val="0070C0"/>
          <w:spacing w:val="-2"/>
        </w:rPr>
        <w:t>Evan Cayetano</w:t>
      </w:r>
      <w:r w:rsidRPr="2CDD2216">
        <w:rPr>
          <w:rFonts w:asciiTheme="minorHAnsi" w:hAnsiTheme="minorHAnsi" w:cstheme="minorBidi"/>
          <w:i/>
          <w:iCs/>
          <w:color w:val="0070C0"/>
          <w:spacing w:val="-2"/>
        </w:rPr>
        <w:t>, Program Team Leader</w:t>
      </w:r>
    </w:p>
    <w:p w14:paraId="0C7C68E9" w14:textId="4038B4B4" w:rsidR="00F45D9C" w:rsidRPr="009676A9" w:rsidRDefault="00F45D9C" w:rsidP="2CDD2216">
      <w:pPr>
        <w:suppressAutoHyphens/>
        <w:jc w:val="both"/>
        <w:rPr>
          <w:rFonts w:asciiTheme="minorHAnsi" w:hAnsiTheme="minorHAnsi" w:cstheme="minorBidi"/>
          <w:color w:val="0070C0"/>
          <w:lang w:val="pt-BR"/>
        </w:rPr>
      </w:pPr>
      <w:r w:rsidRPr="009676A9">
        <w:rPr>
          <w:rFonts w:asciiTheme="minorHAnsi" w:hAnsiTheme="minorHAnsi" w:cstheme="minorBidi"/>
          <w:spacing w:val="-2"/>
          <w:lang w:val="pt-BR"/>
        </w:rPr>
        <w:t xml:space="preserve">E-mail: </w:t>
      </w:r>
      <w:r w:rsidR="009676A9" w:rsidRPr="009676A9">
        <w:rPr>
          <w:rFonts w:asciiTheme="minorHAnsi" w:hAnsiTheme="minorHAnsi" w:cstheme="minorBidi"/>
          <w:i/>
          <w:iCs/>
          <w:color w:val="0070C0"/>
          <w:spacing w:val="-2"/>
          <w:lang w:val="pt-BR"/>
        </w:rPr>
        <w:t>e</w:t>
      </w:r>
      <w:r w:rsidR="009676A9">
        <w:rPr>
          <w:rFonts w:asciiTheme="minorHAnsi" w:hAnsiTheme="minorHAnsi" w:cstheme="minorBidi"/>
          <w:i/>
          <w:iCs/>
          <w:color w:val="0070C0"/>
          <w:spacing w:val="-2"/>
          <w:lang w:val="pt-BR"/>
        </w:rPr>
        <w:t>vanc@iadb.org</w:t>
      </w:r>
    </w:p>
    <w:p w14:paraId="1BD17ACE" w14:textId="77777777" w:rsidR="00170248" w:rsidRPr="009676A9" w:rsidRDefault="2CDD2216" w:rsidP="2CDD2216">
      <w:pPr>
        <w:spacing w:line="320" w:lineRule="atLeast"/>
        <w:jc w:val="both"/>
        <w:rPr>
          <w:rFonts w:asciiTheme="minorHAnsi" w:hAnsiTheme="minorHAnsi" w:cstheme="minorBidi"/>
          <w:color w:val="auto"/>
          <w:lang w:val="pt-BR"/>
        </w:rPr>
      </w:pPr>
      <w:r w:rsidRPr="009676A9">
        <w:rPr>
          <w:rFonts w:asciiTheme="minorHAnsi" w:hAnsiTheme="minorHAnsi" w:cstheme="minorBidi"/>
          <w:color w:val="auto"/>
          <w:lang w:val="pt-BR"/>
        </w:rPr>
        <w:t xml:space="preserve">Web site: </w:t>
      </w:r>
      <w:hyperlink r:id="rId19">
        <w:r w:rsidRPr="009676A9">
          <w:rPr>
            <w:rStyle w:val="Hyperlink"/>
            <w:rFonts w:asciiTheme="minorHAnsi" w:hAnsiTheme="minorHAnsi" w:cstheme="minorBidi"/>
            <w:lang w:val="pt-BR"/>
          </w:rPr>
          <w:t>www.iadb.org</w:t>
        </w:r>
      </w:hyperlink>
      <w:r w:rsidRPr="009676A9">
        <w:rPr>
          <w:rFonts w:asciiTheme="minorHAnsi" w:hAnsiTheme="minorHAnsi" w:cstheme="minorBidi"/>
          <w:color w:val="auto"/>
          <w:lang w:val="pt-BR"/>
        </w:rPr>
        <w:t xml:space="preserve"> </w:t>
      </w:r>
    </w:p>
    <w:p w14:paraId="4E60ECBE" w14:textId="77777777" w:rsidR="00170248" w:rsidRPr="009676A9" w:rsidRDefault="00170248" w:rsidP="00170248">
      <w:pPr>
        <w:rPr>
          <w:rFonts w:asciiTheme="minorHAnsi" w:hAnsiTheme="minorHAnsi" w:cs="Times New Roman"/>
          <w:lang w:val="pt-BR"/>
        </w:rPr>
      </w:pPr>
    </w:p>
    <w:p w14:paraId="7767042F" w14:textId="5C72B488" w:rsidR="00BB418F" w:rsidRDefault="00BB418F" w:rsidP="00170248">
      <w:pPr>
        <w:rPr>
          <w:rFonts w:asciiTheme="minorHAnsi" w:hAnsiTheme="minorHAnsi" w:cs="Times New Roman"/>
          <w:lang w:val="pt-BR"/>
        </w:rPr>
      </w:pPr>
      <w:r>
        <w:rPr>
          <w:rFonts w:asciiTheme="minorHAnsi" w:hAnsiTheme="minorHAnsi" w:cs="Times New Roman"/>
          <w:lang w:val="pt-BR"/>
        </w:rPr>
        <w:br w:type="page"/>
      </w:r>
    </w:p>
    <w:p w14:paraId="11447181" w14:textId="77777777" w:rsidR="00580826" w:rsidRPr="00580826" w:rsidRDefault="00580826" w:rsidP="00580826">
      <w:pPr>
        <w:jc w:val="center"/>
        <w:rPr>
          <w:b/>
          <w:sz w:val="22"/>
          <w:szCs w:val="22"/>
        </w:rPr>
      </w:pPr>
      <w:bookmarkStart w:id="1" w:name="_Summary_of_Terms"/>
      <w:bookmarkEnd w:id="1"/>
      <w:r w:rsidRPr="00580826">
        <w:rPr>
          <w:b/>
          <w:sz w:val="22"/>
          <w:szCs w:val="22"/>
        </w:rPr>
        <w:lastRenderedPageBreak/>
        <w:t>Terms of Reference</w:t>
      </w:r>
    </w:p>
    <w:p w14:paraId="09C31EDC" w14:textId="77777777" w:rsidR="00580826" w:rsidRPr="00580826" w:rsidRDefault="00580826" w:rsidP="00580826">
      <w:pPr>
        <w:jc w:val="both"/>
        <w:rPr>
          <w:b/>
          <w:sz w:val="22"/>
          <w:szCs w:val="22"/>
        </w:rPr>
      </w:pPr>
    </w:p>
    <w:p w14:paraId="1D838BDB" w14:textId="77777777" w:rsidR="00580826" w:rsidRPr="00580826" w:rsidRDefault="00580826" w:rsidP="00580826">
      <w:pPr>
        <w:jc w:val="center"/>
        <w:rPr>
          <w:b/>
          <w:sz w:val="22"/>
          <w:szCs w:val="22"/>
        </w:rPr>
      </w:pPr>
      <w:r w:rsidRPr="00580826">
        <w:rPr>
          <w:b/>
          <w:sz w:val="22"/>
          <w:szCs w:val="22"/>
        </w:rPr>
        <w:t xml:space="preserve">Pollution Risk Assessment of La </w:t>
      </w:r>
      <w:proofErr w:type="spellStart"/>
      <w:r w:rsidRPr="00580826">
        <w:rPr>
          <w:b/>
          <w:sz w:val="22"/>
          <w:szCs w:val="22"/>
        </w:rPr>
        <w:t>Vigilantia</w:t>
      </w:r>
      <w:proofErr w:type="spellEnd"/>
    </w:p>
    <w:p w14:paraId="5A99114C" w14:textId="77777777" w:rsidR="00580826" w:rsidRPr="00580826" w:rsidRDefault="00580826" w:rsidP="00580826">
      <w:pPr>
        <w:jc w:val="both"/>
        <w:rPr>
          <w:b/>
          <w:sz w:val="22"/>
          <w:szCs w:val="22"/>
        </w:rPr>
      </w:pPr>
    </w:p>
    <w:p w14:paraId="3D39680D" w14:textId="06414C47" w:rsidR="00580826" w:rsidRPr="00580826" w:rsidRDefault="00580826" w:rsidP="00580826">
      <w:pPr>
        <w:jc w:val="both"/>
        <w:rPr>
          <w:b/>
          <w:sz w:val="22"/>
          <w:szCs w:val="22"/>
        </w:rPr>
      </w:pPr>
      <w:r w:rsidRPr="00580826">
        <w:rPr>
          <w:b/>
          <w:sz w:val="22"/>
          <w:szCs w:val="22"/>
        </w:rPr>
        <w:t xml:space="preserve">Background </w:t>
      </w:r>
    </w:p>
    <w:p w14:paraId="1217ED5A" w14:textId="77777777" w:rsidR="00580826" w:rsidRPr="00580826" w:rsidRDefault="00580826" w:rsidP="00580826">
      <w:pPr>
        <w:jc w:val="both"/>
        <w:rPr>
          <w:b/>
          <w:sz w:val="22"/>
          <w:szCs w:val="22"/>
        </w:rPr>
      </w:pPr>
    </w:p>
    <w:p w14:paraId="5E599396" w14:textId="03190644" w:rsidR="00580826" w:rsidRDefault="00580826" w:rsidP="00580826">
      <w:pPr>
        <w:jc w:val="both"/>
        <w:rPr>
          <w:sz w:val="22"/>
          <w:szCs w:val="22"/>
        </w:rPr>
      </w:pPr>
      <w:r w:rsidRPr="00580826">
        <w:rPr>
          <w:sz w:val="22"/>
          <w:szCs w:val="22"/>
        </w:rPr>
        <w:t xml:space="preserve">The N.V. </w:t>
      </w:r>
      <w:proofErr w:type="spellStart"/>
      <w:r w:rsidRPr="00580826">
        <w:rPr>
          <w:sz w:val="22"/>
          <w:szCs w:val="22"/>
        </w:rPr>
        <w:t>Surinaamsche</w:t>
      </w:r>
      <w:proofErr w:type="spellEnd"/>
      <w:r w:rsidR="00AB7160">
        <w:rPr>
          <w:sz w:val="22"/>
          <w:szCs w:val="22"/>
        </w:rPr>
        <w:t xml:space="preserve"> </w:t>
      </w:r>
      <w:proofErr w:type="spellStart"/>
      <w:r w:rsidRPr="00580826">
        <w:rPr>
          <w:sz w:val="22"/>
          <w:szCs w:val="22"/>
        </w:rPr>
        <w:t>Waterleiding</w:t>
      </w:r>
      <w:proofErr w:type="spellEnd"/>
      <w:r w:rsidR="00AB7160">
        <w:rPr>
          <w:sz w:val="22"/>
          <w:szCs w:val="22"/>
        </w:rPr>
        <w:t xml:space="preserve"> </w:t>
      </w:r>
      <w:proofErr w:type="spellStart"/>
      <w:r w:rsidRPr="00580826">
        <w:rPr>
          <w:sz w:val="22"/>
          <w:szCs w:val="22"/>
        </w:rPr>
        <w:t>Maatschappij</w:t>
      </w:r>
      <w:proofErr w:type="spellEnd"/>
      <w:r w:rsidRPr="00580826">
        <w:rPr>
          <w:sz w:val="22"/>
          <w:szCs w:val="22"/>
        </w:rPr>
        <w:t xml:space="preserve"> (SWM, Suriname Water Company) is a state-owned utility that supplies water to approximately 91% of Suriname’s population. Other agencies with responsibilities in the water sector include: (i) the Ministry of Health, which oversees monitoring environmental health; (ii) the Ministry of Agriculture, which oversees irrigation; and (iii) the Ministry of Public Works (MPW) and the Ministry of Regional Development, which oversee drainage systems. The SWM has been working towards advancing the implementation of the US$250 million investment program established in the 2011 Water Master Plan through the ATN/SF-11374-SU. However, to manage increasing investment programs, as well as maintaining and operating the facilities to be constructed requires a strong and resilient institutional structure. Additionally, the responsibility for the supply of potable water to some coastal communities was recently transferred from the Ministry of Natural Resources (DWV/NH) to SWM. As SWM continues to take over these areas, there is an urgent need to increase its operations performance.</w:t>
      </w:r>
    </w:p>
    <w:p w14:paraId="49438DC8" w14:textId="77777777" w:rsidR="00580826" w:rsidRPr="00580826" w:rsidRDefault="00580826" w:rsidP="00580826">
      <w:pPr>
        <w:jc w:val="both"/>
        <w:rPr>
          <w:sz w:val="22"/>
          <w:szCs w:val="22"/>
        </w:rPr>
      </w:pPr>
    </w:p>
    <w:p w14:paraId="2D7FCBAB" w14:textId="3FA31E87" w:rsidR="00580826" w:rsidRDefault="00580826" w:rsidP="00580826">
      <w:pPr>
        <w:jc w:val="both"/>
        <w:rPr>
          <w:sz w:val="22"/>
          <w:szCs w:val="22"/>
        </w:rPr>
      </w:pPr>
      <w:r w:rsidRPr="00580826">
        <w:rPr>
          <w:sz w:val="22"/>
          <w:szCs w:val="22"/>
        </w:rPr>
        <w:t>The water supply in Greater Paramaribo relies almost entirely on groundwater extraction and represents about 85% of all groundwater exploitation currently in Suriname, is operating under constant challenges. The main problems include: (i) old pipes, the majority of which were laid more than 40 years ago; (ii) insufficient maintenance of the infrastructure, limited rehabilitation activities and inefficient energy use; (iii) ever increasing demand for water; (iv) lack of an integrated management information system within SWM; (v) lack of financial resources and autonomy of the SWM; (vi) uncertainty with respect to safe yield of its aquifers; and (vii) lack of comprehensive water quality monitoring system. These problems have led to gradual deterioration of the network, with high NRW levels, electromechanical inefficiencies; and saltwater intrusion in some wells.</w:t>
      </w:r>
    </w:p>
    <w:p w14:paraId="6FD6F7F5" w14:textId="77777777" w:rsidR="00580826" w:rsidRPr="00580826" w:rsidRDefault="00580826" w:rsidP="00580826">
      <w:pPr>
        <w:jc w:val="both"/>
        <w:rPr>
          <w:sz w:val="22"/>
          <w:szCs w:val="22"/>
        </w:rPr>
      </w:pPr>
    </w:p>
    <w:p w14:paraId="1AB5215C" w14:textId="24F366D2" w:rsidR="00580826" w:rsidRDefault="00580826" w:rsidP="00580826">
      <w:pPr>
        <w:jc w:val="both"/>
        <w:rPr>
          <w:sz w:val="22"/>
          <w:szCs w:val="22"/>
        </w:rPr>
      </w:pPr>
      <w:r w:rsidRPr="00580826">
        <w:rPr>
          <w:sz w:val="22"/>
          <w:szCs w:val="22"/>
        </w:rPr>
        <w:t>Some of the operational problems of SWM were addressed under LO 2451/OC-SU (SU-L1018) Water Supply Infrastructure Rehabilitation resulting in increased household connections, replacement of some aged pipes, reduction NRW to a limited extent, improvement in energy efficiency, and institutional strengthening. Under ATN/OC-14410-SU (</w:t>
      </w:r>
      <w:bookmarkStart w:id="2" w:name="_Hlk515700227"/>
      <w:r w:rsidRPr="00580826">
        <w:rPr>
          <w:sz w:val="22"/>
          <w:szCs w:val="22"/>
        </w:rPr>
        <w:t>Hydrogeological Assessment of the Coastal Aquifer in Suriname</w:t>
      </w:r>
      <w:bookmarkEnd w:id="2"/>
      <w:r w:rsidRPr="00580826">
        <w:rPr>
          <w:sz w:val="22"/>
          <w:szCs w:val="22"/>
        </w:rPr>
        <w:t xml:space="preserve"> – HACAS) SWM successfully executed the assessment of the aquifer potential and groundwater level of the Coastal aquifer in Suriname, but there is need for a complementary pollution risk assessment and to consolidate SWM groundwater management capacities. Since mining activities have taken place in the </w:t>
      </w:r>
      <w:proofErr w:type="spellStart"/>
      <w:r w:rsidRPr="00580826">
        <w:rPr>
          <w:sz w:val="22"/>
          <w:szCs w:val="22"/>
        </w:rPr>
        <w:t>Afobakka</w:t>
      </w:r>
      <w:proofErr w:type="spellEnd"/>
      <w:r w:rsidRPr="00580826">
        <w:rPr>
          <w:sz w:val="22"/>
          <w:szCs w:val="22"/>
        </w:rPr>
        <w:t xml:space="preserve"> area, specifically the La </w:t>
      </w:r>
      <w:proofErr w:type="spellStart"/>
      <w:r w:rsidRPr="00580826">
        <w:rPr>
          <w:sz w:val="22"/>
          <w:szCs w:val="22"/>
        </w:rPr>
        <w:t>Vigilantia</w:t>
      </w:r>
      <w:proofErr w:type="spellEnd"/>
      <w:r w:rsidRPr="00580826">
        <w:rPr>
          <w:sz w:val="22"/>
          <w:szCs w:val="22"/>
        </w:rPr>
        <w:t xml:space="preserve"> area, there is a concern that the ground water aquifers have been contaminated, which can be further increased by future ground water extractions by the SWM in the area. </w:t>
      </w:r>
    </w:p>
    <w:p w14:paraId="28BC40A9" w14:textId="77777777" w:rsidR="00580826" w:rsidRPr="00580826" w:rsidRDefault="00580826" w:rsidP="00580826">
      <w:pPr>
        <w:jc w:val="both"/>
        <w:rPr>
          <w:sz w:val="22"/>
          <w:szCs w:val="22"/>
        </w:rPr>
      </w:pPr>
    </w:p>
    <w:p w14:paraId="31CD8FC7" w14:textId="77777777" w:rsidR="00580826" w:rsidRPr="00580826" w:rsidRDefault="00580826" w:rsidP="00580826">
      <w:pPr>
        <w:jc w:val="both"/>
        <w:rPr>
          <w:sz w:val="22"/>
          <w:szCs w:val="22"/>
        </w:rPr>
      </w:pPr>
      <w:r w:rsidRPr="00580826">
        <w:rPr>
          <w:sz w:val="22"/>
          <w:szCs w:val="22"/>
        </w:rPr>
        <w:t>In its attempt to address this need, the Government of Suriname requested technical support from the IDB.  Under the framework of the Technical Cooperation (SU-T1102) for Institutional and Operational Strengthening the Bank intends to address the need to continue strengthening SWM groundwater management capacities and risk pollution control. The accomplishment of terms of reference will contribute SWM attaining the TC objectives.</w:t>
      </w:r>
    </w:p>
    <w:p w14:paraId="36119877" w14:textId="590959FA" w:rsidR="00580826" w:rsidRDefault="00580826" w:rsidP="00580826">
      <w:pPr>
        <w:jc w:val="both"/>
        <w:rPr>
          <w:sz w:val="22"/>
          <w:szCs w:val="22"/>
        </w:rPr>
      </w:pPr>
    </w:p>
    <w:p w14:paraId="56CDA9B4" w14:textId="77777777" w:rsidR="00580826" w:rsidRPr="00580826" w:rsidRDefault="00580826" w:rsidP="00580826">
      <w:pPr>
        <w:jc w:val="both"/>
        <w:rPr>
          <w:sz w:val="22"/>
          <w:szCs w:val="22"/>
        </w:rPr>
      </w:pPr>
    </w:p>
    <w:p w14:paraId="5C12D888" w14:textId="77777777" w:rsidR="00580826" w:rsidRPr="00580826" w:rsidRDefault="00580826" w:rsidP="00580826">
      <w:pPr>
        <w:jc w:val="both"/>
        <w:rPr>
          <w:sz w:val="22"/>
          <w:szCs w:val="22"/>
        </w:rPr>
      </w:pPr>
      <w:r w:rsidRPr="00580826">
        <w:rPr>
          <w:rFonts w:eastAsia="Times New Roman"/>
          <w:b/>
          <w:sz w:val="22"/>
          <w:szCs w:val="22"/>
        </w:rPr>
        <w:t>Objective(s) of Consultancy</w:t>
      </w:r>
    </w:p>
    <w:p w14:paraId="5A09C84D" w14:textId="77777777" w:rsidR="00580826" w:rsidRPr="00580826" w:rsidRDefault="00580826" w:rsidP="00580826">
      <w:pPr>
        <w:tabs>
          <w:tab w:val="num" w:pos="2160"/>
        </w:tabs>
        <w:jc w:val="both"/>
        <w:rPr>
          <w:sz w:val="22"/>
          <w:szCs w:val="22"/>
        </w:rPr>
      </w:pPr>
      <w:r w:rsidRPr="00580826">
        <w:rPr>
          <w:sz w:val="22"/>
          <w:szCs w:val="22"/>
        </w:rPr>
        <w:t xml:space="preserve">The objective of this consultancy is to conduct a comprehensive dedicated groundwater pollution risk assessment analysis and to present modelling scenarios to evaluate vulnerability of the </w:t>
      </w:r>
      <w:proofErr w:type="spellStart"/>
      <w:r w:rsidRPr="00580826">
        <w:rPr>
          <w:sz w:val="22"/>
          <w:szCs w:val="22"/>
        </w:rPr>
        <w:t>Zanderij</w:t>
      </w:r>
      <w:proofErr w:type="spellEnd"/>
      <w:r w:rsidRPr="00580826">
        <w:rPr>
          <w:sz w:val="22"/>
          <w:szCs w:val="22"/>
        </w:rPr>
        <w:t xml:space="preserve"> aquifer</w:t>
      </w:r>
      <w:r w:rsidRPr="00580826">
        <w:rPr>
          <w:rStyle w:val="FootnoteReference"/>
          <w:sz w:val="22"/>
          <w:szCs w:val="22"/>
        </w:rPr>
        <w:footnoteReference w:id="1"/>
      </w:r>
      <w:r w:rsidRPr="00580826">
        <w:rPr>
          <w:sz w:val="22"/>
          <w:szCs w:val="22"/>
        </w:rPr>
        <w:t xml:space="preserve">; and to conduct activities to strengthen the SWM’s capacity on groundwater management and pollution risks assessments. </w:t>
      </w:r>
    </w:p>
    <w:p w14:paraId="44560538" w14:textId="2AF44F16" w:rsidR="00580826" w:rsidRDefault="00580826" w:rsidP="00580826">
      <w:pPr>
        <w:jc w:val="both"/>
        <w:rPr>
          <w:sz w:val="22"/>
          <w:szCs w:val="22"/>
        </w:rPr>
      </w:pPr>
    </w:p>
    <w:p w14:paraId="798AB9A8" w14:textId="77777777" w:rsidR="00580826" w:rsidRPr="00580826" w:rsidRDefault="00580826" w:rsidP="00580826">
      <w:pPr>
        <w:jc w:val="both"/>
        <w:rPr>
          <w:sz w:val="22"/>
          <w:szCs w:val="22"/>
        </w:rPr>
      </w:pPr>
    </w:p>
    <w:p w14:paraId="3313079E" w14:textId="77777777" w:rsidR="00580826" w:rsidRPr="00580826" w:rsidRDefault="00580826" w:rsidP="00580826">
      <w:pPr>
        <w:jc w:val="both"/>
        <w:rPr>
          <w:rFonts w:eastAsia="Times New Roman"/>
          <w:b/>
          <w:sz w:val="22"/>
          <w:szCs w:val="22"/>
        </w:rPr>
      </w:pPr>
      <w:r w:rsidRPr="00580826">
        <w:rPr>
          <w:rFonts w:eastAsia="Times New Roman"/>
          <w:b/>
          <w:sz w:val="22"/>
          <w:szCs w:val="22"/>
        </w:rPr>
        <w:t>Scope of Services</w:t>
      </w:r>
    </w:p>
    <w:p w14:paraId="7C17FCCE" w14:textId="30550586" w:rsidR="00580826" w:rsidRDefault="00580826" w:rsidP="00580826">
      <w:pPr>
        <w:jc w:val="both"/>
        <w:rPr>
          <w:sz w:val="22"/>
          <w:szCs w:val="22"/>
        </w:rPr>
      </w:pPr>
      <w:r w:rsidRPr="00580826">
        <w:rPr>
          <w:sz w:val="22"/>
          <w:szCs w:val="22"/>
        </w:rPr>
        <w:t xml:space="preserve">The assignment will include evaluating groundwater pollution and assessing the vulnerability, hazards, and risks of pollution on groundwater resources in the </w:t>
      </w:r>
      <w:proofErr w:type="spellStart"/>
      <w:r w:rsidRPr="00580826">
        <w:rPr>
          <w:sz w:val="22"/>
          <w:szCs w:val="22"/>
        </w:rPr>
        <w:t>Zanderij</w:t>
      </w:r>
      <w:proofErr w:type="spellEnd"/>
      <w:r w:rsidRPr="00580826">
        <w:rPr>
          <w:sz w:val="22"/>
          <w:szCs w:val="22"/>
        </w:rPr>
        <w:t xml:space="preserve"> aquifer at La </w:t>
      </w:r>
      <w:proofErr w:type="spellStart"/>
      <w:r w:rsidRPr="00580826">
        <w:rPr>
          <w:sz w:val="22"/>
          <w:szCs w:val="22"/>
        </w:rPr>
        <w:t>Vigilantia</w:t>
      </w:r>
      <w:proofErr w:type="spellEnd"/>
      <w:r w:rsidRPr="00580826">
        <w:rPr>
          <w:sz w:val="22"/>
          <w:szCs w:val="22"/>
        </w:rPr>
        <w:t xml:space="preserve">. In addition, the consultant will build upon the model recently developed under the Hydrogeological Assessment of the Coastal Aquifers </w:t>
      </w:r>
      <w:r w:rsidRPr="00580826">
        <w:rPr>
          <w:sz w:val="22"/>
          <w:szCs w:val="22"/>
        </w:rPr>
        <w:lastRenderedPageBreak/>
        <w:t>in Suriname (HACAS)</w:t>
      </w:r>
      <w:r w:rsidRPr="00580826">
        <w:rPr>
          <w:rStyle w:val="FootnoteReference"/>
          <w:sz w:val="22"/>
          <w:szCs w:val="22"/>
        </w:rPr>
        <w:footnoteReference w:id="2"/>
      </w:r>
      <w:r w:rsidRPr="00580826">
        <w:rPr>
          <w:sz w:val="22"/>
          <w:szCs w:val="22"/>
        </w:rPr>
        <w:t xml:space="preserve">, to demonstrate pollutants migration scenarios in the </w:t>
      </w:r>
      <w:proofErr w:type="spellStart"/>
      <w:r w:rsidRPr="00580826">
        <w:rPr>
          <w:sz w:val="22"/>
          <w:szCs w:val="22"/>
        </w:rPr>
        <w:t>Zanderij</w:t>
      </w:r>
      <w:proofErr w:type="spellEnd"/>
      <w:r w:rsidRPr="00580826">
        <w:rPr>
          <w:sz w:val="22"/>
          <w:szCs w:val="22"/>
        </w:rPr>
        <w:t xml:space="preserve"> aquifer at La </w:t>
      </w:r>
      <w:proofErr w:type="spellStart"/>
      <w:r w:rsidRPr="00580826">
        <w:rPr>
          <w:sz w:val="22"/>
          <w:szCs w:val="22"/>
        </w:rPr>
        <w:t>Vigilantia</w:t>
      </w:r>
      <w:proofErr w:type="spellEnd"/>
      <w:r w:rsidRPr="00580826">
        <w:rPr>
          <w:sz w:val="22"/>
          <w:szCs w:val="22"/>
        </w:rPr>
        <w:t xml:space="preserve"> and identify management or mitigation procedures in a robust and quantifiable framework and thus inform decision-making for SWM. </w:t>
      </w:r>
    </w:p>
    <w:p w14:paraId="48C1B388" w14:textId="77777777" w:rsidR="00580826" w:rsidRPr="00580826" w:rsidRDefault="00580826" w:rsidP="00580826">
      <w:pPr>
        <w:jc w:val="both"/>
        <w:rPr>
          <w:sz w:val="22"/>
          <w:szCs w:val="22"/>
        </w:rPr>
      </w:pPr>
    </w:p>
    <w:p w14:paraId="3F4A64D2" w14:textId="5F5A9ACB" w:rsidR="00580826" w:rsidRPr="00580826" w:rsidRDefault="00580826" w:rsidP="00580826">
      <w:pPr>
        <w:jc w:val="both"/>
        <w:rPr>
          <w:sz w:val="22"/>
          <w:szCs w:val="22"/>
        </w:rPr>
      </w:pPr>
      <w:r w:rsidRPr="00580826">
        <w:rPr>
          <w:sz w:val="22"/>
          <w:szCs w:val="22"/>
        </w:rPr>
        <w:t xml:space="preserve">The activities will include water quality sampling/monitoring and analysis </w:t>
      </w:r>
      <w:r w:rsidR="00352121">
        <w:rPr>
          <w:sz w:val="22"/>
          <w:szCs w:val="22"/>
        </w:rPr>
        <w:t xml:space="preserve">(10 -15 wells during wet and dry season) </w:t>
      </w:r>
      <w:r w:rsidRPr="00580826">
        <w:rPr>
          <w:sz w:val="22"/>
          <w:szCs w:val="22"/>
        </w:rPr>
        <w:t xml:space="preserve">and hydrologic flows modelling. The proposed assessment will also improve SWM decision-making capabilities to manage water resources and to protect and guarantee a reliable and affordable provision of potable water in the area La </w:t>
      </w:r>
      <w:proofErr w:type="spellStart"/>
      <w:r w:rsidRPr="00580826">
        <w:rPr>
          <w:sz w:val="22"/>
          <w:szCs w:val="22"/>
        </w:rPr>
        <w:t>Vigilantia</w:t>
      </w:r>
      <w:proofErr w:type="spellEnd"/>
      <w:r w:rsidRPr="00580826">
        <w:rPr>
          <w:sz w:val="22"/>
          <w:szCs w:val="22"/>
        </w:rPr>
        <w:t xml:space="preserve">. </w:t>
      </w:r>
    </w:p>
    <w:p w14:paraId="1191EECC" w14:textId="77777777" w:rsidR="00580826" w:rsidRDefault="00580826" w:rsidP="00580826">
      <w:pPr>
        <w:pStyle w:val="NoSpacing"/>
        <w:spacing w:after="200"/>
        <w:jc w:val="both"/>
        <w:rPr>
          <w:rFonts w:ascii="Arial" w:hAnsi="Arial" w:cs="Arial"/>
        </w:rPr>
      </w:pPr>
    </w:p>
    <w:p w14:paraId="7FEB20B6" w14:textId="4A53A749" w:rsidR="00580826" w:rsidRDefault="00580826" w:rsidP="00580826">
      <w:pPr>
        <w:jc w:val="both"/>
        <w:rPr>
          <w:sz w:val="22"/>
          <w:szCs w:val="22"/>
        </w:rPr>
      </w:pPr>
    </w:p>
    <w:p w14:paraId="7A52D6BB" w14:textId="3602AC86" w:rsidR="00580826" w:rsidRDefault="00580826" w:rsidP="00580826">
      <w:pPr>
        <w:jc w:val="both"/>
        <w:rPr>
          <w:b/>
          <w:sz w:val="22"/>
          <w:szCs w:val="22"/>
        </w:rPr>
      </w:pPr>
      <w:r w:rsidRPr="00580826">
        <w:rPr>
          <w:b/>
          <w:sz w:val="22"/>
          <w:szCs w:val="22"/>
        </w:rPr>
        <w:t>Expected Deliverables</w:t>
      </w:r>
    </w:p>
    <w:p w14:paraId="1FA1528B" w14:textId="77777777" w:rsidR="00AB7160" w:rsidRPr="00580826" w:rsidRDefault="00AB7160" w:rsidP="00580826">
      <w:pPr>
        <w:jc w:val="both"/>
        <w:rPr>
          <w:b/>
          <w:sz w:val="22"/>
          <w:szCs w:val="22"/>
        </w:rPr>
      </w:pPr>
    </w:p>
    <w:p w14:paraId="5704C46F" w14:textId="0AE86B60" w:rsidR="00580826" w:rsidRDefault="00580826" w:rsidP="00580826">
      <w:pPr>
        <w:pStyle w:val="ListParagraph"/>
        <w:numPr>
          <w:ilvl w:val="0"/>
          <w:numId w:val="36"/>
        </w:numPr>
        <w:jc w:val="both"/>
        <w:rPr>
          <w:rFonts w:ascii="Arial" w:hAnsi="Arial" w:cs="Arial"/>
        </w:rPr>
      </w:pPr>
      <w:r w:rsidRPr="00580826">
        <w:rPr>
          <w:rFonts w:ascii="Arial" w:hAnsi="Arial" w:cs="Arial"/>
          <w:b/>
        </w:rPr>
        <w:t>Deliverable 1. Workplan</w:t>
      </w:r>
      <w:r w:rsidRPr="00580826">
        <w:rPr>
          <w:rFonts w:ascii="Arial" w:hAnsi="Arial" w:cs="Arial"/>
        </w:rPr>
        <w:t>. The Consultant will prepare a detailed workplan for the assignment. The workplan will include a brief assessment of available information, data gaps, proposed methods, and the proposed short-course training for SWM staff.</w:t>
      </w:r>
    </w:p>
    <w:p w14:paraId="116C034A" w14:textId="77777777" w:rsidR="00AB7160" w:rsidRPr="00580826" w:rsidRDefault="00AB7160" w:rsidP="00AB7160">
      <w:pPr>
        <w:pStyle w:val="ListParagraph"/>
        <w:jc w:val="both"/>
        <w:rPr>
          <w:rFonts w:ascii="Arial" w:hAnsi="Arial" w:cs="Arial"/>
        </w:rPr>
      </w:pPr>
    </w:p>
    <w:p w14:paraId="6CF0C3F1" w14:textId="77C6F74F" w:rsidR="00580826" w:rsidRPr="00AB7160" w:rsidRDefault="00580826" w:rsidP="00580826">
      <w:pPr>
        <w:pStyle w:val="ListParagraph"/>
        <w:numPr>
          <w:ilvl w:val="0"/>
          <w:numId w:val="36"/>
        </w:numPr>
        <w:jc w:val="both"/>
        <w:rPr>
          <w:rFonts w:ascii="Arial" w:hAnsi="Arial" w:cs="Arial"/>
          <w:u w:val="single"/>
        </w:rPr>
      </w:pPr>
      <w:r w:rsidRPr="00580826">
        <w:rPr>
          <w:rFonts w:ascii="Arial" w:hAnsi="Arial" w:cs="Arial"/>
          <w:b/>
        </w:rPr>
        <w:t xml:space="preserve">Deliverable 2. First Progress Report. </w:t>
      </w:r>
      <w:r w:rsidRPr="00580826">
        <w:rPr>
          <w:rFonts w:ascii="Arial" w:hAnsi="Arial" w:cs="Arial"/>
        </w:rPr>
        <w:t xml:space="preserve">This will consist of the Initial Pollution Assessment of </w:t>
      </w:r>
      <w:proofErr w:type="spellStart"/>
      <w:r w:rsidRPr="00580826">
        <w:rPr>
          <w:rFonts w:ascii="Arial" w:hAnsi="Arial" w:cs="Arial"/>
        </w:rPr>
        <w:t>Zanderij</w:t>
      </w:r>
      <w:proofErr w:type="spellEnd"/>
      <w:r w:rsidRPr="00580826">
        <w:rPr>
          <w:rFonts w:ascii="Arial" w:hAnsi="Arial" w:cs="Arial"/>
        </w:rPr>
        <w:t xml:space="preserve"> Aquifer and the groundwater model scenarios. The consultant will prepare an assessment report for the </w:t>
      </w:r>
      <w:proofErr w:type="spellStart"/>
      <w:r w:rsidRPr="00580826">
        <w:rPr>
          <w:rFonts w:ascii="Arial" w:hAnsi="Arial" w:cs="Arial"/>
        </w:rPr>
        <w:t>Zanderij</w:t>
      </w:r>
      <w:proofErr w:type="spellEnd"/>
      <w:r w:rsidRPr="00580826">
        <w:rPr>
          <w:rFonts w:ascii="Arial" w:hAnsi="Arial" w:cs="Arial"/>
        </w:rPr>
        <w:t xml:space="preserve"> aquifer based on the analysis of the information available and other information developed by the consultant. The assessment should include GIS-based maps of existing wells, pollution sources and other relevant information as well as the proposed model and evaluation of relevant scenarios defined in coordination with SWM. The report will be reviewed by SWM and IDB.</w:t>
      </w:r>
    </w:p>
    <w:p w14:paraId="270A9234" w14:textId="77777777" w:rsidR="00AB7160" w:rsidRPr="00580826" w:rsidRDefault="00AB7160" w:rsidP="00AB7160">
      <w:pPr>
        <w:pStyle w:val="ListParagraph"/>
        <w:jc w:val="both"/>
        <w:rPr>
          <w:rFonts w:ascii="Arial" w:hAnsi="Arial" w:cs="Arial"/>
          <w:u w:val="single"/>
        </w:rPr>
      </w:pPr>
    </w:p>
    <w:p w14:paraId="624E2DAD" w14:textId="1B873F13" w:rsidR="00AB7160" w:rsidRDefault="00580826" w:rsidP="00AB7160">
      <w:pPr>
        <w:pStyle w:val="ListParagraph"/>
        <w:numPr>
          <w:ilvl w:val="0"/>
          <w:numId w:val="36"/>
        </w:numPr>
        <w:jc w:val="both"/>
        <w:rPr>
          <w:rFonts w:ascii="Arial" w:hAnsi="Arial" w:cs="Arial"/>
        </w:rPr>
      </w:pPr>
      <w:r w:rsidRPr="00580826">
        <w:rPr>
          <w:rFonts w:ascii="Arial" w:hAnsi="Arial" w:cs="Arial"/>
          <w:b/>
        </w:rPr>
        <w:t>Deliverable 3. Second Progress Report</w:t>
      </w:r>
      <w:r w:rsidRPr="00580826">
        <w:rPr>
          <w:rFonts w:ascii="Arial" w:hAnsi="Arial" w:cs="Arial"/>
        </w:rPr>
        <w:t xml:space="preserve">. This will include the revised First Progress Report and the proposed </w:t>
      </w:r>
      <w:proofErr w:type="spellStart"/>
      <w:r w:rsidRPr="00580826">
        <w:rPr>
          <w:rFonts w:ascii="Arial" w:hAnsi="Arial" w:cs="Arial"/>
        </w:rPr>
        <w:t>Zanderij</w:t>
      </w:r>
      <w:proofErr w:type="spellEnd"/>
      <w:r w:rsidRPr="00580826">
        <w:rPr>
          <w:rFonts w:ascii="Arial" w:hAnsi="Arial" w:cs="Arial"/>
        </w:rPr>
        <w:t xml:space="preserve"> Management Action Plan. The Action Plan will include a monitoring plan, identification of relevant monitoring wells, parameters of interest, frequency, and will recommend levels of emergency and response based on levels of pollution. The action plan should also include recommended measures for the reduction or remediation of pollution. The report will be reviewed by SWM and IDB.</w:t>
      </w:r>
    </w:p>
    <w:p w14:paraId="2E8B84BC" w14:textId="77777777" w:rsidR="00D8222F" w:rsidRPr="00D8222F" w:rsidRDefault="00D8222F" w:rsidP="00D8222F">
      <w:pPr>
        <w:jc w:val="both"/>
      </w:pPr>
    </w:p>
    <w:p w14:paraId="0AD11324" w14:textId="57653807" w:rsidR="00580826" w:rsidRDefault="00580826" w:rsidP="00580826">
      <w:pPr>
        <w:pStyle w:val="ListParagraph"/>
        <w:numPr>
          <w:ilvl w:val="0"/>
          <w:numId w:val="36"/>
        </w:numPr>
        <w:jc w:val="both"/>
        <w:rPr>
          <w:rFonts w:ascii="Arial" w:hAnsi="Arial" w:cs="Arial"/>
        </w:rPr>
      </w:pPr>
      <w:r w:rsidRPr="00580826">
        <w:rPr>
          <w:rFonts w:ascii="Arial" w:hAnsi="Arial" w:cs="Arial"/>
          <w:b/>
        </w:rPr>
        <w:t>Deliverable 4. Short-course training to SWM staff</w:t>
      </w:r>
      <w:r w:rsidRPr="00580826">
        <w:rPr>
          <w:rFonts w:ascii="Arial" w:hAnsi="Arial" w:cs="Arial"/>
        </w:rPr>
        <w:t>. Course materials will be provided by the Consultant. Training certificates should be provided to staff successfully completing the course.</w:t>
      </w:r>
    </w:p>
    <w:p w14:paraId="6123407A" w14:textId="77777777" w:rsidR="00F96C7D" w:rsidRPr="00580826" w:rsidRDefault="00F96C7D" w:rsidP="00F96C7D">
      <w:pPr>
        <w:pStyle w:val="ListParagraph"/>
        <w:jc w:val="both"/>
        <w:rPr>
          <w:rFonts w:ascii="Arial" w:hAnsi="Arial" w:cs="Arial"/>
        </w:rPr>
      </w:pPr>
    </w:p>
    <w:p w14:paraId="11D7F1C5" w14:textId="77777777" w:rsidR="00580826" w:rsidRPr="00580826" w:rsidRDefault="00580826" w:rsidP="00580826">
      <w:pPr>
        <w:pStyle w:val="ListParagraph"/>
        <w:numPr>
          <w:ilvl w:val="0"/>
          <w:numId w:val="36"/>
        </w:numPr>
        <w:jc w:val="both"/>
        <w:rPr>
          <w:rFonts w:ascii="Arial" w:hAnsi="Arial" w:cs="Arial"/>
        </w:rPr>
      </w:pPr>
      <w:r w:rsidRPr="00580826">
        <w:rPr>
          <w:rFonts w:ascii="Arial" w:hAnsi="Arial" w:cs="Arial"/>
          <w:b/>
        </w:rPr>
        <w:t>Deliverable 5. Final Report and findings presentation to SWM</w:t>
      </w:r>
      <w:r w:rsidRPr="00580826">
        <w:rPr>
          <w:rFonts w:ascii="Arial" w:hAnsi="Arial" w:cs="Arial"/>
        </w:rPr>
        <w:t xml:space="preserve">. The final report will include the revised </w:t>
      </w:r>
      <w:proofErr w:type="spellStart"/>
      <w:r w:rsidRPr="00580826">
        <w:rPr>
          <w:rFonts w:ascii="Arial" w:hAnsi="Arial" w:cs="Arial"/>
        </w:rPr>
        <w:t>Zanderij</w:t>
      </w:r>
      <w:proofErr w:type="spellEnd"/>
      <w:r w:rsidRPr="00580826">
        <w:rPr>
          <w:rFonts w:ascii="Arial" w:hAnsi="Arial" w:cs="Arial"/>
        </w:rPr>
        <w:t xml:space="preserve"> Pollution Assessment and the revised Management Action Plan, as well as delivering the presentation to SWM.</w:t>
      </w:r>
    </w:p>
    <w:p w14:paraId="2462D40E" w14:textId="77777777" w:rsidR="00580826" w:rsidRPr="00580826" w:rsidRDefault="00580826" w:rsidP="00580826">
      <w:pPr>
        <w:jc w:val="both"/>
        <w:rPr>
          <w:sz w:val="22"/>
          <w:szCs w:val="22"/>
          <w:u w:val="single"/>
        </w:rPr>
      </w:pPr>
    </w:p>
    <w:p w14:paraId="7E6DED7B" w14:textId="77777777" w:rsidR="00580826" w:rsidRPr="00580826" w:rsidRDefault="00580826" w:rsidP="00580826">
      <w:pPr>
        <w:pStyle w:val="NoSpacing"/>
        <w:spacing w:after="200"/>
        <w:jc w:val="both"/>
        <w:rPr>
          <w:rFonts w:ascii="Arial" w:hAnsi="Arial" w:cs="Arial"/>
          <w:b/>
        </w:rPr>
      </w:pPr>
      <w:r w:rsidRPr="00580826">
        <w:rPr>
          <w:rFonts w:ascii="Arial" w:hAnsi="Arial" w:cs="Arial"/>
          <w:b/>
        </w:rPr>
        <w:t>Characteristics of the Consultancy</w:t>
      </w:r>
    </w:p>
    <w:p w14:paraId="5A3C8410" w14:textId="77777777" w:rsidR="00580826" w:rsidRPr="00580826" w:rsidRDefault="00580826" w:rsidP="00580826">
      <w:pPr>
        <w:pStyle w:val="NoSpacing"/>
        <w:spacing w:after="200"/>
        <w:ind w:left="720"/>
        <w:jc w:val="both"/>
        <w:rPr>
          <w:rFonts w:ascii="Arial" w:hAnsi="Arial" w:cs="Arial"/>
        </w:rPr>
      </w:pPr>
      <w:r w:rsidRPr="00580826">
        <w:rPr>
          <w:rFonts w:ascii="Arial" w:hAnsi="Arial" w:cs="Arial"/>
          <w:b/>
        </w:rPr>
        <w:t>Type of Consultancy:</w:t>
      </w:r>
      <w:r w:rsidRPr="00580826">
        <w:rPr>
          <w:rFonts w:ascii="Arial" w:hAnsi="Arial" w:cs="Arial"/>
        </w:rPr>
        <w:t xml:space="preserve"> Consulting firm</w:t>
      </w:r>
    </w:p>
    <w:p w14:paraId="5EA347BB" w14:textId="77777777" w:rsidR="00580826" w:rsidRPr="00580826" w:rsidRDefault="00580826" w:rsidP="00580826">
      <w:pPr>
        <w:pStyle w:val="NoSpacing"/>
        <w:spacing w:after="200"/>
        <w:ind w:left="720"/>
        <w:jc w:val="both"/>
        <w:rPr>
          <w:rFonts w:ascii="Arial" w:hAnsi="Arial" w:cs="Arial"/>
          <w:b/>
        </w:rPr>
      </w:pPr>
      <w:r w:rsidRPr="00580826">
        <w:rPr>
          <w:rFonts w:ascii="Arial" w:hAnsi="Arial" w:cs="Arial"/>
          <w:b/>
        </w:rPr>
        <w:t xml:space="preserve">Procurement Method: </w:t>
      </w:r>
      <w:r w:rsidRPr="00580826">
        <w:rPr>
          <w:rFonts w:ascii="Arial" w:hAnsi="Arial" w:cs="Arial"/>
        </w:rPr>
        <w:t>Full-Selection Method</w:t>
      </w:r>
    </w:p>
    <w:p w14:paraId="3903BCAE" w14:textId="77777777" w:rsidR="00580826" w:rsidRPr="00580826" w:rsidRDefault="00580826" w:rsidP="00580826">
      <w:pPr>
        <w:pStyle w:val="NoSpacing"/>
        <w:spacing w:after="200"/>
        <w:ind w:left="720"/>
        <w:jc w:val="both"/>
        <w:rPr>
          <w:rFonts w:ascii="Arial" w:hAnsi="Arial" w:cs="Arial"/>
        </w:rPr>
      </w:pPr>
      <w:r w:rsidRPr="00580826">
        <w:rPr>
          <w:rFonts w:ascii="Arial" w:hAnsi="Arial" w:cs="Arial"/>
          <w:b/>
        </w:rPr>
        <w:t>Contract Type:</w:t>
      </w:r>
      <w:r w:rsidRPr="00580826">
        <w:rPr>
          <w:rFonts w:ascii="Arial" w:hAnsi="Arial" w:cs="Arial"/>
        </w:rPr>
        <w:t xml:space="preserve"> Lump-sum</w:t>
      </w:r>
    </w:p>
    <w:p w14:paraId="5F6A40B1" w14:textId="5274EA7E" w:rsidR="00580826" w:rsidRPr="00580826" w:rsidRDefault="00580826" w:rsidP="00580826">
      <w:pPr>
        <w:pStyle w:val="NoSpacing"/>
        <w:spacing w:after="200"/>
        <w:ind w:left="720"/>
        <w:jc w:val="both"/>
        <w:rPr>
          <w:rFonts w:ascii="Arial" w:hAnsi="Arial" w:cs="Arial"/>
        </w:rPr>
      </w:pPr>
      <w:r w:rsidRPr="00580826">
        <w:rPr>
          <w:rFonts w:ascii="Arial" w:hAnsi="Arial" w:cs="Arial"/>
          <w:b/>
        </w:rPr>
        <w:t>Start-up date, length and duration:</w:t>
      </w:r>
      <w:r w:rsidRPr="00580826">
        <w:rPr>
          <w:rFonts w:ascii="Arial" w:hAnsi="Arial" w:cs="Arial"/>
        </w:rPr>
        <w:t xml:space="preserve"> This will be a</w:t>
      </w:r>
      <w:r w:rsidR="004F6109">
        <w:rPr>
          <w:rFonts w:ascii="Arial" w:hAnsi="Arial" w:cs="Arial"/>
        </w:rPr>
        <w:t>n</w:t>
      </w:r>
      <w:r w:rsidRPr="00580826">
        <w:rPr>
          <w:rFonts w:ascii="Arial" w:hAnsi="Arial" w:cs="Arial"/>
        </w:rPr>
        <w:t xml:space="preserve"> 8 months consultancy starting </w:t>
      </w:r>
      <w:r w:rsidR="00F96C7D">
        <w:rPr>
          <w:rFonts w:ascii="Arial" w:hAnsi="Arial" w:cs="Arial"/>
        </w:rPr>
        <w:t xml:space="preserve">January </w:t>
      </w:r>
      <w:r w:rsidR="00F96C7D" w:rsidRPr="00580826">
        <w:rPr>
          <w:rFonts w:ascii="Arial" w:hAnsi="Arial" w:cs="Arial"/>
        </w:rPr>
        <w:t>2019</w:t>
      </w:r>
      <w:r w:rsidRPr="00580826">
        <w:rPr>
          <w:rFonts w:ascii="Arial" w:hAnsi="Arial" w:cs="Arial"/>
        </w:rPr>
        <w:t xml:space="preserve"> and ending </w:t>
      </w:r>
      <w:r w:rsidR="00AB7160">
        <w:rPr>
          <w:rFonts w:ascii="Arial" w:hAnsi="Arial" w:cs="Arial"/>
        </w:rPr>
        <w:t>August</w:t>
      </w:r>
      <w:r w:rsidRPr="00580826">
        <w:rPr>
          <w:rFonts w:ascii="Arial" w:hAnsi="Arial" w:cs="Arial"/>
        </w:rPr>
        <w:t xml:space="preserve"> 2019.</w:t>
      </w:r>
    </w:p>
    <w:p w14:paraId="0A40AC35" w14:textId="77777777" w:rsidR="00580826" w:rsidRPr="00580826" w:rsidRDefault="00580826" w:rsidP="00580826">
      <w:pPr>
        <w:pStyle w:val="NoSpacing"/>
        <w:spacing w:after="200"/>
        <w:ind w:left="720"/>
        <w:jc w:val="both"/>
        <w:rPr>
          <w:rFonts w:ascii="Arial" w:hAnsi="Arial" w:cs="Arial"/>
        </w:rPr>
      </w:pPr>
      <w:r w:rsidRPr="00580826">
        <w:rPr>
          <w:rFonts w:ascii="Arial" w:hAnsi="Arial" w:cs="Arial"/>
          <w:b/>
        </w:rPr>
        <w:t>Place of work:</w:t>
      </w:r>
      <w:r w:rsidRPr="00580826">
        <w:rPr>
          <w:rFonts w:ascii="Arial" w:hAnsi="Arial" w:cs="Arial"/>
        </w:rPr>
        <w:t xml:space="preserve">  Suriname and country of Consulting Firm.</w:t>
      </w:r>
    </w:p>
    <w:p w14:paraId="6E1B21ED" w14:textId="77777777" w:rsidR="00580826" w:rsidRPr="00580826" w:rsidRDefault="00580826" w:rsidP="00580826">
      <w:pPr>
        <w:pStyle w:val="NoSpacing"/>
        <w:spacing w:after="200"/>
        <w:ind w:left="720"/>
        <w:jc w:val="both"/>
        <w:rPr>
          <w:rFonts w:ascii="Arial" w:hAnsi="Arial" w:cs="Arial"/>
        </w:rPr>
      </w:pPr>
      <w:r w:rsidRPr="00580826">
        <w:rPr>
          <w:rFonts w:ascii="Arial" w:hAnsi="Arial" w:cs="Arial"/>
          <w:b/>
        </w:rPr>
        <w:lastRenderedPageBreak/>
        <w:t xml:space="preserve">Qualifications and Experience: </w:t>
      </w:r>
      <w:r w:rsidRPr="00580826">
        <w:rPr>
          <w:rFonts w:ascii="Arial" w:hAnsi="Arial" w:cs="Arial"/>
        </w:rPr>
        <w:t>International Consulting Firm with at least 15 years of experience in groundwater pollution risk assessment. Consultants should have a broad and specific knowledge of hydrogeological and geophysical surveys, ground water quality, groundwater modeling, and all relevant areas as required to undertake the key functions listed above. Previous experience in groundwater management in Suriname and proficiency in Dutch language will be an asset. The composition of the firm’s team should include the following experienced personnel as a minimum:</w:t>
      </w:r>
    </w:p>
    <w:p w14:paraId="21F1758A" w14:textId="77777777" w:rsidR="00580826" w:rsidRPr="00580826" w:rsidRDefault="00580826" w:rsidP="00580826">
      <w:pPr>
        <w:pStyle w:val="NoSpacing"/>
        <w:numPr>
          <w:ilvl w:val="0"/>
          <w:numId w:val="35"/>
        </w:numPr>
        <w:spacing w:after="200"/>
        <w:ind w:left="1440"/>
        <w:jc w:val="both"/>
        <w:rPr>
          <w:rFonts w:ascii="Arial" w:hAnsi="Arial" w:cs="Arial"/>
        </w:rPr>
      </w:pPr>
      <w:r w:rsidRPr="00580826">
        <w:rPr>
          <w:rFonts w:ascii="Arial" w:hAnsi="Arial" w:cs="Arial"/>
        </w:rPr>
        <w:t>Project Manager/ Hydrogeological Engineer</w:t>
      </w:r>
    </w:p>
    <w:p w14:paraId="4736ED19" w14:textId="77777777" w:rsidR="00580826" w:rsidRPr="00580826" w:rsidRDefault="00580826" w:rsidP="00580826">
      <w:pPr>
        <w:pStyle w:val="NoSpacing"/>
        <w:numPr>
          <w:ilvl w:val="0"/>
          <w:numId w:val="35"/>
        </w:numPr>
        <w:spacing w:after="200"/>
        <w:ind w:left="1440"/>
        <w:jc w:val="both"/>
        <w:rPr>
          <w:rFonts w:ascii="Arial" w:hAnsi="Arial" w:cs="Arial"/>
        </w:rPr>
      </w:pPr>
      <w:r w:rsidRPr="00580826">
        <w:rPr>
          <w:rFonts w:ascii="Arial" w:hAnsi="Arial" w:cs="Arial"/>
        </w:rPr>
        <w:t>Hydrogeological Modeling Specialist</w:t>
      </w:r>
    </w:p>
    <w:p w14:paraId="2132BA3E" w14:textId="77777777" w:rsidR="00580826" w:rsidRPr="00580826" w:rsidRDefault="00580826" w:rsidP="00580826">
      <w:pPr>
        <w:pStyle w:val="NoSpacing"/>
        <w:numPr>
          <w:ilvl w:val="0"/>
          <w:numId w:val="35"/>
        </w:numPr>
        <w:spacing w:after="200"/>
        <w:ind w:left="1440"/>
        <w:jc w:val="both"/>
        <w:rPr>
          <w:rFonts w:ascii="Arial" w:hAnsi="Arial" w:cs="Arial"/>
        </w:rPr>
      </w:pPr>
      <w:r w:rsidRPr="00580826">
        <w:rPr>
          <w:rFonts w:ascii="Arial" w:hAnsi="Arial" w:cs="Arial"/>
        </w:rPr>
        <w:t>Groundwater Quality Specialist</w:t>
      </w:r>
    </w:p>
    <w:p w14:paraId="3AC5DBB8" w14:textId="77777777" w:rsidR="00580826" w:rsidRPr="00580826" w:rsidRDefault="00580826" w:rsidP="00580826">
      <w:pPr>
        <w:jc w:val="both"/>
        <w:rPr>
          <w:b/>
          <w:sz w:val="22"/>
          <w:szCs w:val="22"/>
        </w:rPr>
      </w:pPr>
      <w:r w:rsidRPr="00580826">
        <w:rPr>
          <w:b/>
          <w:sz w:val="22"/>
          <w:szCs w:val="22"/>
        </w:rPr>
        <w:t>Payment Schedule:</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620"/>
      </w:tblGrid>
      <w:tr w:rsidR="00580826" w:rsidRPr="00580826" w14:paraId="6637E353" w14:textId="77777777" w:rsidTr="00722D58">
        <w:trPr>
          <w:trHeight w:val="294"/>
        </w:trPr>
        <w:tc>
          <w:tcPr>
            <w:tcW w:w="7740" w:type="dxa"/>
            <w:shd w:val="clear" w:color="auto" w:fill="auto"/>
          </w:tcPr>
          <w:p w14:paraId="538AE667" w14:textId="77777777" w:rsidR="00580826" w:rsidRPr="00580826" w:rsidRDefault="00580826" w:rsidP="00722D58">
            <w:pPr>
              <w:jc w:val="both"/>
              <w:rPr>
                <w:b/>
                <w:sz w:val="22"/>
                <w:szCs w:val="22"/>
              </w:rPr>
            </w:pPr>
            <w:r w:rsidRPr="00580826">
              <w:rPr>
                <w:b/>
                <w:sz w:val="22"/>
                <w:szCs w:val="22"/>
              </w:rPr>
              <w:t>Reports and Payment Schedule</w:t>
            </w:r>
          </w:p>
        </w:tc>
        <w:tc>
          <w:tcPr>
            <w:tcW w:w="1620" w:type="dxa"/>
            <w:shd w:val="clear" w:color="auto" w:fill="auto"/>
          </w:tcPr>
          <w:p w14:paraId="12B5DEFA" w14:textId="77777777" w:rsidR="00580826" w:rsidRPr="00580826" w:rsidRDefault="00580826" w:rsidP="00722D58">
            <w:pPr>
              <w:jc w:val="both"/>
              <w:rPr>
                <w:b/>
                <w:sz w:val="22"/>
                <w:szCs w:val="22"/>
              </w:rPr>
            </w:pPr>
            <w:r w:rsidRPr="00580826">
              <w:rPr>
                <w:b/>
                <w:sz w:val="22"/>
                <w:szCs w:val="22"/>
              </w:rPr>
              <w:t>Payment</w:t>
            </w:r>
          </w:p>
        </w:tc>
      </w:tr>
      <w:tr w:rsidR="00580826" w:rsidRPr="00580826" w14:paraId="745B4096" w14:textId="77777777" w:rsidTr="00722D58">
        <w:trPr>
          <w:trHeight w:val="294"/>
        </w:trPr>
        <w:tc>
          <w:tcPr>
            <w:tcW w:w="7740" w:type="dxa"/>
            <w:shd w:val="clear" w:color="auto" w:fill="auto"/>
          </w:tcPr>
          <w:p w14:paraId="0918E470" w14:textId="77777777" w:rsidR="00580826" w:rsidRPr="00580826" w:rsidRDefault="00580826" w:rsidP="00722D58">
            <w:pPr>
              <w:jc w:val="both"/>
              <w:rPr>
                <w:sz w:val="22"/>
                <w:szCs w:val="22"/>
              </w:rPr>
            </w:pPr>
            <w:r w:rsidRPr="00580826">
              <w:rPr>
                <w:sz w:val="22"/>
                <w:szCs w:val="22"/>
              </w:rPr>
              <w:t>Upon acceptance of Deliverable 1</w:t>
            </w:r>
          </w:p>
        </w:tc>
        <w:tc>
          <w:tcPr>
            <w:tcW w:w="1620" w:type="dxa"/>
            <w:shd w:val="clear" w:color="auto" w:fill="auto"/>
          </w:tcPr>
          <w:p w14:paraId="1B0044C7" w14:textId="77777777" w:rsidR="00580826" w:rsidRPr="00580826" w:rsidRDefault="00580826" w:rsidP="00722D58">
            <w:pPr>
              <w:jc w:val="both"/>
              <w:rPr>
                <w:sz w:val="22"/>
                <w:szCs w:val="22"/>
              </w:rPr>
            </w:pPr>
            <w:r w:rsidRPr="00580826">
              <w:rPr>
                <w:sz w:val="22"/>
                <w:szCs w:val="22"/>
              </w:rPr>
              <w:t xml:space="preserve">10% </w:t>
            </w:r>
          </w:p>
        </w:tc>
      </w:tr>
      <w:tr w:rsidR="00580826" w:rsidRPr="00580826" w14:paraId="6699A6D8" w14:textId="77777777" w:rsidTr="00722D58">
        <w:trPr>
          <w:trHeight w:val="294"/>
        </w:trPr>
        <w:tc>
          <w:tcPr>
            <w:tcW w:w="7740" w:type="dxa"/>
            <w:shd w:val="clear" w:color="auto" w:fill="auto"/>
          </w:tcPr>
          <w:p w14:paraId="6BC9A078" w14:textId="77777777" w:rsidR="00580826" w:rsidRPr="00580826" w:rsidRDefault="00580826" w:rsidP="00722D58">
            <w:pPr>
              <w:jc w:val="both"/>
              <w:rPr>
                <w:sz w:val="22"/>
                <w:szCs w:val="22"/>
              </w:rPr>
            </w:pPr>
            <w:r w:rsidRPr="00580826">
              <w:rPr>
                <w:sz w:val="22"/>
                <w:szCs w:val="22"/>
              </w:rPr>
              <w:t xml:space="preserve">Upon acceptance of Deliverable 2 </w:t>
            </w:r>
          </w:p>
        </w:tc>
        <w:tc>
          <w:tcPr>
            <w:tcW w:w="1620" w:type="dxa"/>
            <w:shd w:val="clear" w:color="auto" w:fill="auto"/>
          </w:tcPr>
          <w:p w14:paraId="311DFDAD" w14:textId="77777777" w:rsidR="00580826" w:rsidRPr="00580826" w:rsidRDefault="00580826" w:rsidP="00722D58">
            <w:pPr>
              <w:jc w:val="both"/>
              <w:rPr>
                <w:sz w:val="22"/>
                <w:szCs w:val="22"/>
              </w:rPr>
            </w:pPr>
            <w:r w:rsidRPr="00580826">
              <w:rPr>
                <w:sz w:val="22"/>
                <w:szCs w:val="22"/>
              </w:rPr>
              <w:t xml:space="preserve">25% </w:t>
            </w:r>
          </w:p>
        </w:tc>
      </w:tr>
      <w:tr w:rsidR="00580826" w:rsidRPr="00580826" w14:paraId="7152321C" w14:textId="77777777" w:rsidTr="00722D58">
        <w:trPr>
          <w:trHeight w:val="294"/>
        </w:trPr>
        <w:tc>
          <w:tcPr>
            <w:tcW w:w="7740" w:type="dxa"/>
            <w:shd w:val="clear" w:color="auto" w:fill="auto"/>
          </w:tcPr>
          <w:p w14:paraId="2FA293DF" w14:textId="77777777" w:rsidR="00580826" w:rsidRPr="00580826" w:rsidRDefault="00580826" w:rsidP="00722D58">
            <w:pPr>
              <w:jc w:val="both"/>
              <w:rPr>
                <w:sz w:val="22"/>
                <w:szCs w:val="22"/>
              </w:rPr>
            </w:pPr>
            <w:r w:rsidRPr="00580826">
              <w:rPr>
                <w:sz w:val="22"/>
                <w:szCs w:val="22"/>
              </w:rPr>
              <w:t>Upon acceptance of Deliverable 3</w:t>
            </w:r>
          </w:p>
        </w:tc>
        <w:tc>
          <w:tcPr>
            <w:tcW w:w="1620" w:type="dxa"/>
            <w:shd w:val="clear" w:color="auto" w:fill="auto"/>
          </w:tcPr>
          <w:p w14:paraId="0B0F9EF7" w14:textId="77777777" w:rsidR="00580826" w:rsidRPr="00580826" w:rsidRDefault="00580826" w:rsidP="00722D58">
            <w:pPr>
              <w:jc w:val="both"/>
              <w:rPr>
                <w:sz w:val="22"/>
                <w:szCs w:val="22"/>
              </w:rPr>
            </w:pPr>
            <w:r w:rsidRPr="00580826">
              <w:rPr>
                <w:sz w:val="22"/>
                <w:szCs w:val="22"/>
              </w:rPr>
              <w:t xml:space="preserve">35% </w:t>
            </w:r>
          </w:p>
        </w:tc>
      </w:tr>
      <w:tr w:rsidR="00580826" w:rsidRPr="00580826" w14:paraId="5A767E27" w14:textId="77777777" w:rsidTr="00722D58">
        <w:trPr>
          <w:trHeight w:val="294"/>
        </w:trPr>
        <w:tc>
          <w:tcPr>
            <w:tcW w:w="7740" w:type="dxa"/>
            <w:shd w:val="clear" w:color="auto" w:fill="auto"/>
          </w:tcPr>
          <w:p w14:paraId="795947D7" w14:textId="77777777" w:rsidR="00580826" w:rsidRPr="00580826" w:rsidRDefault="00580826" w:rsidP="00722D58">
            <w:pPr>
              <w:jc w:val="both"/>
              <w:rPr>
                <w:sz w:val="22"/>
                <w:szCs w:val="22"/>
              </w:rPr>
            </w:pPr>
            <w:r w:rsidRPr="00580826">
              <w:rPr>
                <w:sz w:val="22"/>
                <w:szCs w:val="22"/>
              </w:rPr>
              <w:t>Upon acceptance of Deliverable 4</w:t>
            </w:r>
          </w:p>
        </w:tc>
        <w:tc>
          <w:tcPr>
            <w:tcW w:w="1620" w:type="dxa"/>
            <w:shd w:val="clear" w:color="auto" w:fill="auto"/>
          </w:tcPr>
          <w:p w14:paraId="7126040E" w14:textId="77777777" w:rsidR="00580826" w:rsidRPr="00580826" w:rsidRDefault="00580826" w:rsidP="00722D58">
            <w:pPr>
              <w:jc w:val="both"/>
              <w:rPr>
                <w:sz w:val="22"/>
                <w:szCs w:val="22"/>
              </w:rPr>
            </w:pPr>
            <w:r w:rsidRPr="00580826">
              <w:rPr>
                <w:sz w:val="22"/>
                <w:szCs w:val="22"/>
              </w:rPr>
              <w:t xml:space="preserve">20% </w:t>
            </w:r>
          </w:p>
        </w:tc>
      </w:tr>
      <w:tr w:rsidR="00580826" w:rsidRPr="00580826" w14:paraId="78ECEEF9" w14:textId="77777777" w:rsidTr="00722D58">
        <w:trPr>
          <w:trHeight w:val="294"/>
        </w:trPr>
        <w:tc>
          <w:tcPr>
            <w:tcW w:w="7740" w:type="dxa"/>
            <w:shd w:val="clear" w:color="auto" w:fill="auto"/>
          </w:tcPr>
          <w:p w14:paraId="0ED27BC2" w14:textId="77777777" w:rsidR="00580826" w:rsidRPr="00580826" w:rsidRDefault="00580826" w:rsidP="00722D58">
            <w:pPr>
              <w:jc w:val="both"/>
              <w:rPr>
                <w:sz w:val="22"/>
                <w:szCs w:val="22"/>
              </w:rPr>
            </w:pPr>
            <w:r w:rsidRPr="00580826">
              <w:rPr>
                <w:sz w:val="22"/>
                <w:szCs w:val="22"/>
              </w:rPr>
              <w:t>Upon acceptance of Deliverable 5</w:t>
            </w:r>
          </w:p>
        </w:tc>
        <w:tc>
          <w:tcPr>
            <w:tcW w:w="1620" w:type="dxa"/>
            <w:shd w:val="clear" w:color="auto" w:fill="auto"/>
          </w:tcPr>
          <w:p w14:paraId="3BE26FEF" w14:textId="77777777" w:rsidR="00580826" w:rsidRPr="00580826" w:rsidRDefault="00580826" w:rsidP="00722D58">
            <w:pPr>
              <w:jc w:val="both"/>
              <w:rPr>
                <w:rFonts w:eastAsiaTheme="majorEastAsia"/>
                <w:b/>
                <w:bCs/>
                <w:color w:val="4F81BD" w:themeColor="accent1"/>
                <w:sz w:val="22"/>
                <w:szCs w:val="22"/>
              </w:rPr>
            </w:pPr>
            <w:r w:rsidRPr="00580826">
              <w:rPr>
                <w:sz w:val="22"/>
                <w:szCs w:val="22"/>
              </w:rPr>
              <w:t>10%</w:t>
            </w:r>
          </w:p>
        </w:tc>
      </w:tr>
    </w:tbl>
    <w:p w14:paraId="3498CDC7" w14:textId="77777777" w:rsidR="00580826" w:rsidRPr="00580826" w:rsidRDefault="00580826" w:rsidP="00580826">
      <w:pPr>
        <w:jc w:val="both"/>
        <w:rPr>
          <w:sz w:val="22"/>
          <w:szCs w:val="22"/>
        </w:rPr>
      </w:pPr>
    </w:p>
    <w:p w14:paraId="651B26EE" w14:textId="77777777" w:rsidR="00580826" w:rsidRPr="00580826" w:rsidRDefault="00580826" w:rsidP="00580826">
      <w:pPr>
        <w:jc w:val="both"/>
        <w:rPr>
          <w:b/>
          <w:sz w:val="22"/>
          <w:szCs w:val="22"/>
        </w:rPr>
      </w:pPr>
      <w:r w:rsidRPr="00580826">
        <w:rPr>
          <w:b/>
          <w:sz w:val="22"/>
          <w:szCs w:val="22"/>
        </w:rPr>
        <w:t>Coordination</w:t>
      </w:r>
    </w:p>
    <w:p w14:paraId="5DB157EB" w14:textId="51C107B2" w:rsidR="00580826" w:rsidRPr="00580826" w:rsidRDefault="00580826" w:rsidP="00580826">
      <w:pPr>
        <w:jc w:val="both"/>
        <w:rPr>
          <w:sz w:val="22"/>
          <w:szCs w:val="22"/>
        </w:rPr>
      </w:pPr>
      <w:r w:rsidRPr="00580826">
        <w:rPr>
          <w:sz w:val="22"/>
          <w:szCs w:val="22"/>
        </w:rPr>
        <w:t xml:space="preserve">Coordination of this consultancy will be conducted by </w:t>
      </w:r>
      <w:r w:rsidR="00D8222F">
        <w:rPr>
          <w:sz w:val="22"/>
          <w:szCs w:val="22"/>
        </w:rPr>
        <w:t>the</w:t>
      </w:r>
      <w:r w:rsidRPr="00580826">
        <w:rPr>
          <w:sz w:val="22"/>
          <w:szCs w:val="22"/>
        </w:rPr>
        <w:t xml:space="preserve"> Water and Sanitation Specialist.  The Consultant will work closely with the Board, management and staff of SWM during the execution of this consultancy.</w:t>
      </w:r>
    </w:p>
    <w:p w14:paraId="7786BBF1" w14:textId="77777777" w:rsidR="00580826" w:rsidRPr="00580826" w:rsidRDefault="00580826" w:rsidP="00580826">
      <w:pPr>
        <w:rPr>
          <w:sz w:val="22"/>
          <w:szCs w:val="22"/>
        </w:rPr>
      </w:pPr>
    </w:p>
    <w:p w14:paraId="537C7F87" w14:textId="77777777" w:rsidR="008102AD" w:rsidRPr="00580826" w:rsidRDefault="008102AD" w:rsidP="008102AD">
      <w:pPr>
        <w:jc w:val="both"/>
        <w:rPr>
          <w:sz w:val="22"/>
          <w:szCs w:val="22"/>
        </w:rPr>
      </w:pPr>
    </w:p>
    <w:p w14:paraId="3784A8E9" w14:textId="77777777" w:rsidR="00170248" w:rsidRPr="00580826" w:rsidRDefault="00170248" w:rsidP="00170248">
      <w:pPr>
        <w:rPr>
          <w:sz w:val="22"/>
          <w:szCs w:val="22"/>
        </w:rPr>
      </w:pPr>
    </w:p>
    <w:sectPr w:rsidR="00170248" w:rsidRPr="00580826">
      <w:headerReference w:type="even" r:id="rId20"/>
      <w:headerReference w:type="default" r:id="rId21"/>
      <w:footerReference w:type="even" r:id="rId22"/>
      <w:footerReference w:type="default" r:id="rId23"/>
      <w:headerReference w:type="first" r:id="rId24"/>
      <w:footerReference w:type="first" r:id="rId2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A6AB" w14:textId="77777777" w:rsidR="00595612" w:rsidRDefault="00595612" w:rsidP="0056772C">
      <w:r>
        <w:separator/>
      </w:r>
    </w:p>
  </w:endnote>
  <w:endnote w:type="continuationSeparator" w:id="0">
    <w:p w14:paraId="60BA9FCE" w14:textId="77777777" w:rsidR="00595612" w:rsidRDefault="00595612"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8F8A" w14:textId="77777777" w:rsidR="00595612" w:rsidRDefault="00595612" w:rsidP="0056772C">
      <w:r>
        <w:separator/>
      </w:r>
    </w:p>
  </w:footnote>
  <w:footnote w:type="continuationSeparator" w:id="0">
    <w:p w14:paraId="4CC6A0AC" w14:textId="77777777" w:rsidR="00595612" w:rsidRDefault="00595612" w:rsidP="0056772C">
      <w:r>
        <w:continuationSeparator/>
      </w:r>
    </w:p>
  </w:footnote>
  <w:footnote w:id="1">
    <w:p w14:paraId="06E50A22" w14:textId="77777777" w:rsidR="00580826" w:rsidRDefault="00580826" w:rsidP="00580826">
      <w:pPr>
        <w:pStyle w:val="FootnoteText"/>
      </w:pPr>
      <w:r w:rsidRPr="003E4782">
        <w:rPr>
          <w:rStyle w:val="FootnoteReference"/>
          <w:sz w:val="18"/>
        </w:rPr>
        <w:footnoteRef/>
      </w:r>
      <w:r w:rsidRPr="003E4782">
        <w:rPr>
          <w:sz w:val="18"/>
        </w:rPr>
        <w:t xml:space="preserve"> Scenarios should be run in the ground water model (GMS v.10.1) developed under the HACAS study.</w:t>
      </w:r>
    </w:p>
  </w:footnote>
  <w:footnote w:id="2">
    <w:p w14:paraId="1BC27E50" w14:textId="77777777" w:rsidR="00580826" w:rsidRDefault="00580826" w:rsidP="00580826">
      <w:pPr>
        <w:pStyle w:val="FootnoteText"/>
        <w:jc w:val="both"/>
      </w:pPr>
      <w:r w:rsidRPr="009F04AE">
        <w:rPr>
          <w:rStyle w:val="FootnoteReference"/>
          <w:sz w:val="18"/>
        </w:rPr>
        <w:footnoteRef/>
      </w:r>
      <w:r w:rsidRPr="009F04AE">
        <w:rPr>
          <w:sz w:val="18"/>
        </w:rPr>
        <w:t xml:space="preserve"> The project included the design and setup of a modern data management system (Excel and QGIS-based) and software for groundwater modelling (GMS). This provides SWM with ready access to groundwater resource information and the tools for operational management of existing wellfields and predicting and planning future use of groundwater.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88B"/>
    <w:multiLevelType w:val="hybridMultilevel"/>
    <w:tmpl w:val="5588B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51297"/>
    <w:multiLevelType w:val="hybridMultilevel"/>
    <w:tmpl w:val="AD78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403CA"/>
    <w:multiLevelType w:val="hybridMultilevel"/>
    <w:tmpl w:val="1BB8A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B0D68"/>
    <w:multiLevelType w:val="hybridMultilevel"/>
    <w:tmpl w:val="E17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45F2"/>
    <w:multiLevelType w:val="hybridMultilevel"/>
    <w:tmpl w:val="9C588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C2EBF"/>
    <w:multiLevelType w:val="hybridMultilevel"/>
    <w:tmpl w:val="3D04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04203A"/>
    <w:multiLevelType w:val="hybridMultilevel"/>
    <w:tmpl w:val="0200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A35B8"/>
    <w:multiLevelType w:val="hybridMultilevel"/>
    <w:tmpl w:val="132A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49622B"/>
    <w:multiLevelType w:val="hybridMultilevel"/>
    <w:tmpl w:val="D02C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90771"/>
    <w:multiLevelType w:val="multilevel"/>
    <w:tmpl w:val="73829CF6"/>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E256AD"/>
    <w:multiLevelType w:val="hybridMultilevel"/>
    <w:tmpl w:val="D1C0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DB726A"/>
    <w:multiLevelType w:val="hybridMultilevel"/>
    <w:tmpl w:val="5BAE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6F3B2B"/>
    <w:multiLevelType w:val="hybridMultilevel"/>
    <w:tmpl w:val="359A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43984"/>
    <w:multiLevelType w:val="hybridMultilevel"/>
    <w:tmpl w:val="5364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1A058A"/>
    <w:multiLevelType w:val="hybridMultilevel"/>
    <w:tmpl w:val="7B96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495E65"/>
    <w:multiLevelType w:val="hybridMultilevel"/>
    <w:tmpl w:val="23585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E37CC7"/>
    <w:multiLevelType w:val="hybridMultilevel"/>
    <w:tmpl w:val="7472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115BD9"/>
    <w:multiLevelType w:val="hybridMultilevel"/>
    <w:tmpl w:val="0F4A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317811"/>
    <w:multiLevelType w:val="hybridMultilevel"/>
    <w:tmpl w:val="04CC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E655FC"/>
    <w:multiLevelType w:val="hybridMultilevel"/>
    <w:tmpl w:val="BA6A1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836DEF"/>
    <w:multiLevelType w:val="hybridMultilevel"/>
    <w:tmpl w:val="61C09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97124"/>
    <w:multiLevelType w:val="hybridMultilevel"/>
    <w:tmpl w:val="2084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A0414"/>
    <w:multiLevelType w:val="hybridMultilevel"/>
    <w:tmpl w:val="61322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C87FE4"/>
    <w:multiLevelType w:val="hybridMultilevel"/>
    <w:tmpl w:val="2CF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C26B0"/>
    <w:multiLevelType w:val="hybridMultilevel"/>
    <w:tmpl w:val="C7B4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A7BE0"/>
    <w:multiLevelType w:val="multilevel"/>
    <w:tmpl w:val="17486B20"/>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4CEE099E"/>
    <w:multiLevelType w:val="hybridMultilevel"/>
    <w:tmpl w:val="4CE6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5B10A3"/>
    <w:multiLevelType w:val="hybridMultilevel"/>
    <w:tmpl w:val="F3E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D6E19"/>
    <w:multiLevelType w:val="hybridMultilevel"/>
    <w:tmpl w:val="386E3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E92C8E"/>
    <w:multiLevelType w:val="hybridMultilevel"/>
    <w:tmpl w:val="EAC07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9E15B3"/>
    <w:multiLevelType w:val="hybridMultilevel"/>
    <w:tmpl w:val="490EE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B10BDC"/>
    <w:multiLevelType w:val="multilevel"/>
    <w:tmpl w:val="6752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C637D"/>
    <w:multiLevelType w:val="hybridMultilevel"/>
    <w:tmpl w:val="07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E68C7"/>
    <w:multiLevelType w:val="hybridMultilevel"/>
    <w:tmpl w:val="513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6789D"/>
    <w:multiLevelType w:val="hybridMultilevel"/>
    <w:tmpl w:val="F978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9F3367"/>
    <w:multiLevelType w:val="hybridMultilevel"/>
    <w:tmpl w:val="1C5C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D20C69"/>
    <w:multiLevelType w:val="hybridMultilevel"/>
    <w:tmpl w:val="803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5"/>
  </w:num>
  <w:num w:numId="4">
    <w:abstractNumId w:val="9"/>
  </w:num>
  <w:num w:numId="5">
    <w:abstractNumId w:val="1"/>
  </w:num>
  <w:num w:numId="6">
    <w:abstractNumId w:val="6"/>
  </w:num>
  <w:num w:numId="7">
    <w:abstractNumId w:val="27"/>
  </w:num>
  <w:num w:numId="8">
    <w:abstractNumId w:val="33"/>
  </w:num>
  <w:num w:numId="9">
    <w:abstractNumId w:val="23"/>
  </w:num>
  <w:num w:numId="10">
    <w:abstractNumId w:val="11"/>
  </w:num>
  <w:num w:numId="11">
    <w:abstractNumId w:val="18"/>
  </w:num>
  <w:num w:numId="12">
    <w:abstractNumId w:val="29"/>
  </w:num>
  <w:num w:numId="13">
    <w:abstractNumId w:val="7"/>
  </w:num>
  <w:num w:numId="14">
    <w:abstractNumId w:val="34"/>
  </w:num>
  <w:num w:numId="15">
    <w:abstractNumId w:val="19"/>
  </w:num>
  <w:num w:numId="16">
    <w:abstractNumId w:val="8"/>
  </w:num>
  <w:num w:numId="17">
    <w:abstractNumId w:val="30"/>
  </w:num>
  <w:num w:numId="18">
    <w:abstractNumId w:val="26"/>
  </w:num>
  <w:num w:numId="19">
    <w:abstractNumId w:val="13"/>
  </w:num>
  <w:num w:numId="20">
    <w:abstractNumId w:val="10"/>
  </w:num>
  <w:num w:numId="21">
    <w:abstractNumId w:val="5"/>
  </w:num>
  <w:num w:numId="22">
    <w:abstractNumId w:val="21"/>
  </w:num>
  <w:num w:numId="23">
    <w:abstractNumId w:val="15"/>
  </w:num>
  <w:num w:numId="24">
    <w:abstractNumId w:val="4"/>
  </w:num>
  <w:num w:numId="25">
    <w:abstractNumId w:val="2"/>
  </w:num>
  <w:num w:numId="26">
    <w:abstractNumId w:val="0"/>
  </w:num>
  <w:num w:numId="27">
    <w:abstractNumId w:val="17"/>
  </w:num>
  <w:num w:numId="28">
    <w:abstractNumId w:val="14"/>
  </w:num>
  <w:num w:numId="29">
    <w:abstractNumId w:val="24"/>
  </w:num>
  <w:num w:numId="30">
    <w:abstractNumId w:val="22"/>
  </w:num>
  <w:num w:numId="31">
    <w:abstractNumId w:val="28"/>
  </w:num>
  <w:num w:numId="32">
    <w:abstractNumId w:val="16"/>
  </w:num>
  <w:num w:numId="33">
    <w:abstractNumId w:val="35"/>
  </w:num>
  <w:num w:numId="34">
    <w:abstractNumId w:val="12"/>
  </w:num>
  <w:num w:numId="35">
    <w:abstractNumId w:val="36"/>
  </w:num>
  <w:num w:numId="36">
    <w:abstractNumId w:val="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36BAE"/>
    <w:rsid w:val="00050DB5"/>
    <w:rsid w:val="000C118D"/>
    <w:rsid w:val="00170248"/>
    <w:rsid w:val="001F2366"/>
    <w:rsid w:val="002C3359"/>
    <w:rsid w:val="002E7B51"/>
    <w:rsid w:val="00307F76"/>
    <w:rsid w:val="00352121"/>
    <w:rsid w:val="00360ACB"/>
    <w:rsid w:val="003800C7"/>
    <w:rsid w:val="003C4BA8"/>
    <w:rsid w:val="003C6547"/>
    <w:rsid w:val="003F5CA1"/>
    <w:rsid w:val="004003E8"/>
    <w:rsid w:val="00423E38"/>
    <w:rsid w:val="004A3654"/>
    <w:rsid w:val="004A57F6"/>
    <w:rsid w:val="004D1120"/>
    <w:rsid w:val="004D51F3"/>
    <w:rsid w:val="004F6109"/>
    <w:rsid w:val="0051231A"/>
    <w:rsid w:val="0052634A"/>
    <w:rsid w:val="00556C08"/>
    <w:rsid w:val="005673D5"/>
    <w:rsid w:val="0056772C"/>
    <w:rsid w:val="00580826"/>
    <w:rsid w:val="00587259"/>
    <w:rsid w:val="00595612"/>
    <w:rsid w:val="006071D7"/>
    <w:rsid w:val="00637714"/>
    <w:rsid w:val="00637BD8"/>
    <w:rsid w:val="00653973"/>
    <w:rsid w:val="006C3B20"/>
    <w:rsid w:val="006F7BED"/>
    <w:rsid w:val="00767543"/>
    <w:rsid w:val="0078460F"/>
    <w:rsid w:val="008102AD"/>
    <w:rsid w:val="008171F3"/>
    <w:rsid w:val="008354A8"/>
    <w:rsid w:val="00891E3C"/>
    <w:rsid w:val="008C7908"/>
    <w:rsid w:val="00901303"/>
    <w:rsid w:val="00921C0C"/>
    <w:rsid w:val="009676A9"/>
    <w:rsid w:val="009B688E"/>
    <w:rsid w:val="00A06640"/>
    <w:rsid w:val="00A15B62"/>
    <w:rsid w:val="00A37CA7"/>
    <w:rsid w:val="00A838F0"/>
    <w:rsid w:val="00AA48A5"/>
    <w:rsid w:val="00AB7160"/>
    <w:rsid w:val="00AD6E3D"/>
    <w:rsid w:val="00AE7268"/>
    <w:rsid w:val="00B17BF0"/>
    <w:rsid w:val="00B27293"/>
    <w:rsid w:val="00B44F3B"/>
    <w:rsid w:val="00BB418F"/>
    <w:rsid w:val="00BB4D44"/>
    <w:rsid w:val="00BF0B50"/>
    <w:rsid w:val="00BF5CD3"/>
    <w:rsid w:val="00C27587"/>
    <w:rsid w:val="00C42B39"/>
    <w:rsid w:val="00C439C0"/>
    <w:rsid w:val="00CA49B4"/>
    <w:rsid w:val="00CA7C9E"/>
    <w:rsid w:val="00CD36BB"/>
    <w:rsid w:val="00CD4904"/>
    <w:rsid w:val="00CF4FC8"/>
    <w:rsid w:val="00CF6833"/>
    <w:rsid w:val="00D8222F"/>
    <w:rsid w:val="00DD6F06"/>
    <w:rsid w:val="00DE327F"/>
    <w:rsid w:val="00E03A9E"/>
    <w:rsid w:val="00E277C5"/>
    <w:rsid w:val="00E60675"/>
    <w:rsid w:val="00E72AF3"/>
    <w:rsid w:val="00E90CEB"/>
    <w:rsid w:val="00E93278"/>
    <w:rsid w:val="00ED4D33"/>
    <w:rsid w:val="00F45D9C"/>
    <w:rsid w:val="00F74266"/>
    <w:rsid w:val="00F96C7D"/>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UnresolvedMention">
    <w:name w:val="Unresolved Mention"/>
    <w:basedOn w:val="DefaultParagraphFont"/>
    <w:uiPriority w:val="99"/>
    <w:semiHidden/>
    <w:unhideWhenUsed/>
    <w:rsid w:val="00653973"/>
    <w:rPr>
      <w:color w:val="605E5C"/>
      <w:shd w:val="clear" w:color="auto" w:fill="E1DFDD"/>
    </w:rPr>
  </w:style>
  <w:style w:type="paragraph" w:styleId="NoSpacing">
    <w:name w:val="No Spacing"/>
    <w:uiPriority w:val="1"/>
    <w:qFormat/>
    <w:rsid w:val="008102AD"/>
    <w:pPr>
      <w:spacing w:after="0" w:line="240" w:lineRule="auto"/>
    </w:pPr>
    <w:rPr>
      <w:rFonts w:eastAsiaTheme="minorHAnsi"/>
      <w:lang w:val="en-US" w:eastAsia="en-US"/>
    </w:rPr>
  </w:style>
  <w:style w:type="paragraph" w:styleId="ListParagraph">
    <w:name w:val="List Paragraph"/>
    <w:basedOn w:val="Normal"/>
    <w:link w:val="ListParagraphChar"/>
    <w:uiPriority w:val="34"/>
    <w:qFormat/>
    <w:rsid w:val="00580826"/>
    <w:pPr>
      <w:widowControl/>
      <w:autoSpaceDE/>
      <w:autoSpaceDN/>
      <w:adjustRightInd/>
      <w:spacing w:after="200" w:line="276" w:lineRule="auto"/>
      <w:ind w:left="720"/>
      <w:contextualSpacing/>
    </w:pPr>
    <w:rPr>
      <w:rFonts w:asciiTheme="minorHAnsi" w:hAnsiTheme="minorHAnsi" w:cstheme="minorBidi"/>
      <w:color w:val="auto"/>
      <w:sz w:val="22"/>
      <w:szCs w:val="22"/>
      <w:lang w:eastAsia="en-US"/>
    </w:rPr>
  </w:style>
  <w:style w:type="character" w:customStyle="1" w:styleId="ListParagraphChar">
    <w:name w:val="List Paragraph Char"/>
    <w:link w:val="ListParagraph"/>
    <w:uiPriority w:val="34"/>
    <w:locked/>
    <w:rsid w:val="00580826"/>
    <w:rPr>
      <w:lang w:val="en-US" w:eastAsia="en-US"/>
    </w:rPr>
  </w:style>
  <w:style w:type="paragraph" w:styleId="FootnoteText">
    <w:name w:val="footnote text"/>
    <w:basedOn w:val="Normal"/>
    <w:link w:val="FootnoteTextChar"/>
    <w:uiPriority w:val="99"/>
    <w:semiHidden/>
    <w:unhideWhenUsed/>
    <w:rsid w:val="00580826"/>
    <w:pPr>
      <w:widowControl/>
      <w:autoSpaceDE/>
      <w:autoSpaceDN/>
      <w:adjustRightInd/>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80826"/>
    <w:rPr>
      <w:rFonts w:eastAsiaTheme="minorHAnsi"/>
      <w:sz w:val="20"/>
      <w:szCs w:val="20"/>
      <w:lang w:val="en-US" w:eastAsia="en-US"/>
    </w:rPr>
  </w:style>
  <w:style w:type="character" w:styleId="FootnoteReference">
    <w:name w:val="footnote reference"/>
    <w:basedOn w:val="DefaultParagraphFont"/>
    <w:uiPriority w:val="99"/>
    <w:semiHidden/>
    <w:unhideWhenUsed/>
    <w:rsid w:val="0058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2405">
      <w:bodyDiv w:val="1"/>
      <w:marLeft w:val="0"/>
      <w:marRight w:val="0"/>
      <w:marTop w:val="0"/>
      <w:marBottom w:val="0"/>
      <w:divBdr>
        <w:top w:val="none" w:sz="0" w:space="0" w:color="auto"/>
        <w:left w:val="none" w:sz="0" w:space="0" w:color="auto"/>
        <w:bottom w:val="none" w:sz="0" w:space="0" w:color="auto"/>
        <w:right w:val="none" w:sz="0" w:space="0" w:color="auto"/>
      </w:divBdr>
    </w:div>
    <w:div w:id="1625186958">
      <w:bodyDiv w:val="1"/>
      <w:marLeft w:val="0"/>
      <w:marRight w:val="0"/>
      <w:marTop w:val="0"/>
      <w:marBottom w:val="0"/>
      <w:divBdr>
        <w:top w:val="none" w:sz="0" w:space="0" w:color="auto"/>
        <w:left w:val="none" w:sz="0" w:space="0" w:color="auto"/>
        <w:bottom w:val="none" w:sz="0" w:space="0" w:color="auto"/>
        <w:right w:val="none" w:sz="0" w:space="0" w:color="auto"/>
      </w:divBdr>
    </w:div>
    <w:div w:id="1856923766">
      <w:bodyDiv w:val="1"/>
      <w:marLeft w:val="0"/>
      <w:marRight w:val="0"/>
      <w:marTop w:val="0"/>
      <w:marBottom w:val="0"/>
      <w:divBdr>
        <w:top w:val="none" w:sz="0" w:space="0" w:color="auto"/>
        <w:left w:val="none" w:sz="0" w:space="0" w:color="auto"/>
        <w:bottom w:val="none" w:sz="0" w:space="0" w:color="auto"/>
        <w:right w:val="none" w:sz="0" w:space="0" w:color="auto"/>
      </w:divBdr>
    </w:div>
    <w:div w:id="19941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marler@iad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vanc@iadb.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dbdocs.iadb.org/wsdocs/getdocument.aspx?DOCNUM=389885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adb.org/Document.cfm?id=EZSHARE-1036177694-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C1CA18E555A04409C503F0A96B86908" ma:contentTypeVersion="225" ma:contentTypeDescription="A content type to manage public (operations) IDB documents" ma:contentTypeScope="" ma:versionID="c63033ecbb00168338f19d2085fc924c">
  <xsd:schema xmlns:xsd="http://www.w3.org/2001/XMLSchema" xmlns:xs="http://www.w3.org/2001/XMLSchema" xmlns:p="http://schemas.microsoft.com/office/2006/metadata/properties" xmlns:ns2="cdc7663a-08f0-4737-9e8c-148ce897a09c" targetNamespace="http://schemas.microsoft.com/office/2006/metadata/properties" ma:root="true" ma:fieldsID="ca18d81dd5592e4361ced8b30d422e7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SU-T110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Suriname</TermName>
          <TermId xmlns="http://schemas.microsoft.com/office/infopath/2007/PartnerControls">78f391d2-6a9c-4a90-96e5-b3c0fdf8e7da</TermId>
        </TermInfo>
      </Terms>
    </ic46d7e087fd4a108fb86518ca413cc6>
    <Division_x0020_or_x0020_Unit xmlns="cdc7663a-08f0-4737-9e8c-148ce897a09c">INE/WSA</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Reyes Pantoja, Marle Dolores</Document_x0020_Author>
    <Document_x0020_Language_x0020_IDB xmlns="cdc7663a-08f0-4737-9e8c-148ce897a09c">English</Document_x0020_Language_x0020_IDB>
    <TaxCatchAll xmlns="cdc7663a-08f0-4737-9e8c-148ce897a09c">
      <Value>98</Value>
      <Value>148</Value>
      <Value>24</Value>
      <Value>40</Value>
      <Value>6</Value>
      <Value>97</Value>
    </TaxCatchAll>
    <Identifier xmlns="cdc7663a-08f0-4737-9e8c-148ce897a09c" xsi:nil="true"/>
    <_dlc_DocId xmlns="cdc7663a-08f0-4737-9e8c-148ce897a09c">EZSHARE-1980789376-26</_dlc_DocId>
    <_dlc_DocIdUrl xmlns="cdc7663a-08f0-4737-9e8c-148ce897a09c">
      <Url>https://idbg.sharepoint.com/teams/EZ-SU-TCP/SU-T1102/_layouts/15/DocIdRedir.aspx?ID=EZSHARE-1980789376-26</Url>
      <Description>EZSHARE-1980789376-26</Description>
    </_dlc_DocIdUrl>
    <Related_x0020_SisCor_x0020_Number xmlns="cdc7663a-08f0-4737-9e8c-148ce897a09c" xsi:nil="true"/>
    <Record_x0020_Number xmlns="cdc7663a-08f0-4737-9e8c-148ce897a09c">R0002853794</Record_x0020_Number>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Service Contract</TermName>
          <TermId xmlns="http://schemas.microsoft.com/office/infopath/2007/PartnerControls">a83c9f74-134c-43d1-8a36-4bafae80dc99</TermId>
        </TermInfo>
      </Term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ATN/OC-16778-SU;</Approval_x0020_Number>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SU-T1102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2.xml><?xml version="1.0" encoding="utf-8"?>
<ds:datastoreItem xmlns:ds="http://schemas.openxmlformats.org/officeDocument/2006/customXml" ds:itemID="{8E29B3E4-5EA1-4FF7-9BC3-3D24F2F632FE}"/>
</file>

<file path=customXml/itemProps3.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4.xml><?xml version="1.0" encoding="utf-8"?>
<ds:datastoreItem xmlns:ds="http://schemas.openxmlformats.org/officeDocument/2006/customXml" ds:itemID="{F0373A7B-FD4E-4351-839A-EB1AF5A99F99}"/>
</file>

<file path=customXml/itemProps5.xml><?xml version="1.0" encoding="utf-8"?>
<ds:datastoreItem xmlns:ds="http://schemas.openxmlformats.org/officeDocument/2006/customXml" ds:itemID="{7008DBB7-05A2-4422-8CCB-0ACF34426588}"/>
</file>

<file path=customXml/itemProps6.xml><?xml version="1.0" encoding="utf-8"?>
<ds:datastoreItem xmlns:ds="http://schemas.openxmlformats.org/officeDocument/2006/customXml" ds:itemID="{B98CC96B-FD11-466D-AEB4-CD0D9388406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cdc7663a-08f0-4737-9e8c-148ce897a09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1727</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Reyes Pantoja, Marle Dolores</cp:lastModifiedBy>
  <cp:revision>15</cp:revision>
  <cp:lastPrinted>2015-01-20T22:56:00Z</cp:lastPrinted>
  <dcterms:created xsi:type="dcterms:W3CDTF">2018-09-17T19:44:00Z</dcterms:created>
  <dcterms:modified xsi:type="dcterms:W3CDTF">2018-09-21T18:36:00Z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24;#Suriname|78f391d2-6a9c-4a90-96e5-b3c0fdf8e7da</vt:lpwstr>
  </property>
  <property fmtid="{D5CDD505-2E9C-101B-9397-08002B2CF9AE}" pid="8" name="_dlc_DocIdItemGuid">
    <vt:lpwstr>6be77395-79ad-4a3b-a26a-278e3cf20da5</vt:lpwstr>
  </property>
  <property fmtid="{D5CDD505-2E9C-101B-9397-08002B2CF9AE}" pid="9" name="Series Operations IDB">
    <vt:lpwstr>148;#Service Contract|a83c9f74-134c-43d1-8a36-4bafae80dc99</vt:lpwstr>
  </property>
  <property fmtid="{D5CDD505-2E9C-101B-9397-08002B2CF9AE}" pid="10" name="Sub-Sector">
    <vt:lpwstr>98;#WATER SUPPLY URBAN|28df1b5d-8f50-49f8-b50a-8bcbae67d2a4</vt:lpwstr>
  </property>
  <property fmtid="{D5CDD505-2E9C-101B-9397-08002B2CF9AE}" pid="11" name="Fund IDB">
    <vt:lpwstr>40;#TBD|d62f6e05-3e80-4abd-9bb4-5f10b4906ff6</vt:lpwstr>
  </property>
  <property fmtid="{D5CDD505-2E9C-101B-9397-08002B2CF9AE}" pid="12" name="Sector IDB">
    <vt:lpwstr>97;#WATER AND SANITATION|ba6b63cd-e402-47cb-9357-08149f7ce046</vt:lpwstr>
  </property>
  <property fmtid="{D5CDD505-2E9C-101B-9397-08002B2CF9AE}" pid="13" name="Function Operations IDB">
    <vt:lpwstr>6;#Goods and Services|5bfebf1b-9f1f-4411-b1dd-4c19b807b799</vt:lpwstr>
  </property>
  <property fmtid="{D5CDD505-2E9C-101B-9397-08002B2CF9AE}" pid="14" name="ContentTypeId">
    <vt:lpwstr>0x0101001A458A224826124E8B45B1D613300CFC006C1CA18E555A04409C503F0A96B86908</vt:lpwstr>
  </property>
</Properties>
</file>