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DDF29" w14:textId="77777777" w:rsidR="006C3B20" w:rsidRDefault="000C118D" w:rsidP="006C3B20">
      <w:pPr>
        <w:pStyle w:val="Heading1a"/>
        <w:keepNext w:val="0"/>
        <w:keepLines w:val="0"/>
        <w:tabs>
          <w:tab w:val="clear" w:pos="-720"/>
        </w:tabs>
        <w:suppressAutoHyphens w:val="0"/>
        <w:jc w:val="left"/>
        <w:rPr>
          <w:rFonts w:asciiTheme="minorHAnsi" w:hAnsiTheme="minorHAnsi" w:cstheme="minorHAnsi"/>
          <w:bCs/>
          <w:smallCaps w:val="0"/>
          <w:sz w:val="28"/>
          <w:u w:val="single"/>
        </w:rPr>
      </w:pPr>
      <w:r>
        <w:rPr>
          <w:noProof/>
        </w:rPr>
        <w:drawing>
          <wp:inline distT="0" distB="0" distL="0" distR="0" wp14:anchorId="316AE00F" wp14:editId="1129C4A0">
            <wp:extent cx="1952625" cy="495300"/>
            <wp:effectExtent l="0" t="0" r="9525" b="0"/>
            <wp:docPr id="16246843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1952625" cy="495300"/>
                    </a:xfrm>
                    <a:prstGeom prst="rect">
                      <a:avLst/>
                    </a:prstGeom>
                  </pic:spPr>
                </pic:pic>
              </a:graphicData>
            </a:graphic>
          </wp:inline>
        </w:drawing>
      </w:r>
      <w:r w:rsidR="2CDD2216" w:rsidRPr="633C71E7">
        <w:rPr>
          <w:rFonts w:asciiTheme="minorHAnsi" w:eastAsiaTheme="minorEastAsia" w:hAnsiTheme="minorHAnsi" w:cstheme="minorBidi"/>
          <w:noProof/>
        </w:rPr>
        <w:t xml:space="preserve">                </w:t>
      </w:r>
    </w:p>
    <w:p w14:paraId="2F928274" w14:textId="77777777" w:rsidR="2CDD2216" w:rsidRDefault="2CDD2216" w:rsidP="2CDD2216">
      <w:pPr>
        <w:pStyle w:val="Heading1a"/>
        <w:rPr>
          <w:rFonts w:asciiTheme="minorHAnsi" w:eastAsiaTheme="minorEastAsia" w:hAnsiTheme="minorHAnsi" w:cstheme="minorBidi"/>
          <w:color w:val="FF0000"/>
          <w:sz w:val="28"/>
          <w:szCs w:val="28"/>
          <w:highlight w:val="yellow"/>
          <w:u w:val="single"/>
        </w:rPr>
      </w:pPr>
    </w:p>
    <w:p w14:paraId="22A377B5" w14:textId="77777777" w:rsidR="0003493A" w:rsidRDefault="0003493A" w:rsidP="2CDD2216">
      <w:pPr>
        <w:pStyle w:val="Heading1a"/>
        <w:keepNext w:val="0"/>
        <w:keepLines w:val="0"/>
        <w:tabs>
          <w:tab w:val="clear" w:pos="-720"/>
        </w:tabs>
        <w:suppressAutoHyphens w:val="0"/>
        <w:rPr>
          <w:rFonts w:asciiTheme="minorHAnsi" w:eastAsiaTheme="minorEastAsia" w:hAnsiTheme="minorHAnsi" w:cstheme="minorBidi"/>
          <w:sz w:val="28"/>
          <w:szCs w:val="28"/>
          <w:u w:val="single"/>
        </w:rPr>
      </w:pPr>
      <w:r w:rsidRPr="2CDD2216">
        <w:rPr>
          <w:rFonts w:asciiTheme="minorHAnsi" w:eastAsiaTheme="minorEastAsia" w:hAnsiTheme="minorHAnsi" w:cstheme="minorBidi"/>
          <w:smallCaps w:val="0"/>
          <w:sz w:val="28"/>
          <w:szCs w:val="28"/>
          <w:u w:val="single"/>
        </w:rPr>
        <w:t xml:space="preserve">REQUEST FOR EXPRESSIONS </w:t>
      </w:r>
      <w:r w:rsidR="006C3B20" w:rsidRPr="2CDD2216">
        <w:rPr>
          <w:rFonts w:asciiTheme="minorHAnsi" w:eastAsiaTheme="minorEastAsia" w:hAnsiTheme="minorHAnsi" w:cstheme="minorBidi"/>
          <w:smallCaps w:val="0"/>
          <w:sz w:val="28"/>
          <w:szCs w:val="28"/>
          <w:u w:val="single"/>
        </w:rPr>
        <w:t>OF INTEREST</w:t>
      </w:r>
    </w:p>
    <w:p w14:paraId="74340CE1" w14:textId="77777777" w:rsidR="006C3B20" w:rsidRPr="00637BD8" w:rsidRDefault="006C3B20" w:rsidP="6D59273E">
      <w:pPr>
        <w:pStyle w:val="Heading1a"/>
        <w:keepNext w:val="0"/>
        <w:keepLines w:val="0"/>
        <w:tabs>
          <w:tab w:val="clear" w:pos="-720"/>
        </w:tabs>
        <w:suppressAutoHyphens w:val="0"/>
        <w:rPr>
          <w:rFonts w:asciiTheme="minorHAnsi" w:eastAsiaTheme="minorEastAsia" w:hAnsiTheme="minorHAnsi" w:cstheme="minorBidi"/>
          <w:color w:val="FF0000"/>
          <w:sz w:val="28"/>
          <w:szCs w:val="28"/>
          <w:u w:val="single"/>
        </w:rPr>
      </w:pPr>
      <w:r w:rsidRPr="6D59273E">
        <w:rPr>
          <w:rFonts w:asciiTheme="minorHAnsi" w:eastAsiaTheme="minorEastAsia" w:hAnsiTheme="minorHAnsi" w:cstheme="minorBidi"/>
          <w:smallCaps w:val="0"/>
          <w:sz w:val="28"/>
          <w:szCs w:val="28"/>
          <w:u w:val="single"/>
        </w:rPr>
        <w:t>CONSULTING SERVICES</w:t>
      </w:r>
      <w:r w:rsidR="00637BD8" w:rsidRPr="6D59273E">
        <w:rPr>
          <w:rFonts w:asciiTheme="minorHAnsi" w:eastAsiaTheme="minorEastAsia" w:hAnsiTheme="minorHAnsi" w:cstheme="minorBidi"/>
          <w:smallCaps w:val="0"/>
          <w:sz w:val="28"/>
          <w:szCs w:val="28"/>
          <w:u w:val="single"/>
        </w:rPr>
        <w:t xml:space="preserve"> </w:t>
      </w:r>
    </w:p>
    <w:p w14:paraId="0BDF0170" w14:textId="77777777" w:rsidR="003F5CA1" w:rsidRPr="006C3B20" w:rsidRDefault="003F5CA1" w:rsidP="00901303">
      <w:pPr>
        <w:jc w:val="both"/>
        <w:rPr>
          <w:rFonts w:asciiTheme="minorHAnsi" w:hAnsiTheme="minorHAnsi" w:cs="Times New Roman"/>
          <w:color w:val="auto"/>
        </w:rPr>
      </w:pPr>
    </w:p>
    <w:p w14:paraId="0546D62C" w14:textId="178E5F6C" w:rsidR="00F45D9C" w:rsidRPr="00037B7F" w:rsidRDefault="00170248" w:rsidP="2CDD2216">
      <w:pPr>
        <w:suppressAutoHyphens/>
        <w:rPr>
          <w:rFonts w:asciiTheme="minorHAnsi" w:hAnsiTheme="minorHAnsi" w:cstheme="minorBidi"/>
          <w:color w:val="auto"/>
        </w:rPr>
      </w:pPr>
      <w:r w:rsidRPr="00037B7F">
        <w:rPr>
          <w:rFonts w:asciiTheme="minorHAnsi" w:hAnsiTheme="minorHAnsi" w:cstheme="minorBidi"/>
          <w:color w:val="auto"/>
          <w:spacing w:val="-2"/>
        </w:rPr>
        <w:t>Selection #</w:t>
      </w:r>
      <w:r w:rsidR="00F45D9C" w:rsidRPr="00037B7F">
        <w:rPr>
          <w:rFonts w:asciiTheme="minorHAnsi" w:hAnsiTheme="minorHAnsi" w:cstheme="minorBidi"/>
          <w:color w:val="auto"/>
          <w:spacing w:val="-2"/>
        </w:rPr>
        <w:t xml:space="preserve"> as assigned by </w:t>
      </w:r>
      <w:r w:rsidR="00360ACB" w:rsidRPr="00037B7F">
        <w:rPr>
          <w:rFonts w:asciiTheme="minorHAnsi" w:hAnsiTheme="minorHAnsi" w:cstheme="minorBidi"/>
          <w:color w:val="auto"/>
          <w:spacing w:val="-2"/>
        </w:rPr>
        <w:t>e-Tool:</w:t>
      </w:r>
      <w:r w:rsidR="001C3A41" w:rsidRPr="00037B7F">
        <w:rPr>
          <w:rFonts w:asciiTheme="minorHAnsi" w:hAnsiTheme="minorHAnsi" w:cstheme="minorBidi"/>
          <w:color w:val="auto"/>
          <w:spacing w:val="-2"/>
        </w:rPr>
        <w:t xml:space="preserve"> </w:t>
      </w:r>
      <w:r w:rsidR="00A353F0">
        <w:rPr>
          <w:rFonts w:asciiTheme="minorHAnsi" w:hAnsiTheme="minorHAnsi" w:cstheme="minorBidi"/>
          <w:color w:val="auto"/>
          <w:spacing w:val="-2"/>
        </w:rPr>
        <w:t>BH-T1078-P003</w:t>
      </w:r>
    </w:p>
    <w:p w14:paraId="0992F71B" w14:textId="080EFE33" w:rsidR="672BA234" w:rsidRPr="00037B7F" w:rsidRDefault="2CDD2216" w:rsidP="672BA234">
      <w:pPr>
        <w:rPr>
          <w:color w:val="auto"/>
        </w:rPr>
      </w:pPr>
      <w:r w:rsidRPr="00037B7F">
        <w:rPr>
          <w:rFonts w:asciiTheme="minorHAnsi" w:hAnsiTheme="minorHAnsi" w:cstheme="minorBidi"/>
          <w:color w:val="auto"/>
        </w:rPr>
        <w:t>Selection Method:</w:t>
      </w:r>
      <w:r w:rsidR="001C3A41" w:rsidRPr="00037B7F">
        <w:rPr>
          <w:rFonts w:asciiTheme="minorHAnsi" w:hAnsiTheme="minorHAnsi" w:cstheme="minorBidi"/>
          <w:color w:val="auto"/>
        </w:rPr>
        <w:t xml:space="preserve"> </w:t>
      </w:r>
      <w:r w:rsidR="00037B7F" w:rsidRPr="00037B7F">
        <w:rPr>
          <w:rFonts w:asciiTheme="minorHAnsi" w:hAnsiTheme="minorHAnsi" w:cstheme="minorBidi"/>
          <w:color w:val="auto"/>
        </w:rPr>
        <w:t>Full Competitive</w:t>
      </w:r>
    </w:p>
    <w:p w14:paraId="661E8539" w14:textId="5A8D2DC4" w:rsidR="00F45D9C" w:rsidRPr="00037B7F" w:rsidRDefault="00F45D9C" w:rsidP="2CDD2216">
      <w:pPr>
        <w:suppressAutoHyphens/>
        <w:rPr>
          <w:rFonts w:asciiTheme="minorHAnsi" w:hAnsiTheme="minorHAnsi" w:cstheme="minorBidi"/>
          <w:i/>
          <w:iCs/>
          <w:color w:val="auto"/>
        </w:rPr>
      </w:pPr>
      <w:r w:rsidRPr="00037B7F">
        <w:rPr>
          <w:rFonts w:asciiTheme="minorHAnsi" w:hAnsiTheme="minorHAnsi" w:cstheme="minorBidi"/>
          <w:color w:val="auto"/>
          <w:spacing w:val="-2"/>
        </w:rPr>
        <w:t xml:space="preserve">Country: </w:t>
      </w:r>
      <w:r w:rsidRPr="00037B7F">
        <w:rPr>
          <w:rFonts w:asciiTheme="minorHAnsi" w:hAnsiTheme="minorHAnsi" w:cstheme="minorBidi"/>
          <w:i/>
          <w:iCs/>
          <w:color w:val="auto"/>
        </w:rPr>
        <w:t xml:space="preserve"> </w:t>
      </w:r>
      <w:r w:rsidR="001C3A41" w:rsidRPr="00037B7F">
        <w:rPr>
          <w:rFonts w:asciiTheme="minorHAnsi" w:hAnsiTheme="minorHAnsi" w:cstheme="minorBidi"/>
          <w:i/>
          <w:iCs/>
          <w:color w:val="auto"/>
        </w:rPr>
        <w:t>Bahamas</w:t>
      </w:r>
    </w:p>
    <w:p w14:paraId="3BE9C14F" w14:textId="5945BE3F" w:rsidR="00F45D9C" w:rsidRPr="00037B7F" w:rsidRDefault="2CDD2216" w:rsidP="2CDD2216">
      <w:pPr>
        <w:suppressAutoHyphens/>
        <w:rPr>
          <w:rFonts w:asciiTheme="minorHAnsi" w:hAnsiTheme="minorHAnsi" w:cstheme="minorBidi"/>
          <w:i/>
          <w:iCs/>
          <w:color w:val="auto"/>
        </w:rPr>
      </w:pPr>
      <w:r w:rsidRPr="00037B7F">
        <w:rPr>
          <w:rFonts w:asciiTheme="minorHAnsi" w:hAnsiTheme="minorHAnsi" w:cstheme="minorBidi"/>
          <w:i/>
          <w:iCs/>
          <w:color w:val="auto"/>
        </w:rPr>
        <w:t>Sector:</w:t>
      </w:r>
      <w:r w:rsidR="001C3A41" w:rsidRPr="00037B7F">
        <w:rPr>
          <w:rFonts w:asciiTheme="minorHAnsi" w:hAnsiTheme="minorHAnsi" w:cstheme="minorBidi"/>
          <w:i/>
          <w:iCs/>
          <w:color w:val="auto"/>
        </w:rPr>
        <w:t xml:space="preserve"> Disaster Preparedness, Recovery &amp; Reconstruction</w:t>
      </w:r>
    </w:p>
    <w:p w14:paraId="11A9D93B" w14:textId="18DF4658" w:rsidR="00F45D9C" w:rsidRPr="00037B7F" w:rsidRDefault="2CDD2216" w:rsidP="2CDD2216">
      <w:pPr>
        <w:suppressAutoHyphens/>
        <w:rPr>
          <w:rFonts w:asciiTheme="minorHAnsi" w:hAnsiTheme="minorHAnsi" w:cstheme="minorBidi"/>
          <w:i/>
          <w:iCs/>
          <w:color w:val="auto"/>
        </w:rPr>
      </w:pPr>
      <w:r w:rsidRPr="00037B7F">
        <w:rPr>
          <w:rFonts w:asciiTheme="minorHAnsi" w:hAnsiTheme="minorHAnsi" w:cstheme="minorBidi"/>
          <w:i/>
          <w:iCs/>
          <w:color w:val="auto"/>
        </w:rPr>
        <w:t xml:space="preserve">Funding – </w:t>
      </w:r>
      <w:r w:rsidR="00037B7F" w:rsidRPr="00037B7F">
        <w:rPr>
          <w:rFonts w:ascii="OpenSans-Regular" w:hAnsi="OpenSans-Regular"/>
          <w:b/>
          <w:bCs/>
          <w:color w:val="auto"/>
          <w:sz w:val="20"/>
          <w:szCs w:val="20"/>
          <w:lang w:val="en"/>
        </w:rPr>
        <w:t>ATN/JF-17982-BH</w:t>
      </w:r>
      <w:r w:rsidR="00037B7F" w:rsidRPr="00037B7F">
        <w:rPr>
          <w:rFonts w:asciiTheme="minorHAnsi" w:hAnsiTheme="minorHAnsi" w:cstheme="minorBidi"/>
          <w:i/>
          <w:iCs/>
          <w:color w:val="auto"/>
        </w:rPr>
        <w:t xml:space="preserve">                          </w:t>
      </w:r>
    </w:p>
    <w:p w14:paraId="3BFF64A1" w14:textId="48ABFFD4" w:rsidR="00F45D9C" w:rsidRPr="00037B7F" w:rsidRDefault="2CDD2216" w:rsidP="00F45D9C">
      <w:pPr>
        <w:pStyle w:val="BodyText"/>
      </w:pPr>
      <w:r w:rsidRPr="00037B7F">
        <w:rPr>
          <w:rFonts w:asciiTheme="minorHAnsi" w:eastAsiaTheme="minorEastAsia" w:hAnsiTheme="minorHAnsi" w:cstheme="minorBidi"/>
          <w:i/>
          <w:iCs/>
        </w:rPr>
        <w:t>Project #:</w:t>
      </w:r>
      <w:r w:rsidR="001C3A41" w:rsidRPr="00037B7F">
        <w:rPr>
          <w:rFonts w:asciiTheme="minorHAnsi" w:eastAsiaTheme="minorEastAsia" w:hAnsiTheme="minorHAnsi" w:cstheme="minorBidi"/>
          <w:i/>
          <w:iCs/>
        </w:rPr>
        <w:t xml:space="preserve"> </w:t>
      </w:r>
      <w:r w:rsidR="00037B7F" w:rsidRPr="00037B7F">
        <w:rPr>
          <w:rFonts w:asciiTheme="minorHAnsi" w:eastAsiaTheme="minorEastAsia" w:hAnsiTheme="minorHAnsi" w:cstheme="minorBidi"/>
          <w:i/>
          <w:iCs/>
        </w:rPr>
        <w:t>BH-T1078</w:t>
      </w:r>
    </w:p>
    <w:p w14:paraId="4FC4572B" w14:textId="5268E824" w:rsidR="00F45D9C" w:rsidRPr="00037B7F" w:rsidRDefault="672BA234" w:rsidP="00170248">
      <w:pPr>
        <w:pStyle w:val="BodyText"/>
        <w:tabs>
          <w:tab w:val="left" w:pos="6645"/>
        </w:tabs>
      </w:pPr>
      <w:r w:rsidRPr="00037B7F">
        <w:rPr>
          <w:rFonts w:asciiTheme="minorHAnsi" w:eastAsiaTheme="minorEastAsia" w:hAnsiTheme="minorHAnsi" w:cstheme="minorBidi"/>
          <w:i/>
          <w:iCs/>
        </w:rPr>
        <w:t>TC name:</w:t>
      </w:r>
      <w:r w:rsidR="001C3A41" w:rsidRPr="00037B7F">
        <w:rPr>
          <w:rFonts w:asciiTheme="minorHAnsi" w:eastAsiaTheme="minorEastAsia" w:hAnsiTheme="minorHAnsi" w:cstheme="minorBidi"/>
          <w:i/>
          <w:iCs/>
        </w:rPr>
        <w:t xml:space="preserve"> Capacity Strengthening for a More Resilient Bahamas</w:t>
      </w:r>
      <w:r w:rsidR="00170248" w:rsidRPr="00037B7F">
        <w:rPr>
          <w:rFonts w:asciiTheme="minorHAnsi" w:eastAsiaTheme="minorEastAsia" w:hAnsiTheme="minorHAnsi" w:cstheme="minorBidi"/>
          <w:i/>
          <w:iCs/>
        </w:rPr>
        <w:tab/>
      </w:r>
    </w:p>
    <w:p w14:paraId="3A50EEED" w14:textId="03E54B3C" w:rsidR="00F45D9C" w:rsidRPr="00037B7F" w:rsidRDefault="4738AB8D" w:rsidP="4738AB8D">
      <w:pPr>
        <w:pStyle w:val="BodyText"/>
        <w:rPr>
          <w:rFonts w:asciiTheme="minorHAnsi" w:eastAsiaTheme="minorEastAsia" w:hAnsiTheme="minorHAnsi" w:cstheme="minorBidi"/>
          <w:i/>
          <w:iCs/>
        </w:rPr>
      </w:pPr>
      <w:r w:rsidRPr="00037B7F">
        <w:rPr>
          <w:rFonts w:asciiTheme="minorHAnsi" w:eastAsiaTheme="minorEastAsia" w:hAnsiTheme="minorHAnsi" w:cstheme="minorBidi"/>
          <w:i/>
          <w:iCs/>
        </w:rPr>
        <w:t xml:space="preserve">Description of Services: </w:t>
      </w:r>
      <w:r w:rsidR="001C3A41" w:rsidRPr="00037B7F">
        <w:rPr>
          <w:rFonts w:asciiTheme="minorHAnsi" w:eastAsiaTheme="minorEastAsia" w:hAnsiTheme="minorHAnsi" w:cstheme="minorBidi"/>
          <w:i/>
          <w:iCs/>
        </w:rPr>
        <w:t xml:space="preserve">Consultancy for the development and piloting of a Toolkit for preparing an urban Land Use Plan in the Family Islands </w:t>
      </w:r>
      <w:r w:rsidRPr="00037B7F">
        <w:rPr>
          <w:rFonts w:asciiTheme="minorHAnsi" w:eastAsiaTheme="minorEastAsia" w:hAnsiTheme="minorHAnsi" w:cstheme="minorBidi"/>
          <w:i/>
          <w:iCs/>
        </w:rPr>
        <w:t xml:space="preserve"> </w:t>
      </w:r>
    </w:p>
    <w:p w14:paraId="0E83F765" w14:textId="0162EAD9" w:rsidR="00A518CC" w:rsidRPr="00037B7F" w:rsidRDefault="00A518CC" w:rsidP="4738AB8D">
      <w:pPr>
        <w:pStyle w:val="BodyText"/>
        <w:rPr>
          <w:rFonts w:asciiTheme="minorHAnsi" w:eastAsiaTheme="minorEastAsia" w:hAnsiTheme="minorHAnsi" w:cstheme="minorBidi"/>
          <w:i/>
          <w:iCs/>
        </w:rPr>
      </w:pPr>
      <w:r w:rsidRPr="00037B7F">
        <w:rPr>
          <w:rFonts w:asciiTheme="minorHAnsi" w:eastAsiaTheme="minorEastAsia" w:hAnsiTheme="minorHAnsi" w:cstheme="minorBidi"/>
          <w:i/>
          <w:iCs/>
        </w:rPr>
        <w:t>Date</w:t>
      </w:r>
      <w:r w:rsidR="00037B7F" w:rsidRPr="00037B7F">
        <w:rPr>
          <w:rFonts w:asciiTheme="minorHAnsi" w:eastAsiaTheme="minorEastAsia" w:hAnsiTheme="minorHAnsi" w:cstheme="minorBidi"/>
          <w:i/>
          <w:iCs/>
        </w:rPr>
        <w:t xml:space="preserve"> for submission: January </w:t>
      </w:r>
      <w:r w:rsidR="00FF1373">
        <w:rPr>
          <w:rFonts w:asciiTheme="minorHAnsi" w:eastAsiaTheme="minorEastAsia" w:hAnsiTheme="minorHAnsi" w:cstheme="minorBidi"/>
          <w:i/>
          <w:iCs/>
        </w:rPr>
        <w:t>2</w:t>
      </w:r>
      <w:r w:rsidR="00D93EE6">
        <w:rPr>
          <w:rFonts w:asciiTheme="minorHAnsi" w:eastAsiaTheme="minorEastAsia" w:hAnsiTheme="minorHAnsi" w:cstheme="minorBidi"/>
          <w:i/>
          <w:iCs/>
        </w:rPr>
        <w:t>5</w:t>
      </w:r>
      <w:r w:rsidR="00037B7F" w:rsidRPr="00037B7F">
        <w:rPr>
          <w:rFonts w:asciiTheme="minorHAnsi" w:eastAsiaTheme="minorEastAsia" w:hAnsiTheme="minorHAnsi" w:cstheme="minorBidi"/>
          <w:i/>
          <w:iCs/>
          <w:vertAlign w:val="superscript"/>
        </w:rPr>
        <w:t>th</w:t>
      </w:r>
      <w:r w:rsidR="00037B7F" w:rsidRPr="00037B7F">
        <w:rPr>
          <w:rFonts w:asciiTheme="minorHAnsi" w:eastAsiaTheme="minorEastAsia" w:hAnsiTheme="minorHAnsi" w:cstheme="minorBidi"/>
          <w:i/>
          <w:iCs/>
        </w:rPr>
        <w:t>, 2021</w:t>
      </w:r>
    </w:p>
    <w:p w14:paraId="4DEADFED" w14:textId="77777777" w:rsidR="00F45D9C" w:rsidRDefault="00F45D9C" w:rsidP="00F45D9C">
      <w:pPr>
        <w:pStyle w:val="BodyText"/>
        <w:rPr>
          <w:rFonts w:asciiTheme="minorHAnsi" w:hAnsiTheme="minorHAnsi" w:cstheme="minorHAnsi"/>
          <w:i/>
          <w:color w:val="0070C0"/>
          <w:szCs w:val="24"/>
        </w:rPr>
      </w:pPr>
    </w:p>
    <w:p w14:paraId="469D5B2B" w14:textId="74E802D5" w:rsidR="00F45D9C" w:rsidRDefault="4738AB8D" w:rsidP="4738AB8D">
      <w:pPr>
        <w:pStyle w:val="BodyText"/>
        <w:rPr>
          <w:rFonts w:asciiTheme="minorHAnsi" w:eastAsiaTheme="minorEastAsia" w:hAnsiTheme="minorHAnsi" w:cstheme="minorBidi"/>
          <w:i/>
          <w:iCs/>
          <w:color w:val="0070C0"/>
        </w:rPr>
      </w:pPr>
      <w:r w:rsidRPr="4738AB8D">
        <w:rPr>
          <w:rFonts w:asciiTheme="minorHAnsi" w:eastAsiaTheme="minorEastAsia" w:hAnsiTheme="minorHAnsi" w:cstheme="minorBidi"/>
          <w:i/>
          <w:iCs/>
          <w:color w:val="0070C0"/>
        </w:rPr>
        <w:t xml:space="preserve">Link to TC document: </w:t>
      </w:r>
      <w:hyperlink r:id="rId14" w:history="1">
        <w:r w:rsidR="00FF1373" w:rsidRPr="00FF4129">
          <w:rPr>
            <w:rStyle w:val="Hyperlink"/>
            <w:rFonts w:asciiTheme="minorHAnsi" w:eastAsiaTheme="minorEastAsia" w:hAnsiTheme="minorHAnsi" w:cstheme="minorBidi"/>
            <w:i/>
            <w:iCs/>
          </w:rPr>
          <w:t>https://www.iadb.org/projects/document/EZSHARE-98527652-22?project=BH-T1078</w:t>
        </w:r>
      </w:hyperlink>
      <w:r w:rsidR="00FF1373">
        <w:rPr>
          <w:rFonts w:asciiTheme="minorHAnsi" w:eastAsiaTheme="minorEastAsia" w:hAnsiTheme="minorHAnsi" w:cstheme="minorBidi"/>
          <w:i/>
          <w:iCs/>
          <w:color w:val="0070C0"/>
        </w:rPr>
        <w:t xml:space="preserve"> </w:t>
      </w:r>
    </w:p>
    <w:p w14:paraId="1DBF52D2" w14:textId="77777777" w:rsidR="00F45D9C" w:rsidRDefault="00F45D9C" w:rsidP="00F45D9C">
      <w:pPr>
        <w:pStyle w:val="BodyText"/>
        <w:rPr>
          <w:rFonts w:asciiTheme="minorHAnsi" w:hAnsiTheme="minorHAnsi" w:cstheme="minorHAnsi"/>
          <w:i/>
          <w:color w:val="0070C0"/>
          <w:szCs w:val="24"/>
        </w:rPr>
      </w:pPr>
    </w:p>
    <w:p w14:paraId="52D780AC" w14:textId="64A655D8" w:rsidR="002E7B51" w:rsidRDefault="00F45D9C" w:rsidP="002E7B51">
      <w:pPr>
        <w:spacing w:line="320" w:lineRule="atLeast"/>
        <w:jc w:val="both"/>
        <w:rPr>
          <w:rFonts w:asciiTheme="minorHAnsi" w:hAnsiTheme="minorHAnsi" w:cstheme="minorBidi"/>
          <w:color w:val="auto"/>
        </w:rPr>
      </w:pPr>
      <w:r w:rsidRPr="2CDD2216">
        <w:rPr>
          <w:rFonts w:asciiTheme="minorHAnsi" w:hAnsiTheme="minorHAnsi" w:cstheme="minorBidi"/>
          <w:color w:val="auto"/>
        </w:rPr>
        <w:t xml:space="preserve">The Inter-American Development Bank (IDB) is executing the </w:t>
      </w:r>
      <w:r w:rsidR="001C3A41" w:rsidRPr="2CDD2216">
        <w:rPr>
          <w:rFonts w:asciiTheme="minorHAnsi" w:hAnsiTheme="minorHAnsi" w:cstheme="minorBidi"/>
          <w:color w:val="auto"/>
        </w:rPr>
        <w:t>above-mentioned</w:t>
      </w:r>
      <w:r w:rsidRPr="2CDD2216">
        <w:rPr>
          <w:rFonts w:asciiTheme="minorHAnsi" w:hAnsiTheme="minorHAnsi" w:cstheme="minorBidi"/>
          <w:color w:val="auto"/>
        </w:rPr>
        <w:t xml:space="preserve"> </w:t>
      </w:r>
      <w:r w:rsidR="001C3A41">
        <w:rPr>
          <w:rFonts w:asciiTheme="minorHAnsi" w:hAnsiTheme="minorHAnsi" w:cstheme="minorBidi"/>
          <w:color w:val="auto"/>
        </w:rPr>
        <w:t xml:space="preserve">Technical Cooperation with the </w:t>
      </w:r>
      <w:r w:rsidR="00FF1373">
        <w:rPr>
          <w:rFonts w:asciiTheme="minorHAnsi" w:hAnsiTheme="minorHAnsi" w:cstheme="minorBidi"/>
          <w:color w:val="auto"/>
        </w:rPr>
        <w:t>Government of The Bahamas (</w:t>
      </w:r>
      <w:proofErr w:type="spellStart"/>
      <w:r w:rsidR="001C3A41">
        <w:rPr>
          <w:rFonts w:asciiTheme="minorHAnsi" w:hAnsiTheme="minorHAnsi" w:cstheme="minorBidi"/>
          <w:color w:val="auto"/>
        </w:rPr>
        <w:t>GoBH</w:t>
      </w:r>
      <w:proofErr w:type="spellEnd"/>
      <w:r w:rsidR="00FF1373">
        <w:rPr>
          <w:rFonts w:asciiTheme="minorHAnsi" w:hAnsiTheme="minorHAnsi" w:cstheme="minorBidi"/>
          <w:color w:val="auto"/>
        </w:rPr>
        <w:t>)</w:t>
      </w:r>
      <w:r w:rsidRPr="2CDD2216">
        <w:rPr>
          <w:rFonts w:asciiTheme="minorHAnsi" w:hAnsiTheme="minorHAnsi" w:cstheme="minorBidi"/>
          <w:color w:val="auto"/>
        </w:rPr>
        <w:t xml:space="preserve">.  For this operation, the IDB </w:t>
      </w:r>
      <w:r w:rsidRPr="2CDD2216">
        <w:rPr>
          <w:rFonts w:asciiTheme="minorHAnsi" w:hAnsiTheme="minorHAnsi" w:cstheme="minorBidi"/>
          <w:spacing w:val="-2"/>
        </w:rPr>
        <w:t>intends to contract consulting services described in this Request for Expressions of Interest.</w:t>
      </w:r>
      <w:r w:rsidR="002E7B51">
        <w:rPr>
          <w:rFonts w:asciiTheme="minorHAnsi" w:hAnsiTheme="minorHAnsi" w:cstheme="minorBidi"/>
          <w:spacing w:val="-2"/>
        </w:rPr>
        <w:t xml:space="preserve"> </w:t>
      </w:r>
      <w:r w:rsidR="002E7B51" w:rsidRPr="6D59273E">
        <w:rPr>
          <w:rFonts w:asciiTheme="minorHAnsi" w:hAnsiTheme="minorHAnsi" w:cstheme="minorBidi"/>
          <w:color w:val="auto"/>
        </w:rPr>
        <w:t>Expressions of interest must be delivered</w:t>
      </w:r>
      <w:r w:rsidR="002E7B51">
        <w:rPr>
          <w:rFonts w:asciiTheme="minorHAnsi" w:hAnsiTheme="minorHAnsi" w:cstheme="minorBidi"/>
          <w:color w:val="auto"/>
        </w:rPr>
        <w:t xml:space="preserve"> </w:t>
      </w:r>
      <w:r w:rsidR="002E7B51" w:rsidRPr="6D59273E">
        <w:rPr>
          <w:rFonts w:asciiTheme="minorHAnsi" w:hAnsiTheme="minorHAnsi" w:cstheme="minorBidi"/>
          <w:color w:val="auto"/>
        </w:rPr>
        <w:t>using the IDB Portal for Bank Executed Operations (</w:t>
      </w:r>
      <w:r w:rsidR="002E7B51" w:rsidRPr="6D59273E">
        <w:t xml:space="preserve"> </w:t>
      </w:r>
      <w:hyperlink r:id="rId15" w:history="1">
        <w:r w:rsidR="002E7B51" w:rsidRPr="6D59273E">
          <w:rPr>
            <w:rStyle w:val="Hyperlink"/>
            <w:rFonts w:asciiTheme="minorHAnsi" w:hAnsiTheme="minorHAnsi" w:cstheme="minorBidi"/>
          </w:rPr>
          <w:t>http://beo-procurement.iadb.org/home</w:t>
        </w:r>
      </w:hyperlink>
      <w:r w:rsidR="002E7B51" w:rsidRPr="6D59273E">
        <w:rPr>
          <w:rFonts w:asciiTheme="minorHAnsi" w:hAnsiTheme="minorHAnsi" w:cstheme="minorBidi"/>
          <w:color w:val="auto"/>
        </w:rPr>
        <w:t xml:space="preserve">) </w:t>
      </w:r>
      <w:r w:rsidR="00FF1373" w:rsidRPr="6D59273E">
        <w:rPr>
          <w:rFonts w:asciiTheme="minorHAnsi" w:hAnsiTheme="minorHAnsi" w:cstheme="minorBidi"/>
          <w:color w:val="auto"/>
        </w:rPr>
        <w:t>by</w:t>
      </w:r>
      <w:r w:rsidR="002E7B51">
        <w:rPr>
          <w:rFonts w:asciiTheme="minorHAnsi" w:hAnsiTheme="minorHAnsi" w:cstheme="minorBidi"/>
          <w:color w:val="auto"/>
        </w:rPr>
        <w:t xml:space="preserve"> </w:t>
      </w:r>
      <w:r w:rsidR="00037B7F">
        <w:rPr>
          <w:rFonts w:asciiTheme="minorHAnsi" w:hAnsiTheme="minorHAnsi" w:cstheme="minorBidi"/>
          <w:color w:val="auto"/>
        </w:rPr>
        <w:t xml:space="preserve">January </w:t>
      </w:r>
      <w:r w:rsidR="00FF1373">
        <w:rPr>
          <w:rFonts w:asciiTheme="minorHAnsi" w:hAnsiTheme="minorHAnsi" w:cstheme="minorBidi"/>
          <w:color w:val="auto"/>
        </w:rPr>
        <w:t>2</w:t>
      </w:r>
      <w:r w:rsidR="00D93EE6">
        <w:rPr>
          <w:rFonts w:asciiTheme="minorHAnsi" w:hAnsiTheme="minorHAnsi" w:cstheme="minorBidi"/>
          <w:color w:val="auto"/>
        </w:rPr>
        <w:t>5</w:t>
      </w:r>
      <w:r w:rsidR="00037B7F">
        <w:rPr>
          <w:rFonts w:asciiTheme="minorHAnsi" w:hAnsiTheme="minorHAnsi" w:cstheme="minorBidi"/>
          <w:color w:val="auto"/>
        </w:rPr>
        <w:t>th</w:t>
      </w:r>
      <w:r w:rsidR="002E7B51">
        <w:rPr>
          <w:rFonts w:asciiTheme="minorHAnsi" w:hAnsiTheme="minorHAnsi" w:cstheme="minorBidi"/>
          <w:color w:val="auto"/>
        </w:rPr>
        <w:t>,</w:t>
      </w:r>
      <w:r w:rsidR="00037B7F">
        <w:rPr>
          <w:rFonts w:asciiTheme="minorHAnsi" w:hAnsiTheme="minorHAnsi" w:cstheme="minorBidi"/>
          <w:color w:val="auto"/>
        </w:rPr>
        <w:t xml:space="preserve"> 2021</w:t>
      </w:r>
      <w:r w:rsidR="002E7B51">
        <w:rPr>
          <w:rFonts w:asciiTheme="minorHAnsi" w:hAnsiTheme="minorHAnsi" w:cstheme="minorBidi"/>
          <w:color w:val="auto"/>
        </w:rPr>
        <w:t xml:space="preserve"> </w:t>
      </w:r>
      <w:r w:rsidR="002E7B51" w:rsidRPr="6D59273E">
        <w:rPr>
          <w:rFonts w:asciiTheme="minorHAnsi" w:hAnsiTheme="minorHAnsi" w:cstheme="minorBidi"/>
          <w:color w:val="auto"/>
        </w:rPr>
        <w:t>5</w:t>
      </w:r>
      <w:r w:rsidR="002E7B51">
        <w:rPr>
          <w:rFonts w:asciiTheme="minorHAnsi" w:hAnsiTheme="minorHAnsi" w:cstheme="minorBidi"/>
          <w:color w:val="auto"/>
        </w:rPr>
        <w:t xml:space="preserve">:00 </w:t>
      </w:r>
      <w:r w:rsidR="003C6547">
        <w:rPr>
          <w:rFonts w:asciiTheme="minorHAnsi" w:hAnsiTheme="minorHAnsi" w:cstheme="minorBidi"/>
          <w:color w:val="auto"/>
        </w:rPr>
        <w:t>P.M.</w:t>
      </w:r>
      <w:r w:rsidR="002E7B51" w:rsidRPr="6D59273E">
        <w:rPr>
          <w:rFonts w:asciiTheme="minorHAnsi" w:hAnsiTheme="minorHAnsi" w:cstheme="minorBidi"/>
          <w:color w:val="auto"/>
        </w:rPr>
        <w:t xml:space="preserve"> (Washington D.C. Time)</w:t>
      </w:r>
      <w:r w:rsidR="002E7B51">
        <w:rPr>
          <w:rFonts w:asciiTheme="minorHAnsi" w:hAnsiTheme="minorHAnsi" w:cstheme="minorBidi"/>
          <w:color w:val="auto"/>
        </w:rPr>
        <w:t>.</w:t>
      </w:r>
    </w:p>
    <w:p w14:paraId="30703B39" w14:textId="77777777" w:rsidR="00F45D9C" w:rsidRPr="00AE7268" w:rsidRDefault="00F45D9C" w:rsidP="00F45D9C">
      <w:pPr>
        <w:spacing w:line="320" w:lineRule="atLeast"/>
        <w:jc w:val="both"/>
        <w:rPr>
          <w:rFonts w:asciiTheme="minorHAnsi" w:hAnsiTheme="minorHAnsi" w:cstheme="minorHAnsi"/>
          <w:spacing w:val="-2"/>
        </w:rPr>
      </w:pPr>
    </w:p>
    <w:p w14:paraId="1C35A3FE" w14:textId="51454894" w:rsidR="001C3A41" w:rsidRDefault="00F45D9C" w:rsidP="2CDD2216">
      <w:pPr>
        <w:suppressAutoHyphens/>
        <w:jc w:val="both"/>
        <w:rPr>
          <w:rFonts w:asciiTheme="minorHAnsi" w:hAnsiTheme="minorHAnsi" w:cstheme="minorBidi"/>
          <w:spacing w:val="-2"/>
        </w:rPr>
      </w:pPr>
      <w:r w:rsidRPr="2CDD2216">
        <w:rPr>
          <w:rFonts w:asciiTheme="minorHAnsi" w:hAnsiTheme="minorHAnsi" w:cstheme="minorBidi"/>
          <w:spacing w:val="-2"/>
        </w:rPr>
        <w:t xml:space="preserve">The consulting services (“the Services”) </w:t>
      </w:r>
      <w:r w:rsidR="00960134">
        <w:rPr>
          <w:rFonts w:asciiTheme="minorHAnsi" w:hAnsiTheme="minorHAnsi" w:cstheme="minorBidi"/>
          <w:spacing w:val="-2"/>
        </w:rPr>
        <w:t>objectives are</w:t>
      </w:r>
      <w:r w:rsidR="001C3A41">
        <w:rPr>
          <w:rFonts w:asciiTheme="minorHAnsi" w:hAnsiTheme="minorHAnsi" w:cstheme="minorBidi"/>
          <w:spacing w:val="-2"/>
        </w:rPr>
        <w:t>:</w:t>
      </w:r>
    </w:p>
    <w:p w14:paraId="5E411500" w14:textId="01CF8C3A" w:rsidR="001C3A41" w:rsidRDefault="001C3A41" w:rsidP="2CDD2216">
      <w:pPr>
        <w:suppressAutoHyphens/>
        <w:jc w:val="both"/>
        <w:rPr>
          <w:rFonts w:asciiTheme="minorHAnsi" w:hAnsiTheme="minorHAnsi" w:cstheme="minorBidi"/>
          <w:spacing w:val="-2"/>
        </w:rPr>
      </w:pPr>
    </w:p>
    <w:p w14:paraId="4030A5C0" w14:textId="11275FA0" w:rsidR="00960134" w:rsidRPr="00037B7F" w:rsidRDefault="00960134" w:rsidP="00960134">
      <w:pPr>
        <w:suppressAutoHyphens/>
        <w:jc w:val="both"/>
        <w:rPr>
          <w:rFonts w:asciiTheme="minorHAnsi" w:hAnsiTheme="minorHAnsi" w:cstheme="minorBidi"/>
          <w:spacing w:val="-2"/>
          <w:sz w:val="20"/>
          <w:szCs w:val="20"/>
        </w:rPr>
      </w:pPr>
      <w:r w:rsidRPr="00037B7F">
        <w:rPr>
          <w:rFonts w:asciiTheme="minorHAnsi" w:hAnsiTheme="minorHAnsi" w:cstheme="minorBidi"/>
          <w:spacing w:val="-2"/>
          <w:sz w:val="20"/>
          <w:szCs w:val="20"/>
        </w:rPr>
        <w:t>Coastal urban/sub-urban areas in The Bahamas play a key role in the socioeconomic activities through the generation of economic, social, and cultural activities, diffusion of innovation, concentration of specialized labor, and provision of educational and recreational services. Because all urban/sub-urban areas of the country lie in the coastal area, the Bahamas is highly vulnerable to coastal hazards and risk, including hurricanes which put at risk both economic activities and associated infrastructure along the coast of both New Providence and the Family Islands. The Bahamas’ vulnerability to natural hazards is likely to worsen with climate change, which is projected to exacerbate storm surges and floods linked to more frequent and extreme, as well as slow-moving hurricanes. Given its low-lying topography, additionally, the country is highly vulnerable to Sea Level Rise (SLR) with impacts likely to include increased coastal flooding and erosion, mangrove retreat and loss of associated ecosystem services, decreased seagrass bed productivity, and saltwater intrusion into the small lenses of fresh groundwater.</w:t>
      </w:r>
    </w:p>
    <w:p w14:paraId="255386C6" w14:textId="77777777" w:rsidR="00960134" w:rsidRPr="00037B7F" w:rsidRDefault="00960134" w:rsidP="00960134">
      <w:pPr>
        <w:suppressAutoHyphens/>
        <w:jc w:val="both"/>
        <w:rPr>
          <w:rFonts w:asciiTheme="minorHAnsi" w:hAnsiTheme="minorHAnsi" w:cstheme="minorBidi"/>
          <w:spacing w:val="-2"/>
          <w:sz w:val="20"/>
          <w:szCs w:val="20"/>
        </w:rPr>
      </w:pPr>
    </w:p>
    <w:p w14:paraId="10663379" w14:textId="4E92333C" w:rsidR="00960134" w:rsidRPr="00037B7F" w:rsidRDefault="00960134" w:rsidP="00960134">
      <w:pPr>
        <w:suppressAutoHyphens/>
        <w:jc w:val="both"/>
        <w:rPr>
          <w:rFonts w:asciiTheme="minorHAnsi" w:hAnsiTheme="minorHAnsi" w:cstheme="minorBidi"/>
          <w:spacing w:val="-2"/>
          <w:sz w:val="20"/>
          <w:szCs w:val="20"/>
        </w:rPr>
      </w:pPr>
      <w:r w:rsidRPr="00037B7F">
        <w:rPr>
          <w:rFonts w:asciiTheme="minorHAnsi" w:hAnsiTheme="minorHAnsi" w:cstheme="minorBidi"/>
          <w:spacing w:val="-2"/>
          <w:sz w:val="20"/>
          <w:szCs w:val="20"/>
        </w:rPr>
        <w:t xml:space="preserve">Urban/suburban areas in the Family Islands present particularly complex and interrelated challenges in terms of their high natural hazard and climate change-associated risks, limited infrastructure, scarce land, and under-resourced capacity for urban planning and resilient infrastructure design and implementation. Overcoming the challenges of these coastal urban and sub-urban areas in the Family Islands requires the development of a customized approach to land use and infrastructure planning in a Family Island context, and capacity building of public officers at the national and local levels. </w:t>
      </w:r>
    </w:p>
    <w:p w14:paraId="3BD15EC2" w14:textId="77777777" w:rsidR="00960134" w:rsidRPr="00037B7F" w:rsidRDefault="00960134" w:rsidP="00960134">
      <w:pPr>
        <w:suppressAutoHyphens/>
        <w:jc w:val="both"/>
        <w:rPr>
          <w:rFonts w:asciiTheme="minorHAnsi" w:hAnsiTheme="minorHAnsi" w:cstheme="minorBidi"/>
          <w:spacing w:val="-2"/>
          <w:sz w:val="20"/>
          <w:szCs w:val="20"/>
        </w:rPr>
      </w:pPr>
    </w:p>
    <w:p w14:paraId="12433DC7" w14:textId="77972600" w:rsidR="001C3A41" w:rsidRPr="00037B7F" w:rsidRDefault="00960134" w:rsidP="00960134">
      <w:pPr>
        <w:suppressAutoHyphens/>
        <w:jc w:val="both"/>
        <w:rPr>
          <w:rFonts w:asciiTheme="minorHAnsi" w:hAnsiTheme="minorHAnsi" w:cstheme="minorBidi"/>
          <w:spacing w:val="-2"/>
          <w:sz w:val="20"/>
          <w:szCs w:val="20"/>
        </w:rPr>
      </w:pPr>
      <w:r w:rsidRPr="00037B7F">
        <w:rPr>
          <w:rFonts w:asciiTheme="minorHAnsi" w:hAnsiTheme="minorHAnsi" w:cstheme="minorBidi"/>
          <w:spacing w:val="-2"/>
          <w:sz w:val="20"/>
          <w:szCs w:val="20"/>
        </w:rPr>
        <w:t>As a response to these challenges, the Bank will support the country, to develop and pilot Toolkit for preparing an urban Land Use Plan in the Family Islands.</w:t>
      </w:r>
    </w:p>
    <w:p w14:paraId="5D97A313" w14:textId="1D57FC53" w:rsidR="00960134" w:rsidRPr="00037B7F" w:rsidRDefault="00960134" w:rsidP="00960134">
      <w:pPr>
        <w:suppressAutoHyphens/>
        <w:jc w:val="both"/>
        <w:rPr>
          <w:rFonts w:asciiTheme="minorHAnsi" w:hAnsiTheme="minorHAnsi" w:cstheme="minorBidi"/>
          <w:spacing w:val="-2"/>
          <w:sz w:val="20"/>
          <w:szCs w:val="20"/>
        </w:rPr>
      </w:pPr>
    </w:p>
    <w:p w14:paraId="43AD2578" w14:textId="77777777" w:rsidR="00960134" w:rsidRPr="00037B7F" w:rsidRDefault="00960134" w:rsidP="00960134">
      <w:pPr>
        <w:suppressAutoHyphens/>
        <w:jc w:val="both"/>
        <w:rPr>
          <w:rFonts w:asciiTheme="minorHAnsi" w:hAnsiTheme="minorHAnsi" w:cstheme="minorBidi"/>
          <w:spacing w:val="-2"/>
          <w:sz w:val="20"/>
          <w:szCs w:val="20"/>
        </w:rPr>
      </w:pPr>
    </w:p>
    <w:p w14:paraId="5377CF9F" w14:textId="439C47BE" w:rsidR="00960134" w:rsidRPr="00037B7F" w:rsidRDefault="00960134" w:rsidP="00960134">
      <w:pPr>
        <w:suppressAutoHyphens/>
        <w:jc w:val="both"/>
        <w:rPr>
          <w:rFonts w:asciiTheme="minorHAnsi" w:hAnsiTheme="minorHAnsi" w:cstheme="minorBidi"/>
          <w:spacing w:val="-2"/>
          <w:sz w:val="20"/>
          <w:szCs w:val="20"/>
        </w:rPr>
      </w:pPr>
      <w:r w:rsidRPr="00037B7F">
        <w:rPr>
          <w:rFonts w:asciiTheme="minorHAnsi" w:hAnsiTheme="minorHAnsi" w:cstheme="minorBidi"/>
          <w:spacing w:val="-2"/>
          <w:sz w:val="20"/>
          <w:szCs w:val="20"/>
        </w:rPr>
        <w:t xml:space="preserve">The </w:t>
      </w:r>
      <w:r w:rsidR="00037B7F">
        <w:rPr>
          <w:rFonts w:asciiTheme="minorHAnsi" w:hAnsiTheme="minorHAnsi" w:cstheme="minorBidi"/>
          <w:spacing w:val="-2"/>
          <w:sz w:val="20"/>
          <w:szCs w:val="20"/>
        </w:rPr>
        <w:t xml:space="preserve">consultancy </w:t>
      </w:r>
      <w:r w:rsidRPr="00037B7F">
        <w:rPr>
          <w:rFonts w:asciiTheme="minorHAnsi" w:hAnsiTheme="minorHAnsi" w:cstheme="minorBidi"/>
          <w:spacing w:val="-2"/>
          <w:sz w:val="20"/>
          <w:szCs w:val="20"/>
        </w:rPr>
        <w:t>services included:</w:t>
      </w:r>
    </w:p>
    <w:p w14:paraId="635959E7" w14:textId="77777777" w:rsidR="001C3A41" w:rsidRPr="00037B7F" w:rsidRDefault="001C3A41" w:rsidP="2CDD2216">
      <w:pPr>
        <w:suppressAutoHyphens/>
        <w:jc w:val="both"/>
        <w:rPr>
          <w:rFonts w:asciiTheme="minorHAnsi" w:hAnsiTheme="minorHAnsi" w:cstheme="minorBidi"/>
          <w:spacing w:val="-2"/>
          <w:sz w:val="20"/>
          <w:szCs w:val="20"/>
        </w:rPr>
      </w:pPr>
    </w:p>
    <w:p w14:paraId="4AA894DB" w14:textId="733EFB5E" w:rsidR="001C3A41" w:rsidRPr="00037B7F" w:rsidRDefault="001C3A41" w:rsidP="001C3A41">
      <w:pPr>
        <w:pStyle w:val="ListParagraph"/>
        <w:numPr>
          <w:ilvl w:val="0"/>
          <w:numId w:val="1"/>
        </w:numPr>
        <w:suppressAutoHyphens/>
        <w:jc w:val="both"/>
        <w:rPr>
          <w:rFonts w:asciiTheme="minorHAnsi" w:hAnsiTheme="minorHAnsi" w:cstheme="minorBidi"/>
          <w:spacing w:val="-2"/>
          <w:sz w:val="20"/>
          <w:szCs w:val="20"/>
        </w:rPr>
      </w:pPr>
      <w:r w:rsidRPr="00037B7F">
        <w:rPr>
          <w:rFonts w:asciiTheme="minorHAnsi" w:hAnsiTheme="minorHAnsi" w:cstheme="minorBidi"/>
          <w:spacing w:val="-2"/>
          <w:sz w:val="20"/>
          <w:szCs w:val="20"/>
        </w:rPr>
        <w:t xml:space="preserve">To provide technical support for the </w:t>
      </w:r>
      <w:proofErr w:type="spellStart"/>
      <w:r w:rsidRPr="00037B7F">
        <w:rPr>
          <w:rFonts w:asciiTheme="minorHAnsi" w:hAnsiTheme="minorHAnsi" w:cstheme="minorBidi"/>
          <w:spacing w:val="-2"/>
          <w:sz w:val="20"/>
          <w:szCs w:val="20"/>
        </w:rPr>
        <w:t>GoBH</w:t>
      </w:r>
      <w:proofErr w:type="spellEnd"/>
      <w:r w:rsidRPr="00037B7F">
        <w:rPr>
          <w:rFonts w:asciiTheme="minorHAnsi" w:hAnsiTheme="minorHAnsi" w:cstheme="minorBidi"/>
          <w:spacing w:val="-2"/>
          <w:sz w:val="20"/>
          <w:szCs w:val="20"/>
        </w:rPr>
        <w:t xml:space="preserve"> to develop and pilot a Toolkit for preparing an urban Land Use Plan in the Family </w:t>
      </w:r>
      <w:r w:rsidR="00037B7F" w:rsidRPr="00037B7F">
        <w:rPr>
          <w:rFonts w:asciiTheme="minorHAnsi" w:hAnsiTheme="minorHAnsi" w:cstheme="minorBidi"/>
          <w:spacing w:val="-2"/>
          <w:sz w:val="20"/>
          <w:szCs w:val="20"/>
        </w:rPr>
        <w:t>Islands.</w:t>
      </w:r>
    </w:p>
    <w:p w14:paraId="40636A14" w14:textId="77777777" w:rsidR="001C3A41" w:rsidRPr="00037B7F" w:rsidRDefault="001C3A41" w:rsidP="001C3A41">
      <w:pPr>
        <w:suppressAutoHyphens/>
        <w:jc w:val="both"/>
        <w:rPr>
          <w:rFonts w:asciiTheme="minorHAnsi" w:hAnsiTheme="minorHAnsi" w:cstheme="minorBidi"/>
          <w:spacing w:val="-2"/>
          <w:sz w:val="20"/>
          <w:szCs w:val="20"/>
        </w:rPr>
      </w:pPr>
    </w:p>
    <w:p w14:paraId="0766B3CB" w14:textId="5949EEAB" w:rsidR="00F45D9C" w:rsidRPr="00037B7F" w:rsidRDefault="00037B7F" w:rsidP="001C3A41">
      <w:pPr>
        <w:pStyle w:val="ListParagraph"/>
        <w:numPr>
          <w:ilvl w:val="0"/>
          <w:numId w:val="1"/>
        </w:numPr>
        <w:suppressAutoHyphens/>
        <w:jc w:val="both"/>
        <w:rPr>
          <w:rFonts w:asciiTheme="minorHAnsi" w:hAnsiTheme="minorHAnsi" w:cs="Times New Roman"/>
          <w:color w:val="auto"/>
          <w:sz w:val="20"/>
          <w:szCs w:val="20"/>
        </w:rPr>
      </w:pPr>
      <w:r w:rsidRPr="00037B7F">
        <w:rPr>
          <w:rFonts w:asciiTheme="minorHAnsi" w:hAnsiTheme="minorHAnsi" w:cstheme="minorBidi"/>
          <w:spacing w:val="-2"/>
          <w:sz w:val="20"/>
          <w:szCs w:val="20"/>
        </w:rPr>
        <w:t>The Toolkit for Land Use Plan preparation</w:t>
      </w:r>
      <w:r w:rsidR="001C3A41" w:rsidRPr="00037B7F">
        <w:rPr>
          <w:rFonts w:asciiTheme="minorHAnsi" w:hAnsiTheme="minorHAnsi" w:cstheme="minorBidi"/>
          <w:spacing w:val="-2"/>
          <w:sz w:val="20"/>
          <w:szCs w:val="20"/>
        </w:rPr>
        <w:t xml:space="preserve"> will seek to incorporate climate coastal hazard and risk aspects through </w:t>
      </w:r>
      <w:r w:rsidR="001C3A41" w:rsidRPr="00037B7F">
        <w:rPr>
          <w:rFonts w:asciiTheme="minorHAnsi" w:hAnsiTheme="minorHAnsi" w:cstheme="minorBidi"/>
          <w:spacing w:val="-2"/>
          <w:sz w:val="20"/>
          <w:szCs w:val="20"/>
        </w:rPr>
        <w:lastRenderedPageBreak/>
        <w:t>national/international scientific inputs, as well as local communities/citizens’ experiences from past hazard events, that will allow a better understanding of the risks that the coastal urban/semi-urban areas in the Family Islands face given their exposure to natural hazards in a changing climate.</w:t>
      </w:r>
      <w:r w:rsidR="00F45D9C" w:rsidRPr="00037B7F">
        <w:rPr>
          <w:rFonts w:asciiTheme="minorHAnsi" w:hAnsiTheme="minorHAnsi" w:cstheme="minorBidi"/>
          <w:spacing w:val="-2"/>
          <w:sz w:val="20"/>
          <w:szCs w:val="20"/>
        </w:rPr>
        <w:t xml:space="preserve"> </w:t>
      </w:r>
    </w:p>
    <w:p w14:paraId="3F97BC4A" w14:textId="77777777" w:rsidR="001C3A41" w:rsidRPr="00037B7F" w:rsidRDefault="001C3A41" w:rsidP="001C3A41">
      <w:pPr>
        <w:pStyle w:val="ListParagraph"/>
        <w:rPr>
          <w:rFonts w:asciiTheme="minorHAnsi" w:hAnsiTheme="minorHAnsi" w:cs="Times New Roman"/>
          <w:color w:val="auto"/>
          <w:sz w:val="20"/>
          <w:szCs w:val="20"/>
        </w:rPr>
      </w:pPr>
    </w:p>
    <w:p w14:paraId="7A23844F" w14:textId="54CD3CA2" w:rsidR="001C3A41" w:rsidRPr="00037B7F" w:rsidRDefault="001C3A41" w:rsidP="001C3A41">
      <w:pPr>
        <w:pStyle w:val="ListParagraph"/>
        <w:numPr>
          <w:ilvl w:val="0"/>
          <w:numId w:val="1"/>
        </w:numPr>
        <w:suppressAutoHyphens/>
        <w:jc w:val="both"/>
        <w:rPr>
          <w:rFonts w:asciiTheme="minorHAnsi" w:hAnsiTheme="minorHAnsi" w:cs="Times New Roman"/>
          <w:color w:val="auto"/>
          <w:sz w:val="20"/>
          <w:szCs w:val="20"/>
        </w:rPr>
      </w:pPr>
      <w:r w:rsidRPr="00037B7F">
        <w:rPr>
          <w:rFonts w:asciiTheme="minorHAnsi" w:hAnsiTheme="minorHAnsi" w:cs="Times New Roman"/>
          <w:color w:val="auto"/>
          <w:sz w:val="20"/>
          <w:szCs w:val="20"/>
        </w:rPr>
        <w:t>Duration of the consultancy 12 months for contract start</w:t>
      </w:r>
      <w:r w:rsidR="00037B7F" w:rsidRPr="00037B7F">
        <w:rPr>
          <w:rFonts w:asciiTheme="minorHAnsi" w:hAnsiTheme="minorHAnsi" w:cs="Times New Roman"/>
          <w:color w:val="auto"/>
          <w:sz w:val="20"/>
          <w:szCs w:val="20"/>
        </w:rPr>
        <w:t>. Estimated amount: U$240.000.</w:t>
      </w:r>
    </w:p>
    <w:p w14:paraId="2B311633" w14:textId="77777777" w:rsidR="001C3A41" w:rsidRDefault="001C3A41" w:rsidP="2CDD2216">
      <w:pPr>
        <w:spacing w:line="320" w:lineRule="atLeast"/>
        <w:jc w:val="both"/>
        <w:rPr>
          <w:rFonts w:asciiTheme="minorHAnsi" w:hAnsiTheme="minorHAnsi" w:cstheme="minorBidi"/>
          <w:color w:val="auto"/>
        </w:rPr>
      </w:pPr>
    </w:p>
    <w:p w14:paraId="0A0C2E05" w14:textId="41CB315A" w:rsidR="00F45D9C" w:rsidRDefault="2CDD2216" w:rsidP="2CDD2216">
      <w:pPr>
        <w:spacing w:line="320" w:lineRule="atLeast"/>
        <w:jc w:val="both"/>
        <w:rPr>
          <w:rFonts w:asciiTheme="minorHAnsi" w:hAnsiTheme="minorHAnsi" w:cstheme="minorBidi"/>
          <w:color w:val="auto"/>
        </w:rPr>
      </w:pPr>
      <w:r w:rsidRPr="2CDD2216">
        <w:rPr>
          <w:rFonts w:asciiTheme="minorHAnsi" w:hAnsiTheme="minorHAnsi" w:cstheme="minorBidi"/>
          <w:color w:val="auto"/>
        </w:rPr>
        <w:t xml:space="preserve">Eligible consulting firms will be selected in accordance with the procedures set out in the Inter-American Development Bank: </w:t>
      </w:r>
      <w:hyperlink r:id="rId16">
        <w:r w:rsidRPr="00037B7F">
          <w:rPr>
            <w:rStyle w:val="Hyperlink"/>
            <w:rFonts w:asciiTheme="minorHAnsi" w:hAnsiTheme="minorHAnsi" w:cstheme="minorBidi"/>
            <w:i/>
            <w:iCs/>
          </w:rPr>
          <w:t>Policy for the Selection and Contracting of Consulting firms for Bank-executed Operational Work</w:t>
        </w:r>
      </w:hyperlink>
      <w:r w:rsidR="003C4BA8" w:rsidRPr="00037B7F">
        <w:rPr>
          <w:rFonts w:asciiTheme="minorHAnsi" w:hAnsiTheme="minorHAnsi" w:cstheme="minorBidi"/>
          <w:color w:val="auto"/>
        </w:rPr>
        <w:t xml:space="preserve"> - GN-2765-1. </w:t>
      </w:r>
      <w:r w:rsidRPr="00037B7F">
        <w:rPr>
          <w:rFonts w:asciiTheme="minorHAnsi" w:hAnsiTheme="minorHAnsi" w:cstheme="minorBidi"/>
          <w:color w:val="auto"/>
        </w:rPr>
        <w:t>All</w:t>
      </w:r>
      <w:r w:rsidRPr="2CDD2216">
        <w:rPr>
          <w:rFonts w:asciiTheme="minorHAnsi" w:hAnsiTheme="minorHAnsi" w:cstheme="minorBidi"/>
          <w:color w:val="auto"/>
        </w:rPr>
        <w:t xml:space="preserve"> eligible consulting firms, as defined in the Policy may express an interest. </w:t>
      </w:r>
      <w:r w:rsidR="003C4BA8" w:rsidRPr="003C4BA8">
        <w:rPr>
          <w:rFonts w:asciiTheme="minorHAnsi" w:hAnsiTheme="minorHAnsi" w:cstheme="minorBidi"/>
          <w:color w:val="auto"/>
        </w:rPr>
        <w:t xml:space="preserve">If the Consulting Firm is presented in a Consortium, it will designate one of them as a representative, and the latter will be responsible for the communications, the registration in the portal and </w:t>
      </w:r>
      <w:r w:rsidR="003C4BA8">
        <w:rPr>
          <w:rFonts w:asciiTheme="minorHAnsi" w:hAnsiTheme="minorHAnsi" w:cstheme="minorBidi"/>
          <w:color w:val="auto"/>
        </w:rPr>
        <w:t xml:space="preserve">for submitting </w:t>
      </w:r>
      <w:r w:rsidR="003C4BA8" w:rsidRPr="003C4BA8">
        <w:rPr>
          <w:rFonts w:asciiTheme="minorHAnsi" w:hAnsiTheme="minorHAnsi" w:cstheme="minorBidi"/>
          <w:color w:val="auto"/>
        </w:rPr>
        <w:t>the corresponding documen</w:t>
      </w:r>
      <w:r w:rsidR="003C4BA8">
        <w:rPr>
          <w:rFonts w:asciiTheme="minorHAnsi" w:hAnsiTheme="minorHAnsi" w:cstheme="minorBidi"/>
          <w:color w:val="auto"/>
        </w:rPr>
        <w:t>ts.</w:t>
      </w:r>
    </w:p>
    <w:p w14:paraId="104E1CEF" w14:textId="77777777" w:rsidR="00F45D9C" w:rsidRDefault="00F45D9C" w:rsidP="00F45D9C">
      <w:pPr>
        <w:spacing w:line="320" w:lineRule="atLeast"/>
        <w:jc w:val="both"/>
        <w:rPr>
          <w:rFonts w:asciiTheme="minorHAnsi" w:hAnsiTheme="minorHAnsi" w:cs="Times New Roman"/>
          <w:color w:val="auto"/>
        </w:rPr>
      </w:pPr>
    </w:p>
    <w:p w14:paraId="1FB8A942" w14:textId="124E34F8" w:rsidR="00F45D9C" w:rsidRPr="00AE7268" w:rsidRDefault="4738AB8D" w:rsidP="4738AB8D">
      <w:pPr>
        <w:spacing w:line="320" w:lineRule="atLeast"/>
        <w:jc w:val="both"/>
        <w:rPr>
          <w:rFonts w:asciiTheme="minorHAnsi" w:hAnsiTheme="minorHAnsi" w:cstheme="minorBidi"/>
          <w:color w:val="auto"/>
        </w:rPr>
      </w:pPr>
      <w:r w:rsidRPr="4738AB8D">
        <w:rPr>
          <w:rFonts w:asciiTheme="minorHAnsi" w:hAnsiTheme="minorHAnsi" w:cstheme="minorBidi"/>
          <w:color w:val="auto"/>
        </w:rPr>
        <w:t>The IDB now invites eligible consulting firms to indicate their interest in providing the services</w:t>
      </w:r>
      <w:r w:rsidR="002C3359">
        <w:rPr>
          <w:rFonts w:asciiTheme="minorHAnsi" w:hAnsiTheme="minorHAnsi" w:cstheme="minorBidi"/>
          <w:color w:val="auto"/>
        </w:rPr>
        <w:t xml:space="preserve"> </w:t>
      </w:r>
      <w:r w:rsidR="002E7B51">
        <w:rPr>
          <w:rFonts w:asciiTheme="minorHAnsi" w:hAnsiTheme="minorHAnsi" w:cstheme="minorBidi"/>
          <w:color w:val="auto"/>
        </w:rPr>
        <w:t>described below in the</w:t>
      </w:r>
      <w:r w:rsidR="002C3359" w:rsidRPr="002E7B51">
        <w:rPr>
          <w:rStyle w:val="apple-converted-space"/>
          <w:rFonts w:ascii="Calibri" w:hAnsi="Calibri"/>
          <w:shd w:val="clear" w:color="auto" w:fill="FFFFFF"/>
        </w:rPr>
        <w:t> </w:t>
      </w:r>
      <w:r w:rsidR="002C3359" w:rsidRPr="00960134">
        <w:rPr>
          <w:rStyle w:val="normaltextrun"/>
          <w:rFonts w:ascii="Calibri" w:hAnsi="Calibri"/>
          <w:u w:val="single"/>
          <w:shd w:val="clear" w:color="auto" w:fill="FFFFFF"/>
        </w:rPr>
        <w:t>draft summary</w:t>
      </w:r>
      <w:r w:rsidR="002C3359" w:rsidRPr="00960134">
        <w:rPr>
          <w:rStyle w:val="apple-converted-space"/>
          <w:rFonts w:ascii="Calibri" w:hAnsi="Calibri"/>
          <w:u w:val="single"/>
          <w:shd w:val="clear" w:color="auto" w:fill="FFFFFF"/>
        </w:rPr>
        <w:t> </w:t>
      </w:r>
      <w:r w:rsidR="00960134" w:rsidRPr="00960134">
        <w:rPr>
          <w:rStyle w:val="apple-converted-space"/>
          <w:rFonts w:ascii="Calibri" w:hAnsi="Calibri"/>
          <w:u w:val="single"/>
          <w:shd w:val="clear" w:color="auto" w:fill="FFFFFF"/>
        </w:rPr>
        <w:t>of the scope of work and requirements</w:t>
      </w:r>
      <w:r w:rsidR="00960134">
        <w:rPr>
          <w:rStyle w:val="apple-converted-space"/>
          <w:rFonts w:ascii="Calibri" w:hAnsi="Calibri"/>
          <w:shd w:val="clear" w:color="auto" w:fill="FFFFFF"/>
        </w:rPr>
        <w:t xml:space="preserve"> </w:t>
      </w:r>
      <w:r w:rsidR="002C3359" w:rsidRPr="002E7B51">
        <w:rPr>
          <w:rStyle w:val="normaltextrun"/>
          <w:rFonts w:ascii="Calibri" w:hAnsi="Calibri"/>
          <w:shd w:val="clear" w:color="auto" w:fill="FFFFFF"/>
        </w:rPr>
        <w:t>of the intended Terms of Reference for the</w:t>
      </w:r>
      <w:r w:rsidR="002C3359" w:rsidRPr="002E7B51">
        <w:rPr>
          <w:rStyle w:val="apple-converted-space"/>
          <w:rFonts w:ascii="Calibri" w:hAnsi="Calibri"/>
          <w:shd w:val="clear" w:color="auto" w:fill="FFFFFF"/>
        </w:rPr>
        <w:t> </w:t>
      </w:r>
      <w:r w:rsidR="002E7B51">
        <w:rPr>
          <w:rStyle w:val="normaltextrun"/>
          <w:rFonts w:ascii="Calibri" w:hAnsi="Calibri"/>
          <w:shd w:val="clear" w:color="auto" w:fill="FFFFFF"/>
        </w:rPr>
        <w:t>assignment</w:t>
      </w:r>
      <w:r w:rsidR="002C3359" w:rsidRPr="002E7B51">
        <w:rPr>
          <w:rStyle w:val="normaltextrun"/>
          <w:rFonts w:ascii="Calibri" w:hAnsi="Calibri"/>
          <w:shd w:val="clear" w:color="auto" w:fill="FFFFFF"/>
        </w:rPr>
        <w:t>.</w:t>
      </w:r>
      <w:r w:rsidR="002C3359">
        <w:rPr>
          <w:rStyle w:val="apple-converted-space"/>
          <w:rFonts w:ascii="Calibri" w:hAnsi="Calibri"/>
          <w:shd w:val="clear" w:color="auto" w:fill="FFFFFF"/>
        </w:rPr>
        <w:t> </w:t>
      </w:r>
      <w:r w:rsidRPr="4738AB8D">
        <w:rPr>
          <w:rFonts w:asciiTheme="minorHAnsi" w:hAnsiTheme="minorHAnsi" w:cstheme="minorBidi"/>
          <w:color w:val="auto"/>
        </w:rPr>
        <w:t>Interested consulting firms must provide information establishing that they are qualified to perform the Services (brochures, description of similar assignments, experience in similar conditions, availability of appropriate skills among staff, etc.). Eligible consulting firms may associate in a form of a Joint Venture or a sub-consultancy agreement to enhance their qualifications. Such association or Joint Venture shall appoint one of the firms as the representative.</w:t>
      </w:r>
    </w:p>
    <w:p w14:paraId="0A4217CE" w14:textId="77777777" w:rsidR="00F45D9C" w:rsidRPr="005D749D" w:rsidRDefault="00F45D9C" w:rsidP="00F45D9C">
      <w:pPr>
        <w:spacing w:line="320" w:lineRule="atLeast"/>
        <w:jc w:val="both"/>
        <w:rPr>
          <w:rFonts w:asciiTheme="minorHAnsi" w:hAnsiTheme="minorHAnsi" w:cs="Times New Roman"/>
          <w:smallCaps/>
          <w:color w:val="4F81BD" w:themeColor="accent1"/>
        </w:rPr>
      </w:pPr>
    </w:p>
    <w:p w14:paraId="6B3E8193" w14:textId="667B584E" w:rsidR="00037B7F" w:rsidRPr="00037B7F" w:rsidRDefault="002E7B51" w:rsidP="00037B7F">
      <w:pPr>
        <w:spacing w:line="320" w:lineRule="atLeast"/>
        <w:jc w:val="both"/>
        <w:rPr>
          <w:rFonts w:asciiTheme="minorHAnsi" w:hAnsiTheme="minorHAnsi" w:cstheme="minorBidi"/>
          <w:color w:val="auto"/>
        </w:rPr>
      </w:pPr>
      <w:r w:rsidRPr="2CDD2216">
        <w:rPr>
          <w:rFonts w:asciiTheme="minorHAnsi" w:hAnsiTheme="minorHAnsi" w:cstheme="minorBidi"/>
          <w:color w:val="auto"/>
        </w:rPr>
        <w:t xml:space="preserve">Interested eligible consulting firms may obtain further information during office hours, 09:00 AM to 05:00 PM, (Washington D.C. Time) by sending an email </w:t>
      </w:r>
      <w:r w:rsidR="003A0E18" w:rsidRPr="2CDD2216">
        <w:rPr>
          <w:rFonts w:asciiTheme="minorHAnsi" w:hAnsiTheme="minorHAnsi" w:cstheme="minorBidi"/>
          <w:color w:val="auto"/>
        </w:rPr>
        <w:t>to</w:t>
      </w:r>
      <w:r w:rsidRPr="2CDD2216">
        <w:rPr>
          <w:rFonts w:asciiTheme="minorHAnsi" w:hAnsiTheme="minorHAnsi" w:cstheme="minorBidi"/>
          <w:color w:val="auto"/>
        </w:rPr>
        <w:t xml:space="preserve"> </w:t>
      </w:r>
      <w:r w:rsidR="00037B7F">
        <w:rPr>
          <w:rFonts w:asciiTheme="minorHAnsi" w:hAnsiTheme="minorHAnsi" w:cstheme="minorBidi"/>
          <w:color w:val="auto"/>
        </w:rPr>
        <w:t>Maria Eu</w:t>
      </w:r>
      <w:r w:rsidR="00037B7F" w:rsidRPr="00037B7F">
        <w:rPr>
          <w:rFonts w:asciiTheme="minorHAnsi" w:hAnsiTheme="minorHAnsi" w:cstheme="minorBidi"/>
          <w:color w:val="auto"/>
        </w:rPr>
        <w:t xml:space="preserve">genia Roca </w:t>
      </w:r>
      <w:hyperlink r:id="rId17" w:history="1">
        <w:r w:rsidR="00037B7F" w:rsidRPr="00037B7F">
          <w:rPr>
            <w:rStyle w:val="Hyperlink"/>
            <w:rFonts w:asciiTheme="minorHAnsi" w:hAnsiTheme="minorHAnsi" w:cstheme="minorBidi"/>
          </w:rPr>
          <w:t>mariaero@iadb.org</w:t>
        </w:r>
      </w:hyperlink>
      <w:r w:rsidR="00037B7F" w:rsidRPr="00037B7F">
        <w:rPr>
          <w:rFonts w:asciiTheme="minorHAnsi" w:hAnsiTheme="minorHAnsi" w:cstheme="minorBidi"/>
          <w:color w:val="auto"/>
        </w:rPr>
        <w:t xml:space="preserve"> cc Hori Tsuneki </w:t>
      </w:r>
      <w:hyperlink r:id="rId18" w:history="1">
        <w:r w:rsidR="00037B7F" w:rsidRPr="00037B7F">
          <w:rPr>
            <w:rStyle w:val="Hyperlink"/>
            <w:rFonts w:asciiTheme="minorHAnsi" w:hAnsiTheme="minorHAnsi" w:cstheme="minorBidi"/>
          </w:rPr>
          <w:t>tsunekih@iadb.org</w:t>
        </w:r>
      </w:hyperlink>
      <w:r w:rsidR="00037B7F" w:rsidRPr="00037B7F">
        <w:rPr>
          <w:rFonts w:asciiTheme="minorHAnsi" w:hAnsiTheme="minorHAnsi" w:cstheme="minorBidi"/>
          <w:color w:val="auto"/>
        </w:rPr>
        <w:t>.</w:t>
      </w:r>
    </w:p>
    <w:p w14:paraId="57FDD0BF" w14:textId="77777777" w:rsidR="00037B7F" w:rsidRPr="00037B7F" w:rsidRDefault="00037B7F" w:rsidP="00037B7F">
      <w:pPr>
        <w:spacing w:line="320" w:lineRule="atLeast"/>
        <w:jc w:val="both"/>
        <w:rPr>
          <w:rFonts w:asciiTheme="minorHAnsi" w:hAnsiTheme="minorHAnsi" w:cstheme="minorBidi"/>
          <w:color w:val="auto"/>
        </w:rPr>
      </w:pPr>
    </w:p>
    <w:p w14:paraId="3F3E2267" w14:textId="77777777" w:rsidR="00037B7F" w:rsidRPr="00037B7F" w:rsidRDefault="00037B7F" w:rsidP="00037B7F">
      <w:pPr>
        <w:spacing w:line="320" w:lineRule="atLeast"/>
        <w:jc w:val="both"/>
        <w:rPr>
          <w:rFonts w:asciiTheme="minorHAnsi" w:hAnsiTheme="minorHAnsi" w:cs="Times New Roman"/>
          <w:color w:val="auto"/>
        </w:rPr>
      </w:pPr>
    </w:p>
    <w:p w14:paraId="4DBA9C4A" w14:textId="77777777" w:rsidR="00037B7F" w:rsidRPr="00C5329E" w:rsidRDefault="00037B7F" w:rsidP="00037B7F">
      <w:pPr>
        <w:spacing w:line="320" w:lineRule="atLeast"/>
        <w:jc w:val="both"/>
        <w:rPr>
          <w:rFonts w:asciiTheme="minorHAnsi" w:hAnsiTheme="minorHAnsi" w:cstheme="minorBidi"/>
          <w:color w:val="auto"/>
        </w:rPr>
      </w:pPr>
      <w:r w:rsidRPr="00C5329E">
        <w:rPr>
          <w:rFonts w:asciiTheme="minorHAnsi" w:hAnsiTheme="minorHAnsi" w:cstheme="minorBidi"/>
          <w:color w:val="auto"/>
        </w:rPr>
        <w:t>Inter-American Development Bank</w:t>
      </w:r>
    </w:p>
    <w:p w14:paraId="0B0A98AE" w14:textId="66A6B932" w:rsidR="00037B7F" w:rsidRPr="00C5329E" w:rsidRDefault="00037B7F" w:rsidP="00037B7F">
      <w:pPr>
        <w:spacing w:line="320" w:lineRule="atLeast"/>
        <w:jc w:val="both"/>
        <w:rPr>
          <w:rFonts w:asciiTheme="minorHAnsi" w:hAnsiTheme="minorHAnsi" w:cstheme="minorBidi"/>
          <w:color w:val="auto"/>
        </w:rPr>
      </w:pPr>
      <w:r w:rsidRPr="00C5329E">
        <w:rPr>
          <w:rFonts w:asciiTheme="minorHAnsi" w:hAnsiTheme="minorHAnsi" w:cstheme="minorBidi"/>
          <w:color w:val="auto"/>
        </w:rPr>
        <w:t>Country Office Bahamas</w:t>
      </w:r>
    </w:p>
    <w:p w14:paraId="308FFDDD" w14:textId="77777777" w:rsidR="00037B7F" w:rsidRPr="001D45C3" w:rsidRDefault="00037B7F" w:rsidP="00037B7F">
      <w:pPr>
        <w:spacing w:line="320" w:lineRule="atLeast"/>
        <w:jc w:val="both"/>
        <w:rPr>
          <w:rFonts w:asciiTheme="minorHAnsi" w:hAnsiTheme="minorHAnsi" w:cstheme="minorBidi"/>
          <w:color w:val="auto"/>
          <w:lang w:val="pt-BR"/>
        </w:rPr>
      </w:pPr>
      <w:proofErr w:type="spellStart"/>
      <w:r w:rsidRPr="001D45C3">
        <w:rPr>
          <w:rFonts w:asciiTheme="minorHAnsi" w:hAnsiTheme="minorHAnsi" w:cstheme="minorBidi"/>
          <w:color w:val="auto"/>
          <w:lang w:val="pt-BR"/>
        </w:rPr>
        <w:t>Attn</w:t>
      </w:r>
      <w:proofErr w:type="spellEnd"/>
      <w:r w:rsidRPr="001D45C3">
        <w:rPr>
          <w:rFonts w:asciiTheme="minorHAnsi" w:hAnsiTheme="minorHAnsi" w:cstheme="minorBidi"/>
          <w:color w:val="auto"/>
          <w:lang w:val="pt-BR"/>
        </w:rPr>
        <w:t>: Maria Eugenia Roca</w:t>
      </w:r>
    </w:p>
    <w:p w14:paraId="1F0AD909" w14:textId="77777777" w:rsidR="00037B7F" w:rsidRPr="001D45C3" w:rsidRDefault="00037B7F" w:rsidP="00037B7F">
      <w:pPr>
        <w:spacing w:line="320" w:lineRule="atLeast"/>
        <w:jc w:val="both"/>
        <w:rPr>
          <w:rFonts w:asciiTheme="minorHAnsi" w:hAnsiTheme="minorHAnsi" w:cstheme="minorBidi"/>
          <w:color w:val="auto"/>
          <w:lang w:val="pt-BR"/>
        </w:rPr>
      </w:pPr>
    </w:p>
    <w:p w14:paraId="7E34E843" w14:textId="77777777" w:rsidR="00037B7F" w:rsidRPr="00DD524D" w:rsidRDefault="00037B7F" w:rsidP="00037B7F">
      <w:pPr>
        <w:suppressAutoHyphens/>
        <w:jc w:val="both"/>
        <w:rPr>
          <w:rFonts w:asciiTheme="minorHAnsi" w:hAnsiTheme="minorHAnsi" w:cstheme="minorBidi"/>
          <w:color w:val="auto"/>
          <w:lang w:val="pt-BR"/>
        </w:rPr>
      </w:pPr>
      <w:r w:rsidRPr="00DD524D">
        <w:rPr>
          <w:rFonts w:asciiTheme="minorHAnsi" w:hAnsiTheme="minorHAnsi" w:cstheme="minorBidi"/>
          <w:color w:val="auto"/>
          <w:lang w:val="pt-BR"/>
        </w:rPr>
        <w:t xml:space="preserve">E-mail: </w:t>
      </w:r>
      <w:hyperlink r:id="rId19" w:history="1">
        <w:r w:rsidRPr="00DD524D">
          <w:rPr>
            <w:rStyle w:val="Hyperlink"/>
            <w:rFonts w:asciiTheme="minorHAnsi" w:hAnsiTheme="minorHAnsi" w:cstheme="minorBidi"/>
            <w:lang w:val="pt-BR"/>
          </w:rPr>
          <w:t>mariaero@iadb.org</w:t>
        </w:r>
      </w:hyperlink>
    </w:p>
    <w:p w14:paraId="4EBF42CF" w14:textId="77777777" w:rsidR="00037B7F" w:rsidRPr="001D45C3" w:rsidRDefault="00037B7F" w:rsidP="00037B7F">
      <w:pPr>
        <w:spacing w:line="320" w:lineRule="atLeast"/>
        <w:jc w:val="both"/>
        <w:rPr>
          <w:rFonts w:asciiTheme="minorHAnsi" w:hAnsiTheme="minorHAnsi" w:cstheme="minorBidi"/>
          <w:color w:val="auto"/>
        </w:rPr>
      </w:pPr>
      <w:r w:rsidRPr="001D45C3">
        <w:rPr>
          <w:rFonts w:asciiTheme="minorHAnsi" w:hAnsiTheme="minorHAnsi" w:cstheme="minorBidi"/>
          <w:color w:val="auto"/>
        </w:rPr>
        <w:t xml:space="preserve">Web site: </w:t>
      </w:r>
      <w:hyperlink r:id="rId20">
        <w:r w:rsidRPr="001D45C3">
          <w:rPr>
            <w:rStyle w:val="Hyperlink"/>
            <w:rFonts w:asciiTheme="minorHAnsi" w:hAnsiTheme="minorHAnsi" w:cstheme="minorBidi"/>
          </w:rPr>
          <w:t>www.iadb.org</w:t>
        </w:r>
      </w:hyperlink>
      <w:r w:rsidRPr="001D45C3">
        <w:rPr>
          <w:rFonts w:asciiTheme="minorHAnsi" w:hAnsiTheme="minorHAnsi" w:cstheme="minorBidi"/>
          <w:color w:val="auto"/>
        </w:rPr>
        <w:t xml:space="preserve"> </w:t>
      </w:r>
    </w:p>
    <w:p w14:paraId="1A72CB67" w14:textId="77777777" w:rsidR="00037B7F" w:rsidRPr="001D45C3" w:rsidRDefault="00037B7F" w:rsidP="00037B7F">
      <w:pPr>
        <w:rPr>
          <w:rFonts w:asciiTheme="minorHAnsi" w:hAnsiTheme="minorHAnsi" w:cs="Times New Roman"/>
        </w:rPr>
      </w:pPr>
    </w:p>
    <w:p w14:paraId="4426CDFA" w14:textId="77777777" w:rsidR="00960134" w:rsidRDefault="00960134" w:rsidP="00960134">
      <w:pPr>
        <w:tabs>
          <w:tab w:val="left" w:pos="4275"/>
        </w:tabs>
        <w:rPr>
          <w:rFonts w:asciiTheme="minorHAnsi" w:hAnsiTheme="minorHAnsi" w:cs="Times New Roman"/>
          <w:b/>
          <w:bCs/>
        </w:rPr>
      </w:pPr>
    </w:p>
    <w:p w14:paraId="0E7C3150" w14:textId="77777777" w:rsidR="00960134" w:rsidRDefault="00960134" w:rsidP="00960134">
      <w:pPr>
        <w:tabs>
          <w:tab w:val="left" w:pos="4275"/>
        </w:tabs>
        <w:rPr>
          <w:rFonts w:asciiTheme="minorHAnsi" w:hAnsiTheme="minorHAnsi" w:cs="Times New Roman"/>
          <w:b/>
          <w:bCs/>
        </w:rPr>
      </w:pPr>
    </w:p>
    <w:p w14:paraId="4618686C" w14:textId="01EEC684" w:rsidR="008C7908" w:rsidRDefault="00960134" w:rsidP="00037B7F">
      <w:pPr>
        <w:tabs>
          <w:tab w:val="left" w:pos="4275"/>
        </w:tabs>
        <w:jc w:val="center"/>
        <w:rPr>
          <w:rFonts w:asciiTheme="minorHAnsi" w:hAnsiTheme="minorHAnsi" w:cs="Times New Roman"/>
          <w:b/>
          <w:bCs/>
        </w:rPr>
      </w:pPr>
      <w:r w:rsidRPr="00960134">
        <w:rPr>
          <w:rFonts w:asciiTheme="minorHAnsi" w:hAnsiTheme="minorHAnsi" w:cs="Times New Roman"/>
          <w:b/>
          <w:bCs/>
        </w:rPr>
        <w:t xml:space="preserve">Draft summary of </w:t>
      </w:r>
      <w:r w:rsidR="00037B7F">
        <w:rPr>
          <w:rFonts w:asciiTheme="minorHAnsi" w:hAnsiTheme="minorHAnsi" w:cs="Times New Roman"/>
          <w:b/>
          <w:bCs/>
        </w:rPr>
        <w:t>Terms of Reference</w:t>
      </w:r>
    </w:p>
    <w:p w14:paraId="52751997" w14:textId="716394C9" w:rsidR="00960134" w:rsidRDefault="00960134" w:rsidP="00960134">
      <w:pPr>
        <w:tabs>
          <w:tab w:val="left" w:pos="4275"/>
        </w:tabs>
        <w:rPr>
          <w:rFonts w:asciiTheme="minorHAnsi" w:hAnsiTheme="minorHAnsi" w:cs="Times New Roman"/>
          <w:b/>
          <w:bCs/>
        </w:rPr>
      </w:pPr>
    </w:p>
    <w:p w14:paraId="12CD1AEA" w14:textId="40426994" w:rsidR="00960134" w:rsidRPr="00960134" w:rsidRDefault="00960134" w:rsidP="00960134">
      <w:pPr>
        <w:pStyle w:val="ListParagraph"/>
        <w:widowControl/>
        <w:numPr>
          <w:ilvl w:val="0"/>
          <w:numId w:val="9"/>
        </w:numPr>
        <w:autoSpaceDE/>
        <w:autoSpaceDN/>
        <w:adjustRightInd/>
        <w:jc w:val="both"/>
        <w:rPr>
          <w:rFonts w:asciiTheme="minorHAnsi" w:eastAsiaTheme="minorHAnsi" w:hAnsiTheme="minorHAnsi" w:cstheme="minorHAnsi"/>
          <w:b/>
          <w:color w:val="auto"/>
          <w:sz w:val="22"/>
          <w:szCs w:val="22"/>
          <w:lang w:eastAsia="en-US"/>
        </w:rPr>
      </w:pPr>
      <w:r w:rsidRPr="00960134">
        <w:rPr>
          <w:rFonts w:asciiTheme="minorHAnsi" w:eastAsiaTheme="minorHAnsi" w:hAnsiTheme="minorHAnsi" w:cstheme="minorHAnsi"/>
          <w:b/>
          <w:color w:val="auto"/>
          <w:sz w:val="22"/>
          <w:szCs w:val="22"/>
          <w:lang w:eastAsia="en-US"/>
        </w:rPr>
        <w:t>Main Activities</w:t>
      </w:r>
    </w:p>
    <w:p w14:paraId="6ADD93E6" w14:textId="77777777" w:rsidR="00960134" w:rsidRDefault="00960134" w:rsidP="00960134">
      <w:pPr>
        <w:widowControl/>
        <w:autoSpaceDE/>
        <w:autoSpaceDN/>
        <w:adjustRightInd/>
        <w:jc w:val="both"/>
        <w:rPr>
          <w:rFonts w:asciiTheme="minorHAnsi" w:hAnsiTheme="minorHAnsi" w:cstheme="minorHAnsi"/>
          <w:bCs/>
          <w:color w:val="auto"/>
          <w:sz w:val="22"/>
          <w:szCs w:val="22"/>
          <w:lang w:eastAsia="ja-JP"/>
        </w:rPr>
      </w:pPr>
    </w:p>
    <w:p w14:paraId="618E49BD" w14:textId="3EF8D3AE" w:rsidR="00960134" w:rsidRPr="00960134" w:rsidRDefault="00960134" w:rsidP="0093707B">
      <w:pPr>
        <w:widowControl/>
        <w:autoSpaceDE/>
        <w:autoSpaceDN/>
        <w:adjustRightInd/>
        <w:ind w:left="720"/>
        <w:jc w:val="both"/>
        <w:rPr>
          <w:rFonts w:asciiTheme="minorHAnsi" w:eastAsiaTheme="minorHAnsi" w:hAnsiTheme="minorHAnsi" w:cstheme="minorHAnsi"/>
          <w:bCs/>
          <w:color w:val="auto"/>
          <w:sz w:val="22"/>
          <w:szCs w:val="22"/>
          <w:lang w:eastAsia="en-US"/>
        </w:rPr>
      </w:pPr>
      <w:r w:rsidRPr="00960134">
        <w:rPr>
          <w:rFonts w:asciiTheme="minorHAnsi" w:hAnsiTheme="minorHAnsi" w:cstheme="minorHAnsi"/>
          <w:bCs/>
          <w:color w:val="auto"/>
          <w:sz w:val="22"/>
          <w:szCs w:val="22"/>
          <w:lang w:eastAsia="ja-JP"/>
        </w:rPr>
        <w:t xml:space="preserve">The activities of this consultancy will include: </w:t>
      </w:r>
    </w:p>
    <w:p w14:paraId="2AAFC37C" w14:textId="77777777" w:rsidR="00960134" w:rsidRPr="00960134" w:rsidRDefault="00960134" w:rsidP="00960134">
      <w:pPr>
        <w:widowControl/>
        <w:autoSpaceDE/>
        <w:autoSpaceDN/>
        <w:adjustRightInd/>
        <w:spacing w:after="200" w:line="276" w:lineRule="auto"/>
        <w:ind w:left="360" w:hanging="360"/>
        <w:jc w:val="both"/>
        <w:rPr>
          <w:rFonts w:asciiTheme="minorHAnsi" w:eastAsiaTheme="minorHAnsi" w:hAnsiTheme="minorHAnsi" w:cstheme="minorHAnsi"/>
          <w:bCs/>
          <w:color w:val="auto"/>
          <w:sz w:val="22"/>
          <w:szCs w:val="22"/>
          <w:lang w:eastAsia="en-US"/>
        </w:rPr>
      </w:pPr>
    </w:p>
    <w:p w14:paraId="33EB2E22" w14:textId="77777777" w:rsidR="00960134" w:rsidRPr="00960134" w:rsidRDefault="00960134" w:rsidP="00960134">
      <w:pPr>
        <w:widowControl/>
        <w:numPr>
          <w:ilvl w:val="0"/>
          <w:numId w:val="2"/>
        </w:numPr>
        <w:autoSpaceDE/>
        <w:autoSpaceDN/>
        <w:adjustRightInd/>
        <w:spacing w:after="200" w:line="276" w:lineRule="auto"/>
        <w:ind w:left="810" w:hanging="450"/>
        <w:contextualSpacing/>
        <w:jc w:val="both"/>
        <w:rPr>
          <w:rFonts w:asciiTheme="minorHAnsi" w:eastAsiaTheme="minorHAnsi" w:hAnsiTheme="minorHAnsi" w:cstheme="minorHAnsi"/>
          <w:bCs/>
          <w:color w:val="auto"/>
          <w:sz w:val="22"/>
          <w:szCs w:val="22"/>
          <w:lang w:eastAsia="en-US"/>
        </w:rPr>
      </w:pPr>
      <w:r w:rsidRPr="00960134">
        <w:rPr>
          <w:rFonts w:asciiTheme="minorHAnsi" w:eastAsiaTheme="minorHAnsi" w:hAnsiTheme="minorHAnsi" w:cstheme="minorHAnsi"/>
          <w:b/>
          <w:bCs/>
          <w:color w:val="auto"/>
          <w:sz w:val="22"/>
          <w:szCs w:val="22"/>
          <w:lang w:eastAsia="en-US"/>
        </w:rPr>
        <w:t>Work Plan</w:t>
      </w:r>
      <w:r w:rsidRPr="00960134">
        <w:rPr>
          <w:rFonts w:asciiTheme="minorHAnsi" w:eastAsiaTheme="minorHAnsi" w:hAnsiTheme="minorHAnsi" w:cstheme="minorHAnsi"/>
          <w:bCs/>
          <w:color w:val="auto"/>
          <w:sz w:val="22"/>
          <w:szCs w:val="22"/>
          <w:lang w:eastAsia="en-US"/>
        </w:rPr>
        <w:t xml:space="preserve">. The </w:t>
      </w:r>
      <w:r w:rsidRPr="00960134">
        <w:rPr>
          <w:rFonts w:asciiTheme="minorHAnsi" w:hAnsiTheme="minorHAnsi" w:cstheme="minorHAnsi"/>
          <w:bCs/>
          <w:color w:val="auto"/>
          <w:sz w:val="22"/>
          <w:szCs w:val="22"/>
          <w:lang w:eastAsia="ja-JP"/>
        </w:rPr>
        <w:t>Fi</w:t>
      </w:r>
      <w:r w:rsidRPr="00960134">
        <w:rPr>
          <w:rFonts w:asciiTheme="minorHAnsi" w:eastAsiaTheme="minorHAnsi" w:hAnsiTheme="minorHAnsi" w:cstheme="minorHAnsi"/>
          <w:bCs/>
          <w:color w:val="auto"/>
          <w:sz w:val="22"/>
          <w:szCs w:val="22"/>
          <w:lang w:eastAsia="en-US"/>
        </w:rPr>
        <w:t xml:space="preserve">rm will prepare, in consultation with the IDB and the national </w:t>
      </w:r>
      <w:r w:rsidRPr="00960134">
        <w:rPr>
          <w:rFonts w:asciiTheme="minorHAnsi" w:hAnsiTheme="minorHAnsi" w:cstheme="minorHAnsi"/>
          <w:bCs/>
          <w:color w:val="auto"/>
          <w:sz w:val="22"/>
          <w:szCs w:val="22"/>
          <w:lang w:eastAsia="ja-JP"/>
        </w:rPr>
        <w:t xml:space="preserve">authorities, </w:t>
      </w:r>
      <w:r w:rsidRPr="00960134">
        <w:rPr>
          <w:rFonts w:asciiTheme="minorHAnsi" w:eastAsiaTheme="minorHAnsi" w:hAnsiTheme="minorHAnsi" w:cstheme="minorHAnsi"/>
          <w:bCs/>
          <w:color w:val="auto"/>
          <w:sz w:val="22"/>
          <w:szCs w:val="22"/>
          <w:lang w:eastAsia="en-US"/>
        </w:rPr>
        <w:t xml:space="preserve">the work plan </w:t>
      </w:r>
      <w:r w:rsidRPr="00960134">
        <w:rPr>
          <w:rFonts w:asciiTheme="minorHAnsi" w:eastAsiaTheme="minorHAnsi" w:hAnsiTheme="minorHAnsi" w:cstheme="minorBidi"/>
          <w:color w:val="auto"/>
          <w:sz w:val="22"/>
          <w:szCs w:val="22"/>
          <w:lang w:eastAsia="en-US"/>
        </w:rPr>
        <w:t>under these Terms of Reference</w:t>
      </w:r>
      <w:r w:rsidRPr="00960134">
        <w:rPr>
          <w:rFonts w:asciiTheme="minorHAnsi" w:eastAsiaTheme="minorHAnsi" w:hAnsiTheme="minorHAnsi" w:cstheme="minorHAnsi"/>
          <w:bCs/>
          <w:color w:val="auto"/>
          <w:sz w:val="22"/>
          <w:szCs w:val="22"/>
          <w:lang w:eastAsia="en-US"/>
        </w:rPr>
        <w:t xml:space="preserve">. </w:t>
      </w:r>
      <w:r w:rsidRPr="00960134">
        <w:rPr>
          <w:rFonts w:asciiTheme="minorHAnsi" w:eastAsiaTheme="minorHAnsi" w:hAnsiTheme="minorHAnsi" w:cstheme="minorBidi"/>
          <w:color w:val="auto"/>
          <w:sz w:val="22"/>
          <w:szCs w:val="22"/>
          <w:lang w:eastAsia="en-US"/>
        </w:rPr>
        <w:t>All steps for completing the conceptual frame</w:t>
      </w:r>
      <w:r w:rsidRPr="00960134">
        <w:rPr>
          <w:rFonts w:asciiTheme="minorHAnsi" w:eastAsiaTheme="minorHAnsi" w:hAnsiTheme="minorHAnsi" w:cstheme="minorHAnsi"/>
          <w:color w:val="auto"/>
          <w:sz w:val="22"/>
          <w:szCs w:val="22"/>
          <w:lang w:eastAsia="en-US"/>
        </w:rPr>
        <w:t xml:space="preserve">work </w:t>
      </w:r>
      <w:r w:rsidRPr="00960134">
        <w:rPr>
          <w:rFonts w:asciiTheme="minorHAnsi" w:eastAsiaTheme="minorHAnsi" w:hAnsiTheme="minorHAnsi" w:cstheme="minorHAnsi"/>
          <w:bCs/>
          <w:color w:val="auto"/>
          <w:sz w:val="22"/>
          <w:szCs w:val="22"/>
          <w:lang w:eastAsia="en-US"/>
        </w:rPr>
        <w:t xml:space="preserve">based on a review of available literature and from consultation with the IDB and </w:t>
      </w:r>
      <w:proofErr w:type="spellStart"/>
      <w:r w:rsidRPr="00960134">
        <w:rPr>
          <w:rFonts w:asciiTheme="minorHAnsi" w:eastAsiaTheme="minorHAnsi" w:hAnsiTheme="minorHAnsi" w:cstheme="minorHAnsi"/>
          <w:bCs/>
          <w:color w:val="auto"/>
          <w:sz w:val="22"/>
          <w:szCs w:val="22"/>
          <w:lang w:eastAsia="en-US"/>
        </w:rPr>
        <w:t>GoBH</w:t>
      </w:r>
      <w:proofErr w:type="spellEnd"/>
      <w:r w:rsidRPr="00960134">
        <w:rPr>
          <w:rFonts w:asciiTheme="minorHAnsi" w:eastAsiaTheme="minorHAnsi" w:hAnsiTheme="minorHAnsi" w:cstheme="minorHAnsi"/>
          <w:bCs/>
          <w:color w:val="auto"/>
          <w:sz w:val="22"/>
          <w:szCs w:val="22"/>
          <w:lang w:eastAsia="en-US"/>
        </w:rPr>
        <w:t xml:space="preserve">, </w:t>
      </w:r>
      <w:r w:rsidRPr="00960134">
        <w:rPr>
          <w:rFonts w:asciiTheme="minorHAnsi" w:eastAsiaTheme="minorHAnsi" w:hAnsiTheme="minorHAnsi" w:cstheme="minorHAnsi"/>
          <w:color w:val="auto"/>
          <w:sz w:val="22"/>
          <w:szCs w:val="22"/>
          <w:lang w:eastAsia="en-US"/>
        </w:rPr>
        <w:t>consulting engagements, the corresponding timelines, the composition of the firm team member, comm</w:t>
      </w:r>
      <w:r w:rsidRPr="00960134">
        <w:rPr>
          <w:rFonts w:asciiTheme="minorHAnsi" w:eastAsiaTheme="minorHAnsi" w:hAnsiTheme="minorHAnsi" w:cstheme="minorBidi"/>
          <w:color w:val="auto"/>
          <w:sz w:val="22"/>
          <w:szCs w:val="22"/>
          <w:lang w:eastAsia="en-US"/>
        </w:rPr>
        <w:t xml:space="preserve">unication and coordination mechanism, and the concrete methodologies of this consultancy to be used, must be laid out in the work plan. </w:t>
      </w:r>
    </w:p>
    <w:p w14:paraId="6055B022" w14:textId="77777777" w:rsidR="00960134" w:rsidRPr="00960134" w:rsidRDefault="00960134" w:rsidP="00960134">
      <w:pPr>
        <w:widowControl/>
        <w:autoSpaceDE/>
        <w:autoSpaceDN/>
        <w:adjustRightInd/>
        <w:ind w:left="810"/>
        <w:contextualSpacing/>
        <w:jc w:val="both"/>
        <w:rPr>
          <w:rFonts w:asciiTheme="minorHAnsi" w:eastAsiaTheme="minorHAnsi" w:hAnsiTheme="minorHAnsi" w:cstheme="minorHAnsi"/>
          <w:bCs/>
          <w:color w:val="auto"/>
          <w:sz w:val="22"/>
          <w:szCs w:val="22"/>
          <w:lang w:eastAsia="en-US"/>
        </w:rPr>
      </w:pPr>
    </w:p>
    <w:p w14:paraId="5252E3C3" w14:textId="2449A773" w:rsidR="00960134" w:rsidRPr="00960134" w:rsidRDefault="00960134" w:rsidP="00960134">
      <w:pPr>
        <w:widowControl/>
        <w:numPr>
          <w:ilvl w:val="0"/>
          <w:numId w:val="2"/>
        </w:numPr>
        <w:autoSpaceDE/>
        <w:autoSpaceDN/>
        <w:adjustRightInd/>
        <w:snapToGrid w:val="0"/>
        <w:spacing w:before="120" w:after="120" w:line="276" w:lineRule="auto"/>
        <w:ind w:left="810" w:hanging="450"/>
        <w:jc w:val="both"/>
        <w:rPr>
          <w:rFonts w:asciiTheme="minorHAnsi" w:eastAsiaTheme="minorHAnsi" w:hAnsiTheme="minorHAnsi" w:cstheme="minorHAnsi"/>
          <w:b/>
          <w:bCs/>
          <w:color w:val="auto"/>
          <w:sz w:val="22"/>
          <w:szCs w:val="22"/>
          <w:lang w:eastAsia="en-US"/>
        </w:rPr>
      </w:pPr>
      <w:r w:rsidRPr="00960134">
        <w:rPr>
          <w:rFonts w:asciiTheme="minorHAnsi" w:eastAsiaTheme="minorHAnsi" w:hAnsiTheme="minorHAnsi" w:cstheme="minorHAnsi"/>
          <w:b/>
          <w:bCs/>
          <w:color w:val="auto"/>
          <w:sz w:val="22"/>
          <w:szCs w:val="22"/>
          <w:lang w:eastAsia="en-US"/>
        </w:rPr>
        <w:lastRenderedPageBreak/>
        <w:t xml:space="preserve">Development of a Pre- and Post-Disaster Land Use Planning Toolkit </w:t>
      </w:r>
      <w:r w:rsidRPr="00960134">
        <w:rPr>
          <w:rFonts w:asciiTheme="minorHAnsi" w:eastAsiaTheme="minorHAnsi" w:hAnsiTheme="minorHAnsi" w:cstheme="minorHAnsi"/>
          <w:color w:val="auto"/>
          <w:sz w:val="22"/>
          <w:szCs w:val="22"/>
          <w:lang w:eastAsia="en-US"/>
        </w:rPr>
        <w:t>for the Family Islands</w:t>
      </w:r>
      <w:r w:rsidRPr="00960134">
        <w:rPr>
          <w:rFonts w:asciiTheme="minorHAnsi" w:eastAsiaTheme="minorHAnsi" w:hAnsiTheme="minorHAnsi" w:cstheme="minorHAnsi"/>
          <w:b/>
          <w:bCs/>
          <w:color w:val="auto"/>
          <w:sz w:val="22"/>
          <w:szCs w:val="22"/>
          <w:lang w:eastAsia="en-US"/>
        </w:rPr>
        <w:t xml:space="preserve">. </w:t>
      </w:r>
    </w:p>
    <w:p w14:paraId="50F8A0C2" w14:textId="77777777" w:rsidR="00960134" w:rsidRPr="00960134" w:rsidRDefault="00960134" w:rsidP="00960134">
      <w:pPr>
        <w:widowControl/>
        <w:autoSpaceDE/>
        <w:autoSpaceDN/>
        <w:adjustRightInd/>
        <w:snapToGrid w:val="0"/>
        <w:spacing w:before="120" w:after="120"/>
        <w:ind w:left="810"/>
        <w:jc w:val="both"/>
        <w:rPr>
          <w:rFonts w:asciiTheme="minorHAnsi" w:eastAsiaTheme="minorHAnsi" w:hAnsiTheme="minorHAnsi" w:cstheme="minorHAnsi"/>
          <w:color w:val="auto"/>
          <w:sz w:val="22"/>
          <w:szCs w:val="22"/>
          <w:lang w:eastAsia="en-US"/>
        </w:rPr>
      </w:pPr>
      <w:r w:rsidRPr="00960134">
        <w:rPr>
          <w:rFonts w:asciiTheme="minorHAnsi" w:eastAsiaTheme="minorHAnsi" w:hAnsiTheme="minorHAnsi" w:cstheme="minorHAnsi"/>
          <w:color w:val="auto"/>
          <w:sz w:val="22"/>
          <w:szCs w:val="22"/>
          <w:lang w:eastAsia="en-US"/>
        </w:rPr>
        <w:t>The consulting firm will:</w:t>
      </w:r>
    </w:p>
    <w:p w14:paraId="6D3C020C" w14:textId="77777777" w:rsidR="00960134" w:rsidRPr="00960134" w:rsidRDefault="00960134" w:rsidP="00960134">
      <w:pPr>
        <w:widowControl/>
        <w:autoSpaceDE/>
        <w:autoSpaceDN/>
        <w:adjustRightInd/>
        <w:spacing w:after="200" w:line="276" w:lineRule="auto"/>
        <w:ind w:left="720"/>
        <w:contextualSpacing/>
        <w:rPr>
          <w:rFonts w:asciiTheme="minorHAnsi" w:eastAsiaTheme="minorHAnsi" w:hAnsiTheme="minorHAnsi" w:cstheme="minorHAnsi"/>
          <w:color w:val="auto"/>
          <w:sz w:val="22"/>
          <w:szCs w:val="22"/>
          <w:lang w:eastAsia="en-US"/>
        </w:rPr>
      </w:pPr>
    </w:p>
    <w:p w14:paraId="322782D1" w14:textId="3408AFB1" w:rsidR="00960134" w:rsidRPr="00960134" w:rsidRDefault="00960134" w:rsidP="00960134">
      <w:pPr>
        <w:widowControl/>
        <w:numPr>
          <w:ilvl w:val="0"/>
          <w:numId w:val="3"/>
        </w:numPr>
        <w:autoSpaceDE/>
        <w:autoSpaceDN/>
        <w:adjustRightInd/>
        <w:spacing w:after="200" w:line="276" w:lineRule="auto"/>
        <w:ind w:left="1440"/>
        <w:contextualSpacing/>
        <w:jc w:val="both"/>
        <w:rPr>
          <w:rFonts w:asciiTheme="minorHAnsi" w:eastAsiaTheme="minorHAnsi" w:hAnsiTheme="minorHAnsi" w:cstheme="minorHAnsi"/>
          <w:color w:val="auto"/>
          <w:sz w:val="22"/>
          <w:szCs w:val="22"/>
          <w:lang w:eastAsia="en-US"/>
        </w:rPr>
      </w:pPr>
      <w:r w:rsidRPr="00960134">
        <w:rPr>
          <w:rFonts w:asciiTheme="minorHAnsi" w:eastAsiaTheme="minorHAnsi" w:hAnsiTheme="minorHAnsi" w:cstheme="minorHAnsi"/>
          <w:color w:val="auto"/>
          <w:sz w:val="22"/>
          <w:szCs w:val="22"/>
          <w:lang w:eastAsia="en-US"/>
        </w:rPr>
        <w:t xml:space="preserve">Review all pertinent policies, local laws, regulations, </w:t>
      </w:r>
      <w:r w:rsidR="00FF1373" w:rsidRPr="00960134">
        <w:rPr>
          <w:rFonts w:asciiTheme="minorHAnsi" w:eastAsiaTheme="minorHAnsi" w:hAnsiTheme="minorHAnsi" w:cstheme="minorHAnsi"/>
          <w:color w:val="auto"/>
          <w:sz w:val="22"/>
          <w:szCs w:val="22"/>
          <w:lang w:eastAsia="en-US"/>
        </w:rPr>
        <w:t>bills,</w:t>
      </w:r>
      <w:r w:rsidRPr="00960134">
        <w:rPr>
          <w:rFonts w:asciiTheme="minorHAnsi" w:eastAsiaTheme="minorHAnsi" w:hAnsiTheme="minorHAnsi" w:cstheme="minorHAnsi"/>
          <w:color w:val="auto"/>
          <w:sz w:val="22"/>
          <w:szCs w:val="22"/>
          <w:lang w:eastAsia="en-US"/>
        </w:rPr>
        <w:t xml:space="preserve"> and plans pertaining to Physical Planning in the Bahamas and prepare a Brief on their key provisions and the status of their implementation as it pertains to the </w:t>
      </w:r>
      <w:proofErr w:type="gramStart"/>
      <w:r w:rsidRPr="00960134">
        <w:rPr>
          <w:rFonts w:asciiTheme="minorHAnsi" w:eastAsiaTheme="minorHAnsi" w:hAnsiTheme="minorHAnsi" w:cstheme="minorHAnsi"/>
          <w:color w:val="auto"/>
          <w:sz w:val="22"/>
          <w:szCs w:val="22"/>
          <w:lang w:eastAsia="en-US"/>
        </w:rPr>
        <w:t>country as a whole, and</w:t>
      </w:r>
      <w:proofErr w:type="gramEnd"/>
      <w:r w:rsidRPr="00960134">
        <w:rPr>
          <w:rFonts w:asciiTheme="minorHAnsi" w:eastAsiaTheme="minorHAnsi" w:hAnsiTheme="minorHAnsi" w:cstheme="minorHAnsi"/>
          <w:color w:val="auto"/>
          <w:sz w:val="22"/>
          <w:szCs w:val="22"/>
          <w:lang w:eastAsia="en-US"/>
        </w:rPr>
        <w:t xml:space="preserve"> the Family Islands in particular. The Brief shall provide a legal analysis of Physical Planning in both pre-disaster and post-disaster phase, to understand current legal gaps and roles/responsibilities of Government entities.  Verification that critical, essential, and life-line infrastructure/land is included in the legal documents shall also be discussed. Land Acquisition, Compensation, and Voluntary/Involuntary Resettlement as it relates to pre- and post-disaster laws shall also be reviewed. The Brief should also highlight any major deviations from international norms in modern development planning, especially as they pertain to incorporation of criteria on sustainability, climate resilience, and post-disaster responsiveness in land use and infrastructure</w:t>
      </w:r>
      <w:r w:rsidRPr="00960134">
        <w:rPr>
          <w:rFonts w:asciiTheme="minorHAnsi" w:eastAsiaTheme="minorHAnsi" w:hAnsiTheme="minorHAnsi" w:cstheme="minorHAnsi"/>
          <w:color w:val="auto"/>
          <w:sz w:val="22"/>
          <w:szCs w:val="22"/>
          <w:vertAlign w:val="superscript"/>
          <w:lang w:eastAsia="en-US"/>
        </w:rPr>
        <w:footnoteReference w:id="1"/>
      </w:r>
      <w:r w:rsidRPr="00960134">
        <w:rPr>
          <w:rFonts w:asciiTheme="minorHAnsi" w:eastAsiaTheme="minorHAnsi" w:hAnsiTheme="minorHAnsi" w:cstheme="minorHAnsi"/>
          <w:color w:val="auto"/>
          <w:sz w:val="22"/>
          <w:szCs w:val="22"/>
          <w:lang w:eastAsia="en-US"/>
        </w:rPr>
        <w:t xml:space="preserve">. It should also assess the scope within existing provisions to </w:t>
      </w:r>
      <w:r w:rsidR="00FF1373" w:rsidRPr="00960134">
        <w:rPr>
          <w:rFonts w:asciiTheme="minorHAnsi" w:eastAsiaTheme="minorHAnsi" w:hAnsiTheme="minorHAnsi" w:cstheme="minorHAnsi"/>
          <w:color w:val="auto"/>
          <w:sz w:val="22"/>
          <w:szCs w:val="22"/>
          <w:lang w:eastAsia="en-US"/>
        </w:rPr>
        <w:t>use such criteria more expressly</w:t>
      </w:r>
      <w:r w:rsidRPr="00960134">
        <w:rPr>
          <w:rFonts w:asciiTheme="minorHAnsi" w:eastAsiaTheme="minorHAnsi" w:hAnsiTheme="minorHAnsi" w:cstheme="minorHAnsi"/>
          <w:color w:val="auto"/>
          <w:sz w:val="22"/>
          <w:szCs w:val="22"/>
          <w:lang w:eastAsia="en-US"/>
        </w:rPr>
        <w:t xml:space="preserve"> in the practice of development.</w:t>
      </w:r>
    </w:p>
    <w:p w14:paraId="30D25A87" w14:textId="77777777" w:rsidR="00960134" w:rsidRPr="00960134" w:rsidRDefault="00960134" w:rsidP="00960134">
      <w:pPr>
        <w:widowControl/>
        <w:autoSpaceDE/>
        <w:autoSpaceDN/>
        <w:adjustRightInd/>
        <w:ind w:left="1440"/>
        <w:contextualSpacing/>
        <w:jc w:val="both"/>
        <w:rPr>
          <w:rFonts w:asciiTheme="minorHAnsi" w:eastAsiaTheme="minorHAnsi" w:hAnsiTheme="minorHAnsi" w:cstheme="minorHAnsi"/>
          <w:color w:val="auto"/>
          <w:sz w:val="22"/>
          <w:szCs w:val="22"/>
          <w:lang w:eastAsia="en-US"/>
        </w:rPr>
      </w:pPr>
      <w:r w:rsidRPr="00960134">
        <w:rPr>
          <w:rFonts w:asciiTheme="minorHAnsi" w:eastAsiaTheme="minorHAnsi" w:hAnsiTheme="minorHAnsi" w:cstheme="minorHAnsi"/>
          <w:color w:val="auto"/>
          <w:sz w:val="22"/>
          <w:szCs w:val="22"/>
          <w:lang w:eastAsia="en-US"/>
        </w:rPr>
        <w:t xml:space="preserve"> </w:t>
      </w:r>
    </w:p>
    <w:p w14:paraId="10E7B547" w14:textId="77777777" w:rsidR="00960134" w:rsidRPr="00960134" w:rsidRDefault="00960134" w:rsidP="00960134">
      <w:pPr>
        <w:widowControl/>
        <w:autoSpaceDE/>
        <w:autoSpaceDN/>
        <w:adjustRightInd/>
        <w:ind w:left="1800"/>
        <w:contextualSpacing/>
        <w:jc w:val="both"/>
        <w:rPr>
          <w:rFonts w:asciiTheme="minorHAnsi" w:eastAsiaTheme="minorHAnsi" w:hAnsiTheme="minorHAnsi" w:cstheme="minorHAnsi"/>
          <w:bCs/>
          <w:color w:val="auto"/>
          <w:sz w:val="22"/>
          <w:szCs w:val="22"/>
          <w:lang w:eastAsia="en-US"/>
        </w:rPr>
      </w:pPr>
    </w:p>
    <w:p w14:paraId="24221C2B" w14:textId="77777777" w:rsidR="00960134" w:rsidRPr="00960134" w:rsidRDefault="00960134" w:rsidP="00960134">
      <w:pPr>
        <w:widowControl/>
        <w:numPr>
          <w:ilvl w:val="0"/>
          <w:numId w:val="3"/>
        </w:numPr>
        <w:autoSpaceDE/>
        <w:autoSpaceDN/>
        <w:adjustRightInd/>
        <w:spacing w:after="200" w:line="276" w:lineRule="auto"/>
        <w:ind w:left="1440"/>
        <w:contextualSpacing/>
        <w:jc w:val="both"/>
        <w:rPr>
          <w:rFonts w:asciiTheme="minorHAnsi" w:eastAsiaTheme="minorHAnsi" w:hAnsiTheme="minorHAnsi" w:cstheme="minorHAnsi"/>
          <w:bCs/>
          <w:color w:val="auto"/>
          <w:sz w:val="22"/>
          <w:szCs w:val="22"/>
          <w:lang w:eastAsia="en-US"/>
        </w:rPr>
      </w:pPr>
      <w:r w:rsidRPr="00960134">
        <w:rPr>
          <w:rFonts w:asciiTheme="minorHAnsi" w:eastAsiaTheme="minorHAnsi" w:hAnsiTheme="minorHAnsi" w:cstheme="minorHAnsi"/>
          <w:color w:val="auto"/>
          <w:sz w:val="22"/>
          <w:szCs w:val="22"/>
          <w:lang w:eastAsia="en-US"/>
        </w:rPr>
        <w:t xml:space="preserve">Review international good practices on assessing natural hazard and climate-change-associated hazard risk and exposure, and adaptation in small island and coastal states.  Producing a Brief with emphasis on the following: (i) methodologies  to identify/analyze natural hazard (including climate-change-associated hazard) and exposure, and physical vulnerability  of existing critical infrastructure and buildings (especially homes), assessing them for efficiency, feasibility (data requirements), and cost-effectiveness to apply measures or reducing the climate/disaster risk in the case of the Bahamas; and (ii) methodologies to design and implement corrective adaptation measures (retrofitting and new-build), to enhance the climate resiliency of infrastructure and buildings in the Bahamas. </w:t>
      </w:r>
    </w:p>
    <w:p w14:paraId="3B4D0E5D" w14:textId="34D68A2F" w:rsidR="00960134" w:rsidRPr="00960134" w:rsidRDefault="00960134" w:rsidP="00960134">
      <w:pPr>
        <w:widowControl/>
        <w:numPr>
          <w:ilvl w:val="0"/>
          <w:numId w:val="3"/>
        </w:numPr>
        <w:autoSpaceDE/>
        <w:autoSpaceDN/>
        <w:adjustRightInd/>
        <w:spacing w:after="200" w:line="276" w:lineRule="auto"/>
        <w:ind w:left="1440"/>
        <w:contextualSpacing/>
        <w:jc w:val="both"/>
        <w:rPr>
          <w:rFonts w:asciiTheme="minorHAnsi" w:eastAsiaTheme="minorHAnsi" w:hAnsiTheme="minorHAnsi" w:cstheme="minorHAnsi"/>
          <w:bCs/>
          <w:color w:val="auto"/>
          <w:sz w:val="22"/>
          <w:szCs w:val="22"/>
          <w:lang w:eastAsia="en-US"/>
        </w:rPr>
      </w:pPr>
      <w:r w:rsidRPr="00960134">
        <w:rPr>
          <w:rFonts w:asciiTheme="minorHAnsi" w:eastAsiaTheme="minorHAnsi" w:hAnsiTheme="minorHAnsi" w:cstheme="minorHAnsi"/>
          <w:color w:val="auto"/>
          <w:sz w:val="22"/>
          <w:szCs w:val="22"/>
          <w:lang w:eastAsia="en-US"/>
        </w:rPr>
        <w:t xml:space="preserve">Develop a Toolkit for </w:t>
      </w:r>
      <w:r w:rsidR="00FF1373" w:rsidRPr="00960134">
        <w:rPr>
          <w:rFonts w:asciiTheme="minorHAnsi" w:eastAsiaTheme="minorHAnsi" w:hAnsiTheme="minorHAnsi" w:cstheme="minorHAnsi"/>
          <w:color w:val="auto"/>
          <w:sz w:val="22"/>
          <w:szCs w:val="22"/>
          <w:lang w:eastAsia="en-US"/>
        </w:rPr>
        <w:t>producing Pre</w:t>
      </w:r>
      <w:r w:rsidRPr="00960134">
        <w:rPr>
          <w:rFonts w:asciiTheme="minorHAnsi" w:eastAsiaTheme="minorHAnsi" w:hAnsiTheme="minorHAnsi" w:cstheme="minorHAnsi"/>
          <w:color w:val="auto"/>
          <w:sz w:val="22"/>
          <w:szCs w:val="22"/>
          <w:lang w:eastAsia="en-US"/>
        </w:rPr>
        <w:t xml:space="preserve">- and Post-Disaster Land Use Plans for the Family Islands, utilizing in part the outputs from tasks (i) and (ii) above. </w:t>
      </w:r>
      <w:r w:rsidRPr="00960134">
        <w:rPr>
          <w:rFonts w:asciiTheme="minorHAnsi" w:eastAsiaTheme="minorHAnsi" w:hAnsiTheme="minorHAnsi" w:cstheme="minorHAnsi"/>
          <w:b/>
          <w:bCs/>
          <w:color w:val="auto"/>
          <w:sz w:val="22"/>
          <w:szCs w:val="22"/>
          <w:lang w:eastAsia="en-US"/>
        </w:rPr>
        <w:t>The Toolkit shall provide clear guidance for Land Use Plans at the Island Scale and the urban/sub-urban scale.</w:t>
      </w:r>
      <w:r w:rsidRPr="00960134">
        <w:rPr>
          <w:rFonts w:asciiTheme="minorHAnsi" w:eastAsiaTheme="minorHAnsi" w:hAnsiTheme="minorHAnsi" w:cstheme="minorHAnsi"/>
          <w:color w:val="auto"/>
          <w:sz w:val="22"/>
          <w:szCs w:val="22"/>
          <w:lang w:eastAsia="en-US"/>
        </w:rPr>
        <w:t xml:space="preserve"> The Toolkit should take cognizance of the provisions related to Land Use Plan preparation contained in the Planning and Subdivision Act of 2010 (especially Section 17) and associated Regulations. The Toolkit should include among other things:</w:t>
      </w:r>
    </w:p>
    <w:p w14:paraId="162CE77F" w14:textId="39FB032D" w:rsidR="00960134" w:rsidRPr="00960134" w:rsidRDefault="00960134" w:rsidP="00960134">
      <w:pPr>
        <w:widowControl/>
        <w:numPr>
          <w:ilvl w:val="1"/>
          <w:numId w:val="2"/>
        </w:numPr>
        <w:autoSpaceDE/>
        <w:autoSpaceDN/>
        <w:adjustRightInd/>
        <w:spacing w:after="200" w:line="276" w:lineRule="auto"/>
        <w:contextualSpacing/>
        <w:jc w:val="both"/>
        <w:rPr>
          <w:rFonts w:asciiTheme="minorHAnsi" w:eastAsiaTheme="minorHAnsi" w:hAnsiTheme="minorHAnsi" w:cstheme="minorHAnsi"/>
          <w:bCs/>
          <w:color w:val="auto"/>
          <w:sz w:val="22"/>
          <w:szCs w:val="22"/>
          <w:lang w:eastAsia="en-US"/>
        </w:rPr>
      </w:pPr>
      <w:r w:rsidRPr="00960134">
        <w:rPr>
          <w:rFonts w:asciiTheme="minorHAnsi" w:eastAsiaTheme="minorHAnsi" w:hAnsiTheme="minorHAnsi" w:cstheme="minorHAnsi"/>
          <w:bCs/>
          <w:color w:val="auto"/>
          <w:sz w:val="22"/>
          <w:szCs w:val="22"/>
          <w:lang w:eastAsia="en-US"/>
        </w:rPr>
        <w:t xml:space="preserve">Methodology and criteria for classifying land uses as urban, sub-urban, and rural in a Family Island </w:t>
      </w:r>
      <w:r w:rsidR="00FF1373" w:rsidRPr="00960134">
        <w:rPr>
          <w:rFonts w:asciiTheme="minorHAnsi" w:eastAsiaTheme="minorHAnsi" w:hAnsiTheme="minorHAnsi" w:cstheme="minorHAnsi"/>
          <w:bCs/>
          <w:color w:val="auto"/>
          <w:sz w:val="22"/>
          <w:szCs w:val="22"/>
          <w:lang w:eastAsia="en-US"/>
        </w:rPr>
        <w:t>context.</w:t>
      </w:r>
    </w:p>
    <w:p w14:paraId="53B9A137" w14:textId="77777777" w:rsidR="00960134" w:rsidRPr="00960134" w:rsidRDefault="00960134" w:rsidP="00960134">
      <w:pPr>
        <w:widowControl/>
        <w:numPr>
          <w:ilvl w:val="1"/>
          <w:numId w:val="2"/>
        </w:numPr>
        <w:autoSpaceDE/>
        <w:autoSpaceDN/>
        <w:adjustRightInd/>
        <w:spacing w:after="200" w:line="276" w:lineRule="auto"/>
        <w:contextualSpacing/>
        <w:jc w:val="both"/>
        <w:rPr>
          <w:rFonts w:asciiTheme="minorHAnsi" w:eastAsiaTheme="minorHAnsi" w:hAnsiTheme="minorHAnsi" w:cstheme="minorHAnsi"/>
          <w:bCs/>
          <w:color w:val="auto"/>
          <w:sz w:val="22"/>
          <w:szCs w:val="22"/>
          <w:lang w:eastAsia="en-US"/>
        </w:rPr>
      </w:pPr>
      <w:r w:rsidRPr="00960134">
        <w:rPr>
          <w:rFonts w:asciiTheme="minorHAnsi" w:eastAsiaTheme="minorHAnsi" w:hAnsiTheme="minorHAnsi" w:cstheme="minorHAnsi"/>
          <w:bCs/>
          <w:color w:val="auto"/>
          <w:sz w:val="22"/>
          <w:szCs w:val="22"/>
          <w:lang w:eastAsia="en-US"/>
        </w:rPr>
        <w:t>Methodology and criteria to define and determine land/infrastructure that requires strengthening, protection, restricted/limited further development and/or re-assignment of the land use (including a priority timeframe schedule for action</w:t>
      </w:r>
      <w:proofErr w:type="gramStart"/>
      <w:r w:rsidRPr="00960134">
        <w:rPr>
          <w:rFonts w:asciiTheme="minorHAnsi" w:eastAsiaTheme="minorHAnsi" w:hAnsiTheme="minorHAnsi" w:cstheme="minorHAnsi"/>
          <w:bCs/>
          <w:color w:val="auto"/>
          <w:sz w:val="22"/>
          <w:szCs w:val="22"/>
          <w:lang w:eastAsia="en-US"/>
        </w:rPr>
        <w:t>);</w:t>
      </w:r>
      <w:proofErr w:type="gramEnd"/>
    </w:p>
    <w:p w14:paraId="136AB006" w14:textId="6A51612C" w:rsidR="00960134" w:rsidRPr="00960134" w:rsidRDefault="00960134" w:rsidP="00960134">
      <w:pPr>
        <w:widowControl/>
        <w:numPr>
          <w:ilvl w:val="1"/>
          <w:numId w:val="2"/>
        </w:numPr>
        <w:autoSpaceDE/>
        <w:autoSpaceDN/>
        <w:adjustRightInd/>
        <w:spacing w:after="200" w:line="276" w:lineRule="auto"/>
        <w:contextualSpacing/>
        <w:jc w:val="both"/>
        <w:rPr>
          <w:rFonts w:asciiTheme="minorHAnsi" w:eastAsiaTheme="minorHAnsi" w:hAnsiTheme="minorHAnsi" w:cstheme="minorHAnsi"/>
          <w:bCs/>
          <w:color w:val="auto"/>
          <w:sz w:val="22"/>
          <w:szCs w:val="22"/>
          <w:lang w:eastAsia="en-US"/>
        </w:rPr>
      </w:pPr>
      <w:r w:rsidRPr="00960134">
        <w:rPr>
          <w:rFonts w:asciiTheme="minorHAnsi" w:eastAsiaTheme="minorHAnsi" w:hAnsiTheme="minorHAnsi" w:cstheme="minorHAnsi"/>
          <w:bCs/>
          <w:color w:val="auto"/>
          <w:sz w:val="22"/>
          <w:szCs w:val="22"/>
          <w:lang w:eastAsia="en-US"/>
        </w:rPr>
        <w:t xml:space="preserve">Methodology and criteria for classifying land uses and easements required for emergency response, including but not limited to Meteorological Monitoring Stations, Emergency Communications and Early Warning Infrastructure, Emergency Evacuation Routes (land and water based) and Emergency </w:t>
      </w:r>
      <w:r w:rsidR="00FF1373" w:rsidRPr="00960134">
        <w:rPr>
          <w:rFonts w:asciiTheme="minorHAnsi" w:eastAsiaTheme="minorHAnsi" w:hAnsiTheme="minorHAnsi" w:cstheme="minorHAnsi"/>
          <w:bCs/>
          <w:color w:val="auto"/>
          <w:sz w:val="22"/>
          <w:szCs w:val="22"/>
          <w:lang w:eastAsia="en-US"/>
        </w:rPr>
        <w:t>Shelters.</w:t>
      </w:r>
    </w:p>
    <w:p w14:paraId="7EEF7F03" w14:textId="1AE6DD56" w:rsidR="00960134" w:rsidRPr="00960134" w:rsidRDefault="00960134" w:rsidP="00960134">
      <w:pPr>
        <w:widowControl/>
        <w:numPr>
          <w:ilvl w:val="1"/>
          <w:numId w:val="2"/>
        </w:numPr>
        <w:autoSpaceDE/>
        <w:autoSpaceDN/>
        <w:adjustRightInd/>
        <w:spacing w:after="200" w:line="276" w:lineRule="auto"/>
        <w:contextualSpacing/>
        <w:jc w:val="both"/>
        <w:rPr>
          <w:rFonts w:asciiTheme="minorHAnsi" w:eastAsiaTheme="minorHAnsi" w:hAnsiTheme="minorHAnsi" w:cstheme="minorHAnsi"/>
          <w:bCs/>
          <w:color w:val="auto"/>
          <w:sz w:val="22"/>
          <w:szCs w:val="22"/>
          <w:lang w:eastAsia="en-US"/>
        </w:rPr>
      </w:pPr>
      <w:r w:rsidRPr="00960134">
        <w:rPr>
          <w:rFonts w:asciiTheme="minorHAnsi" w:eastAsiaTheme="minorHAnsi" w:hAnsiTheme="minorHAnsi" w:cstheme="minorHAnsi"/>
          <w:bCs/>
          <w:color w:val="auto"/>
          <w:sz w:val="22"/>
          <w:szCs w:val="22"/>
          <w:lang w:eastAsia="en-US"/>
        </w:rPr>
        <w:t xml:space="preserve">Methodology and criteria for defining and classifying land uses and easements required for critical, essential, and </w:t>
      </w:r>
      <w:r w:rsidR="00FF1373" w:rsidRPr="00960134">
        <w:rPr>
          <w:rFonts w:asciiTheme="minorHAnsi" w:eastAsiaTheme="minorHAnsi" w:hAnsiTheme="minorHAnsi" w:cstheme="minorHAnsi"/>
          <w:bCs/>
          <w:color w:val="auto"/>
          <w:sz w:val="22"/>
          <w:szCs w:val="22"/>
          <w:lang w:eastAsia="en-US"/>
        </w:rPr>
        <w:t>lifeline</w:t>
      </w:r>
      <w:r w:rsidRPr="00960134">
        <w:rPr>
          <w:rFonts w:asciiTheme="minorHAnsi" w:eastAsiaTheme="minorHAnsi" w:hAnsiTheme="minorHAnsi" w:cstheme="minorHAnsi"/>
          <w:bCs/>
          <w:color w:val="auto"/>
          <w:sz w:val="22"/>
          <w:szCs w:val="22"/>
          <w:lang w:eastAsia="en-US"/>
        </w:rPr>
        <w:t xml:space="preserve"> </w:t>
      </w:r>
      <w:r w:rsidR="00FF1373" w:rsidRPr="00960134">
        <w:rPr>
          <w:rFonts w:asciiTheme="minorHAnsi" w:eastAsiaTheme="minorHAnsi" w:hAnsiTheme="minorHAnsi" w:cstheme="minorHAnsi"/>
          <w:bCs/>
          <w:color w:val="auto"/>
          <w:sz w:val="22"/>
          <w:szCs w:val="22"/>
          <w:lang w:eastAsia="en-US"/>
        </w:rPr>
        <w:t>infrastructure.</w:t>
      </w:r>
    </w:p>
    <w:p w14:paraId="44E89611" w14:textId="741DACCC" w:rsidR="00960134" w:rsidRPr="00960134" w:rsidRDefault="00960134" w:rsidP="00960134">
      <w:pPr>
        <w:widowControl/>
        <w:numPr>
          <w:ilvl w:val="1"/>
          <w:numId w:val="2"/>
        </w:numPr>
        <w:autoSpaceDE/>
        <w:autoSpaceDN/>
        <w:adjustRightInd/>
        <w:spacing w:after="200" w:line="276" w:lineRule="auto"/>
        <w:contextualSpacing/>
        <w:jc w:val="both"/>
        <w:rPr>
          <w:rFonts w:asciiTheme="minorHAnsi" w:eastAsiaTheme="minorHAnsi" w:hAnsiTheme="minorHAnsi" w:cstheme="minorHAnsi"/>
          <w:bCs/>
          <w:color w:val="auto"/>
          <w:sz w:val="22"/>
          <w:szCs w:val="22"/>
          <w:lang w:eastAsia="en-US"/>
        </w:rPr>
      </w:pPr>
      <w:r w:rsidRPr="00960134">
        <w:rPr>
          <w:rFonts w:asciiTheme="minorHAnsi" w:eastAsiaTheme="minorHAnsi" w:hAnsiTheme="minorHAnsi" w:cstheme="minorHAnsi"/>
          <w:bCs/>
          <w:color w:val="auto"/>
          <w:sz w:val="22"/>
          <w:szCs w:val="22"/>
          <w:lang w:eastAsia="en-US"/>
        </w:rPr>
        <w:lastRenderedPageBreak/>
        <w:t xml:space="preserve">Methodology and Criteria required to define the limits of coastal hazard zones (high, limited, etc..) in alignment with the national building code, as well as typical Building Code Practices (ASCE, IBC) or other international best </w:t>
      </w:r>
      <w:r w:rsidR="00FF1373" w:rsidRPr="00960134">
        <w:rPr>
          <w:rFonts w:asciiTheme="minorHAnsi" w:eastAsiaTheme="minorHAnsi" w:hAnsiTheme="minorHAnsi" w:cstheme="minorHAnsi"/>
          <w:bCs/>
          <w:color w:val="auto"/>
          <w:sz w:val="22"/>
          <w:szCs w:val="22"/>
          <w:lang w:eastAsia="en-US"/>
        </w:rPr>
        <w:t>practice.</w:t>
      </w:r>
    </w:p>
    <w:p w14:paraId="29D1ED4F" w14:textId="4971527B" w:rsidR="00960134" w:rsidRPr="00960134" w:rsidRDefault="00960134" w:rsidP="00960134">
      <w:pPr>
        <w:widowControl/>
        <w:numPr>
          <w:ilvl w:val="1"/>
          <w:numId w:val="2"/>
        </w:numPr>
        <w:autoSpaceDE/>
        <w:autoSpaceDN/>
        <w:adjustRightInd/>
        <w:spacing w:after="200" w:line="276" w:lineRule="auto"/>
        <w:contextualSpacing/>
        <w:jc w:val="both"/>
        <w:rPr>
          <w:rFonts w:asciiTheme="minorHAnsi" w:eastAsiaTheme="minorHAnsi" w:hAnsiTheme="minorHAnsi" w:cstheme="minorHAnsi"/>
          <w:bCs/>
          <w:color w:val="auto"/>
          <w:sz w:val="22"/>
          <w:szCs w:val="22"/>
          <w:lang w:eastAsia="en-US"/>
        </w:rPr>
      </w:pPr>
      <w:r w:rsidRPr="00960134">
        <w:rPr>
          <w:rFonts w:asciiTheme="minorHAnsi" w:eastAsiaTheme="minorHAnsi" w:hAnsiTheme="minorHAnsi" w:cstheme="minorHAnsi"/>
          <w:bCs/>
          <w:color w:val="auto"/>
          <w:sz w:val="22"/>
          <w:szCs w:val="22"/>
          <w:lang w:eastAsia="en-US"/>
        </w:rPr>
        <w:t>Methodology and Criteria required to define climate change impacts and plan for adaptation to climate change (including transition, strengthening, or resettlement and land-use change plans</w:t>
      </w:r>
      <w:r w:rsidR="00FF1373" w:rsidRPr="00960134">
        <w:rPr>
          <w:rFonts w:asciiTheme="minorHAnsi" w:eastAsiaTheme="minorHAnsi" w:hAnsiTheme="minorHAnsi" w:cstheme="minorHAnsi"/>
          <w:bCs/>
          <w:color w:val="auto"/>
          <w:sz w:val="22"/>
          <w:szCs w:val="22"/>
          <w:lang w:eastAsia="en-US"/>
        </w:rPr>
        <w:t>).</w:t>
      </w:r>
    </w:p>
    <w:p w14:paraId="7589AF16" w14:textId="57E9AFEE" w:rsidR="00960134" w:rsidRPr="00960134" w:rsidRDefault="00960134" w:rsidP="00960134">
      <w:pPr>
        <w:widowControl/>
        <w:numPr>
          <w:ilvl w:val="1"/>
          <w:numId w:val="2"/>
        </w:numPr>
        <w:autoSpaceDE/>
        <w:autoSpaceDN/>
        <w:adjustRightInd/>
        <w:spacing w:after="200" w:line="276" w:lineRule="auto"/>
        <w:contextualSpacing/>
        <w:jc w:val="both"/>
        <w:rPr>
          <w:rFonts w:asciiTheme="minorHAnsi" w:eastAsiaTheme="minorHAnsi" w:hAnsiTheme="minorHAnsi" w:cstheme="minorHAnsi"/>
          <w:bCs/>
          <w:color w:val="auto"/>
          <w:sz w:val="22"/>
          <w:szCs w:val="22"/>
          <w:lang w:eastAsia="en-US"/>
        </w:rPr>
      </w:pPr>
      <w:r w:rsidRPr="00960134">
        <w:rPr>
          <w:rFonts w:asciiTheme="minorHAnsi" w:eastAsiaTheme="minorHAnsi" w:hAnsiTheme="minorHAnsi" w:cstheme="minorHAnsi"/>
          <w:bCs/>
          <w:color w:val="auto"/>
          <w:sz w:val="22"/>
          <w:szCs w:val="22"/>
          <w:lang w:eastAsia="en-US"/>
        </w:rPr>
        <w:t xml:space="preserve">Methodology and criteria for reserving and designating land that has lower disaster risk around existing urban/sub-urban areas to facilitate resettlement and construction of </w:t>
      </w:r>
      <w:proofErr w:type="gramStart"/>
      <w:r w:rsidRPr="00960134">
        <w:rPr>
          <w:rFonts w:asciiTheme="minorHAnsi" w:eastAsiaTheme="minorHAnsi" w:hAnsiTheme="minorHAnsi" w:cstheme="minorHAnsi"/>
          <w:bCs/>
          <w:color w:val="auto"/>
          <w:sz w:val="22"/>
          <w:szCs w:val="22"/>
          <w:lang w:eastAsia="en-US"/>
        </w:rPr>
        <w:t>communities</w:t>
      </w:r>
      <w:proofErr w:type="gramEnd"/>
      <w:r w:rsidRPr="00960134">
        <w:rPr>
          <w:rFonts w:asciiTheme="minorHAnsi" w:eastAsiaTheme="minorHAnsi" w:hAnsiTheme="minorHAnsi" w:cstheme="minorHAnsi"/>
          <w:bCs/>
          <w:color w:val="auto"/>
          <w:sz w:val="22"/>
          <w:szCs w:val="22"/>
          <w:lang w:eastAsia="en-US"/>
        </w:rPr>
        <w:t xml:space="preserve"> post-</w:t>
      </w:r>
      <w:r w:rsidR="00FF1373" w:rsidRPr="00960134">
        <w:rPr>
          <w:rFonts w:asciiTheme="minorHAnsi" w:eastAsiaTheme="minorHAnsi" w:hAnsiTheme="minorHAnsi" w:cstheme="minorHAnsi"/>
          <w:bCs/>
          <w:color w:val="auto"/>
          <w:sz w:val="22"/>
          <w:szCs w:val="22"/>
          <w:lang w:eastAsia="en-US"/>
        </w:rPr>
        <w:t>disaster.</w:t>
      </w:r>
    </w:p>
    <w:p w14:paraId="3E0ED275" w14:textId="1E43B2BD" w:rsidR="00960134" w:rsidRPr="00960134" w:rsidRDefault="00960134" w:rsidP="00960134">
      <w:pPr>
        <w:widowControl/>
        <w:numPr>
          <w:ilvl w:val="1"/>
          <w:numId w:val="2"/>
        </w:numPr>
        <w:autoSpaceDE/>
        <w:autoSpaceDN/>
        <w:adjustRightInd/>
        <w:spacing w:after="200" w:line="276" w:lineRule="auto"/>
        <w:contextualSpacing/>
        <w:jc w:val="both"/>
        <w:rPr>
          <w:rFonts w:asciiTheme="minorHAnsi" w:eastAsiaTheme="minorHAnsi" w:hAnsiTheme="minorHAnsi" w:cstheme="minorHAnsi"/>
          <w:bCs/>
          <w:color w:val="auto"/>
          <w:sz w:val="22"/>
          <w:szCs w:val="22"/>
          <w:lang w:eastAsia="en-US"/>
        </w:rPr>
      </w:pPr>
      <w:r w:rsidRPr="00960134">
        <w:rPr>
          <w:rFonts w:asciiTheme="minorHAnsi" w:eastAsiaTheme="minorHAnsi" w:hAnsiTheme="minorHAnsi" w:cstheme="minorHAnsi"/>
          <w:bCs/>
          <w:color w:val="auto"/>
          <w:sz w:val="22"/>
          <w:szCs w:val="22"/>
          <w:lang w:eastAsia="en-US"/>
        </w:rPr>
        <w:t xml:space="preserve">The minimum information, science data requirements, and indicators to diagnose the current situation with an emphasis on the sustainability and climate resilience of existing land uses and infrastructure viz a viz climate hazard exposure; physical vulnerability, demographic trends; economic </w:t>
      </w:r>
      <w:r w:rsidR="00FF1373" w:rsidRPr="00960134">
        <w:rPr>
          <w:rFonts w:asciiTheme="minorHAnsi" w:eastAsiaTheme="minorHAnsi" w:hAnsiTheme="minorHAnsi" w:cstheme="minorHAnsi"/>
          <w:bCs/>
          <w:color w:val="auto"/>
          <w:sz w:val="22"/>
          <w:szCs w:val="22"/>
          <w:lang w:eastAsia="en-US"/>
        </w:rPr>
        <w:t>trends; and</w:t>
      </w:r>
      <w:r w:rsidRPr="00960134">
        <w:rPr>
          <w:rFonts w:asciiTheme="minorHAnsi" w:eastAsiaTheme="minorHAnsi" w:hAnsiTheme="minorHAnsi" w:cstheme="minorHAnsi"/>
          <w:bCs/>
          <w:color w:val="auto"/>
          <w:sz w:val="22"/>
          <w:szCs w:val="22"/>
          <w:lang w:eastAsia="en-US"/>
        </w:rPr>
        <w:t xml:space="preserve"> changes in land use over time, including urbanization – identifying adequate proxies from existing sources and institutions as far as </w:t>
      </w:r>
      <w:r w:rsidR="00FF1373" w:rsidRPr="00960134">
        <w:rPr>
          <w:rFonts w:asciiTheme="minorHAnsi" w:eastAsiaTheme="minorHAnsi" w:hAnsiTheme="minorHAnsi" w:cstheme="minorHAnsi"/>
          <w:bCs/>
          <w:color w:val="auto"/>
          <w:sz w:val="22"/>
          <w:szCs w:val="22"/>
          <w:lang w:eastAsia="en-US"/>
        </w:rPr>
        <w:t>possible.</w:t>
      </w:r>
    </w:p>
    <w:p w14:paraId="59ACA8E5" w14:textId="1DAA06A7" w:rsidR="00960134" w:rsidRPr="00960134" w:rsidRDefault="00960134" w:rsidP="00960134">
      <w:pPr>
        <w:widowControl/>
        <w:numPr>
          <w:ilvl w:val="1"/>
          <w:numId w:val="2"/>
        </w:numPr>
        <w:autoSpaceDE/>
        <w:autoSpaceDN/>
        <w:adjustRightInd/>
        <w:spacing w:after="200" w:line="276" w:lineRule="auto"/>
        <w:contextualSpacing/>
        <w:jc w:val="both"/>
        <w:rPr>
          <w:rFonts w:asciiTheme="minorHAnsi" w:eastAsiaTheme="minorHAnsi" w:hAnsiTheme="minorHAnsi" w:cstheme="minorHAnsi"/>
          <w:bCs/>
          <w:color w:val="auto"/>
          <w:sz w:val="22"/>
          <w:szCs w:val="22"/>
          <w:lang w:eastAsia="en-US"/>
        </w:rPr>
      </w:pPr>
      <w:r w:rsidRPr="00960134">
        <w:rPr>
          <w:rFonts w:asciiTheme="minorHAnsi" w:eastAsiaTheme="minorHAnsi" w:hAnsiTheme="minorHAnsi" w:cstheme="minorHAnsi"/>
          <w:bCs/>
          <w:color w:val="auto"/>
          <w:sz w:val="22"/>
          <w:szCs w:val="22"/>
          <w:lang w:eastAsia="en-US"/>
        </w:rPr>
        <w:t xml:space="preserve">The minimum social and socio-economic indicators to diagnose the current situation and international best-practice </w:t>
      </w:r>
      <w:r w:rsidR="00FF1373" w:rsidRPr="00960134">
        <w:rPr>
          <w:rFonts w:asciiTheme="minorHAnsi" w:eastAsiaTheme="minorHAnsi" w:hAnsiTheme="minorHAnsi" w:cstheme="minorHAnsi"/>
          <w:bCs/>
          <w:color w:val="auto"/>
          <w:sz w:val="22"/>
          <w:szCs w:val="22"/>
          <w:lang w:eastAsia="en-US"/>
        </w:rPr>
        <w:t>solutions.</w:t>
      </w:r>
    </w:p>
    <w:p w14:paraId="4FD84397" w14:textId="5FD35CA2" w:rsidR="00960134" w:rsidRPr="00960134" w:rsidRDefault="00960134" w:rsidP="00960134">
      <w:pPr>
        <w:widowControl/>
        <w:numPr>
          <w:ilvl w:val="1"/>
          <w:numId w:val="2"/>
        </w:numPr>
        <w:autoSpaceDE/>
        <w:autoSpaceDN/>
        <w:adjustRightInd/>
        <w:spacing w:after="200" w:line="276" w:lineRule="auto"/>
        <w:contextualSpacing/>
        <w:jc w:val="both"/>
        <w:rPr>
          <w:rFonts w:asciiTheme="minorHAnsi" w:eastAsiaTheme="minorHAnsi" w:hAnsiTheme="minorHAnsi" w:cstheme="minorHAnsi"/>
          <w:bCs/>
          <w:color w:val="auto"/>
          <w:sz w:val="22"/>
          <w:szCs w:val="22"/>
          <w:lang w:eastAsia="en-US"/>
        </w:rPr>
      </w:pPr>
      <w:r w:rsidRPr="00960134">
        <w:rPr>
          <w:rFonts w:asciiTheme="minorHAnsi" w:eastAsiaTheme="minorHAnsi" w:hAnsiTheme="minorHAnsi" w:cstheme="minorHAnsi"/>
          <w:bCs/>
          <w:color w:val="auto"/>
          <w:sz w:val="22"/>
          <w:szCs w:val="22"/>
          <w:lang w:eastAsia="en-US"/>
        </w:rPr>
        <w:t xml:space="preserve">The methodology and protocols for ensuring an appropriate combination of various common sources of attribute and graphic information that preserves an acceptable level of interpretive accuracy and </w:t>
      </w:r>
      <w:r w:rsidR="00FF1373" w:rsidRPr="00960134">
        <w:rPr>
          <w:rFonts w:asciiTheme="minorHAnsi" w:eastAsiaTheme="minorHAnsi" w:hAnsiTheme="minorHAnsi" w:cstheme="minorHAnsi"/>
          <w:bCs/>
          <w:color w:val="auto"/>
          <w:sz w:val="22"/>
          <w:szCs w:val="22"/>
          <w:lang w:eastAsia="en-US"/>
        </w:rPr>
        <w:t>precision.</w:t>
      </w:r>
    </w:p>
    <w:p w14:paraId="36A5CEFF" w14:textId="685CBBC9" w:rsidR="00960134" w:rsidRPr="00960134" w:rsidRDefault="00960134" w:rsidP="00960134">
      <w:pPr>
        <w:widowControl/>
        <w:numPr>
          <w:ilvl w:val="1"/>
          <w:numId w:val="2"/>
        </w:numPr>
        <w:autoSpaceDE/>
        <w:autoSpaceDN/>
        <w:adjustRightInd/>
        <w:spacing w:after="200" w:line="276" w:lineRule="auto"/>
        <w:contextualSpacing/>
        <w:jc w:val="both"/>
        <w:rPr>
          <w:rFonts w:asciiTheme="minorHAnsi" w:eastAsiaTheme="minorHAnsi" w:hAnsiTheme="minorHAnsi" w:cstheme="minorHAnsi"/>
          <w:bCs/>
          <w:color w:val="auto"/>
          <w:sz w:val="22"/>
          <w:szCs w:val="22"/>
          <w:lang w:eastAsia="en-US"/>
        </w:rPr>
      </w:pPr>
      <w:r w:rsidRPr="00960134">
        <w:rPr>
          <w:rFonts w:asciiTheme="minorHAnsi" w:eastAsiaTheme="minorHAnsi" w:hAnsiTheme="minorHAnsi" w:cstheme="minorHAnsi"/>
          <w:bCs/>
          <w:color w:val="auto"/>
          <w:sz w:val="22"/>
          <w:szCs w:val="22"/>
          <w:lang w:eastAsia="en-US"/>
        </w:rPr>
        <w:t xml:space="preserve">Terms of Reference for efficiently and cost-effectively collecting any critical information/data/indicators that are not commonly available from existing sources and institutions in a Family Island </w:t>
      </w:r>
      <w:r w:rsidR="00FF1373" w:rsidRPr="00960134">
        <w:rPr>
          <w:rFonts w:asciiTheme="minorHAnsi" w:eastAsiaTheme="minorHAnsi" w:hAnsiTheme="minorHAnsi" w:cstheme="minorHAnsi"/>
          <w:bCs/>
          <w:color w:val="auto"/>
          <w:sz w:val="22"/>
          <w:szCs w:val="22"/>
          <w:lang w:eastAsia="en-US"/>
        </w:rPr>
        <w:t>context.</w:t>
      </w:r>
    </w:p>
    <w:p w14:paraId="1202EFFF" w14:textId="4BA4D8F9" w:rsidR="00960134" w:rsidRPr="00960134" w:rsidRDefault="00960134" w:rsidP="00960134">
      <w:pPr>
        <w:widowControl/>
        <w:numPr>
          <w:ilvl w:val="1"/>
          <w:numId w:val="2"/>
        </w:numPr>
        <w:autoSpaceDE/>
        <w:autoSpaceDN/>
        <w:adjustRightInd/>
        <w:spacing w:after="200" w:line="276" w:lineRule="auto"/>
        <w:contextualSpacing/>
        <w:jc w:val="both"/>
        <w:rPr>
          <w:rFonts w:asciiTheme="minorHAnsi" w:eastAsiaTheme="minorHAnsi" w:hAnsiTheme="minorHAnsi" w:cstheme="minorHAnsi"/>
          <w:bCs/>
          <w:color w:val="auto"/>
          <w:sz w:val="22"/>
          <w:szCs w:val="22"/>
          <w:lang w:eastAsia="en-US"/>
        </w:rPr>
      </w:pPr>
      <w:r w:rsidRPr="00960134">
        <w:rPr>
          <w:rFonts w:asciiTheme="minorHAnsi" w:eastAsiaTheme="minorHAnsi" w:hAnsiTheme="minorHAnsi" w:cstheme="minorHAnsi"/>
          <w:color w:val="auto"/>
          <w:sz w:val="22"/>
          <w:szCs w:val="22"/>
          <w:lang w:eastAsia="en-US"/>
        </w:rPr>
        <w:t>Mechanisms and protocols for facilitating inter-sectoral/ministerial coordination, inter-jurisdictional collaboration, and national-local coordination in preparing the Plan (Pre-Disaster and Post-Disaster); including approval timelines and expedited processes post-</w:t>
      </w:r>
      <w:r w:rsidR="00FF1373" w:rsidRPr="00960134">
        <w:rPr>
          <w:rFonts w:asciiTheme="minorHAnsi" w:eastAsiaTheme="minorHAnsi" w:hAnsiTheme="minorHAnsi" w:cstheme="minorHAnsi"/>
          <w:color w:val="auto"/>
          <w:sz w:val="22"/>
          <w:szCs w:val="22"/>
          <w:lang w:eastAsia="en-US"/>
        </w:rPr>
        <w:t>disaster.</w:t>
      </w:r>
    </w:p>
    <w:p w14:paraId="15BDB792" w14:textId="31221060" w:rsidR="00960134" w:rsidRPr="00960134" w:rsidRDefault="00960134" w:rsidP="00960134">
      <w:pPr>
        <w:widowControl/>
        <w:numPr>
          <w:ilvl w:val="1"/>
          <w:numId w:val="2"/>
        </w:numPr>
        <w:autoSpaceDE/>
        <w:autoSpaceDN/>
        <w:adjustRightInd/>
        <w:spacing w:after="200" w:line="276" w:lineRule="auto"/>
        <w:contextualSpacing/>
        <w:jc w:val="both"/>
        <w:rPr>
          <w:rFonts w:asciiTheme="minorHAnsi" w:eastAsiaTheme="minorHAnsi" w:hAnsiTheme="minorHAnsi" w:cstheme="minorHAnsi"/>
          <w:bCs/>
          <w:color w:val="auto"/>
          <w:sz w:val="22"/>
          <w:szCs w:val="22"/>
          <w:lang w:eastAsia="en-US"/>
        </w:rPr>
      </w:pPr>
      <w:r w:rsidRPr="00960134">
        <w:rPr>
          <w:rFonts w:asciiTheme="minorHAnsi" w:eastAsiaTheme="minorHAnsi" w:hAnsiTheme="minorHAnsi" w:cstheme="minorHAnsi"/>
          <w:bCs/>
          <w:color w:val="auto"/>
          <w:sz w:val="22"/>
          <w:szCs w:val="22"/>
          <w:lang w:eastAsia="en-US"/>
        </w:rPr>
        <w:t xml:space="preserve">Leadership &amp; Roles and Responsibilities Pre- and Post-Disaster regarding Land-Use Planning and </w:t>
      </w:r>
      <w:r w:rsidR="00FF1373" w:rsidRPr="00960134">
        <w:rPr>
          <w:rFonts w:asciiTheme="minorHAnsi" w:eastAsiaTheme="minorHAnsi" w:hAnsiTheme="minorHAnsi" w:cstheme="minorHAnsi"/>
          <w:bCs/>
          <w:color w:val="auto"/>
          <w:sz w:val="22"/>
          <w:szCs w:val="22"/>
          <w:lang w:eastAsia="en-US"/>
        </w:rPr>
        <w:t>Approvals.</w:t>
      </w:r>
    </w:p>
    <w:p w14:paraId="2A381CC7" w14:textId="2492A78C" w:rsidR="00960134" w:rsidRPr="00960134" w:rsidRDefault="00960134" w:rsidP="00960134">
      <w:pPr>
        <w:widowControl/>
        <w:numPr>
          <w:ilvl w:val="1"/>
          <w:numId w:val="2"/>
        </w:numPr>
        <w:autoSpaceDE/>
        <w:autoSpaceDN/>
        <w:adjustRightInd/>
        <w:spacing w:after="200" w:line="276" w:lineRule="auto"/>
        <w:contextualSpacing/>
        <w:jc w:val="both"/>
        <w:rPr>
          <w:rFonts w:asciiTheme="minorHAnsi" w:eastAsiaTheme="minorHAnsi" w:hAnsiTheme="minorHAnsi" w:cstheme="minorHAnsi"/>
          <w:bCs/>
          <w:color w:val="auto"/>
          <w:sz w:val="22"/>
          <w:szCs w:val="22"/>
          <w:lang w:eastAsia="en-US"/>
        </w:rPr>
      </w:pPr>
      <w:r w:rsidRPr="00960134">
        <w:rPr>
          <w:rFonts w:asciiTheme="minorHAnsi" w:eastAsiaTheme="minorHAnsi" w:hAnsiTheme="minorHAnsi" w:cstheme="minorHAnsi"/>
          <w:bCs/>
          <w:color w:val="auto"/>
          <w:sz w:val="22"/>
          <w:szCs w:val="22"/>
          <w:lang w:eastAsia="en-US"/>
        </w:rPr>
        <w:t xml:space="preserve">Criteria for identifying and classifying stakeholders according to hierarchies of ability to influence land use and infrastructure decisions and propensity to be influenced by those </w:t>
      </w:r>
      <w:r w:rsidR="00FF1373" w:rsidRPr="00960134">
        <w:rPr>
          <w:rFonts w:asciiTheme="minorHAnsi" w:eastAsiaTheme="minorHAnsi" w:hAnsiTheme="minorHAnsi" w:cstheme="minorHAnsi"/>
          <w:bCs/>
          <w:color w:val="auto"/>
          <w:sz w:val="22"/>
          <w:szCs w:val="22"/>
          <w:lang w:eastAsia="en-US"/>
        </w:rPr>
        <w:t>decisions.</w:t>
      </w:r>
    </w:p>
    <w:p w14:paraId="45B4D5BC" w14:textId="77777777" w:rsidR="00960134" w:rsidRPr="00960134" w:rsidRDefault="00960134" w:rsidP="00960134">
      <w:pPr>
        <w:widowControl/>
        <w:numPr>
          <w:ilvl w:val="1"/>
          <w:numId w:val="2"/>
        </w:numPr>
        <w:autoSpaceDE/>
        <w:autoSpaceDN/>
        <w:adjustRightInd/>
        <w:spacing w:after="200" w:line="276" w:lineRule="auto"/>
        <w:contextualSpacing/>
        <w:jc w:val="both"/>
        <w:rPr>
          <w:rFonts w:asciiTheme="minorHAnsi" w:eastAsiaTheme="minorHAnsi" w:hAnsiTheme="minorHAnsi" w:cstheme="minorHAnsi"/>
          <w:bCs/>
          <w:color w:val="auto"/>
          <w:sz w:val="22"/>
          <w:szCs w:val="22"/>
          <w:lang w:eastAsia="en-US"/>
        </w:rPr>
      </w:pPr>
      <w:r w:rsidRPr="00960134">
        <w:rPr>
          <w:rFonts w:asciiTheme="minorHAnsi" w:eastAsiaTheme="minorHAnsi" w:hAnsiTheme="minorHAnsi" w:cstheme="minorHAnsi"/>
          <w:bCs/>
          <w:color w:val="auto"/>
          <w:sz w:val="22"/>
          <w:szCs w:val="22"/>
          <w:lang w:eastAsia="en-US"/>
        </w:rPr>
        <w:t>The methodology for classifying existing land use according to at least three categories: Crown land (unencumbered); Private land (unencumbered); and informal settlement.</w:t>
      </w:r>
    </w:p>
    <w:p w14:paraId="45786629" w14:textId="0F969302" w:rsidR="00960134" w:rsidRPr="00960134" w:rsidRDefault="00960134" w:rsidP="00960134">
      <w:pPr>
        <w:widowControl/>
        <w:numPr>
          <w:ilvl w:val="1"/>
          <w:numId w:val="2"/>
        </w:numPr>
        <w:autoSpaceDE/>
        <w:autoSpaceDN/>
        <w:adjustRightInd/>
        <w:spacing w:after="200" w:line="276" w:lineRule="auto"/>
        <w:contextualSpacing/>
        <w:jc w:val="both"/>
        <w:rPr>
          <w:rFonts w:asciiTheme="minorHAnsi" w:eastAsiaTheme="minorHAnsi" w:hAnsiTheme="minorHAnsi" w:cstheme="minorHAnsi"/>
          <w:bCs/>
          <w:color w:val="auto"/>
          <w:sz w:val="22"/>
          <w:szCs w:val="22"/>
          <w:lang w:eastAsia="en-US"/>
        </w:rPr>
      </w:pPr>
      <w:r w:rsidRPr="00960134">
        <w:rPr>
          <w:rFonts w:asciiTheme="minorHAnsi" w:eastAsiaTheme="minorHAnsi" w:hAnsiTheme="minorHAnsi" w:cstheme="minorHAnsi"/>
          <w:bCs/>
          <w:color w:val="auto"/>
          <w:sz w:val="22"/>
          <w:szCs w:val="22"/>
          <w:lang w:eastAsia="en-US"/>
        </w:rPr>
        <w:t xml:space="preserve">The process for developing a joint vision and objective of the Plan in a Family Island context, including reconciliation with higher level Plans, national objectives, meaningful consultation with different categories of stakeholders, and pursuing land and marine space uses that are conducive with sustainable </w:t>
      </w:r>
      <w:r w:rsidR="00FF1373" w:rsidRPr="00960134">
        <w:rPr>
          <w:rFonts w:asciiTheme="minorHAnsi" w:eastAsiaTheme="minorHAnsi" w:hAnsiTheme="minorHAnsi" w:cstheme="minorHAnsi"/>
          <w:bCs/>
          <w:color w:val="auto"/>
          <w:sz w:val="22"/>
          <w:szCs w:val="22"/>
          <w:lang w:eastAsia="en-US"/>
        </w:rPr>
        <w:t>development.</w:t>
      </w:r>
    </w:p>
    <w:p w14:paraId="36F41D12" w14:textId="0FAFAE28" w:rsidR="00960134" w:rsidRPr="00960134" w:rsidRDefault="00960134" w:rsidP="00960134">
      <w:pPr>
        <w:widowControl/>
        <w:numPr>
          <w:ilvl w:val="1"/>
          <w:numId w:val="2"/>
        </w:numPr>
        <w:autoSpaceDE/>
        <w:autoSpaceDN/>
        <w:adjustRightInd/>
        <w:spacing w:after="200" w:line="276" w:lineRule="auto"/>
        <w:contextualSpacing/>
        <w:jc w:val="both"/>
        <w:rPr>
          <w:rFonts w:asciiTheme="minorHAnsi" w:eastAsiaTheme="minorHAnsi" w:hAnsiTheme="minorHAnsi" w:cstheme="minorHAnsi"/>
          <w:bCs/>
          <w:color w:val="auto"/>
          <w:sz w:val="22"/>
          <w:szCs w:val="22"/>
          <w:lang w:eastAsia="en-US"/>
        </w:rPr>
      </w:pPr>
      <w:r w:rsidRPr="00960134">
        <w:rPr>
          <w:rFonts w:asciiTheme="minorHAnsi" w:eastAsiaTheme="minorHAnsi" w:hAnsiTheme="minorHAnsi" w:cstheme="minorHAnsi"/>
          <w:bCs/>
          <w:color w:val="auto"/>
          <w:sz w:val="22"/>
          <w:szCs w:val="22"/>
          <w:lang w:eastAsia="en-US"/>
        </w:rPr>
        <w:t xml:space="preserve">The process for assessing/determining the suitability of any given part of the territory for specific categories of development </w:t>
      </w:r>
      <w:r w:rsidR="00FF1373" w:rsidRPr="00960134">
        <w:rPr>
          <w:rFonts w:asciiTheme="minorHAnsi" w:eastAsiaTheme="minorHAnsi" w:hAnsiTheme="minorHAnsi" w:cstheme="minorHAnsi"/>
          <w:bCs/>
          <w:color w:val="auto"/>
          <w:sz w:val="22"/>
          <w:szCs w:val="22"/>
          <w:lang w:eastAsia="en-US"/>
        </w:rPr>
        <w:t>e.g.,</w:t>
      </w:r>
      <w:r w:rsidRPr="00960134">
        <w:rPr>
          <w:rFonts w:asciiTheme="minorHAnsi" w:eastAsiaTheme="minorHAnsi" w:hAnsiTheme="minorHAnsi" w:cstheme="minorHAnsi"/>
          <w:bCs/>
          <w:color w:val="auto"/>
          <w:sz w:val="22"/>
          <w:szCs w:val="22"/>
          <w:lang w:eastAsia="en-US"/>
        </w:rPr>
        <w:t xml:space="preserve"> tourism and other industries, agriculture, commerce, housing, maritime activity etc.</w:t>
      </w:r>
    </w:p>
    <w:p w14:paraId="4E0BFDC6" w14:textId="0C6D34A1" w:rsidR="00960134" w:rsidRPr="00960134" w:rsidRDefault="00960134" w:rsidP="00960134">
      <w:pPr>
        <w:widowControl/>
        <w:numPr>
          <w:ilvl w:val="1"/>
          <w:numId w:val="2"/>
        </w:numPr>
        <w:autoSpaceDE/>
        <w:autoSpaceDN/>
        <w:adjustRightInd/>
        <w:spacing w:after="200" w:line="276" w:lineRule="auto"/>
        <w:contextualSpacing/>
        <w:jc w:val="both"/>
        <w:rPr>
          <w:rFonts w:asciiTheme="minorHAnsi" w:eastAsiaTheme="minorHAnsi" w:hAnsiTheme="minorHAnsi" w:cstheme="minorHAnsi"/>
          <w:bCs/>
          <w:color w:val="auto"/>
          <w:sz w:val="22"/>
          <w:szCs w:val="22"/>
          <w:lang w:eastAsia="en-US"/>
        </w:rPr>
      </w:pPr>
      <w:r w:rsidRPr="00960134">
        <w:rPr>
          <w:rFonts w:asciiTheme="minorHAnsi" w:eastAsiaTheme="minorHAnsi" w:hAnsiTheme="minorHAnsi" w:cstheme="minorHAnsi"/>
          <w:bCs/>
          <w:color w:val="auto"/>
          <w:sz w:val="22"/>
          <w:szCs w:val="22"/>
          <w:lang w:eastAsia="en-US"/>
        </w:rPr>
        <w:t xml:space="preserve">The process and methodologies to inform land use </w:t>
      </w:r>
      <w:r w:rsidR="00FF1373" w:rsidRPr="00960134">
        <w:rPr>
          <w:rFonts w:asciiTheme="minorHAnsi" w:eastAsiaTheme="minorHAnsi" w:hAnsiTheme="minorHAnsi" w:cstheme="minorHAnsi"/>
          <w:bCs/>
          <w:color w:val="auto"/>
          <w:sz w:val="22"/>
          <w:szCs w:val="22"/>
          <w:lang w:eastAsia="en-US"/>
        </w:rPr>
        <w:t>choices (</w:t>
      </w:r>
      <w:r w:rsidRPr="00960134">
        <w:rPr>
          <w:rFonts w:asciiTheme="minorHAnsi" w:eastAsiaTheme="minorHAnsi" w:hAnsiTheme="minorHAnsi" w:cstheme="minorHAnsi"/>
          <w:bCs/>
          <w:color w:val="auto"/>
          <w:sz w:val="22"/>
          <w:szCs w:val="22"/>
          <w:lang w:eastAsia="en-US"/>
        </w:rPr>
        <w:t>zoning, development rights/intensity, protected areas etc.) and infrastructure design (retrofitting and new) in the Plan that are conducive with bridging the gap between the current situation and past trends on the one hand, and the joint vision that the Plan seeks to portray on the other – to include the methodology and data requirements for conducting a cost-benefit analysis of major alternative solutions.</w:t>
      </w:r>
    </w:p>
    <w:p w14:paraId="3D1384A6" w14:textId="77777777" w:rsidR="00960134" w:rsidRPr="00960134" w:rsidRDefault="00960134" w:rsidP="00960134">
      <w:pPr>
        <w:widowControl/>
        <w:numPr>
          <w:ilvl w:val="1"/>
          <w:numId w:val="2"/>
        </w:numPr>
        <w:autoSpaceDE/>
        <w:autoSpaceDN/>
        <w:adjustRightInd/>
        <w:spacing w:after="200" w:line="276" w:lineRule="auto"/>
        <w:contextualSpacing/>
        <w:jc w:val="both"/>
        <w:rPr>
          <w:rFonts w:asciiTheme="minorHAnsi" w:eastAsiaTheme="minorHAnsi" w:hAnsiTheme="minorHAnsi" w:cstheme="minorHAnsi"/>
          <w:bCs/>
          <w:color w:val="auto"/>
          <w:sz w:val="22"/>
          <w:szCs w:val="22"/>
          <w:lang w:eastAsia="en-US"/>
        </w:rPr>
      </w:pPr>
      <w:r w:rsidRPr="00960134">
        <w:rPr>
          <w:rFonts w:asciiTheme="minorHAnsi" w:eastAsiaTheme="minorHAnsi" w:hAnsiTheme="minorHAnsi" w:cstheme="minorHAnsi"/>
          <w:bCs/>
          <w:color w:val="auto"/>
          <w:sz w:val="22"/>
          <w:szCs w:val="22"/>
          <w:lang w:eastAsia="en-US"/>
        </w:rPr>
        <w:t>The process and methodological differences when planning a populated and/or geographically larger Family Island and its associated urban/sub-urban area versus a lower populated island or cay that may also be geographically smaller in size.</w:t>
      </w:r>
    </w:p>
    <w:p w14:paraId="30D4A77A" w14:textId="77777777" w:rsidR="00960134" w:rsidRPr="00960134" w:rsidRDefault="00960134" w:rsidP="00960134">
      <w:pPr>
        <w:widowControl/>
        <w:numPr>
          <w:ilvl w:val="1"/>
          <w:numId w:val="2"/>
        </w:numPr>
        <w:autoSpaceDE/>
        <w:autoSpaceDN/>
        <w:adjustRightInd/>
        <w:spacing w:after="200" w:line="276" w:lineRule="auto"/>
        <w:contextualSpacing/>
        <w:jc w:val="both"/>
        <w:rPr>
          <w:rFonts w:asciiTheme="minorHAnsi" w:eastAsiaTheme="minorHAnsi" w:hAnsiTheme="minorHAnsi" w:cstheme="minorHAnsi"/>
          <w:bCs/>
          <w:color w:val="auto"/>
          <w:sz w:val="22"/>
          <w:szCs w:val="22"/>
          <w:lang w:eastAsia="en-US"/>
        </w:rPr>
      </w:pPr>
      <w:r w:rsidRPr="00960134">
        <w:rPr>
          <w:rFonts w:asciiTheme="minorHAnsi" w:eastAsiaTheme="minorHAnsi" w:hAnsiTheme="minorHAnsi" w:cstheme="minorHAnsi"/>
          <w:bCs/>
          <w:color w:val="auto"/>
          <w:sz w:val="22"/>
          <w:szCs w:val="22"/>
          <w:lang w:eastAsia="en-US"/>
        </w:rPr>
        <w:t>The process and protocols for receiving and incorporating feedback on the draft Plan, leading to its finalization as a draft for approval.</w:t>
      </w:r>
    </w:p>
    <w:p w14:paraId="6929BE9F" w14:textId="77777777" w:rsidR="00960134" w:rsidRPr="00960134" w:rsidRDefault="00960134" w:rsidP="00960134">
      <w:pPr>
        <w:widowControl/>
        <w:numPr>
          <w:ilvl w:val="1"/>
          <w:numId w:val="2"/>
        </w:numPr>
        <w:autoSpaceDE/>
        <w:autoSpaceDN/>
        <w:adjustRightInd/>
        <w:spacing w:after="200" w:line="276" w:lineRule="auto"/>
        <w:contextualSpacing/>
        <w:jc w:val="both"/>
        <w:rPr>
          <w:rFonts w:asciiTheme="minorHAnsi" w:eastAsiaTheme="minorHAnsi" w:hAnsiTheme="minorHAnsi" w:cstheme="minorHAnsi"/>
          <w:bCs/>
          <w:color w:val="auto"/>
          <w:sz w:val="22"/>
          <w:szCs w:val="22"/>
          <w:lang w:eastAsia="en-US"/>
        </w:rPr>
      </w:pPr>
      <w:r w:rsidRPr="00960134">
        <w:rPr>
          <w:rFonts w:asciiTheme="minorHAnsi" w:eastAsiaTheme="minorHAnsi" w:hAnsiTheme="minorHAnsi" w:cstheme="minorHAnsi"/>
          <w:color w:val="auto"/>
          <w:sz w:val="22"/>
          <w:szCs w:val="22"/>
          <w:lang w:eastAsia="en-US"/>
        </w:rPr>
        <w:t xml:space="preserve">Monitoring and evaluation criteria to measure the implementation status and effects of the Plan. </w:t>
      </w:r>
    </w:p>
    <w:p w14:paraId="0182C8A9" w14:textId="77777777" w:rsidR="00960134" w:rsidRPr="00960134" w:rsidRDefault="00960134" w:rsidP="00960134">
      <w:pPr>
        <w:widowControl/>
        <w:numPr>
          <w:ilvl w:val="1"/>
          <w:numId w:val="2"/>
        </w:numPr>
        <w:autoSpaceDE/>
        <w:autoSpaceDN/>
        <w:adjustRightInd/>
        <w:spacing w:after="200" w:line="276" w:lineRule="auto"/>
        <w:contextualSpacing/>
        <w:jc w:val="both"/>
        <w:rPr>
          <w:rFonts w:asciiTheme="minorHAnsi" w:eastAsiaTheme="minorHAnsi" w:hAnsiTheme="minorHAnsi" w:cstheme="minorHAnsi"/>
          <w:bCs/>
          <w:color w:val="auto"/>
          <w:sz w:val="22"/>
          <w:szCs w:val="22"/>
          <w:lang w:eastAsia="en-US"/>
        </w:rPr>
      </w:pPr>
      <w:r w:rsidRPr="00960134">
        <w:rPr>
          <w:rFonts w:asciiTheme="minorHAnsi" w:eastAsiaTheme="minorHAnsi" w:hAnsiTheme="minorHAnsi" w:cstheme="minorHAnsi"/>
          <w:color w:val="auto"/>
          <w:sz w:val="22"/>
          <w:szCs w:val="22"/>
          <w:lang w:eastAsia="en-US"/>
        </w:rPr>
        <w:lastRenderedPageBreak/>
        <w:t>Prepare a typical schedule for all the substantive steps in plan preparation described in the Toolkit.</w:t>
      </w:r>
    </w:p>
    <w:p w14:paraId="1158A848" w14:textId="37577726" w:rsidR="00960134" w:rsidRPr="00960134" w:rsidRDefault="00960134" w:rsidP="00960134">
      <w:pPr>
        <w:widowControl/>
        <w:numPr>
          <w:ilvl w:val="1"/>
          <w:numId w:val="2"/>
        </w:numPr>
        <w:autoSpaceDE/>
        <w:autoSpaceDN/>
        <w:adjustRightInd/>
        <w:spacing w:after="200" w:line="276" w:lineRule="auto"/>
        <w:contextualSpacing/>
        <w:jc w:val="both"/>
        <w:rPr>
          <w:rFonts w:asciiTheme="minorHAnsi" w:eastAsiaTheme="minorHAnsi" w:hAnsiTheme="minorHAnsi" w:cstheme="minorHAnsi"/>
          <w:bCs/>
          <w:color w:val="auto"/>
          <w:sz w:val="22"/>
          <w:szCs w:val="22"/>
          <w:lang w:eastAsia="en-US"/>
        </w:rPr>
      </w:pPr>
      <w:r w:rsidRPr="00960134">
        <w:rPr>
          <w:rFonts w:asciiTheme="minorHAnsi" w:eastAsiaTheme="minorHAnsi" w:hAnsiTheme="minorHAnsi" w:cstheme="minorHAnsi"/>
          <w:bCs/>
          <w:color w:val="auto"/>
          <w:sz w:val="22"/>
          <w:szCs w:val="22"/>
          <w:lang w:eastAsia="en-US"/>
        </w:rPr>
        <w:t xml:space="preserve">Criteria and typical scenarios that would likely enable an area within the Plan to qualify as a Local Study Area under Section 22 of the 2010 Planning and Subdivision Act (including informal settlements, old and dilapidated formal settlement areas, and contaminated brownfield sites) and illustrative special planning policies that may be recommended by the Director of Physical Planning or his designated </w:t>
      </w:r>
      <w:r w:rsidR="00C81822" w:rsidRPr="00960134">
        <w:rPr>
          <w:rFonts w:asciiTheme="minorHAnsi" w:eastAsiaTheme="minorHAnsi" w:hAnsiTheme="minorHAnsi" w:cstheme="minorHAnsi"/>
          <w:bCs/>
          <w:color w:val="auto"/>
          <w:sz w:val="22"/>
          <w:szCs w:val="22"/>
          <w:lang w:eastAsia="en-US"/>
        </w:rPr>
        <w:t>representative to</w:t>
      </w:r>
      <w:r w:rsidRPr="00960134">
        <w:rPr>
          <w:rFonts w:asciiTheme="minorHAnsi" w:eastAsiaTheme="minorHAnsi" w:hAnsiTheme="minorHAnsi" w:cstheme="minorHAnsi"/>
          <w:bCs/>
          <w:color w:val="auto"/>
          <w:sz w:val="22"/>
          <w:szCs w:val="22"/>
          <w:lang w:eastAsia="en-US"/>
        </w:rPr>
        <w:t xml:space="preserve"> remedy the major problems within that Local Study </w:t>
      </w:r>
      <w:r w:rsidR="00FF1373" w:rsidRPr="00960134">
        <w:rPr>
          <w:rFonts w:asciiTheme="minorHAnsi" w:eastAsiaTheme="minorHAnsi" w:hAnsiTheme="minorHAnsi" w:cstheme="minorHAnsi"/>
          <w:bCs/>
          <w:color w:val="auto"/>
          <w:sz w:val="22"/>
          <w:szCs w:val="22"/>
          <w:lang w:eastAsia="en-US"/>
        </w:rPr>
        <w:t>Area.</w:t>
      </w:r>
    </w:p>
    <w:p w14:paraId="113C7E12" w14:textId="77777777" w:rsidR="00960134" w:rsidRPr="00960134" w:rsidRDefault="00960134" w:rsidP="00960134">
      <w:pPr>
        <w:widowControl/>
        <w:numPr>
          <w:ilvl w:val="1"/>
          <w:numId w:val="2"/>
        </w:numPr>
        <w:autoSpaceDE/>
        <w:autoSpaceDN/>
        <w:adjustRightInd/>
        <w:spacing w:after="200" w:line="276" w:lineRule="auto"/>
        <w:contextualSpacing/>
        <w:jc w:val="both"/>
        <w:rPr>
          <w:rFonts w:asciiTheme="minorHAnsi" w:eastAsiaTheme="minorHAnsi" w:hAnsiTheme="minorHAnsi" w:cstheme="minorHAnsi"/>
          <w:bCs/>
          <w:color w:val="auto"/>
          <w:sz w:val="22"/>
          <w:szCs w:val="22"/>
          <w:lang w:eastAsia="en-US"/>
        </w:rPr>
      </w:pPr>
      <w:r w:rsidRPr="00960134">
        <w:rPr>
          <w:rFonts w:asciiTheme="minorHAnsi" w:eastAsiaTheme="minorHAnsi" w:hAnsiTheme="minorHAnsi" w:cstheme="minorHAnsi"/>
          <w:bCs/>
          <w:color w:val="auto"/>
          <w:sz w:val="22"/>
          <w:szCs w:val="22"/>
          <w:lang w:eastAsia="en-US"/>
        </w:rPr>
        <w:t>Criteria and typical scenarios that would likely enable an area within the Plan to qualify for the preparation of a Secondary Plan under Section 21 of the 2010 Planning and Subdivision Act (including large vacant or underutilized areas in prime locations, commercial areas that are strategic for urban regeneration, areas targeted for post-disaster reconstruction or resettlement etc.) and illustrative solutions and tools to achieve land assembly, enhanced  Rights of way; better urban spatial functionality, and public-private-partnerships that may leverage Crown land/land state.</w:t>
      </w:r>
    </w:p>
    <w:p w14:paraId="58BD2216" w14:textId="62410B3A" w:rsidR="00960134" w:rsidRPr="00960134" w:rsidRDefault="00960134" w:rsidP="00960134">
      <w:pPr>
        <w:widowControl/>
        <w:numPr>
          <w:ilvl w:val="1"/>
          <w:numId w:val="2"/>
        </w:numPr>
        <w:autoSpaceDE/>
        <w:autoSpaceDN/>
        <w:adjustRightInd/>
        <w:spacing w:after="200" w:line="276" w:lineRule="auto"/>
        <w:contextualSpacing/>
        <w:jc w:val="both"/>
        <w:rPr>
          <w:rFonts w:asciiTheme="minorHAnsi" w:eastAsiaTheme="minorHAnsi" w:hAnsiTheme="minorHAnsi" w:cstheme="minorHAnsi"/>
          <w:bCs/>
          <w:color w:val="auto"/>
          <w:sz w:val="22"/>
          <w:szCs w:val="22"/>
          <w:lang w:eastAsia="en-US"/>
        </w:rPr>
      </w:pPr>
      <w:r w:rsidRPr="00960134">
        <w:rPr>
          <w:rFonts w:asciiTheme="minorHAnsi" w:eastAsiaTheme="minorHAnsi" w:hAnsiTheme="minorHAnsi" w:cstheme="minorHAnsi"/>
          <w:bCs/>
          <w:color w:val="auto"/>
          <w:sz w:val="22"/>
          <w:szCs w:val="22"/>
          <w:lang w:eastAsia="en-US"/>
        </w:rPr>
        <w:t>Criteria and typical scenarios that would likely enable an area within the Plan to potentially qualify as a Disaster Zone or Special Economic Recovery Zone under Part III of Disaster Reconstruction Authority Act of 2019, and illustrative solutions and tools to achieve reconstruction, resettlement, and post-disaster economic recovery.</w:t>
      </w:r>
    </w:p>
    <w:p w14:paraId="6AD18842" w14:textId="77777777" w:rsidR="00960134" w:rsidRPr="00960134" w:rsidRDefault="00960134" w:rsidP="00960134">
      <w:pPr>
        <w:widowControl/>
        <w:autoSpaceDE/>
        <w:autoSpaceDN/>
        <w:adjustRightInd/>
        <w:jc w:val="both"/>
        <w:rPr>
          <w:rFonts w:asciiTheme="minorHAnsi" w:eastAsiaTheme="minorHAnsi" w:hAnsiTheme="minorHAnsi" w:cstheme="minorHAnsi"/>
          <w:bCs/>
          <w:color w:val="auto"/>
          <w:sz w:val="22"/>
          <w:szCs w:val="22"/>
          <w:lang w:eastAsia="en-US"/>
        </w:rPr>
      </w:pPr>
    </w:p>
    <w:p w14:paraId="03654178" w14:textId="77777777" w:rsidR="00960134" w:rsidRPr="00960134" w:rsidRDefault="00960134" w:rsidP="00960134">
      <w:pPr>
        <w:widowControl/>
        <w:numPr>
          <w:ilvl w:val="0"/>
          <w:numId w:val="2"/>
        </w:numPr>
        <w:autoSpaceDE/>
        <w:autoSpaceDN/>
        <w:adjustRightInd/>
        <w:snapToGrid w:val="0"/>
        <w:spacing w:before="120" w:after="120" w:line="276" w:lineRule="auto"/>
        <w:ind w:left="810" w:hanging="450"/>
        <w:jc w:val="both"/>
        <w:rPr>
          <w:rFonts w:asciiTheme="minorHAnsi" w:eastAsiaTheme="minorHAnsi" w:hAnsiTheme="minorHAnsi" w:cstheme="minorHAnsi"/>
          <w:color w:val="auto"/>
          <w:sz w:val="22"/>
          <w:szCs w:val="22"/>
          <w:lang w:eastAsia="ja-JP"/>
        </w:rPr>
      </w:pPr>
      <w:bookmarkStart w:id="0" w:name="_Hlk54822422"/>
      <w:r w:rsidRPr="00960134">
        <w:rPr>
          <w:rFonts w:asciiTheme="minorHAnsi" w:eastAsiaTheme="minorHAnsi" w:hAnsiTheme="minorHAnsi" w:cstheme="minorHAnsi"/>
          <w:b/>
          <w:bCs/>
          <w:color w:val="auto"/>
          <w:sz w:val="22"/>
          <w:szCs w:val="22"/>
          <w:lang w:eastAsia="en-US"/>
        </w:rPr>
        <w:t>Pilot application to develop an urban Land Use Plan</w:t>
      </w:r>
      <w:r w:rsidRPr="00960134">
        <w:rPr>
          <w:rFonts w:asciiTheme="minorHAnsi" w:eastAsiaTheme="minorHAnsi" w:hAnsiTheme="minorHAnsi" w:cstheme="minorHAnsi"/>
          <w:color w:val="auto"/>
          <w:sz w:val="22"/>
          <w:szCs w:val="22"/>
          <w:lang w:eastAsia="en-US"/>
        </w:rPr>
        <w:t xml:space="preserve">. </w:t>
      </w:r>
    </w:p>
    <w:bookmarkEnd w:id="0"/>
    <w:p w14:paraId="5E8D44E0" w14:textId="77777777" w:rsidR="00960134" w:rsidRPr="00960134" w:rsidRDefault="00960134" w:rsidP="00960134">
      <w:pPr>
        <w:widowControl/>
        <w:autoSpaceDE/>
        <w:autoSpaceDN/>
        <w:adjustRightInd/>
        <w:snapToGrid w:val="0"/>
        <w:spacing w:before="120" w:after="120"/>
        <w:ind w:left="810"/>
        <w:jc w:val="both"/>
        <w:rPr>
          <w:rFonts w:asciiTheme="minorHAnsi" w:eastAsiaTheme="minorHAnsi" w:hAnsiTheme="minorHAnsi" w:cstheme="minorHAnsi"/>
          <w:color w:val="auto"/>
          <w:sz w:val="22"/>
          <w:szCs w:val="22"/>
          <w:lang w:eastAsia="ja-JP"/>
        </w:rPr>
      </w:pPr>
      <w:r w:rsidRPr="00960134">
        <w:rPr>
          <w:rFonts w:asciiTheme="minorHAnsi" w:eastAsiaTheme="minorHAnsi" w:hAnsiTheme="minorHAnsi" w:cstheme="minorHAnsi"/>
          <w:color w:val="auto"/>
          <w:sz w:val="22"/>
          <w:szCs w:val="22"/>
          <w:lang w:eastAsia="en-US"/>
        </w:rPr>
        <w:t xml:space="preserve">The consulting firm, in close coordination with the national and local authorities, will pilot the Toolkit to prepare a proposed </w:t>
      </w:r>
      <w:r w:rsidRPr="00960134">
        <w:rPr>
          <w:rFonts w:asciiTheme="minorHAnsi" w:eastAsiaTheme="minorHAnsi" w:hAnsiTheme="minorHAnsi" w:cstheme="minorHAnsi"/>
          <w:b/>
          <w:bCs/>
          <w:color w:val="auto"/>
          <w:sz w:val="22"/>
          <w:szCs w:val="22"/>
          <w:lang w:eastAsia="en-US"/>
        </w:rPr>
        <w:t>Land Use Plan for an urban/sub-urban area in one of the Family Islands</w:t>
      </w:r>
      <w:r w:rsidRPr="00960134">
        <w:rPr>
          <w:rFonts w:asciiTheme="minorHAnsi" w:eastAsiaTheme="minorHAnsi" w:hAnsiTheme="minorHAnsi" w:cstheme="minorHAnsi"/>
          <w:color w:val="auto"/>
          <w:sz w:val="22"/>
          <w:szCs w:val="22"/>
          <w:lang w:eastAsia="en-US"/>
        </w:rPr>
        <w:t xml:space="preserve"> determined by the </w:t>
      </w:r>
      <w:proofErr w:type="spellStart"/>
      <w:r w:rsidRPr="00960134">
        <w:rPr>
          <w:rFonts w:asciiTheme="minorHAnsi" w:eastAsiaTheme="minorHAnsi" w:hAnsiTheme="minorHAnsi" w:cstheme="minorHAnsi"/>
          <w:color w:val="auto"/>
          <w:sz w:val="22"/>
          <w:szCs w:val="22"/>
          <w:lang w:eastAsia="en-US"/>
        </w:rPr>
        <w:t>GoBH</w:t>
      </w:r>
      <w:proofErr w:type="spellEnd"/>
      <w:r w:rsidRPr="00960134">
        <w:rPr>
          <w:rFonts w:asciiTheme="minorHAnsi" w:eastAsiaTheme="minorHAnsi" w:hAnsiTheme="minorHAnsi" w:cstheme="minorHAnsi"/>
          <w:color w:val="auto"/>
          <w:sz w:val="22"/>
          <w:szCs w:val="22"/>
          <w:lang w:eastAsia="en-US"/>
        </w:rPr>
        <w:t xml:space="preserve">, including: </w:t>
      </w:r>
    </w:p>
    <w:p w14:paraId="6C982CA0" w14:textId="77777777" w:rsidR="00960134" w:rsidRPr="00960134" w:rsidRDefault="00960134" w:rsidP="00960134">
      <w:pPr>
        <w:widowControl/>
        <w:numPr>
          <w:ilvl w:val="0"/>
          <w:numId w:val="4"/>
        </w:numPr>
        <w:autoSpaceDE/>
        <w:autoSpaceDN/>
        <w:adjustRightInd/>
        <w:snapToGrid w:val="0"/>
        <w:spacing w:before="120" w:after="120" w:line="276" w:lineRule="auto"/>
        <w:ind w:left="1440"/>
        <w:jc w:val="both"/>
        <w:rPr>
          <w:rFonts w:asciiTheme="minorHAnsi" w:eastAsiaTheme="minorHAnsi" w:hAnsiTheme="minorHAnsi" w:cstheme="minorHAnsi"/>
          <w:color w:val="auto"/>
          <w:sz w:val="22"/>
          <w:szCs w:val="22"/>
          <w:lang w:eastAsia="en-US"/>
        </w:rPr>
      </w:pPr>
      <w:r w:rsidRPr="00960134">
        <w:rPr>
          <w:rFonts w:asciiTheme="minorHAnsi" w:eastAsiaTheme="minorHAnsi" w:hAnsiTheme="minorHAnsi" w:cstheme="minorHAnsi"/>
          <w:color w:val="auto"/>
          <w:sz w:val="22"/>
          <w:szCs w:val="22"/>
          <w:lang w:eastAsia="en-US"/>
        </w:rPr>
        <w:t>Review the probable or maximum considerable hazard intensity data [including hurricane wind (km/h) and storm surge (wave/inundation heights)] for the location of focus.</w:t>
      </w:r>
    </w:p>
    <w:p w14:paraId="24F4DB81" w14:textId="55DD9FEC" w:rsidR="00960134" w:rsidRPr="00960134" w:rsidRDefault="00960134" w:rsidP="00960134">
      <w:pPr>
        <w:widowControl/>
        <w:numPr>
          <w:ilvl w:val="0"/>
          <w:numId w:val="4"/>
        </w:numPr>
        <w:autoSpaceDE/>
        <w:autoSpaceDN/>
        <w:adjustRightInd/>
        <w:snapToGrid w:val="0"/>
        <w:spacing w:before="120" w:after="120" w:line="276" w:lineRule="auto"/>
        <w:ind w:left="1440"/>
        <w:jc w:val="both"/>
        <w:rPr>
          <w:rFonts w:asciiTheme="minorHAnsi" w:eastAsiaTheme="minorHAnsi" w:hAnsiTheme="minorHAnsi" w:cstheme="minorHAnsi"/>
          <w:color w:val="auto"/>
          <w:sz w:val="22"/>
          <w:szCs w:val="22"/>
          <w:lang w:eastAsia="ja-JP"/>
        </w:rPr>
      </w:pPr>
      <w:r w:rsidRPr="00960134">
        <w:rPr>
          <w:rFonts w:asciiTheme="minorHAnsi" w:eastAsiaTheme="minorHAnsi" w:hAnsiTheme="minorHAnsi" w:cstheme="minorHAnsi"/>
          <w:color w:val="auto"/>
          <w:sz w:val="22"/>
          <w:szCs w:val="22"/>
          <w:lang w:eastAsia="en-US"/>
        </w:rPr>
        <w:t xml:space="preserve">Identify physical vulnerable critical, essential, lifeline, and emergency response infrastructure in the territory under specified criterion. Pay close attention to roads, airports, </w:t>
      </w:r>
      <w:r w:rsidR="00FF1373" w:rsidRPr="00960134">
        <w:rPr>
          <w:rFonts w:asciiTheme="minorHAnsi" w:eastAsiaTheme="minorHAnsi" w:hAnsiTheme="minorHAnsi" w:cstheme="minorHAnsi"/>
          <w:color w:val="auto"/>
          <w:sz w:val="22"/>
          <w:szCs w:val="22"/>
          <w:lang w:eastAsia="en-US"/>
        </w:rPr>
        <w:t>hospitals,</w:t>
      </w:r>
      <w:r w:rsidRPr="00960134">
        <w:rPr>
          <w:rFonts w:asciiTheme="minorHAnsi" w:eastAsiaTheme="minorHAnsi" w:hAnsiTheme="minorHAnsi" w:cstheme="minorHAnsi"/>
          <w:color w:val="auto"/>
          <w:sz w:val="22"/>
          <w:szCs w:val="22"/>
          <w:lang w:eastAsia="en-US"/>
        </w:rPr>
        <w:t xml:space="preserve"> and ports that are essential for the disaster-emergency efforts.</w:t>
      </w:r>
    </w:p>
    <w:p w14:paraId="6095B48F" w14:textId="6E625AA1" w:rsidR="00960134" w:rsidRPr="00960134" w:rsidRDefault="00960134" w:rsidP="00960134">
      <w:pPr>
        <w:widowControl/>
        <w:numPr>
          <w:ilvl w:val="0"/>
          <w:numId w:val="4"/>
        </w:numPr>
        <w:autoSpaceDE/>
        <w:autoSpaceDN/>
        <w:adjustRightInd/>
        <w:snapToGrid w:val="0"/>
        <w:spacing w:before="120" w:after="120" w:line="276" w:lineRule="auto"/>
        <w:ind w:left="1440"/>
        <w:jc w:val="both"/>
        <w:rPr>
          <w:rFonts w:asciiTheme="minorHAnsi" w:eastAsiaTheme="minorHAnsi" w:hAnsiTheme="minorHAnsi" w:cstheme="minorHAnsi"/>
          <w:color w:val="auto"/>
          <w:sz w:val="22"/>
          <w:szCs w:val="22"/>
          <w:lang w:eastAsia="ja-JP"/>
        </w:rPr>
      </w:pPr>
      <w:r w:rsidRPr="00960134">
        <w:rPr>
          <w:rFonts w:asciiTheme="minorHAnsi" w:eastAsiaTheme="minorHAnsi" w:hAnsiTheme="minorHAnsi" w:cstheme="minorHAnsi"/>
          <w:color w:val="auto"/>
          <w:sz w:val="22"/>
          <w:szCs w:val="22"/>
          <w:lang w:eastAsia="en-US"/>
        </w:rPr>
        <w:t xml:space="preserve">Apply the Toolkit to develop a proposed Land Use Plan for the location of focus being sure to identify retrofitting measures for the existing vulnerable infrastructure (with its indicative cost, benefit, priority, and estimated time frame) as well as additional infrastructure necessary to mitigate climate hazard (including climate change-associated hazards), including hard infrastructure such as seawalls, and green infrastructure such us mangroves, as well as vertical and horizontal infrastructure for evacuation in case of emergency. The land-use plan shall also clearly indicate which land is “time-sensitive” and may require priority actions to protect, strengthen, </w:t>
      </w:r>
      <w:r w:rsidR="00FF1373" w:rsidRPr="00960134">
        <w:rPr>
          <w:rFonts w:asciiTheme="minorHAnsi" w:eastAsiaTheme="minorHAnsi" w:hAnsiTheme="minorHAnsi" w:cstheme="minorHAnsi"/>
          <w:color w:val="auto"/>
          <w:sz w:val="22"/>
          <w:szCs w:val="22"/>
          <w:lang w:eastAsia="en-US"/>
        </w:rPr>
        <w:t>restrict,</w:t>
      </w:r>
      <w:r w:rsidRPr="00960134">
        <w:rPr>
          <w:rFonts w:asciiTheme="minorHAnsi" w:eastAsiaTheme="minorHAnsi" w:hAnsiTheme="minorHAnsi" w:cstheme="minorHAnsi"/>
          <w:color w:val="auto"/>
          <w:sz w:val="22"/>
          <w:szCs w:val="22"/>
          <w:lang w:eastAsia="en-US"/>
        </w:rPr>
        <w:t xml:space="preserve"> or limit further development, and/or re-assign the land-use (the plan shall include time frames and priorities based on a cost-benefit / risk assessment).</w:t>
      </w:r>
    </w:p>
    <w:p w14:paraId="6A3CC3D7" w14:textId="77777777" w:rsidR="00960134" w:rsidRPr="00960134" w:rsidRDefault="00960134" w:rsidP="00960134">
      <w:pPr>
        <w:widowControl/>
        <w:numPr>
          <w:ilvl w:val="0"/>
          <w:numId w:val="4"/>
        </w:numPr>
        <w:autoSpaceDE/>
        <w:autoSpaceDN/>
        <w:adjustRightInd/>
        <w:snapToGrid w:val="0"/>
        <w:spacing w:before="120" w:after="120" w:line="276" w:lineRule="auto"/>
        <w:ind w:left="1440"/>
        <w:jc w:val="both"/>
        <w:rPr>
          <w:rFonts w:asciiTheme="minorHAnsi" w:eastAsiaTheme="minorHAnsi" w:hAnsiTheme="minorHAnsi" w:cstheme="minorHAnsi"/>
          <w:color w:val="auto"/>
          <w:sz w:val="22"/>
          <w:szCs w:val="22"/>
          <w:lang w:eastAsia="ja-JP"/>
        </w:rPr>
      </w:pPr>
      <w:r w:rsidRPr="00960134">
        <w:rPr>
          <w:rFonts w:asciiTheme="minorHAnsi" w:eastAsiaTheme="minorHAnsi" w:hAnsiTheme="minorHAnsi" w:cstheme="minorHAnsi"/>
          <w:color w:val="auto"/>
          <w:sz w:val="22"/>
          <w:szCs w:val="22"/>
          <w:lang w:eastAsia="ja-JP"/>
        </w:rPr>
        <w:t>Coordinate and plan with all necessary Government stakeholders to apply the Toolkit to the proposed Land Use Plan.</w:t>
      </w:r>
    </w:p>
    <w:p w14:paraId="3831EC8B" w14:textId="77777777" w:rsidR="00960134" w:rsidRPr="00960134" w:rsidRDefault="00960134" w:rsidP="00960134">
      <w:pPr>
        <w:widowControl/>
        <w:numPr>
          <w:ilvl w:val="0"/>
          <w:numId w:val="4"/>
        </w:numPr>
        <w:autoSpaceDE/>
        <w:autoSpaceDN/>
        <w:adjustRightInd/>
        <w:snapToGrid w:val="0"/>
        <w:spacing w:before="120" w:after="120" w:line="276" w:lineRule="auto"/>
        <w:ind w:left="1440"/>
        <w:jc w:val="both"/>
        <w:rPr>
          <w:rFonts w:asciiTheme="minorHAnsi" w:eastAsiaTheme="minorHAnsi" w:hAnsiTheme="minorHAnsi" w:cstheme="minorHAnsi"/>
          <w:color w:val="auto"/>
          <w:sz w:val="22"/>
          <w:szCs w:val="22"/>
          <w:lang w:eastAsia="ja-JP"/>
        </w:rPr>
      </w:pPr>
      <w:r w:rsidRPr="00960134">
        <w:rPr>
          <w:rFonts w:asciiTheme="minorHAnsi" w:eastAsiaTheme="minorHAnsi" w:hAnsiTheme="minorHAnsi" w:cstheme="minorHAnsi"/>
          <w:color w:val="auto"/>
          <w:sz w:val="22"/>
          <w:szCs w:val="22"/>
          <w:lang w:eastAsia="en-US"/>
        </w:rPr>
        <w:t>Perform an indicative cost/benefit analysis to validate the major proposals in the Land Use Plan.</w:t>
      </w:r>
    </w:p>
    <w:p w14:paraId="6E4C5760" w14:textId="77777777" w:rsidR="00960134" w:rsidRPr="00960134" w:rsidRDefault="00960134" w:rsidP="00960134">
      <w:pPr>
        <w:widowControl/>
        <w:numPr>
          <w:ilvl w:val="0"/>
          <w:numId w:val="4"/>
        </w:numPr>
        <w:autoSpaceDE/>
        <w:autoSpaceDN/>
        <w:adjustRightInd/>
        <w:snapToGrid w:val="0"/>
        <w:spacing w:before="120" w:after="120" w:line="276" w:lineRule="auto"/>
        <w:ind w:left="1440"/>
        <w:jc w:val="both"/>
        <w:rPr>
          <w:rFonts w:asciiTheme="minorHAnsi" w:eastAsiaTheme="minorHAnsi" w:hAnsiTheme="minorHAnsi" w:cstheme="minorHAnsi"/>
          <w:color w:val="auto"/>
          <w:sz w:val="22"/>
          <w:szCs w:val="22"/>
          <w:lang w:eastAsia="ja-JP"/>
        </w:rPr>
      </w:pPr>
      <w:r w:rsidRPr="00960134">
        <w:rPr>
          <w:rFonts w:asciiTheme="minorHAnsi" w:eastAsiaTheme="minorHAnsi" w:hAnsiTheme="minorHAnsi" w:cstheme="minorHAnsi"/>
          <w:color w:val="auto"/>
          <w:sz w:val="22"/>
          <w:szCs w:val="22"/>
          <w:lang w:eastAsia="en-US"/>
        </w:rPr>
        <w:t>Develop in coordination with the National Emergency Management Agency, through community participatory planning process, local/community evacuation plan and public/private sectors’ local business continuity plan.</w:t>
      </w:r>
    </w:p>
    <w:p w14:paraId="01C0F7A3" w14:textId="653762D7" w:rsidR="00960134" w:rsidRPr="00960134" w:rsidRDefault="00960134" w:rsidP="00960134">
      <w:pPr>
        <w:widowControl/>
        <w:numPr>
          <w:ilvl w:val="0"/>
          <w:numId w:val="4"/>
        </w:numPr>
        <w:autoSpaceDE/>
        <w:autoSpaceDN/>
        <w:adjustRightInd/>
        <w:snapToGrid w:val="0"/>
        <w:spacing w:before="120" w:after="120" w:line="276" w:lineRule="auto"/>
        <w:ind w:left="1440"/>
        <w:jc w:val="both"/>
        <w:rPr>
          <w:rFonts w:asciiTheme="minorHAnsi" w:eastAsiaTheme="minorHAnsi" w:hAnsiTheme="minorHAnsi" w:cstheme="minorHAnsi"/>
          <w:color w:val="auto"/>
          <w:sz w:val="22"/>
          <w:szCs w:val="22"/>
          <w:lang w:eastAsia="ja-JP"/>
        </w:rPr>
      </w:pPr>
      <w:r w:rsidRPr="00960134">
        <w:rPr>
          <w:rFonts w:asciiTheme="minorHAnsi" w:eastAsiaTheme="minorHAnsi" w:hAnsiTheme="minorHAnsi" w:cstheme="minorHAnsi"/>
          <w:color w:val="auto"/>
          <w:sz w:val="22"/>
          <w:szCs w:val="22"/>
          <w:lang w:eastAsia="en-US"/>
        </w:rPr>
        <w:t xml:space="preserve">Evaluate the applicability </w:t>
      </w:r>
      <w:r w:rsidR="00C81822" w:rsidRPr="00960134">
        <w:rPr>
          <w:rFonts w:asciiTheme="minorHAnsi" w:eastAsiaTheme="minorHAnsi" w:hAnsiTheme="minorHAnsi" w:cstheme="minorHAnsi"/>
          <w:color w:val="auto"/>
          <w:sz w:val="22"/>
          <w:szCs w:val="22"/>
          <w:lang w:eastAsia="en-US"/>
        </w:rPr>
        <w:t>of</w:t>
      </w:r>
      <w:r w:rsidRPr="00960134">
        <w:rPr>
          <w:rFonts w:asciiTheme="minorHAnsi" w:eastAsiaTheme="minorHAnsi" w:hAnsiTheme="minorHAnsi" w:cstheme="minorHAnsi"/>
          <w:color w:val="auto"/>
          <w:sz w:val="22"/>
          <w:szCs w:val="22"/>
          <w:lang w:eastAsia="en-US"/>
        </w:rPr>
        <w:t xml:space="preserve"> extract lessons from the pilot </w:t>
      </w:r>
      <w:r w:rsidR="00FF1373" w:rsidRPr="00960134">
        <w:rPr>
          <w:rFonts w:asciiTheme="minorHAnsi" w:eastAsiaTheme="minorHAnsi" w:hAnsiTheme="minorHAnsi" w:cstheme="minorHAnsi"/>
          <w:color w:val="auto"/>
          <w:sz w:val="22"/>
          <w:szCs w:val="22"/>
          <w:lang w:eastAsia="en-US"/>
        </w:rPr>
        <w:t>application and</w:t>
      </w:r>
      <w:r w:rsidRPr="00960134">
        <w:rPr>
          <w:rFonts w:asciiTheme="minorHAnsi" w:eastAsiaTheme="minorHAnsi" w:hAnsiTheme="minorHAnsi" w:cstheme="minorHAnsi"/>
          <w:color w:val="auto"/>
          <w:sz w:val="22"/>
          <w:szCs w:val="22"/>
          <w:lang w:eastAsia="en-US"/>
        </w:rPr>
        <w:t xml:space="preserve"> finalize the Toolkit with the clear guidance for Land Use Plans at the Island Scale and the urban/sub-urban scale.</w:t>
      </w:r>
    </w:p>
    <w:p w14:paraId="1B381BDB" w14:textId="77777777" w:rsidR="00960134" w:rsidRPr="00960134" w:rsidRDefault="00960134" w:rsidP="00960134">
      <w:pPr>
        <w:widowControl/>
        <w:numPr>
          <w:ilvl w:val="0"/>
          <w:numId w:val="2"/>
        </w:numPr>
        <w:autoSpaceDE/>
        <w:autoSpaceDN/>
        <w:adjustRightInd/>
        <w:snapToGrid w:val="0"/>
        <w:spacing w:before="120" w:after="120" w:line="276" w:lineRule="auto"/>
        <w:contextualSpacing/>
        <w:jc w:val="both"/>
        <w:rPr>
          <w:rFonts w:asciiTheme="minorHAnsi" w:eastAsiaTheme="minorHAnsi" w:hAnsiTheme="minorHAnsi" w:cstheme="minorHAnsi"/>
          <w:color w:val="auto"/>
          <w:sz w:val="22"/>
          <w:szCs w:val="22"/>
          <w:lang w:eastAsia="ja-JP"/>
        </w:rPr>
      </w:pPr>
      <w:r w:rsidRPr="00960134">
        <w:rPr>
          <w:rFonts w:asciiTheme="minorHAnsi" w:eastAsiaTheme="minorHAnsi" w:hAnsiTheme="minorHAnsi" w:cstheme="minorHAnsi"/>
          <w:b/>
          <w:bCs/>
          <w:color w:val="auto"/>
          <w:sz w:val="22"/>
          <w:szCs w:val="22"/>
          <w:lang w:eastAsia="en-US"/>
        </w:rPr>
        <w:lastRenderedPageBreak/>
        <w:t>Capacity building and refinement of the Toolkit</w:t>
      </w:r>
    </w:p>
    <w:p w14:paraId="7D6E7506" w14:textId="77777777" w:rsidR="00037B7F" w:rsidRDefault="00037B7F" w:rsidP="00960134">
      <w:pPr>
        <w:widowControl/>
        <w:autoSpaceDE/>
        <w:autoSpaceDN/>
        <w:adjustRightInd/>
        <w:snapToGrid w:val="0"/>
        <w:spacing w:before="120" w:after="120"/>
        <w:ind w:left="720"/>
        <w:jc w:val="both"/>
        <w:rPr>
          <w:rFonts w:asciiTheme="minorHAnsi" w:eastAsiaTheme="minorHAnsi" w:hAnsiTheme="minorHAnsi" w:cstheme="minorHAnsi"/>
          <w:color w:val="auto"/>
          <w:sz w:val="22"/>
          <w:szCs w:val="22"/>
          <w:lang w:eastAsia="ja-JP"/>
        </w:rPr>
      </w:pPr>
    </w:p>
    <w:p w14:paraId="52916172" w14:textId="4ED93260" w:rsidR="00960134" w:rsidRPr="00960134" w:rsidRDefault="00960134" w:rsidP="00960134">
      <w:pPr>
        <w:widowControl/>
        <w:autoSpaceDE/>
        <w:autoSpaceDN/>
        <w:adjustRightInd/>
        <w:snapToGrid w:val="0"/>
        <w:spacing w:before="120" w:after="120"/>
        <w:ind w:left="720"/>
        <w:jc w:val="both"/>
        <w:rPr>
          <w:rFonts w:asciiTheme="minorHAnsi" w:eastAsiaTheme="minorHAnsi" w:hAnsiTheme="minorHAnsi" w:cstheme="minorHAnsi"/>
          <w:color w:val="auto"/>
          <w:sz w:val="22"/>
          <w:szCs w:val="22"/>
          <w:lang w:eastAsia="ja-JP"/>
        </w:rPr>
      </w:pPr>
      <w:r w:rsidRPr="00960134">
        <w:rPr>
          <w:rFonts w:asciiTheme="minorHAnsi" w:eastAsiaTheme="minorHAnsi" w:hAnsiTheme="minorHAnsi" w:cstheme="minorHAnsi"/>
          <w:color w:val="auto"/>
          <w:sz w:val="22"/>
          <w:szCs w:val="22"/>
          <w:lang w:eastAsia="ja-JP"/>
        </w:rPr>
        <w:t>The Consulting firm will complete this assignment with two further tasks that consolidate the learning from the overall exercise:</w:t>
      </w:r>
    </w:p>
    <w:p w14:paraId="2E5437CB" w14:textId="77777777" w:rsidR="00960134" w:rsidRPr="00960134" w:rsidRDefault="00960134" w:rsidP="00960134">
      <w:pPr>
        <w:widowControl/>
        <w:numPr>
          <w:ilvl w:val="0"/>
          <w:numId w:val="5"/>
        </w:numPr>
        <w:autoSpaceDE/>
        <w:autoSpaceDN/>
        <w:adjustRightInd/>
        <w:snapToGrid w:val="0"/>
        <w:spacing w:before="120" w:after="120" w:line="276" w:lineRule="auto"/>
        <w:contextualSpacing/>
        <w:jc w:val="both"/>
        <w:rPr>
          <w:rFonts w:asciiTheme="minorHAnsi" w:eastAsiaTheme="minorHAnsi" w:hAnsiTheme="minorHAnsi" w:cstheme="minorHAnsi"/>
          <w:color w:val="auto"/>
          <w:sz w:val="22"/>
          <w:szCs w:val="22"/>
          <w:lang w:eastAsia="ja-JP"/>
        </w:rPr>
      </w:pPr>
      <w:r w:rsidRPr="00960134">
        <w:rPr>
          <w:rFonts w:asciiTheme="minorHAnsi" w:eastAsiaTheme="minorHAnsi" w:hAnsiTheme="minorHAnsi" w:cstheme="minorHAnsi"/>
          <w:color w:val="auto"/>
          <w:sz w:val="22"/>
          <w:szCs w:val="22"/>
          <w:lang w:eastAsia="ja-JP"/>
        </w:rPr>
        <w:t xml:space="preserve">Design and execute </w:t>
      </w:r>
      <w:r w:rsidRPr="00960134">
        <w:rPr>
          <w:rFonts w:asciiTheme="minorHAnsi" w:eastAsiaTheme="minorHAnsi" w:hAnsiTheme="minorHAnsi" w:cstheme="minorHAnsi"/>
          <w:color w:val="auto"/>
          <w:sz w:val="22"/>
          <w:szCs w:val="22"/>
          <w:lang w:eastAsia="en-US"/>
        </w:rPr>
        <w:t>workshops and training sessions for national and local authorities covering the process of Pre- and Post-Disaster Land Use Plan preparation and use of the Toolkit; and</w:t>
      </w:r>
    </w:p>
    <w:p w14:paraId="6FED375E" w14:textId="77777777" w:rsidR="00960134" w:rsidRPr="00960134" w:rsidRDefault="00960134" w:rsidP="00960134">
      <w:pPr>
        <w:widowControl/>
        <w:numPr>
          <w:ilvl w:val="0"/>
          <w:numId w:val="5"/>
        </w:numPr>
        <w:autoSpaceDE/>
        <w:autoSpaceDN/>
        <w:adjustRightInd/>
        <w:snapToGrid w:val="0"/>
        <w:spacing w:before="120" w:after="120" w:line="276" w:lineRule="auto"/>
        <w:contextualSpacing/>
        <w:jc w:val="both"/>
        <w:rPr>
          <w:rFonts w:asciiTheme="minorHAnsi" w:eastAsiaTheme="minorHAnsi" w:hAnsiTheme="minorHAnsi" w:cstheme="minorHAnsi"/>
          <w:color w:val="auto"/>
          <w:sz w:val="22"/>
          <w:szCs w:val="22"/>
          <w:lang w:eastAsia="ja-JP"/>
        </w:rPr>
      </w:pPr>
      <w:r w:rsidRPr="00960134">
        <w:rPr>
          <w:rFonts w:asciiTheme="minorHAnsi" w:eastAsiaTheme="minorHAnsi" w:hAnsiTheme="minorHAnsi" w:cstheme="minorHAnsi"/>
          <w:color w:val="auto"/>
          <w:sz w:val="22"/>
          <w:szCs w:val="22"/>
          <w:lang w:eastAsia="en-US"/>
        </w:rPr>
        <w:t xml:space="preserve">Modify the Toolkit after the workshops/training sessions, incorporating substantive feedback received from the national and local authorities and learning from the Pilot experience - </w:t>
      </w:r>
      <w:r w:rsidRPr="00960134">
        <w:rPr>
          <w:rFonts w:asciiTheme="minorHAnsi" w:eastAsiaTheme="minorHAnsi" w:hAnsiTheme="minorHAnsi" w:cstheme="minorHAnsi"/>
          <w:color w:val="auto"/>
          <w:sz w:val="22"/>
          <w:szCs w:val="22"/>
          <w:lang w:eastAsia="ja-JP"/>
        </w:rPr>
        <w:t>these revisions may cover any aspect of plan preparation including substantive steps, methodological choices, data requirements, sequencing, and timing.</w:t>
      </w:r>
    </w:p>
    <w:p w14:paraId="144FE88B" w14:textId="3D839380" w:rsidR="00960134" w:rsidRPr="00960134" w:rsidRDefault="00960134" w:rsidP="00960134">
      <w:pPr>
        <w:widowControl/>
        <w:numPr>
          <w:ilvl w:val="0"/>
          <w:numId w:val="5"/>
        </w:numPr>
        <w:autoSpaceDE/>
        <w:autoSpaceDN/>
        <w:adjustRightInd/>
        <w:snapToGrid w:val="0"/>
        <w:spacing w:before="120" w:after="120" w:line="276" w:lineRule="auto"/>
        <w:contextualSpacing/>
        <w:jc w:val="both"/>
        <w:rPr>
          <w:rFonts w:asciiTheme="minorHAnsi" w:hAnsiTheme="minorHAnsi" w:cs="Times New Roman"/>
          <w:b/>
          <w:bCs/>
        </w:rPr>
      </w:pPr>
      <w:r w:rsidRPr="00960134">
        <w:rPr>
          <w:rFonts w:asciiTheme="minorHAnsi" w:eastAsiaTheme="minorHAnsi" w:hAnsiTheme="minorHAnsi" w:cstheme="minorHAnsi"/>
          <w:color w:val="auto"/>
          <w:sz w:val="22"/>
          <w:szCs w:val="22"/>
          <w:lang w:eastAsia="ja-JP"/>
        </w:rPr>
        <w:t xml:space="preserve">Develop audio-visual (or web based) training materials </w:t>
      </w:r>
      <w:r w:rsidRPr="00960134">
        <w:rPr>
          <w:rFonts w:asciiTheme="minorHAnsi" w:eastAsiaTheme="minorHAnsi" w:hAnsiTheme="minorHAnsi" w:cstheme="minorHAnsi"/>
          <w:color w:val="auto"/>
          <w:sz w:val="22"/>
          <w:szCs w:val="22"/>
          <w:lang w:eastAsia="en-US"/>
        </w:rPr>
        <w:t>for national and local authorities.</w:t>
      </w:r>
      <w:r w:rsidRPr="00960134">
        <w:rPr>
          <w:rFonts w:asciiTheme="minorHAnsi" w:eastAsiaTheme="minorHAnsi" w:hAnsiTheme="minorHAnsi" w:cstheme="minorHAnsi"/>
          <w:color w:val="auto"/>
          <w:sz w:val="22"/>
          <w:szCs w:val="22"/>
          <w:lang w:eastAsia="ja-JP"/>
        </w:rPr>
        <w:t xml:space="preserve"> </w:t>
      </w:r>
    </w:p>
    <w:p w14:paraId="7BBE6AEA" w14:textId="0B6D89D3" w:rsidR="00960134" w:rsidRDefault="00960134" w:rsidP="00960134">
      <w:pPr>
        <w:widowControl/>
        <w:autoSpaceDE/>
        <w:autoSpaceDN/>
        <w:adjustRightInd/>
        <w:snapToGrid w:val="0"/>
        <w:spacing w:before="120" w:after="120" w:line="276" w:lineRule="auto"/>
        <w:contextualSpacing/>
        <w:jc w:val="both"/>
        <w:rPr>
          <w:rFonts w:asciiTheme="minorHAnsi" w:eastAsiaTheme="minorHAnsi" w:hAnsiTheme="minorHAnsi" w:cstheme="minorHAnsi"/>
          <w:color w:val="auto"/>
          <w:sz w:val="22"/>
          <w:szCs w:val="22"/>
          <w:lang w:eastAsia="ja-JP"/>
        </w:rPr>
      </w:pPr>
    </w:p>
    <w:p w14:paraId="29F18F7C" w14:textId="3BAD6766" w:rsidR="00960134" w:rsidRPr="00960134" w:rsidRDefault="00960134" w:rsidP="00960134">
      <w:pPr>
        <w:pStyle w:val="ListParagraph"/>
        <w:widowControl/>
        <w:numPr>
          <w:ilvl w:val="0"/>
          <w:numId w:val="9"/>
        </w:numPr>
        <w:autoSpaceDE/>
        <w:autoSpaceDN/>
        <w:adjustRightInd/>
        <w:spacing w:after="200" w:line="276" w:lineRule="auto"/>
        <w:ind w:left="720"/>
        <w:jc w:val="both"/>
        <w:rPr>
          <w:rFonts w:asciiTheme="minorHAnsi" w:eastAsiaTheme="minorHAnsi" w:hAnsiTheme="minorHAnsi" w:cstheme="minorHAnsi"/>
          <w:b/>
          <w:bCs/>
          <w:color w:val="auto"/>
          <w:sz w:val="22"/>
          <w:szCs w:val="22"/>
          <w:lang w:eastAsia="en-US"/>
        </w:rPr>
      </w:pPr>
      <w:r w:rsidRPr="0093707B">
        <w:rPr>
          <w:rFonts w:asciiTheme="minorHAnsi" w:eastAsiaTheme="minorHAnsi" w:hAnsiTheme="minorHAnsi" w:cstheme="minorHAnsi"/>
          <w:b/>
          <w:bCs/>
          <w:color w:val="auto"/>
          <w:sz w:val="22"/>
          <w:szCs w:val="22"/>
          <w:lang w:eastAsia="en-US"/>
        </w:rPr>
        <w:t>Characteristics of the Consultancy</w:t>
      </w:r>
    </w:p>
    <w:p w14:paraId="331A6389" w14:textId="2E12C89E" w:rsidR="00960134" w:rsidRPr="00960134" w:rsidRDefault="00960134" w:rsidP="00960134">
      <w:pPr>
        <w:widowControl/>
        <w:numPr>
          <w:ilvl w:val="0"/>
          <w:numId w:val="6"/>
        </w:numPr>
        <w:autoSpaceDE/>
        <w:autoSpaceDN/>
        <w:adjustRightInd/>
        <w:spacing w:after="200" w:line="276" w:lineRule="auto"/>
        <w:contextualSpacing/>
        <w:jc w:val="both"/>
        <w:rPr>
          <w:rFonts w:asciiTheme="minorHAnsi" w:hAnsiTheme="minorHAnsi" w:cstheme="minorHAnsi"/>
          <w:color w:val="auto"/>
          <w:sz w:val="22"/>
          <w:szCs w:val="22"/>
          <w:lang w:eastAsia="ja-JP"/>
        </w:rPr>
      </w:pPr>
      <w:r w:rsidRPr="00960134">
        <w:rPr>
          <w:rFonts w:asciiTheme="minorHAnsi" w:hAnsiTheme="minorHAnsi" w:cstheme="minorHAnsi"/>
          <w:color w:val="auto"/>
          <w:sz w:val="22"/>
          <w:szCs w:val="22"/>
          <w:lang w:eastAsia="ja-JP"/>
        </w:rPr>
        <w:t>Consultancy category: Firm</w:t>
      </w:r>
      <w:r w:rsidR="00037B7F">
        <w:rPr>
          <w:rFonts w:asciiTheme="minorHAnsi" w:hAnsiTheme="minorHAnsi" w:cstheme="minorHAnsi"/>
          <w:color w:val="auto"/>
          <w:sz w:val="22"/>
          <w:szCs w:val="22"/>
          <w:lang w:eastAsia="ja-JP"/>
        </w:rPr>
        <w:t>. Lump sum.</w:t>
      </w:r>
    </w:p>
    <w:p w14:paraId="1669504B" w14:textId="51345040" w:rsidR="00960134" w:rsidRPr="00960134" w:rsidRDefault="00960134" w:rsidP="00960134">
      <w:pPr>
        <w:widowControl/>
        <w:numPr>
          <w:ilvl w:val="0"/>
          <w:numId w:val="6"/>
        </w:numPr>
        <w:autoSpaceDE/>
        <w:autoSpaceDN/>
        <w:adjustRightInd/>
        <w:spacing w:after="200" w:line="276" w:lineRule="auto"/>
        <w:contextualSpacing/>
        <w:jc w:val="both"/>
        <w:rPr>
          <w:rFonts w:asciiTheme="minorHAnsi" w:hAnsiTheme="minorHAnsi" w:cstheme="minorHAnsi"/>
          <w:color w:val="auto"/>
          <w:sz w:val="22"/>
          <w:szCs w:val="22"/>
          <w:lang w:eastAsia="ja-JP"/>
        </w:rPr>
      </w:pPr>
      <w:r w:rsidRPr="00960134">
        <w:rPr>
          <w:rFonts w:asciiTheme="minorHAnsi" w:hAnsiTheme="minorHAnsi" w:cstheme="minorHAnsi"/>
          <w:color w:val="auto"/>
          <w:sz w:val="22"/>
          <w:szCs w:val="22"/>
          <w:lang w:eastAsia="ja-JP"/>
        </w:rPr>
        <w:t>Contract duration: 12.0 months</w:t>
      </w:r>
      <w:r w:rsidR="00037B7F">
        <w:rPr>
          <w:rFonts w:asciiTheme="minorHAnsi" w:hAnsiTheme="minorHAnsi" w:cstheme="minorHAnsi"/>
          <w:color w:val="auto"/>
          <w:sz w:val="22"/>
          <w:szCs w:val="22"/>
          <w:lang w:eastAsia="ja-JP"/>
        </w:rPr>
        <w:t xml:space="preserve">. In the </w:t>
      </w:r>
      <w:r w:rsidR="00FF1373">
        <w:rPr>
          <w:rFonts w:asciiTheme="minorHAnsi" w:hAnsiTheme="minorHAnsi" w:cstheme="minorHAnsi"/>
          <w:color w:val="auto"/>
          <w:sz w:val="22"/>
          <w:szCs w:val="22"/>
          <w:lang w:eastAsia="ja-JP"/>
        </w:rPr>
        <w:t>RFP,</w:t>
      </w:r>
      <w:r w:rsidR="00037B7F">
        <w:rPr>
          <w:rFonts w:asciiTheme="minorHAnsi" w:hAnsiTheme="minorHAnsi" w:cstheme="minorHAnsi"/>
          <w:color w:val="auto"/>
          <w:sz w:val="22"/>
          <w:szCs w:val="22"/>
          <w:lang w:eastAsia="ja-JP"/>
        </w:rPr>
        <w:t xml:space="preserve"> the Bank will define the number and qualifications of the key professionals</w:t>
      </w:r>
      <w:r w:rsidR="00C40926">
        <w:rPr>
          <w:rFonts w:asciiTheme="minorHAnsi" w:hAnsiTheme="minorHAnsi" w:cstheme="minorHAnsi"/>
          <w:color w:val="auto"/>
          <w:sz w:val="22"/>
          <w:szCs w:val="22"/>
          <w:lang w:eastAsia="ja-JP"/>
        </w:rPr>
        <w:t>, among other details</w:t>
      </w:r>
      <w:r w:rsidR="00037B7F">
        <w:rPr>
          <w:rFonts w:asciiTheme="minorHAnsi" w:hAnsiTheme="minorHAnsi" w:cstheme="minorHAnsi"/>
          <w:color w:val="auto"/>
          <w:sz w:val="22"/>
          <w:szCs w:val="22"/>
          <w:lang w:eastAsia="ja-JP"/>
        </w:rPr>
        <w:t>.</w:t>
      </w:r>
    </w:p>
    <w:p w14:paraId="613A18B2" w14:textId="77777777" w:rsidR="00960134" w:rsidRPr="00960134" w:rsidRDefault="00960134" w:rsidP="00960134">
      <w:pPr>
        <w:widowControl/>
        <w:numPr>
          <w:ilvl w:val="0"/>
          <w:numId w:val="6"/>
        </w:numPr>
        <w:autoSpaceDE/>
        <w:autoSpaceDN/>
        <w:adjustRightInd/>
        <w:spacing w:after="200" w:line="276" w:lineRule="auto"/>
        <w:contextualSpacing/>
        <w:jc w:val="both"/>
        <w:rPr>
          <w:rFonts w:asciiTheme="minorHAnsi" w:hAnsiTheme="minorHAnsi" w:cstheme="minorHAnsi"/>
          <w:color w:val="auto"/>
          <w:sz w:val="22"/>
          <w:szCs w:val="22"/>
          <w:lang w:eastAsia="ja-JP"/>
        </w:rPr>
      </w:pPr>
      <w:r w:rsidRPr="00960134">
        <w:rPr>
          <w:rFonts w:asciiTheme="minorHAnsi" w:hAnsiTheme="minorHAnsi" w:cstheme="minorHAnsi"/>
          <w:color w:val="auto"/>
          <w:sz w:val="22"/>
          <w:szCs w:val="22"/>
          <w:lang w:eastAsia="ja-JP"/>
        </w:rPr>
        <w:t xml:space="preserve">Place(s) of work: At country residence of the firm and The Bahamas (as travel permit/ restrictions). Virtual modality. </w:t>
      </w:r>
    </w:p>
    <w:p w14:paraId="0CD2617F" w14:textId="77777777" w:rsidR="00960134" w:rsidRPr="00960134" w:rsidRDefault="00960134" w:rsidP="00960134">
      <w:pPr>
        <w:widowControl/>
        <w:numPr>
          <w:ilvl w:val="0"/>
          <w:numId w:val="6"/>
        </w:numPr>
        <w:autoSpaceDE/>
        <w:autoSpaceDN/>
        <w:adjustRightInd/>
        <w:spacing w:after="200" w:line="276" w:lineRule="auto"/>
        <w:contextualSpacing/>
        <w:jc w:val="both"/>
        <w:rPr>
          <w:rFonts w:asciiTheme="minorHAnsi" w:hAnsiTheme="minorHAnsi" w:cstheme="minorHAnsi"/>
          <w:color w:val="auto"/>
          <w:sz w:val="22"/>
          <w:szCs w:val="22"/>
          <w:lang w:eastAsia="ja-JP"/>
        </w:rPr>
      </w:pPr>
      <w:r w:rsidRPr="00960134">
        <w:rPr>
          <w:rFonts w:asciiTheme="minorHAnsi" w:hAnsiTheme="minorHAnsi" w:cstheme="minorHAnsi"/>
          <w:color w:val="auto"/>
          <w:sz w:val="22"/>
          <w:szCs w:val="22"/>
          <w:lang w:eastAsia="ja-JP"/>
        </w:rPr>
        <w:t xml:space="preserve">Responsible: CCB/CBH </w:t>
      </w:r>
    </w:p>
    <w:p w14:paraId="7DF31023" w14:textId="77777777" w:rsidR="00960134" w:rsidRPr="00960134" w:rsidRDefault="00960134" w:rsidP="00960134">
      <w:pPr>
        <w:widowControl/>
        <w:numPr>
          <w:ilvl w:val="0"/>
          <w:numId w:val="6"/>
        </w:numPr>
        <w:autoSpaceDE/>
        <w:autoSpaceDN/>
        <w:adjustRightInd/>
        <w:spacing w:after="200" w:line="276" w:lineRule="auto"/>
        <w:contextualSpacing/>
        <w:jc w:val="both"/>
        <w:rPr>
          <w:rFonts w:asciiTheme="minorHAnsi" w:hAnsiTheme="minorHAnsi" w:cstheme="minorHAnsi"/>
          <w:color w:val="auto"/>
          <w:sz w:val="22"/>
          <w:szCs w:val="22"/>
          <w:lang w:eastAsia="ja-JP"/>
        </w:rPr>
      </w:pPr>
      <w:r w:rsidRPr="00960134">
        <w:rPr>
          <w:rFonts w:asciiTheme="minorHAnsi" w:hAnsiTheme="minorHAnsi" w:cstheme="minorHAnsi"/>
          <w:color w:val="auto"/>
          <w:sz w:val="22"/>
          <w:szCs w:val="22"/>
          <w:lang w:eastAsia="ja-JP"/>
        </w:rPr>
        <w:t xml:space="preserve">Requirements: Consulting Firm must be registered in of the and IDB member country. Candidates must be citizens of an IDB Member Country. </w:t>
      </w:r>
    </w:p>
    <w:p w14:paraId="7ECCB301" w14:textId="77777777" w:rsidR="00960134" w:rsidRPr="00960134" w:rsidRDefault="00960134" w:rsidP="00960134">
      <w:pPr>
        <w:widowControl/>
        <w:autoSpaceDE/>
        <w:autoSpaceDN/>
        <w:adjustRightInd/>
        <w:spacing w:after="200" w:line="276" w:lineRule="auto"/>
        <w:ind w:left="1080"/>
        <w:contextualSpacing/>
        <w:jc w:val="both"/>
        <w:rPr>
          <w:rFonts w:asciiTheme="minorHAnsi" w:eastAsiaTheme="minorHAnsi" w:hAnsiTheme="minorHAnsi" w:cstheme="minorHAnsi"/>
          <w:bCs/>
          <w:color w:val="auto"/>
          <w:sz w:val="22"/>
          <w:szCs w:val="22"/>
          <w:lang w:eastAsia="en-US"/>
        </w:rPr>
      </w:pPr>
    </w:p>
    <w:sectPr w:rsidR="00960134" w:rsidRPr="00960134">
      <w:headerReference w:type="even" r:id="rId21"/>
      <w:headerReference w:type="default" r:id="rId22"/>
      <w:footerReference w:type="even" r:id="rId23"/>
      <w:footerReference w:type="default" r:id="rId24"/>
      <w:headerReference w:type="first" r:id="rId25"/>
      <w:footerReference w:type="first" r:id="rId26"/>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A7826" w14:textId="77777777" w:rsidR="00814DF3" w:rsidRDefault="00814DF3" w:rsidP="0056772C">
      <w:r>
        <w:separator/>
      </w:r>
    </w:p>
  </w:endnote>
  <w:endnote w:type="continuationSeparator" w:id="0">
    <w:p w14:paraId="2D6C7C8D" w14:textId="77777777" w:rsidR="00814DF3" w:rsidRDefault="00814DF3" w:rsidP="0056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OpenSans-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2AE1D" w14:textId="77777777" w:rsidR="0056772C" w:rsidRDefault="00567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2B817" w14:textId="77777777" w:rsidR="0056772C" w:rsidRDefault="005677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36ACF" w14:textId="77777777" w:rsidR="0056772C" w:rsidRDefault="00567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E9C26" w14:textId="77777777" w:rsidR="00814DF3" w:rsidRDefault="00814DF3" w:rsidP="0056772C">
      <w:r>
        <w:separator/>
      </w:r>
    </w:p>
  </w:footnote>
  <w:footnote w:type="continuationSeparator" w:id="0">
    <w:p w14:paraId="7148464C" w14:textId="77777777" w:rsidR="00814DF3" w:rsidRDefault="00814DF3" w:rsidP="0056772C">
      <w:r>
        <w:continuationSeparator/>
      </w:r>
    </w:p>
  </w:footnote>
  <w:footnote w:id="1">
    <w:p w14:paraId="01E0202D" w14:textId="77777777" w:rsidR="00960134" w:rsidRPr="00037B7F" w:rsidRDefault="00960134" w:rsidP="00960134">
      <w:pPr>
        <w:pStyle w:val="FootnoteText"/>
        <w:rPr>
          <w:rFonts w:cstheme="minorHAnsi"/>
          <w:sz w:val="16"/>
          <w:szCs w:val="16"/>
        </w:rPr>
      </w:pPr>
      <w:r w:rsidRPr="00037B7F">
        <w:rPr>
          <w:rStyle w:val="FootnoteReference"/>
          <w:sz w:val="16"/>
          <w:szCs w:val="16"/>
        </w:rPr>
        <w:footnoteRef/>
      </w:r>
      <w:r w:rsidRPr="00037B7F">
        <w:rPr>
          <w:sz w:val="16"/>
          <w:szCs w:val="16"/>
        </w:rPr>
        <w:t xml:space="preserve"> </w:t>
      </w:r>
      <w:r w:rsidRPr="00037B7F">
        <w:rPr>
          <w:rStyle w:val="Hyperlink"/>
          <w:sz w:val="16"/>
          <w:szCs w:val="16"/>
        </w:rPr>
        <w:t>There are several general tools and approaches to develop urban/sub-urban territorial development planning e.g. The Emerging and Sustainable Cities Initiative (ESCI) of the Bank (see</w:t>
      </w:r>
      <w:r w:rsidRPr="00037B7F">
        <w:rPr>
          <w:sz w:val="18"/>
          <w:szCs w:val="18"/>
        </w:rPr>
        <w:t xml:space="preserve"> Methodological Guide at </w:t>
      </w:r>
      <w:hyperlink r:id="rId1" w:history="1">
        <w:r w:rsidRPr="00037B7F">
          <w:rPr>
            <w:rStyle w:val="Hyperlink"/>
            <w:sz w:val="18"/>
            <w:szCs w:val="18"/>
          </w:rPr>
          <w:t>http://www.iadb.org/cities</w:t>
        </w:r>
      </w:hyperlink>
      <w:r w:rsidRPr="00037B7F">
        <w:rPr>
          <w:sz w:val="18"/>
          <w:szCs w:val="18"/>
        </w:rPr>
        <w:t>)</w:t>
      </w:r>
      <w:r w:rsidRPr="00037B7F">
        <w:rPr>
          <w:sz w:val="16"/>
          <w:szCs w:val="16"/>
        </w:rPr>
        <w:t xml:space="preserve">; the Rockefeller Foundation’s 100 resilient city (see </w:t>
      </w:r>
      <w:hyperlink r:id="rId2" w:history="1">
        <w:r w:rsidRPr="00037B7F">
          <w:rPr>
            <w:rStyle w:val="Hyperlink"/>
            <w:sz w:val="16"/>
            <w:szCs w:val="16"/>
          </w:rPr>
          <w:t>https://www.rockefellerfoundation.org/100-resilient-cities/</w:t>
        </w:r>
      </w:hyperlink>
      <w:r w:rsidRPr="00037B7F">
        <w:rPr>
          <w:sz w:val="16"/>
          <w:szCs w:val="16"/>
        </w:rPr>
        <w:t xml:space="preserve">); GFDRR’s resilient cities (see </w:t>
      </w:r>
      <w:hyperlink r:id="rId3" w:history="1">
        <w:r w:rsidRPr="00037B7F">
          <w:rPr>
            <w:rStyle w:val="Hyperlink"/>
            <w:sz w:val="16"/>
            <w:szCs w:val="16"/>
          </w:rPr>
          <w:t>https://www.gfdrr.org/en/resilient-cities</w:t>
        </w:r>
      </w:hyperlink>
      <w:r w:rsidRPr="00037B7F">
        <w:rPr>
          <w:sz w:val="16"/>
          <w:szCs w:val="16"/>
        </w:rPr>
        <w:t>); the World Bank’s City Resilience Program (</w:t>
      </w:r>
      <w:hyperlink r:id="rId4" w:history="1">
        <w:r w:rsidRPr="00037B7F">
          <w:rPr>
            <w:rStyle w:val="Hyperlink"/>
            <w:sz w:val="16"/>
            <w:szCs w:val="16"/>
          </w:rPr>
          <w:t>https://www.worldbank.org/en/topic/disasterriskmanagement/brief/city-resilience-program</w:t>
        </w:r>
      </w:hyperlink>
      <w:r w:rsidRPr="00037B7F">
        <w:rPr>
          <w:sz w:val="16"/>
          <w:szCs w:val="16"/>
        </w:rPr>
        <w:t>); and UN’s Sustainable Cities and Communities (</w:t>
      </w:r>
      <w:hyperlink r:id="rId5" w:history="1">
        <w:r w:rsidRPr="00037B7F">
          <w:rPr>
            <w:rStyle w:val="Hyperlink"/>
            <w:sz w:val="16"/>
            <w:szCs w:val="16"/>
          </w:rPr>
          <w:t>https://www.un.org/sustainabledevelopment/cities/</w:t>
        </w:r>
      </w:hyperlink>
      <w:r w:rsidRPr="00037B7F">
        <w:rPr>
          <w:sz w:val="16"/>
          <w:szCs w:val="16"/>
        </w:rPr>
        <w:t>)</w:t>
      </w:r>
      <w:r w:rsidRPr="00037B7F">
        <w:rPr>
          <w:rFonts w:asciiTheme="minorBidi" w:hAnsiTheme="minorBidi"/>
          <w:sz w:val="18"/>
          <w:szCs w:val="18"/>
        </w:rPr>
        <w:t xml:space="preserve">, </w:t>
      </w:r>
      <w:r w:rsidRPr="00037B7F">
        <w:rPr>
          <w:rFonts w:cstheme="minorHAnsi"/>
          <w:sz w:val="16"/>
          <w:szCs w:val="16"/>
        </w:rPr>
        <w:t>amongst others.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B1B06" w14:textId="77777777" w:rsidR="0056772C" w:rsidRDefault="00567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8C9C0" w14:textId="77777777" w:rsidR="0056772C" w:rsidRDefault="005677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18A49" w14:textId="77777777" w:rsidR="0056772C" w:rsidRDefault="00567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B0CF2"/>
    <w:multiLevelType w:val="hybridMultilevel"/>
    <w:tmpl w:val="EFC04164"/>
    <w:lvl w:ilvl="0" w:tplc="6F881D7E">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C663219"/>
    <w:multiLevelType w:val="hybridMultilevel"/>
    <w:tmpl w:val="E46C9770"/>
    <w:lvl w:ilvl="0" w:tplc="6242F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4342BC"/>
    <w:multiLevelType w:val="hybridMultilevel"/>
    <w:tmpl w:val="29A8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E6BF0"/>
    <w:multiLevelType w:val="hybridMultilevel"/>
    <w:tmpl w:val="871CC0C6"/>
    <w:lvl w:ilvl="0" w:tplc="EE4A24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C358EF"/>
    <w:multiLevelType w:val="hybridMultilevel"/>
    <w:tmpl w:val="1AD253E8"/>
    <w:lvl w:ilvl="0" w:tplc="B93CAD84">
      <w:start w:val="1"/>
      <w:numFmt w:val="lowerRoman"/>
      <w:lvlText w:val="(%1)"/>
      <w:lvlJc w:val="left"/>
      <w:pPr>
        <w:ind w:left="1260" w:hanging="7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45226082"/>
    <w:multiLevelType w:val="hybridMultilevel"/>
    <w:tmpl w:val="E98420A2"/>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422758"/>
    <w:multiLevelType w:val="hybridMultilevel"/>
    <w:tmpl w:val="14B6EEFE"/>
    <w:lvl w:ilvl="0" w:tplc="468E31F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B16AB8"/>
    <w:multiLevelType w:val="hybridMultilevel"/>
    <w:tmpl w:val="C0D43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6937CE"/>
    <w:multiLevelType w:val="hybridMultilevel"/>
    <w:tmpl w:val="9E686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3"/>
  </w:num>
  <w:num w:numId="6">
    <w:abstractNumId w:val="8"/>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CA7"/>
    <w:rsid w:val="0003493A"/>
    <w:rsid w:val="00037B7F"/>
    <w:rsid w:val="00050DB5"/>
    <w:rsid w:val="000C118D"/>
    <w:rsid w:val="00170248"/>
    <w:rsid w:val="001C3A41"/>
    <w:rsid w:val="001F2366"/>
    <w:rsid w:val="002C3359"/>
    <w:rsid w:val="002E7B51"/>
    <w:rsid w:val="00360ACB"/>
    <w:rsid w:val="003800C7"/>
    <w:rsid w:val="003A0E18"/>
    <w:rsid w:val="003A6C4E"/>
    <w:rsid w:val="003C4BA8"/>
    <w:rsid w:val="003C6547"/>
    <w:rsid w:val="003F5CA1"/>
    <w:rsid w:val="004003E8"/>
    <w:rsid w:val="00423E38"/>
    <w:rsid w:val="004A3654"/>
    <w:rsid w:val="004A57F6"/>
    <w:rsid w:val="004D1120"/>
    <w:rsid w:val="004D51F3"/>
    <w:rsid w:val="0051231A"/>
    <w:rsid w:val="0052634A"/>
    <w:rsid w:val="00556C08"/>
    <w:rsid w:val="005673D5"/>
    <w:rsid w:val="0056772C"/>
    <w:rsid w:val="006071D7"/>
    <w:rsid w:val="00637714"/>
    <w:rsid w:val="00637BD8"/>
    <w:rsid w:val="006C3B20"/>
    <w:rsid w:val="0078460F"/>
    <w:rsid w:val="007B6E96"/>
    <w:rsid w:val="00814DF3"/>
    <w:rsid w:val="008171F3"/>
    <w:rsid w:val="00891E3C"/>
    <w:rsid w:val="008C7908"/>
    <w:rsid w:val="00901303"/>
    <w:rsid w:val="0093707B"/>
    <w:rsid w:val="00960134"/>
    <w:rsid w:val="009B688E"/>
    <w:rsid w:val="00A15B62"/>
    <w:rsid w:val="00A353F0"/>
    <w:rsid w:val="00A37CA7"/>
    <w:rsid w:val="00A518CC"/>
    <w:rsid w:val="00A838F0"/>
    <w:rsid w:val="00AD6E3D"/>
    <w:rsid w:val="00AE7268"/>
    <w:rsid w:val="00B17BF0"/>
    <w:rsid w:val="00B27293"/>
    <w:rsid w:val="00BF0B50"/>
    <w:rsid w:val="00BF5CD3"/>
    <w:rsid w:val="00C27587"/>
    <w:rsid w:val="00C40926"/>
    <w:rsid w:val="00C42B39"/>
    <w:rsid w:val="00C439C0"/>
    <w:rsid w:val="00C81822"/>
    <w:rsid w:val="00CA49B4"/>
    <w:rsid w:val="00CA7C9E"/>
    <w:rsid w:val="00CD36BB"/>
    <w:rsid w:val="00CD4904"/>
    <w:rsid w:val="00D93EE6"/>
    <w:rsid w:val="00DE327F"/>
    <w:rsid w:val="00E277C5"/>
    <w:rsid w:val="00ED4D33"/>
    <w:rsid w:val="00F45D9C"/>
    <w:rsid w:val="00F74266"/>
    <w:rsid w:val="00FF1373"/>
    <w:rsid w:val="10E76954"/>
    <w:rsid w:val="23C30F60"/>
    <w:rsid w:val="2CDD2216"/>
    <w:rsid w:val="4738AB8D"/>
    <w:rsid w:val="633C71E7"/>
    <w:rsid w:val="672BA234"/>
    <w:rsid w:val="6D5927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69F2A4B"/>
  <w14:defaultImageDpi w14:val="0"/>
  <w15:docId w15:val="{1E82EC09-782F-414B-8AC8-FFF8357E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lang w:val="en-US"/>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901303"/>
    <w:rPr>
      <w:rFonts w:ascii="Tahoma" w:hAnsi="Tahoma" w:cs="Tahoma"/>
      <w:sz w:val="16"/>
      <w:szCs w:val="16"/>
    </w:rPr>
  </w:style>
  <w:style w:type="character" w:customStyle="1" w:styleId="BalloonTextChar">
    <w:name w:val="Balloon Text Char"/>
    <w:basedOn w:val="DefaultParagraphFont"/>
    <w:link w:val="BalloonText"/>
    <w:uiPriority w:val="99"/>
    <w:semiHidden/>
    <w:rsid w:val="00901303"/>
    <w:rPr>
      <w:rFonts w:ascii="Tahoma" w:hAnsi="Tahoma" w:cs="Tahoma"/>
      <w:color w:val="000000"/>
      <w:sz w:val="16"/>
      <w:szCs w:val="16"/>
    </w:rPr>
  </w:style>
  <w:style w:type="character" w:styleId="Hyperlink">
    <w:name w:val="Hyperlink"/>
    <w:basedOn w:val="DefaultParagraphFont"/>
    <w:uiPriority w:val="99"/>
    <w:unhideWhenUsed/>
    <w:rsid w:val="00ED4D33"/>
    <w:rPr>
      <w:color w:val="0000FF" w:themeColor="hyperlink"/>
      <w:u w:val="single"/>
    </w:rPr>
  </w:style>
  <w:style w:type="paragraph" w:styleId="Header">
    <w:name w:val="header"/>
    <w:basedOn w:val="Normal"/>
    <w:link w:val="HeaderChar"/>
    <w:uiPriority w:val="99"/>
    <w:unhideWhenUsed/>
    <w:rsid w:val="0056772C"/>
    <w:pPr>
      <w:tabs>
        <w:tab w:val="center" w:pos="4680"/>
        <w:tab w:val="right" w:pos="9360"/>
      </w:tabs>
    </w:pPr>
  </w:style>
  <w:style w:type="character" w:customStyle="1" w:styleId="HeaderChar">
    <w:name w:val="Header Char"/>
    <w:basedOn w:val="DefaultParagraphFont"/>
    <w:link w:val="Header"/>
    <w:uiPriority w:val="99"/>
    <w:rsid w:val="0056772C"/>
    <w:rPr>
      <w:rFonts w:ascii="Arial" w:hAnsi="Arial" w:cs="Arial"/>
      <w:color w:val="000000"/>
      <w:sz w:val="24"/>
      <w:szCs w:val="24"/>
    </w:rPr>
  </w:style>
  <w:style w:type="paragraph" w:styleId="Footer">
    <w:name w:val="footer"/>
    <w:basedOn w:val="Normal"/>
    <w:link w:val="FooterChar"/>
    <w:uiPriority w:val="99"/>
    <w:unhideWhenUsed/>
    <w:rsid w:val="0056772C"/>
    <w:pPr>
      <w:tabs>
        <w:tab w:val="center" w:pos="4680"/>
        <w:tab w:val="right" w:pos="9360"/>
      </w:tabs>
    </w:pPr>
  </w:style>
  <w:style w:type="character" w:customStyle="1" w:styleId="FooterChar">
    <w:name w:val="Footer Char"/>
    <w:basedOn w:val="DefaultParagraphFont"/>
    <w:link w:val="Footer"/>
    <w:uiPriority w:val="99"/>
    <w:rsid w:val="0056772C"/>
    <w:rPr>
      <w:rFonts w:ascii="Arial" w:hAnsi="Arial" w:cs="Arial"/>
      <w:color w:val="000000"/>
      <w:sz w:val="24"/>
      <w:szCs w:val="24"/>
    </w:rPr>
  </w:style>
  <w:style w:type="character" w:styleId="FollowedHyperlink">
    <w:name w:val="FollowedHyperlink"/>
    <w:basedOn w:val="DefaultParagraphFont"/>
    <w:uiPriority w:val="99"/>
    <w:semiHidden/>
    <w:unhideWhenUsed/>
    <w:rsid w:val="00F74266"/>
    <w:rPr>
      <w:color w:val="800080" w:themeColor="followedHyperlink"/>
      <w:u w:val="single"/>
    </w:rPr>
  </w:style>
  <w:style w:type="paragraph" w:customStyle="1" w:styleId="Heading1a">
    <w:name w:val="Heading 1a"/>
    <w:rsid w:val="006C3B2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eastAsia="en-US"/>
    </w:rPr>
  </w:style>
  <w:style w:type="paragraph" w:styleId="BodyText">
    <w:name w:val="Body Text"/>
    <w:basedOn w:val="Normal"/>
    <w:link w:val="BodyTextChar"/>
    <w:semiHidden/>
    <w:rsid w:val="006C3B20"/>
    <w:pPr>
      <w:widowControl/>
      <w:suppressAutoHyphens/>
      <w:autoSpaceDE/>
      <w:autoSpaceDN/>
      <w:adjustRightInd/>
    </w:pPr>
    <w:rPr>
      <w:rFonts w:ascii="CG Times" w:eastAsia="Times New Roman" w:hAnsi="CG Times" w:cs="Times New Roman"/>
      <w:color w:val="auto"/>
      <w:spacing w:val="-2"/>
      <w:szCs w:val="20"/>
      <w:lang w:eastAsia="en-US"/>
    </w:rPr>
  </w:style>
  <w:style w:type="character" w:customStyle="1" w:styleId="BodyTextChar">
    <w:name w:val="Body Text Char"/>
    <w:basedOn w:val="DefaultParagraphFont"/>
    <w:link w:val="BodyText"/>
    <w:semiHidden/>
    <w:rsid w:val="006C3B20"/>
    <w:rPr>
      <w:rFonts w:ascii="CG Times" w:eastAsia="Times New Roman" w:hAnsi="CG Times" w:cs="Times New Roman"/>
      <w:spacing w:val="-2"/>
      <w:sz w:val="24"/>
      <w:szCs w:val="20"/>
      <w:lang w:val="en-US" w:eastAsia="en-US"/>
    </w:rPr>
  </w:style>
  <w:style w:type="character" w:styleId="CommentReference">
    <w:name w:val="annotation reference"/>
    <w:basedOn w:val="DefaultParagraphFont"/>
    <w:uiPriority w:val="99"/>
    <w:semiHidden/>
    <w:unhideWhenUsed/>
    <w:rsid w:val="004003E8"/>
    <w:rPr>
      <w:sz w:val="16"/>
      <w:szCs w:val="16"/>
    </w:rPr>
  </w:style>
  <w:style w:type="paragraph" w:styleId="CommentText">
    <w:name w:val="annotation text"/>
    <w:basedOn w:val="Normal"/>
    <w:link w:val="CommentTextChar"/>
    <w:uiPriority w:val="99"/>
    <w:semiHidden/>
    <w:unhideWhenUsed/>
    <w:rsid w:val="004003E8"/>
    <w:rPr>
      <w:sz w:val="20"/>
      <w:szCs w:val="20"/>
    </w:rPr>
  </w:style>
  <w:style w:type="character" w:customStyle="1" w:styleId="CommentTextChar">
    <w:name w:val="Comment Text Char"/>
    <w:basedOn w:val="DefaultParagraphFont"/>
    <w:link w:val="CommentText"/>
    <w:uiPriority w:val="99"/>
    <w:semiHidden/>
    <w:rsid w:val="004003E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03E8"/>
    <w:rPr>
      <w:b/>
      <w:bCs/>
    </w:rPr>
  </w:style>
  <w:style w:type="character" w:customStyle="1" w:styleId="CommentSubjectChar">
    <w:name w:val="Comment Subject Char"/>
    <w:basedOn w:val="CommentTextChar"/>
    <w:link w:val="CommentSubject"/>
    <w:uiPriority w:val="99"/>
    <w:semiHidden/>
    <w:rsid w:val="004003E8"/>
    <w:rPr>
      <w:rFonts w:ascii="Arial" w:hAnsi="Arial" w:cs="Arial"/>
      <w:b/>
      <w:bCs/>
      <w:color w:val="000000"/>
      <w:sz w:val="20"/>
      <w:szCs w:val="20"/>
    </w:rPr>
  </w:style>
  <w:style w:type="character" w:customStyle="1" w:styleId="normaltextrun">
    <w:name w:val="normaltextrun"/>
    <w:basedOn w:val="DefaultParagraphFont"/>
    <w:rsid w:val="002C3359"/>
  </w:style>
  <w:style w:type="character" w:customStyle="1" w:styleId="apple-converted-space">
    <w:name w:val="apple-converted-space"/>
    <w:basedOn w:val="DefaultParagraphFont"/>
    <w:rsid w:val="002C3359"/>
  </w:style>
  <w:style w:type="paragraph" w:styleId="ListParagraph">
    <w:name w:val="List Paragraph"/>
    <w:basedOn w:val="Normal"/>
    <w:uiPriority w:val="34"/>
    <w:qFormat/>
    <w:rsid w:val="001C3A41"/>
    <w:pPr>
      <w:ind w:left="720"/>
      <w:contextualSpacing/>
    </w:pPr>
  </w:style>
  <w:style w:type="paragraph" w:styleId="FootnoteText">
    <w:name w:val="footnote text"/>
    <w:basedOn w:val="Normal"/>
    <w:link w:val="FootnoteTextChar"/>
    <w:uiPriority w:val="99"/>
    <w:semiHidden/>
    <w:unhideWhenUsed/>
    <w:rsid w:val="00960134"/>
    <w:pPr>
      <w:widowControl/>
      <w:autoSpaceDE/>
      <w:autoSpaceDN/>
      <w:adjustRightInd/>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960134"/>
    <w:rPr>
      <w:rFonts w:eastAsiaTheme="minorHAnsi"/>
      <w:sz w:val="20"/>
      <w:szCs w:val="20"/>
      <w:lang w:val="en-US" w:eastAsia="en-US"/>
    </w:rPr>
  </w:style>
  <w:style w:type="character" w:styleId="FootnoteReference">
    <w:name w:val="footnote reference"/>
    <w:basedOn w:val="DefaultParagraphFont"/>
    <w:uiPriority w:val="99"/>
    <w:semiHidden/>
    <w:unhideWhenUsed/>
    <w:rsid w:val="00960134"/>
    <w:rPr>
      <w:vertAlign w:val="superscript"/>
    </w:rPr>
  </w:style>
  <w:style w:type="character" w:styleId="UnresolvedMention">
    <w:name w:val="Unresolved Mention"/>
    <w:basedOn w:val="DefaultParagraphFont"/>
    <w:uiPriority w:val="99"/>
    <w:semiHidden/>
    <w:unhideWhenUsed/>
    <w:rsid w:val="00FF1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tsunekih@iadb.or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mariaero@iadb.or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idbdocs.iadb.org/wsdocs/getdocument.aspx?DOCNUM=38988574" TargetMode="External"/><Relationship Id="rId20" Type="http://schemas.openxmlformats.org/officeDocument/2006/relationships/hyperlink" Target="http://www.iadb.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beo-procurement.iadb.org/hom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mariaero@iadb.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iadb.org/projects/document/EZSHARE-98527652-22?project=BH-T1078"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fdrr.org/en/resilient-cities" TargetMode="External"/><Relationship Id="rId2" Type="http://schemas.openxmlformats.org/officeDocument/2006/relationships/hyperlink" Target="https://www.rockefellerfoundation.org/100-resilient-cities/" TargetMode="External"/><Relationship Id="rId1" Type="http://schemas.openxmlformats.org/officeDocument/2006/relationships/hyperlink" Target="http://www.iadb.org/cities" TargetMode="External"/><Relationship Id="rId5" Type="http://schemas.openxmlformats.org/officeDocument/2006/relationships/hyperlink" Target="https://www.un.org/sustainabledevelopment/cities/" TargetMode="External"/><Relationship Id="rId4" Type="http://schemas.openxmlformats.org/officeDocument/2006/relationships/hyperlink" Target="https://www.worldbank.org/en/topic/disasterriskmanagement/brief/city-resilienc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71BD5EE590010C4E82A0C3C6B960DF6A" ma:contentTypeVersion="0" ma:contentTypeDescription="A content type to manage public (operations) IDB documents" ma:contentTypeScope="" ma:versionID="afbb41b493384722632e6ea3e8d9b748">
  <xsd:schema xmlns:xsd="http://www.w3.org/2001/XMLSchema" xmlns:xs="http://www.w3.org/2001/XMLSchema" xmlns:p="http://schemas.microsoft.com/office/2006/metadata/properties" xmlns:ns2="cdc7663a-08f0-4737-9e8c-148ce897a09c" targetNamespace="http://schemas.microsoft.com/office/2006/metadata/properties" ma:root="true" ma:fieldsID="88175d51e1797af223cc37070fea6728"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5.xml><?xml version="1.0" encoding="utf-8"?>
<?mso-contentType ?>
<SharedContentType xmlns="Microsoft.SharePoint.Taxonomy.ContentTypeSync" SourceId="ae61f9b1-e23d-4f49-b3d7-56b991556c4b" ContentTypeId="0x0101001A458A224826124E8B45B1D613300CFC" PreviousValue="false"/>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DBDocs_x0020_Number xmlns="cdc7663a-08f0-4737-9e8c-148ce897a09c" xsi:nil="tru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Bahamas</TermName>
          <TermId xmlns="http://schemas.microsoft.com/office/infopath/2007/PartnerControls">7662ea91-358d-4300-9a3d-1bdfe066f698</TermId>
        </TermInfo>
      </Terms>
    </ic46d7e087fd4a108fb86518ca413cc6>
    <Division_x0020_or_x0020_Unit xmlns="cdc7663a-08f0-4737-9e8c-148ce897a09c">CCB/CBH</Division_x0020_or_x0020_Unit>
    <Fiscal_x0020_Year_x0020_IDB xmlns="cdc7663a-08f0-4737-9e8c-148ce897a09c">2016</Fiscal_x0020_Year_x0020_IDB>
    <Other_x0020_Author xmlns="cdc7663a-08f0-4737-9e8c-148ce897a09c" xsi:nil="true"/>
    <Migration_x0020_Info xmlns="cdc7663a-08f0-4737-9e8c-148ce897a09c" xsi:nil="true"/>
    <Document_x0020_Author xmlns="cdc7663a-08f0-4737-9e8c-148ce897a09c">Roberts Syreta</Document_x0020_Author>
    <Document_x0020_Language_x0020_IDB xmlns="cdc7663a-08f0-4737-9e8c-148ce897a09c">English</Document_x0020_Language_x0020_IDB>
    <TaxCatchAll xmlns="cdc7663a-08f0-4737-9e8c-148ce897a09c">
      <Value>169</Value>
      <Value>46</Value>
      <Value>164</Value>
      <Value>10</Value>
      <Value>24</Value>
      <Value>27</Value>
    </TaxCatchAll>
    <Identifier xmlns="cdc7663a-08f0-4737-9e8c-148ce897a09c" xsi:nil="true"/>
    <_dlc_DocId xmlns="cdc7663a-08f0-4737-9e8c-148ce897a09c">EZSHARE-1973705399-17</_dlc_DocId>
    <_dlc_DocIdUrl xmlns="cdc7663a-08f0-4737-9e8c-148ce897a09c">
      <Url>https://idbg.sharepoint.com/teams/EZ-BH-TCP/BH-T1078/_layouts/15/DocIdRedir.aspx?ID=EZSHARE-1973705399-17</Url>
      <Description>EZSHARE-1973705399-17</Description>
    </_dlc_DocIdUrl>
    <Related_x0020_SisCor_x0020_Number xmlns="cdc7663a-08f0-4737-9e8c-148ce897a09c" xsi:nil="true"/>
    <Record_x0020_Number xmlns="cdc7663a-08f0-4737-9e8c-148ce897a09c" xsi:nil="true"/>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Bidding Invitation</TermName>
          <TermId xmlns="http://schemas.microsoft.com/office/infopath/2007/PartnerControls">ff13d79e-a5a5-4007-9d0e-c9d09f5a8b30</TermId>
        </TermInfo>
      </Terms>
    </b26cdb1da78c4bb4b1c1bac2f6ac5911>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Approval_x0020_Number xmlns="cdc7663a-08f0-4737-9e8c-148ce897a09c" xsi:nil="true"/>
    <Phase xmlns="cdc7663a-08f0-4737-9e8c-148ce897a09c" xsi:nil="true"/>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INTEGRATED DISASTER RISK MANAGEMENT</TermName>
          <TermId xmlns="http://schemas.microsoft.com/office/infopath/2007/PartnerControls">afbb464c-1cb3-4d52-bca0-aab08a1cdcf2</TermId>
        </TermInfo>
      </Terms>
    </b2ec7cfb18674cb8803df6b262e8b107>
    <Business_x0020_Area xmlns="cdc7663a-08f0-4737-9e8c-148ce897a09c" xsi:nil="true"/>
    <Key_x0020_Document xmlns="cdc7663a-08f0-4737-9e8c-148ce897a09c">false</Key_x0020_Document>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JSF</TermName>
          <TermId xmlns="http://schemas.microsoft.com/office/infopath/2007/PartnerControls">42e89227-ec0a-483f-91bb-7a753aa184bd</TermId>
        </TermInfo>
      </Terms>
    </g511464f9e53401d84b16fa9b379a574>
    <Operation_x0020_Type xmlns="cdc7663a-08f0-4737-9e8c-148ce897a09c" xsi:nil="true"/>
    <Package_x0020_Code xmlns="cdc7663a-08f0-4737-9e8c-148ce897a09c" xsi:nil="true"/>
    <Project_x0020_Number xmlns="cdc7663a-08f0-4737-9e8c-148ce897a09c">BH-T1078;</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ENVIRONMENT AND NATURAL DISASTERS</TermName>
          <TermId xmlns="http://schemas.microsoft.com/office/infopath/2007/PartnerControls">261e2b33-090b-4ab0-8e06-3aa3e7f32d57</TermId>
        </TermInfo>
      </Terms>
    </nddeef1749674d76abdbe4b239a70bc6>
    <Disclosure_x0020_Activity xmlns="cdc7663a-08f0-4737-9e8c-148ce897a09c">Expression of Interest (SG)</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Climate Change and Environmental Sustainability;</Webtopic>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9F5E50AB-C705-4C53-B2E7-F469F0E2EE3C}">
  <ds:schemaRefs>
    <ds:schemaRef ds:uri="http://schemas.microsoft.com/sharepoint/v3/contenttype/forms"/>
  </ds:schemaRefs>
</ds:datastoreItem>
</file>

<file path=customXml/itemProps2.xml><?xml version="1.0" encoding="utf-8"?>
<ds:datastoreItem xmlns:ds="http://schemas.openxmlformats.org/officeDocument/2006/customXml" ds:itemID="{883C6C2A-C969-4C51-A2D6-25F64D7B2A52}"/>
</file>

<file path=customXml/itemProps3.xml><?xml version="1.0" encoding="utf-8"?>
<ds:datastoreItem xmlns:ds="http://schemas.openxmlformats.org/officeDocument/2006/customXml" ds:itemID="{87E23DAA-4EEF-42E2-874B-D6AC0418C7F3}">
  <ds:schemaRefs>
    <ds:schemaRef ds:uri="http://schemas.microsoft.com/sharepoint/events"/>
  </ds:schemaRefs>
</ds:datastoreItem>
</file>

<file path=customXml/itemProps4.xml><?xml version="1.0" encoding="utf-8"?>
<ds:datastoreItem xmlns:ds="http://schemas.openxmlformats.org/officeDocument/2006/customXml" ds:itemID="{3235041A-1BAD-45A0-9335-0DD8B314E671}"/>
</file>

<file path=customXml/itemProps5.xml><?xml version="1.0" encoding="utf-8"?>
<ds:datastoreItem xmlns:ds="http://schemas.openxmlformats.org/officeDocument/2006/customXml" ds:itemID="{D7E8971D-6A77-4B31-8F79-BB1FBC14AC90}"/>
</file>

<file path=customXml/itemProps6.xml><?xml version="1.0" encoding="utf-8"?>
<ds:datastoreItem xmlns:ds="http://schemas.openxmlformats.org/officeDocument/2006/customXml" ds:itemID="{B98CC96B-FD11-466D-AEB4-CD0D9388406A}">
  <ds:schemaRefs>
    <ds:schemaRef ds:uri="http://schemas.microsoft.com/office/2006/metadata/properties"/>
    <ds:schemaRef ds:uri="http://schemas.microsoft.com/office/infopath/2007/PartnerControls"/>
    <ds:schemaRef ds:uri="cdc7663a-08f0-4737-9e8c-148ce897a09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2768</Words>
  <Characters>15779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keywords/>
  <cp:lastModifiedBy>Roberts, Syreta</cp:lastModifiedBy>
  <cp:revision>2</cp:revision>
  <cp:lastPrinted>2015-01-20T22:56:00Z</cp:lastPrinted>
  <dcterms:created xsi:type="dcterms:W3CDTF">2021-01-08T21:15:00Z</dcterms:created>
  <dcterms:modified xsi:type="dcterms:W3CDTF">2021-01-08T21:15:00Z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Series Corporate IDB">
    <vt:lpwstr>83;#Template|b2485199-60dd-4e3d-8f72-826e396676bc</vt:lpwstr>
  </property>
  <property fmtid="{D5CDD505-2E9C-101B-9397-08002B2CF9AE}" pid="5" name="Function Corporate IDB">
    <vt:lpwstr>2;#Guideline, Standard and Policy|55052825-ede1-4fc0-9b73-7b2230e7239d</vt:lpwstr>
  </property>
  <property fmtid="{D5CDD505-2E9C-101B-9397-08002B2CF9AE}" pid="6" name="TaxKeywordTaxHTField">
    <vt:lpwstr/>
  </property>
  <property fmtid="{D5CDD505-2E9C-101B-9397-08002B2CF9AE}" pid="7" name="Country">
    <vt:lpwstr>24;#Bahamas|7662ea91-358d-4300-9a3d-1bdfe066f698</vt:lpwstr>
  </property>
  <property fmtid="{D5CDD505-2E9C-101B-9397-08002B2CF9AE}" pid="8" name="_dlc_DocIdItemGuid">
    <vt:lpwstr>144cda36-ff04-4c63-bb52-96ea1fbbf5a3</vt:lpwstr>
  </property>
  <property fmtid="{D5CDD505-2E9C-101B-9397-08002B2CF9AE}" pid="9" name="Sub-Sector">
    <vt:lpwstr>164;#INTEGRATED DISASTER RISK MANAGEMENT|afbb464c-1cb3-4d52-bca0-aab08a1cdcf2</vt:lpwstr>
  </property>
  <property fmtid="{D5CDD505-2E9C-101B-9397-08002B2CF9AE}" pid="10" name="Series Operations IDB">
    <vt:lpwstr>169;#Bidding Invitation|ff13d79e-a5a5-4007-9d0e-c9d09f5a8b30</vt:lpwstr>
  </property>
  <property fmtid="{D5CDD505-2E9C-101B-9397-08002B2CF9AE}" pid="11" name="Fund IDB">
    <vt:lpwstr>46;#JSF|42e89227-ec0a-483f-91bb-7a753aa184bd</vt:lpwstr>
  </property>
  <property fmtid="{D5CDD505-2E9C-101B-9397-08002B2CF9AE}" pid="12" name="Sector IDB">
    <vt:lpwstr>27;#ENVIRONMENT AND NATURAL DISASTERS|261e2b33-090b-4ab0-8e06-3aa3e7f32d57</vt:lpwstr>
  </property>
  <property fmtid="{D5CDD505-2E9C-101B-9397-08002B2CF9AE}" pid="13" name="Function Operations IDB">
    <vt:lpwstr>10;#Goods and Services|5bfebf1b-9f1f-4411-b1dd-4c19b807b799</vt:lpwstr>
  </property>
  <property fmtid="{D5CDD505-2E9C-101B-9397-08002B2CF9AE}" pid="14" name="ContentTypeId">
    <vt:lpwstr>0x0101001A458A224826124E8B45B1D613300CFC0071BD5EE590010C4E82A0C3C6B960DF6A</vt:lpwstr>
  </property>
  <property fmtid="{D5CDD505-2E9C-101B-9397-08002B2CF9AE}" pid="15" name="From:">
    <vt:lpwstr>Jan 8, 2021</vt:lpwstr>
  </property>
  <property fmtid="{D5CDD505-2E9C-101B-9397-08002B2CF9AE}" pid="16" name="To:">
    <vt:lpwstr>Jan 25, 2021</vt:lpwstr>
  </property>
</Properties>
</file>