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1129C4A0">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633C71E7">
        <w:rPr>
          <w:rFonts w:asciiTheme="minorHAnsi" w:eastAsiaTheme="minorEastAsia" w:hAnsiTheme="minorHAnsi" w:cstheme="minorBidi"/>
          <w:noProof/>
        </w:rPr>
        <w:t xml:space="preserve">                </w:t>
      </w:r>
    </w:p>
    <w:p w14:paraId="2F928274" w14:textId="77777777"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B07CE8F" w14:textId="4A0B44D8" w:rsidR="0078742E" w:rsidRPr="00F21068" w:rsidRDefault="0078742E" w:rsidP="0078742E">
      <w:pPr>
        <w:suppressAutoHyphens/>
        <w:rPr>
          <w:rFonts w:asciiTheme="minorHAnsi" w:hAnsiTheme="minorHAnsi" w:cstheme="minorBidi"/>
          <w:color w:val="002060"/>
        </w:rPr>
      </w:pPr>
      <w:r w:rsidRPr="00F21068">
        <w:rPr>
          <w:rFonts w:asciiTheme="minorHAnsi" w:hAnsiTheme="minorHAnsi" w:cstheme="minorBidi"/>
          <w:color w:val="002060"/>
          <w:spacing w:val="-2"/>
        </w:rPr>
        <w:t xml:space="preserve">Selection # as assigned by e-Tool: </w:t>
      </w:r>
      <w:r w:rsidR="006C6C68">
        <w:rPr>
          <w:rFonts w:asciiTheme="minorHAnsi" w:hAnsiTheme="minorHAnsi" w:cstheme="minorBidi"/>
          <w:color w:val="002060"/>
          <w:spacing w:val="-2"/>
        </w:rPr>
        <w:t>BH-T1078-P002</w:t>
      </w:r>
    </w:p>
    <w:p w14:paraId="458BF2B4" w14:textId="7FBB2F45" w:rsidR="0078742E" w:rsidRPr="00F21068" w:rsidRDefault="0078742E" w:rsidP="0078742E">
      <w:pPr>
        <w:rPr>
          <w:color w:val="002060"/>
        </w:rPr>
      </w:pPr>
      <w:r w:rsidRPr="00F21068">
        <w:rPr>
          <w:rFonts w:asciiTheme="minorHAnsi" w:hAnsiTheme="minorHAnsi" w:cstheme="minorBidi"/>
          <w:color w:val="002060"/>
        </w:rPr>
        <w:t xml:space="preserve">Selection Method: </w:t>
      </w:r>
      <w:r w:rsidR="00F21068">
        <w:rPr>
          <w:rFonts w:asciiTheme="minorHAnsi" w:hAnsiTheme="minorHAnsi" w:cstheme="minorBidi"/>
          <w:color w:val="002060"/>
        </w:rPr>
        <w:t>Simplified Competitive</w:t>
      </w:r>
    </w:p>
    <w:p w14:paraId="24EACA6B" w14:textId="77777777" w:rsidR="0078742E" w:rsidRPr="00F21068" w:rsidRDefault="0078742E" w:rsidP="0078742E">
      <w:pPr>
        <w:suppressAutoHyphens/>
        <w:rPr>
          <w:rFonts w:asciiTheme="minorHAnsi" w:hAnsiTheme="minorHAnsi" w:cstheme="minorBidi"/>
          <w:i/>
          <w:iCs/>
          <w:color w:val="002060"/>
        </w:rPr>
      </w:pPr>
      <w:r w:rsidRPr="00F21068">
        <w:rPr>
          <w:rFonts w:asciiTheme="minorHAnsi" w:hAnsiTheme="minorHAnsi" w:cstheme="minorBidi"/>
          <w:color w:val="002060"/>
          <w:spacing w:val="-2"/>
        </w:rPr>
        <w:t xml:space="preserve">Country: </w:t>
      </w:r>
      <w:r w:rsidRPr="00F21068">
        <w:rPr>
          <w:rFonts w:asciiTheme="minorHAnsi" w:hAnsiTheme="minorHAnsi" w:cstheme="minorBidi"/>
          <w:i/>
          <w:iCs/>
          <w:color w:val="002060"/>
        </w:rPr>
        <w:t xml:space="preserve"> Bahamas</w:t>
      </w:r>
    </w:p>
    <w:p w14:paraId="5E643B58" w14:textId="77777777" w:rsidR="0078742E" w:rsidRPr="00F21068" w:rsidRDefault="0078742E" w:rsidP="0078742E">
      <w:pPr>
        <w:suppressAutoHyphens/>
        <w:rPr>
          <w:rFonts w:asciiTheme="minorHAnsi" w:hAnsiTheme="minorHAnsi" w:cstheme="minorBidi"/>
          <w:i/>
          <w:iCs/>
          <w:color w:val="002060"/>
        </w:rPr>
      </w:pPr>
      <w:r w:rsidRPr="00F21068">
        <w:rPr>
          <w:rFonts w:asciiTheme="minorHAnsi" w:hAnsiTheme="minorHAnsi" w:cstheme="minorBidi"/>
          <w:i/>
          <w:iCs/>
          <w:color w:val="002060"/>
        </w:rPr>
        <w:t>Sector: Disaster Preparedness, Recovery &amp; Reconstruction</w:t>
      </w:r>
    </w:p>
    <w:p w14:paraId="46457BF4" w14:textId="460658C3" w:rsidR="0078742E" w:rsidRPr="00F21068" w:rsidRDefault="0078742E" w:rsidP="0078742E">
      <w:pPr>
        <w:suppressAutoHyphens/>
        <w:rPr>
          <w:rFonts w:asciiTheme="minorHAnsi" w:hAnsiTheme="minorHAnsi" w:cstheme="minorBidi"/>
          <w:i/>
          <w:iCs/>
          <w:color w:val="002060"/>
        </w:rPr>
      </w:pPr>
      <w:r w:rsidRPr="00F21068">
        <w:rPr>
          <w:rFonts w:asciiTheme="minorHAnsi" w:hAnsiTheme="minorHAnsi" w:cstheme="minorBidi"/>
          <w:i/>
          <w:iCs/>
          <w:color w:val="002060"/>
        </w:rPr>
        <w:t xml:space="preserve">Funding </w:t>
      </w:r>
      <w:r w:rsidR="00F21068" w:rsidRPr="00F21068">
        <w:rPr>
          <w:rFonts w:asciiTheme="minorHAnsi" w:hAnsiTheme="minorHAnsi" w:cstheme="minorBidi"/>
          <w:i/>
          <w:iCs/>
          <w:color w:val="002060"/>
        </w:rPr>
        <w:t>-</w:t>
      </w:r>
      <w:r w:rsidR="00F21068" w:rsidRPr="00F21068">
        <w:rPr>
          <w:rFonts w:ascii="OpenSans-Regular" w:hAnsi="OpenSans-Regular"/>
          <w:b/>
          <w:bCs/>
          <w:color w:val="002060"/>
          <w:sz w:val="20"/>
          <w:szCs w:val="20"/>
          <w:lang w:val="en"/>
        </w:rPr>
        <w:t>ATN/JF-17982-BH</w:t>
      </w:r>
      <w:r w:rsidRPr="00F21068">
        <w:rPr>
          <w:rFonts w:asciiTheme="minorHAnsi" w:hAnsiTheme="minorHAnsi" w:cstheme="minorBidi"/>
          <w:i/>
          <w:iCs/>
          <w:color w:val="002060"/>
        </w:rPr>
        <w:t xml:space="preserve">                          </w:t>
      </w:r>
    </w:p>
    <w:p w14:paraId="72B12970" w14:textId="03560D83" w:rsidR="0078742E" w:rsidRPr="00F21068" w:rsidRDefault="0078742E" w:rsidP="0078742E">
      <w:pPr>
        <w:widowControl/>
        <w:suppressAutoHyphens/>
        <w:autoSpaceDE/>
        <w:autoSpaceDN/>
        <w:adjustRightInd/>
        <w:rPr>
          <w:rFonts w:ascii="CG Times" w:eastAsia="Times New Roman" w:hAnsi="CG Times" w:cs="Times New Roman"/>
          <w:color w:val="002060"/>
          <w:spacing w:val="-2"/>
          <w:szCs w:val="20"/>
          <w:lang w:eastAsia="en-US"/>
        </w:rPr>
      </w:pPr>
      <w:r w:rsidRPr="00F21068">
        <w:rPr>
          <w:rFonts w:asciiTheme="minorHAnsi" w:hAnsiTheme="minorHAnsi" w:cstheme="minorBidi"/>
          <w:i/>
          <w:iCs/>
          <w:color w:val="002060"/>
          <w:spacing w:val="-2"/>
          <w:szCs w:val="20"/>
          <w:lang w:eastAsia="en-US"/>
        </w:rPr>
        <w:t xml:space="preserve">Project #: </w:t>
      </w:r>
      <w:r w:rsidR="00F21068" w:rsidRPr="00F21068">
        <w:rPr>
          <w:rFonts w:asciiTheme="minorHAnsi" w:hAnsiTheme="minorHAnsi" w:cstheme="minorBidi"/>
          <w:i/>
          <w:iCs/>
          <w:color w:val="002060"/>
          <w:spacing w:val="-2"/>
          <w:szCs w:val="20"/>
          <w:lang w:eastAsia="en-US"/>
        </w:rPr>
        <w:t>BH-T1078</w:t>
      </w:r>
    </w:p>
    <w:p w14:paraId="118F99D0" w14:textId="77777777" w:rsidR="0078742E" w:rsidRPr="00F21068" w:rsidRDefault="0078742E" w:rsidP="0078742E">
      <w:pPr>
        <w:widowControl/>
        <w:tabs>
          <w:tab w:val="left" w:pos="6645"/>
        </w:tabs>
        <w:suppressAutoHyphens/>
        <w:autoSpaceDE/>
        <w:autoSpaceDN/>
        <w:adjustRightInd/>
        <w:rPr>
          <w:rFonts w:ascii="CG Times" w:eastAsia="Times New Roman" w:hAnsi="CG Times" w:cs="Times New Roman"/>
          <w:color w:val="002060"/>
          <w:spacing w:val="-2"/>
          <w:szCs w:val="20"/>
          <w:lang w:eastAsia="en-US"/>
        </w:rPr>
      </w:pPr>
      <w:r w:rsidRPr="00F21068">
        <w:rPr>
          <w:rFonts w:asciiTheme="minorHAnsi" w:hAnsiTheme="minorHAnsi" w:cstheme="minorBidi"/>
          <w:i/>
          <w:iCs/>
          <w:color w:val="002060"/>
          <w:spacing w:val="-2"/>
          <w:szCs w:val="20"/>
          <w:lang w:eastAsia="en-US"/>
        </w:rPr>
        <w:t>TC name: Capacity Strengthening for a More Resilient Bahamas</w:t>
      </w:r>
      <w:r w:rsidRPr="00F21068">
        <w:rPr>
          <w:rFonts w:asciiTheme="minorHAnsi" w:hAnsiTheme="minorHAnsi" w:cstheme="minorBidi"/>
          <w:i/>
          <w:iCs/>
          <w:color w:val="002060"/>
          <w:spacing w:val="-2"/>
          <w:szCs w:val="20"/>
          <w:lang w:eastAsia="en-US"/>
        </w:rPr>
        <w:tab/>
      </w:r>
    </w:p>
    <w:p w14:paraId="4D0C783C" w14:textId="4B71025A" w:rsidR="0078742E" w:rsidRPr="00F21068" w:rsidRDefault="0078742E" w:rsidP="0078742E">
      <w:pPr>
        <w:widowControl/>
        <w:suppressAutoHyphens/>
        <w:autoSpaceDE/>
        <w:autoSpaceDN/>
        <w:adjustRightInd/>
        <w:rPr>
          <w:rFonts w:asciiTheme="minorHAnsi" w:hAnsiTheme="minorHAnsi" w:cstheme="minorBidi"/>
          <w:b/>
          <w:bCs/>
          <w:i/>
          <w:iCs/>
          <w:color w:val="002060"/>
          <w:spacing w:val="-2"/>
          <w:szCs w:val="20"/>
          <w:lang w:eastAsia="en-US"/>
        </w:rPr>
      </w:pPr>
      <w:r w:rsidRPr="00F21068">
        <w:rPr>
          <w:rFonts w:asciiTheme="minorHAnsi" w:hAnsiTheme="minorHAnsi" w:cstheme="minorBidi"/>
          <w:i/>
          <w:iCs/>
          <w:color w:val="002060"/>
          <w:spacing w:val="-2"/>
          <w:szCs w:val="20"/>
          <w:lang w:eastAsia="en-US"/>
        </w:rPr>
        <w:t xml:space="preserve">Description of Services: </w:t>
      </w:r>
      <w:r w:rsidR="00CB339E" w:rsidRPr="00F21068">
        <w:rPr>
          <w:rFonts w:asciiTheme="minorHAnsi" w:hAnsiTheme="minorHAnsi" w:cstheme="minorBidi"/>
          <w:b/>
          <w:bCs/>
          <w:i/>
          <w:iCs/>
          <w:color w:val="002060"/>
          <w:spacing w:val="-2"/>
          <w:szCs w:val="20"/>
          <w:lang w:eastAsia="en-US"/>
        </w:rPr>
        <w:t>Consultancy for Generation of a National Standard for Hurricane Hazard and Risk Analysis</w:t>
      </w:r>
    </w:p>
    <w:p w14:paraId="726D6E0F" w14:textId="0CC76DAC" w:rsidR="0078742E" w:rsidRPr="00F21068" w:rsidRDefault="00F21068" w:rsidP="0078742E">
      <w:pPr>
        <w:widowControl/>
        <w:suppressAutoHyphens/>
        <w:autoSpaceDE/>
        <w:autoSpaceDN/>
        <w:adjustRightInd/>
        <w:rPr>
          <w:rFonts w:asciiTheme="minorHAnsi" w:hAnsiTheme="minorHAnsi" w:cstheme="minorBidi"/>
          <w:i/>
          <w:iCs/>
          <w:color w:val="002060"/>
          <w:spacing w:val="-2"/>
          <w:szCs w:val="20"/>
          <w:lang w:eastAsia="en-US"/>
        </w:rPr>
      </w:pPr>
      <w:r w:rsidRPr="00F21068">
        <w:rPr>
          <w:rFonts w:asciiTheme="minorHAnsi" w:hAnsiTheme="minorHAnsi" w:cstheme="minorBidi"/>
          <w:i/>
          <w:iCs/>
          <w:color w:val="002060"/>
          <w:spacing w:val="-2"/>
          <w:szCs w:val="20"/>
          <w:lang w:eastAsia="en-US"/>
        </w:rPr>
        <w:t>Date</w:t>
      </w:r>
      <w:r>
        <w:rPr>
          <w:rFonts w:asciiTheme="minorHAnsi" w:hAnsiTheme="minorHAnsi" w:cstheme="minorBidi"/>
          <w:i/>
          <w:iCs/>
          <w:color w:val="002060"/>
          <w:spacing w:val="-2"/>
          <w:szCs w:val="20"/>
          <w:lang w:eastAsia="en-US"/>
        </w:rPr>
        <w:t xml:space="preserve"> for submission</w:t>
      </w:r>
      <w:r w:rsidRPr="00F21068">
        <w:rPr>
          <w:rFonts w:asciiTheme="minorHAnsi" w:hAnsiTheme="minorHAnsi" w:cstheme="minorBidi"/>
          <w:i/>
          <w:iCs/>
          <w:color w:val="002060"/>
          <w:spacing w:val="-2"/>
          <w:szCs w:val="20"/>
          <w:lang w:eastAsia="en-US"/>
        </w:rPr>
        <w:t>: January</w:t>
      </w:r>
      <w:r w:rsidR="00DE540C">
        <w:rPr>
          <w:rFonts w:asciiTheme="minorHAnsi" w:hAnsiTheme="minorHAnsi" w:cstheme="minorBidi"/>
          <w:i/>
          <w:iCs/>
          <w:color w:val="002060"/>
          <w:spacing w:val="-2"/>
          <w:szCs w:val="20"/>
          <w:lang w:eastAsia="en-US"/>
        </w:rPr>
        <w:t xml:space="preserve"> 25</w:t>
      </w:r>
      <w:r w:rsidRPr="00F21068">
        <w:rPr>
          <w:rFonts w:asciiTheme="minorHAnsi" w:hAnsiTheme="minorHAnsi" w:cstheme="minorBidi"/>
          <w:i/>
          <w:iCs/>
          <w:color w:val="002060"/>
          <w:spacing w:val="-2"/>
          <w:szCs w:val="20"/>
          <w:lang w:eastAsia="en-US"/>
        </w:rPr>
        <w:t>, 2021</w:t>
      </w:r>
    </w:p>
    <w:p w14:paraId="3A50EEED" w14:textId="740F58CC" w:rsidR="00F45D9C" w:rsidRPr="00AE7268" w:rsidRDefault="00F45D9C" w:rsidP="4738AB8D">
      <w:pPr>
        <w:pStyle w:val="BodyText"/>
        <w:rPr>
          <w:rFonts w:asciiTheme="minorHAnsi" w:eastAsiaTheme="minorEastAsia" w:hAnsiTheme="minorHAnsi" w:cstheme="minorBidi"/>
          <w:i/>
          <w:iCs/>
          <w:color w:val="0070C0"/>
        </w:rPr>
      </w:pPr>
    </w:p>
    <w:p w14:paraId="4DEADFED" w14:textId="77777777" w:rsidR="00F45D9C" w:rsidRDefault="00F45D9C" w:rsidP="00F45D9C">
      <w:pPr>
        <w:pStyle w:val="BodyText"/>
        <w:rPr>
          <w:rFonts w:asciiTheme="minorHAnsi" w:hAnsiTheme="minorHAnsi" w:cstheme="minorHAnsi"/>
          <w:i/>
          <w:color w:val="0070C0"/>
          <w:szCs w:val="24"/>
        </w:rPr>
      </w:pPr>
    </w:p>
    <w:p w14:paraId="469D5B2B" w14:textId="35A05203" w:rsidR="00F45D9C" w:rsidRDefault="4738AB8D" w:rsidP="4738AB8D">
      <w:pPr>
        <w:pStyle w:val="BodyText"/>
      </w:pPr>
      <w:r w:rsidRPr="4738AB8D">
        <w:rPr>
          <w:rFonts w:asciiTheme="minorHAnsi" w:eastAsiaTheme="minorEastAsia" w:hAnsiTheme="minorHAnsi" w:cstheme="minorBidi"/>
          <w:i/>
          <w:iCs/>
          <w:color w:val="0070C0"/>
        </w:rPr>
        <w:t xml:space="preserve">Link to TC document: </w:t>
      </w:r>
      <w:hyperlink r:id="rId14" w:history="1">
        <w:r w:rsidR="0042319E" w:rsidRPr="00AF55A8">
          <w:rPr>
            <w:rStyle w:val="Hyperlink"/>
          </w:rPr>
          <w:t>https://www.iadb.org/projects/document/EZSHARE-98527652-22?project=BH-T1078</w:t>
        </w:r>
      </w:hyperlink>
    </w:p>
    <w:p w14:paraId="1DBF52D2" w14:textId="77777777" w:rsidR="00F45D9C" w:rsidRDefault="00F45D9C" w:rsidP="00F45D9C">
      <w:pPr>
        <w:pStyle w:val="BodyText"/>
        <w:rPr>
          <w:rFonts w:asciiTheme="minorHAnsi" w:hAnsiTheme="minorHAnsi" w:cstheme="minorHAnsi"/>
          <w:i/>
          <w:color w:val="0070C0"/>
          <w:szCs w:val="24"/>
        </w:rPr>
      </w:pPr>
    </w:p>
    <w:p w14:paraId="52D780AC" w14:textId="3142080C" w:rsidR="002E7B51" w:rsidRDefault="00F45D9C"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The Inter-American Development Bank (IDB) is executing the </w:t>
      </w:r>
      <w:r w:rsidR="00F21068" w:rsidRPr="2CDD2216">
        <w:rPr>
          <w:rFonts w:asciiTheme="minorHAnsi" w:hAnsiTheme="minorHAnsi" w:cstheme="minorBidi"/>
          <w:color w:val="auto"/>
        </w:rPr>
        <w:t>above-mentioned</w:t>
      </w:r>
      <w:r w:rsidRPr="2CDD2216">
        <w:rPr>
          <w:rFonts w:asciiTheme="minorHAnsi" w:hAnsiTheme="minorHAnsi" w:cstheme="minorBidi"/>
          <w:color w:val="auto"/>
        </w:rPr>
        <w:t xml:space="preserve"> </w:t>
      </w:r>
      <w:r w:rsidR="00CB339E">
        <w:rPr>
          <w:rFonts w:asciiTheme="minorHAnsi" w:hAnsiTheme="minorHAnsi" w:cstheme="minorBidi"/>
          <w:color w:val="auto"/>
        </w:rPr>
        <w:t xml:space="preserve">Technical Cooperation </w:t>
      </w:r>
      <w:r w:rsidR="0042319E">
        <w:rPr>
          <w:rFonts w:asciiTheme="minorHAnsi" w:hAnsiTheme="minorHAnsi" w:cstheme="minorBidi"/>
          <w:color w:val="auto"/>
        </w:rPr>
        <w:t>with the</w:t>
      </w:r>
      <w:r w:rsidR="00CB339E">
        <w:rPr>
          <w:rFonts w:asciiTheme="minorHAnsi" w:hAnsiTheme="minorHAnsi" w:cstheme="minorBidi"/>
          <w:color w:val="auto"/>
        </w:rPr>
        <w:t xml:space="preserve"> </w:t>
      </w:r>
      <w:r w:rsidR="0042319E">
        <w:rPr>
          <w:rFonts w:asciiTheme="minorHAnsi" w:hAnsiTheme="minorHAnsi" w:cstheme="minorBidi"/>
          <w:color w:val="auto"/>
        </w:rPr>
        <w:t>Government of The Bahamas (</w:t>
      </w:r>
      <w:proofErr w:type="spellStart"/>
      <w:r w:rsidR="0042319E">
        <w:rPr>
          <w:rFonts w:asciiTheme="minorHAnsi" w:hAnsiTheme="minorHAnsi" w:cstheme="minorBidi"/>
          <w:color w:val="auto"/>
        </w:rPr>
        <w:t>G</w:t>
      </w:r>
      <w:r w:rsidR="00CB339E">
        <w:rPr>
          <w:rFonts w:asciiTheme="minorHAnsi" w:hAnsiTheme="minorHAnsi" w:cstheme="minorBidi"/>
          <w:color w:val="auto"/>
        </w:rPr>
        <w:t>oBH</w:t>
      </w:r>
      <w:proofErr w:type="spellEnd"/>
      <w:r w:rsidR="0042319E">
        <w:rPr>
          <w:rFonts w:asciiTheme="minorHAnsi" w:hAnsiTheme="minorHAnsi" w:cstheme="minorBidi"/>
          <w:color w:val="auto"/>
        </w:rPr>
        <w:t>)</w:t>
      </w:r>
      <w:r w:rsidRPr="2CDD2216">
        <w:rPr>
          <w:rFonts w:asciiTheme="minorHAnsi" w:hAnsiTheme="minorHAnsi" w:cstheme="minorBidi"/>
          <w:color w:val="auto"/>
        </w:rPr>
        <w:t xml:space="preserve">.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r w:rsidR="002E7B51" w:rsidRPr="6D59273E">
        <w:rPr>
          <w:rFonts w:asciiTheme="minorHAnsi" w:hAnsiTheme="minorHAnsi" w:cstheme="minorBidi"/>
          <w:color w:val="auto"/>
        </w:rPr>
        <w:t>Expressions of interest must be delivered</w:t>
      </w:r>
      <w:r w:rsidR="002E7B51">
        <w:rPr>
          <w:rFonts w:asciiTheme="minorHAnsi" w:hAnsiTheme="minorHAnsi" w:cstheme="minorBidi"/>
          <w:color w:val="auto"/>
        </w:rPr>
        <w:t xml:space="preserve"> </w:t>
      </w:r>
      <w:r w:rsidR="002E7B51" w:rsidRPr="6D59273E">
        <w:rPr>
          <w:rFonts w:asciiTheme="minorHAnsi" w:hAnsiTheme="minorHAnsi" w:cstheme="minorBidi"/>
          <w:color w:val="auto"/>
        </w:rPr>
        <w:t>using the IDB Portal for Bank Executed Operations (</w:t>
      </w:r>
      <w:r w:rsidR="002E7B51" w:rsidRPr="6D59273E">
        <w:t xml:space="preserve"> </w:t>
      </w:r>
      <w:hyperlink r:id="rId15" w:history="1">
        <w:r w:rsidR="002E7B51" w:rsidRPr="6D59273E">
          <w:rPr>
            <w:rStyle w:val="Hyperlink"/>
            <w:rFonts w:asciiTheme="minorHAnsi" w:hAnsiTheme="minorHAnsi" w:cstheme="minorBidi"/>
          </w:rPr>
          <w:t>http://beo-procurement.iadb.org/home</w:t>
        </w:r>
      </w:hyperlink>
      <w:r w:rsidR="002E7B51" w:rsidRPr="6D59273E">
        <w:rPr>
          <w:rFonts w:asciiTheme="minorHAnsi" w:hAnsiTheme="minorHAnsi" w:cstheme="minorBidi"/>
          <w:color w:val="auto"/>
        </w:rPr>
        <w:t xml:space="preserve">) </w:t>
      </w:r>
      <w:r w:rsidR="00CA0FE6" w:rsidRPr="6D59273E">
        <w:rPr>
          <w:rFonts w:asciiTheme="minorHAnsi" w:hAnsiTheme="minorHAnsi" w:cstheme="minorBidi"/>
          <w:color w:val="auto"/>
        </w:rPr>
        <w:t>by</w:t>
      </w:r>
      <w:r w:rsidR="002E7B51">
        <w:rPr>
          <w:rFonts w:asciiTheme="minorHAnsi" w:hAnsiTheme="minorHAnsi" w:cstheme="minorBidi"/>
          <w:color w:val="auto"/>
        </w:rPr>
        <w:t xml:space="preserve"> </w:t>
      </w:r>
      <w:r w:rsidR="00F21068" w:rsidRPr="00F21068">
        <w:rPr>
          <w:rFonts w:asciiTheme="minorHAnsi" w:hAnsiTheme="minorHAnsi" w:cstheme="minorBidi"/>
          <w:b/>
          <w:bCs/>
          <w:color w:val="002060"/>
          <w:spacing w:val="-2"/>
        </w:rPr>
        <w:t xml:space="preserve">January </w:t>
      </w:r>
      <w:r w:rsidR="00DE540C">
        <w:rPr>
          <w:rFonts w:asciiTheme="minorHAnsi" w:hAnsiTheme="minorHAnsi" w:cstheme="minorBidi"/>
          <w:b/>
          <w:bCs/>
          <w:color w:val="002060"/>
          <w:spacing w:val="-2"/>
        </w:rPr>
        <w:t>25</w:t>
      </w:r>
      <w:r w:rsidR="00F21068" w:rsidRPr="00F21068">
        <w:rPr>
          <w:rFonts w:asciiTheme="minorHAnsi" w:hAnsiTheme="minorHAnsi" w:cstheme="minorBidi"/>
          <w:b/>
          <w:bCs/>
          <w:color w:val="002060"/>
          <w:spacing w:val="-2"/>
          <w:vertAlign w:val="superscript"/>
        </w:rPr>
        <w:t>th</w:t>
      </w:r>
      <w:r w:rsidR="00F21068" w:rsidRPr="00F21068">
        <w:rPr>
          <w:rFonts w:asciiTheme="minorHAnsi" w:hAnsiTheme="minorHAnsi" w:cstheme="minorBidi"/>
          <w:b/>
          <w:bCs/>
          <w:color w:val="002060"/>
          <w:spacing w:val="-2"/>
        </w:rPr>
        <w:t>, 2021</w:t>
      </w:r>
      <w:r w:rsidR="002E7B51">
        <w:rPr>
          <w:rFonts w:asciiTheme="minorHAnsi" w:hAnsiTheme="minorHAnsi" w:cstheme="minorBidi"/>
          <w:color w:val="auto"/>
        </w:rPr>
        <w:t xml:space="preserve">, </w:t>
      </w:r>
      <w:r w:rsidR="002E7B51" w:rsidRPr="6D59273E">
        <w:rPr>
          <w:rFonts w:asciiTheme="minorHAnsi" w:hAnsiTheme="minorHAnsi" w:cstheme="minorBidi"/>
          <w:color w:val="auto"/>
        </w:rPr>
        <w:t>5</w:t>
      </w:r>
      <w:r w:rsidR="002E7B51">
        <w:rPr>
          <w:rFonts w:asciiTheme="minorHAnsi" w:hAnsiTheme="minorHAnsi" w:cstheme="minorBidi"/>
          <w:color w:val="auto"/>
        </w:rPr>
        <w:t xml:space="preserve">:00 </w:t>
      </w:r>
      <w:r w:rsidR="003C6547">
        <w:rPr>
          <w:rFonts w:asciiTheme="minorHAnsi" w:hAnsiTheme="minorHAnsi" w:cstheme="minorBidi"/>
          <w:color w:val="auto"/>
        </w:rPr>
        <w:t>P.M.</w:t>
      </w:r>
      <w:r w:rsidR="002E7B51" w:rsidRPr="6D59273E">
        <w:rPr>
          <w:rFonts w:asciiTheme="minorHAnsi" w:hAnsiTheme="minorHAnsi" w:cstheme="minorBidi"/>
          <w:color w:val="auto"/>
        </w:rPr>
        <w:t xml:space="preserve"> (Washington D.C. Time)</w:t>
      </w:r>
      <w:r w:rsidR="002E7B51">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134A0284" w14:textId="77777777" w:rsidR="00CB339E" w:rsidRDefault="00F45D9C" w:rsidP="2CDD2216">
      <w:pPr>
        <w:suppressAutoHyphens/>
        <w:jc w:val="both"/>
        <w:rPr>
          <w:rFonts w:asciiTheme="minorHAnsi" w:hAnsiTheme="minorHAnsi" w:cstheme="minorBidi"/>
          <w:spacing w:val="-2"/>
        </w:rPr>
      </w:pPr>
      <w:r w:rsidRPr="2CDD2216">
        <w:rPr>
          <w:rFonts w:asciiTheme="minorHAnsi" w:hAnsiTheme="minorHAnsi" w:cstheme="minorBidi"/>
          <w:spacing w:val="-2"/>
        </w:rPr>
        <w:t xml:space="preserve">The consulting services (“the Services”) </w:t>
      </w:r>
      <w:r w:rsidR="00CB339E">
        <w:rPr>
          <w:rFonts w:asciiTheme="minorHAnsi" w:hAnsiTheme="minorHAnsi" w:cstheme="minorBidi"/>
          <w:spacing w:val="-2"/>
        </w:rPr>
        <w:t>objectives are:</w:t>
      </w:r>
    </w:p>
    <w:p w14:paraId="1153D105" w14:textId="77777777" w:rsidR="00CB339E" w:rsidRDefault="00CB339E" w:rsidP="2CDD2216">
      <w:pPr>
        <w:suppressAutoHyphens/>
        <w:jc w:val="both"/>
        <w:rPr>
          <w:rFonts w:asciiTheme="minorHAnsi" w:hAnsiTheme="minorHAnsi" w:cstheme="minorBidi"/>
          <w:spacing w:val="-2"/>
        </w:rPr>
      </w:pPr>
    </w:p>
    <w:p w14:paraId="7A1D090C" w14:textId="752C2238" w:rsidR="00CB339E" w:rsidRPr="00DD524D" w:rsidRDefault="00CB339E" w:rsidP="00CB339E">
      <w:pPr>
        <w:pStyle w:val="ListParagraph"/>
        <w:numPr>
          <w:ilvl w:val="0"/>
          <w:numId w:val="1"/>
        </w:numPr>
        <w:spacing w:line="320" w:lineRule="atLeast"/>
        <w:jc w:val="both"/>
        <w:rPr>
          <w:rFonts w:asciiTheme="minorHAnsi" w:hAnsiTheme="minorHAnsi" w:cstheme="minorBidi"/>
          <w:spacing w:val="-2"/>
          <w:sz w:val="20"/>
          <w:szCs w:val="20"/>
        </w:rPr>
      </w:pPr>
      <w:r w:rsidRPr="00DD524D">
        <w:rPr>
          <w:rFonts w:asciiTheme="minorHAnsi" w:hAnsiTheme="minorHAnsi" w:cstheme="minorBidi"/>
          <w:spacing w:val="-2"/>
          <w:sz w:val="20"/>
          <w:szCs w:val="20"/>
        </w:rPr>
        <w:t xml:space="preserve">Under the current situation in the </w:t>
      </w:r>
      <w:r w:rsidR="00F21068" w:rsidRPr="00DD524D">
        <w:rPr>
          <w:rFonts w:asciiTheme="minorHAnsi" w:hAnsiTheme="minorHAnsi" w:cstheme="minorBidi"/>
          <w:spacing w:val="-2"/>
          <w:sz w:val="20"/>
          <w:szCs w:val="20"/>
        </w:rPr>
        <w:t>Bahamas</w:t>
      </w:r>
      <w:r w:rsidRPr="00DD524D">
        <w:rPr>
          <w:rFonts w:asciiTheme="minorHAnsi" w:hAnsiTheme="minorHAnsi" w:cstheme="minorBidi"/>
          <w:spacing w:val="-2"/>
          <w:sz w:val="20"/>
          <w:szCs w:val="20"/>
        </w:rPr>
        <w:t>, there are several studies being implemented or implemented, related to the hurricane climate hazard and risk analysis, and in order to respond to an immediate demand to develop flood/storm surge risk maps for an urban planning/zoning system for flooding in coastal areas of the country, the purpose of this consultancy will be to  (i) compile all existing studies related to meteorology, hydrodynamics, and climate hazard and risk estimation as a single/integrated/comprehensive hurricane related hazard and risk analysis; and (ii) develop an action plan as a national standard including a draft unified methodological framework, standard and guidelines for producing consistent National meteorology, hydrodynamics, and climate hazard and risk studies and maps for sustainable territorial/sector development planning.</w:t>
      </w:r>
    </w:p>
    <w:p w14:paraId="46F10DF7" w14:textId="77777777" w:rsidR="00CB339E" w:rsidRPr="00DD524D" w:rsidRDefault="00CB339E" w:rsidP="00CB339E">
      <w:pPr>
        <w:spacing w:line="320" w:lineRule="atLeast"/>
        <w:jc w:val="both"/>
        <w:rPr>
          <w:rFonts w:asciiTheme="minorHAnsi" w:hAnsiTheme="minorHAnsi" w:cstheme="minorBidi"/>
          <w:spacing w:val="-2"/>
          <w:sz w:val="20"/>
          <w:szCs w:val="20"/>
        </w:rPr>
      </w:pPr>
    </w:p>
    <w:p w14:paraId="28B19945" w14:textId="5205373B" w:rsidR="00CB339E" w:rsidRPr="00DD524D" w:rsidRDefault="00CB339E" w:rsidP="00CB339E">
      <w:pPr>
        <w:pStyle w:val="ListParagraph"/>
        <w:numPr>
          <w:ilvl w:val="0"/>
          <w:numId w:val="1"/>
        </w:numPr>
        <w:spacing w:line="320" w:lineRule="atLeast"/>
        <w:jc w:val="both"/>
        <w:rPr>
          <w:rFonts w:asciiTheme="minorHAnsi" w:hAnsiTheme="minorHAnsi" w:cstheme="minorBidi"/>
          <w:spacing w:val="-2"/>
          <w:sz w:val="20"/>
          <w:szCs w:val="20"/>
        </w:rPr>
      </w:pPr>
      <w:r w:rsidRPr="00DD524D">
        <w:rPr>
          <w:rFonts w:asciiTheme="minorHAnsi" w:hAnsiTheme="minorHAnsi" w:cstheme="minorBidi"/>
          <w:spacing w:val="-2"/>
          <w:sz w:val="20"/>
          <w:szCs w:val="20"/>
        </w:rPr>
        <w:t xml:space="preserve">The existing study includes the Bank’s executed Country Disaster Risk Profile, under the regional technical cooperation already implemented - RG-T2759 to estimate the Probable Maximum Losses (PML) in different return periods, Annual Average Losses (AAL) and Loss Exceedance Curve (LEC). This study can be an important input for this consultancy. </w:t>
      </w:r>
    </w:p>
    <w:p w14:paraId="4051AC0E" w14:textId="77777777" w:rsidR="00CB339E" w:rsidRPr="00DD524D" w:rsidRDefault="00CB339E" w:rsidP="00CB339E">
      <w:pPr>
        <w:spacing w:line="320" w:lineRule="atLeast"/>
        <w:jc w:val="both"/>
        <w:rPr>
          <w:rFonts w:asciiTheme="minorHAnsi" w:hAnsiTheme="minorHAnsi" w:cstheme="minorBidi"/>
          <w:spacing w:val="-2"/>
          <w:sz w:val="20"/>
          <w:szCs w:val="20"/>
        </w:rPr>
      </w:pPr>
    </w:p>
    <w:p w14:paraId="0766B3CB" w14:textId="4F4B80B1" w:rsidR="00F45D9C" w:rsidRPr="00DD524D" w:rsidRDefault="00CB339E" w:rsidP="00CB339E">
      <w:pPr>
        <w:pStyle w:val="ListParagraph"/>
        <w:numPr>
          <w:ilvl w:val="0"/>
          <w:numId w:val="1"/>
        </w:numPr>
        <w:spacing w:line="320" w:lineRule="atLeast"/>
        <w:jc w:val="both"/>
        <w:rPr>
          <w:rFonts w:asciiTheme="minorHAnsi" w:hAnsiTheme="minorHAnsi" w:cs="Times New Roman"/>
          <w:color w:val="auto"/>
          <w:sz w:val="20"/>
          <w:szCs w:val="20"/>
        </w:rPr>
      </w:pPr>
      <w:r w:rsidRPr="00DD524D">
        <w:rPr>
          <w:rFonts w:asciiTheme="minorHAnsi" w:hAnsiTheme="minorHAnsi" w:cstheme="minorBidi"/>
          <w:spacing w:val="-2"/>
          <w:sz w:val="20"/>
          <w:szCs w:val="20"/>
        </w:rPr>
        <w:t>The main products of this consultancy will be: (i) the compiled (probabilistic) hazard and risk assessment at the national (but disaggregated into family-island and sector level), including all GIS-based georeferenced data and maps; and (ii) an action plan a national standard for producing consistent national meteorology, hydrodynamics, and climate hazard and risk studies and maps.</w:t>
      </w:r>
      <w:r w:rsidR="00F45D9C" w:rsidRPr="00DD524D">
        <w:rPr>
          <w:rFonts w:asciiTheme="minorHAnsi" w:hAnsiTheme="minorHAnsi" w:cs="Times New Roman"/>
          <w:color w:val="auto"/>
          <w:sz w:val="20"/>
          <w:szCs w:val="20"/>
        </w:rPr>
        <w:t xml:space="preserve"> </w:t>
      </w:r>
    </w:p>
    <w:p w14:paraId="7C746A52" w14:textId="191FCD45" w:rsidR="00CB339E" w:rsidRPr="00DD524D" w:rsidRDefault="00CB339E" w:rsidP="2CDD2216">
      <w:pPr>
        <w:spacing w:line="320" w:lineRule="atLeast"/>
        <w:jc w:val="both"/>
        <w:rPr>
          <w:rFonts w:asciiTheme="minorHAnsi" w:hAnsiTheme="minorHAnsi" w:cstheme="minorBidi"/>
          <w:color w:val="auto"/>
          <w:sz w:val="20"/>
          <w:szCs w:val="20"/>
        </w:rPr>
      </w:pPr>
    </w:p>
    <w:p w14:paraId="74127EBE" w14:textId="19358FF8" w:rsidR="00CB339E" w:rsidRPr="00DD524D" w:rsidRDefault="00CB339E" w:rsidP="00CB339E">
      <w:pPr>
        <w:pStyle w:val="ListParagraph"/>
        <w:numPr>
          <w:ilvl w:val="0"/>
          <w:numId w:val="1"/>
        </w:numPr>
        <w:spacing w:line="320" w:lineRule="atLeast"/>
        <w:jc w:val="both"/>
        <w:rPr>
          <w:rFonts w:asciiTheme="minorHAnsi" w:hAnsiTheme="minorHAnsi" w:cstheme="minorBidi"/>
          <w:color w:val="auto"/>
          <w:sz w:val="20"/>
          <w:szCs w:val="20"/>
        </w:rPr>
      </w:pPr>
      <w:r w:rsidRPr="00DD524D">
        <w:rPr>
          <w:rFonts w:asciiTheme="minorHAnsi" w:hAnsiTheme="minorHAnsi" w:cstheme="minorBidi"/>
          <w:color w:val="auto"/>
          <w:sz w:val="20"/>
          <w:szCs w:val="20"/>
        </w:rPr>
        <w:t>Estimated duration of the services is 8 months</w:t>
      </w:r>
      <w:r w:rsidR="001D45C3">
        <w:rPr>
          <w:rFonts w:asciiTheme="minorHAnsi" w:hAnsiTheme="minorHAnsi" w:cstheme="minorBidi"/>
          <w:color w:val="auto"/>
          <w:sz w:val="20"/>
          <w:szCs w:val="20"/>
        </w:rPr>
        <w:t>. Estimated amount of the consultancy: U$ 100.000</w:t>
      </w:r>
    </w:p>
    <w:p w14:paraId="794CDAF0" w14:textId="77777777" w:rsidR="00CB339E" w:rsidRPr="00CB339E" w:rsidRDefault="00CB339E" w:rsidP="00CB339E">
      <w:pPr>
        <w:pStyle w:val="ListParagraph"/>
        <w:rPr>
          <w:rFonts w:asciiTheme="minorHAnsi" w:hAnsiTheme="minorHAnsi" w:cstheme="minorBidi"/>
          <w:color w:val="auto"/>
        </w:rPr>
      </w:pPr>
    </w:p>
    <w:p w14:paraId="5E658FDC" w14:textId="77777777" w:rsidR="00CB339E" w:rsidRPr="00CB339E" w:rsidRDefault="00CB339E" w:rsidP="00CB339E">
      <w:pPr>
        <w:pStyle w:val="ListParagraph"/>
        <w:spacing w:line="320" w:lineRule="atLeast"/>
        <w:jc w:val="both"/>
        <w:rPr>
          <w:rFonts w:asciiTheme="minorHAnsi" w:hAnsiTheme="minorHAnsi" w:cstheme="minorBidi"/>
          <w:color w:val="auto"/>
        </w:rPr>
      </w:pPr>
    </w:p>
    <w:p w14:paraId="0A0C2E05" w14:textId="1F78E84C"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2CDD2216">
          <w:rPr>
            <w:rStyle w:val="Hyperlink"/>
            <w:rFonts w:asciiTheme="minorHAnsi" w:hAnsiTheme="minorHAnsi" w:cstheme="minorBidi"/>
            <w:i/>
            <w:iCs/>
          </w:rPr>
          <w:t>Policy for the Selection and Contracting of Consulting firms for Bank-executed Operational Work</w:t>
        </w:r>
      </w:hyperlink>
      <w:r w:rsidR="003C4BA8">
        <w:rPr>
          <w:rFonts w:asciiTheme="minorHAnsi" w:hAnsiTheme="minorHAnsi" w:cstheme="minorBidi"/>
          <w:color w:val="auto"/>
        </w:rPr>
        <w:t xml:space="preserve"> - GN-2765-1. </w:t>
      </w:r>
      <w:r w:rsidRPr="2CDD2216">
        <w:rPr>
          <w:rFonts w:asciiTheme="minorHAnsi" w:hAnsiTheme="minorHAnsi" w:cstheme="minorBidi"/>
          <w:color w:val="auto"/>
        </w:rPr>
        <w:t xml:space="preserve">All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F2E1079"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CB339E" w:rsidRPr="00CB339E">
        <w:rPr>
          <w:rStyle w:val="apple-converted-space"/>
          <w:rFonts w:ascii="Calibri" w:hAnsi="Calibri"/>
          <w:u w:val="single"/>
          <w:shd w:val="clear" w:color="auto" w:fill="FFFFFF"/>
        </w:rPr>
        <w:t>D</w:t>
      </w:r>
      <w:r w:rsidR="002C3359" w:rsidRPr="00CB339E">
        <w:rPr>
          <w:rStyle w:val="normaltextrun"/>
          <w:rFonts w:ascii="Calibri" w:hAnsi="Calibri"/>
          <w:u w:val="single"/>
          <w:shd w:val="clear" w:color="auto" w:fill="FFFFFF"/>
        </w:rPr>
        <w:t>raft summary</w:t>
      </w:r>
      <w:r w:rsidR="002C3359" w:rsidRPr="00CB339E">
        <w:rPr>
          <w:rStyle w:val="apple-converted-space"/>
          <w:rFonts w:ascii="Calibri" w:hAnsi="Calibri"/>
          <w:u w:val="single"/>
          <w:shd w:val="clear" w:color="auto" w:fill="FFFFFF"/>
        </w:rPr>
        <w:t> </w:t>
      </w:r>
      <w:r w:rsidR="002C3359" w:rsidRPr="00CB339E">
        <w:rPr>
          <w:rStyle w:val="normaltextrun"/>
          <w:rFonts w:ascii="Calibri" w:hAnsi="Calibri"/>
          <w:u w:val="single"/>
          <w:shd w:val="clear" w:color="auto" w:fill="FFFFFF"/>
        </w:rPr>
        <w:t>of</w:t>
      </w:r>
      <w:r w:rsidR="00CB339E" w:rsidRPr="00CB339E">
        <w:rPr>
          <w:rStyle w:val="normaltextrun"/>
          <w:rFonts w:ascii="Calibri" w:hAnsi="Calibri"/>
          <w:u w:val="single"/>
          <w:shd w:val="clear" w:color="auto" w:fill="FFFFFF"/>
        </w:rPr>
        <w:t xml:space="preserve"> Scope of Work and Consultancy Requirements</w:t>
      </w:r>
      <w:r w:rsidR="002C3359" w:rsidRPr="002E7B51">
        <w:rPr>
          <w:rStyle w:val="normaltextrun"/>
          <w:rFonts w:ascii="Calibri" w:hAnsi="Calibri"/>
          <w:shd w:val="clear" w:color="auto" w:fill="FFFFFF"/>
        </w:rPr>
        <w:t xml:space="preserve">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4E1C23E0" w14:textId="2035FF75" w:rsidR="002E7B51" w:rsidRDefault="002E7B51"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w:t>
      </w:r>
      <w:r w:rsidR="00C5329E" w:rsidRPr="2CDD2216">
        <w:rPr>
          <w:rFonts w:asciiTheme="minorHAnsi" w:hAnsiTheme="minorHAnsi" w:cstheme="minorBidi"/>
          <w:color w:val="auto"/>
        </w:rPr>
        <w:t>to</w:t>
      </w:r>
      <w:r w:rsidRPr="2CDD2216">
        <w:rPr>
          <w:rFonts w:asciiTheme="minorHAnsi" w:hAnsiTheme="minorHAnsi" w:cstheme="minorBidi"/>
          <w:color w:val="auto"/>
        </w:rPr>
        <w:t xml:space="preserve"> </w:t>
      </w:r>
      <w:r w:rsidR="00F21068">
        <w:rPr>
          <w:rFonts w:asciiTheme="minorHAnsi" w:hAnsiTheme="minorHAnsi" w:cstheme="minorBidi"/>
          <w:color w:val="auto"/>
        </w:rPr>
        <w:t xml:space="preserve">Maria Eugenia Roca </w:t>
      </w:r>
      <w:hyperlink r:id="rId17" w:history="1">
        <w:r w:rsidR="00F21068" w:rsidRPr="000E7BB6">
          <w:rPr>
            <w:rStyle w:val="Hyperlink"/>
            <w:rFonts w:asciiTheme="minorHAnsi" w:hAnsiTheme="minorHAnsi" w:cstheme="minorBidi"/>
          </w:rPr>
          <w:t>mariaero@iadb.org</w:t>
        </w:r>
      </w:hyperlink>
      <w:r w:rsidR="00C5329E">
        <w:rPr>
          <w:rFonts w:asciiTheme="minorHAnsi" w:hAnsiTheme="minorHAnsi" w:cstheme="minorBidi"/>
          <w:color w:val="auto"/>
        </w:rPr>
        <w:t xml:space="preserve"> cc Hori Tsuneki </w:t>
      </w:r>
      <w:hyperlink r:id="rId18" w:history="1">
        <w:r w:rsidR="00C5329E" w:rsidRPr="000E7BB6">
          <w:rPr>
            <w:rStyle w:val="Hyperlink"/>
            <w:rFonts w:asciiTheme="minorHAnsi" w:hAnsiTheme="minorHAnsi" w:cstheme="minorBidi"/>
          </w:rPr>
          <w:t>tsunekih@iadb.org</w:t>
        </w:r>
      </w:hyperlink>
      <w:r w:rsidR="00C5329E">
        <w:rPr>
          <w:rFonts w:asciiTheme="minorHAnsi" w:hAnsiTheme="minorHAnsi" w:cstheme="minorBidi"/>
          <w:color w:val="auto"/>
        </w:rPr>
        <w:t>.</w:t>
      </w:r>
    </w:p>
    <w:p w14:paraId="3FB70F7A" w14:textId="77777777" w:rsidR="00C5329E" w:rsidRPr="0078460F" w:rsidRDefault="00C5329E" w:rsidP="002E7B51">
      <w:pPr>
        <w:spacing w:line="320" w:lineRule="atLeast"/>
        <w:jc w:val="both"/>
        <w:rPr>
          <w:rFonts w:asciiTheme="minorHAnsi" w:hAnsiTheme="minorHAnsi" w:cstheme="minorBidi"/>
          <w:color w:val="auto"/>
        </w:rPr>
      </w:pPr>
    </w:p>
    <w:p w14:paraId="1680211F" w14:textId="77777777" w:rsidR="00F45D9C" w:rsidRPr="00AE7268" w:rsidRDefault="00F45D9C" w:rsidP="00F45D9C">
      <w:pPr>
        <w:spacing w:line="320" w:lineRule="atLeast"/>
        <w:jc w:val="both"/>
        <w:rPr>
          <w:rFonts w:asciiTheme="minorHAnsi" w:hAnsiTheme="minorHAnsi" w:cs="Times New Roman"/>
          <w:color w:val="auto"/>
        </w:rPr>
      </w:pPr>
    </w:p>
    <w:p w14:paraId="4C8351D7" w14:textId="77777777" w:rsidR="00F45D9C" w:rsidRPr="00C5329E" w:rsidRDefault="2CDD2216" w:rsidP="2CDD2216">
      <w:pPr>
        <w:spacing w:line="320" w:lineRule="atLeast"/>
        <w:jc w:val="both"/>
        <w:rPr>
          <w:rFonts w:asciiTheme="minorHAnsi" w:hAnsiTheme="minorHAnsi" w:cstheme="minorBidi"/>
          <w:color w:val="auto"/>
        </w:rPr>
      </w:pPr>
      <w:r w:rsidRPr="00C5329E">
        <w:rPr>
          <w:rFonts w:asciiTheme="minorHAnsi" w:hAnsiTheme="minorHAnsi" w:cstheme="minorBidi"/>
          <w:color w:val="auto"/>
        </w:rPr>
        <w:t>Inter-American Development Bank</w:t>
      </w:r>
    </w:p>
    <w:p w14:paraId="64E78C0E" w14:textId="6B140D35" w:rsidR="00F45D9C" w:rsidRPr="00C5329E" w:rsidRDefault="00F45D9C" w:rsidP="2CDD2216">
      <w:pPr>
        <w:spacing w:line="320" w:lineRule="atLeast"/>
        <w:jc w:val="both"/>
        <w:rPr>
          <w:rFonts w:asciiTheme="minorHAnsi" w:hAnsiTheme="minorHAnsi" w:cstheme="minorBidi"/>
          <w:color w:val="auto"/>
        </w:rPr>
      </w:pPr>
      <w:r w:rsidRPr="00C5329E">
        <w:rPr>
          <w:rFonts w:asciiTheme="minorHAnsi" w:hAnsiTheme="minorHAnsi" w:cstheme="minorBidi"/>
          <w:color w:val="auto"/>
        </w:rPr>
        <w:t xml:space="preserve">Division: </w:t>
      </w:r>
      <w:r w:rsidR="00F21068" w:rsidRPr="00C5329E">
        <w:rPr>
          <w:rFonts w:asciiTheme="minorHAnsi" w:hAnsiTheme="minorHAnsi" w:cstheme="minorBidi"/>
          <w:color w:val="auto"/>
        </w:rPr>
        <w:t>Country Office Bahamas</w:t>
      </w:r>
    </w:p>
    <w:p w14:paraId="21F4E4F5" w14:textId="7266DFCD" w:rsidR="00F45D9C" w:rsidRPr="001D45C3" w:rsidRDefault="00F45D9C" w:rsidP="2CDD2216">
      <w:pPr>
        <w:spacing w:line="320" w:lineRule="atLeast"/>
        <w:jc w:val="both"/>
        <w:rPr>
          <w:rFonts w:asciiTheme="minorHAnsi" w:hAnsiTheme="minorHAnsi" w:cstheme="minorBidi"/>
          <w:color w:val="auto"/>
          <w:lang w:val="pt-BR"/>
        </w:rPr>
      </w:pPr>
      <w:proofErr w:type="spellStart"/>
      <w:r w:rsidRPr="001D45C3">
        <w:rPr>
          <w:rFonts w:asciiTheme="minorHAnsi" w:hAnsiTheme="minorHAnsi" w:cstheme="minorBidi"/>
          <w:color w:val="auto"/>
          <w:lang w:val="pt-BR"/>
        </w:rPr>
        <w:t>Attn</w:t>
      </w:r>
      <w:proofErr w:type="spellEnd"/>
      <w:r w:rsidRPr="001D45C3">
        <w:rPr>
          <w:rFonts w:asciiTheme="minorHAnsi" w:hAnsiTheme="minorHAnsi" w:cstheme="minorBidi"/>
          <w:color w:val="auto"/>
          <w:lang w:val="pt-BR"/>
        </w:rPr>
        <w:t xml:space="preserve">: </w:t>
      </w:r>
      <w:r w:rsidR="00F21068" w:rsidRPr="001D45C3">
        <w:rPr>
          <w:rFonts w:asciiTheme="minorHAnsi" w:hAnsiTheme="minorHAnsi" w:cstheme="minorBidi"/>
          <w:color w:val="auto"/>
          <w:lang w:val="pt-BR"/>
        </w:rPr>
        <w:t>Maria Eugenia Roca</w:t>
      </w:r>
    </w:p>
    <w:p w14:paraId="4B0045BF" w14:textId="77777777" w:rsidR="00F45D9C" w:rsidRPr="001D45C3" w:rsidRDefault="00F45D9C" w:rsidP="00F45D9C">
      <w:pPr>
        <w:spacing w:line="320" w:lineRule="atLeast"/>
        <w:jc w:val="both"/>
        <w:rPr>
          <w:rFonts w:asciiTheme="minorHAnsi" w:hAnsiTheme="minorHAnsi" w:cstheme="minorBidi"/>
          <w:color w:val="auto"/>
          <w:lang w:val="pt-BR"/>
        </w:rPr>
      </w:pPr>
    </w:p>
    <w:p w14:paraId="0C7C68E9" w14:textId="60B9FA21" w:rsidR="00F45D9C" w:rsidRPr="00DD524D" w:rsidRDefault="00F45D9C" w:rsidP="2CDD2216">
      <w:pPr>
        <w:suppressAutoHyphens/>
        <w:jc w:val="both"/>
        <w:rPr>
          <w:rFonts w:asciiTheme="minorHAnsi" w:hAnsiTheme="minorHAnsi" w:cstheme="minorBidi"/>
          <w:color w:val="auto"/>
          <w:lang w:val="pt-BR"/>
        </w:rPr>
      </w:pPr>
      <w:r w:rsidRPr="00DD524D">
        <w:rPr>
          <w:rFonts w:asciiTheme="minorHAnsi" w:hAnsiTheme="minorHAnsi" w:cstheme="minorBidi"/>
          <w:color w:val="auto"/>
          <w:lang w:val="pt-BR"/>
        </w:rPr>
        <w:t xml:space="preserve">E-mail: </w:t>
      </w:r>
      <w:hyperlink r:id="rId19" w:history="1">
        <w:r w:rsidR="00C5329E" w:rsidRPr="00DD524D">
          <w:rPr>
            <w:rStyle w:val="Hyperlink"/>
            <w:rFonts w:asciiTheme="minorHAnsi" w:hAnsiTheme="minorHAnsi" w:cstheme="minorBidi"/>
            <w:lang w:val="pt-BR"/>
          </w:rPr>
          <w:t>mariaero@iadb.org</w:t>
        </w:r>
      </w:hyperlink>
    </w:p>
    <w:p w14:paraId="1BD17ACE" w14:textId="77777777" w:rsidR="00170248" w:rsidRPr="001D45C3" w:rsidRDefault="2CDD2216" w:rsidP="2CDD2216">
      <w:pPr>
        <w:spacing w:line="320" w:lineRule="atLeast"/>
        <w:jc w:val="both"/>
        <w:rPr>
          <w:rFonts w:asciiTheme="minorHAnsi" w:hAnsiTheme="minorHAnsi" w:cstheme="minorBidi"/>
          <w:color w:val="auto"/>
        </w:rPr>
      </w:pPr>
      <w:r w:rsidRPr="001D45C3">
        <w:rPr>
          <w:rFonts w:asciiTheme="minorHAnsi" w:hAnsiTheme="minorHAnsi" w:cstheme="minorBidi"/>
          <w:color w:val="auto"/>
        </w:rPr>
        <w:t xml:space="preserve">Web site: </w:t>
      </w:r>
      <w:hyperlink r:id="rId20">
        <w:r w:rsidRPr="001D45C3">
          <w:rPr>
            <w:rStyle w:val="Hyperlink"/>
            <w:rFonts w:asciiTheme="minorHAnsi" w:hAnsiTheme="minorHAnsi" w:cstheme="minorBidi"/>
          </w:rPr>
          <w:t>www.iadb.org</w:t>
        </w:r>
      </w:hyperlink>
      <w:r w:rsidRPr="001D45C3">
        <w:rPr>
          <w:rFonts w:asciiTheme="minorHAnsi" w:hAnsiTheme="minorHAnsi" w:cstheme="minorBidi"/>
          <w:color w:val="auto"/>
        </w:rPr>
        <w:t xml:space="preserve"> </w:t>
      </w:r>
    </w:p>
    <w:p w14:paraId="4E60ECBE" w14:textId="6E231854" w:rsidR="00170248" w:rsidRPr="001D45C3" w:rsidRDefault="00170248" w:rsidP="00170248">
      <w:pPr>
        <w:rPr>
          <w:rFonts w:asciiTheme="minorHAnsi" w:hAnsiTheme="minorHAnsi" w:cs="Times New Roman"/>
        </w:rPr>
      </w:pPr>
    </w:p>
    <w:p w14:paraId="53693132" w14:textId="05912D8C" w:rsidR="00CB339E" w:rsidRPr="001D45C3" w:rsidRDefault="00CB339E" w:rsidP="00170248">
      <w:pPr>
        <w:rPr>
          <w:rFonts w:asciiTheme="minorHAnsi" w:hAnsiTheme="minorHAnsi" w:cs="Times New Roman"/>
        </w:rPr>
      </w:pPr>
    </w:p>
    <w:p w14:paraId="0362085E" w14:textId="4E0C7D57" w:rsidR="00CB339E" w:rsidRDefault="00CB339E" w:rsidP="00A64F75">
      <w:pPr>
        <w:tabs>
          <w:tab w:val="left" w:pos="4275"/>
        </w:tabs>
        <w:ind w:left="450" w:hanging="90"/>
        <w:jc w:val="center"/>
        <w:rPr>
          <w:rFonts w:asciiTheme="minorHAnsi" w:hAnsiTheme="minorHAnsi" w:cs="Times New Roman"/>
          <w:b/>
          <w:bCs/>
        </w:rPr>
      </w:pPr>
      <w:r w:rsidRPr="00CB339E">
        <w:rPr>
          <w:rFonts w:asciiTheme="minorHAnsi" w:hAnsiTheme="minorHAnsi" w:cs="Times New Roman"/>
          <w:b/>
          <w:bCs/>
        </w:rPr>
        <w:t xml:space="preserve">Draft summary of </w:t>
      </w:r>
      <w:r w:rsidR="00A64F75">
        <w:rPr>
          <w:rFonts w:asciiTheme="minorHAnsi" w:hAnsiTheme="minorHAnsi" w:cs="Times New Roman"/>
          <w:b/>
          <w:bCs/>
        </w:rPr>
        <w:t xml:space="preserve">Terms of Reference </w:t>
      </w:r>
    </w:p>
    <w:p w14:paraId="50314BD8" w14:textId="77777777" w:rsidR="00A64F75" w:rsidRDefault="00A64F75" w:rsidP="00A64F75">
      <w:pPr>
        <w:tabs>
          <w:tab w:val="left" w:pos="4275"/>
        </w:tabs>
        <w:ind w:left="450" w:hanging="90"/>
        <w:jc w:val="center"/>
        <w:rPr>
          <w:rFonts w:asciiTheme="minorHAnsi" w:hAnsiTheme="minorHAnsi" w:cs="Times New Roman"/>
          <w:b/>
          <w:bCs/>
        </w:rPr>
      </w:pPr>
    </w:p>
    <w:p w14:paraId="6C62416C" w14:textId="6D80DC42" w:rsidR="00CB339E" w:rsidRPr="00CB339E" w:rsidRDefault="00CB339E" w:rsidP="00D0580F">
      <w:pPr>
        <w:widowControl/>
        <w:numPr>
          <w:ilvl w:val="0"/>
          <w:numId w:val="2"/>
        </w:numPr>
        <w:autoSpaceDE/>
        <w:autoSpaceDN/>
        <w:adjustRightInd/>
        <w:spacing w:after="200" w:line="276" w:lineRule="auto"/>
        <w:ind w:left="1170"/>
        <w:jc w:val="both"/>
        <w:rPr>
          <w:rFonts w:asciiTheme="minorHAnsi" w:eastAsiaTheme="minorHAnsi" w:hAnsiTheme="minorHAnsi" w:cstheme="minorHAnsi"/>
          <w:b/>
          <w:color w:val="auto"/>
          <w:sz w:val="22"/>
          <w:szCs w:val="22"/>
          <w:lang w:eastAsia="en-US"/>
        </w:rPr>
      </w:pPr>
      <w:r w:rsidRPr="00CB339E">
        <w:rPr>
          <w:rFonts w:asciiTheme="minorHAnsi" w:eastAsiaTheme="minorHAnsi" w:hAnsiTheme="minorHAnsi" w:cstheme="minorHAnsi"/>
          <w:b/>
          <w:color w:val="auto"/>
          <w:sz w:val="22"/>
          <w:szCs w:val="22"/>
          <w:lang w:eastAsia="en-US"/>
        </w:rPr>
        <w:t>Main Activities</w:t>
      </w:r>
    </w:p>
    <w:p w14:paraId="1074C40C" w14:textId="77777777" w:rsidR="00CB339E" w:rsidRPr="00CB339E" w:rsidRDefault="00CB339E" w:rsidP="00D0580F">
      <w:pPr>
        <w:widowControl/>
        <w:autoSpaceDE/>
        <w:autoSpaceDN/>
        <w:adjustRightInd/>
        <w:ind w:left="450"/>
        <w:jc w:val="both"/>
        <w:rPr>
          <w:rFonts w:asciiTheme="minorHAnsi" w:eastAsiaTheme="minorHAnsi" w:hAnsiTheme="minorHAnsi" w:cstheme="minorHAnsi"/>
          <w:b/>
          <w:color w:val="auto"/>
          <w:sz w:val="22"/>
          <w:szCs w:val="22"/>
          <w:lang w:eastAsia="en-US"/>
        </w:rPr>
      </w:pPr>
    </w:p>
    <w:p w14:paraId="6A91C4EB" w14:textId="77777777" w:rsidR="00CB339E" w:rsidRPr="00CB339E" w:rsidRDefault="00CB339E" w:rsidP="00D0580F">
      <w:pPr>
        <w:widowControl/>
        <w:numPr>
          <w:ilvl w:val="1"/>
          <w:numId w:val="3"/>
        </w:numPr>
        <w:autoSpaceDE/>
        <w:autoSpaceDN/>
        <w:adjustRightInd/>
        <w:spacing w:after="200" w:line="276" w:lineRule="auto"/>
        <w:ind w:left="810"/>
        <w:jc w:val="both"/>
        <w:rPr>
          <w:rFonts w:asciiTheme="minorHAnsi" w:eastAsiaTheme="minorHAnsi" w:hAnsiTheme="minorHAnsi" w:cstheme="minorHAnsi"/>
          <w:bCs/>
          <w:color w:val="auto"/>
          <w:sz w:val="22"/>
          <w:szCs w:val="22"/>
          <w:lang w:eastAsia="en-US"/>
        </w:rPr>
      </w:pPr>
      <w:r w:rsidRPr="00CB339E">
        <w:rPr>
          <w:rFonts w:asciiTheme="minorHAnsi" w:hAnsiTheme="minorHAnsi" w:cstheme="minorHAnsi"/>
          <w:bCs/>
          <w:color w:val="auto"/>
          <w:sz w:val="22"/>
          <w:szCs w:val="22"/>
          <w:lang w:eastAsia="ja-JP"/>
        </w:rPr>
        <w:t xml:space="preserve">The activities of this consultancy will include: </w:t>
      </w:r>
    </w:p>
    <w:p w14:paraId="25600CF8" w14:textId="77777777"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color w:val="auto"/>
          <w:sz w:val="22"/>
          <w:szCs w:val="22"/>
          <w:lang w:eastAsia="en-US"/>
        </w:rPr>
        <w:t>Work Plan</w:t>
      </w:r>
      <w:r w:rsidRPr="00CB339E">
        <w:rPr>
          <w:rFonts w:asciiTheme="minorHAnsi" w:eastAsiaTheme="minorHAnsi" w:hAnsiTheme="minorHAnsi" w:cstheme="minorHAnsi"/>
          <w:bCs/>
          <w:color w:val="auto"/>
          <w:sz w:val="22"/>
          <w:szCs w:val="22"/>
          <w:lang w:eastAsia="en-US"/>
        </w:rPr>
        <w:t xml:space="preserve">. The </w:t>
      </w:r>
      <w:r w:rsidRPr="00CB339E">
        <w:rPr>
          <w:rFonts w:asciiTheme="minorHAnsi" w:hAnsiTheme="minorHAnsi" w:cstheme="minorHAnsi"/>
          <w:bCs/>
          <w:color w:val="auto"/>
          <w:sz w:val="22"/>
          <w:szCs w:val="22"/>
          <w:lang w:eastAsia="ja-JP"/>
        </w:rPr>
        <w:t>Fi</w:t>
      </w:r>
      <w:r w:rsidRPr="00CB339E">
        <w:rPr>
          <w:rFonts w:asciiTheme="minorHAnsi" w:eastAsiaTheme="minorHAnsi" w:hAnsiTheme="minorHAnsi" w:cstheme="minorHAnsi"/>
          <w:bCs/>
          <w:color w:val="auto"/>
          <w:sz w:val="22"/>
          <w:szCs w:val="22"/>
          <w:lang w:eastAsia="en-US"/>
        </w:rPr>
        <w:t xml:space="preserve">rm will prepare, in consultation with the IDB and the national </w:t>
      </w:r>
      <w:r w:rsidRPr="00CB339E">
        <w:rPr>
          <w:rFonts w:asciiTheme="minorHAnsi" w:hAnsiTheme="minorHAnsi" w:cstheme="minorHAnsi"/>
          <w:bCs/>
          <w:color w:val="auto"/>
          <w:sz w:val="22"/>
          <w:szCs w:val="22"/>
          <w:lang w:eastAsia="ja-JP"/>
        </w:rPr>
        <w:t xml:space="preserve">authorities, </w:t>
      </w:r>
      <w:r w:rsidRPr="00CB339E">
        <w:rPr>
          <w:rFonts w:asciiTheme="minorHAnsi" w:eastAsiaTheme="minorHAnsi" w:hAnsiTheme="minorHAnsi" w:cstheme="minorHAnsi"/>
          <w:bCs/>
          <w:color w:val="auto"/>
          <w:sz w:val="22"/>
          <w:szCs w:val="22"/>
          <w:lang w:eastAsia="en-US"/>
        </w:rPr>
        <w:t>the work plan, including:</w:t>
      </w:r>
    </w:p>
    <w:p w14:paraId="70DE5D15" w14:textId="77777777" w:rsidR="00CB339E" w:rsidRPr="00CB339E" w:rsidRDefault="00CB339E" w:rsidP="00D0580F">
      <w:pPr>
        <w:widowControl/>
        <w:numPr>
          <w:ilvl w:val="0"/>
          <w:numId w:val="5"/>
        </w:numPr>
        <w:autoSpaceDE/>
        <w:autoSpaceDN/>
        <w:adjustRightInd/>
        <w:spacing w:after="200" w:line="276" w:lineRule="auto"/>
        <w:ind w:left="189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Cs/>
          <w:color w:val="auto"/>
          <w:sz w:val="22"/>
          <w:szCs w:val="22"/>
          <w:lang w:eastAsia="en-US"/>
        </w:rPr>
        <w:t>Description of the conceptual framework of this consultancy, as well as a detailed/concrete methodology for each study process (data collection, data and information analysis, and the process/criteria for data/information compile).</w:t>
      </w:r>
    </w:p>
    <w:p w14:paraId="00366BEE" w14:textId="0266E0B7" w:rsidR="0043116C" w:rsidRPr="00CB339E" w:rsidRDefault="00CB339E" w:rsidP="0043116C">
      <w:pPr>
        <w:widowControl/>
        <w:numPr>
          <w:ilvl w:val="0"/>
          <w:numId w:val="5"/>
        </w:numPr>
        <w:autoSpaceDE/>
        <w:autoSpaceDN/>
        <w:adjustRightInd/>
        <w:spacing w:after="200" w:line="276" w:lineRule="auto"/>
        <w:ind w:left="189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Cs/>
          <w:color w:val="auto"/>
          <w:sz w:val="22"/>
          <w:szCs w:val="22"/>
          <w:lang w:eastAsia="en-US"/>
        </w:rPr>
        <w:t>Implementation schedule, including estimated delivery date and workshops/meetings to validate and disseminate all the process and result of this consultancy (note: All WSs/meetings will be held through virtual communication platform (e.g., Zoom) and organized jointly with the Firm, the IDB and the national authorities).</w:t>
      </w:r>
    </w:p>
    <w:p w14:paraId="011E9AAF" w14:textId="77777777"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color w:val="auto"/>
          <w:sz w:val="22"/>
          <w:szCs w:val="22"/>
          <w:lang w:eastAsia="en-US"/>
        </w:rPr>
        <w:t>Identify existing climate hazard and risk study</w:t>
      </w:r>
      <w:r w:rsidRPr="00CB339E">
        <w:rPr>
          <w:rFonts w:asciiTheme="minorHAnsi" w:eastAsiaTheme="minorHAnsi" w:hAnsiTheme="minorHAnsi" w:cstheme="minorHAnsi"/>
          <w:color w:val="auto"/>
          <w:sz w:val="22"/>
          <w:szCs w:val="22"/>
          <w:lang w:eastAsia="en-US"/>
        </w:rPr>
        <w:t xml:space="preserve"> (focusing on hurricane wind/rain/storm surges) through literature review and interviews to the national stakeholders including: NEMA, Met Office, </w:t>
      </w:r>
      <w:r w:rsidRPr="00CB339E">
        <w:rPr>
          <w:rFonts w:asciiTheme="minorHAnsi" w:eastAsiaTheme="minorHAnsi" w:hAnsiTheme="minorHAnsi" w:cstheme="minorHAnsi"/>
          <w:color w:val="auto"/>
          <w:sz w:val="22"/>
          <w:szCs w:val="22"/>
          <w:lang w:eastAsia="en-US"/>
        </w:rPr>
        <w:lastRenderedPageBreak/>
        <w:t xml:space="preserve">MOPW, DRA and MODPMR. List all existing studies within the past 10 years categorizing into: study models used, datasets used, results obtained, and existence of GIS-based hazard/risk maps. Confirm and validate the list of existing studies with the main </w:t>
      </w:r>
      <w:proofErr w:type="spellStart"/>
      <w:r w:rsidRPr="00CB339E">
        <w:rPr>
          <w:rFonts w:asciiTheme="minorHAnsi" w:eastAsiaTheme="minorHAnsi" w:hAnsiTheme="minorHAnsi" w:cstheme="minorHAnsi"/>
          <w:color w:val="auto"/>
          <w:sz w:val="22"/>
          <w:szCs w:val="22"/>
          <w:lang w:eastAsia="en-US"/>
        </w:rPr>
        <w:t>GoBH</w:t>
      </w:r>
      <w:proofErr w:type="spellEnd"/>
      <w:r w:rsidRPr="00CB339E">
        <w:rPr>
          <w:rFonts w:asciiTheme="minorHAnsi" w:eastAsiaTheme="minorHAnsi" w:hAnsiTheme="minorHAnsi" w:cstheme="minorHAnsi"/>
          <w:color w:val="auto"/>
          <w:sz w:val="22"/>
          <w:szCs w:val="22"/>
          <w:lang w:eastAsia="en-US"/>
        </w:rPr>
        <w:t xml:space="preserve"> stakeholders. </w:t>
      </w:r>
    </w:p>
    <w:p w14:paraId="0E20EB91" w14:textId="77777777"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color w:val="auto"/>
          <w:sz w:val="22"/>
          <w:szCs w:val="22"/>
          <w:lang w:eastAsia="en-US"/>
        </w:rPr>
        <w:t>Compile</w:t>
      </w:r>
      <w:r w:rsidRPr="00CB339E">
        <w:rPr>
          <w:rFonts w:asciiTheme="minorHAnsi" w:eastAsiaTheme="minorHAnsi" w:hAnsiTheme="minorHAnsi" w:cstheme="minorHAnsi"/>
          <w:color w:val="auto"/>
          <w:sz w:val="22"/>
          <w:szCs w:val="22"/>
          <w:lang w:eastAsia="en-US"/>
        </w:rPr>
        <w:t xml:space="preserve">, as much as possible, existing studies as a current comprehensive </w:t>
      </w:r>
      <w:proofErr w:type="spellStart"/>
      <w:r w:rsidRPr="00CB339E">
        <w:rPr>
          <w:rFonts w:asciiTheme="minorHAnsi" w:eastAsiaTheme="minorHAnsi" w:hAnsiTheme="minorHAnsi" w:cstheme="minorHAnsi"/>
          <w:color w:val="auto"/>
          <w:sz w:val="22"/>
          <w:szCs w:val="22"/>
          <w:lang w:eastAsia="en-US"/>
        </w:rPr>
        <w:t>GoBH’s</w:t>
      </w:r>
      <w:proofErr w:type="spellEnd"/>
      <w:r w:rsidRPr="00CB339E">
        <w:rPr>
          <w:rFonts w:asciiTheme="minorHAnsi" w:eastAsiaTheme="minorHAnsi" w:hAnsiTheme="minorHAnsi" w:cstheme="minorHAnsi"/>
          <w:color w:val="auto"/>
          <w:sz w:val="22"/>
          <w:szCs w:val="22"/>
          <w:lang w:eastAsia="en-US"/>
        </w:rPr>
        <w:t xml:space="preserve"> official climate hazard and risk assessment </w:t>
      </w:r>
      <w:r w:rsidRPr="00CB339E">
        <w:rPr>
          <w:rFonts w:asciiTheme="minorHAnsi" w:eastAsiaTheme="minorHAnsi" w:hAnsiTheme="minorHAnsi" w:cstheme="minorHAnsi"/>
          <w:b/>
          <w:bCs/>
          <w:color w:val="auto"/>
          <w:sz w:val="22"/>
          <w:szCs w:val="22"/>
          <w:lang w:eastAsia="en-US"/>
        </w:rPr>
        <w:t>to estimate officially a probable maximum intensity of climate event (in terms of wind speed, storm surge height, and exposed area of flooding under several return periods), and expected maximum physical</w:t>
      </w:r>
      <w:r w:rsidRPr="00CB339E">
        <w:rPr>
          <w:rFonts w:asciiTheme="minorHAnsi" w:hAnsiTheme="minorHAnsi" w:cstheme="minorHAnsi"/>
          <w:b/>
          <w:bCs/>
          <w:color w:val="auto"/>
          <w:sz w:val="22"/>
          <w:szCs w:val="22"/>
          <w:lang w:eastAsia="ja-JP"/>
        </w:rPr>
        <w:t xml:space="preserve"> infrastructure damage, economic losses and social/human impacts</w:t>
      </w:r>
      <w:r w:rsidRPr="00CB339E">
        <w:rPr>
          <w:rFonts w:asciiTheme="minorHAnsi" w:hAnsiTheme="minorHAnsi" w:cstheme="minorHAnsi"/>
          <w:bCs/>
          <w:color w:val="auto"/>
          <w:sz w:val="22"/>
          <w:szCs w:val="22"/>
          <w:lang w:eastAsia="ja-JP"/>
        </w:rPr>
        <w:t xml:space="preserve"> (Note: </w:t>
      </w:r>
      <w:r w:rsidRPr="00CB339E">
        <w:rPr>
          <w:rFonts w:asciiTheme="minorHAnsi" w:eastAsiaTheme="minorHAnsi" w:hAnsiTheme="minorHAnsi" w:cstheme="minorHAnsi"/>
          <w:bCs/>
          <w:color w:val="auto"/>
          <w:sz w:val="22"/>
          <w:szCs w:val="22"/>
          <w:lang w:eastAsia="en-US"/>
        </w:rPr>
        <w:t xml:space="preserve">this calculation will include the maximum probable loss and </w:t>
      </w:r>
      <w:r w:rsidRPr="00CB339E">
        <w:rPr>
          <w:rFonts w:asciiTheme="minorHAnsi" w:hAnsiTheme="minorHAnsi" w:cstheme="minorHAnsi"/>
          <w:bCs/>
          <w:color w:val="auto"/>
          <w:sz w:val="22"/>
          <w:szCs w:val="22"/>
          <w:lang w:eastAsia="ja-JP"/>
        </w:rPr>
        <w:t xml:space="preserve">average </w:t>
      </w:r>
      <w:r w:rsidRPr="00CB339E">
        <w:rPr>
          <w:rFonts w:asciiTheme="minorHAnsi" w:eastAsiaTheme="minorHAnsi" w:hAnsiTheme="minorHAnsi" w:cstheme="minorHAnsi"/>
          <w:bCs/>
          <w:color w:val="auto"/>
          <w:sz w:val="22"/>
          <w:szCs w:val="22"/>
          <w:lang w:eastAsia="en-US"/>
        </w:rPr>
        <w:t xml:space="preserve">annual loss </w:t>
      </w:r>
      <w:r w:rsidRPr="00CB339E">
        <w:rPr>
          <w:rFonts w:asciiTheme="minorHAnsi" w:hAnsiTheme="minorHAnsi" w:cstheme="minorHAnsi"/>
          <w:bCs/>
          <w:color w:val="auto"/>
          <w:sz w:val="22"/>
          <w:szCs w:val="22"/>
          <w:lang w:eastAsia="ja-JP"/>
        </w:rPr>
        <w:t xml:space="preserve">of each target hazard </w:t>
      </w:r>
      <w:r w:rsidRPr="00CB339E">
        <w:rPr>
          <w:rFonts w:asciiTheme="minorHAnsi" w:eastAsiaTheme="minorHAnsi" w:hAnsiTheme="minorHAnsi" w:cstheme="minorHAnsi"/>
          <w:bCs/>
          <w:color w:val="auto"/>
          <w:sz w:val="22"/>
          <w:szCs w:val="22"/>
          <w:lang w:eastAsia="en-US"/>
        </w:rPr>
        <w:t xml:space="preserve">with </w:t>
      </w:r>
      <w:r w:rsidRPr="00CB339E">
        <w:rPr>
          <w:rFonts w:asciiTheme="minorHAnsi" w:hAnsiTheme="minorHAnsi" w:cstheme="minorHAnsi"/>
          <w:bCs/>
          <w:color w:val="auto"/>
          <w:sz w:val="22"/>
          <w:szCs w:val="22"/>
          <w:lang w:eastAsia="ja-JP"/>
        </w:rPr>
        <w:t xml:space="preserve">some </w:t>
      </w:r>
      <w:r w:rsidRPr="00CB339E">
        <w:rPr>
          <w:rFonts w:asciiTheme="minorHAnsi" w:eastAsiaTheme="minorHAnsi" w:hAnsiTheme="minorHAnsi" w:cstheme="minorHAnsi"/>
          <w:bCs/>
          <w:color w:val="auto"/>
          <w:sz w:val="22"/>
          <w:szCs w:val="22"/>
          <w:lang w:eastAsia="en-US"/>
        </w:rPr>
        <w:t xml:space="preserve">return periods </w:t>
      </w:r>
      <w:r w:rsidRPr="00CB339E">
        <w:rPr>
          <w:rFonts w:asciiTheme="minorHAnsi" w:hAnsiTheme="minorHAnsi" w:cstheme="minorHAnsi"/>
          <w:bCs/>
          <w:color w:val="auto"/>
          <w:sz w:val="22"/>
          <w:szCs w:val="22"/>
          <w:lang w:eastAsia="ja-JP"/>
        </w:rPr>
        <w:t xml:space="preserve">(for example </w:t>
      </w:r>
      <w:r w:rsidRPr="00CB339E">
        <w:rPr>
          <w:rFonts w:asciiTheme="minorHAnsi" w:eastAsiaTheme="minorHAnsi" w:hAnsiTheme="minorHAnsi" w:cstheme="minorHAnsi"/>
          <w:bCs/>
          <w:color w:val="auto"/>
          <w:sz w:val="22"/>
          <w:szCs w:val="22"/>
          <w:lang w:eastAsia="en-US"/>
        </w:rPr>
        <w:t>20, 50, 100 and 200 years</w:t>
      </w:r>
      <w:r w:rsidRPr="00CB339E">
        <w:rPr>
          <w:rFonts w:asciiTheme="minorHAnsi" w:hAnsiTheme="minorHAnsi" w:cstheme="minorHAnsi"/>
          <w:bCs/>
          <w:color w:val="auto"/>
          <w:sz w:val="22"/>
          <w:szCs w:val="22"/>
          <w:lang w:eastAsia="ja-JP"/>
        </w:rPr>
        <w:t xml:space="preserve">). May incorporate (with or without) the IPCC Climate Change Scenarios), </w:t>
      </w:r>
      <w:r w:rsidRPr="00CB339E">
        <w:rPr>
          <w:rFonts w:asciiTheme="minorHAnsi" w:eastAsiaTheme="minorHAnsi" w:hAnsiTheme="minorHAnsi" w:cstheme="minorHAnsi"/>
          <w:b/>
          <w:bCs/>
          <w:color w:val="auto"/>
          <w:sz w:val="22"/>
          <w:szCs w:val="22"/>
          <w:lang w:eastAsia="en-US"/>
        </w:rPr>
        <w:t>socio/economic losses</w:t>
      </w:r>
      <w:r w:rsidRPr="00CB339E">
        <w:rPr>
          <w:rFonts w:asciiTheme="minorHAnsi" w:eastAsiaTheme="minorHAnsi" w:hAnsiTheme="minorHAnsi" w:cstheme="minorHAnsi"/>
          <w:color w:val="auto"/>
          <w:sz w:val="22"/>
          <w:szCs w:val="22"/>
          <w:lang w:eastAsia="en-US"/>
        </w:rPr>
        <w:t xml:space="preserve"> that should be considered as reference for national/local development planning scenarios (note: this assessment will focus on hurricane wind and storm surges). Prepare GIS-based hazard and risk georeferenced data and maps (as inputs for the bullet e.). Develop a technical report as the result of the compiled climate hazard and risk assessment.</w:t>
      </w:r>
    </w:p>
    <w:p w14:paraId="1FF9D1CD" w14:textId="77777777"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color w:val="auto"/>
          <w:sz w:val="22"/>
          <w:szCs w:val="22"/>
          <w:lang w:eastAsia="en-US"/>
        </w:rPr>
        <w:t xml:space="preserve">A workshop </w:t>
      </w:r>
      <w:r w:rsidRPr="00CB339E">
        <w:rPr>
          <w:rFonts w:asciiTheme="minorHAnsi" w:eastAsiaTheme="minorHAnsi" w:hAnsiTheme="minorHAnsi" w:cstheme="minorHAnsi"/>
          <w:color w:val="auto"/>
          <w:sz w:val="22"/>
          <w:szCs w:val="22"/>
          <w:lang w:eastAsia="en-US"/>
        </w:rPr>
        <w:t xml:space="preserve">will be organized to validate and disseminate the results of this assessment. Modify the result of the study (related to the bullet point c.) when necessary. </w:t>
      </w:r>
    </w:p>
    <w:p w14:paraId="4DF26653" w14:textId="7E950D3A"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sz w:val="22"/>
          <w:szCs w:val="22"/>
          <w:lang w:eastAsia="en-US"/>
        </w:rPr>
        <w:t xml:space="preserve">Develop, or update </w:t>
      </w:r>
      <w:r w:rsidR="00F21068" w:rsidRPr="00CB339E">
        <w:rPr>
          <w:rFonts w:asciiTheme="minorHAnsi" w:eastAsiaTheme="minorHAnsi" w:hAnsiTheme="minorHAnsi" w:cstheme="minorHAnsi"/>
          <w:b/>
          <w:bCs/>
          <w:sz w:val="22"/>
          <w:szCs w:val="22"/>
          <w:lang w:eastAsia="en-US"/>
        </w:rPr>
        <w:t>the web</w:t>
      </w:r>
      <w:r w:rsidRPr="00CB339E">
        <w:rPr>
          <w:rFonts w:asciiTheme="minorHAnsi" w:eastAsiaTheme="minorHAnsi" w:hAnsiTheme="minorHAnsi" w:cstheme="minorHAnsi"/>
          <w:b/>
          <w:bCs/>
          <w:sz w:val="22"/>
          <w:szCs w:val="22"/>
          <w:lang w:eastAsia="en-US"/>
        </w:rPr>
        <w:t xml:space="preserve">-based “National Hazard </w:t>
      </w:r>
      <w:r w:rsidR="00AA400D" w:rsidRPr="00CB339E">
        <w:rPr>
          <w:rFonts w:asciiTheme="minorHAnsi" w:eastAsiaTheme="minorHAnsi" w:hAnsiTheme="minorHAnsi" w:cstheme="minorHAnsi"/>
          <w:b/>
          <w:bCs/>
          <w:sz w:val="22"/>
          <w:szCs w:val="22"/>
          <w:lang w:eastAsia="en-US"/>
        </w:rPr>
        <w:t>and</w:t>
      </w:r>
      <w:r w:rsidRPr="00CB339E">
        <w:rPr>
          <w:rFonts w:asciiTheme="minorHAnsi" w:eastAsiaTheme="minorHAnsi" w:hAnsiTheme="minorHAnsi" w:cstheme="minorHAnsi"/>
          <w:b/>
          <w:bCs/>
          <w:sz w:val="22"/>
          <w:szCs w:val="22"/>
          <w:lang w:eastAsia="en-US"/>
        </w:rPr>
        <w:t xml:space="preserve"> Hurricane Risk Catalog”</w:t>
      </w:r>
      <w:r w:rsidRPr="00CB339E">
        <w:rPr>
          <w:rFonts w:asciiTheme="minorHAnsi" w:eastAsiaTheme="minorHAnsi" w:hAnsiTheme="minorHAnsi" w:cstheme="minorHAnsi"/>
          <w:sz w:val="22"/>
          <w:szCs w:val="22"/>
          <w:lang w:eastAsia="en-US"/>
        </w:rPr>
        <w:t xml:space="preserve"> in coordination between </w:t>
      </w:r>
      <w:proofErr w:type="spellStart"/>
      <w:r w:rsidRPr="00CB339E">
        <w:rPr>
          <w:rFonts w:asciiTheme="minorHAnsi" w:eastAsia="Arial" w:hAnsiTheme="minorHAnsi" w:cstheme="minorHAnsi"/>
          <w:color w:val="auto"/>
          <w:sz w:val="22"/>
          <w:szCs w:val="22"/>
          <w:lang w:eastAsia="en-US"/>
        </w:rPr>
        <w:t>MoDPMR</w:t>
      </w:r>
      <w:proofErr w:type="spellEnd"/>
      <w:r w:rsidRPr="00CB339E">
        <w:rPr>
          <w:rFonts w:asciiTheme="minorHAnsi" w:eastAsia="Arial" w:hAnsiTheme="minorHAnsi" w:cstheme="minorHAnsi"/>
          <w:color w:val="auto"/>
          <w:sz w:val="22"/>
          <w:szCs w:val="22"/>
          <w:lang w:eastAsia="en-US"/>
        </w:rPr>
        <w:t xml:space="preserve">, NEMA, Met Office, MOPW and Bahamas National Geographic Information Systems (BNGIS) under the Ministry of The Environment and Housing (an institution that remains the national GIS-based metadata catalog </w:t>
      </w:r>
      <w:r w:rsidRPr="00CB339E">
        <w:rPr>
          <w:rFonts w:asciiTheme="minorHAnsi" w:eastAsiaTheme="minorHAnsi" w:hAnsiTheme="minorHAnsi" w:cstheme="minorHAnsi"/>
          <w:sz w:val="22"/>
          <w:szCs w:val="22"/>
          <w:lang w:eastAsia="en-US"/>
        </w:rPr>
        <w:t>holdings and coverages)</w:t>
      </w:r>
      <w:r w:rsidRPr="00CB339E">
        <w:rPr>
          <w:rFonts w:asciiTheme="minorHAnsi" w:eastAsia="Arial" w:hAnsiTheme="minorHAnsi" w:cstheme="minorHAnsi"/>
          <w:color w:val="auto"/>
          <w:sz w:val="22"/>
          <w:szCs w:val="22"/>
          <w:lang w:eastAsia="en-US"/>
        </w:rPr>
        <w:t xml:space="preserve">. This catalog database will allow access to all national, </w:t>
      </w:r>
      <w:r w:rsidR="00AA400D" w:rsidRPr="00CB339E">
        <w:rPr>
          <w:rFonts w:asciiTheme="minorHAnsi" w:eastAsia="Arial" w:hAnsiTheme="minorHAnsi" w:cstheme="minorHAnsi"/>
          <w:color w:val="auto"/>
          <w:sz w:val="22"/>
          <w:szCs w:val="22"/>
          <w:lang w:eastAsia="en-US"/>
        </w:rPr>
        <w:t>local,</w:t>
      </w:r>
      <w:r w:rsidRPr="00CB339E">
        <w:rPr>
          <w:rFonts w:asciiTheme="minorHAnsi" w:eastAsia="Arial" w:hAnsiTheme="minorHAnsi" w:cstheme="minorHAnsi"/>
          <w:color w:val="auto"/>
          <w:sz w:val="22"/>
          <w:szCs w:val="22"/>
          <w:lang w:eastAsia="en-US"/>
        </w:rPr>
        <w:t xml:space="preserve"> and civil societies and organizations in the country. </w:t>
      </w:r>
    </w:p>
    <w:p w14:paraId="674C4CDD" w14:textId="314EDD50" w:rsidR="00CB339E" w:rsidRP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Arial" w:hAnsiTheme="minorHAnsi" w:cstheme="minorHAnsi"/>
          <w:b/>
          <w:bCs/>
          <w:color w:val="auto"/>
          <w:sz w:val="22"/>
          <w:szCs w:val="22"/>
          <w:lang w:eastAsia="en-US"/>
        </w:rPr>
        <w:t>E</w:t>
      </w:r>
      <w:r w:rsidRPr="00CB339E">
        <w:rPr>
          <w:rFonts w:asciiTheme="minorHAnsi" w:eastAsiaTheme="minorHAnsi" w:hAnsiTheme="minorHAnsi" w:cstheme="minorHAnsi"/>
          <w:b/>
          <w:bCs/>
          <w:color w:val="auto"/>
          <w:sz w:val="22"/>
          <w:szCs w:val="22"/>
          <w:lang w:eastAsia="en-US"/>
        </w:rPr>
        <w:t>valuate the quality of available study</w:t>
      </w:r>
      <w:r w:rsidRPr="00CB339E">
        <w:rPr>
          <w:rFonts w:asciiTheme="minorHAnsi" w:eastAsiaTheme="minorHAnsi" w:hAnsiTheme="minorHAnsi" w:cstheme="minorHAnsi"/>
          <w:color w:val="auto"/>
          <w:sz w:val="22"/>
          <w:szCs w:val="22"/>
          <w:lang w:eastAsia="en-US"/>
        </w:rPr>
        <w:t xml:space="preserve"> results, </w:t>
      </w:r>
      <w:r w:rsidR="00AA400D" w:rsidRPr="00CB339E">
        <w:rPr>
          <w:rFonts w:asciiTheme="minorHAnsi" w:eastAsiaTheme="minorHAnsi" w:hAnsiTheme="minorHAnsi" w:cstheme="minorHAnsi"/>
          <w:color w:val="auto"/>
          <w:sz w:val="22"/>
          <w:szCs w:val="22"/>
          <w:lang w:eastAsia="en-US"/>
        </w:rPr>
        <w:t>models,</w:t>
      </w:r>
      <w:r w:rsidRPr="00CB339E">
        <w:rPr>
          <w:rFonts w:asciiTheme="minorHAnsi" w:eastAsiaTheme="minorHAnsi" w:hAnsiTheme="minorHAnsi" w:cstheme="minorHAnsi"/>
          <w:color w:val="auto"/>
          <w:sz w:val="22"/>
          <w:szCs w:val="22"/>
          <w:lang w:eastAsia="en-US"/>
        </w:rPr>
        <w:t xml:space="preserve"> and data to assess if existing information is accurate under the criteria </w:t>
      </w:r>
      <w:r w:rsidR="00AA400D" w:rsidRPr="00CB339E">
        <w:rPr>
          <w:rFonts w:asciiTheme="minorHAnsi" w:eastAsiaTheme="minorHAnsi" w:hAnsiTheme="minorHAnsi" w:cstheme="minorHAnsi"/>
          <w:color w:val="auto"/>
          <w:sz w:val="22"/>
          <w:szCs w:val="22"/>
          <w:lang w:eastAsia="en-US"/>
        </w:rPr>
        <w:t>of</w:t>
      </w:r>
      <w:r w:rsidRPr="00CB339E">
        <w:rPr>
          <w:rFonts w:asciiTheme="minorHAnsi" w:eastAsiaTheme="minorHAnsi" w:hAnsiTheme="minorHAnsi" w:cstheme="minorHAnsi"/>
          <w:color w:val="auto"/>
          <w:sz w:val="22"/>
          <w:szCs w:val="22"/>
          <w:lang w:eastAsia="en-US"/>
        </w:rPr>
        <w:t xml:space="preserve"> quality of digital elevation models, bathymetric models, wave and currents, wind hazard, storm surge hazard, torrential rain hazard, coastal erosion, geographical coverage, whether </w:t>
      </w:r>
      <w:r w:rsidRPr="00CB339E">
        <w:rPr>
          <w:rFonts w:asciiTheme="minorHAnsi" w:eastAsiaTheme="minorHAnsi" w:hAnsiTheme="minorHAnsi" w:cstheme="minorHAnsi"/>
          <w:sz w:val="22"/>
          <w:szCs w:val="22"/>
          <w:lang w:eastAsia="en-US"/>
        </w:rPr>
        <w:t>Climate Change scenarios are sufficiently incorporated</w:t>
      </w:r>
      <w:r w:rsidRPr="00CB339E">
        <w:rPr>
          <w:rFonts w:asciiTheme="minorHAnsi" w:eastAsiaTheme="minorHAnsi" w:hAnsiTheme="minorHAnsi" w:cstheme="minorHAnsi"/>
          <w:color w:val="auto"/>
          <w:sz w:val="22"/>
          <w:szCs w:val="22"/>
          <w:lang w:eastAsia="en-US"/>
        </w:rPr>
        <w:t xml:space="preserve">. Assess whether the existing data/study results are developed under sufficient resolution to support future resilient buildings (or disaster preparedness, response, and mitigation planning). Prepare a short report to clarify the current challenges and opportunities for a better quality of the climate hazard and risk assessment in future. </w:t>
      </w:r>
    </w:p>
    <w:p w14:paraId="0FDFC991" w14:textId="2186CB98" w:rsidR="00CB339E" w:rsidRDefault="00CB339E" w:rsidP="00D0580F">
      <w:pPr>
        <w:widowControl/>
        <w:numPr>
          <w:ilvl w:val="0"/>
          <w:numId w:val="4"/>
        </w:numPr>
        <w:autoSpaceDE/>
        <w:autoSpaceDN/>
        <w:adjustRightInd/>
        <w:spacing w:after="200" w:line="276" w:lineRule="auto"/>
        <w:ind w:left="1530"/>
        <w:contextualSpacing/>
        <w:jc w:val="both"/>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
          <w:bCs/>
          <w:color w:val="auto"/>
          <w:sz w:val="22"/>
          <w:szCs w:val="22"/>
          <w:lang w:eastAsia="en-US"/>
        </w:rPr>
        <w:t>Develop an action plan</w:t>
      </w:r>
      <w:r w:rsidRPr="00CB339E">
        <w:rPr>
          <w:rFonts w:asciiTheme="minorHAnsi" w:eastAsiaTheme="minorHAnsi" w:hAnsiTheme="minorHAnsi" w:cstheme="minorHAnsi"/>
          <w:color w:val="auto"/>
          <w:sz w:val="22"/>
          <w:szCs w:val="22"/>
          <w:lang w:eastAsia="en-US"/>
        </w:rPr>
        <w:t xml:space="preserve"> including a draft unified methodological framework, standard and guidelines for producing consistent National hazard and risk studies maps for various uses including both </w:t>
      </w:r>
      <w:r w:rsidRPr="00CB339E">
        <w:rPr>
          <w:rFonts w:asciiTheme="minorHAnsi" w:eastAsiaTheme="minorHAnsi" w:hAnsiTheme="minorHAnsi" w:cstheme="minorHAnsi"/>
          <w:sz w:val="22"/>
          <w:szCs w:val="22"/>
          <w:lang w:eastAsia="en-US"/>
        </w:rPr>
        <w:t>ex-post reconstruction planning and ex-ante territorial/sector development planning</w:t>
      </w:r>
      <w:r w:rsidRPr="00CB339E">
        <w:rPr>
          <w:rFonts w:asciiTheme="minorHAnsi" w:eastAsiaTheme="minorHAnsi" w:hAnsiTheme="minorHAnsi" w:cstheme="minorHAnsi"/>
          <w:color w:val="auto"/>
          <w:sz w:val="22"/>
          <w:szCs w:val="22"/>
          <w:lang w:eastAsia="en-US"/>
        </w:rPr>
        <w:t>. A final workshop will be organized to disseminate and handover the result of this action plan to the national and local authorities.</w:t>
      </w:r>
    </w:p>
    <w:p w14:paraId="4B3D3B6B" w14:textId="071D505D" w:rsidR="00CB339E" w:rsidRDefault="00CB339E" w:rsidP="00D0580F">
      <w:pPr>
        <w:widowControl/>
        <w:autoSpaceDE/>
        <w:autoSpaceDN/>
        <w:adjustRightInd/>
        <w:spacing w:after="200" w:line="276" w:lineRule="auto"/>
        <w:ind w:left="450"/>
        <w:contextualSpacing/>
        <w:jc w:val="both"/>
        <w:rPr>
          <w:rFonts w:asciiTheme="minorHAnsi" w:eastAsiaTheme="minorHAnsi" w:hAnsiTheme="minorHAnsi" w:cstheme="minorHAnsi"/>
          <w:bCs/>
          <w:color w:val="auto"/>
          <w:sz w:val="22"/>
          <w:szCs w:val="22"/>
          <w:lang w:eastAsia="en-US"/>
        </w:rPr>
      </w:pPr>
    </w:p>
    <w:p w14:paraId="193BE275" w14:textId="77777777" w:rsidR="00CB339E" w:rsidRPr="00CB339E" w:rsidRDefault="00CB339E" w:rsidP="00D0580F">
      <w:pPr>
        <w:widowControl/>
        <w:numPr>
          <w:ilvl w:val="0"/>
          <w:numId w:val="2"/>
        </w:numPr>
        <w:autoSpaceDE/>
        <w:autoSpaceDN/>
        <w:adjustRightInd/>
        <w:spacing w:after="200" w:line="276" w:lineRule="auto"/>
        <w:ind w:left="1170"/>
        <w:jc w:val="both"/>
        <w:rPr>
          <w:rFonts w:asciiTheme="minorHAnsi" w:eastAsiaTheme="minorHAnsi" w:hAnsiTheme="minorHAnsi" w:cstheme="minorHAnsi"/>
          <w:b/>
          <w:bCs/>
          <w:color w:val="auto"/>
          <w:sz w:val="22"/>
          <w:szCs w:val="22"/>
          <w:lang w:eastAsia="en-US"/>
        </w:rPr>
      </w:pPr>
      <w:r w:rsidRPr="00CB339E">
        <w:rPr>
          <w:rFonts w:asciiTheme="minorHAnsi" w:eastAsiaTheme="minorHAnsi" w:hAnsiTheme="minorHAnsi" w:cstheme="minorHAnsi"/>
          <w:b/>
          <w:bCs/>
          <w:color w:val="auto"/>
          <w:sz w:val="22"/>
          <w:szCs w:val="22"/>
          <w:lang w:eastAsia="en-US"/>
        </w:rPr>
        <w:t>Characteristics of the Consultancy</w:t>
      </w:r>
    </w:p>
    <w:p w14:paraId="6BBBEE8C" w14:textId="471A03C9" w:rsidR="00CB339E" w:rsidRPr="00CB339E" w:rsidRDefault="00CB339E" w:rsidP="00D0580F">
      <w:pPr>
        <w:widowControl/>
        <w:numPr>
          <w:ilvl w:val="0"/>
          <w:numId w:val="6"/>
        </w:numPr>
        <w:autoSpaceDE/>
        <w:autoSpaceDN/>
        <w:adjustRightInd/>
        <w:spacing w:after="200" w:line="276" w:lineRule="auto"/>
        <w:ind w:left="1530"/>
        <w:contextualSpacing/>
        <w:rPr>
          <w:rFonts w:asciiTheme="minorHAnsi" w:hAnsiTheme="minorHAnsi" w:cstheme="minorHAnsi"/>
          <w:color w:val="auto"/>
          <w:sz w:val="22"/>
          <w:szCs w:val="22"/>
          <w:lang w:eastAsia="ja-JP"/>
        </w:rPr>
      </w:pPr>
      <w:r w:rsidRPr="00CB339E">
        <w:rPr>
          <w:rFonts w:asciiTheme="minorHAnsi" w:hAnsiTheme="minorHAnsi" w:cstheme="minorHAnsi"/>
          <w:color w:val="auto"/>
          <w:sz w:val="22"/>
          <w:szCs w:val="22"/>
          <w:lang w:eastAsia="ja-JP"/>
        </w:rPr>
        <w:t>Consulting Firm. Lump Sum</w:t>
      </w:r>
      <w:r w:rsidR="00A64F75">
        <w:rPr>
          <w:rFonts w:asciiTheme="minorHAnsi" w:hAnsiTheme="minorHAnsi" w:cstheme="minorHAnsi"/>
          <w:color w:val="auto"/>
          <w:sz w:val="22"/>
          <w:szCs w:val="22"/>
          <w:lang w:eastAsia="ja-JP"/>
        </w:rPr>
        <w:t>. In the Request for Proposal (RFP) the Bank will detail the qualifications and number of key professionals needed to carry out the consultancy</w:t>
      </w:r>
      <w:r w:rsidR="008429F6">
        <w:rPr>
          <w:rFonts w:asciiTheme="minorHAnsi" w:hAnsiTheme="minorHAnsi" w:cstheme="minorHAnsi"/>
          <w:color w:val="auto"/>
          <w:sz w:val="22"/>
          <w:szCs w:val="22"/>
          <w:lang w:eastAsia="ja-JP"/>
        </w:rPr>
        <w:t>, among other details.</w:t>
      </w:r>
    </w:p>
    <w:p w14:paraId="307BEF60" w14:textId="6DF85AAF" w:rsidR="00CB339E" w:rsidRPr="00CB339E" w:rsidRDefault="00CB339E" w:rsidP="00D0580F">
      <w:pPr>
        <w:widowControl/>
        <w:numPr>
          <w:ilvl w:val="0"/>
          <w:numId w:val="6"/>
        </w:numPr>
        <w:autoSpaceDE/>
        <w:autoSpaceDN/>
        <w:adjustRightInd/>
        <w:spacing w:after="200" w:line="276" w:lineRule="auto"/>
        <w:ind w:left="1530"/>
        <w:contextualSpacing/>
        <w:rPr>
          <w:rFonts w:asciiTheme="minorHAnsi" w:hAnsiTheme="minorHAnsi" w:cstheme="minorHAnsi"/>
          <w:color w:val="auto"/>
          <w:sz w:val="22"/>
          <w:szCs w:val="22"/>
          <w:lang w:eastAsia="ja-JP"/>
        </w:rPr>
      </w:pPr>
      <w:r w:rsidRPr="00CB339E">
        <w:rPr>
          <w:rFonts w:asciiTheme="minorHAnsi" w:hAnsiTheme="minorHAnsi" w:cstheme="minorHAnsi"/>
          <w:color w:val="auto"/>
          <w:sz w:val="22"/>
          <w:szCs w:val="22"/>
          <w:lang w:eastAsia="ja-JP"/>
        </w:rPr>
        <w:t>Contract duration: 8.0 months</w:t>
      </w:r>
    </w:p>
    <w:p w14:paraId="1D9B08D3" w14:textId="7D7CE676" w:rsidR="00CB339E" w:rsidRPr="00CB339E" w:rsidRDefault="00CB339E" w:rsidP="00D0580F">
      <w:pPr>
        <w:widowControl/>
        <w:numPr>
          <w:ilvl w:val="0"/>
          <w:numId w:val="6"/>
        </w:numPr>
        <w:autoSpaceDE/>
        <w:autoSpaceDN/>
        <w:adjustRightInd/>
        <w:spacing w:after="200" w:line="276" w:lineRule="auto"/>
        <w:ind w:left="1530"/>
        <w:contextualSpacing/>
        <w:rPr>
          <w:rFonts w:asciiTheme="minorHAnsi" w:hAnsiTheme="minorHAnsi" w:cstheme="minorHAnsi"/>
          <w:color w:val="auto"/>
          <w:sz w:val="22"/>
          <w:szCs w:val="22"/>
          <w:lang w:eastAsia="ja-JP"/>
        </w:rPr>
      </w:pPr>
      <w:r w:rsidRPr="00CB339E">
        <w:rPr>
          <w:rFonts w:asciiTheme="minorHAnsi" w:hAnsiTheme="minorHAnsi" w:cstheme="minorHAnsi"/>
          <w:color w:val="auto"/>
          <w:sz w:val="22"/>
          <w:szCs w:val="22"/>
          <w:lang w:eastAsia="ja-JP"/>
        </w:rPr>
        <w:t>Place(s) of work: Consultant</w:t>
      </w:r>
      <w:r w:rsidR="00A64F75">
        <w:rPr>
          <w:rFonts w:asciiTheme="minorHAnsi" w:hAnsiTheme="minorHAnsi" w:cstheme="minorHAnsi"/>
          <w:color w:val="auto"/>
          <w:sz w:val="22"/>
          <w:szCs w:val="22"/>
          <w:lang w:eastAsia="ja-JP"/>
        </w:rPr>
        <w:t>s</w:t>
      </w:r>
      <w:r w:rsidRPr="00CB339E">
        <w:rPr>
          <w:rFonts w:asciiTheme="minorHAnsi" w:hAnsiTheme="minorHAnsi" w:cstheme="minorHAnsi"/>
          <w:color w:val="auto"/>
          <w:sz w:val="22"/>
          <w:szCs w:val="22"/>
          <w:lang w:eastAsia="ja-JP"/>
        </w:rPr>
        <w:t xml:space="preserve"> location and The Bahamas (as travel permit/ restrictions)</w:t>
      </w:r>
    </w:p>
    <w:p w14:paraId="5FAE3D0C" w14:textId="77777777" w:rsidR="00CB339E" w:rsidRPr="00CB339E" w:rsidRDefault="00CB339E" w:rsidP="00D0580F">
      <w:pPr>
        <w:widowControl/>
        <w:numPr>
          <w:ilvl w:val="0"/>
          <w:numId w:val="6"/>
        </w:numPr>
        <w:autoSpaceDE/>
        <w:autoSpaceDN/>
        <w:adjustRightInd/>
        <w:spacing w:after="200" w:line="276" w:lineRule="auto"/>
        <w:ind w:left="1530"/>
        <w:contextualSpacing/>
        <w:rPr>
          <w:rFonts w:asciiTheme="minorHAnsi" w:hAnsiTheme="minorHAnsi" w:cstheme="minorHAnsi"/>
          <w:color w:val="auto"/>
          <w:sz w:val="22"/>
          <w:szCs w:val="22"/>
          <w:lang w:eastAsia="ja-JP"/>
        </w:rPr>
      </w:pPr>
      <w:r w:rsidRPr="00CB339E">
        <w:rPr>
          <w:rFonts w:asciiTheme="minorHAnsi" w:hAnsiTheme="minorHAnsi" w:cstheme="minorHAnsi"/>
          <w:color w:val="auto"/>
          <w:sz w:val="22"/>
          <w:szCs w:val="22"/>
          <w:lang w:eastAsia="ja-JP"/>
        </w:rPr>
        <w:t xml:space="preserve">Responsible: CCB/CBH </w:t>
      </w:r>
    </w:p>
    <w:p w14:paraId="3A68F09E" w14:textId="77777777" w:rsidR="00CB339E" w:rsidRPr="00CB339E" w:rsidRDefault="00CB339E" w:rsidP="00D0580F">
      <w:pPr>
        <w:widowControl/>
        <w:numPr>
          <w:ilvl w:val="0"/>
          <w:numId w:val="6"/>
        </w:numPr>
        <w:autoSpaceDE/>
        <w:autoSpaceDN/>
        <w:adjustRightInd/>
        <w:spacing w:after="200" w:line="276" w:lineRule="auto"/>
        <w:ind w:left="1530"/>
        <w:contextualSpacing/>
        <w:rPr>
          <w:rFonts w:asciiTheme="minorHAnsi" w:eastAsiaTheme="minorHAnsi" w:hAnsiTheme="minorHAnsi" w:cstheme="minorHAnsi"/>
          <w:bCs/>
          <w:color w:val="auto"/>
          <w:sz w:val="22"/>
          <w:szCs w:val="22"/>
          <w:lang w:eastAsia="en-US"/>
        </w:rPr>
      </w:pPr>
      <w:r w:rsidRPr="00CB339E">
        <w:rPr>
          <w:rFonts w:asciiTheme="minorHAnsi" w:eastAsiaTheme="minorHAnsi" w:hAnsiTheme="minorHAnsi" w:cstheme="minorHAnsi"/>
          <w:bCs/>
          <w:color w:val="auto"/>
          <w:sz w:val="22"/>
          <w:szCs w:val="22"/>
          <w:lang w:eastAsia="en-US"/>
        </w:rPr>
        <w:t xml:space="preserve">Requirements: Consulting Firm must be registered in of the and IDB member country. Candidates must be citizens of an IDB Member Country. </w:t>
      </w:r>
    </w:p>
    <w:p w14:paraId="0AA0C71F" w14:textId="77777777" w:rsidR="00CB339E" w:rsidRPr="00CB339E" w:rsidRDefault="00CB339E" w:rsidP="00D0580F">
      <w:pPr>
        <w:widowControl/>
        <w:autoSpaceDE/>
        <w:autoSpaceDN/>
        <w:adjustRightInd/>
        <w:spacing w:after="200" w:line="276" w:lineRule="auto"/>
        <w:ind w:left="450"/>
        <w:contextualSpacing/>
        <w:jc w:val="both"/>
        <w:rPr>
          <w:rFonts w:asciiTheme="minorHAnsi" w:eastAsiaTheme="minorHAnsi" w:hAnsiTheme="minorHAnsi" w:cstheme="minorHAnsi"/>
          <w:bCs/>
          <w:color w:val="auto"/>
          <w:sz w:val="22"/>
          <w:szCs w:val="22"/>
          <w:lang w:eastAsia="en-US"/>
        </w:rPr>
      </w:pPr>
    </w:p>
    <w:p w14:paraId="6F06083E" w14:textId="77777777" w:rsidR="00CB339E" w:rsidRPr="00CB339E" w:rsidRDefault="00CB339E" w:rsidP="00D0580F">
      <w:pPr>
        <w:tabs>
          <w:tab w:val="left" w:pos="4275"/>
        </w:tabs>
        <w:ind w:left="450"/>
        <w:rPr>
          <w:rFonts w:asciiTheme="minorHAnsi" w:hAnsiTheme="minorHAnsi" w:cs="Times New Roman"/>
          <w:b/>
          <w:bCs/>
        </w:rPr>
      </w:pPr>
    </w:p>
    <w:sectPr w:rsidR="00CB339E" w:rsidRPr="00CB339E">
      <w:headerReference w:type="even" r:id="rId21"/>
      <w:headerReference w:type="default" r:id="rId22"/>
      <w:footerReference w:type="even" r:id="rId23"/>
      <w:footerReference w:type="default" r:id="rId24"/>
      <w:headerReference w:type="first" r:id="rId25"/>
      <w:footerReference w:type="first" r:id="rId26"/>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E06D1" w14:textId="77777777" w:rsidR="001609EF" w:rsidRDefault="001609EF" w:rsidP="0056772C">
      <w:r>
        <w:separator/>
      </w:r>
    </w:p>
  </w:endnote>
  <w:endnote w:type="continuationSeparator" w:id="0">
    <w:p w14:paraId="2C482EDB" w14:textId="77777777" w:rsidR="001609EF" w:rsidRDefault="001609EF"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95CE" w14:textId="77777777" w:rsidR="001609EF" w:rsidRDefault="001609EF" w:rsidP="0056772C">
      <w:r>
        <w:separator/>
      </w:r>
    </w:p>
  </w:footnote>
  <w:footnote w:type="continuationSeparator" w:id="0">
    <w:p w14:paraId="52CDD1B5" w14:textId="77777777" w:rsidR="001609EF" w:rsidRDefault="001609EF"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E51"/>
    <w:multiLevelType w:val="multilevel"/>
    <w:tmpl w:val="6038A52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A233EEE"/>
    <w:multiLevelType w:val="hybridMultilevel"/>
    <w:tmpl w:val="B8E6BF82"/>
    <w:lvl w:ilvl="0" w:tplc="C8285EC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3D4308"/>
    <w:multiLevelType w:val="hybridMultilevel"/>
    <w:tmpl w:val="ED126F3C"/>
    <w:lvl w:ilvl="0" w:tplc="3EC67C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B94D07"/>
    <w:multiLevelType w:val="multilevel"/>
    <w:tmpl w:val="B234F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5706C3"/>
    <w:multiLevelType w:val="hybridMultilevel"/>
    <w:tmpl w:val="AF3A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937CE"/>
    <w:multiLevelType w:val="hybridMultilevel"/>
    <w:tmpl w:val="608EA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50DB5"/>
    <w:rsid w:val="000C118D"/>
    <w:rsid w:val="001609EF"/>
    <w:rsid w:val="00170248"/>
    <w:rsid w:val="001D45C3"/>
    <w:rsid w:val="001F2366"/>
    <w:rsid w:val="001F37DB"/>
    <w:rsid w:val="002C3359"/>
    <w:rsid w:val="002E7B51"/>
    <w:rsid w:val="00360ACB"/>
    <w:rsid w:val="003800C7"/>
    <w:rsid w:val="003C4BA8"/>
    <w:rsid w:val="003C6547"/>
    <w:rsid w:val="003F5CA1"/>
    <w:rsid w:val="004003E8"/>
    <w:rsid w:val="0042319E"/>
    <w:rsid w:val="00423E38"/>
    <w:rsid w:val="0043116C"/>
    <w:rsid w:val="004A3654"/>
    <w:rsid w:val="004A57F6"/>
    <w:rsid w:val="004D1120"/>
    <w:rsid w:val="004D51F3"/>
    <w:rsid w:val="0051231A"/>
    <w:rsid w:val="0052634A"/>
    <w:rsid w:val="00556C08"/>
    <w:rsid w:val="005673D5"/>
    <w:rsid w:val="0056772C"/>
    <w:rsid w:val="006071D7"/>
    <w:rsid w:val="00637714"/>
    <w:rsid w:val="00637BD8"/>
    <w:rsid w:val="006C3B20"/>
    <w:rsid w:val="006C6C68"/>
    <w:rsid w:val="0078460F"/>
    <w:rsid w:val="0078742E"/>
    <w:rsid w:val="008171F3"/>
    <w:rsid w:val="008429F6"/>
    <w:rsid w:val="00891E3C"/>
    <w:rsid w:val="008C7908"/>
    <w:rsid w:val="00901303"/>
    <w:rsid w:val="009B688E"/>
    <w:rsid w:val="00A15B62"/>
    <w:rsid w:val="00A2035E"/>
    <w:rsid w:val="00A37CA7"/>
    <w:rsid w:val="00A64F75"/>
    <w:rsid w:val="00A838F0"/>
    <w:rsid w:val="00AA400D"/>
    <w:rsid w:val="00AD6E3D"/>
    <w:rsid w:val="00AE7268"/>
    <w:rsid w:val="00B17BF0"/>
    <w:rsid w:val="00B27293"/>
    <w:rsid w:val="00BA2A83"/>
    <w:rsid w:val="00BF0B50"/>
    <w:rsid w:val="00BF5CD3"/>
    <w:rsid w:val="00C27587"/>
    <w:rsid w:val="00C42B39"/>
    <w:rsid w:val="00C439C0"/>
    <w:rsid w:val="00C5329E"/>
    <w:rsid w:val="00C676B2"/>
    <w:rsid w:val="00CA0FE6"/>
    <w:rsid w:val="00CA49B4"/>
    <w:rsid w:val="00CA7C9E"/>
    <w:rsid w:val="00CB339E"/>
    <w:rsid w:val="00CD36BB"/>
    <w:rsid w:val="00CD4904"/>
    <w:rsid w:val="00D05613"/>
    <w:rsid w:val="00D0580F"/>
    <w:rsid w:val="00D3446E"/>
    <w:rsid w:val="00D60BE5"/>
    <w:rsid w:val="00DD524D"/>
    <w:rsid w:val="00DE327F"/>
    <w:rsid w:val="00DE540C"/>
    <w:rsid w:val="00E277C5"/>
    <w:rsid w:val="00ED4D33"/>
    <w:rsid w:val="00F21068"/>
    <w:rsid w:val="00F45D9C"/>
    <w:rsid w:val="00F74266"/>
    <w:rsid w:val="00F77204"/>
    <w:rsid w:val="10E76954"/>
    <w:rsid w:val="23C30F60"/>
    <w:rsid w:val="2CDD2216"/>
    <w:rsid w:val="4738AB8D"/>
    <w:rsid w:val="633C71E7"/>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paragraph" w:styleId="ListParagraph">
    <w:name w:val="List Paragraph"/>
    <w:basedOn w:val="Normal"/>
    <w:uiPriority w:val="34"/>
    <w:qFormat/>
    <w:rsid w:val="00CB339E"/>
    <w:pPr>
      <w:ind w:left="720"/>
      <w:contextualSpacing/>
    </w:pPr>
  </w:style>
  <w:style w:type="character" w:styleId="UnresolvedMention">
    <w:name w:val="Unresolved Mention"/>
    <w:basedOn w:val="DefaultParagraphFont"/>
    <w:uiPriority w:val="99"/>
    <w:semiHidden/>
    <w:unhideWhenUsed/>
    <w:rsid w:val="00F21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tsunekih@iadb.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iaero@iadb.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hyperlink" Target="http://www.iad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mariaero@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projects/document/EZSHARE-98527652-22?project=BH-T107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1BD5EE590010C4E82A0C3C6B960DF6A" ma:contentTypeVersion="0" ma:contentTypeDescription="A content type to manage public (operations) IDB documents" ma:contentTypeScope="" ma:versionID="afbb41b493384722632e6ea3e8d9b748">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BH</TermName>
          <TermId xmlns="http://schemas.microsoft.com/office/infopath/2007/PartnerControls">7662ea91-358d-4300-9a3d-1bdfe066f698</TermId>
        </TermInfo>
      </Terms>
    </ic46d7e087fd4a108fb86518ca413cc6>
    <Division_x0020_or_x0020_Unit xmlns="cdc7663a-08f0-4737-9e8c-148ce897a09c">CCB/CBH</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Roberts Syreta</Document_x0020_Author>
    <Document_x0020_Language_x0020_IDB xmlns="cdc7663a-08f0-4737-9e8c-148ce897a09c">English</Document_x0020_Language_x0020_IDB>
    <TaxCatchAll xmlns="cdc7663a-08f0-4737-9e8c-148ce897a09c">
      <Value>169</Value>
      <Value>46</Value>
      <Value>164</Value>
      <Value>10</Value>
      <Value>24</Value>
      <Value>27</Value>
    </TaxCatchAll>
    <Identifier xmlns="cdc7663a-08f0-4737-9e8c-148ce897a09c" xsi:nil="true"/>
    <_dlc_DocId xmlns="cdc7663a-08f0-4737-9e8c-148ce897a09c">EZSHARE-1973705399-16</_dlc_DocId>
    <_dlc_DocIdUrl xmlns="cdc7663a-08f0-4737-9e8c-148ce897a09c">
      <Url>https://idbg.sharepoint.com/teams/EZ-BH-TCP/BH-T1078/_layouts/15/DocIdRedir.aspx?ID=EZSHARE-1973705399-16</Url>
      <Description>EZSHARE-1973705399-16</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Bidding Invitation</TermName>
          <TermId xmlns="http://schemas.microsoft.com/office/infopath/2007/PartnerControls">ff13d79e-a5a5-4007-9d0e-c9d09f5a8b30</TermId>
        </TermInfo>
      </Term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PA-DRM</TermName>
          <TermId xmlns="http://schemas.microsoft.com/office/infopath/2007/PartnerControls">afbb464c-1cb3-4d52-bca0-aab08a1cdcf2</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JSF</TermName>
          <TermId xmlns="http://schemas.microsoft.com/office/infopath/2007/PartnerControls">42e89227-ec0a-483f-91bb-7a753aa184bd</TermId>
        </TermInfo>
      </Terms>
    </g511464f9e53401d84b16fa9b379a574>
    <Operation_x0020_Type xmlns="cdc7663a-08f0-4737-9e8c-148ce897a09c">TCP</Operation_x0020_Type>
    <Package_x0020_Code xmlns="cdc7663a-08f0-4737-9e8c-148ce897a09c" xsi:nil="true"/>
    <Project_x0020_Number xmlns="cdc7663a-08f0-4737-9e8c-148ce897a09c">BH-T1078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261e2b33-090b-4ab0-8e06-3aa3e7f32d57</TermId>
        </TermInfo>
      </Terms>
    </nddeef1749674d76abdbe4b239a70bc6>
    <Disclosure_x0020_Activity xmlns="cdc7663a-08f0-4737-9e8c-148ce897a09c">Expression of Interest (SG)</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Environmental Sustainability;</Webtopic>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C5B8A-ECA2-4A38-ADE0-D4E2107B81A8}"/>
</file>

<file path=customXml/itemProps2.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786BFCD5-CC41-4507-857E-E3C52F1E0DE6}"/>
</file>

<file path=customXml/itemProps5.xml><?xml version="1.0" encoding="utf-8"?>
<ds:datastoreItem xmlns:ds="http://schemas.openxmlformats.org/officeDocument/2006/customXml" ds:itemID="{7654F586-78F3-463B-AD71-A997CE872BF9}"/>
</file>

<file path=customXml/itemProps6.xml><?xml version="1.0" encoding="utf-8"?>
<ds:datastoreItem xmlns:ds="http://schemas.openxmlformats.org/officeDocument/2006/customXml" ds:itemID="{87E23DAA-4EEF-42E2-874B-D6AC0418C7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Roberts, Syreta</cp:lastModifiedBy>
  <cp:revision>2</cp:revision>
  <cp:lastPrinted>2015-01-20T22:56:00Z</cp:lastPrinted>
  <dcterms:created xsi:type="dcterms:W3CDTF">2021-01-08T21:13:00Z</dcterms:created>
  <dcterms:modified xsi:type="dcterms:W3CDTF">2021-01-08T21:13:00Z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24;#BH|7662ea91-358d-4300-9a3d-1bdfe066f698</vt:lpwstr>
  </property>
  <property fmtid="{D5CDD505-2E9C-101B-9397-08002B2CF9AE}" pid="8" name="_dlc_DocIdItemGuid">
    <vt:lpwstr>89286e88-e479-44e1-bfc8-047748d7510d</vt:lpwstr>
  </property>
  <property fmtid="{D5CDD505-2E9C-101B-9397-08002B2CF9AE}" pid="9" name="Sub-Sector">
    <vt:lpwstr>164;#PA-DRM|afbb464c-1cb3-4d52-bca0-aab08a1cdcf2</vt:lpwstr>
  </property>
  <property fmtid="{D5CDD505-2E9C-101B-9397-08002B2CF9AE}" pid="10" name="Series Operations IDB">
    <vt:lpwstr>169;#Bidding Invitation|ff13d79e-a5a5-4007-9d0e-c9d09f5a8b30</vt:lpwstr>
  </property>
  <property fmtid="{D5CDD505-2E9C-101B-9397-08002B2CF9AE}" pid="11" name="Fund IDB">
    <vt:lpwstr>46;#JSF|42e89227-ec0a-483f-91bb-7a753aa184bd</vt:lpwstr>
  </property>
  <property fmtid="{D5CDD505-2E9C-101B-9397-08002B2CF9AE}" pid="12" name="Sector IDB">
    <vt:lpwstr>27;#PA|261e2b33-090b-4ab0-8e06-3aa3e7f32d57</vt:lpwstr>
  </property>
  <property fmtid="{D5CDD505-2E9C-101B-9397-08002B2CF9AE}" pid="13" name="Function Operations IDB">
    <vt:lpwstr>10;#Goods and Services|5bfebf1b-9f1f-4411-b1dd-4c19b807b799</vt:lpwstr>
  </property>
  <property fmtid="{D5CDD505-2E9C-101B-9397-08002B2CF9AE}" pid="14" name="ContentTypeId">
    <vt:lpwstr>0x0101001A458A224826124E8B45B1D613300CFC0071BD5EE590010C4E82A0C3C6B960DF6A</vt:lpwstr>
  </property>
</Properties>
</file>