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DF29" w14:textId="77777777" w:rsidR="006C3B20" w:rsidRDefault="000C118D" w:rsidP="00B51CE4">
      <w:pPr>
        <w:pStyle w:val="Heading1a"/>
        <w:keepNext w:val="0"/>
        <w:keepLines w:val="0"/>
        <w:tabs>
          <w:tab w:val="clear" w:pos="-720"/>
        </w:tabs>
        <w:suppressAutoHyphens w:val="0"/>
        <w:ind w:left="540"/>
        <w:jc w:val="left"/>
        <w:rPr>
          <w:rFonts w:asciiTheme="minorHAnsi" w:hAnsiTheme="minorHAnsi" w:cstheme="minorHAnsi"/>
          <w:bCs/>
          <w:smallCaps w:val="0"/>
          <w:sz w:val="28"/>
          <w:u w:val="single"/>
        </w:rPr>
      </w:pPr>
      <w:r>
        <w:rPr>
          <w:noProof/>
        </w:rPr>
        <w:drawing>
          <wp:inline distT="0" distB="0" distL="0" distR="0" wp14:anchorId="316AE00F" wp14:editId="6C227DB5">
            <wp:extent cx="1952625" cy="495300"/>
            <wp:effectExtent l="0" t="0" r="9525" b="0"/>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2CDD2216" w:rsidRPr="2CDD2216">
        <w:rPr>
          <w:rFonts w:asciiTheme="minorHAnsi" w:eastAsiaTheme="minorEastAsia" w:hAnsiTheme="minorHAnsi" w:cstheme="minorBidi"/>
          <w:noProof/>
        </w:rPr>
        <w:t xml:space="preserve">                </w:t>
      </w:r>
    </w:p>
    <w:p w14:paraId="2F928274" w14:textId="77777777" w:rsidR="2CDD2216" w:rsidRDefault="2CDD2216" w:rsidP="00714BC1">
      <w:pPr>
        <w:pStyle w:val="Heading1a"/>
        <w:ind w:left="180"/>
        <w:rPr>
          <w:rFonts w:asciiTheme="minorHAnsi" w:eastAsiaTheme="minorEastAsia" w:hAnsiTheme="minorHAnsi" w:cstheme="minorBidi"/>
          <w:color w:val="FF0000"/>
          <w:sz w:val="28"/>
          <w:szCs w:val="28"/>
          <w:highlight w:val="yellow"/>
          <w:u w:val="single"/>
        </w:rPr>
      </w:pPr>
    </w:p>
    <w:p w14:paraId="22A377B5" w14:textId="77777777" w:rsidR="0003493A" w:rsidRDefault="0003493A" w:rsidP="00714BC1">
      <w:pPr>
        <w:pStyle w:val="Heading1a"/>
        <w:keepNext w:val="0"/>
        <w:keepLines w:val="0"/>
        <w:tabs>
          <w:tab w:val="clear" w:pos="-720"/>
        </w:tabs>
        <w:suppressAutoHyphens w:val="0"/>
        <w:ind w:left="180"/>
        <w:rPr>
          <w:rFonts w:asciiTheme="minorHAnsi" w:eastAsiaTheme="minorEastAsia" w:hAnsiTheme="minorHAnsi" w:cstheme="minorBidi"/>
          <w:sz w:val="28"/>
          <w:szCs w:val="28"/>
          <w:u w:val="single"/>
        </w:rPr>
      </w:pPr>
      <w:r w:rsidRPr="2CDD2216">
        <w:rPr>
          <w:rFonts w:asciiTheme="minorHAnsi" w:eastAsiaTheme="minorEastAsia" w:hAnsiTheme="minorHAnsi" w:cstheme="minorBidi"/>
          <w:smallCaps w:val="0"/>
          <w:sz w:val="28"/>
          <w:szCs w:val="28"/>
          <w:u w:val="single"/>
        </w:rPr>
        <w:t xml:space="preserve">REQUEST FOR EXPRESSIONS </w:t>
      </w:r>
      <w:r w:rsidR="006C3B20" w:rsidRPr="2CDD2216">
        <w:rPr>
          <w:rFonts w:asciiTheme="minorHAnsi" w:eastAsiaTheme="minorEastAsia" w:hAnsiTheme="minorHAnsi" w:cstheme="minorBidi"/>
          <w:smallCaps w:val="0"/>
          <w:sz w:val="28"/>
          <w:szCs w:val="28"/>
          <w:u w:val="single"/>
        </w:rPr>
        <w:t>OF INTEREST</w:t>
      </w:r>
    </w:p>
    <w:p w14:paraId="74340CE1" w14:textId="77777777" w:rsidR="006C3B20" w:rsidRPr="00637BD8" w:rsidRDefault="006C3B20" w:rsidP="00714BC1">
      <w:pPr>
        <w:pStyle w:val="Heading1a"/>
        <w:keepNext w:val="0"/>
        <w:keepLines w:val="0"/>
        <w:tabs>
          <w:tab w:val="clear" w:pos="-720"/>
        </w:tabs>
        <w:suppressAutoHyphens w:val="0"/>
        <w:ind w:left="180"/>
        <w:rPr>
          <w:rFonts w:asciiTheme="minorHAnsi" w:eastAsiaTheme="minorEastAsia" w:hAnsiTheme="minorHAnsi" w:cstheme="minorBidi"/>
          <w:color w:val="FF0000"/>
          <w:sz w:val="28"/>
          <w:szCs w:val="28"/>
          <w:u w:val="single"/>
        </w:rPr>
      </w:pPr>
      <w:r w:rsidRPr="6D59273E">
        <w:rPr>
          <w:rFonts w:asciiTheme="minorHAnsi" w:eastAsiaTheme="minorEastAsia" w:hAnsiTheme="minorHAnsi" w:cstheme="minorBidi"/>
          <w:smallCaps w:val="0"/>
          <w:sz w:val="28"/>
          <w:szCs w:val="28"/>
          <w:u w:val="single"/>
        </w:rPr>
        <w:t>CONSULTING SERVICES</w:t>
      </w:r>
      <w:r w:rsidR="00637BD8" w:rsidRPr="6D59273E">
        <w:rPr>
          <w:rFonts w:asciiTheme="minorHAnsi" w:eastAsiaTheme="minorEastAsia" w:hAnsiTheme="minorHAnsi" w:cstheme="minorBidi"/>
          <w:smallCaps w:val="0"/>
          <w:sz w:val="28"/>
          <w:szCs w:val="28"/>
          <w:u w:val="single"/>
        </w:rPr>
        <w:t xml:space="preserve"> </w:t>
      </w:r>
    </w:p>
    <w:p w14:paraId="0BDF0170" w14:textId="77777777" w:rsidR="003F5CA1" w:rsidRPr="006C3B20" w:rsidRDefault="003F5CA1" w:rsidP="00714BC1">
      <w:pPr>
        <w:ind w:left="180"/>
        <w:jc w:val="both"/>
        <w:rPr>
          <w:rFonts w:asciiTheme="minorHAnsi" w:hAnsiTheme="minorHAnsi" w:cs="Times New Roman"/>
          <w:color w:val="auto"/>
        </w:rPr>
      </w:pPr>
    </w:p>
    <w:p w14:paraId="0546D62C" w14:textId="4A85014B" w:rsidR="00F45D9C" w:rsidRDefault="00170248" w:rsidP="009C7108">
      <w:pPr>
        <w:suppressAutoHyphens/>
        <w:rPr>
          <w:rFonts w:asciiTheme="minorHAnsi" w:hAnsiTheme="minorHAnsi" w:cstheme="minorBidi"/>
          <w:color w:val="0070C0"/>
        </w:rPr>
      </w:pPr>
      <w:r w:rsidRPr="2CDD2216">
        <w:rPr>
          <w:rFonts w:asciiTheme="minorHAnsi" w:hAnsiTheme="minorHAnsi" w:cstheme="minorBidi"/>
          <w:color w:val="0070C0"/>
          <w:spacing w:val="-2"/>
        </w:rPr>
        <w:t>Selection #</w:t>
      </w:r>
      <w:r w:rsidR="00F45D9C" w:rsidRPr="2CDD2216">
        <w:rPr>
          <w:rFonts w:asciiTheme="minorHAnsi" w:hAnsiTheme="minorHAnsi" w:cstheme="minorBidi"/>
          <w:color w:val="0070C0"/>
          <w:spacing w:val="-2"/>
        </w:rPr>
        <w:t xml:space="preserve"> as assigned by </w:t>
      </w:r>
      <w:r w:rsidR="00360ACB" w:rsidRPr="2CDD2216">
        <w:rPr>
          <w:rFonts w:asciiTheme="minorHAnsi" w:hAnsiTheme="minorHAnsi" w:cstheme="minorBidi"/>
          <w:color w:val="0070C0"/>
          <w:spacing w:val="-2"/>
        </w:rPr>
        <w:t>e-Tool:</w:t>
      </w:r>
      <w:r w:rsidR="001147C4">
        <w:rPr>
          <w:rFonts w:asciiTheme="minorHAnsi" w:hAnsiTheme="minorHAnsi" w:cstheme="minorBidi"/>
          <w:color w:val="0070C0"/>
          <w:spacing w:val="-2"/>
        </w:rPr>
        <w:t xml:space="preserve"> RG-E1656-P001</w:t>
      </w:r>
    </w:p>
    <w:p w14:paraId="0992F71B" w14:textId="363BD3FD" w:rsidR="672BA234" w:rsidRDefault="2CDD2216" w:rsidP="009C7108">
      <w:r w:rsidRPr="2CDD2216">
        <w:rPr>
          <w:rFonts w:asciiTheme="minorHAnsi" w:hAnsiTheme="minorHAnsi" w:cstheme="minorBidi"/>
          <w:color w:val="0070C0"/>
        </w:rPr>
        <w:t>Selection Method:</w:t>
      </w:r>
      <w:r w:rsidR="001147C4">
        <w:rPr>
          <w:rFonts w:asciiTheme="minorHAnsi" w:hAnsiTheme="minorHAnsi" w:cstheme="minorBidi"/>
          <w:color w:val="0070C0"/>
        </w:rPr>
        <w:t xml:space="preserve"> Full Competitive Selection</w:t>
      </w:r>
    </w:p>
    <w:p w14:paraId="661E8539" w14:textId="4738E522" w:rsidR="00F45D9C" w:rsidRPr="00F45D9C" w:rsidRDefault="00F45D9C" w:rsidP="009C7108">
      <w:pPr>
        <w:suppressAutoHyphens/>
        <w:rPr>
          <w:rFonts w:asciiTheme="minorHAnsi" w:hAnsiTheme="minorHAnsi" w:cstheme="minorBidi"/>
          <w:i/>
          <w:iCs/>
          <w:color w:val="0070C0"/>
        </w:rPr>
      </w:pPr>
      <w:r w:rsidRPr="2CDD2216">
        <w:rPr>
          <w:rFonts w:asciiTheme="minorHAnsi" w:hAnsiTheme="minorHAnsi" w:cstheme="minorBidi"/>
          <w:color w:val="0070C0"/>
          <w:spacing w:val="-2"/>
        </w:rPr>
        <w:t>Country:</w:t>
      </w:r>
      <w:r w:rsidR="001147C4">
        <w:rPr>
          <w:rFonts w:asciiTheme="minorHAnsi" w:hAnsiTheme="minorHAnsi" w:cstheme="minorBidi"/>
          <w:color w:val="0070C0"/>
          <w:spacing w:val="-2"/>
        </w:rPr>
        <w:t xml:space="preserve"> Regional</w:t>
      </w:r>
      <w:r w:rsidRPr="2CDD2216">
        <w:rPr>
          <w:rFonts w:asciiTheme="minorHAnsi" w:hAnsiTheme="minorHAnsi" w:cstheme="minorBidi"/>
          <w:color w:val="0070C0"/>
          <w:spacing w:val="-2"/>
        </w:rPr>
        <w:t xml:space="preserve"> </w:t>
      </w:r>
      <w:r w:rsidRPr="2CDD2216">
        <w:rPr>
          <w:rFonts w:asciiTheme="minorHAnsi" w:hAnsiTheme="minorHAnsi" w:cstheme="minorBidi"/>
          <w:i/>
          <w:iCs/>
          <w:color w:val="0070C0"/>
        </w:rPr>
        <w:t xml:space="preserve"> </w:t>
      </w:r>
    </w:p>
    <w:p w14:paraId="3BE9C14F" w14:textId="16AEB07E" w:rsidR="00F45D9C" w:rsidRPr="005D749D" w:rsidRDefault="2CDD2216" w:rsidP="009C7108">
      <w:pPr>
        <w:suppressAutoHyphens/>
        <w:rPr>
          <w:rFonts w:asciiTheme="minorHAnsi" w:hAnsiTheme="minorHAnsi" w:cstheme="minorBidi"/>
          <w:i/>
          <w:iCs/>
          <w:color w:val="0070C0"/>
        </w:rPr>
      </w:pPr>
      <w:r w:rsidRPr="2CDD2216">
        <w:rPr>
          <w:rFonts w:asciiTheme="minorHAnsi" w:hAnsiTheme="minorHAnsi" w:cstheme="minorBidi"/>
          <w:i/>
          <w:iCs/>
          <w:color w:val="0070C0"/>
        </w:rPr>
        <w:t>Sector:</w:t>
      </w:r>
      <w:r w:rsidR="001147C4">
        <w:rPr>
          <w:rFonts w:asciiTheme="minorHAnsi" w:hAnsiTheme="minorHAnsi" w:cstheme="minorBidi"/>
          <w:i/>
          <w:iCs/>
          <w:color w:val="0070C0"/>
        </w:rPr>
        <w:t xml:space="preserve"> SCL/SPH</w:t>
      </w:r>
    </w:p>
    <w:p w14:paraId="11A9D93B" w14:textId="43C42095" w:rsidR="00F45D9C" w:rsidRPr="005D749D" w:rsidRDefault="2CDD2216" w:rsidP="009C7108">
      <w:pPr>
        <w:suppressAutoHyphens/>
        <w:rPr>
          <w:rFonts w:asciiTheme="minorHAnsi" w:hAnsiTheme="minorHAnsi" w:cstheme="minorBidi"/>
          <w:i/>
          <w:iCs/>
          <w:color w:val="0070C0"/>
        </w:rPr>
      </w:pPr>
      <w:r w:rsidRPr="2CDD2216">
        <w:rPr>
          <w:rFonts w:asciiTheme="minorHAnsi" w:hAnsiTheme="minorHAnsi" w:cstheme="minorBidi"/>
          <w:i/>
          <w:iCs/>
          <w:color w:val="0070C0"/>
        </w:rPr>
        <w:t xml:space="preserve">Funding – TC #: </w:t>
      </w:r>
      <w:r w:rsidR="001147C4">
        <w:rPr>
          <w:rFonts w:asciiTheme="minorHAnsi" w:hAnsiTheme="minorHAnsi" w:cstheme="minorBidi"/>
          <w:i/>
          <w:iCs/>
          <w:color w:val="0070C0"/>
        </w:rPr>
        <w:t>RG-E1656</w:t>
      </w:r>
      <w:r w:rsidRPr="2CDD2216">
        <w:rPr>
          <w:rFonts w:asciiTheme="minorHAnsi" w:hAnsiTheme="minorHAnsi" w:cstheme="minorBidi"/>
          <w:i/>
          <w:iCs/>
          <w:color w:val="0070C0"/>
        </w:rPr>
        <w:t xml:space="preserve">                           </w:t>
      </w:r>
    </w:p>
    <w:p w14:paraId="4FC4572B" w14:textId="5F1BC1CB" w:rsidR="00F45D9C" w:rsidRPr="00AE7268" w:rsidRDefault="672BA234" w:rsidP="009C7108">
      <w:pPr>
        <w:pStyle w:val="BodyText"/>
        <w:tabs>
          <w:tab w:val="left" w:pos="6645"/>
        </w:tabs>
      </w:pPr>
      <w:r w:rsidRPr="4738AB8D">
        <w:rPr>
          <w:rFonts w:asciiTheme="minorHAnsi" w:eastAsiaTheme="minorEastAsia" w:hAnsiTheme="minorHAnsi" w:cstheme="minorBidi"/>
          <w:i/>
          <w:iCs/>
          <w:color w:val="0070C0"/>
        </w:rPr>
        <w:t>TC name:</w:t>
      </w:r>
      <w:r w:rsidR="001147C4">
        <w:rPr>
          <w:rFonts w:asciiTheme="minorHAnsi" w:eastAsiaTheme="minorEastAsia" w:hAnsiTheme="minorHAnsi" w:cstheme="minorBidi"/>
          <w:i/>
          <w:iCs/>
          <w:color w:val="0070C0"/>
        </w:rPr>
        <w:t xml:space="preserve"> Active and Healthy Aging: the cost of inaction and elements for action</w:t>
      </w:r>
      <w:r w:rsidR="00170248">
        <w:rPr>
          <w:rFonts w:asciiTheme="minorHAnsi" w:eastAsiaTheme="minorEastAsia" w:hAnsiTheme="minorHAnsi" w:cstheme="minorBidi"/>
          <w:i/>
          <w:iCs/>
          <w:color w:val="0070C0"/>
        </w:rPr>
        <w:tab/>
      </w:r>
    </w:p>
    <w:p w14:paraId="34E2DC0F" w14:textId="77777777" w:rsidR="00422541" w:rsidRDefault="00422541" w:rsidP="009C7108">
      <w:pPr>
        <w:contextualSpacing/>
        <w:jc w:val="both"/>
        <w:rPr>
          <w:rFonts w:asciiTheme="minorHAnsi" w:hAnsiTheme="minorHAnsi" w:cstheme="minorBidi"/>
          <w:i/>
          <w:iCs/>
          <w:color w:val="0070C0"/>
        </w:rPr>
      </w:pPr>
    </w:p>
    <w:p w14:paraId="690FA7CB" w14:textId="71F73CC2" w:rsidR="003623C4" w:rsidRPr="00422541" w:rsidRDefault="4738AB8D" w:rsidP="009C7108">
      <w:pPr>
        <w:contextualSpacing/>
        <w:jc w:val="both"/>
        <w:rPr>
          <w:rFonts w:asciiTheme="minorHAnsi" w:hAnsiTheme="minorHAnsi" w:cstheme="minorBidi"/>
          <w:i/>
          <w:iCs/>
          <w:color w:val="0070C0"/>
        </w:rPr>
      </w:pPr>
      <w:r w:rsidRPr="4738AB8D">
        <w:rPr>
          <w:rFonts w:asciiTheme="minorHAnsi" w:hAnsiTheme="minorHAnsi" w:cstheme="minorBidi"/>
          <w:i/>
          <w:iCs/>
          <w:color w:val="0070C0"/>
        </w:rPr>
        <w:t>Description of Services:</w:t>
      </w:r>
      <w:r w:rsidR="009C7108" w:rsidRPr="00422541">
        <w:rPr>
          <w:rFonts w:asciiTheme="minorHAnsi" w:hAnsiTheme="minorHAnsi" w:cstheme="minorBidi"/>
          <w:i/>
          <w:iCs/>
          <w:color w:val="0070C0"/>
        </w:rPr>
        <w:t xml:space="preserve"> contract a consultancy to project future health spending in LAC based on sociodemographic and epidemiological trends, with the ability to estimate how changes in treatment patterns would affect population health and total spending</w:t>
      </w:r>
      <w:r w:rsidR="003623C4" w:rsidRPr="00422541">
        <w:rPr>
          <w:rFonts w:asciiTheme="minorHAnsi" w:hAnsiTheme="minorHAnsi" w:cstheme="minorBidi"/>
          <w:i/>
          <w:iCs/>
          <w:color w:val="0070C0"/>
        </w:rPr>
        <w:t>.</w:t>
      </w:r>
    </w:p>
    <w:p w14:paraId="3A50EEED" w14:textId="0BDAAC97" w:rsidR="00F45D9C" w:rsidRPr="00422541" w:rsidRDefault="4738AB8D" w:rsidP="009C7108">
      <w:pPr>
        <w:pStyle w:val="BodyText"/>
        <w:rPr>
          <w:rFonts w:asciiTheme="minorHAnsi" w:eastAsiaTheme="minorEastAsia" w:hAnsiTheme="minorHAnsi" w:cstheme="minorBidi"/>
          <w:i/>
          <w:iCs/>
          <w:color w:val="0070C0"/>
          <w:spacing w:val="0"/>
          <w:szCs w:val="24"/>
          <w:lang w:eastAsia="es-AR"/>
        </w:rPr>
      </w:pPr>
      <w:r w:rsidRPr="00422541">
        <w:rPr>
          <w:rFonts w:asciiTheme="minorHAnsi" w:eastAsiaTheme="minorEastAsia" w:hAnsiTheme="minorHAnsi" w:cstheme="minorBidi"/>
          <w:i/>
          <w:iCs/>
          <w:color w:val="0070C0"/>
          <w:spacing w:val="0"/>
          <w:szCs w:val="24"/>
          <w:lang w:eastAsia="es-AR"/>
        </w:rPr>
        <w:t xml:space="preserve">  </w:t>
      </w:r>
    </w:p>
    <w:p w14:paraId="469D5B2B" w14:textId="77777777" w:rsidR="00F45D9C" w:rsidRDefault="4738AB8D" w:rsidP="009C7108">
      <w:pPr>
        <w:pStyle w:val="BodyText"/>
        <w:rPr>
          <w:rFonts w:asciiTheme="minorHAnsi" w:eastAsiaTheme="minorEastAsia" w:hAnsiTheme="minorHAnsi" w:cstheme="minorBidi"/>
          <w:i/>
          <w:iCs/>
          <w:color w:val="0070C0"/>
        </w:rPr>
      </w:pPr>
      <w:r w:rsidRPr="4738AB8D">
        <w:rPr>
          <w:rFonts w:asciiTheme="minorHAnsi" w:eastAsiaTheme="minorEastAsia" w:hAnsiTheme="minorHAnsi" w:cstheme="minorBidi"/>
          <w:i/>
          <w:iCs/>
          <w:color w:val="0070C0"/>
        </w:rPr>
        <w:t>Link to TC document: [Web link to approved public document]</w:t>
      </w:r>
    </w:p>
    <w:p w14:paraId="1DBF52D2" w14:textId="77777777" w:rsidR="00F45D9C" w:rsidRDefault="00F45D9C" w:rsidP="009C7108">
      <w:pPr>
        <w:pStyle w:val="BodyText"/>
        <w:rPr>
          <w:rFonts w:asciiTheme="minorHAnsi" w:hAnsiTheme="minorHAnsi" w:cstheme="minorHAnsi"/>
          <w:i/>
          <w:color w:val="0070C0"/>
          <w:szCs w:val="24"/>
        </w:rPr>
      </w:pPr>
    </w:p>
    <w:p w14:paraId="4FD8FFBB" w14:textId="194B4F4B" w:rsidR="002E7B51" w:rsidRPr="00AE7268" w:rsidRDefault="00F45D9C" w:rsidP="009C7108">
      <w:pPr>
        <w:spacing w:line="320" w:lineRule="atLeast"/>
        <w:jc w:val="both"/>
        <w:rPr>
          <w:rFonts w:asciiTheme="minorHAnsi" w:hAnsiTheme="minorHAnsi" w:cs="Times New Roman"/>
          <w:color w:val="auto"/>
        </w:rPr>
      </w:pPr>
      <w:r w:rsidRPr="2CDD2216">
        <w:rPr>
          <w:rFonts w:asciiTheme="minorHAnsi" w:hAnsiTheme="minorHAnsi" w:cstheme="minorBidi"/>
          <w:color w:val="auto"/>
        </w:rPr>
        <w:t xml:space="preserve">The Inter-American Development Bank (IDB) is executing the </w:t>
      </w:r>
      <w:r w:rsidR="00876F65" w:rsidRPr="2CDD2216">
        <w:rPr>
          <w:rFonts w:asciiTheme="minorHAnsi" w:hAnsiTheme="minorHAnsi" w:cstheme="minorBidi"/>
          <w:color w:val="auto"/>
        </w:rPr>
        <w:t>above-mentioned</w:t>
      </w:r>
      <w:r w:rsidRPr="2CDD2216">
        <w:rPr>
          <w:rFonts w:asciiTheme="minorHAnsi" w:hAnsiTheme="minorHAnsi" w:cstheme="minorBidi"/>
          <w:color w:val="auto"/>
        </w:rPr>
        <w:t xml:space="preserve"> operation.  For this operation, the IDB </w:t>
      </w:r>
      <w:r w:rsidRPr="2CDD2216">
        <w:rPr>
          <w:rFonts w:asciiTheme="minorHAnsi" w:hAnsiTheme="minorHAnsi" w:cstheme="minorBidi"/>
          <w:spacing w:val="-2"/>
        </w:rPr>
        <w:t>intends to contract consulting services described in this Request for Expressions of Interest.</w:t>
      </w:r>
      <w:r w:rsidR="002E7B51">
        <w:rPr>
          <w:rFonts w:asciiTheme="minorHAnsi" w:hAnsiTheme="minorHAnsi" w:cstheme="minorBidi"/>
          <w:spacing w:val="-2"/>
        </w:rPr>
        <w:t xml:space="preserve">  </w:t>
      </w:r>
    </w:p>
    <w:p w14:paraId="52D780AC" w14:textId="0363DB6F" w:rsidR="002E7B51" w:rsidRDefault="002E7B51" w:rsidP="009C7108">
      <w:pPr>
        <w:spacing w:line="320" w:lineRule="atLeast"/>
        <w:jc w:val="both"/>
        <w:rPr>
          <w:rFonts w:asciiTheme="minorHAnsi" w:hAnsiTheme="minorHAnsi" w:cstheme="minorBidi"/>
          <w:color w:val="auto"/>
        </w:rPr>
      </w:pPr>
      <w:r w:rsidRPr="6D59273E">
        <w:rPr>
          <w:rFonts w:asciiTheme="minorHAnsi" w:hAnsiTheme="minorHAnsi" w:cstheme="minorBidi"/>
          <w:color w:val="auto"/>
        </w:rPr>
        <w:t>Expressions of interest must be delivered</w:t>
      </w:r>
      <w:r>
        <w:rPr>
          <w:rFonts w:asciiTheme="minorHAnsi" w:hAnsiTheme="minorHAnsi" w:cstheme="minorBidi"/>
          <w:color w:val="auto"/>
        </w:rPr>
        <w:t xml:space="preserve"> </w:t>
      </w:r>
      <w:r w:rsidRPr="6D59273E">
        <w:rPr>
          <w:rFonts w:asciiTheme="minorHAnsi" w:hAnsiTheme="minorHAnsi" w:cstheme="minorBidi"/>
          <w:color w:val="auto"/>
        </w:rPr>
        <w:t>using the IDB Portal for Bank Executed Operations (</w:t>
      </w:r>
      <w:r w:rsidRPr="6D59273E">
        <w:t xml:space="preserve"> </w:t>
      </w:r>
      <w:hyperlink r:id="rId14" w:history="1">
        <w:r w:rsidRPr="6D59273E">
          <w:rPr>
            <w:rStyle w:val="Hyperlink"/>
            <w:rFonts w:asciiTheme="minorHAnsi" w:hAnsiTheme="minorHAnsi" w:cstheme="minorBidi"/>
          </w:rPr>
          <w:t>http://beo-procurement.iadb.org/home</w:t>
        </w:r>
      </w:hyperlink>
      <w:r w:rsidRPr="6D59273E">
        <w:rPr>
          <w:rFonts w:asciiTheme="minorHAnsi" w:hAnsiTheme="minorHAnsi" w:cstheme="minorBidi"/>
          <w:color w:val="auto"/>
        </w:rPr>
        <w:t>)  by</w:t>
      </w:r>
      <w:r w:rsidRPr="0069123F">
        <w:rPr>
          <w:rFonts w:asciiTheme="minorHAnsi" w:hAnsiTheme="minorHAnsi" w:cstheme="minorBidi"/>
          <w:i/>
          <w:iCs/>
          <w:color w:val="0070C0"/>
        </w:rPr>
        <w:t>: [</w:t>
      </w:r>
      <w:r w:rsidR="00013119" w:rsidRPr="0069123F">
        <w:rPr>
          <w:rFonts w:asciiTheme="minorHAnsi" w:hAnsiTheme="minorHAnsi" w:cstheme="minorBidi"/>
          <w:i/>
          <w:iCs/>
          <w:color w:val="0070C0"/>
        </w:rPr>
        <w:t>0</w:t>
      </w:r>
      <w:r w:rsidR="002B415E" w:rsidRPr="0069123F">
        <w:rPr>
          <w:rFonts w:asciiTheme="minorHAnsi" w:hAnsiTheme="minorHAnsi" w:cstheme="minorBidi"/>
          <w:i/>
          <w:iCs/>
          <w:color w:val="0070C0"/>
        </w:rPr>
        <w:t>2</w:t>
      </w:r>
      <w:r w:rsidR="00013119" w:rsidRPr="0069123F">
        <w:rPr>
          <w:rFonts w:asciiTheme="minorHAnsi" w:hAnsiTheme="minorHAnsi" w:cstheme="minorBidi"/>
          <w:i/>
          <w:iCs/>
          <w:color w:val="0070C0"/>
        </w:rPr>
        <w:t>/</w:t>
      </w:r>
      <w:r w:rsidR="00F5750F">
        <w:rPr>
          <w:rFonts w:asciiTheme="minorHAnsi" w:hAnsiTheme="minorHAnsi" w:cstheme="minorBidi"/>
          <w:i/>
          <w:iCs/>
          <w:color w:val="0070C0"/>
        </w:rPr>
        <w:t>21</w:t>
      </w:r>
      <w:r w:rsidR="00013119" w:rsidRPr="0069123F">
        <w:rPr>
          <w:rFonts w:asciiTheme="minorHAnsi" w:hAnsiTheme="minorHAnsi" w:cstheme="minorBidi"/>
          <w:i/>
          <w:iCs/>
          <w:color w:val="0070C0"/>
        </w:rPr>
        <w:t>/2020</w:t>
      </w:r>
      <w:r w:rsidRPr="0069123F">
        <w:rPr>
          <w:rFonts w:asciiTheme="minorHAnsi" w:hAnsiTheme="minorHAnsi" w:cstheme="minorBidi"/>
          <w:i/>
          <w:iCs/>
          <w:color w:val="0070C0"/>
        </w:rPr>
        <w:t xml:space="preserve">], 5:00 </w:t>
      </w:r>
      <w:r w:rsidR="003C6547" w:rsidRPr="0069123F">
        <w:rPr>
          <w:rFonts w:asciiTheme="minorHAnsi" w:hAnsiTheme="minorHAnsi" w:cstheme="minorBidi"/>
          <w:i/>
          <w:iCs/>
          <w:color w:val="0070C0"/>
        </w:rPr>
        <w:t>P.M</w:t>
      </w:r>
      <w:r w:rsidR="003C6547">
        <w:rPr>
          <w:rFonts w:asciiTheme="minorHAnsi" w:hAnsiTheme="minorHAnsi" w:cstheme="minorBidi"/>
          <w:color w:val="auto"/>
        </w:rPr>
        <w:t>.</w:t>
      </w:r>
      <w:r w:rsidRPr="6D59273E">
        <w:rPr>
          <w:rFonts w:asciiTheme="minorHAnsi" w:hAnsiTheme="minorHAnsi" w:cstheme="minorBidi"/>
          <w:color w:val="auto"/>
        </w:rPr>
        <w:t xml:space="preserve"> (Washington D.C. Time)</w:t>
      </w:r>
      <w:r>
        <w:rPr>
          <w:rFonts w:asciiTheme="minorHAnsi" w:hAnsiTheme="minorHAnsi" w:cstheme="minorBidi"/>
          <w:color w:val="auto"/>
        </w:rPr>
        <w:t>.</w:t>
      </w:r>
    </w:p>
    <w:p w14:paraId="30703B39" w14:textId="77777777" w:rsidR="00F45D9C" w:rsidRPr="00AE7268" w:rsidRDefault="00F45D9C" w:rsidP="009C7108">
      <w:pPr>
        <w:spacing w:line="320" w:lineRule="atLeast"/>
        <w:jc w:val="both"/>
        <w:rPr>
          <w:rFonts w:asciiTheme="minorHAnsi" w:hAnsiTheme="minorHAnsi" w:cstheme="minorHAnsi"/>
          <w:spacing w:val="-2"/>
        </w:rPr>
      </w:pPr>
      <w:bookmarkStart w:id="0" w:name="_GoBack"/>
      <w:bookmarkEnd w:id="0"/>
    </w:p>
    <w:p w14:paraId="5C9CD365" w14:textId="75875657" w:rsidR="00F45D9C" w:rsidRPr="00AE7268" w:rsidRDefault="00F45D9C" w:rsidP="009C7108">
      <w:pPr>
        <w:suppressAutoHyphens/>
        <w:jc w:val="both"/>
        <w:rPr>
          <w:rFonts w:asciiTheme="minorHAnsi" w:hAnsiTheme="minorHAnsi" w:cstheme="minorBidi"/>
          <w:i/>
          <w:iCs/>
          <w:color w:val="0070C0"/>
        </w:rPr>
      </w:pPr>
      <w:r w:rsidRPr="2CDD2216">
        <w:rPr>
          <w:rFonts w:asciiTheme="minorHAnsi" w:hAnsiTheme="minorHAnsi" w:cstheme="minorBidi"/>
          <w:spacing w:val="-2"/>
        </w:rPr>
        <w:t>The consulting services (“the Services”) include</w:t>
      </w:r>
      <w:r w:rsidR="00076DAB">
        <w:rPr>
          <w:rFonts w:asciiTheme="minorHAnsi" w:hAnsiTheme="minorHAnsi" w:cstheme="minorBidi"/>
          <w:spacing w:val="-2"/>
        </w:rPr>
        <w:t>:</w:t>
      </w:r>
      <w:r w:rsidRPr="2CDD2216">
        <w:rPr>
          <w:rFonts w:asciiTheme="minorHAnsi" w:hAnsiTheme="minorHAnsi" w:cstheme="minorBidi"/>
          <w:spacing w:val="-2"/>
        </w:rPr>
        <w:t xml:space="preserve"> </w:t>
      </w:r>
    </w:p>
    <w:p w14:paraId="0766B3CB" w14:textId="32612E1C" w:rsidR="00F45D9C" w:rsidRPr="00422541" w:rsidRDefault="009C7108" w:rsidP="009C7108">
      <w:pPr>
        <w:spacing w:line="320" w:lineRule="atLeast"/>
        <w:jc w:val="both"/>
        <w:rPr>
          <w:rFonts w:asciiTheme="minorHAnsi" w:hAnsiTheme="minorHAnsi" w:cstheme="minorBidi"/>
          <w:color w:val="auto"/>
        </w:rPr>
      </w:pPr>
      <w:r w:rsidRPr="00422541">
        <w:rPr>
          <w:rFonts w:asciiTheme="minorHAnsi" w:hAnsiTheme="minorHAnsi" w:cstheme="minorBidi"/>
          <w:color w:val="auto"/>
        </w:rPr>
        <w:t xml:space="preserve">Develop a model to </w:t>
      </w:r>
      <w:r w:rsidR="002B415E" w:rsidRPr="00422541">
        <w:rPr>
          <w:rFonts w:asciiTheme="minorHAnsi" w:hAnsiTheme="minorHAnsi" w:cstheme="minorBidi"/>
          <w:color w:val="auto"/>
        </w:rPr>
        <w:t xml:space="preserve">project future health spending in LAC based on sociodemographic and epidemiological trends, with the ability to estimate how changes in treatment patterns would affect population health and total spending within an estimated timeframe of </w:t>
      </w:r>
      <w:r w:rsidR="00422541">
        <w:rPr>
          <w:rFonts w:asciiTheme="minorHAnsi" w:hAnsiTheme="minorHAnsi" w:cstheme="minorBidi"/>
          <w:color w:val="auto"/>
        </w:rPr>
        <w:t>(</w:t>
      </w:r>
      <w:r w:rsidR="007F05F7" w:rsidRPr="00422541">
        <w:rPr>
          <w:rFonts w:asciiTheme="minorHAnsi" w:hAnsiTheme="minorHAnsi" w:cstheme="minorBidi"/>
          <w:color w:val="auto"/>
        </w:rPr>
        <w:t>18 months)</w:t>
      </w:r>
    </w:p>
    <w:p w14:paraId="4F5E32CF" w14:textId="77777777" w:rsidR="006F0A80" w:rsidRDefault="006F0A80" w:rsidP="2CDD2216">
      <w:pPr>
        <w:spacing w:line="320" w:lineRule="atLeast"/>
        <w:jc w:val="both"/>
        <w:rPr>
          <w:rFonts w:asciiTheme="minorHAnsi" w:hAnsiTheme="minorHAnsi" w:cstheme="minorBidi"/>
          <w:color w:val="auto"/>
        </w:rPr>
      </w:pPr>
    </w:p>
    <w:p w14:paraId="0A0C2E05" w14:textId="19543ABD" w:rsidR="00F45D9C"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Eligible consulting firms will be selected in accordance with the procedures set out in the Inter-American Development Bank: </w:t>
      </w:r>
      <w:hyperlink r:id="rId15">
        <w:r w:rsidRPr="2CDD2216">
          <w:rPr>
            <w:rStyle w:val="Hyperlink"/>
            <w:rFonts w:asciiTheme="minorHAnsi" w:hAnsiTheme="minorHAnsi" w:cstheme="minorBidi"/>
            <w:i/>
            <w:iCs/>
          </w:rPr>
          <w:t>Policy for the Selection and Contracting of Consulting firms for Bank-executed Operational Work</w:t>
        </w:r>
      </w:hyperlink>
      <w:r w:rsidR="003C4BA8">
        <w:rPr>
          <w:rFonts w:asciiTheme="minorHAnsi" w:hAnsiTheme="minorHAnsi" w:cstheme="minorBidi"/>
          <w:color w:val="auto"/>
        </w:rPr>
        <w:t xml:space="preserve"> - GN-2765-1. </w:t>
      </w:r>
      <w:r w:rsidRPr="2CDD2216">
        <w:rPr>
          <w:rFonts w:asciiTheme="minorHAnsi" w:hAnsiTheme="minorHAnsi" w:cstheme="minorBidi"/>
          <w:color w:val="auto"/>
        </w:rPr>
        <w:t xml:space="preserve">All eligible consulting firms, as defined in the Policy may express an interest. </w:t>
      </w:r>
      <w:r w:rsidR="003C4BA8" w:rsidRPr="003C4BA8">
        <w:rPr>
          <w:rFonts w:asciiTheme="minorHAnsi" w:hAnsiTheme="minorHAnsi" w:cstheme="minorBidi"/>
          <w:color w:val="auto"/>
        </w:rPr>
        <w:t xml:space="preserve">If the Consulting Firm is presented in a Consortium, it will designate one of them as a representative, and the latter will be responsible for the communications, the registration in the portal and </w:t>
      </w:r>
      <w:r w:rsidR="003C4BA8">
        <w:rPr>
          <w:rFonts w:asciiTheme="minorHAnsi" w:hAnsiTheme="minorHAnsi" w:cstheme="minorBidi"/>
          <w:color w:val="auto"/>
        </w:rPr>
        <w:t xml:space="preserve">for submitting </w:t>
      </w:r>
      <w:r w:rsidR="003C4BA8" w:rsidRPr="003C4BA8">
        <w:rPr>
          <w:rFonts w:asciiTheme="minorHAnsi" w:hAnsiTheme="minorHAnsi" w:cstheme="minorBidi"/>
          <w:color w:val="auto"/>
        </w:rPr>
        <w:t>the corresponding documen</w:t>
      </w:r>
      <w:r w:rsidR="003C4BA8">
        <w:rPr>
          <w:rFonts w:asciiTheme="minorHAnsi" w:hAnsiTheme="minorHAnsi" w:cstheme="minorBidi"/>
          <w:color w:val="auto"/>
        </w:rPr>
        <w:t>ts.</w:t>
      </w:r>
    </w:p>
    <w:p w14:paraId="104E1CEF" w14:textId="77777777" w:rsidR="00F45D9C" w:rsidRDefault="00F45D9C" w:rsidP="00F45D9C">
      <w:pPr>
        <w:spacing w:line="320" w:lineRule="atLeast"/>
        <w:jc w:val="both"/>
        <w:rPr>
          <w:rFonts w:asciiTheme="minorHAnsi" w:hAnsiTheme="minorHAnsi" w:cs="Times New Roman"/>
          <w:color w:val="auto"/>
        </w:rPr>
      </w:pPr>
    </w:p>
    <w:p w14:paraId="1FB8A942" w14:textId="77777777" w:rsidR="00F45D9C" w:rsidRPr="00AE7268" w:rsidRDefault="4738AB8D" w:rsidP="4738AB8D">
      <w:pPr>
        <w:spacing w:line="320" w:lineRule="atLeast"/>
        <w:jc w:val="both"/>
        <w:rPr>
          <w:rFonts w:asciiTheme="minorHAnsi" w:hAnsiTheme="minorHAnsi" w:cstheme="minorBidi"/>
          <w:color w:val="auto"/>
        </w:rPr>
      </w:pPr>
      <w:r w:rsidRPr="4738AB8D">
        <w:rPr>
          <w:rFonts w:asciiTheme="minorHAnsi" w:hAnsiTheme="minorHAnsi" w:cstheme="minorBidi"/>
          <w:color w:val="auto"/>
        </w:rPr>
        <w:t>The IDB now invites eligible consulting firms to indicate their interest in providing the services</w:t>
      </w:r>
      <w:r w:rsidR="002C3359">
        <w:rPr>
          <w:rFonts w:asciiTheme="minorHAnsi" w:hAnsiTheme="minorHAnsi" w:cstheme="minorBidi"/>
          <w:color w:val="auto"/>
        </w:rPr>
        <w:t xml:space="preserve"> </w:t>
      </w:r>
      <w:r w:rsidR="002E7B51">
        <w:rPr>
          <w:rFonts w:asciiTheme="minorHAnsi" w:hAnsiTheme="minorHAnsi" w:cstheme="minorBidi"/>
          <w:color w:val="auto"/>
        </w:rPr>
        <w:t>described below in the</w:t>
      </w:r>
      <w:r w:rsidR="002C3359" w:rsidRPr="002E7B51">
        <w:rPr>
          <w:rStyle w:val="apple-converted-space"/>
          <w:rFonts w:ascii="Calibri" w:hAnsi="Calibri"/>
          <w:shd w:val="clear" w:color="auto" w:fill="FFFFFF"/>
        </w:rPr>
        <w:t> </w:t>
      </w:r>
      <w:r w:rsidR="002C3359" w:rsidRPr="002E7B51">
        <w:rPr>
          <w:rStyle w:val="normaltextrun"/>
          <w:rFonts w:ascii="Calibri" w:hAnsi="Calibri"/>
          <w:u w:val="single"/>
          <w:shd w:val="clear" w:color="auto" w:fill="FFFFFF"/>
        </w:rPr>
        <w:t>draft summary</w:t>
      </w:r>
      <w:r w:rsidR="002C3359" w:rsidRPr="002E7B51">
        <w:rPr>
          <w:rStyle w:val="apple-converted-space"/>
          <w:rFonts w:ascii="Calibri" w:hAnsi="Calibri"/>
          <w:shd w:val="clear" w:color="auto" w:fill="FFFFFF"/>
        </w:rPr>
        <w:t> </w:t>
      </w:r>
      <w:r w:rsidR="002C3359" w:rsidRPr="002E7B51">
        <w:rPr>
          <w:rStyle w:val="normaltextrun"/>
          <w:rFonts w:ascii="Calibri" w:hAnsi="Calibri"/>
          <w:shd w:val="clear" w:color="auto" w:fill="FFFFFF"/>
        </w:rPr>
        <w:t>of the intended Terms of Reference for the</w:t>
      </w:r>
      <w:r w:rsidR="002C3359" w:rsidRPr="002E7B51">
        <w:rPr>
          <w:rStyle w:val="apple-converted-space"/>
          <w:rFonts w:ascii="Calibri" w:hAnsi="Calibri"/>
          <w:shd w:val="clear" w:color="auto" w:fill="FFFFFF"/>
        </w:rPr>
        <w:t> </w:t>
      </w:r>
      <w:r w:rsidR="002E7B51">
        <w:rPr>
          <w:rStyle w:val="normaltextrun"/>
          <w:rFonts w:ascii="Calibri" w:hAnsi="Calibri"/>
          <w:shd w:val="clear" w:color="auto" w:fill="FFFFFF"/>
        </w:rPr>
        <w:t>assignment</w:t>
      </w:r>
      <w:r w:rsidR="002C3359" w:rsidRPr="002E7B51">
        <w:rPr>
          <w:rStyle w:val="normaltextrun"/>
          <w:rFonts w:ascii="Calibri" w:hAnsi="Calibri"/>
          <w:shd w:val="clear" w:color="auto" w:fill="FFFFFF"/>
        </w:rPr>
        <w:t>.</w:t>
      </w:r>
      <w:r w:rsidR="002C3359">
        <w:rPr>
          <w:rStyle w:val="apple-converted-space"/>
          <w:rFonts w:ascii="Calibri" w:hAnsi="Calibri"/>
          <w:shd w:val="clear" w:color="auto" w:fill="FFFFFF"/>
        </w:rPr>
        <w:t> </w:t>
      </w:r>
      <w:r w:rsidRPr="4738AB8D">
        <w:rPr>
          <w:rFonts w:asciiTheme="minorHAnsi" w:hAnsiTheme="minorHAnsi" w:cstheme="minorBidi"/>
          <w:color w:val="auto"/>
        </w:rPr>
        <w:t xml:space="preserve">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w:t>
      </w:r>
      <w:r w:rsidRPr="4738AB8D">
        <w:rPr>
          <w:rFonts w:asciiTheme="minorHAnsi" w:hAnsiTheme="minorHAnsi" w:cstheme="minorBidi"/>
          <w:color w:val="auto"/>
        </w:rPr>
        <w:lastRenderedPageBreak/>
        <w:t>firms as the representative.</w:t>
      </w:r>
    </w:p>
    <w:p w14:paraId="0A4217CE" w14:textId="77777777" w:rsidR="00F45D9C" w:rsidRPr="005D749D" w:rsidRDefault="00F45D9C" w:rsidP="00F45D9C">
      <w:pPr>
        <w:spacing w:line="320" w:lineRule="atLeast"/>
        <w:jc w:val="both"/>
        <w:rPr>
          <w:rFonts w:asciiTheme="minorHAnsi" w:hAnsiTheme="minorHAnsi" w:cs="Times New Roman"/>
          <w:smallCaps/>
          <w:color w:val="4F81BD" w:themeColor="accent1"/>
        </w:rPr>
      </w:pPr>
    </w:p>
    <w:p w14:paraId="2497F09C" w14:textId="77777777" w:rsidR="00F45D9C" w:rsidRDefault="00F45D9C" w:rsidP="2CDD2216">
      <w:pPr>
        <w:suppressAutoHyphens/>
        <w:jc w:val="both"/>
        <w:rPr>
          <w:rFonts w:asciiTheme="minorHAnsi" w:hAnsiTheme="minorHAnsi" w:cstheme="minorBidi"/>
          <w:i/>
          <w:iCs/>
          <w:color w:val="4F81BD" w:themeColor="accent1"/>
          <w:spacing w:val="-2"/>
        </w:rPr>
      </w:pPr>
      <w:r w:rsidRPr="2CDD2216">
        <w:rPr>
          <w:rFonts w:asciiTheme="minorHAnsi" w:hAnsiTheme="minorHAnsi" w:cstheme="minorBidi"/>
          <w:i/>
          <w:iCs/>
          <w:color w:val="4F81BD" w:themeColor="accent1"/>
          <w:spacing w:val="-2"/>
        </w:rPr>
        <w:t>Special requirements according to the Donor Trust Fund (DTF), if applicable.</w:t>
      </w:r>
    </w:p>
    <w:p w14:paraId="73F6620B" w14:textId="77777777" w:rsidR="002E7B51" w:rsidRPr="005D749D" w:rsidRDefault="002E7B51" w:rsidP="2CDD2216">
      <w:pPr>
        <w:suppressAutoHyphens/>
        <w:jc w:val="both"/>
        <w:rPr>
          <w:rFonts w:asciiTheme="minorHAnsi" w:hAnsiTheme="minorHAnsi" w:cstheme="minorBidi"/>
          <w:i/>
          <w:iCs/>
          <w:color w:val="4F81BD" w:themeColor="accent1"/>
        </w:rPr>
      </w:pPr>
    </w:p>
    <w:p w14:paraId="4E1C23E0" w14:textId="3FFFDD7F" w:rsidR="002E7B51" w:rsidRPr="00F12E3D" w:rsidRDefault="002E7B51" w:rsidP="002E7B51">
      <w:pPr>
        <w:spacing w:line="320" w:lineRule="atLeast"/>
        <w:jc w:val="both"/>
        <w:rPr>
          <w:rFonts w:asciiTheme="minorHAnsi" w:hAnsiTheme="minorHAnsi" w:cstheme="minorBidi"/>
          <w:color w:val="FF0000"/>
        </w:rPr>
      </w:pPr>
      <w:r w:rsidRPr="2CDD2216">
        <w:rPr>
          <w:rFonts w:asciiTheme="minorHAnsi" w:hAnsiTheme="minorHAnsi" w:cstheme="minorBidi"/>
          <w:color w:val="auto"/>
        </w:rPr>
        <w:t xml:space="preserve">Interested eligible consulting firms may obtain further information during office hours, 09:00 AM to 05:00 PM, (Washington D.C. Time) by sending an email </w:t>
      </w:r>
      <w:r w:rsidRPr="001B5B71">
        <w:rPr>
          <w:rFonts w:asciiTheme="minorHAnsi" w:hAnsiTheme="minorHAnsi" w:cstheme="minorBidi"/>
          <w:i/>
          <w:iCs/>
          <w:color w:val="4F81BD" w:themeColor="accent1"/>
          <w:spacing w:val="-2"/>
        </w:rPr>
        <w:t xml:space="preserve">to: </w:t>
      </w:r>
      <w:r w:rsidR="0095202F" w:rsidRPr="001B5B71">
        <w:rPr>
          <w:rFonts w:asciiTheme="minorHAnsi" w:hAnsiTheme="minorHAnsi" w:cstheme="minorBidi"/>
          <w:i/>
          <w:iCs/>
          <w:color w:val="4F81BD" w:themeColor="accent1"/>
          <w:spacing w:val="-2"/>
        </w:rPr>
        <w:t>dpinto@iadb.org</w:t>
      </w:r>
    </w:p>
    <w:p w14:paraId="1680211F" w14:textId="77777777" w:rsidR="00F45D9C" w:rsidRPr="00AE7268" w:rsidRDefault="00F45D9C" w:rsidP="00F45D9C">
      <w:pPr>
        <w:spacing w:line="320" w:lineRule="atLeast"/>
        <w:jc w:val="both"/>
        <w:rPr>
          <w:rFonts w:asciiTheme="minorHAnsi" w:hAnsiTheme="minorHAnsi" w:cs="Times New Roman"/>
          <w:color w:val="auto"/>
        </w:rPr>
      </w:pPr>
    </w:p>
    <w:p w14:paraId="4C8351D7" w14:textId="77777777" w:rsidR="00F45D9C" w:rsidRPr="00AE7268"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Inter-American Development Bank</w:t>
      </w:r>
    </w:p>
    <w:p w14:paraId="64E78C0E" w14:textId="43BB1303" w:rsidR="00F45D9C" w:rsidRPr="00AE7268" w:rsidRDefault="00F45D9C" w:rsidP="2CDD2216">
      <w:pPr>
        <w:spacing w:line="320" w:lineRule="atLeast"/>
        <w:jc w:val="both"/>
        <w:rPr>
          <w:rFonts w:asciiTheme="minorHAnsi" w:hAnsiTheme="minorHAnsi" w:cstheme="minorBidi"/>
          <w:i/>
          <w:iCs/>
          <w:color w:val="0070C0"/>
        </w:rPr>
      </w:pPr>
      <w:r w:rsidRPr="2CDD2216">
        <w:rPr>
          <w:rFonts w:asciiTheme="minorHAnsi" w:hAnsiTheme="minorHAnsi" w:cstheme="minorBidi"/>
          <w:color w:val="auto"/>
        </w:rPr>
        <w:t xml:space="preserve">Division: </w:t>
      </w:r>
      <w:r w:rsidR="00B62406">
        <w:rPr>
          <w:rFonts w:asciiTheme="minorHAnsi" w:hAnsiTheme="minorHAnsi" w:cstheme="minorBidi"/>
          <w:i/>
          <w:iCs/>
          <w:color w:val="0070C0"/>
          <w:spacing w:val="-2"/>
        </w:rPr>
        <w:t>SCL/SPH</w:t>
      </w:r>
    </w:p>
    <w:p w14:paraId="21F4E4F5" w14:textId="5263C252" w:rsidR="00F45D9C" w:rsidRPr="00AE7268" w:rsidRDefault="00F45D9C"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Attn:</w:t>
      </w:r>
      <w:r w:rsidRPr="2CDD2216">
        <w:rPr>
          <w:rFonts w:asciiTheme="minorHAnsi" w:hAnsiTheme="minorHAnsi" w:cstheme="minorBidi"/>
          <w:i/>
          <w:iCs/>
          <w:color w:val="0070C0"/>
          <w:spacing w:val="-2"/>
        </w:rPr>
        <w:t xml:space="preserve"> </w:t>
      </w:r>
      <w:r w:rsidR="00B62406">
        <w:rPr>
          <w:rFonts w:asciiTheme="minorHAnsi" w:hAnsiTheme="minorHAnsi" w:cstheme="minorBidi"/>
          <w:i/>
          <w:iCs/>
          <w:color w:val="0070C0"/>
          <w:spacing w:val="-2"/>
        </w:rPr>
        <w:t>Diana Pinto</w:t>
      </w:r>
      <w:r w:rsidRPr="2CDD2216">
        <w:rPr>
          <w:rFonts w:asciiTheme="minorHAnsi" w:hAnsiTheme="minorHAnsi" w:cstheme="minorBidi"/>
          <w:i/>
          <w:iCs/>
          <w:color w:val="0070C0"/>
          <w:spacing w:val="-2"/>
        </w:rPr>
        <w:t>, Program Team Leader</w:t>
      </w:r>
    </w:p>
    <w:p w14:paraId="4B0045BF" w14:textId="77777777" w:rsidR="00F45D9C" w:rsidRPr="00AE7268" w:rsidRDefault="00F45D9C" w:rsidP="00F45D9C">
      <w:pPr>
        <w:spacing w:line="320" w:lineRule="atLeast"/>
        <w:jc w:val="both"/>
        <w:rPr>
          <w:rFonts w:asciiTheme="minorHAnsi" w:hAnsiTheme="minorHAnsi" w:cs="Times New Roman"/>
          <w:color w:val="auto"/>
        </w:rPr>
      </w:pPr>
    </w:p>
    <w:p w14:paraId="648099CF" w14:textId="77777777" w:rsidR="00F45D9C" w:rsidRPr="00AE7268"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1300 New York Ave, NW, Washington DC 20577, USA</w:t>
      </w:r>
    </w:p>
    <w:p w14:paraId="349989D8" w14:textId="4037C676" w:rsidR="00F45D9C" w:rsidRPr="00DD5339" w:rsidRDefault="00F45D9C" w:rsidP="2CDD2216">
      <w:pPr>
        <w:suppressAutoHyphens/>
        <w:rPr>
          <w:rFonts w:asciiTheme="minorHAnsi" w:hAnsiTheme="minorHAnsi" w:cstheme="minorBidi"/>
          <w:i/>
          <w:iCs/>
          <w:color w:val="0070C0"/>
          <w:lang w:val="pt-BR"/>
        </w:rPr>
      </w:pPr>
      <w:r w:rsidRPr="00DD5339">
        <w:rPr>
          <w:rFonts w:asciiTheme="minorHAnsi" w:hAnsiTheme="minorHAnsi" w:cstheme="minorBidi"/>
          <w:spacing w:val="-2"/>
          <w:lang w:val="pt-BR"/>
        </w:rPr>
        <w:t>Tel:</w:t>
      </w:r>
      <w:r w:rsidR="00F12E3D" w:rsidRPr="00DD5339">
        <w:rPr>
          <w:rFonts w:asciiTheme="minorHAnsi" w:hAnsiTheme="minorHAnsi" w:cstheme="minorBidi"/>
          <w:i/>
          <w:iCs/>
          <w:color w:val="0070C0"/>
          <w:spacing w:val="-2"/>
          <w:lang w:val="pt-BR"/>
        </w:rPr>
        <w:t>202-623-2671</w:t>
      </w:r>
    </w:p>
    <w:p w14:paraId="0C7C68E9" w14:textId="504DF097" w:rsidR="00F45D9C" w:rsidRPr="00B62406" w:rsidRDefault="00F45D9C" w:rsidP="2CDD2216">
      <w:pPr>
        <w:suppressAutoHyphens/>
        <w:jc w:val="both"/>
        <w:rPr>
          <w:rFonts w:asciiTheme="minorHAnsi" w:hAnsiTheme="minorHAnsi" w:cstheme="minorBidi"/>
          <w:color w:val="0070C0"/>
          <w:lang w:val="pt-BR"/>
        </w:rPr>
      </w:pPr>
      <w:r w:rsidRPr="00B62406">
        <w:rPr>
          <w:rFonts w:asciiTheme="minorHAnsi" w:hAnsiTheme="minorHAnsi" w:cstheme="minorBidi"/>
          <w:spacing w:val="-2"/>
          <w:lang w:val="pt-BR"/>
        </w:rPr>
        <w:t xml:space="preserve">E-mail: </w:t>
      </w:r>
      <w:r w:rsidR="00B62406" w:rsidRPr="00B62406">
        <w:rPr>
          <w:rFonts w:asciiTheme="minorHAnsi" w:hAnsiTheme="minorHAnsi" w:cstheme="minorBidi"/>
          <w:i/>
          <w:iCs/>
          <w:color w:val="0070C0"/>
          <w:spacing w:val="-2"/>
          <w:lang w:val="pt-BR"/>
        </w:rPr>
        <w:t>dpinto@iadb.org</w:t>
      </w:r>
    </w:p>
    <w:p w14:paraId="1BD17ACE" w14:textId="77777777" w:rsidR="00170248"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Web site: </w:t>
      </w:r>
      <w:hyperlink r:id="rId16">
        <w:r w:rsidRPr="2CDD2216">
          <w:rPr>
            <w:rStyle w:val="Hyperlink"/>
            <w:rFonts w:asciiTheme="minorHAnsi" w:hAnsiTheme="minorHAnsi" w:cstheme="minorBidi"/>
          </w:rPr>
          <w:t>www.iadb.org</w:t>
        </w:r>
      </w:hyperlink>
      <w:r w:rsidRPr="2CDD2216">
        <w:rPr>
          <w:rFonts w:asciiTheme="minorHAnsi" w:hAnsiTheme="minorHAnsi" w:cstheme="minorBidi"/>
          <w:color w:val="auto"/>
        </w:rPr>
        <w:t xml:space="preserve"> </w:t>
      </w:r>
    </w:p>
    <w:p w14:paraId="4E60ECBE" w14:textId="07CD8A8E" w:rsidR="00170248" w:rsidRDefault="00170248" w:rsidP="00170248">
      <w:pPr>
        <w:rPr>
          <w:rFonts w:asciiTheme="minorHAnsi" w:hAnsiTheme="minorHAnsi" w:cs="Times New Roman"/>
        </w:rPr>
      </w:pPr>
    </w:p>
    <w:p w14:paraId="73492800" w14:textId="58906D9A" w:rsidR="0058260C" w:rsidRDefault="0058260C" w:rsidP="00170248">
      <w:pPr>
        <w:rPr>
          <w:rFonts w:asciiTheme="minorHAnsi" w:hAnsiTheme="minorHAnsi" w:cs="Times New Roman"/>
        </w:rPr>
      </w:pPr>
    </w:p>
    <w:p w14:paraId="37C99279" w14:textId="01D8BCB1" w:rsidR="0058260C" w:rsidRPr="00170248" w:rsidRDefault="0058260C" w:rsidP="00170248">
      <w:pPr>
        <w:rPr>
          <w:rFonts w:asciiTheme="minorHAnsi" w:hAnsiTheme="minorHAnsi" w:cs="Times New Roman"/>
        </w:rPr>
      </w:pPr>
      <w:r>
        <w:rPr>
          <w:rFonts w:asciiTheme="minorHAnsi" w:hAnsiTheme="minorHAnsi" w:cs="Times New Roman"/>
        </w:rPr>
        <w:t>----------------------------------------------------------------------------------------------------------------------</w:t>
      </w:r>
    </w:p>
    <w:p w14:paraId="7767042F" w14:textId="77777777" w:rsidR="00170248" w:rsidRPr="00170248" w:rsidRDefault="00170248" w:rsidP="00170248">
      <w:pPr>
        <w:rPr>
          <w:rFonts w:asciiTheme="minorHAnsi" w:hAnsiTheme="minorHAnsi" w:cs="Times New Roman"/>
        </w:rPr>
      </w:pPr>
    </w:p>
    <w:p w14:paraId="4BDEFE37" w14:textId="77777777" w:rsidR="0058260C" w:rsidRPr="0058260C" w:rsidRDefault="0058260C" w:rsidP="0058260C">
      <w:pPr>
        <w:widowControl/>
        <w:autoSpaceDE/>
        <w:autoSpaceDN/>
        <w:adjustRightInd/>
        <w:jc w:val="right"/>
        <w:rPr>
          <w:rFonts w:eastAsia="Times New Roman" w:cstheme="minorHAnsi"/>
          <w:i/>
          <w:color w:val="0070C0"/>
          <w:sz w:val="20"/>
          <w:szCs w:val="20"/>
          <w:lang w:eastAsia="en-US"/>
        </w:rPr>
      </w:pPr>
      <w:r w:rsidRPr="0058260C">
        <w:rPr>
          <w:rFonts w:eastAsia="Times New Roman" w:cs="Times New Roman"/>
          <w:i/>
          <w:color w:val="4F81BD" w:themeColor="accent1"/>
          <w:sz w:val="20"/>
          <w:szCs w:val="20"/>
          <w:lang w:eastAsia="en-US"/>
        </w:rPr>
        <w:t>Selection process: RG-E1656-P001</w:t>
      </w:r>
    </w:p>
    <w:p w14:paraId="44CB5368" w14:textId="77777777" w:rsidR="0058260C" w:rsidRPr="0058260C" w:rsidRDefault="0058260C" w:rsidP="0058260C">
      <w:pPr>
        <w:widowControl/>
        <w:autoSpaceDE/>
        <w:autoSpaceDN/>
        <w:adjustRightInd/>
        <w:jc w:val="both"/>
        <w:rPr>
          <w:rFonts w:asciiTheme="minorHAnsi" w:eastAsia="Times New Roman" w:hAnsiTheme="minorHAnsi" w:cs="Times New Roman"/>
          <w:b/>
          <w:color w:val="auto"/>
          <w:sz w:val="22"/>
          <w:szCs w:val="22"/>
          <w:u w:val="single"/>
          <w:lang w:eastAsia="en-US"/>
        </w:rPr>
      </w:pPr>
    </w:p>
    <w:p w14:paraId="474B84F0" w14:textId="77777777" w:rsidR="0058260C" w:rsidRPr="0058260C" w:rsidRDefault="0058260C" w:rsidP="0058260C">
      <w:pPr>
        <w:keepNext/>
        <w:widowControl/>
        <w:autoSpaceDE/>
        <w:autoSpaceDN/>
        <w:adjustRightInd/>
        <w:jc w:val="center"/>
        <w:outlineLvl w:val="0"/>
        <w:rPr>
          <w:rFonts w:eastAsia="Times New Roman"/>
          <w:b/>
          <w:color w:val="auto"/>
          <w:sz w:val="20"/>
          <w:szCs w:val="20"/>
          <w:u w:val="single"/>
          <w:lang w:eastAsia="en-US"/>
        </w:rPr>
      </w:pPr>
      <w:r w:rsidRPr="0058260C">
        <w:rPr>
          <w:rFonts w:eastAsia="Times New Roman"/>
          <w:b/>
          <w:color w:val="auto"/>
          <w:sz w:val="20"/>
          <w:szCs w:val="20"/>
          <w:u w:val="single"/>
          <w:lang w:eastAsia="en-US"/>
        </w:rPr>
        <w:t xml:space="preserve">TERMS OF REFERENCE </w:t>
      </w:r>
    </w:p>
    <w:p w14:paraId="3737C1F5" w14:textId="77777777" w:rsidR="0058260C" w:rsidRPr="0058260C" w:rsidRDefault="0058260C" w:rsidP="0058260C">
      <w:pPr>
        <w:widowControl/>
        <w:autoSpaceDE/>
        <w:autoSpaceDN/>
        <w:adjustRightInd/>
        <w:jc w:val="both"/>
        <w:rPr>
          <w:rFonts w:eastAsia="Times New Roman"/>
          <w:b/>
          <w:bCs/>
          <w:color w:val="auto"/>
          <w:sz w:val="20"/>
          <w:szCs w:val="20"/>
          <w:lang w:eastAsia="en-US"/>
        </w:rPr>
      </w:pPr>
    </w:p>
    <w:p w14:paraId="71189484" w14:textId="77777777" w:rsidR="0058260C" w:rsidRPr="0058260C" w:rsidRDefault="0058260C" w:rsidP="0058260C">
      <w:pPr>
        <w:widowControl/>
        <w:autoSpaceDE/>
        <w:autoSpaceDN/>
        <w:adjustRightInd/>
        <w:contextualSpacing/>
        <w:jc w:val="both"/>
        <w:rPr>
          <w:rFonts w:eastAsia="Times New Roman"/>
          <w:i/>
          <w:color w:val="0070C0"/>
          <w:sz w:val="20"/>
          <w:szCs w:val="20"/>
          <w:lang w:val="en-GB" w:eastAsia="en-US"/>
        </w:rPr>
      </w:pPr>
      <w:bookmarkStart w:id="1" w:name="_Hlk525659014"/>
      <w:r w:rsidRPr="0058260C">
        <w:rPr>
          <w:rFonts w:eastAsia="Times New Roman"/>
          <w:b/>
          <w:bCs/>
          <w:color w:val="auto"/>
          <w:sz w:val="20"/>
          <w:szCs w:val="20"/>
          <w:lang w:eastAsia="en-US"/>
        </w:rPr>
        <w:t xml:space="preserve">Consultancy to conduct a study </w:t>
      </w:r>
      <w:bookmarkEnd w:id="1"/>
      <w:r w:rsidRPr="0058260C">
        <w:rPr>
          <w:rFonts w:eastAsia="Times New Roman"/>
          <w:b/>
          <w:bCs/>
          <w:color w:val="auto"/>
          <w:sz w:val="20"/>
          <w:szCs w:val="20"/>
          <w:lang w:eastAsia="en-US"/>
        </w:rPr>
        <w:t>of Future Health Spending and Treatment Patterns in Latin America and the Caribbean</w:t>
      </w:r>
    </w:p>
    <w:p w14:paraId="570674DA" w14:textId="77777777" w:rsidR="0058260C" w:rsidRPr="0058260C" w:rsidRDefault="0058260C" w:rsidP="0058260C">
      <w:pPr>
        <w:widowControl/>
        <w:autoSpaceDE/>
        <w:autoSpaceDN/>
        <w:adjustRightInd/>
        <w:contextualSpacing/>
        <w:jc w:val="both"/>
        <w:rPr>
          <w:rFonts w:eastAsia="Times New Roman"/>
          <w:b/>
          <w:bCs/>
          <w:color w:val="auto"/>
          <w:sz w:val="20"/>
          <w:szCs w:val="20"/>
          <w:lang w:eastAsia="en-US"/>
        </w:rPr>
      </w:pPr>
    </w:p>
    <w:p w14:paraId="2DBDB46D" w14:textId="77777777" w:rsidR="0058260C" w:rsidRPr="0058260C" w:rsidRDefault="0058260C" w:rsidP="0058260C">
      <w:pPr>
        <w:widowControl/>
        <w:autoSpaceDE/>
        <w:autoSpaceDN/>
        <w:adjustRightInd/>
        <w:contextualSpacing/>
        <w:jc w:val="both"/>
        <w:rPr>
          <w:rFonts w:eastAsia="Times New Roman" w:cs="Times New Roman"/>
          <w:i/>
          <w:color w:val="4F81BD" w:themeColor="accent1"/>
          <w:sz w:val="20"/>
          <w:szCs w:val="20"/>
          <w:lang w:eastAsia="en-US"/>
        </w:rPr>
      </w:pPr>
      <w:r w:rsidRPr="0058260C">
        <w:rPr>
          <w:rFonts w:eastAsia="Times New Roman" w:cs="Times New Roman"/>
          <w:i/>
          <w:color w:val="4F81BD" w:themeColor="accent1"/>
          <w:sz w:val="20"/>
          <w:szCs w:val="20"/>
          <w:lang w:eastAsia="en-US"/>
        </w:rPr>
        <w:t>Regional</w:t>
      </w:r>
    </w:p>
    <w:p w14:paraId="61BF7C48" w14:textId="77777777" w:rsidR="0058260C" w:rsidRPr="0058260C" w:rsidRDefault="0058260C" w:rsidP="0058260C">
      <w:pPr>
        <w:widowControl/>
        <w:autoSpaceDE/>
        <w:autoSpaceDN/>
        <w:adjustRightInd/>
        <w:contextualSpacing/>
        <w:jc w:val="both"/>
        <w:rPr>
          <w:rFonts w:eastAsia="Times New Roman" w:cs="Times New Roman"/>
          <w:i/>
          <w:color w:val="4F81BD" w:themeColor="accent1"/>
          <w:sz w:val="20"/>
          <w:szCs w:val="20"/>
          <w:lang w:eastAsia="en-US"/>
        </w:rPr>
      </w:pPr>
      <w:r w:rsidRPr="0058260C">
        <w:rPr>
          <w:rFonts w:eastAsia="Times New Roman" w:cs="Times New Roman"/>
          <w:i/>
          <w:color w:val="4F81BD" w:themeColor="accent1"/>
          <w:sz w:val="20"/>
          <w:szCs w:val="20"/>
          <w:lang w:eastAsia="en-US"/>
        </w:rPr>
        <w:t>SCL/SPH</w:t>
      </w:r>
    </w:p>
    <w:p w14:paraId="0A0FC953" w14:textId="77777777" w:rsidR="0058260C" w:rsidRPr="0058260C" w:rsidRDefault="0058260C" w:rsidP="0058260C">
      <w:pPr>
        <w:widowControl/>
        <w:autoSpaceDE/>
        <w:autoSpaceDN/>
        <w:adjustRightInd/>
        <w:rPr>
          <w:rFonts w:eastAsia="Times New Roman" w:cs="Times New Roman"/>
          <w:i/>
          <w:color w:val="4F81BD" w:themeColor="accent1"/>
          <w:sz w:val="20"/>
          <w:szCs w:val="20"/>
          <w:lang w:eastAsia="en-US"/>
        </w:rPr>
      </w:pPr>
      <w:r w:rsidRPr="0058260C">
        <w:rPr>
          <w:rFonts w:eastAsia="Times New Roman" w:cs="Times New Roman"/>
          <w:i/>
          <w:color w:val="4F81BD" w:themeColor="accent1"/>
          <w:sz w:val="20"/>
          <w:szCs w:val="20"/>
          <w:lang w:eastAsia="en-US"/>
        </w:rPr>
        <w:t xml:space="preserve">RG-E1656 </w:t>
      </w:r>
    </w:p>
    <w:p w14:paraId="1AAB2F99" w14:textId="77777777" w:rsidR="0058260C" w:rsidRPr="0058260C" w:rsidRDefault="0058260C" w:rsidP="0058260C">
      <w:pPr>
        <w:widowControl/>
        <w:autoSpaceDE/>
        <w:autoSpaceDN/>
        <w:adjustRightInd/>
        <w:rPr>
          <w:rFonts w:eastAsia="Times New Roman" w:cs="Times New Roman"/>
          <w:i/>
          <w:color w:val="4F81BD" w:themeColor="accent1"/>
          <w:sz w:val="20"/>
          <w:szCs w:val="20"/>
          <w:lang w:eastAsia="en-US"/>
        </w:rPr>
      </w:pPr>
      <w:r w:rsidRPr="0058260C">
        <w:rPr>
          <w:rFonts w:eastAsia="Times New Roman" w:cs="Times New Roman"/>
          <w:i/>
          <w:color w:val="4F81BD" w:themeColor="accent1"/>
          <w:sz w:val="20"/>
          <w:szCs w:val="20"/>
          <w:lang w:eastAsia="en-US"/>
        </w:rPr>
        <w:t>Active and Healthy Aging: The cost of inaction and elements for action.</w:t>
      </w:r>
    </w:p>
    <w:p w14:paraId="344DCE22" w14:textId="77777777" w:rsidR="0058260C" w:rsidRPr="0058260C" w:rsidRDefault="0058260C" w:rsidP="0058260C">
      <w:pPr>
        <w:widowControl/>
        <w:autoSpaceDE/>
        <w:autoSpaceDN/>
        <w:adjustRightInd/>
        <w:spacing w:after="120"/>
        <w:contextualSpacing/>
        <w:rPr>
          <w:rFonts w:eastAsia="Times New Roman" w:cs="Times New Roman"/>
          <w:i/>
          <w:color w:val="4F81BD" w:themeColor="accent1"/>
          <w:sz w:val="20"/>
          <w:szCs w:val="20"/>
          <w:lang w:eastAsia="en-US"/>
        </w:rPr>
      </w:pPr>
    </w:p>
    <w:p w14:paraId="27E9C81E" w14:textId="77777777" w:rsidR="0058260C" w:rsidRPr="0058260C" w:rsidRDefault="0058260C" w:rsidP="0058260C">
      <w:pPr>
        <w:widowControl/>
        <w:tabs>
          <w:tab w:val="left" w:pos="7080"/>
        </w:tabs>
        <w:autoSpaceDE/>
        <w:autoSpaceDN/>
        <w:adjustRightInd/>
        <w:contextualSpacing/>
        <w:jc w:val="both"/>
        <w:rPr>
          <w:rFonts w:eastAsia="Times New Roman"/>
          <w:color w:val="auto"/>
          <w:sz w:val="20"/>
          <w:szCs w:val="20"/>
          <w:lang w:eastAsia="en-US"/>
        </w:rPr>
      </w:pPr>
      <w:r w:rsidRPr="0058260C">
        <w:rPr>
          <w:rFonts w:eastAsia="Times New Roman"/>
          <w:color w:val="auto"/>
          <w:sz w:val="20"/>
          <w:szCs w:val="20"/>
          <w:lang w:eastAsia="en-US"/>
        </w:rPr>
        <w:tab/>
      </w:r>
    </w:p>
    <w:p w14:paraId="4EAEF19A" w14:textId="77777777" w:rsidR="0058260C" w:rsidRPr="0058260C" w:rsidRDefault="0058260C" w:rsidP="0058260C">
      <w:pPr>
        <w:widowControl/>
        <w:numPr>
          <w:ilvl w:val="0"/>
          <w:numId w:val="1"/>
        </w:numPr>
        <w:autoSpaceDE/>
        <w:autoSpaceDN/>
        <w:adjustRightInd/>
        <w:spacing w:after="200"/>
        <w:contextualSpacing/>
        <w:rPr>
          <w:rFonts w:eastAsiaTheme="minorHAnsi"/>
          <w:b/>
          <w:color w:val="auto"/>
          <w:sz w:val="20"/>
          <w:szCs w:val="20"/>
          <w:u w:val="single"/>
          <w:lang w:eastAsia="en-US"/>
        </w:rPr>
      </w:pPr>
      <w:r w:rsidRPr="0058260C">
        <w:rPr>
          <w:rFonts w:eastAsiaTheme="minorHAnsi"/>
          <w:b/>
          <w:color w:val="auto"/>
          <w:sz w:val="20"/>
          <w:szCs w:val="20"/>
          <w:u w:val="single"/>
          <w:lang w:eastAsia="en-US"/>
        </w:rPr>
        <w:t>Background and Justification</w:t>
      </w:r>
    </w:p>
    <w:p w14:paraId="28777E75" w14:textId="77777777" w:rsidR="0058260C" w:rsidRPr="0058260C" w:rsidRDefault="0058260C" w:rsidP="0058260C">
      <w:pPr>
        <w:widowControl/>
        <w:autoSpaceDE/>
        <w:autoSpaceDN/>
        <w:adjustRightInd/>
        <w:ind w:left="792"/>
        <w:contextualSpacing/>
        <w:jc w:val="both"/>
        <w:rPr>
          <w:rFonts w:eastAsiaTheme="minorHAnsi"/>
          <w:color w:val="auto"/>
          <w:sz w:val="20"/>
          <w:szCs w:val="20"/>
          <w:lang w:eastAsia="en-US"/>
        </w:rPr>
      </w:pPr>
    </w:p>
    <w:p w14:paraId="0B3B1C5C" w14:textId="77777777" w:rsidR="0058260C" w:rsidRPr="0058260C" w:rsidRDefault="0058260C" w:rsidP="0058260C">
      <w:pPr>
        <w:widowControl/>
        <w:autoSpaceDE/>
        <w:autoSpaceDN/>
        <w:adjustRightInd/>
        <w:contextualSpacing/>
        <w:jc w:val="both"/>
        <w:rPr>
          <w:rFonts w:eastAsiaTheme="minorHAnsi"/>
          <w:color w:val="auto"/>
          <w:sz w:val="20"/>
          <w:szCs w:val="20"/>
          <w:lang w:eastAsia="en-US"/>
        </w:rPr>
      </w:pPr>
      <w:r w:rsidRPr="0058260C">
        <w:rPr>
          <w:rFonts w:eastAsiaTheme="minorHAnsi"/>
          <w:b/>
          <w:color w:val="auto"/>
          <w:sz w:val="20"/>
          <w:szCs w:val="20"/>
          <w:lang w:eastAsia="en-US"/>
        </w:rPr>
        <w:t xml:space="preserve">1.1 </w:t>
      </w:r>
      <w:r w:rsidRPr="0058260C">
        <w:rPr>
          <w:rFonts w:eastAsiaTheme="minorHAnsi"/>
          <w:color w:val="auto"/>
          <w:sz w:val="20"/>
          <w:szCs w:val="20"/>
          <w:lang w:eastAsia="en-US"/>
        </w:rPr>
        <w:t>The Social Sector (SCL) is a multidisciplinary team convinced that investing in people is the way to improve lives and overcome the development challenges in Latin America and the Caribbean (LAC). Jointly with the countries in the region, the Social Sector formulates public policy solutions to reduce poverty and improve the delivery of education, work, social protection, and health services. The objective is to advance a more productive region, with equal opportunities for men and women, and greater inclusion of the most vulnerable groups.</w:t>
      </w:r>
    </w:p>
    <w:p w14:paraId="75BB9E54" w14:textId="77777777" w:rsidR="0058260C" w:rsidRPr="0058260C" w:rsidRDefault="0058260C" w:rsidP="0058260C">
      <w:pPr>
        <w:widowControl/>
        <w:autoSpaceDE/>
        <w:autoSpaceDN/>
        <w:adjustRightInd/>
        <w:contextualSpacing/>
        <w:jc w:val="both"/>
        <w:rPr>
          <w:rFonts w:eastAsiaTheme="minorHAnsi"/>
          <w:color w:val="auto"/>
          <w:sz w:val="20"/>
          <w:szCs w:val="20"/>
          <w:lang w:eastAsia="en-US"/>
        </w:rPr>
      </w:pPr>
    </w:p>
    <w:p w14:paraId="39B60376" w14:textId="77777777" w:rsidR="0058260C" w:rsidRPr="0058260C" w:rsidRDefault="0058260C" w:rsidP="0058260C">
      <w:pPr>
        <w:widowControl/>
        <w:autoSpaceDE/>
        <w:autoSpaceDN/>
        <w:adjustRightInd/>
        <w:contextualSpacing/>
        <w:jc w:val="both"/>
        <w:rPr>
          <w:rFonts w:eastAsia="Times New Roman"/>
          <w:color w:val="auto"/>
          <w:sz w:val="20"/>
          <w:szCs w:val="20"/>
          <w:lang w:eastAsia="en-US"/>
        </w:rPr>
      </w:pPr>
      <w:r w:rsidRPr="0058260C">
        <w:rPr>
          <w:rFonts w:eastAsiaTheme="minorHAnsi"/>
          <w:color w:val="auto"/>
          <w:sz w:val="20"/>
          <w:szCs w:val="20"/>
          <w:lang w:eastAsia="en-US"/>
        </w:rPr>
        <w:t>The Social Protection and Health Division (SPH) is tasked with the preparation and supervision of IDB operations in borrowing member countries in the areas of social protection (safety nets and transfers and services for social inclusion which include: early childhood development, youth programs, care services for dependency, among others), health (health capital investment strategies, health networks strengthening, health system financing, organization and performance, etc.) and nutrition.</w:t>
      </w:r>
    </w:p>
    <w:p w14:paraId="16AFA4F4" w14:textId="77777777" w:rsidR="0058260C" w:rsidRPr="0058260C" w:rsidRDefault="0058260C" w:rsidP="0058260C">
      <w:pPr>
        <w:widowControl/>
        <w:autoSpaceDE/>
        <w:autoSpaceDN/>
        <w:adjustRightInd/>
        <w:contextualSpacing/>
        <w:jc w:val="both"/>
        <w:rPr>
          <w:rFonts w:eastAsia="Times New Roman"/>
          <w:color w:val="auto"/>
          <w:sz w:val="20"/>
          <w:szCs w:val="20"/>
          <w:lang w:eastAsia="en-US"/>
        </w:rPr>
      </w:pPr>
    </w:p>
    <w:p w14:paraId="6B57EB5F" w14:textId="77777777" w:rsidR="0058260C" w:rsidRPr="0058260C" w:rsidRDefault="0058260C" w:rsidP="0058260C">
      <w:pPr>
        <w:widowControl/>
        <w:autoSpaceDE/>
        <w:autoSpaceDN/>
        <w:adjustRightInd/>
        <w:contextualSpacing/>
        <w:jc w:val="both"/>
        <w:rPr>
          <w:rFonts w:eastAsia="Times New Roman"/>
          <w:color w:val="auto"/>
          <w:sz w:val="20"/>
          <w:szCs w:val="20"/>
          <w:lang w:eastAsia="en-US"/>
        </w:rPr>
      </w:pPr>
      <w:r w:rsidRPr="0058260C">
        <w:rPr>
          <w:rFonts w:eastAsia="Times New Roman"/>
          <w:b/>
          <w:color w:val="auto"/>
          <w:sz w:val="20"/>
          <w:szCs w:val="20"/>
          <w:lang w:eastAsia="en-US"/>
        </w:rPr>
        <w:t>1.2</w:t>
      </w:r>
      <w:r w:rsidRPr="0058260C">
        <w:rPr>
          <w:rFonts w:eastAsia="Times New Roman"/>
          <w:color w:val="auto"/>
          <w:sz w:val="20"/>
          <w:szCs w:val="20"/>
          <w:lang w:eastAsia="en-US"/>
        </w:rPr>
        <w:t xml:space="preserve"> The increase in longevity of the population and in the number and share of the total population of older adults in Latin America and the Caribbean (LAC) is likely to have major economic implications as the burden of disease changes due to this demographic shift. Health care expenditure is projected to rise faster than economic growth for many reasons, including the shift toward chronic and noncommunicable diseases which are more costly to manage and treat. Moreover, medical technologies are changing rapidly and many of them are cost-increasing rather than cost-saving. Another dimension of aging is the need that many older adults have for Long Term Care (LTC), defined as services and support for people that need help from others to perform activities of daily living. There is evidence that people with NCDs have higher rates of functional dependency and thus demand more LTC, which provides a further rationale for addressing these issues jointly. Total health expenditure in </w:t>
      </w:r>
      <w:r w:rsidRPr="0058260C">
        <w:rPr>
          <w:rFonts w:eastAsia="Times New Roman"/>
          <w:color w:val="auto"/>
          <w:sz w:val="20"/>
          <w:szCs w:val="20"/>
          <w:lang w:eastAsia="en-US"/>
        </w:rPr>
        <w:lastRenderedPageBreak/>
        <w:t>LAC is expected to increase substantially and, given budgetary restrictions, the region’s health systems need to identify the factors that will drive health costs and implement policies to prevent or mitigate them.</w:t>
      </w:r>
    </w:p>
    <w:p w14:paraId="26ED8756" w14:textId="77777777" w:rsidR="0058260C" w:rsidRPr="0058260C" w:rsidRDefault="0058260C" w:rsidP="0058260C">
      <w:pPr>
        <w:widowControl/>
        <w:autoSpaceDE/>
        <w:autoSpaceDN/>
        <w:adjustRightInd/>
        <w:contextualSpacing/>
        <w:jc w:val="both"/>
        <w:rPr>
          <w:rFonts w:eastAsia="Arial"/>
          <w:sz w:val="20"/>
          <w:szCs w:val="20"/>
          <w:lang w:eastAsia="en-US"/>
        </w:rPr>
      </w:pPr>
    </w:p>
    <w:p w14:paraId="016DB068" w14:textId="77777777" w:rsidR="0058260C" w:rsidRPr="0058260C" w:rsidRDefault="0058260C" w:rsidP="0058260C">
      <w:pPr>
        <w:widowControl/>
        <w:autoSpaceDE/>
        <w:autoSpaceDN/>
        <w:adjustRightInd/>
        <w:contextualSpacing/>
        <w:jc w:val="both"/>
        <w:rPr>
          <w:rFonts w:eastAsia="Times New Roman"/>
          <w:color w:val="auto"/>
          <w:sz w:val="20"/>
          <w:szCs w:val="20"/>
          <w:lang w:eastAsia="en-US"/>
        </w:rPr>
      </w:pPr>
      <w:r w:rsidRPr="0058260C">
        <w:rPr>
          <w:rFonts w:eastAsia="Arial"/>
          <w:b/>
          <w:sz w:val="20"/>
          <w:szCs w:val="20"/>
          <w:lang w:eastAsia="en-US"/>
        </w:rPr>
        <w:t>1.3</w:t>
      </w:r>
      <w:r w:rsidRPr="0058260C">
        <w:rPr>
          <w:rFonts w:eastAsia="Arial"/>
          <w:sz w:val="20"/>
          <w:szCs w:val="20"/>
          <w:lang w:eastAsia="en-US"/>
        </w:rPr>
        <w:t xml:space="preserve"> </w:t>
      </w:r>
      <w:r w:rsidRPr="0058260C">
        <w:rPr>
          <w:rFonts w:eastAsia="Times New Roman"/>
          <w:color w:val="auto"/>
          <w:sz w:val="20"/>
          <w:szCs w:val="20"/>
          <w:lang w:eastAsia="en-US"/>
        </w:rPr>
        <w:t>Detailed and comparable health and dependency profiles of the 50+ population have not been produced for the LAC region, nor for population groups that may be disproportionately affected by the aging phenomenon. Available research on this matter is mostly country specific, based on local information and limited to a set of countries. Studies on health spending in the region consist of a few country-specific microsimulations to project total health spending and analyze scenarios of health spending under different assumptions of prevalence of disease and risk factors, technological growth, treatment practices, prices, and health productivity. Other work available for the region employs forecasting models, in which health expenditures are estimated from population projections for cohorts of individuals grouped according to key attributes, such as age and gender. These projections also incorporate assumptions on non-demographic determinants of expenditure growth, such as income and proxies for technological change. Overall results conclude that health expenditure will increase in the medium term, although with wide uncertainty on the magnitude of growth. With the exception of microsimulations, for which results are country-specific, major limitations of the available literature described above, besides not covering the full span of countries, include omission of key drivers of health spending such as epidemiological patterns, cost of treatment of each disease or in technological progress, not accounting for changes in these drivers over time, and modelling trends with parameters extrapolated from advanced economies that may not apply to LAC. Development of scenarios to explore health policy changes has been very limited.</w:t>
      </w:r>
    </w:p>
    <w:p w14:paraId="6815482A" w14:textId="77777777" w:rsidR="0058260C" w:rsidRPr="0058260C" w:rsidRDefault="0058260C" w:rsidP="0058260C">
      <w:pPr>
        <w:widowControl/>
        <w:autoSpaceDE/>
        <w:autoSpaceDN/>
        <w:adjustRightInd/>
        <w:contextualSpacing/>
        <w:jc w:val="both"/>
        <w:rPr>
          <w:rFonts w:eastAsia="Times New Roman"/>
          <w:color w:val="auto"/>
          <w:sz w:val="20"/>
          <w:szCs w:val="20"/>
          <w:lang w:eastAsia="en-US"/>
        </w:rPr>
      </w:pPr>
    </w:p>
    <w:p w14:paraId="137E70EB" w14:textId="77777777" w:rsidR="0058260C" w:rsidRPr="0058260C" w:rsidRDefault="0058260C" w:rsidP="0058260C">
      <w:pPr>
        <w:widowControl/>
        <w:autoSpaceDE/>
        <w:autoSpaceDN/>
        <w:adjustRightInd/>
        <w:contextualSpacing/>
        <w:jc w:val="both"/>
        <w:rPr>
          <w:rFonts w:eastAsia="Times New Roman"/>
          <w:color w:val="auto"/>
          <w:sz w:val="20"/>
          <w:szCs w:val="20"/>
          <w:lang w:eastAsia="en-US"/>
        </w:rPr>
      </w:pPr>
      <w:r w:rsidRPr="0058260C">
        <w:rPr>
          <w:rFonts w:eastAsia="Arial"/>
          <w:b/>
          <w:sz w:val="20"/>
          <w:szCs w:val="20"/>
          <w:lang w:eastAsia="en-US"/>
        </w:rPr>
        <w:t xml:space="preserve">1.4 </w:t>
      </w:r>
      <w:r w:rsidRPr="0058260C">
        <w:rPr>
          <w:rFonts w:eastAsia="Arial"/>
          <w:sz w:val="20"/>
          <w:szCs w:val="20"/>
          <w:lang w:eastAsia="en-US"/>
        </w:rPr>
        <w:t xml:space="preserve"> </w:t>
      </w:r>
      <w:r w:rsidRPr="0058260C">
        <w:rPr>
          <w:rFonts w:eastAsia="Times New Roman"/>
          <w:color w:val="auto"/>
          <w:sz w:val="20"/>
          <w:szCs w:val="20"/>
          <w:lang w:eastAsia="en-US"/>
        </w:rPr>
        <w:t xml:space="preserve">The Inter-American Development Bank´s Social Protection  and Health Division seeks to fill these gaps by developing a regional cost projections due to demographic, epidemiological and economic changes associated with aging and based on a richer set of sociodemographic and health factors that will make it possible to simulate the effects of different policies. The analyses will cover all countries of the LAC region and disaggregate some of the analyses for populations of interest, thus expanding the breadth of available information. The results will help governments understand the magnitude and scope of the long-term challenges they face from the changing burden of disease and aging, with implications for better planning </w:t>
      </w:r>
      <w:r w:rsidRPr="0058260C">
        <w:rPr>
          <w:rFonts w:eastAsia="Times New Roman" w:cs="Times New Roman"/>
          <w:color w:val="auto"/>
          <w:sz w:val="20"/>
          <w:szCs w:val="20"/>
          <w:lang w:eastAsia="en-US"/>
        </w:rPr>
        <w:t>that can focus public policies on diseases, subpopulations, or services which have the greatest potential for gains in health and efficiency.</w:t>
      </w:r>
      <w:r w:rsidRPr="0058260C">
        <w:rPr>
          <w:rFonts w:eastAsia="Times New Roman"/>
          <w:color w:val="auto"/>
          <w:sz w:val="20"/>
          <w:szCs w:val="20"/>
          <w:lang w:eastAsia="en-US"/>
        </w:rPr>
        <w:t xml:space="preserve">   </w:t>
      </w:r>
    </w:p>
    <w:p w14:paraId="74BE9766" w14:textId="77777777" w:rsidR="0058260C" w:rsidRPr="0058260C" w:rsidRDefault="0058260C" w:rsidP="0058260C">
      <w:pPr>
        <w:widowControl/>
        <w:autoSpaceDE/>
        <w:autoSpaceDN/>
        <w:adjustRightInd/>
        <w:contextualSpacing/>
        <w:jc w:val="both"/>
        <w:rPr>
          <w:rFonts w:eastAsia="Times New Roman"/>
          <w:color w:val="auto"/>
          <w:sz w:val="20"/>
          <w:szCs w:val="20"/>
          <w:lang w:eastAsia="en-US"/>
        </w:rPr>
      </w:pPr>
    </w:p>
    <w:p w14:paraId="4EC30E74" w14:textId="77777777" w:rsidR="0058260C" w:rsidRPr="0058260C" w:rsidRDefault="0058260C" w:rsidP="0058260C">
      <w:pPr>
        <w:widowControl/>
        <w:autoSpaceDE/>
        <w:autoSpaceDN/>
        <w:adjustRightInd/>
        <w:contextualSpacing/>
        <w:rPr>
          <w:rFonts w:eastAsia="Arial"/>
          <w:sz w:val="20"/>
          <w:szCs w:val="20"/>
          <w:lang w:eastAsia="en-US"/>
        </w:rPr>
      </w:pPr>
    </w:p>
    <w:p w14:paraId="2C0E4F49" w14:textId="77777777" w:rsidR="0058260C" w:rsidRPr="0058260C" w:rsidRDefault="0058260C" w:rsidP="0058260C">
      <w:pPr>
        <w:widowControl/>
        <w:numPr>
          <w:ilvl w:val="0"/>
          <w:numId w:val="1"/>
        </w:numPr>
        <w:autoSpaceDE/>
        <w:autoSpaceDN/>
        <w:adjustRightInd/>
        <w:spacing w:after="200"/>
        <w:contextualSpacing/>
        <w:rPr>
          <w:rFonts w:eastAsiaTheme="minorHAnsi"/>
          <w:b/>
          <w:color w:val="auto"/>
          <w:sz w:val="20"/>
          <w:szCs w:val="20"/>
          <w:u w:val="single"/>
          <w:lang w:eastAsia="en-US"/>
        </w:rPr>
      </w:pPr>
      <w:r w:rsidRPr="0058260C">
        <w:rPr>
          <w:rFonts w:eastAsiaTheme="minorHAnsi"/>
          <w:b/>
          <w:color w:val="auto"/>
          <w:sz w:val="20"/>
          <w:szCs w:val="20"/>
          <w:u w:val="single"/>
          <w:lang w:eastAsia="en-US"/>
        </w:rPr>
        <w:t>Objectives</w:t>
      </w:r>
    </w:p>
    <w:p w14:paraId="3C046083" w14:textId="77777777" w:rsidR="0058260C" w:rsidRPr="0058260C" w:rsidRDefault="0058260C" w:rsidP="0058260C">
      <w:pPr>
        <w:widowControl/>
        <w:autoSpaceDE/>
        <w:autoSpaceDN/>
        <w:adjustRightInd/>
        <w:ind w:left="360"/>
        <w:contextualSpacing/>
        <w:rPr>
          <w:rFonts w:eastAsiaTheme="minorHAnsi"/>
          <w:b/>
          <w:color w:val="auto"/>
          <w:sz w:val="20"/>
          <w:szCs w:val="20"/>
          <w:u w:val="single"/>
          <w:lang w:eastAsia="en-US"/>
        </w:rPr>
      </w:pPr>
      <w:r w:rsidRPr="0058260C">
        <w:rPr>
          <w:rFonts w:eastAsiaTheme="minorHAnsi"/>
          <w:b/>
          <w:color w:val="auto"/>
          <w:sz w:val="20"/>
          <w:szCs w:val="20"/>
          <w:u w:val="single"/>
          <w:lang w:eastAsia="en-US"/>
        </w:rPr>
        <w:t xml:space="preserve"> </w:t>
      </w:r>
    </w:p>
    <w:p w14:paraId="0EF755E3" w14:textId="77777777" w:rsidR="0058260C" w:rsidRPr="0058260C" w:rsidRDefault="0058260C" w:rsidP="0058260C">
      <w:pPr>
        <w:widowControl/>
        <w:autoSpaceDE/>
        <w:autoSpaceDN/>
        <w:adjustRightInd/>
        <w:jc w:val="both"/>
        <w:rPr>
          <w:rFonts w:eastAsia="Times New Roman" w:cs="Times New Roman"/>
          <w:color w:val="auto"/>
          <w:sz w:val="20"/>
          <w:szCs w:val="20"/>
          <w:lang w:eastAsia="en-US"/>
        </w:rPr>
      </w:pPr>
      <w:bookmarkStart w:id="2" w:name="_Hlk2344136"/>
      <w:r w:rsidRPr="0058260C">
        <w:rPr>
          <w:rFonts w:eastAsia="Times New Roman" w:cs="Times New Roman"/>
          <w:color w:val="auto"/>
          <w:sz w:val="20"/>
          <w:szCs w:val="20"/>
          <w:lang w:eastAsia="en-US"/>
        </w:rPr>
        <w:t>The IDB seeks to contract a consultancy to project future health spending in LAC based on sociodemographic and epidemiological trends, with the ability to estimate how changes in treatment patterns would affect population health and total spending. Specifically, the results of the consultancy should answer the following questions:</w:t>
      </w:r>
    </w:p>
    <w:p w14:paraId="41A6A634" w14:textId="77777777" w:rsidR="0058260C" w:rsidRPr="0058260C" w:rsidRDefault="0058260C" w:rsidP="0058260C">
      <w:pPr>
        <w:widowControl/>
        <w:autoSpaceDE/>
        <w:autoSpaceDN/>
        <w:adjustRightInd/>
        <w:jc w:val="both"/>
        <w:rPr>
          <w:rFonts w:eastAsia="Times New Roman" w:cs="Times New Roman"/>
          <w:color w:val="auto"/>
          <w:sz w:val="20"/>
          <w:szCs w:val="20"/>
          <w:lang w:eastAsia="en-US"/>
        </w:rPr>
      </w:pPr>
    </w:p>
    <w:p w14:paraId="3142F055" w14:textId="77777777" w:rsidR="0058260C" w:rsidRPr="0058260C" w:rsidRDefault="0058260C" w:rsidP="0058260C">
      <w:pPr>
        <w:widowControl/>
        <w:numPr>
          <w:ilvl w:val="0"/>
          <w:numId w:val="2"/>
        </w:numPr>
        <w:autoSpaceDE/>
        <w:autoSpaceDN/>
        <w:adjustRightInd/>
        <w:contextualSpacing/>
        <w:jc w:val="both"/>
        <w:rPr>
          <w:rFonts w:eastAsia="Times New Roman"/>
          <w:color w:val="auto"/>
          <w:sz w:val="20"/>
          <w:szCs w:val="20"/>
          <w:lang w:eastAsia="en-US"/>
        </w:rPr>
      </w:pPr>
      <w:r w:rsidRPr="0058260C">
        <w:rPr>
          <w:rFonts w:eastAsia="Times New Roman"/>
          <w:color w:val="auto"/>
          <w:sz w:val="20"/>
          <w:szCs w:val="20"/>
          <w:lang w:eastAsia="en-US"/>
        </w:rPr>
        <w:t>How will health expenditures in LAC evolve over the next 30 years based only on projected demographic trends and holding constant (a) the associated burden of disease by age-sex cohort and (b) the costs of current treatment patterns (summarized by the per capita spending by disease and age-sex cohort)?</w:t>
      </w:r>
    </w:p>
    <w:p w14:paraId="700AC5BE" w14:textId="77777777" w:rsidR="0058260C" w:rsidRPr="0058260C" w:rsidRDefault="0058260C" w:rsidP="0058260C">
      <w:pPr>
        <w:widowControl/>
        <w:numPr>
          <w:ilvl w:val="0"/>
          <w:numId w:val="2"/>
        </w:numPr>
        <w:autoSpaceDE/>
        <w:autoSpaceDN/>
        <w:adjustRightInd/>
        <w:contextualSpacing/>
        <w:jc w:val="both"/>
        <w:rPr>
          <w:rFonts w:eastAsia="Times New Roman"/>
          <w:color w:val="auto"/>
          <w:sz w:val="20"/>
          <w:szCs w:val="20"/>
          <w:lang w:eastAsia="en-US"/>
        </w:rPr>
      </w:pPr>
      <w:r w:rsidRPr="0058260C">
        <w:rPr>
          <w:rFonts w:eastAsia="Times New Roman"/>
          <w:color w:val="auto"/>
          <w:sz w:val="20"/>
          <w:szCs w:val="20"/>
          <w:lang w:eastAsia="en-US"/>
        </w:rPr>
        <w:t>How is the disease burden associated with specific age-sex cohorts in LAC likely to change? And how will these disease patterns, when combined with demographic change, affect health expenditure over the next 30 years (assuming per capita spending by disease and age-sex cohort can accommodate increased need)?</w:t>
      </w:r>
    </w:p>
    <w:p w14:paraId="6850F432" w14:textId="77777777" w:rsidR="0058260C" w:rsidRPr="0058260C" w:rsidRDefault="0058260C" w:rsidP="0058260C">
      <w:pPr>
        <w:widowControl/>
        <w:numPr>
          <w:ilvl w:val="0"/>
          <w:numId w:val="2"/>
        </w:numPr>
        <w:autoSpaceDE/>
        <w:autoSpaceDN/>
        <w:adjustRightInd/>
        <w:contextualSpacing/>
        <w:jc w:val="both"/>
        <w:rPr>
          <w:rFonts w:eastAsia="Times New Roman"/>
          <w:color w:val="auto"/>
          <w:sz w:val="20"/>
          <w:szCs w:val="20"/>
          <w:lang w:eastAsia="en-US"/>
        </w:rPr>
      </w:pPr>
      <w:r w:rsidRPr="0058260C">
        <w:rPr>
          <w:rFonts w:eastAsia="Times New Roman"/>
          <w:color w:val="auto"/>
          <w:sz w:val="20"/>
          <w:szCs w:val="20"/>
          <w:lang w:eastAsia="en-US"/>
        </w:rPr>
        <w:t>If per capita health expenditure by disease and age-sex cohort were held constant, how are treatment patterns likely to change in LAC over the next 30 years? And how would aggregate health expenditure evolve over the next 30 years?</w:t>
      </w:r>
    </w:p>
    <w:p w14:paraId="04B50AD8" w14:textId="77777777" w:rsidR="0058260C" w:rsidRPr="0058260C" w:rsidRDefault="0058260C" w:rsidP="0058260C">
      <w:pPr>
        <w:widowControl/>
        <w:numPr>
          <w:ilvl w:val="0"/>
          <w:numId w:val="2"/>
        </w:numPr>
        <w:autoSpaceDE/>
        <w:autoSpaceDN/>
        <w:adjustRightInd/>
        <w:contextualSpacing/>
        <w:jc w:val="both"/>
        <w:rPr>
          <w:rFonts w:eastAsia="Times New Roman"/>
          <w:color w:val="auto"/>
          <w:sz w:val="20"/>
          <w:szCs w:val="20"/>
          <w:lang w:eastAsia="en-US"/>
        </w:rPr>
      </w:pPr>
      <w:r w:rsidRPr="0058260C">
        <w:rPr>
          <w:rFonts w:eastAsia="Times New Roman"/>
          <w:color w:val="auto"/>
          <w:sz w:val="20"/>
          <w:szCs w:val="20"/>
          <w:lang w:eastAsia="en-US"/>
        </w:rPr>
        <w:t xml:space="preserve">Given the answers to the prior questions, what changes to treatment patterns would improve population health while reducing or slowing the growth of health expenditures (e.g., reallocations to preventive care, integration of health care with social services)? </w:t>
      </w:r>
    </w:p>
    <w:bookmarkEnd w:id="2"/>
    <w:p w14:paraId="306DAA6E" w14:textId="77777777" w:rsidR="0058260C" w:rsidRPr="0058260C" w:rsidRDefault="0058260C" w:rsidP="0058260C">
      <w:pPr>
        <w:widowControl/>
        <w:autoSpaceDE/>
        <w:autoSpaceDN/>
        <w:adjustRightInd/>
        <w:contextualSpacing/>
        <w:jc w:val="both"/>
        <w:rPr>
          <w:rFonts w:eastAsiaTheme="minorHAnsi"/>
          <w:b/>
          <w:color w:val="auto"/>
          <w:sz w:val="20"/>
          <w:szCs w:val="20"/>
          <w:u w:val="single"/>
          <w:lang w:val="en-GB" w:eastAsia="en-US"/>
        </w:rPr>
      </w:pPr>
    </w:p>
    <w:p w14:paraId="7A300D02" w14:textId="77777777" w:rsidR="0058260C" w:rsidRPr="0058260C" w:rsidRDefault="0058260C" w:rsidP="0058260C">
      <w:pPr>
        <w:widowControl/>
        <w:numPr>
          <w:ilvl w:val="0"/>
          <w:numId w:val="1"/>
        </w:numPr>
        <w:autoSpaceDE/>
        <w:autoSpaceDN/>
        <w:adjustRightInd/>
        <w:spacing w:after="200"/>
        <w:contextualSpacing/>
        <w:rPr>
          <w:rFonts w:eastAsiaTheme="minorHAnsi"/>
          <w:color w:val="auto"/>
          <w:sz w:val="20"/>
          <w:szCs w:val="20"/>
          <w:lang w:eastAsia="en-US"/>
        </w:rPr>
      </w:pPr>
      <w:r w:rsidRPr="0058260C">
        <w:rPr>
          <w:rFonts w:eastAsiaTheme="minorHAnsi"/>
          <w:b/>
          <w:color w:val="auto"/>
          <w:sz w:val="20"/>
          <w:szCs w:val="20"/>
          <w:u w:val="single"/>
          <w:lang w:eastAsia="en-US"/>
        </w:rPr>
        <w:t>Scope of Services</w:t>
      </w:r>
      <w:r w:rsidRPr="0058260C">
        <w:rPr>
          <w:rFonts w:eastAsia="Times New Roman"/>
          <w:color w:val="auto"/>
          <w:sz w:val="20"/>
          <w:szCs w:val="20"/>
          <w:lang w:eastAsia="en-US"/>
        </w:rPr>
        <w:t xml:space="preserve"> </w:t>
      </w:r>
    </w:p>
    <w:p w14:paraId="206FF7C5" w14:textId="77777777" w:rsidR="0058260C" w:rsidRPr="0058260C" w:rsidRDefault="0058260C" w:rsidP="0058260C">
      <w:pPr>
        <w:autoSpaceDE/>
        <w:autoSpaceDN/>
        <w:adjustRightInd/>
        <w:spacing w:after="200"/>
        <w:contextualSpacing/>
        <w:rPr>
          <w:rFonts w:eastAsiaTheme="minorHAnsi"/>
          <w:color w:val="auto"/>
          <w:sz w:val="20"/>
          <w:szCs w:val="20"/>
          <w:lang w:eastAsia="en-US"/>
        </w:rPr>
      </w:pPr>
    </w:p>
    <w:p w14:paraId="028105BB" w14:textId="77777777" w:rsidR="0058260C" w:rsidRPr="0058260C" w:rsidRDefault="0058260C" w:rsidP="0058260C">
      <w:pPr>
        <w:widowControl/>
        <w:autoSpaceDE/>
        <w:autoSpaceDN/>
        <w:adjustRightInd/>
        <w:contextualSpacing/>
        <w:jc w:val="both"/>
        <w:rPr>
          <w:rFonts w:eastAsiaTheme="minorHAnsi"/>
          <w:color w:val="auto"/>
          <w:sz w:val="20"/>
          <w:szCs w:val="20"/>
          <w:lang w:eastAsia="en-US"/>
        </w:rPr>
      </w:pPr>
      <w:r w:rsidRPr="0058260C">
        <w:rPr>
          <w:rFonts w:eastAsiaTheme="minorHAnsi"/>
          <w:color w:val="auto"/>
          <w:sz w:val="20"/>
          <w:szCs w:val="20"/>
          <w:lang w:eastAsia="en-US"/>
        </w:rPr>
        <w:t>Develop a model to project health expenditures in LAC based on sociodemographic and epidemiological trends and which can be used to simulate the effects of altering treatment patterns on population health and total spending.</w:t>
      </w:r>
    </w:p>
    <w:p w14:paraId="2AC57D26" w14:textId="77777777" w:rsidR="0058260C" w:rsidRPr="0058260C" w:rsidRDefault="0058260C" w:rsidP="0058260C">
      <w:pPr>
        <w:widowControl/>
        <w:autoSpaceDE/>
        <w:autoSpaceDN/>
        <w:adjustRightInd/>
        <w:contextualSpacing/>
        <w:jc w:val="both"/>
        <w:rPr>
          <w:rFonts w:eastAsiaTheme="minorHAnsi"/>
          <w:color w:val="auto"/>
          <w:sz w:val="20"/>
          <w:szCs w:val="20"/>
          <w:lang w:eastAsia="en-US"/>
        </w:rPr>
      </w:pPr>
    </w:p>
    <w:p w14:paraId="755EE6B5" w14:textId="77777777" w:rsidR="0058260C" w:rsidRPr="0058260C" w:rsidRDefault="0058260C" w:rsidP="0058260C">
      <w:pPr>
        <w:widowControl/>
        <w:numPr>
          <w:ilvl w:val="0"/>
          <w:numId w:val="1"/>
        </w:numPr>
        <w:autoSpaceDE/>
        <w:autoSpaceDN/>
        <w:adjustRightInd/>
        <w:spacing w:after="200"/>
        <w:contextualSpacing/>
        <w:rPr>
          <w:rFonts w:eastAsiaTheme="minorHAnsi"/>
          <w:b/>
          <w:color w:val="auto"/>
          <w:sz w:val="20"/>
          <w:szCs w:val="20"/>
          <w:u w:val="single"/>
          <w:lang w:eastAsia="en-US"/>
        </w:rPr>
      </w:pPr>
      <w:r w:rsidRPr="0058260C">
        <w:rPr>
          <w:rFonts w:eastAsiaTheme="minorHAnsi"/>
          <w:b/>
          <w:color w:val="auto"/>
          <w:sz w:val="20"/>
          <w:szCs w:val="20"/>
          <w:u w:val="single"/>
          <w:lang w:eastAsia="en-US"/>
        </w:rPr>
        <w:t>Key Activities</w:t>
      </w:r>
    </w:p>
    <w:p w14:paraId="54C59EAB" w14:textId="77777777" w:rsidR="0058260C" w:rsidRPr="0058260C" w:rsidRDefault="0058260C" w:rsidP="0058260C">
      <w:pPr>
        <w:autoSpaceDE/>
        <w:autoSpaceDN/>
        <w:adjustRightInd/>
        <w:spacing w:after="200"/>
        <w:ind w:left="360"/>
        <w:contextualSpacing/>
        <w:rPr>
          <w:rFonts w:eastAsiaTheme="minorHAnsi"/>
          <w:b/>
          <w:color w:val="auto"/>
          <w:sz w:val="20"/>
          <w:szCs w:val="20"/>
          <w:u w:val="single"/>
          <w:lang w:eastAsia="en-US"/>
        </w:rPr>
      </w:pPr>
    </w:p>
    <w:p w14:paraId="3C64FC22" w14:textId="77777777" w:rsidR="0058260C" w:rsidRPr="0058260C" w:rsidRDefault="0058260C" w:rsidP="0058260C">
      <w:pPr>
        <w:tabs>
          <w:tab w:val="left" w:pos="841"/>
        </w:tabs>
        <w:autoSpaceDE/>
        <w:autoSpaceDN/>
        <w:adjustRightInd/>
        <w:ind w:left="360" w:right="115"/>
        <w:jc w:val="both"/>
        <w:rPr>
          <w:rFonts w:eastAsia="Calibri"/>
          <w:color w:val="auto"/>
          <w:sz w:val="20"/>
          <w:szCs w:val="20"/>
          <w:lang w:eastAsia="en-US"/>
        </w:rPr>
      </w:pPr>
      <w:r w:rsidRPr="0058260C">
        <w:rPr>
          <w:rFonts w:eastAsia="Times New Roman"/>
          <w:color w:val="auto"/>
          <w:sz w:val="20"/>
          <w:szCs w:val="20"/>
          <w:lang w:eastAsia="en-US"/>
        </w:rPr>
        <w:lastRenderedPageBreak/>
        <w:t>4.1 Present a detailed plan of analysis with: the model for conducting the projections and policy simulations; the main sources of sociodemographic, epidemiological and expenditure information; key assumptions; sources of uncertainty; and basis for assuring results that are representative for LAC.</w:t>
      </w:r>
    </w:p>
    <w:p w14:paraId="0929816B" w14:textId="77777777" w:rsidR="0058260C" w:rsidRPr="0058260C" w:rsidRDefault="0058260C" w:rsidP="0058260C">
      <w:pPr>
        <w:tabs>
          <w:tab w:val="left" w:pos="841"/>
        </w:tabs>
        <w:autoSpaceDE/>
        <w:autoSpaceDN/>
        <w:adjustRightInd/>
        <w:ind w:left="360" w:right="115"/>
        <w:jc w:val="both"/>
        <w:rPr>
          <w:rFonts w:eastAsia="Calibri"/>
          <w:color w:val="auto"/>
          <w:sz w:val="20"/>
          <w:szCs w:val="20"/>
          <w:lang w:eastAsia="en-US"/>
        </w:rPr>
      </w:pPr>
      <w:r w:rsidRPr="0058260C">
        <w:rPr>
          <w:rFonts w:eastAsia="Calibri"/>
          <w:color w:val="auto"/>
          <w:sz w:val="20"/>
          <w:szCs w:val="20"/>
          <w:lang w:eastAsia="en-US"/>
        </w:rPr>
        <w:t xml:space="preserve">4.2 </w:t>
      </w:r>
      <w:r w:rsidRPr="0058260C">
        <w:rPr>
          <w:rFonts w:eastAsia="Times New Roman"/>
          <w:color w:val="auto"/>
          <w:sz w:val="20"/>
          <w:szCs w:val="20"/>
          <w:lang w:eastAsia="en-US"/>
        </w:rPr>
        <w:t>Conduct the proposed analyses and prepare a document with the main results, an assessment of uncertainties and robustness, and policy recommendations.</w:t>
      </w:r>
    </w:p>
    <w:p w14:paraId="185689EA" w14:textId="77777777" w:rsidR="0058260C" w:rsidRPr="0058260C" w:rsidRDefault="0058260C" w:rsidP="0058260C">
      <w:pPr>
        <w:widowControl/>
        <w:autoSpaceDE/>
        <w:autoSpaceDN/>
        <w:adjustRightInd/>
        <w:ind w:left="360"/>
        <w:rPr>
          <w:rFonts w:eastAsia="Times New Roman"/>
          <w:color w:val="auto"/>
          <w:sz w:val="20"/>
          <w:szCs w:val="20"/>
          <w:lang w:eastAsia="en-US"/>
        </w:rPr>
      </w:pPr>
      <w:r w:rsidRPr="0058260C">
        <w:rPr>
          <w:rFonts w:eastAsia="Times New Roman"/>
          <w:color w:val="auto"/>
          <w:sz w:val="20"/>
          <w:szCs w:val="20"/>
          <w:lang w:eastAsia="en-US"/>
        </w:rPr>
        <w:t xml:space="preserve">4.3 Present the main results and conclusions for an IDB hosted research seminar.  </w:t>
      </w:r>
    </w:p>
    <w:p w14:paraId="4AF597A5" w14:textId="77777777" w:rsidR="0058260C" w:rsidRPr="0058260C" w:rsidRDefault="0058260C" w:rsidP="0058260C">
      <w:pPr>
        <w:autoSpaceDE/>
        <w:autoSpaceDN/>
        <w:adjustRightInd/>
        <w:spacing w:after="200"/>
        <w:ind w:left="360"/>
        <w:contextualSpacing/>
        <w:rPr>
          <w:rFonts w:eastAsiaTheme="minorHAnsi"/>
          <w:b/>
          <w:color w:val="auto"/>
          <w:sz w:val="20"/>
          <w:szCs w:val="20"/>
          <w:u w:val="single"/>
          <w:lang w:eastAsia="en-US"/>
        </w:rPr>
      </w:pPr>
    </w:p>
    <w:p w14:paraId="4AC77347" w14:textId="77777777" w:rsidR="0058260C" w:rsidRPr="0058260C" w:rsidRDefault="0058260C" w:rsidP="0058260C">
      <w:pPr>
        <w:widowControl/>
        <w:autoSpaceDE/>
        <w:autoSpaceDN/>
        <w:adjustRightInd/>
        <w:ind w:left="360"/>
        <w:contextualSpacing/>
        <w:rPr>
          <w:rFonts w:eastAsiaTheme="minorHAnsi"/>
          <w:b/>
          <w:color w:val="auto"/>
          <w:sz w:val="20"/>
          <w:szCs w:val="20"/>
          <w:u w:val="single"/>
          <w:lang w:eastAsia="en-US"/>
        </w:rPr>
      </w:pPr>
    </w:p>
    <w:p w14:paraId="609E3891" w14:textId="77777777" w:rsidR="0058260C" w:rsidRPr="0058260C" w:rsidRDefault="0058260C" w:rsidP="0058260C">
      <w:pPr>
        <w:widowControl/>
        <w:numPr>
          <w:ilvl w:val="0"/>
          <w:numId w:val="1"/>
        </w:numPr>
        <w:autoSpaceDE/>
        <w:autoSpaceDN/>
        <w:adjustRightInd/>
        <w:spacing w:after="200"/>
        <w:contextualSpacing/>
        <w:rPr>
          <w:rFonts w:eastAsiaTheme="minorHAnsi"/>
          <w:b/>
          <w:color w:val="auto"/>
          <w:sz w:val="20"/>
          <w:szCs w:val="20"/>
          <w:u w:val="single"/>
          <w:lang w:eastAsia="en-US"/>
        </w:rPr>
      </w:pPr>
      <w:r w:rsidRPr="0058260C">
        <w:rPr>
          <w:rFonts w:eastAsiaTheme="minorHAnsi"/>
          <w:b/>
          <w:color w:val="auto"/>
          <w:sz w:val="20"/>
          <w:szCs w:val="20"/>
          <w:u w:val="single"/>
          <w:lang w:eastAsia="en-US"/>
        </w:rPr>
        <w:t>Expected Outcome and Deliverables</w:t>
      </w:r>
    </w:p>
    <w:p w14:paraId="30ED0159" w14:textId="77777777" w:rsidR="0058260C" w:rsidRPr="0058260C" w:rsidRDefault="0058260C" w:rsidP="0058260C">
      <w:pPr>
        <w:tabs>
          <w:tab w:val="left" w:pos="841"/>
        </w:tabs>
        <w:autoSpaceDE/>
        <w:autoSpaceDN/>
        <w:adjustRightInd/>
        <w:ind w:right="115"/>
        <w:rPr>
          <w:rFonts w:eastAsia="Times New Roman"/>
          <w:color w:val="auto"/>
          <w:sz w:val="20"/>
          <w:szCs w:val="20"/>
          <w:lang w:eastAsia="en-US"/>
        </w:rPr>
      </w:pPr>
    </w:p>
    <w:p w14:paraId="0F5971AD" w14:textId="77777777" w:rsidR="0058260C" w:rsidRPr="0058260C" w:rsidRDefault="0058260C" w:rsidP="0058260C">
      <w:pPr>
        <w:tabs>
          <w:tab w:val="left" w:pos="841"/>
        </w:tabs>
        <w:autoSpaceDE/>
        <w:autoSpaceDN/>
        <w:adjustRightInd/>
        <w:ind w:left="360" w:right="115"/>
        <w:jc w:val="both"/>
        <w:rPr>
          <w:rFonts w:eastAsia="Calibri"/>
          <w:color w:val="auto"/>
          <w:sz w:val="20"/>
          <w:szCs w:val="20"/>
          <w:lang w:eastAsia="en-US"/>
        </w:rPr>
      </w:pPr>
      <w:r w:rsidRPr="0058260C">
        <w:rPr>
          <w:rFonts w:eastAsia="Times New Roman"/>
          <w:color w:val="auto"/>
          <w:sz w:val="20"/>
          <w:szCs w:val="20"/>
          <w:lang w:eastAsia="en-US"/>
        </w:rPr>
        <w:t>5.1 Workplan with detailed description of analytical approach and data sources.</w:t>
      </w:r>
    </w:p>
    <w:p w14:paraId="756AB21E" w14:textId="77777777" w:rsidR="0058260C" w:rsidRPr="0058260C" w:rsidRDefault="0058260C" w:rsidP="0058260C">
      <w:pPr>
        <w:tabs>
          <w:tab w:val="left" w:pos="841"/>
        </w:tabs>
        <w:autoSpaceDE/>
        <w:autoSpaceDN/>
        <w:adjustRightInd/>
        <w:ind w:left="360" w:right="115"/>
        <w:jc w:val="both"/>
        <w:rPr>
          <w:rFonts w:eastAsia="Calibri"/>
          <w:color w:val="auto"/>
          <w:sz w:val="20"/>
          <w:szCs w:val="20"/>
          <w:lang w:eastAsia="en-US"/>
        </w:rPr>
      </w:pPr>
      <w:r w:rsidRPr="0058260C">
        <w:rPr>
          <w:rFonts w:eastAsia="Calibri"/>
          <w:color w:val="auto"/>
          <w:sz w:val="20"/>
          <w:szCs w:val="20"/>
          <w:lang w:eastAsia="en-US"/>
        </w:rPr>
        <w:t xml:space="preserve">5.2. </w:t>
      </w:r>
      <w:r w:rsidRPr="0058260C">
        <w:rPr>
          <w:rFonts w:eastAsia="Times New Roman"/>
          <w:color w:val="auto"/>
          <w:sz w:val="20"/>
          <w:szCs w:val="20"/>
          <w:lang w:eastAsia="en-US"/>
        </w:rPr>
        <w:t>Report presenting the results of the data identification/collection process and, if necessary, a revised analysis plan.</w:t>
      </w:r>
    </w:p>
    <w:p w14:paraId="1940128D" w14:textId="77777777" w:rsidR="0058260C" w:rsidRPr="0058260C" w:rsidRDefault="0058260C" w:rsidP="0058260C">
      <w:pPr>
        <w:tabs>
          <w:tab w:val="left" w:pos="841"/>
        </w:tabs>
        <w:autoSpaceDE/>
        <w:autoSpaceDN/>
        <w:adjustRightInd/>
        <w:ind w:left="360" w:right="115"/>
        <w:jc w:val="both"/>
        <w:rPr>
          <w:rFonts w:eastAsia="Calibri"/>
          <w:color w:val="auto"/>
          <w:sz w:val="20"/>
          <w:szCs w:val="20"/>
          <w:lang w:eastAsia="en-US"/>
        </w:rPr>
      </w:pPr>
      <w:r w:rsidRPr="0058260C">
        <w:rPr>
          <w:rFonts w:eastAsia="Calibri"/>
          <w:color w:val="auto"/>
          <w:sz w:val="20"/>
          <w:szCs w:val="20"/>
          <w:lang w:eastAsia="en-US"/>
        </w:rPr>
        <w:t>5.3. Report with the relevant descriptive statistics (</w:t>
      </w:r>
      <w:proofErr w:type="spellStart"/>
      <w:r w:rsidRPr="0058260C">
        <w:rPr>
          <w:rFonts w:eastAsia="Calibri"/>
          <w:color w:val="auto"/>
          <w:sz w:val="20"/>
          <w:szCs w:val="20"/>
          <w:lang w:eastAsia="en-US"/>
        </w:rPr>
        <w:t>ie</w:t>
      </w:r>
      <w:proofErr w:type="spellEnd"/>
      <w:r w:rsidRPr="0058260C">
        <w:rPr>
          <w:rFonts w:eastAsia="Calibri"/>
          <w:color w:val="auto"/>
          <w:sz w:val="20"/>
          <w:szCs w:val="20"/>
          <w:lang w:eastAsia="en-US"/>
        </w:rPr>
        <w:t>. burden of disease, expenditures), analysis and findings related to questions 2.2 and 2.2 above.</w:t>
      </w:r>
    </w:p>
    <w:p w14:paraId="4A146332" w14:textId="77777777" w:rsidR="0058260C" w:rsidRPr="0058260C" w:rsidRDefault="0058260C" w:rsidP="0058260C">
      <w:pPr>
        <w:tabs>
          <w:tab w:val="left" w:pos="841"/>
        </w:tabs>
        <w:autoSpaceDE/>
        <w:autoSpaceDN/>
        <w:adjustRightInd/>
        <w:ind w:left="360" w:right="115"/>
        <w:jc w:val="both"/>
        <w:rPr>
          <w:rFonts w:eastAsia="Calibri"/>
          <w:color w:val="auto"/>
          <w:sz w:val="20"/>
          <w:szCs w:val="20"/>
          <w:lang w:eastAsia="en-US"/>
        </w:rPr>
      </w:pPr>
      <w:r w:rsidRPr="0058260C">
        <w:rPr>
          <w:rFonts w:eastAsia="Calibri"/>
          <w:color w:val="auto"/>
          <w:sz w:val="20"/>
          <w:szCs w:val="20"/>
          <w:lang w:eastAsia="en-US"/>
        </w:rPr>
        <w:t xml:space="preserve">5.4. Revised report including the analysis related to questions 2.2 and 2.4 above, plus conclusions and recommendations. </w:t>
      </w:r>
    </w:p>
    <w:p w14:paraId="0B2E42F1" w14:textId="77777777" w:rsidR="0058260C" w:rsidRPr="0058260C" w:rsidRDefault="0058260C" w:rsidP="0058260C">
      <w:pPr>
        <w:tabs>
          <w:tab w:val="left" w:pos="841"/>
        </w:tabs>
        <w:autoSpaceDE/>
        <w:autoSpaceDN/>
        <w:adjustRightInd/>
        <w:ind w:left="360" w:right="115"/>
        <w:jc w:val="both"/>
        <w:rPr>
          <w:rFonts w:eastAsia="Calibri"/>
          <w:color w:val="auto"/>
          <w:sz w:val="20"/>
          <w:szCs w:val="20"/>
          <w:lang w:eastAsia="en-US"/>
        </w:rPr>
      </w:pPr>
      <w:r w:rsidRPr="0058260C">
        <w:rPr>
          <w:rFonts w:eastAsia="Calibri"/>
          <w:color w:val="auto"/>
          <w:sz w:val="20"/>
          <w:szCs w:val="20"/>
          <w:lang w:eastAsia="en-US"/>
        </w:rPr>
        <w:t>5.5. Databases used for the analyses with respective dictionaries, coding and do-files.  Format will be agreed in conjunction with the Bank according to the available data.</w:t>
      </w:r>
    </w:p>
    <w:p w14:paraId="08CADFDC" w14:textId="77777777" w:rsidR="0058260C" w:rsidRPr="0058260C" w:rsidRDefault="0058260C" w:rsidP="0058260C">
      <w:pPr>
        <w:tabs>
          <w:tab w:val="left" w:pos="841"/>
        </w:tabs>
        <w:autoSpaceDE/>
        <w:autoSpaceDN/>
        <w:adjustRightInd/>
        <w:ind w:left="360" w:right="115"/>
        <w:jc w:val="both"/>
        <w:rPr>
          <w:rFonts w:eastAsia="Times New Roman"/>
          <w:color w:val="auto"/>
          <w:sz w:val="20"/>
          <w:szCs w:val="20"/>
          <w:lang w:eastAsia="en-US"/>
        </w:rPr>
      </w:pPr>
      <w:r w:rsidRPr="0058260C">
        <w:rPr>
          <w:rFonts w:eastAsia="Calibri"/>
          <w:color w:val="auto"/>
          <w:sz w:val="20"/>
          <w:szCs w:val="20"/>
          <w:lang w:eastAsia="en-US"/>
        </w:rPr>
        <w:t xml:space="preserve">5.6. Presentation of the main results and conclusions for a research seminar. </w:t>
      </w:r>
    </w:p>
    <w:p w14:paraId="69FAB943" w14:textId="77777777" w:rsidR="0058260C" w:rsidRPr="0058260C" w:rsidRDefault="0058260C" w:rsidP="0058260C">
      <w:pPr>
        <w:autoSpaceDE/>
        <w:autoSpaceDN/>
        <w:adjustRightInd/>
        <w:spacing w:after="200"/>
        <w:ind w:left="360"/>
        <w:contextualSpacing/>
        <w:jc w:val="both"/>
        <w:rPr>
          <w:rFonts w:eastAsiaTheme="minorHAnsi"/>
          <w:b/>
          <w:color w:val="auto"/>
          <w:sz w:val="20"/>
          <w:szCs w:val="20"/>
          <w:u w:val="single"/>
          <w:lang w:eastAsia="en-US"/>
        </w:rPr>
      </w:pPr>
    </w:p>
    <w:p w14:paraId="52A21DF9" w14:textId="77777777" w:rsidR="0058260C" w:rsidRPr="0058260C" w:rsidRDefault="0058260C" w:rsidP="0058260C">
      <w:pPr>
        <w:widowControl/>
        <w:autoSpaceDE/>
        <w:autoSpaceDN/>
        <w:adjustRightInd/>
        <w:ind w:left="360"/>
        <w:contextualSpacing/>
        <w:rPr>
          <w:rFonts w:eastAsiaTheme="minorHAnsi"/>
          <w:b/>
          <w:color w:val="auto"/>
          <w:sz w:val="20"/>
          <w:szCs w:val="20"/>
          <w:u w:val="single"/>
          <w:lang w:eastAsia="en-US"/>
        </w:rPr>
      </w:pPr>
    </w:p>
    <w:p w14:paraId="3064C31B" w14:textId="77777777" w:rsidR="0058260C" w:rsidRPr="0058260C" w:rsidRDefault="0058260C" w:rsidP="0058260C">
      <w:pPr>
        <w:widowControl/>
        <w:numPr>
          <w:ilvl w:val="0"/>
          <w:numId w:val="1"/>
        </w:numPr>
        <w:autoSpaceDE/>
        <w:autoSpaceDN/>
        <w:adjustRightInd/>
        <w:spacing w:after="200"/>
        <w:contextualSpacing/>
        <w:rPr>
          <w:rFonts w:eastAsiaTheme="minorHAnsi"/>
          <w:b/>
          <w:color w:val="auto"/>
          <w:sz w:val="20"/>
          <w:szCs w:val="20"/>
          <w:u w:val="single"/>
          <w:lang w:eastAsia="en-US"/>
        </w:rPr>
      </w:pPr>
      <w:r w:rsidRPr="0058260C">
        <w:rPr>
          <w:rFonts w:eastAsiaTheme="minorHAnsi"/>
          <w:b/>
          <w:color w:val="auto"/>
          <w:sz w:val="20"/>
          <w:szCs w:val="20"/>
          <w:u w:val="single"/>
          <w:lang w:eastAsia="en-US"/>
        </w:rPr>
        <w:t>Project Schedule and Milestones</w:t>
      </w:r>
    </w:p>
    <w:p w14:paraId="249DC0FF" w14:textId="77777777" w:rsidR="0058260C" w:rsidRPr="0058260C" w:rsidRDefault="0058260C" w:rsidP="0058260C">
      <w:pPr>
        <w:autoSpaceDE/>
        <w:autoSpaceDN/>
        <w:adjustRightInd/>
        <w:spacing w:after="200"/>
        <w:ind w:left="360"/>
        <w:contextualSpacing/>
        <w:rPr>
          <w:rFonts w:eastAsiaTheme="minorHAnsi"/>
          <w:b/>
          <w:color w:val="auto"/>
          <w:sz w:val="20"/>
          <w:szCs w:val="20"/>
          <w:u w:val="single"/>
          <w:lang w:eastAsia="en-US"/>
        </w:rPr>
      </w:pPr>
    </w:p>
    <w:p w14:paraId="5301B67A" w14:textId="77777777" w:rsidR="0058260C" w:rsidRPr="0058260C" w:rsidRDefault="0058260C" w:rsidP="0058260C">
      <w:pPr>
        <w:widowControl/>
        <w:autoSpaceDE/>
        <w:autoSpaceDN/>
        <w:adjustRightInd/>
        <w:ind w:left="360"/>
        <w:contextualSpacing/>
        <w:rPr>
          <w:rFonts w:eastAsiaTheme="minorHAnsi"/>
          <w:color w:val="auto"/>
          <w:sz w:val="20"/>
          <w:szCs w:val="20"/>
          <w:lang w:eastAsia="en-US"/>
        </w:rPr>
      </w:pPr>
      <w:r w:rsidRPr="0058260C">
        <w:rPr>
          <w:rFonts w:eastAsiaTheme="minorHAnsi"/>
          <w:color w:val="auto"/>
          <w:sz w:val="20"/>
          <w:szCs w:val="20"/>
          <w:lang w:eastAsia="en-US"/>
        </w:rPr>
        <w:t xml:space="preserve">Expected duration of the project is 18 months from signature of contract according to the following tentative table. </w:t>
      </w:r>
    </w:p>
    <w:p w14:paraId="03C236DF" w14:textId="77777777" w:rsidR="0058260C" w:rsidRPr="0058260C" w:rsidRDefault="0058260C" w:rsidP="0058260C">
      <w:pPr>
        <w:widowControl/>
        <w:autoSpaceDE/>
        <w:autoSpaceDN/>
        <w:adjustRightInd/>
        <w:ind w:left="360"/>
        <w:contextualSpacing/>
        <w:rPr>
          <w:rFonts w:eastAsiaTheme="minorHAnsi"/>
          <w:color w:val="auto"/>
          <w:sz w:val="20"/>
          <w:szCs w:val="20"/>
          <w:lang w:eastAsia="en-US"/>
        </w:rPr>
      </w:pPr>
    </w:p>
    <w:tbl>
      <w:tblPr>
        <w:tblStyle w:val="TableGrid1"/>
        <w:tblW w:w="8005" w:type="dxa"/>
        <w:tblLook w:val="04A0" w:firstRow="1" w:lastRow="0" w:firstColumn="1" w:lastColumn="0" w:noHBand="0" w:noVBand="1"/>
      </w:tblPr>
      <w:tblGrid>
        <w:gridCol w:w="5760"/>
        <w:gridCol w:w="2245"/>
      </w:tblGrid>
      <w:tr w:rsidR="0058260C" w:rsidRPr="0058260C" w14:paraId="5FECAB42" w14:textId="77777777" w:rsidTr="00AE6AE3">
        <w:trPr>
          <w:trHeight w:val="300"/>
        </w:trPr>
        <w:tc>
          <w:tcPr>
            <w:tcW w:w="5760" w:type="dxa"/>
            <w:noWrap/>
            <w:hideMark/>
          </w:tcPr>
          <w:p w14:paraId="4CBFC69A" w14:textId="77777777" w:rsidR="0058260C" w:rsidRPr="0058260C" w:rsidRDefault="0058260C" w:rsidP="0058260C">
            <w:pPr>
              <w:widowControl/>
              <w:autoSpaceDE/>
              <w:autoSpaceDN/>
              <w:adjustRightInd/>
              <w:contextualSpacing/>
              <w:rPr>
                <w:rFonts w:eastAsia="Times New Roman"/>
                <w:b/>
                <w:bCs/>
                <w:sz w:val="20"/>
                <w:szCs w:val="20"/>
              </w:rPr>
            </w:pPr>
            <w:r w:rsidRPr="0058260C">
              <w:rPr>
                <w:rFonts w:eastAsia="Times New Roman"/>
                <w:b/>
                <w:bCs/>
                <w:sz w:val="20"/>
                <w:szCs w:val="20"/>
              </w:rPr>
              <w:t xml:space="preserve">Milestones/deliverables </w:t>
            </w:r>
          </w:p>
        </w:tc>
        <w:tc>
          <w:tcPr>
            <w:tcW w:w="2245" w:type="dxa"/>
            <w:noWrap/>
            <w:hideMark/>
          </w:tcPr>
          <w:p w14:paraId="7432E79F" w14:textId="77777777" w:rsidR="0058260C" w:rsidRPr="0058260C" w:rsidRDefault="0058260C" w:rsidP="0058260C">
            <w:pPr>
              <w:widowControl/>
              <w:autoSpaceDE/>
              <w:autoSpaceDN/>
              <w:adjustRightInd/>
              <w:contextualSpacing/>
              <w:rPr>
                <w:rFonts w:eastAsia="Times New Roman"/>
                <w:b/>
                <w:bCs/>
                <w:sz w:val="20"/>
                <w:szCs w:val="20"/>
              </w:rPr>
            </w:pPr>
            <w:r w:rsidRPr="0058260C">
              <w:rPr>
                <w:rFonts w:eastAsia="Times New Roman"/>
                <w:b/>
                <w:bCs/>
                <w:sz w:val="20"/>
                <w:szCs w:val="20"/>
              </w:rPr>
              <w:t>Delivery date after signature of contract</w:t>
            </w:r>
          </w:p>
        </w:tc>
      </w:tr>
      <w:tr w:rsidR="0058260C" w:rsidRPr="0058260C" w14:paraId="412C8919" w14:textId="77777777" w:rsidTr="00AE6AE3">
        <w:trPr>
          <w:trHeight w:val="300"/>
        </w:trPr>
        <w:tc>
          <w:tcPr>
            <w:tcW w:w="5760" w:type="dxa"/>
            <w:noWrap/>
            <w:hideMark/>
          </w:tcPr>
          <w:p w14:paraId="1572DD6B" w14:textId="77777777" w:rsidR="0058260C" w:rsidRPr="0058260C" w:rsidRDefault="0058260C" w:rsidP="0058260C">
            <w:pPr>
              <w:widowControl/>
              <w:autoSpaceDE/>
              <w:autoSpaceDN/>
              <w:adjustRightInd/>
              <w:contextualSpacing/>
              <w:rPr>
                <w:rFonts w:eastAsia="Times New Roman"/>
                <w:sz w:val="20"/>
                <w:szCs w:val="20"/>
              </w:rPr>
            </w:pPr>
            <w:r w:rsidRPr="0058260C">
              <w:rPr>
                <w:rFonts w:eastAsia="Times New Roman"/>
                <w:bCs/>
                <w:sz w:val="20"/>
                <w:szCs w:val="20"/>
              </w:rPr>
              <w:t>Workplan Deliverable 5.1</w:t>
            </w:r>
          </w:p>
        </w:tc>
        <w:tc>
          <w:tcPr>
            <w:tcW w:w="2245" w:type="dxa"/>
            <w:noWrap/>
            <w:hideMark/>
          </w:tcPr>
          <w:p w14:paraId="72A50E8F" w14:textId="77777777" w:rsidR="0058260C" w:rsidRPr="0058260C" w:rsidRDefault="0058260C" w:rsidP="0058260C">
            <w:pPr>
              <w:widowControl/>
              <w:autoSpaceDE/>
              <w:autoSpaceDN/>
              <w:adjustRightInd/>
              <w:contextualSpacing/>
              <w:rPr>
                <w:rFonts w:eastAsia="Times New Roman"/>
                <w:sz w:val="20"/>
                <w:szCs w:val="20"/>
              </w:rPr>
            </w:pPr>
            <w:r w:rsidRPr="0058260C">
              <w:rPr>
                <w:rFonts w:eastAsia="Times New Roman"/>
                <w:sz w:val="20"/>
                <w:szCs w:val="20"/>
              </w:rPr>
              <w:t>Week 4</w:t>
            </w:r>
          </w:p>
        </w:tc>
      </w:tr>
      <w:tr w:rsidR="0058260C" w:rsidRPr="0058260C" w14:paraId="6B625FA2" w14:textId="77777777" w:rsidTr="00AE6AE3">
        <w:trPr>
          <w:trHeight w:val="300"/>
        </w:trPr>
        <w:tc>
          <w:tcPr>
            <w:tcW w:w="5760" w:type="dxa"/>
            <w:noWrap/>
          </w:tcPr>
          <w:p w14:paraId="64945561"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Feedback from IDB</w:t>
            </w:r>
          </w:p>
        </w:tc>
        <w:tc>
          <w:tcPr>
            <w:tcW w:w="2245" w:type="dxa"/>
            <w:noWrap/>
          </w:tcPr>
          <w:p w14:paraId="299C4727"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Week 5</w:t>
            </w:r>
          </w:p>
        </w:tc>
      </w:tr>
      <w:tr w:rsidR="0058260C" w:rsidRPr="0058260C" w14:paraId="74942CE5" w14:textId="77777777" w:rsidTr="00AE6AE3">
        <w:trPr>
          <w:trHeight w:val="300"/>
        </w:trPr>
        <w:tc>
          <w:tcPr>
            <w:tcW w:w="5760" w:type="dxa"/>
            <w:noWrap/>
          </w:tcPr>
          <w:p w14:paraId="37FBBA18"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Conference call and progress report with IDB</w:t>
            </w:r>
          </w:p>
        </w:tc>
        <w:tc>
          <w:tcPr>
            <w:tcW w:w="2245" w:type="dxa"/>
            <w:noWrap/>
            <w:hideMark/>
          </w:tcPr>
          <w:p w14:paraId="4F1F0874"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Week 9</w:t>
            </w:r>
          </w:p>
        </w:tc>
      </w:tr>
      <w:tr w:rsidR="0058260C" w:rsidRPr="0058260C" w14:paraId="4D8B2F94" w14:textId="77777777" w:rsidTr="00AE6AE3">
        <w:trPr>
          <w:trHeight w:val="341"/>
        </w:trPr>
        <w:tc>
          <w:tcPr>
            <w:tcW w:w="5760" w:type="dxa"/>
            <w:noWrap/>
            <w:hideMark/>
          </w:tcPr>
          <w:p w14:paraId="738B3676"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Deliverable 5.2</w:t>
            </w:r>
          </w:p>
        </w:tc>
        <w:tc>
          <w:tcPr>
            <w:tcW w:w="2245" w:type="dxa"/>
            <w:noWrap/>
            <w:hideMark/>
          </w:tcPr>
          <w:p w14:paraId="3EB55503"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Week 13</w:t>
            </w:r>
          </w:p>
        </w:tc>
      </w:tr>
      <w:tr w:rsidR="0058260C" w:rsidRPr="0058260C" w14:paraId="617FF5C8" w14:textId="77777777" w:rsidTr="00AE6AE3">
        <w:trPr>
          <w:trHeight w:val="332"/>
        </w:trPr>
        <w:tc>
          <w:tcPr>
            <w:tcW w:w="5760" w:type="dxa"/>
            <w:noWrap/>
            <w:hideMark/>
          </w:tcPr>
          <w:p w14:paraId="6FAD1249"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Feedback from IDB</w:t>
            </w:r>
          </w:p>
        </w:tc>
        <w:tc>
          <w:tcPr>
            <w:tcW w:w="2245" w:type="dxa"/>
            <w:noWrap/>
            <w:hideMark/>
          </w:tcPr>
          <w:p w14:paraId="5DA36C56"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Week 14</w:t>
            </w:r>
          </w:p>
        </w:tc>
      </w:tr>
      <w:tr w:rsidR="0058260C" w:rsidRPr="0058260C" w14:paraId="6F76B816" w14:textId="77777777" w:rsidTr="00AE6AE3">
        <w:trPr>
          <w:trHeight w:val="278"/>
        </w:trPr>
        <w:tc>
          <w:tcPr>
            <w:tcW w:w="5760" w:type="dxa"/>
            <w:noWrap/>
          </w:tcPr>
          <w:p w14:paraId="0504F1FF"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Conference call with IDB</w:t>
            </w:r>
          </w:p>
        </w:tc>
        <w:tc>
          <w:tcPr>
            <w:tcW w:w="2245" w:type="dxa"/>
            <w:noWrap/>
          </w:tcPr>
          <w:p w14:paraId="29C46C2D"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Week 24 (6 months)</w:t>
            </w:r>
          </w:p>
        </w:tc>
      </w:tr>
      <w:tr w:rsidR="0058260C" w:rsidRPr="0058260C" w14:paraId="280E445F" w14:textId="77777777" w:rsidTr="00AE6AE3">
        <w:trPr>
          <w:trHeight w:val="233"/>
        </w:trPr>
        <w:tc>
          <w:tcPr>
            <w:tcW w:w="5760" w:type="dxa"/>
            <w:noWrap/>
          </w:tcPr>
          <w:p w14:paraId="3881179B"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Conference call and progress report with IDB</w:t>
            </w:r>
          </w:p>
        </w:tc>
        <w:tc>
          <w:tcPr>
            <w:tcW w:w="2245" w:type="dxa"/>
            <w:noWrap/>
          </w:tcPr>
          <w:p w14:paraId="4B7379A3"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Week 35 (8 months)</w:t>
            </w:r>
          </w:p>
        </w:tc>
      </w:tr>
      <w:tr w:rsidR="0058260C" w:rsidRPr="0058260C" w14:paraId="53001E61" w14:textId="77777777" w:rsidTr="00AE6AE3">
        <w:trPr>
          <w:trHeight w:val="233"/>
        </w:trPr>
        <w:tc>
          <w:tcPr>
            <w:tcW w:w="5760" w:type="dxa"/>
            <w:noWrap/>
          </w:tcPr>
          <w:p w14:paraId="4661C867"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Deliverable 5.3</w:t>
            </w:r>
          </w:p>
        </w:tc>
        <w:tc>
          <w:tcPr>
            <w:tcW w:w="2245" w:type="dxa"/>
            <w:noWrap/>
          </w:tcPr>
          <w:p w14:paraId="3051F3BB"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Week 44 (10 months)</w:t>
            </w:r>
          </w:p>
        </w:tc>
      </w:tr>
      <w:tr w:rsidR="0058260C" w:rsidRPr="0058260C" w14:paraId="5F4796C2" w14:textId="77777777" w:rsidTr="00AE6AE3">
        <w:trPr>
          <w:trHeight w:val="300"/>
        </w:trPr>
        <w:tc>
          <w:tcPr>
            <w:tcW w:w="5760" w:type="dxa"/>
            <w:noWrap/>
            <w:hideMark/>
          </w:tcPr>
          <w:p w14:paraId="469A5A16"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Conference call for discussion with IDB</w:t>
            </w:r>
          </w:p>
        </w:tc>
        <w:tc>
          <w:tcPr>
            <w:tcW w:w="2245" w:type="dxa"/>
            <w:noWrap/>
            <w:hideMark/>
          </w:tcPr>
          <w:p w14:paraId="2A7ED895"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Week 46</w:t>
            </w:r>
          </w:p>
        </w:tc>
      </w:tr>
      <w:tr w:rsidR="0058260C" w:rsidRPr="0058260C" w14:paraId="7A21A047" w14:textId="77777777" w:rsidTr="00AE6AE3">
        <w:trPr>
          <w:trHeight w:val="300"/>
        </w:trPr>
        <w:tc>
          <w:tcPr>
            <w:tcW w:w="5760" w:type="dxa"/>
            <w:noWrap/>
          </w:tcPr>
          <w:p w14:paraId="586F6704"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Conference call with IDB</w:t>
            </w:r>
          </w:p>
        </w:tc>
        <w:tc>
          <w:tcPr>
            <w:tcW w:w="2245" w:type="dxa"/>
            <w:noWrap/>
          </w:tcPr>
          <w:p w14:paraId="44CFFCCA"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Week 60 (14 months)</w:t>
            </w:r>
          </w:p>
        </w:tc>
      </w:tr>
      <w:tr w:rsidR="0058260C" w:rsidRPr="0058260C" w14:paraId="710F5E2F" w14:textId="77777777" w:rsidTr="00AE6AE3">
        <w:trPr>
          <w:trHeight w:val="300"/>
        </w:trPr>
        <w:tc>
          <w:tcPr>
            <w:tcW w:w="5760" w:type="dxa"/>
            <w:noWrap/>
          </w:tcPr>
          <w:p w14:paraId="770ECE42"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 xml:space="preserve">First draft of Deliverable 5.4 </w:t>
            </w:r>
          </w:p>
        </w:tc>
        <w:tc>
          <w:tcPr>
            <w:tcW w:w="2245" w:type="dxa"/>
            <w:noWrap/>
          </w:tcPr>
          <w:p w14:paraId="0E0BAD98"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Week 65 (15 months)</w:t>
            </w:r>
          </w:p>
        </w:tc>
      </w:tr>
      <w:tr w:rsidR="0058260C" w:rsidRPr="0058260C" w14:paraId="26548A48" w14:textId="77777777" w:rsidTr="00AE6AE3">
        <w:trPr>
          <w:trHeight w:val="300"/>
        </w:trPr>
        <w:tc>
          <w:tcPr>
            <w:tcW w:w="5760" w:type="dxa"/>
            <w:noWrap/>
          </w:tcPr>
          <w:p w14:paraId="759D133A"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Conference call for discussing first draft with IDB</w:t>
            </w:r>
          </w:p>
        </w:tc>
        <w:tc>
          <w:tcPr>
            <w:tcW w:w="2245" w:type="dxa"/>
            <w:noWrap/>
          </w:tcPr>
          <w:p w14:paraId="25F7967A"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Week 67</w:t>
            </w:r>
          </w:p>
        </w:tc>
      </w:tr>
      <w:tr w:rsidR="0058260C" w:rsidRPr="0058260C" w14:paraId="5DB3E931" w14:textId="77777777" w:rsidTr="00AE6AE3">
        <w:trPr>
          <w:trHeight w:val="300"/>
        </w:trPr>
        <w:tc>
          <w:tcPr>
            <w:tcW w:w="5760" w:type="dxa"/>
            <w:noWrap/>
          </w:tcPr>
          <w:p w14:paraId="1449BC55"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 xml:space="preserve">Second draft circulated </w:t>
            </w:r>
          </w:p>
        </w:tc>
        <w:tc>
          <w:tcPr>
            <w:tcW w:w="2245" w:type="dxa"/>
            <w:noWrap/>
          </w:tcPr>
          <w:p w14:paraId="6BCAC9FD"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 Week 70</w:t>
            </w:r>
          </w:p>
        </w:tc>
      </w:tr>
      <w:tr w:rsidR="0058260C" w:rsidRPr="0058260C" w14:paraId="29D9CF26" w14:textId="77777777" w:rsidTr="00AE6AE3">
        <w:trPr>
          <w:trHeight w:val="300"/>
        </w:trPr>
        <w:tc>
          <w:tcPr>
            <w:tcW w:w="5760" w:type="dxa"/>
            <w:noWrap/>
          </w:tcPr>
          <w:p w14:paraId="5A05E76C"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Conference call for discussing second draft with IDB</w:t>
            </w:r>
          </w:p>
        </w:tc>
        <w:tc>
          <w:tcPr>
            <w:tcW w:w="2245" w:type="dxa"/>
            <w:noWrap/>
          </w:tcPr>
          <w:p w14:paraId="2F8C0648"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 Week 71</w:t>
            </w:r>
          </w:p>
        </w:tc>
      </w:tr>
      <w:tr w:rsidR="0058260C" w:rsidRPr="0058260C" w14:paraId="5F56A5E0" w14:textId="77777777" w:rsidTr="00AE6AE3">
        <w:trPr>
          <w:trHeight w:val="300"/>
        </w:trPr>
        <w:tc>
          <w:tcPr>
            <w:tcW w:w="5760" w:type="dxa"/>
            <w:noWrap/>
            <w:hideMark/>
          </w:tcPr>
          <w:p w14:paraId="23ECBA3A"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Deliverables 5.4 and 5.5</w:t>
            </w:r>
          </w:p>
        </w:tc>
        <w:tc>
          <w:tcPr>
            <w:tcW w:w="2245" w:type="dxa"/>
            <w:noWrap/>
            <w:hideMark/>
          </w:tcPr>
          <w:p w14:paraId="4BB0F93E"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Week 74 (17 months)</w:t>
            </w:r>
          </w:p>
        </w:tc>
      </w:tr>
      <w:tr w:rsidR="0058260C" w:rsidRPr="0058260C" w14:paraId="451E3447" w14:textId="77777777" w:rsidTr="00AE6AE3">
        <w:trPr>
          <w:trHeight w:val="300"/>
        </w:trPr>
        <w:tc>
          <w:tcPr>
            <w:tcW w:w="5760" w:type="dxa"/>
            <w:noWrap/>
            <w:hideMark/>
          </w:tcPr>
          <w:p w14:paraId="1A2660DD"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Deliverable 5.6</w:t>
            </w:r>
          </w:p>
        </w:tc>
        <w:tc>
          <w:tcPr>
            <w:tcW w:w="2245" w:type="dxa"/>
            <w:noWrap/>
            <w:hideMark/>
          </w:tcPr>
          <w:p w14:paraId="4D5EB3A2" w14:textId="77777777" w:rsidR="0058260C" w:rsidRPr="0058260C" w:rsidRDefault="0058260C" w:rsidP="0058260C">
            <w:pPr>
              <w:widowControl/>
              <w:autoSpaceDE/>
              <w:autoSpaceDN/>
              <w:adjustRightInd/>
              <w:contextualSpacing/>
              <w:rPr>
                <w:rFonts w:eastAsia="Times New Roman"/>
                <w:bCs/>
                <w:sz w:val="20"/>
                <w:szCs w:val="20"/>
              </w:rPr>
            </w:pPr>
            <w:r w:rsidRPr="0058260C">
              <w:rPr>
                <w:rFonts w:eastAsia="Times New Roman"/>
                <w:bCs/>
                <w:sz w:val="20"/>
                <w:szCs w:val="20"/>
              </w:rPr>
              <w:t> Week 78 (18 months)</w:t>
            </w:r>
          </w:p>
        </w:tc>
      </w:tr>
    </w:tbl>
    <w:p w14:paraId="32C86D3F" w14:textId="77777777" w:rsidR="0058260C" w:rsidRPr="0058260C" w:rsidRDefault="0058260C" w:rsidP="0058260C">
      <w:pPr>
        <w:widowControl/>
        <w:autoSpaceDE/>
        <w:autoSpaceDN/>
        <w:adjustRightInd/>
        <w:ind w:left="360"/>
        <w:contextualSpacing/>
        <w:rPr>
          <w:rFonts w:eastAsiaTheme="minorHAnsi"/>
          <w:b/>
          <w:color w:val="auto"/>
          <w:sz w:val="20"/>
          <w:szCs w:val="20"/>
          <w:u w:val="single"/>
          <w:lang w:eastAsia="en-US"/>
        </w:rPr>
      </w:pPr>
    </w:p>
    <w:p w14:paraId="4E13E17A" w14:textId="77777777" w:rsidR="0058260C" w:rsidRPr="0058260C" w:rsidRDefault="0058260C" w:rsidP="0058260C">
      <w:pPr>
        <w:widowControl/>
        <w:numPr>
          <w:ilvl w:val="0"/>
          <w:numId w:val="1"/>
        </w:numPr>
        <w:autoSpaceDE/>
        <w:autoSpaceDN/>
        <w:adjustRightInd/>
        <w:spacing w:after="200"/>
        <w:contextualSpacing/>
        <w:rPr>
          <w:rFonts w:eastAsiaTheme="minorHAnsi"/>
          <w:b/>
          <w:color w:val="auto"/>
          <w:sz w:val="20"/>
          <w:szCs w:val="20"/>
          <w:u w:val="single"/>
          <w:lang w:eastAsia="en-US"/>
        </w:rPr>
      </w:pPr>
      <w:r w:rsidRPr="0058260C">
        <w:rPr>
          <w:rFonts w:eastAsiaTheme="minorHAnsi"/>
          <w:b/>
          <w:color w:val="auto"/>
          <w:sz w:val="20"/>
          <w:szCs w:val="20"/>
          <w:u w:val="single"/>
          <w:lang w:eastAsia="en-US"/>
        </w:rPr>
        <w:t>Reporting Requirements</w:t>
      </w:r>
    </w:p>
    <w:p w14:paraId="6BBDEC1F" w14:textId="77777777" w:rsidR="0058260C" w:rsidRPr="0058260C" w:rsidRDefault="0058260C" w:rsidP="0058260C">
      <w:pPr>
        <w:widowControl/>
        <w:autoSpaceDE/>
        <w:autoSpaceDN/>
        <w:adjustRightInd/>
        <w:contextualSpacing/>
        <w:rPr>
          <w:rFonts w:eastAsiaTheme="minorHAnsi"/>
          <w:b/>
          <w:color w:val="auto"/>
          <w:sz w:val="20"/>
          <w:szCs w:val="20"/>
          <w:u w:val="single"/>
          <w:lang w:eastAsia="en-US"/>
        </w:rPr>
      </w:pPr>
    </w:p>
    <w:p w14:paraId="70184331" w14:textId="77777777" w:rsidR="0058260C" w:rsidRPr="0058260C" w:rsidRDefault="0058260C" w:rsidP="0058260C">
      <w:pPr>
        <w:widowControl/>
        <w:autoSpaceDE/>
        <w:autoSpaceDN/>
        <w:adjustRightInd/>
        <w:spacing w:after="120"/>
        <w:contextualSpacing/>
        <w:jc w:val="both"/>
        <w:rPr>
          <w:rFonts w:eastAsia="Times New Roman"/>
          <w:color w:val="auto"/>
          <w:sz w:val="20"/>
          <w:szCs w:val="20"/>
          <w:lang w:eastAsia="en-US"/>
        </w:rPr>
      </w:pPr>
      <w:r w:rsidRPr="0058260C">
        <w:rPr>
          <w:rFonts w:eastAsia="Times New Roman"/>
          <w:color w:val="auto"/>
          <w:sz w:val="20"/>
          <w:szCs w:val="20"/>
          <w:lang w:eastAsia="en-US"/>
        </w:rPr>
        <w:t xml:space="preserve">Every report must be submitted to the Bank in a digital file in English. The report should include cover, main document, and all annexes. Zip files will not be accepted as final reports, due to Records Management Section regulations. The database shall be generated in a format most suitable for relevant statistical analyses, to be agreed with IDB. </w:t>
      </w:r>
    </w:p>
    <w:p w14:paraId="6DD69839" w14:textId="77777777" w:rsidR="0058260C" w:rsidRPr="0058260C" w:rsidRDefault="0058260C" w:rsidP="0058260C">
      <w:pPr>
        <w:autoSpaceDE/>
        <w:autoSpaceDN/>
        <w:adjustRightInd/>
        <w:contextualSpacing/>
        <w:rPr>
          <w:rFonts w:eastAsiaTheme="minorHAnsi"/>
          <w:b/>
          <w:color w:val="auto"/>
          <w:sz w:val="20"/>
          <w:szCs w:val="20"/>
          <w:lang w:eastAsia="en-US"/>
        </w:rPr>
      </w:pPr>
    </w:p>
    <w:p w14:paraId="5C9AB26C" w14:textId="77777777" w:rsidR="0058260C" w:rsidRPr="0058260C" w:rsidRDefault="0058260C" w:rsidP="0058260C">
      <w:pPr>
        <w:widowControl/>
        <w:numPr>
          <w:ilvl w:val="0"/>
          <w:numId w:val="1"/>
        </w:numPr>
        <w:autoSpaceDE/>
        <w:autoSpaceDN/>
        <w:adjustRightInd/>
        <w:spacing w:after="200"/>
        <w:contextualSpacing/>
        <w:rPr>
          <w:rFonts w:eastAsiaTheme="minorHAnsi"/>
          <w:b/>
          <w:color w:val="auto"/>
          <w:sz w:val="20"/>
          <w:szCs w:val="20"/>
          <w:u w:val="single"/>
          <w:lang w:eastAsia="en-US"/>
        </w:rPr>
      </w:pPr>
      <w:r w:rsidRPr="0058260C">
        <w:rPr>
          <w:rFonts w:eastAsiaTheme="minorHAnsi"/>
          <w:b/>
          <w:color w:val="auto"/>
          <w:sz w:val="20"/>
          <w:szCs w:val="20"/>
          <w:u w:val="single"/>
          <w:lang w:eastAsia="en-US"/>
        </w:rPr>
        <w:t>Acceptance Criteria</w:t>
      </w:r>
    </w:p>
    <w:p w14:paraId="35BBD2D8" w14:textId="77777777" w:rsidR="0058260C" w:rsidRPr="0058260C" w:rsidRDefault="0058260C" w:rsidP="0058260C">
      <w:pPr>
        <w:widowControl/>
        <w:shd w:val="clear" w:color="auto" w:fill="FFFFFF"/>
        <w:autoSpaceDE/>
        <w:autoSpaceDN/>
        <w:adjustRightInd/>
        <w:contextualSpacing/>
        <w:rPr>
          <w:rFonts w:eastAsia="Times New Roman"/>
          <w:color w:val="008800"/>
          <w:sz w:val="20"/>
          <w:szCs w:val="20"/>
          <w:lang w:val="en-GB" w:eastAsia="en-US"/>
        </w:rPr>
      </w:pPr>
    </w:p>
    <w:p w14:paraId="01947ABF" w14:textId="77777777" w:rsidR="0058260C" w:rsidRPr="0058260C" w:rsidRDefault="0058260C" w:rsidP="0058260C">
      <w:pPr>
        <w:autoSpaceDE/>
        <w:autoSpaceDN/>
        <w:adjustRightInd/>
        <w:spacing w:after="200"/>
        <w:contextualSpacing/>
        <w:jc w:val="both"/>
        <w:rPr>
          <w:rFonts w:eastAsiaTheme="minorHAnsi"/>
          <w:color w:val="auto"/>
          <w:sz w:val="20"/>
          <w:szCs w:val="20"/>
          <w:lang w:eastAsia="en-US"/>
        </w:rPr>
      </w:pPr>
      <w:r w:rsidRPr="0058260C">
        <w:rPr>
          <w:rFonts w:eastAsiaTheme="minorHAnsi"/>
          <w:color w:val="auto"/>
          <w:sz w:val="20"/>
          <w:szCs w:val="20"/>
          <w:lang w:eastAsia="en-US"/>
        </w:rPr>
        <w:t>Upon submission, all deliverables will be reviewed by members of qualified staff from SCL/SPH or external experts if deemed necessary. If the reviewers deem that the deliverables meet the requirements as stated in the TORs the product will be accepted.</w:t>
      </w:r>
    </w:p>
    <w:p w14:paraId="38358F6F" w14:textId="77777777" w:rsidR="0058260C" w:rsidRPr="0058260C" w:rsidRDefault="0058260C" w:rsidP="0058260C">
      <w:pPr>
        <w:autoSpaceDE/>
        <w:autoSpaceDN/>
        <w:adjustRightInd/>
        <w:spacing w:after="200"/>
        <w:contextualSpacing/>
        <w:jc w:val="both"/>
        <w:rPr>
          <w:rFonts w:eastAsiaTheme="minorHAnsi"/>
          <w:color w:val="auto"/>
          <w:sz w:val="20"/>
          <w:szCs w:val="20"/>
          <w:lang w:eastAsia="en-US"/>
        </w:rPr>
      </w:pPr>
    </w:p>
    <w:p w14:paraId="79CC68F1" w14:textId="77777777" w:rsidR="0058260C" w:rsidRPr="0058260C" w:rsidRDefault="0058260C" w:rsidP="0058260C">
      <w:pPr>
        <w:autoSpaceDE/>
        <w:autoSpaceDN/>
        <w:adjustRightInd/>
        <w:spacing w:after="200"/>
        <w:contextualSpacing/>
        <w:rPr>
          <w:rFonts w:eastAsiaTheme="minorHAnsi"/>
          <w:b/>
          <w:color w:val="auto"/>
          <w:sz w:val="20"/>
          <w:szCs w:val="20"/>
          <w:u w:val="single"/>
          <w:lang w:eastAsia="en-US"/>
        </w:rPr>
      </w:pPr>
    </w:p>
    <w:p w14:paraId="31E2E621" w14:textId="77777777" w:rsidR="0058260C" w:rsidRPr="0058260C" w:rsidRDefault="0058260C" w:rsidP="0058260C">
      <w:pPr>
        <w:widowControl/>
        <w:numPr>
          <w:ilvl w:val="0"/>
          <w:numId w:val="1"/>
        </w:numPr>
        <w:shd w:val="clear" w:color="auto" w:fill="FFFFFF"/>
        <w:autoSpaceDE/>
        <w:autoSpaceDN/>
        <w:adjustRightInd/>
        <w:spacing w:after="200"/>
        <w:contextualSpacing/>
        <w:rPr>
          <w:rFonts w:eastAsia="Times New Roman"/>
          <w:color w:val="008800"/>
          <w:sz w:val="20"/>
          <w:szCs w:val="20"/>
          <w:lang w:eastAsia="en-US"/>
        </w:rPr>
      </w:pPr>
      <w:r w:rsidRPr="0058260C">
        <w:rPr>
          <w:rFonts w:eastAsiaTheme="minorHAnsi"/>
          <w:b/>
          <w:color w:val="auto"/>
          <w:sz w:val="20"/>
          <w:szCs w:val="20"/>
          <w:u w:val="single"/>
          <w:lang w:eastAsia="en-US"/>
        </w:rPr>
        <w:t>Other Requirements</w:t>
      </w:r>
    </w:p>
    <w:p w14:paraId="68A34E23" w14:textId="77777777" w:rsidR="0058260C" w:rsidRPr="0058260C" w:rsidRDefault="0058260C" w:rsidP="0058260C">
      <w:pPr>
        <w:shd w:val="clear" w:color="auto" w:fill="FFFFFF"/>
        <w:autoSpaceDE/>
        <w:autoSpaceDN/>
        <w:adjustRightInd/>
        <w:spacing w:after="200"/>
        <w:contextualSpacing/>
        <w:rPr>
          <w:rFonts w:eastAsia="Times New Roman"/>
          <w:color w:val="008800"/>
          <w:sz w:val="20"/>
          <w:szCs w:val="20"/>
          <w:lang w:eastAsia="en-US"/>
        </w:rPr>
      </w:pPr>
    </w:p>
    <w:p w14:paraId="5BF97FDC" w14:textId="77777777" w:rsidR="0058260C" w:rsidRPr="0058260C" w:rsidRDefault="0058260C" w:rsidP="0058260C">
      <w:pPr>
        <w:shd w:val="clear" w:color="auto" w:fill="FFFFFF"/>
        <w:autoSpaceDE/>
        <w:autoSpaceDN/>
        <w:adjustRightInd/>
        <w:spacing w:after="200"/>
        <w:contextualSpacing/>
        <w:jc w:val="both"/>
        <w:rPr>
          <w:rFonts w:eastAsia="Times New Roman"/>
          <w:bCs/>
          <w:color w:val="auto"/>
          <w:sz w:val="20"/>
          <w:szCs w:val="20"/>
          <w:lang w:eastAsia="en-US"/>
        </w:rPr>
      </w:pPr>
      <w:r w:rsidRPr="0058260C">
        <w:rPr>
          <w:rFonts w:eastAsia="Times New Roman"/>
          <w:bCs/>
          <w:color w:val="auto"/>
          <w:sz w:val="20"/>
          <w:szCs w:val="20"/>
          <w:lang w:eastAsia="en-US"/>
        </w:rPr>
        <w:t xml:space="preserve">The required firm must have international expertise in epidemiologic analysis and applied health economics research¸ addressing the topic of international comparisons of health expenditure. The research team must demonstrate capacity to produce academic publications and policy reports dealing with the assessment of health policies and programs in developing and developed countries, from both the methodological and applied points of view. Capacity to work with </w:t>
      </w:r>
      <w:r w:rsidRPr="0058260C">
        <w:rPr>
          <w:rFonts w:eastAsia="Times New Roman" w:cs="Times New Roman"/>
          <w:color w:val="auto"/>
          <w:sz w:val="20"/>
          <w:szCs w:val="20"/>
          <w:lang w:val="en-GB" w:eastAsia="en-US"/>
        </w:rPr>
        <w:t xml:space="preserve">closely with researchers and government agencies at the country level must also be demonstrated. </w:t>
      </w:r>
    </w:p>
    <w:p w14:paraId="0DAB1163" w14:textId="77777777" w:rsidR="0058260C" w:rsidRPr="0058260C" w:rsidRDefault="0058260C" w:rsidP="0058260C">
      <w:pPr>
        <w:shd w:val="clear" w:color="auto" w:fill="FFFFFF"/>
        <w:autoSpaceDE/>
        <w:autoSpaceDN/>
        <w:adjustRightInd/>
        <w:spacing w:after="200"/>
        <w:contextualSpacing/>
        <w:rPr>
          <w:rFonts w:eastAsia="Times New Roman"/>
          <w:bCs/>
          <w:color w:val="auto"/>
          <w:sz w:val="20"/>
          <w:szCs w:val="20"/>
          <w:lang w:eastAsia="en-US"/>
        </w:rPr>
      </w:pPr>
    </w:p>
    <w:p w14:paraId="76C6BD1B" w14:textId="77777777" w:rsidR="0058260C" w:rsidRPr="0058260C" w:rsidRDefault="0058260C" w:rsidP="0058260C">
      <w:pPr>
        <w:shd w:val="clear" w:color="auto" w:fill="FFFFFF"/>
        <w:autoSpaceDE/>
        <w:autoSpaceDN/>
        <w:adjustRightInd/>
        <w:spacing w:after="200"/>
        <w:contextualSpacing/>
        <w:rPr>
          <w:rFonts w:eastAsia="Times New Roman"/>
          <w:color w:val="008800"/>
          <w:sz w:val="20"/>
          <w:szCs w:val="20"/>
          <w:lang w:eastAsia="en-US"/>
        </w:rPr>
      </w:pPr>
    </w:p>
    <w:p w14:paraId="4151B336" w14:textId="77777777" w:rsidR="0058260C" w:rsidRPr="0058260C" w:rsidRDefault="0058260C" w:rsidP="0058260C">
      <w:pPr>
        <w:widowControl/>
        <w:numPr>
          <w:ilvl w:val="0"/>
          <w:numId w:val="1"/>
        </w:numPr>
        <w:autoSpaceDE/>
        <w:autoSpaceDN/>
        <w:adjustRightInd/>
        <w:spacing w:after="200"/>
        <w:contextualSpacing/>
        <w:rPr>
          <w:rFonts w:eastAsiaTheme="minorHAnsi"/>
          <w:b/>
          <w:color w:val="auto"/>
          <w:sz w:val="20"/>
          <w:szCs w:val="20"/>
          <w:u w:val="single"/>
          <w:lang w:eastAsia="en-US"/>
        </w:rPr>
      </w:pPr>
      <w:r w:rsidRPr="0058260C">
        <w:rPr>
          <w:rFonts w:eastAsiaTheme="minorHAnsi"/>
          <w:b/>
          <w:color w:val="auto"/>
          <w:sz w:val="20"/>
          <w:szCs w:val="20"/>
          <w:lang w:eastAsia="en-US"/>
        </w:rPr>
        <w:t xml:space="preserve"> </w:t>
      </w:r>
      <w:r w:rsidRPr="0058260C">
        <w:rPr>
          <w:rFonts w:eastAsiaTheme="minorHAnsi"/>
          <w:b/>
          <w:color w:val="auto"/>
          <w:sz w:val="20"/>
          <w:szCs w:val="20"/>
          <w:u w:val="single"/>
          <w:lang w:eastAsia="en-US"/>
        </w:rPr>
        <w:t>Supervision and Reporting</w:t>
      </w:r>
    </w:p>
    <w:p w14:paraId="765508F0" w14:textId="77777777" w:rsidR="0058260C" w:rsidRPr="0058260C" w:rsidRDefault="0058260C" w:rsidP="0058260C">
      <w:pPr>
        <w:autoSpaceDE/>
        <w:autoSpaceDN/>
        <w:adjustRightInd/>
        <w:spacing w:after="200"/>
        <w:ind w:left="360"/>
        <w:contextualSpacing/>
        <w:rPr>
          <w:rFonts w:eastAsiaTheme="minorHAnsi"/>
          <w:b/>
          <w:color w:val="auto"/>
          <w:sz w:val="20"/>
          <w:szCs w:val="20"/>
          <w:u w:val="single"/>
          <w:lang w:eastAsia="en-US"/>
        </w:rPr>
      </w:pPr>
    </w:p>
    <w:p w14:paraId="3744D5BA" w14:textId="77777777" w:rsidR="0058260C" w:rsidRPr="0058260C" w:rsidRDefault="0058260C" w:rsidP="0058260C">
      <w:pPr>
        <w:widowControl/>
        <w:autoSpaceDE/>
        <w:autoSpaceDN/>
        <w:adjustRightInd/>
        <w:contextualSpacing/>
        <w:jc w:val="both"/>
        <w:rPr>
          <w:rFonts w:eastAsia="Times New Roman"/>
          <w:color w:val="auto"/>
          <w:sz w:val="20"/>
          <w:szCs w:val="20"/>
          <w:lang w:eastAsia="en-US"/>
        </w:rPr>
      </w:pPr>
      <w:r w:rsidRPr="0058260C">
        <w:rPr>
          <w:rFonts w:eastAsiaTheme="minorHAnsi"/>
          <w:color w:val="auto"/>
          <w:sz w:val="20"/>
          <w:szCs w:val="20"/>
          <w:lang w:eastAsia="en-US"/>
        </w:rPr>
        <w:t xml:space="preserve">The work will be supervised by </w:t>
      </w:r>
      <w:r w:rsidRPr="0058260C">
        <w:rPr>
          <w:rFonts w:eastAsia="Times New Roman"/>
          <w:color w:val="auto"/>
          <w:sz w:val="20"/>
          <w:szCs w:val="20"/>
          <w:lang w:eastAsia="en-US"/>
        </w:rPr>
        <w:t>Diana Pinto (SCL/SPH) (</w:t>
      </w:r>
      <w:hyperlink r:id="rId17" w:history="1">
        <w:r w:rsidRPr="0058260C">
          <w:rPr>
            <w:rFonts w:eastAsiaTheme="majorEastAsia"/>
            <w:color w:val="0000FF" w:themeColor="hyperlink"/>
            <w:sz w:val="20"/>
            <w:szCs w:val="20"/>
            <w:u w:val="single"/>
            <w:lang w:eastAsia="en-US"/>
          </w:rPr>
          <w:t>dpinto@iadb.org</w:t>
        </w:r>
      </w:hyperlink>
      <w:r w:rsidRPr="0058260C">
        <w:rPr>
          <w:rFonts w:eastAsia="Times New Roman"/>
          <w:color w:val="auto"/>
          <w:sz w:val="20"/>
          <w:szCs w:val="20"/>
          <w:lang w:eastAsia="en-US"/>
        </w:rPr>
        <w:t xml:space="preserve">), Health Lead Specialist, who will provide </w:t>
      </w:r>
      <w:r w:rsidRPr="0058260C">
        <w:rPr>
          <w:rFonts w:eastAsiaTheme="minorHAnsi"/>
          <w:color w:val="auto"/>
          <w:sz w:val="20"/>
          <w:szCs w:val="20"/>
          <w:lang w:eastAsia="en-US"/>
        </w:rPr>
        <w:t>comments and approve documents and reports, give comments or any instructions for changes, as well as schedule periodic meetings for project assessment. It shall be Firm’s responsibility for ensuring that such meetings are conducted, and such reports are submitted to the Bank.</w:t>
      </w:r>
    </w:p>
    <w:p w14:paraId="66C801D5" w14:textId="77777777" w:rsidR="0058260C" w:rsidRPr="0058260C" w:rsidRDefault="0058260C" w:rsidP="0058260C">
      <w:pPr>
        <w:widowControl/>
        <w:autoSpaceDE/>
        <w:autoSpaceDN/>
        <w:adjustRightInd/>
        <w:ind w:right="-10"/>
        <w:contextualSpacing/>
        <w:jc w:val="both"/>
        <w:rPr>
          <w:rFonts w:eastAsia="Times New Roman"/>
          <w:b/>
          <w:color w:val="auto"/>
          <w:sz w:val="20"/>
          <w:szCs w:val="20"/>
          <w:lang w:eastAsia="en-US"/>
        </w:rPr>
      </w:pPr>
    </w:p>
    <w:p w14:paraId="21FB2A3D" w14:textId="77777777" w:rsidR="0058260C" w:rsidRPr="0058260C" w:rsidRDefault="0058260C" w:rsidP="0058260C">
      <w:pPr>
        <w:widowControl/>
        <w:numPr>
          <w:ilvl w:val="0"/>
          <w:numId w:val="1"/>
        </w:numPr>
        <w:autoSpaceDE/>
        <w:autoSpaceDN/>
        <w:adjustRightInd/>
        <w:ind w:right="-10"/>
        <w:contextualSpacing/>
        <w:jc w:val="both"/>
        <w:rPr>
          <w:rFonts w:eastAsia="Times New Roman"/>
          <w:b/>
          <w:color w:val="auto"/>
          <w:sz w:val="20"/>
          <w:szCs w:val="20"/>
          <w:u w:val="single"/>
          <w:lang w:eastAsia="en-US"/>
        </w:rPr>
      </w:pPr>
      <w:r w:rsidRPr="0058260C">
        <w:rPr>
          <w:rFonts w:eastAsia="Times New Roman"/>
          <w:b/>
          <w:color w:val="auto"/>
          <w:sz w:val="20"/>
          <w:szCs w:val="20"/>
          <w:u w:val="single"/>
          <w:lang w:eastAsia="en-US"/>
        </w:rPr>
        <w:t>Schedule of Payments</w:t>
      </w:r>
    </w:p>
    <w:p w14:paraId="3B90222E" w14:textId="77777777" w:rsidR="0058260C" w:rsidRPr="0058260C" w:rsidRDefault="0058260C" w:rsidP="0058260C">
      <w:pPr>
        <w:widowControl/>
        <w:autoSpaceDE/>
        <w:autoSpaceDN/>
        <w:adjustRightInd/>
        <w:ind w:left="360" w:right="-10"/>
        <w:contextualSpacing/>
        <w:jc w:val="both"/>
        <w:rPr>
          <w:rFonts w:eastAsia="Times New Roman"/>
          <w:b/>
          <w:color w:val="auto"/>
          <w:sz w:val="20"/>
          <w:szCs w:val="20"/>
          <w:lang w:eastAsia="en-US"/>
        </w:rPr>
      </w:pPr>
    </w:p>
    <w:p w14:paraId="237C0525" w14:textId="77777777" w:rsidR="0058260C" w:rsidRPr="0058260C" w:rsidRDefault="0058260C" w:rsidP="0058260C">
      <w:pPr>
        <w:tabs>
          <w:tab w:val="left" w:pos="1080"/>
        </w:tabs>
        <w:suppressAutoHyphens/>
        <w:spacing w:after="120"/>
        <w:contextualSpacing/>
        <w:textAlignment w:val="baseline"/>
        <w:rPr>
          <w:rFonts w:eastAsiaTheme="minorHAnsi"/>
          <w:color w:val="auto"/>
          <w:sz w:val="20"/>
          <w:szCs w:val="20"/>
          <w:lang w:eastAsia="en-US"/>
        </w:rPr>
      </w:pPr>
      <w:r w:rsidRPr="0058260C">
        <w:rPr>
          <w:rFonts w:eastAsiaTheme="minorHAnsi"/>
          <w:color w:val="auto"/>
          <w:sz w:val="20"/>
          <w:szCs w:val="20"/>
          <w:lang w:eastAsia="en-US"/>
        </w:rPr>
        <w:t>Payment terms will be based on project milestones or deliverables according to the schedule below.</w:t>
      </w:r>
    </w:p>
    <w:p w14:paraId="67DE2C63" w14:textId="77777777" w:rsidR="0058260C" w:rsidRPr="0058260C" w:rsidRDefault="0058260C" w:rsidP="0058260C">
      <w:pPr>
        <w:widowControl/>
        <w:tabs>
          <w:tab w:val="num" w:pos="720"/>
        </w:tabs>
        <w:autoSpaceDE/>
        <w:autoSpaceDN/>
        <w:adjustRightInd/>
        <w:ind w:left="720"/>
        <w:jc w:val="both"/>
        <w:textAlignment w:val="baseline"/>
        <w:rPr>
          <w:rFonts w:eastAsia="Times New Roman"/>
          <w:sz w:val="20"/>
          <w:szCs w:val="20"/>
          <w:lang w:eastAsia="en-US"/>
        </w:rPr>
      </w:pPr>
      <w:r w:rsidRPr="0058260C">
        <w:rPr>
          <w:rFonts w:eastAsia="Times New Roman"/>
          <w:sz w:val="20"/>
          <w:szCs w:val="20"/>
          <w:lang w:eastAsia="en-US"/>
        </w:rPr>
        <w:t>20% upon submission of deliverable 5.1</w:t>
      </w:r>
    </w:p>
    <w:p w14:paraId="5159CAE6" w14:textId="77777777" w:rsidR="0058260C" w:rsidRPr="0058260C" w:rsidRDefault="0058260C" w:rsidP="0058260C">
      <w:pPr>
        <w:widowControl/>
        <w:tabs>
          <w:tab w:val="num" w:pos="720"/>
        </w:tabs>
        <w:autoSpaceDE/>
        <w:autoSpaceDN/>
        <w:adjustRightInd/>
        <w:ind w:left="720"/>
        <w:jc w:val="both"/>
        <w:textAlignment w:val="baseline"/>
        <w:rPr>
          <w:rFonts w:eastAsia="Times New Roman"/>
          <w:sz w:val="20"/>
          <w:szCs w:val="20"/>
          <w:lang w:eastAsia="en-US"/>
        </w:rPr>
      </w:pPr>
      <w:r w:rsidRPr="0058260C">
        <w:rPr>
          <w:rFonts w:eastAsia="Times New Roman"/>
          <w:sz w:val="20"/>
          <w:szCs w:val="20"/>
          <w:lang w:eastAsia="en-US"/>
        </w:rPr>
        <w:t>30% upon submission of deliverables 5.2 and 5.3</w:t>
      </w:r>
    </w:p>
    <w:p w14:paraId="7CC9B9D6" w14:textId="77777777" w:rsidR="0058260C" w:rsidRPr="0058260C" w:rsidRDefault="0058260C" w:rsidP="0058260C">
      <w:pPr>
        <w:widowControl/>
        <w:tabs>
          <w:tab w:val="num" w:pos="720"/>
        </w:tabs>
        <w:autoSpaceDE/>
        <w:autoSpaceDN/>
        <w:adjustRightInd/>
        <w:ind w:left="720"/>
        <w:jc w:val="both"/>
        <w:textAlignment w:val="baseline"/>
        <w:rPr>
          <w:rFonts w:eastAsia="Times New Roman"/>
          <w:sz w:val="20"/>
          <w:szCs w:val="20"/>
          <w:lang w:eastAsia="en-US"/>
        </w:rPr>
      </w:pPr>
      <w:r w:rsidRPr="0058260C">
        <w:rPr>
          <w:rFonts w:eastAsia="Times New Roman"/>
          <w:sz w:val="20"/>
          <w:szCs w:val="20"/>
          <w:lang w:eastAsia="en-US"/>
        </w:rPr>
        <w:t>40% upon submission of deliverables 5.4 and 5.5</w:t>
      </w:r>
    </w:p>
    <w:p w14:paraId="61EB303D" w14:textId="77777777" w:rsidR="0058260C" w:rsidRPr="0058260C" w:rsidRDefault="0058260C" w:rsidP="0058260C">
      <w:pPr>
        <w:widowControl/>
        <w:autoSpaceDE/>
        <w:autoSpaceDN/>
        <w:adjustRightInd/>
        <w:ind w:left="720"/>
        <w:jc w:val="both"/>
        <w:textAlignment w:val="baseline"/>
        <w:rPr>
          <w:rFonts w:eastAsia="Times New Roman"/>
          <w:sz w:val="20"/>
          <w:szCs w:val="20"/>
          <w:lang w:eastAsia="en-US"/>
        </w:rPr>
      </w:pPr>
      <w:r w:rsidRPr="0058260C">
        <w:rPr>
          <w:rFonts w:eastAsia="Times New Roman"/>
          <w:sz w:val="20"/>
          <w:szCs w:val="20"/>
          <w:lang w:eastAsia="en-US"/>
        </w:rPr>
        <w:t>10% upon submission of deliverable 5.6</w:t>
      </w:r>
    </w:p>
    <w:p w14:paraId="16A68AC6" w14:textId="77777777" w:rsidR="0058260C" w:rsidRPr="0058260C" w:rsidRDefault="0058260C" w:rsidP="0058260C">
      <w:pPr>
        <w:widowControl/>
        <w:autoSpaceDE/>
        <w:autoSpaceDN/>
        <w:adjustRightInd/>
        <w:ind w:left="720"/>
        <w:jc w:val="both"/>
        <w:textAlignment w:val="baseline"/>
        <w:rPr>
          <w:rFonts w:eastAsia="Times New Roman"/>
          <w:sz w:val="20"/>
          <w:szCs w:val="20"/>
          <w:lang w:eastAsia="en-US"/>
        </w:rPr>
      </w:pPr>
    </w:p>
    <w:p w14:paraId="0E269604" w14:textId="77777777" w:rsidR="0058260C" w:rsidRPr="0058260C" w:rsidRDefault="0058260C" w:rsidP="0058260C">
      <w:pPr>
        <w:widowControl/>
        <w:autoSpaceDE/>
        <w:autoSpaceDN/>
        <w:adjustRightInd/>
        <w:jc w:val="both"/>
        <w:textAlignment w:val="baseline"/>
        <w:rPr>
          <w:rFonts w:eastAsia="Times New Roman"/>
          <w:sz w:val="20"/>
          <w:szCs w:val="20"/>
          <w:lang w:eastAsia="en-US"/>
        </w:rPr>
      </w:pPr>
      <w:r w:rsidRPr="0058260C">
        <w:rPr>
          <w:rFonts w:eastAsiaTheme="minorHAnsi" w:cs="Times New Roman"/>
          <w:color w:val="auto"/>
          <w:sz w:val="20"/>
          <w:szCs w:val="20"/>
          <w:lang w:eastAsia="en-US"/>
        </w:rPr>
        <w:t xml:space="preserve">The Bank does not expect to make advance payments under consulting contracts unless a significant amount of travel is required.  The Bank wishes to receive the most competitive cost proposal for the services described herein. The IDB Official Exchange Rate indicated in the RFP will be applied for necessary conversions of local currency payments. </w:t>
      </w:r>
    </w:p>
    <w:p w14:paraId="7955C0E3" w14:textId="77777777" w:rsidR="0058260C" w:rsidRPr="0058260C" w:rsidRDefault="0058260C" w:rsidP="0058260C">
      <w:pPr>
        <w:shd w:val="clear" w:color="auto" w:fill="FFFFFF"/>
        <w:tabs>
          <w:tab w:val="left" w:pos="990"/>
        </w:tabs>
        <w:autoSpaceDE/>
        <w:autoSpaceDN/>
        <w:adjustRightInd/>
        <w:spacing w:after="200"/>
        <w:ind w:left="792" w:right="-10"/>
        <w:contextualSpacing/>
        <w:jc w:val="both"/>
        <w:rPr>
          <w:rFonts w:eastAsia="Times New Roman"/>
          <w:b/>
          <w:color w:val="auto"/>
          <w:sz w:val="20"/>
          <w:szCs w:val="20"/>
          <w:lang w:eastAsia="en-US"/>
        </w:rPr>
      </w:pPr>
    </w:p>
    <w:p w14:paraId="3CB6874D" w14:textId="417166DF" w:rsidR="00013119" w:rsidRDefault="00013119" w:rsidP="10E76954">
      <w:pPr>
        <w:tabs>
          <w:tab w:val="left" w:pos="4275"/>
        </w:tabs>
        <w:rPr>
          <w:rFonts w:asciiTheme="minorHAnsi" w:hAnsiTheme="minorHAnsi" w:cs="Times New Roman"/>
        </w:rPr>
      </w:pPr>
    </w:p>
    <w:p w14:paraId="368440F2" w14:textId="0ABC45C8" w:rsidR="00013119" w:rsidRDefault="00013119" w:rsidP="10E76954">
      <w:pPr>
        <w:tabs>
          <w:tab w:val="left" w:pos="4275"/>
        </w:tabs>
        <w:rPr>
          <w:rFonts w:asciiTheme="minorHAnsi" w:hAnsiTheme="minorHAnsi" w:cs="Times New Roman"/>
        </w:rPr>
      </w:pPr>
    </w:p>
    <w:p w14:paraId="73CDB02B" w14:textId="77777777" w:rsidR="00013119" w:rsidRPr="00170248" w:rsidRDefault="00013119" w:rsidP="10E76954">
      <w:pPr>
        <w:tabs>
          <w:tab w:val="left" w:pos="4275"/>
        </w:tabs>
        <w:rPr>
          <w:rFonts w:asciiTheme="minorHAnsi" w:hAnsiTheme="minorHAnsi" w:cs="Times New Roman"/>
        </w:rPr>
      </w:pPr>
    </w:p>
    <w:sectPr w:rsidR="00013119" w:rsidRPr="00170248" w:rsidSect="00714BC1">
      <w:headerReference w:type="even" r:id="rId18"/>
      <w:headerReference w:type="default" r:id="rId19"/>
      <w:footerReference w:type="even" r:id="rId20"/>
      <w:footerReference w:type="default" r:id="rId21"/>
      <w:headerReference w:type="first" r:id="rId22"/>
      <w:footerReference w:type="first" r:id="rId23"/>
      <w:pgSz w:w="11907" w:h="16840"/>
      <w:pgMar w:top="720" w:right="1557"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07F07" w14:textId="77777777" w:rsidR="002E79AB" w:rsidRDefault="002E79AB" w:rsidP="0056772C">
      <w:r>
        <w:separator/>
      </w:r>
    </w:p>
  </w:endnote>
  <w:endnote w:type="continuationSeparator" w:id="0">
    <w:p w14:paraId="2218546E" w14:textId="77777777" w:rsidR="002E79AB" w:rsidRDefault="002E79AB"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AE1D" w14:textId="77777777" w:rsidR="0056772C" w:rsidRDefault="005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B817" w14:textId="77777777" w:rsidR="0056772C" w:rsidRDefault="0056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6ACF" w14:textId="77777777" w:rsidR="0056772C" w:rsidRDefault="005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D0720" w14:textId="77777777" w:rsidR="002E79AB" w:rsidRDefault="002E79AB" w:rsidP="0056772C">
      <w:r>
        <w:separator/>
      </w:r>
    </w:p>
  </w:footnote>
  <w:footnote w:type="continuationSeparator" w:id="0">
    <w:p w14:paraId="13A95B4D" w14:textId="77777777" w:rsidR="002E79AB" w:rsidRDefault="002E79AB" w:rsidP="0056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1B06" w14:textId="77777777" w:rsidR="0056772C" w:rsidRDefault="0056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C9C0" w14:textId="77777777" w:rsidR="0056772C" w:rsidRDefault="0056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8A49" w14:textId="77777777" w:rsidR="0056772C" w:rsidRDefault="005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C4AF4"/>
    <w:multiLevelType w:val="hybridMultilevel"/>
    <w:tmpl w:val="48B844F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65F78"/>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13119"/>
    <w:rsid w:val="0003493A"/>
    <w:rsid w:val="00050DB5"/>
    <w:rsid w:val="000568CF"/>
    <w:rsid w:val="00076DAB"/>
    <w:rsid w:val="000C118D"/>
    <w:rsid w:val="001147C4"/>
    <w:rsid w:val="00170248"/>
    <w:rsid w:val="001B5B71"/>
    <w:rsid w:val="001F2366"/>
    <w:rsid w:val="002B415E"/>
    <w:rsid w:val="002C3359"/>
    <w:rsid w:val="002E79AB"/>
    <w:rsid w:val="002E7B51"/>
    <w:rsid w:val="00360ACB"/>
    <w:rsid w:val="003623C4"/>
    <w:rsid w:val="003800C7"/>
    <w:rsid w:val="003C4BA8"/>
    <w:rsid w:val="003C6547"/>
    <w:rsid w:val="003E6BC7"/>
    <w:rsid w:val="003F5CA1"/>
    <w:rsid w:val="004003E8"/>
    <w:rsid w:val="00422541"/>
    <w:rsid w:val="00423E38"/>
    <w:rsid w:val="004A3654"/>
    <w:rsid w:val="004A57F6"/>
    <w:rsid w:val="004D1120"/>
    <w:rsid w:val="004D51F3"/>
    <w:rsid w:val="0051231A"/>
    <w:rsid w:val="0052634A"/>
    <w:rsid w:val="00556C08"/>
    <w:rsid w:val="005673D5"/>
    <w:rsid w:val="0056772C"/>
    <w:rsid w:val="0058260C"/>
    <w:rsid w:val="006071D7"/>
    <w:rsid w:val="00637714"/>
    <w:rsid w:val="00637BD8"/>
    <w:rsid w:val="0069123F"/>
    <w:rsid w:val="006B5959"/>
    <w:rsid w:val="006C1FF1"/>
    <w:rsid w:val="006C3B20"/>
    <w:rsid w:val="006F0A80"/>
    <w:rsid w:val="00711CA3"/>
    <w:rsid w:val="00714BC1"/>
    <w:rsid w:val="0078460F"/>
    <w:rsid w:val="007F05F7"/>
    <w:rsid w:val="008171F3"/>
    <w:rsid w:val="00876F65"/>
    <w:rsid w:val="00891E3C"/>
    <w:rsid w:val="008C7908"/>
    <w:rsid w:val="008D2D32"/>
    <w:rsid w:val="00901303"/>
    <w:rsid w:val="00936CF9"/>
    <w:rsid w:val="0095202F"/>
    <w:rsid w:val="009838B5"/>
    <w:rsid w:val="009B688E"/>
    <w:rsid w:val="009C0FC1"/>
    <w:rsid w:val="009C6DC6"/>
    <w:rsid w:val="009C7108"/>
    <w:rsid w:val="00A15B62"/>
    <w:rsid w:val="00A37CA7"/>
    <w:rsid w:val="00A838F0"/>
    <w:rsid w:val="00AB34AA"/>
    <w:rsid w:val="00AB678C"/>
    <w:rsid w:val="00AD6E3D"/>
    <w:rsid w:val="00AE7268"/>
    <w:rsid w:val="00AF2FD6"/>
    <w:rsid w:val="00B17BF0"/>
    <w:rsid w:val="00B27293"/>
    <w:rsid w:val="00B30865"/>
    <w:rsid w:val="00B51CE4"/>
    <w:rsid w:val="00B62406"/>
    <w:rsid w:val="00B72719"/>
    <w:rsid w:val="00BB42B7"/>
    <w:rsid w:val="00BF0B50"/>
    <w:rsid w:val="00BF5CD3"/>
    <w:rsid w:val="00C129ED"/>
    <w:rsid w:val="00C27587"/>
    <w:rsid w:val="00C42B39"/>
    <w:rsid w:val="00C439C0"/>
    <w:rsid w:val="00CA49B4"/>
    <w:rsid w:val="00CA7C9E"/>
    <w:rsid w:val="00CD36BB"/>
    <w:rsid w:val="00CD4904"/>
    <w:rsid w:val="00D440FF"/>
    <w:rsid w:val="00DD5339"/>
    <w:rsid w:val="00DE327F"/>
    <w:rsid w:val="00E277C5"/>
    <w:rsid w:val="00E4462D"/>
    <w:rsid w:val="00E61F34"/>
    <w:rsid w:val="00E848AC"/>
    <w:rsid w:val="00ED4D33"/>
    <w:rsid w:val="00F12E3D"/>
    <w:rsid w:val="00F45D9C"/>
    <w:rsid w:val="00F5750F"/>
    <w:rsid w:val="00F74266"/>
    <w:rsid w:val="10E76954"/>
    <w:rsid w:val="23C30F60"/>
    <w:rsid w:val="2CDD2216"/>
    <w:rsid w:val="4738AB8D"/>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F2A4B"/>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character" w:customStyle="1" w:styleId="normaltextrun">
    <w:name w:val="normaltextrun"/>
    <w:basedOn w:val="DefaultParagraphFont"/>
    <w:rsid w:val="002C3359"/>
  </w:style>
  <w:style w:type="character" w:customStyle="1" w:styleId="apple-converted-space">
    <w:name w:val="apple-converted-space"/>
    <w:basedOn w:val="DefaultParagraphFont"/>
    <w:rsid w:val="002C3359"/>
  </w:style>
  <w:style w:type="table" w:customStyle="1" w:styleId="TableGrid1">
    <w:name w:val="Table Grid1"/>
    <w:basedOn w:val="TableNormal"/>
    <w:next w:val="TableGrid"/>
    <w:uiPriority w:val="39"/>
    <w:rsid w:val="0001311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3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5826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260C"/>
    <w:rPr>
      <w:rFonts w:ascii="Arial" w:hAnsi="Arial" w:cs="Arial"/>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customXml" Target="../customXml/item1.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PINTO@iadb.org" TargetMode="External"/><Relationship Id="rId25" Type="http://schemas.openxmlformats.org/officeDocument/2006/relationships/theme" Target="theme/theme1.xml"/><Relationship Id="rId16" Type="http://schemas.openxmlformats.org/officeDocument/2006/relationships/hyperlink" Target="http://www.iadb.org" TargetMode="External"/><Relationship Id="rId20" Type="http://schemas.openxmlformats.org/officeDocument/2006/relationships/footer" Target="footer1.xml"/><Relationship Id="rId29" Type="http://schemas.openxmlformats.org/officeDocument/2006/relationships/customXml" Target="../customXml/item4.xml"/><Relationship Id="rId11" Type="http://schemas.openxmlformats.org/officeDocument/2006/relationships/footnotes" Target="footnotes.xml"/><Relationship Id="rId24" Type="http://schemas.openxmlformats.org/officeDocument/2006/relationships/fontTable" Target="fontTable.xml"/><Relationship Id="rId15" Type="http://schemas.openxmlformats.org/officeDocument/2006/relationships/hyperlink" Target="http://idbdocs.iadb.org/wsdocs/getdocument.aspx?DOCNUM=38988574"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customXml" Target="../customXml/item6.xml"/><Relationship Id="rId9" Type="http://schemas.openxmlformats.org/officeDocument/2006/relationships/settings" Target="settings.xml"/><Relationship Id="rId14" Type="http://schemas.openxmlformats.org/officeDocument/2006/relationships/hyperlink" Target="http://beo-procurement.iadb.org/home" TargetMode="External"/><Relationship Id="rId22" Type="http://schemas.openxmlformats.org/officeDocument/2006/relationships/header" Target="header3.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831AC9C98987C4CAAEC48257F4726BD" ma:contentTypeVersion="1578" ma:contentTypeDescription="A content type to manage public (operations) IDB documents" ma:contentTypeScope="" ma:versionID="cbde75c510f52c2e0c9fbb9d69a7b48e">
  <xsd:schema xmlns:xsd="http://www.w3.org/2001/XMLSchema" xmlns:xs="http://www.w3.org/2001/XMLSchema" xmlns:p="http://schemas.microsoft.com/office/2006/metadata/properties" xmlns:ns2="cdc7663a-08f0-4737-9e8c-148ce897a09c" targetNamespace="http://schemas.microsoft.com/office/2006/metadata/properties" ma:root="true" ma:fieldsID="07c30d04a04c3902c36eb819cd26e47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E1656"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SCL/SPH</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Pinto, Diana</Other_x0020_Author>
    <Migration_x0020_Info xmlns="cdc7663a-08f0-4737-9e8c-148ce897a09c" xsi:nil="true"/>
    <Approval_x0020_Number xmlns="cdc7663a-08f0-4737-9e8c-148ce897a09c" xsi:nil="true"/>
    <Phase xmlns="cdc7663a-08f0-4737-9e8c-148ce897a09c">ACTIVE</Phase>
    <Document_x0020_Author xmlns="cdc7663a-08f0-4737-9e8c-148ce897a09c">Guerra, Martha M.</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PENSIONS ＆ SOCIAL SECURITY</TermName>
          <TermId xmlns="http://schemas.microsoft.com/office/infopath/2007/PartnerControls">4b35807b-c90d-4831-b87a-a93d2a9213d9</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410</Value>
      <Value>21</Value>
      <Value>31</Value>
      <Value>409</Value>
      <Value>7</Value>
    </TaxCatchAll>
    <Operation_x0020_Type xmlns="cdc7663a-08f0-4737-9e8c-148ce897a09c">Economic And Sector Work</Operation_x0020_Type>
    <Package_x0020_Code xmlns="cdc7663a-08f0-4737-9e8c-148ce897a09c" xsi:nil="true"/>
    <Identifier xmlns="cdc7663a-08f0-4737-9e8c-148ce897a09c">Propuestas</Identifier>
    <Project_x0020_Number xmlns="cdc7663a-08f0-4737-9e8c-148ce897a09c">RG-E1656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Record_x0020_Number xmlns="cdc7663a-08f0-4737-9e8c-148ce897a09c" xsi:nil="true"/>
    <_dlc_DocId xmlns="cdc7663a-08f0-4737-9e8c-148ce897a09c">EZSHARE-1970162402-5</_dlc_DocId>
    <_dlc_DocIdUrl xmlns="cdc7663a-08f0-4737-9e8c-148ce897a09c">
      <Url>https://idbg.sharepoint.com/teams/EZ-RG-ESW/RG-E1656/_layouts/15/DocIdRedir.aspx?ID=EZSHARE-1970162402-5</Url>
      <Description>EZSHARE-1970162402-5</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64C9CD7A-9E3E-43E4-AA21-554423F62E8A}"/>
</file>

<file path=customXml/itemProps2.xml><?xml version="1.0" encoding="utf-8"?>
<ds:datastoreItem xmlns:ds="http://schemas.openxmlformats.org/officeDocument/2006/customXml" ds:itemID="{156BCA40-FFAD-49E8-A033-11E732A35032}"/>
</file>

<file path=customXml/itemProps3.xml><?xml version="1.0" encoding="utf-8"?>
<ds:datastoreItem xmlns:ds="http://schemas.openxmlformats.org/officeDocument/2006/customXml" ds:itemID="{FD0D2479-3537-4E84-85D0-84A59A865F25}"/>
</file>

<file path=customXml/itemProps4.xml><?xml version="1.0" encoding="utf-8"?>
<ds:datastoreItem xmlns:ds="http://schemas.openxmlformats.org/officeDocument/2006/customXml" ds:itemID="{7613F1CF-D877-4902-93A2-43349FB3F5EC}"/>
</file>

<file path=customXml/itemProps5.xml><?xml version="1.0" encoding="utf-8"?>
<ds:datastoreItem xmlns:ds="http://schemas.openxmlformats.org/officeDocument/2006/customXml" ds:itemID="{32DAFF0E-1DC2-47D2-9375-8838666F82AF}"/>
</file>

<file path=customXml/itemProps6.xml><?xml version="1.0" encoding="utf-8"?>
<ds:datastoreItem xmlns:ds="http://schemas.openxmlformats.org/officeDocument/2006/customXml" ds:itemID="{30EC9481-ED21-4EEA-94EF-170DA56484C6}"/>
</file>

<file path=docProps/app.xml><?xml version="1.0" encoding="utf-8"?>
<Properties xmlns="http://schemas.openxmlformats.org/officeDocument/2006/extended-properties" xmlns:vt="http://schemas.openxmlformats.org/officeDocument/2006/docPropsVTypes">
  <Template>Normal</Template>
  <TotalTime>2</TotalTime>
  <Pages>5</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REOI</cp:keywords>
  <cp:lastModifiedBy>Salvatierra Roncal, Pilar</cp:lastModifiedBy>
  <cp:revision>4</cp:revision>
  <cp:lastPrinted>2015-01-20T22:56:00Z</cp:lastPrinted>
  <dcterms:created xsi:type="dcterms:W3CDTF">2020-01-29T17:05:00Z</dcterms:created>
  <dcterms:modified xsi:type="dcterms:W3CDTF">2020-02-13T17:25:00Z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410;#REOI|28b57750-b297-46eb-9acf-d80618deda34</vt:lpwstr>
  </property>
  <property fmtid="{D5CDD505-2E9C-101B-9397-08002B2CF9AE}" pid="4" name="TaxKeywordTaxHTField">
    <vt:lpwstr>REOI|28b57750-b297-46eb-9acf-d80618deda34</vt:lpwstr>
  </property>
  <property fmtid="{D5CDD505-2E9C-101B-9397-08002B2CF9AE}" pid="5" name="Series Operations IDB">
    <vt:lpwstr/>
  </property>
  <property fmtid="{D5CDD505-2E9C-101B-9397-08002B2CF9AE}" pid="6" name="Sub-Sector">
    <vt:lpwstr>409;#PENSIONS ＆ SOCIAL SECURITY|4b35807b-c90d-4831-b87a-a93d2a9213d9</vt:lpwstr>
  </property>
  <property fmtid="{D5CDD505-2E9C-101B-9397-08002B2CF9AE}" pid="7" name="Fund IDB">
    <vt:lpwstr/>
  </property>
  <property fmtid="{D5CDD505-2E9C-101B-9397-08002B2CF9AE}" pid="8" name="Country">
    <vt:lpwstr>21;#Regional|2537a5b7-6d8e-482c-94dc-32c3cc44ff65</vt:lpwstr>
  </property>
  <property fmtid="{D5CDD505-2E9C-101B-9397-08002B2CF9AE}" pid="9" name="Sector IDB">
    <vt:lpwstr>31;#SOCIAL INVESTMENT|3f908695-d5b5-49f6-941f-76876b39564f</vt:lpwstr>
  </property>
  <property fmtid="{D5CDD505-2E9C-101B-9397-08002B2CF9AE}" pid="10" name="Function Operations IDB">
    <vt:lpwstr>7;#Goods and Services|5bfebf1b-9f1f-4411-b1dd-4c19b807b799</vt:lpwstr>
  </property>
  <property fmtid="{D5CDD505-2E9C-101B-9397-08002B2CF9AE}" pid="11" name="_dlc_DocIdItemGuid">
    <vt:lpwstr>3b01cfe5-8fbd-4819-9c15-5028bcfd83c2</vt:lpwstr>
  </property>
  <property fmtid="{D5CDD505-2E9C-101B-9397-08002B2CF9AE}" pid="12" name="Disclosure Activity">
    <vt:lpwstr>BEO Procurement</vt:lpwstr>
  </property>
  <property fmtid="{D5CDD505-2E9C-101B-9397-08002B2CF9AE}" pid="13" name="ContentTypeId">
    <vt:lpwstr>0x0101001A458A224826124E8B45B1D613300CFC003831AC9C98987C4CAAEC48257F4726BD</vt:lpwstr>
  </property>
</Properties>
</file>