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6C227DB5">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48F74AD2" w:rsidR="003F5CA1" w:rsidRDefault="003F5CA1" w:rsidP="00901303">
      <w:pPr>
        <w:jc w:val="both"/>
        <w:rPr>
          <w:rFonts w:asciiTheme="minorHAnsi" w:hAnsiTheme="minorHAnsi" w:cs="Times New Roman"/>
          <w:color w:val="auto"/>
        </w:rPr>
      </w:pPr>
    </w:p>
    <w:p w14:paraId="51FE3C25" w14:textId="215639D3" w:rsidR="00267859" w:rsidRDefault="00267859" w:rsidP="00901303">
      <w:pPr>
        <w:jc w:val="both"/>
        <w:rPr>
          <w:rFonts w:asciiTheme="minorHAnsi" w:hAnsiTheme="minorHAnsi" w:cs="Times New Roman"/>
          <w:color w:val="auto"/>
        </w:rPr>
      </w:pPr>
    </w:p>
    <w:p w14:paraId="03F51A17" w14:textId="77777777" w:rsidR="00267859" w:rsidRPr="006C3B20" w:rsidRDefault="00267859" w:rsidP="00901303">
      <w:pPr>
        <w:jc w:val="both"/>
        <w:rPr>
          <w:rFonts w:asciiTheme="minorHAnsi" w:hAnsiTheme="minorHAnsi" w:cs="Times New Roman"/>
          <w:color w:val="auto"/>
        </w:rPr>
      </w:pPr>
    </w:p>
    <w:p w14:paraId="0546D62C" w14:textId="4560E0FF" w:rsidR="00F45D9C" w:rsidRPr="00431BE7" w:rsidRDefault="00170248" w:rsidP="2CDD2216">
      <w:pPr>
        <w:suppressAutoHyphens/>
        <w:rPr>
          <w:color w:val="0070C0"/>
          <w:spacing w:val="-2"/>
          <w:sz w:val="22"/>
          <w:szCs w:val="22"/>
        </w:rPr>
      </w:pPr>
      <w:r w:rsidRPr="00915B09">
        <w:rPr>
          <w:color w:val="0070C0"/>
          <w:spacing w:val="-2"/>
          <w:sz w:val="22"/>
          <w:szCs w:val="22"/>
        </w:rPr>
        <w:t>Selection #</w:t>
      </w:r>
      <w:r w:rsidR="00F45D9C" w:rsidRPr="00915B09">
        <w:rPr>
          <w:color w:val="0070C0"/>
          <w:spacing w:val="-2"/>
          <w:sz w:val="22"/>
          <w:szCs w:val="22"/>
        </w:rPr>
        <w:t xml:space="preserve"> as assigned by </w:t>
      </w:r>
      <w:r w:rsidR="00360ACB" w:rsidRPr="00915B09">
        <w:rPr>
          <w:color w:val="0070C0"/>
          <w:spacing w:val="-2"/>
          <w:sz w:val="22"/>
          <w:szCs w:val="22"/>
        </w:rPr>
        <w:t>e-Tool:</w:t>
      </w:r>
      <w:r w:rsidR="00893970" w:rsidRPr="00915B09">
        <w:rPr>
          <w:color w:val="0070C0"/>
          <w:spacing w:val="-2"/>
          <w:sz w:val="22"/>
          <w:szCs w:val="22"/>
        </w:rPr>
        <w:t xml:space="preserve"> </w:t>
      </w:r>
      <w:r w:rsidR="00DE4FA2">
        <w:rPr>
          <w:color w:val="0070C0"/>
          <w:spacing w:val="-2"/>
          <w:sz w:val="22"/>
          <w:szCs w:val="22"/>
        </w:rPr>
        <w:t>RG-T3704-P00</w:t>
      </w:r>
      <w:r w:rsidR="00267859">
        <w:rPr>
          <w:color w:val="0070C0"/>
          <w:spacing w:val="-2"/>
          <w:sz w:val="22"/>
          <w:szCs w:val="22"/>
        </w:rPr>
        <w:t>1</w:t>
      </w:r>
    </w:p>
    <w:p w14:paraId="0992F71B" w14:textId="350EEC63" w:rsidR="672BA234" w:rsidRPr="00431BE7" w:rsidRDefault="2CDD2216" w:rsidP="672BA234">
      <w:pPr>
        <w:rPr>
          <w:color w:val="0070C0"/>
          <w:spacing w:val="-2"/>
          <w:sz w:val="22"/>
          <w:szCs w:val="22"/>
        </w:rPr>
      </w:pPr>
      <w:r w:rsidRPr="00431BE7">
        <w:rPr>
          <w:color w:val="0070C0"/>
          <w:spacing w:val="-2"/>
          <w:sz w:val="22"/>
          <w:szCs w:val="22"/>
        </w:rPr>
        <w:t>Selection Method:</w:t>
      </w:r>
      <w:r w:rsidR="00620124" w:rsidRPr="00431BE7">
        <w:rPr>
          <w:color w:val="0070C0"/>
          <w:spacing w:val="-2"/>
          <w:sz w:val="22"/>
          <w:szCs w:val="22"/>
        </w:rPr>
        <w:t xml:space="preserve"> </w:t>
      </w:r>
      <w:r w:rsidR="00DE4FA2">
        <w:rPr>
          <w:color w:val="0070C0"/>
          <w:spacing w:val="-2"/>
          <w:sz w:val="22"/>
          <w:szCs w:val="22"/>
        </w:rPr>
        <w:t>Competitive</w:t>
      </w:r>
      <w:r w:rsidR="00DE4FA2" w:rsidRPr="00431BE7">
        <w:rPr>
          <w:color w:val="0070C0"/>
          <w:spacing w:val="-2"/>
          <w:sz w:val="22"/>
          <w:szCs w:val="22"/>
        </w:rPr>
        <w:t xml:space="preserve"> </w:t>
      </w:r>
    </w:p>
    <w:p w14:paraId="661E8539" w14:textId="76A16895" w:rsidR="00F45D9C" w:rsidRPr="00D803E5" w:rsidRDefault="00F45D9C" w:rsidP="2CDD2216">
      <w:pPr>
        <w:suppressAutoHyphens/>
        <w:rPr>
          <w:color w:val="0070C0"/>
          <w:spacing w:val="-2"/>
          <w:sz w:val="22"/>
          <w:szCs w:val="22"/>
        </w:rPr>
      </w:pPr>
      <w:r w:rsidRPr="00915B09">
        <w:rPr>
          <w:color w:val="0070C0"/>
          <w:spacing w:val="-2"/>
          <w:sz w:val="22"/>
          <w:szCs w:val="22"/>
        </w:rPr>
        <w:t xml:space="preserve">Country: </w:t>
      </w:r>
      <w:r w:rsidR="00893970" w:rsidRPr="00D803E5">
        <w:rPr>
          <w:color w:val="0070C0"/>
          <w:spacing w:val="-2"/>
          <w:sz w:val="22"/>
          <w:szCs w:val="22"/>
        </w:rPr>
        <w:t>Regional</w:t>
      </w:r>
    </w:p>
    <w:p w14:paraId="3BE9C14F" w14:textId="2B117732" w:rsidR="00F45D9C" w:rsidRPr="00D803E5" w:rsidRDefault="2CDD2216" w:rsidP="2CDD2216">
      <w:pPr>
        <w:suppressAutoHyphens/>
        <w:rPr>
          <w:color w:val="0070C0"/>
          <w:spacing w:val="-2"/>
          <w:sz w:val="22"/>
          <w:szCs w:val="22"/>
        </w:rPr>
      </w:pPr>
      <w:r w:rsidRPr="00D803E5">
        <w:rPr>
          <w:color w:val="0070C0"/>
          <w:spacing w:val="-2"/>
          <w:sz w:val="22"/>
          <w:szCs w:val="22"/>
        </w:rPr>
        <w:t>Sector:</w:t>
      </w:r>
      <w:r w:rsidR="00FD5185" w:rsidRPr="00D803E5">
        <w:rPr>
          <w:color w:val="0070C0"/>
          <w:spacing w:val="-2"/>
          <w:sz w:val="22"/>
          <w:szCs w:val="22"/>
        </w:rPr>
        <w:t xml:space="preserve"> Social </w:t>
      </w:r>
      <w:r w:rsidR="0035399A" w:rsidRPr="00D803E5">
        <w:rPr>
          <w:color w:val="0070C0"/>
          <w:spacing w:val="-2"/>
          <w:sz w:val="22"/>
          <w:szCs w:val="22"/>
        </w:rPr>
        <w:t>Protection and Health</w:t>
      </w:r>
    </w:p>
    <w:p w14:paraId="11A9D93B" w14:textId="000F0D9A" w:rsidR="00F45D9C" w:rsidRPr="00D803E5" w:rsidRDefault="2CDD2216" w:rsidP="2CDD2216">
      <w:pPr>
        <w:suppressAutoHyphens/>
        <w:rPr>
          <w:color w:val="0070C0"/>
          <w:spacing w:val="-2"/>
          <w:sz w:val="22"/>
          <w:szCs w:val="22"/>
        </w:rPr>
      </w:pPr>
      <w:r w:rsidRPr="00D803E5">
        <w:rPr>
          <w:color w:val="0070C0"/>
          <w:spacing w:val="-2"/>
          <w:sz w:val="22"/>
          <w:szCs w:val="22"/>
        </w:rPr>
        <w:t>Funding – TC #:</w:t>
      </w:r>
      <w:r w:rsidR="00620124" w:rsidRPr="00D803E5">
        <w:rPr>
          <w:color w:val="0070C0"/>
          <w:spacing w:val="-2"/>
          <w:sz w:val="22"/>
          <w:szCs w:val="22"/>
        </w:rPr>
        <w:t xml:space="preserve"> RG-T3704</w:t>
      </w:r>
      <w:r w:rsidRPr="00D803E5">
        <w:rPr>
          <w:color w:val="0070C0"/>
          <w:spacing w:val="-2"/>
          <w:sz w:val="22"/>
          <w:szCs w:val="22"/>
        </w:rPr>
        <w:t xml:space="preserve">                            </w:t>
      </w:r>
    </w:p>
    <w:p w14:paraId="3BFF64A1" w14:textId="0262D531" w:rsidR="00F45D9C" w:rsidRPr="00D803E5" w:rsidRDefault="2CDD2216" w:rsidP="00F45D9C">
      <w:pPr>
        <w:pStyle w:val="BodyText"/>
        <w:rPr>
          <w:rFonts w:ascii="Arial" w:eastAsiaTheme="minorEastAsia" w:hAnsi="Arial" w:cs="Arial"/>
          <w:color w:val="0070C0"/>
          <w:sz w:val="22"/>
          <w:szCs w:val="22"/>
          <w:lang w:eastAsia="es-AR"/>
        </w:rPr>
      </w:pPr>
      <w:r w:rsidRPr="00D803E5">
        <w:rPr>
          <w:rFonts w:ascii="Arial" w:eastAsiaTheme="minorEastAsia" w:hAnsi="Arial" w:cs="Arial"/>
          <w:color w:val="0070C0"/>
          <w:sz w:val="22"/>
          <w:szCs w:val="22"/>
          <w:lang w:eastAsia="es-AR"/>
        </w:rPr>
        <w:t>Project #:</w:t>
      </w:r>
      <w:r w:rsidR="00620124" w:rsidRPr="00D803E5">
        <w:rPr>
          <w:rFonts w:ascii="Arial" w:eastAsiaTheme="minorEastAsia" w:hAnsi="Arial" w:cs="Arial"/>
          <w:color w:val="0070C0"/>
          <w:sz w:val="22"/>
          <w:szCs w:val="22"/>
          <w:lang w:eastAsia="es-AR"/>
        </w:rPr>
        <w:t xml:space="preserve"> ATN/KP-18135-RG</w:t>
      </w:r>
    </w:p>
    <w:p w14:paraId="4FC4572B" w14:textId="46E716E3" w:rsidR="00F45D9C" w:rsidRPr="00D803E5" w:rsidRDefault="672BA234" w:rsidP="00170248">
      <w:pPr>
        <w:pStyle w:val="BodyText"/>
        <w:tabs>
          <w:tab w:val="left" w:pos="6645"/>
        </w:tabs>
        <w:rPr>
          <w:rFonts w:ascii="Arial" w:eastAsiaTheme="minorEastAsia" w:hAnsi="Arial" w:cs="Arial"/>
          <w:color w:val="0070C0"/>
          <w:sz w:val="22"/>
          <w:szCs w:val="22"/>
          <w:lang w:eastAsia="es-AR"/>
        </w:rPr>
      </w:pPr>
      <w:r w:rsidRPr="00D803E5">
        <w:rPr>
          <w:rFonts w:ascii="Arial" w:eastAsiaTheme="minorEastAsia" w:hAnsi="Arial" w:cs="Arial"/>
          <w:color w:val="0070C0"/>
          <w:sz w:val="22"/>
          <w:szCs w:val="22"/>
          <w:lang w:eastAsia="es-AR"/>
        </w:rPr>
        <w:t>TC name:</w:t>
      </w:r>
      <w:r w:rsidR="00620124" w:rsidRPr="00D803E5">
        <w:rPr>
          <w:rFonts w:ascii="Arial" w:eastAsiaTheme="minorEastAsia" w:hAnsi="Arial" w:cs="Arial"/>
          <w:color w:val="0070C0"/>
          <w:sz w:val="22"/>
          <w:szCs w:val="22"/>
          <w:lang w:eastAsia="es-AR"/>
        </w:rPr>
        <w:t xml:space="preserve"> Innovative COVID-19 Response Using ICT Tools: Knowledge sharing between LAC and Korea in Public Health Emergency Preparedness</w:t>
      </w:r>
      <w:r w:rsidR="00170248" w:rsidRPr="00D803E5">
        <w:rPr>
          <w:rFonts w:ascii="Arial" w:eastAsiaTheme="minorEastAsia" w:hAnsi="Arial" w:cs="Arial"/>
          <w:color w:val="0070C0"/>
          <w:sz w:val="22"/>
          <w:szCs w:val="22"/>
          <w:lang w:eastAsia="es-AR"/>
        </w:rPr>
        <w:tab/>
      </w:r>
    </w:p>
    <w:p w14:paraId="4DEADFED" w14:textId="191DFAE8" w:rsidR="00F45D9C" w:rsidRPr="00D803E5" w:rsidRDefault="4738AB8D" w:rsidP="00D803E5">
      <w:pPr>
        <w:pStyle w:val="BodyText"/>
        <w:jc w:val="both"/>
        <w:rPr>
          <w:rFonts w:ascii="Arial" w:eastAsiaTheme="minorEastAsia" w:hAnsi="Arial" w:cs="Arial"/>
          <w:color w:val="0070C0"/>
          <w:sz w:val="22"/>
          <w:szCs w:val="22"/>
          <w:lang w:eastAsia="es-AR"/>
        </w:rPr>
      </w:pPr>
      <w:r w:rsidRPr="00D803E5">
        <w:rPr>
          <w:rFonts w:ascii="Arial" w:eastAsiaTheme="minorEastAsia" w:hAnsi="Arial" w:cs="Arial"/>
          <w:color w:val="0070C0"/>
          <w:sz w:val="22"/>
          <w:szCs w:val="22"/>
          <w:lang w:eastAsia="es-AR"/>
        </w:rPr>
        <w:t xml:space="preserve">Description of Services: </w:t>
      </w:r>
      <w:r w:rsidR="0049371E" w:rsidRPr="00D803E5">
        <w:rPr>
          <w:rFonts w:ascii="Arial" w:eastAsiaTheme="minorEastAsia" w:hAnsi="Arial" w:cs="Arial"/>
          <w:color w:val="0070C0"/>
          <w:sz w:val="22"/>
          <w:szCs w:val="22"/>
          <w:lang w:eastAsia="es-AR"/>
        </w:rPr>
        <w:t>The consulting firm will analyze digital tools that have proven to be effective in the fight of pandemics including COVID 19. It will also review the level of readiness of countries in the region and then will develop a typology of systems that need to be in place to be ready for a pandemic.</w:t>
      </w:r>
      <w:r w:rsidR="00B3492B" w:rsidRPr="00D803E5">
        <w:rPr>
          <w:rFonts w:ascii="Arial" w:eastAsiaTheme="minorEastAsia" w:hAnsi="Arial" w:cs="Arial"/>
          <w:color w:val="0070C0"/>
          <w:sz w:val="22"/>
          <w:szCs w:val="22"/>
          <w:lang w:eastAsia="es-AR"/>
        </w:rPr>
        <w:t xml:space="preserve"> The typology will include a readiness assessment tool for countries that</w:t>
      </w:r>
      <w:r w:rsidR="00862D59" w:rsidRPr="00D803E5">
        <w:rPr>
          <w:rFonts w:ascii="Arial" w:eastAsiaTheme="minorEastAsia" w:hAnsi="Arial" w:cs="Arial"/>
          <w:color w:val="0070C0"/>
          <w:sz w:val="22"/>
          <w:szCs w:val="22"/>
          <w:lang w:eastAsia="es-AR"/>
        </w:rPr>
        <w:t xml:space="preserve"> will help them in different levels, including a theoretical discussion for example to avoid the use of</w:t>
      </w:r>
      <w:r w:rsidR="002D40DF" w:rsidRPr="00D803E5">
        <w:rPr>
          <w:rFonts w:ascii="Arial" w:eastAsiaTheme="minorEastAsia" w:hAnsi="Arial" w:cs="Arial"/>
          <w:color w:val="0070C0"/>
          <w:sz w:val="22"/>
          <w:szCs w:val="22"/>
          <w:lang w:eastAsia="es-AR"/>
        </w:rPr>
        <w:t xml:space="preserve"> certain</w:t>
      </w:r>
      <w:r w:rsidR="00862D59" w:rsidRPr="00D803E5">
        <w:rPr>
          <w:rFonts w:ascii="Arial" w:eastAsiaTheme="minorEastAsia" w:hAnsi="Arial" w:cs="Arial"/>
          <w:color w:val="0070C0"/>
          <w:sz w:val="22"/>
          <w:szCs w:val="22"/>
          <w:lang w:eastAsia="es-AR"/>
        </w:rPr>
        <w:t xml:space="preserve"> technologies if the country is not ready to use them. </w:t>
      </w:r>
      <w:r w:rsidR="00B3492B" w:rsidRPr="00D803E5">
        <w:rPr>
          <w:rFonts w:ascii="Arial" w:eastAsiaTheme="minorEastAsia" w:hAnsi="Arial" w:cs="Arial"/>
          <w:color w:val="0070C0"/>
          <w:sz w:val="22"/>
          <w:szCs w:val="22"/>
          <w:lang w:eastAsia="es-AR"/>
        </w:rPr>
        <w:t xml:space="preserve"> </w:t>
      </w:r>
      <w:r w:rsidR="0049371E" w:rsidRPr="00D803E5">
        <w:rPr>
          <w:rFonts w:ascii="Arial" w:eastAsiaTheme="minorEastAsia" w:hAnsi="Arial" w:cs="Arial"/>
          <w:color w:val="0070C0"/>
          <w:sz w:val="22"/>
          <w:szCs w:val="22"/>
          <w:lang w:eastAsia="es-AR"/>
        </w:rPr>
        <w:t xml:space="preserve"> </w:t>
      </w:r>
    </w:p>
    <w:p w14:paraId="7F9742F8" w14:textId="77777777" w:rsidR="00915B09" w:rsidRPr="00915B09" w:rsidRDefault="00915B09" w:rsidP="4738AB8D">
      <w:pPr>
        <w:pStyle w:val="BodyText"/>
        <w:rPr>
          <w:rFonts w:ascii="Arial" w:eastAsiaTheme="minorEastAsia" w:hAnsi="Arial" w:cs="Arial"/>
          <w:i/>
          <w:iCs/>
          <w:color w:val="0070C0"/>
          <w:sz w:val="22"/>
          <w:szCs w:val="22"/>
        </w:rPr>
      </w:pPr>
    </w:p>
    <w:p w14:paraId="469D5B2B" w14:textId="4EBAAB71" w:rsidR="00F45D9C" w:rsidRPr="00915B09" w:rsidRDefault="4738AB8D" w:rsidP="4738AB8D">
      <w:pPr>
        <w:pStyle w:val="BodyText"/>
        <w:rPr>
          <w:rFonts w:ascii="Arial" w:eastAsiaTheme="minorEastAsia" w:hAnsi="Arial" w:cs="Arial"/>
          <w:i/>
          <w:iCs/>
          <w:color w:val="0070C0"/>
          <w:sz w:val="22"/>
          <w:szCs w:val="22"/>
        </w:rPr>
      </w:pPr>
      <w:r w:rsidRPr="00431BE7">
        <w:rPr>
          <w:rFonts w:ascii="Arial" w:eastAsiaTheme="minorEastAsia" w:hAnsi="Arial" w:cs="Arial"/>
          <w:color w:val="0070C0"/>
          <w:sz w:val="22"/>
          <w:szCs w:val="22"/>
          <w:lang w:eastAsia="es-AR"/>
        </w:rPr>
        <w:t>Link to TC document:</w:t>
      </w:r>
      <w:r w:rsidRPr="00915B09">
        <w:rPr>
          <w:rFonts w:ascii="Arial" w:eastAsiaTheme="minorEastAsia" w:hAnsi="Arial" w:cs="Arial"/>
          <w:i/>
          <w:iCs/>
          <w:color w:val="0070C0"/>
          <w:sz w:val="22"/>
          <w:szCs w:val="22"/>
        </w:rPr>
        <w:t xml:space="preserve"> </w:t>
      </w:r>
      <w:hyperlink r:id="rId12" w:history="1">
        <w:r w:rsidR="00915B09" w:rsidRPr="00431BE7">
          <w:rPr>
            <w:rStyle w:val="Hyperlink"/>
            <w:rFonts w:ascii="Arial" w:eastAsiaTheme="majorEastAsia" w:hAnsi="Arial" w:cs="Arial"/>
          </w:rPr>
          <w:t>https://www.iadb.org/en/project/RG-T3704</w:t>
        </w:r>
      </w:hyperlink>
      <w:r w:rsidR="00915B09" w:rsidRPr="00431BE7">
        <w:rPr>
          <w:rFonts w:ascii="Arial" w:hAnsi="Arial" w:cs="Arial"/>
        </w:rPr>
        <w:t xml:space="preserve"> </w:t>
      </w:r>
    </w:p>
    <w:p w14:paraId="1DBF52D2" w14:textId="77777777" w:rsidR="00F45D9C" w:rsidRPr="00915B09" w:rsidRDefault="00F45D9C" w:rsidP="00F45D9C">
      <w:pPr>
        <w:pStyle w:val="BodyText"/>
        <w:rPr>
          <w:rFonts w:ascii="Arial" w:hAnsi="Arial" w:cs="Arial"/>
          <w:i/>
          <w:color w:val="0070C0"/>
          <w:sz w:val="22"/>
          <w:szCs w:val="22"/>
        </w:rPr>
      </w:pPr>
    </w:p>
    <w:p w14:paraId="52D780AC" w14:textId="0C56BD1B" w:rsidR="002E7B51" w:rsidRPr="00915B09" w:rsidRDefault="00F45D9C" w:rsidP="00D803E5">
      <w:pPr>
        <w:suppressAutoHyphens/>
        <w:jc w:val="both"/>
        <w:rPr>
          <w:color w:val="auto"/>
          <w:sz w:val="22"/>
          <w:szCs w:val="22"/>
        </w:rPr>
      </w:pPr>
      <w:r w:rsidRPr="00915B09">
        <w:rPr>
          <w:color w:val="auto"/>
          <w:sz w:val="22"/>
          <w:szCs w:val="22"/>
        </w:rPr>
        <w:t>The Inter-American Development Bank (IDB) is executing the above</w:t>
      </w:r>
      <w:r w:rsidR="00DE4FA2">
        <w:rPr>
          <w:color w:val="auto"/>
          <w:sz w:val="22"/>
          <w:szCs w:val="22"/>
        </w:rPr>
        <w:t>-</w:t>
      </w:r>
      <w:r w:rsidRPr="00915B09">
        <w:rPr>
          <w:color w:val="auto"/>
          <w:sz w:val="22"/>
          <w:szCs w:val="22"/>
        </w:rPr>
        <w:t xml:space="preserve">mentioned operation. For this operation, the IDB </w:t>
      </w:r>
      <w:r w:rsidRPr="00915B09">
        <w:rPr>
          <w:spacing w:val="-2"/>
          <w:sz w:val="22"/>
          <w:szCs w:val="22"/>
        </w:rPr>
        <w:t>intends to contract consulting services described in this Request for Expressions of Interest.</w:t>
      </w:r>
      <w:r w:rsidR="002E7B51" w:rsidRPr="00915B09">
        <w:rPr>
          <w:spacing w:val="-2"/>
          <w:sz w:val="22"/>
          <w:szCs w:val="22"/>
        </w:rPr>
        <w:t xml:space="preserve"> </w:t>
      </w:r>
      <w:r w:rsidR="002E7B51" w:rsidRPr="00915B09">
        <w:rPr>
          <w:color w:val="auto"/>
          <w:sz w:val="22"/>
          <w:szCs w:val="22"/>
        </w:rPr>
        <w:t>Expressions of interest must be delivered using the IDB Portal for Bank Executed Operations (</w:t>
      </w:r>
      <w:hyperlink r:id="rId13" w:history="1">
        <w:r w:rsidR="002E7B51" w:rsidRPr="00915B09">
          <w:rPr>
            <w:rStyle w:val="Hyperlink"/>
            <w:sz w:val="22"/>
            <w:szCs w:val="22"/>
          </w:rPr>
          <w:t>http://beo-procurement.iadb.org/home</w:t>
        </w:r>
      </w:hyperlink>
      <w:r w:rsidR="002E7B51" w:rsidRPr="00915B09">
        <w:rPr>
          <w:color w:val="auto"/>
          <w:sz w:val="22"/>
          <w:szCs w:val="22"/>
        </w:rPr>
        <w:t xml:space="preserve">) by: </w:t>
      </w:r>
      <w:r w:rsidR="0035399A" w:rsidRPr="00D803E5">
        <w:rPr>
          <w:b/>
          <w:bCs/>
          <w:color w:val="auto"/>
          <w:spacing w:val="-2"/>
          <w:sz w:val="22"/>
          <w:szCs w:val="22"/>
        </w:rPr>
        <w:t>October 5th</w:t>
      </w:r>
      <w:r w:rsidR="002E7B51" w:rsidRPr="00915B09">
        <w:rPr>
          <w:b/>
          <w:bCs/>
          <w:color w:val="auto"/>
          <w:sz w:val="22"/>
          <w:szCs w:val="22"/>
        </w:rPr>
        <w:t xml:space="preserve">, 5:00 </w:t>
      </w:r>
      <w:r w:rsidR="003C6547" w:rsidRPr="00915B09">
        <w:rPr>
          <w:b/>
          <w:bCs/>
          <w:color w:val="auto"/>
          <w:sz w:val="22"/>
          <w:szCs w:val="22"/>
        </w:rPr>
        <w:t>P.M.</w:t>
      </w:r>
      <w:r w:rsidR="002E7B51" w:rsidRPr="00915B09">
        <w:rPr>
          <w:b/>
          <w:bCs/>
          <w:color w:val="auto"/>
          <w:sz w:val="22"/>
          <w:szCs w:val="22"/>
        </w:rPr>
        <w:t xml:space="preserve"> (</w:t>
      </w:r>
      <w:r w:rsidR="002E7B51" w:rsidRPr="00915B09">
        <w:rPr>
          <w:color w:val="auto"/>
          <w:sz w:val="22"/>
          <w:szCs w:val="22"/>
        </w:rPr>
        <w:t>Washington D.C. Time).</w:t>
      </w:r>
    </w:p>
    <w:p w14:paraId="30703B39" w14:textId="77777777" w:rsidR="00F45D9C" w:rsidRPr="00915B09" w:rsidRDefault="00F45D9C" w:rsidP="00F45D9C">
      <w:pPr>
        <w:spacing w:line="320" w:lineRule="atLeast"/>
        <w:jc w:val="both"/>
        <w:rPr>
          <w:spacing w:val="-2"/>
          <w:sz w:val="22"/>
          <w:szCs w:val="22"/>
        </w:rPr>
      </w:pPr>
    </w:p>
    <w:p w14:paraId="5C9CD365" w14:textId="6A4FEF3B" w:rsidR="00F45D9C" w:rsidRPr="00431BE7" w:rsidRDefault="00F45D9C" w:rsidP="2CDD2216">
      <w:pPr>
        <w:suppressAutoHyphens/>
        <w:jc w:val="both"/>
        <w:rPr>
          <w:color w:val="auto"/>
          <w:sz w:val="22"/>
          <w:szCs w:val="22"/>
        </w:rPr>
      </w:pPr>
      <w:r w:rsidRPr="00DE4FA2">
        <w:rPr>
          <w:spacing w:val="-2"/>
          <w:sz w:val="22"/>
          <w:szCs w:val="22"/>
        </w:rPr>
        <w:t xml:space="preserve">The consulting services (“the Services”) include </w:t>
      </w:r>
      <w:r w:rsidR="00DA2C6D" w:rsidRPr="00431BE7">
        <w:rPr>
          <w:color w:val="0070C0"/>
          <w:spacing w:val="-2"/>
          <w:sz w:val="22"/>
          <w:szCs w:val="22"/>
        </w:rPr>
        <w:t>conducting a study to develop a typology of digital response systems during pandemics for Latin American countries depending on their level of readiness. The firm will analyze digital tools that have proven to be effective in the fight of pandemics including COVID-</w:t>
      </w:r>
      <w:r w:rsidR="00DE4FA2" w:rsidRPr="00431BE7">
        <w:rPr>
          <w:color w:val="0070C0"/>
          <w:spacing w:val="-2"/>
          <w:sz w:val="22"/>
          <w:szCs w:val="22"/>
        </w:rPr>
        <w:t>19 and</w:t>
      </w:r>
      <w:r w:rsidR="00DA2C6D" w:rsidRPr="00431BE7">
        <w:rPr>
          <w:color w:val="0070C0"/>
          <w:spacing w:val="-2"/>
          <w:sz w:val="22"/>
          <w:szCs w:val="22"/>
        </w:rPr>
        <w:t xml:space="preserve"> review the level of readiness of countries in the region</w:t>
      </w:r>
      <w:r w:rsidR="003224EA" w:rsidRPr="00431BE7">
        <w:rPr>
          <w:color w:val="0070C0"/>
          <w:spacing w:val="-2"/>
          <w:sz w:val="22"/>
          <w:szCs w:val="22"/>
        </w:rPr>
        <w:t xml:space="preserve"> by </w:t>
      </w:r>
      <w:r w:rsidR="0035399A" w:rsidRPr="00431BE7">
        <w:rPr>
          <w:color w:val="0070C0"/>
          <w:spacing w:val="-2"/>
          <w:sz w:val="22"/>
          <w:szCs w:val="22"/>
        </w:rPr>
        <w:t>June 2021.</w:t>
      </w:r>
      <w:r w:rsidR="003224EA" w:rsidRPr="00431BE7">
        <w:rPr>
          <w:color w:val="auto"/>
          <w:spacing w:val="-2"/>
          <w:sz w:val="22"/>
          <w:szCs w:val="22"/>
        </w:rPr>
        <w:t xml:space="preserve"> </w:t>
      </w:r>
      <w:r w:rsidR="00DA2C6D" w:rsidRPr="00431BE7">
        <w:rPr>
          <w:color w:val="auto"/>
          <w:spacing w:val="-2"/>
          <w:sz w:val="22"/>
          <w:szCs w:val="22"/>
        </w:rPr>
        <w:t xml:space="preserve"> </w:t>
      </w:r>
    </w:p>
    <w:p w14:paraId="1502D7E9" w14:textId="77777777" w:rsidR="00267859" w:rsidRDefault="00267859" w:rsidP="00267859">
      <w:pPr>
        <w:spacing w:line="320" w:lineRule="atLeast"/>
        <w:jc w:val="both"/>
        <w:rPr>
          <w:color w:val="auto"/>
          <w:sz w:val="22"/>
          <w:szCs w:val="22"/>
        </w:rPr>
      </w:pPr>
    </w:p>
    <w:p w14:paraId="6856787D" w14:textId="591EFDFE" w:rsidR="00267859" w:rsidRPr="00267859" w:rsidRDefault="00267859" w:rsidP="00267859">
      <w:pPr>
        <w:suppressAutoHyphens/>
        <w:jc w:val="both"/>
        <w:rPr>
          <w:color w:val="0070C0"/>
          <w:spacing w:val="-2"/>
          <w:sz w:val="22"/>
          <w:szCs w:val="22"/>
        </w:rPr>
      </w:pPr>
      <w:r w:rsidRPr="00267859">
        <w:rPr>
          <w:b/>
          <w:bCs/>
          <w:color w:val="0070C0"/>
          <w:spacing w:val="-2"/>
          <w:sz w:val="22"/>
          <w:szCs w:val="22"/>
        </w:rPr>
        <w:t>Estimated execution period:</w:t>
      </w:r>
      <w:r w:rsidRPr="00267859">
        <w:rPr>
          <w:color w:val="0070C0"/>
          <w:spacing w:val="-2"/>
          <w:sz w:val="22"/>
          <w:szCs w:val="22"/>
        </w:rPr>
        <w:t xml:space="preserve"> 9 months from the date of signing the contract.</w:t>
      </w:r>
    </w:p>
    <w:p w14:paraId="72B597A5" w14:textId="77777777" w:rsidR="00267859" w:rsidRDefault="00267859" w:rsidP="00267859">
      <w:pPr>
        <w:suppressAutoHyphens/>
        <w:jc w:val="both"/>
        <w:rPr>
          <w:color w:val="auto"/>
          <w:sz w:val="22"/>
          <w:szCs w:val="22"/>
        </w:rPr>
      </w:pPr>
    </w:p>
    <w:p w14:paraId="7409754D" w14:textId="1820E967" w:rsidR="00267859" w:rsidRPr="00267859" w:rsidRDefault="00267859" w:rsidP="00267859">
      <w:pPr>
        <w:suppressAutoHyphens/>
        <w:jc w:val="both"/>
        <w:rPr>
          <w:color w:val="0070C0"/>
          <w:spacing w:val="-2"/>
          <w:sz w:val="22"/>
          <w:szCs w:val="22"/>
        </w:rPr>
      </w:pPr>
      <w:r w:rsidRPr="00267859">
        <w:rPr>
          <w:b/>
          <w:bCs/>
          <w:color w:val="0070C0"/>
          <w:spacing w:val="-2"/>
          <w:sz w:val="22"/>
          <w:szCs w:val="22"/>
        </w:rPr>
        <w:t>Estimated budget:</w:t>
      </w:r>
      <w:r w:rsidRPr="00267859">
        <w:rPr>
          <w:color w:val="0070C0"/>
          <w:spacing w:val="-2"/>
          <w:sz w:val="22"/>
          <w:szCs w:val="22"/>
        </w:rPr>
        <w:t xml:space="preserve"> The </w:t>
      </w:r>
      <w:r>
        <w:rPr>
          <w:color w:val="0070C0"/>
          <w:spacing w:val="-2"/>
          <w:sz w:val="22"/>
          <w:szCs w:val="22"/>
        </w:rPr>
        <w:t xml:space="preserve">available budget for this </w:t>
      </w:r>
      <w:r w:rsidRPr="00267859">
        <w:rPr>
          <w:color w:val="0070C0"/>
          <w:spacing w:val="-2"/>
          <w:sz w:val="22"/>
          <w:szCs w:val="22"/>
        </w:rPr>
        <w:t xml:space="preserve">consultancy </w:t>
      </w:r>
      <w:r>
        <w:rPr>
          <w:color w:val="0070C0"/>
          <w:spacing w:val="-2"/>
          <w:sz w:val="22"/>
          <w:szCs w:val="22"/>
        </w:rPr>
        <w:t xml:space="preserve">is </w:t>
      </w:r>
      <w:r w:rsidRPr="00267859">
        <w:rPr>
          <w:color w:val="0070C0"/>
          <w:spacing w:val="-2"/>
          <w:sz w:val="22"/>
          <w:szCs w:val="22"/>
        </w:rPr>
        <w:t>US$</w:t>
      </w:r>
      <w:r w:rsidR="006E37AE">
        <w:rPr>
          <w:color w:val="0070C0"/>
          <w:spacing w:val="-2"/>
          <w:sz w:val="22"/>
          <w:szCs w:val="22"/>
        </w:rPr>
        <w:t>150,000</w:t>
      </w:r>
      <w:r w:rsidRPr="00267859">
        <w:rPr>
          <w:color w:val="0070C0"/>
          <w:spacing w:val="-2"/>
          <w:sz w:val="22"/>
          <w:szCs w:val="22"/>
        </w:rPr>
        <w:t>.</w:t>
      </w:r>
    </w:p>
    <w:p w14:paraId="29E60868" w14:textId="77777777" w:rsidR="00267859" w:rsidRPr="00267859" w:rsidRDefault="00267859" w:rsidP="00267859">
      <w:pPr>
        <w:spacing w:line="320" w:lineRule="atLeast"/>
        <w:jc w:val="both"/>
        <w:rPr>
          <w:color w:val="auto"/>
          <w:sz w:val="22"/>
          <w:szCs w:val="22"/>
        </w:rPr>
      </w:pPr>
    </w:p>
    <w:p w14:paraId="0A3EA921" w14:textId="3C1EA92C" w:rsidR="00267859" w:rsidRDefault="00267859" w:rsidP="00267859">
      <w:pPr>
        <w:suppressAutoHyphens/>
        <w:jc w:val="both"/>
        <w:rPr>
          <w:b/>
          <w:bCs/>
          <w:color w:val="0070C0"/>
          <w:spacing w:val="-2"/>
          <w:sz w:val="22"/>
          <w:szCs w:val="22"/>
        </w:rPr>
      </w:pPr>
      <w:r w:rsidRPr="00267859">
        <w:rPr>
          <w:b/>
          <w:bCs/>
          <w:color w:val="0070C0"/>
          <w:spacing w:val="-2"/>
          <w:sz w:val="22"/>
          <w:szCs w:val="22"/>
        </w:rPr>
        <w:t xml:space="preserve">Only the first </w:t>
      </w:r>
      <w:r>
        <w:rPr>
          <w:b/>
          <w:bCs/>
          <w:color w:val="0070C0"/>
          <w:spacing w:val="-2"/>
          <w:sz w:val="22"/>
          <w:szCs w:val="22"/>
        </w:rPr>
        <w:t>seven</w:t>
      </w:r>
      <w:r w:rsidRPr="00267859">
        <w:rPr>
          <w:b/>
          <w:bCs/>
          <w:color w:val="0070C0"/>
          <w:spacing w:val="-2"/>
          <w:sz w:val="22"/>
          <w:szCs w:val="22"/>
        </w:rPr>
        <w:t xml:space="preserve"> pages of the Expressions of Interest received will be </w:t>
      </w:r>
      <w:proofErr w:type="gramStart"/>
      <w:r w:rsidRPr="00267859">
        <w:rPr>
          <w:b/>
          <w:bCs/>
          <w:color w:val="0070C0"/>
          <w:spacing w:val="-2"/>
          <w:sz w:val="22"/>
          <w:szCs w:val="22"/>
        </w:rPr>
        <w:t>taken into account</w:t>
      </w:r>
      <w:proofErr w:type="gramEnd"/>
      <w:r w:rsidRPr="00267859">
        <w:rPr>
          <w:b/>
          <w:bCs/>
          <w:color w:val="0070C0"/>
          <w:spacing w:val="-2"/>
          <w:sz w:val="22"/>
          <w:szCs w:val="22"/>
        </w:rPr>
        <w:t xml:space="preserve"> for the next stages.</w:t>
      </w:r>
    </w:p>
    <w:p w14:paraId="7F4CBE65" w14:textId="77777777" w:rsidR="00431BE7" w:rsidRPr="00915B09" w:rsidRDefault="00431BE7" w:rsidP="00267859">
      <w:pPr>
        <w:suppressAutoHyphens/>
        <w:jc w:val="both"/>
        <w:rPr>
          <w:color w:val="auto"/>
          <w:sz w:val="22"/>
          <w:szCs w:val="22"/>
        </w:rPr>
      </w:pPr>
    </w:p>
    <w:p w14:paraId="0A0C2E05" w14:textId="508C1FD4" w:rsidR="00F45D9C" w:rsidRPr="00915B09" w:rsidRDefault="2CDD2216" w:rsidP="00915B09">
      <w:pPr>
        <w:suppressAutoHyphens/>
        <w:jc w:val="both"/>
        <w:rPr>
          <w:color w:val="auto"/>
          <w:sz w:val="22"/>
          <w:szCs w:val="22"/>
        </w:rPr>
      </w:pPr>
      <w:r w:rsidRPr="00915B09">
        <w:rPr>
          <w:color w:val="auto"/>
          <w:sz w:val="22"/>
          <w:szCs w:val="22"/>
        </w:rPr>
        <w:t xml:space="preserve">Eligible consulting firms will be selected in accordance with the procedures set out in the Inter-American Development Bank: </w:t>
      </w:r>
      <w:hyperlink r:id="rId14">
        <w:r w:rsidRPr="00431BE7">
          <w:rPr>
            <w:rStyle w:val="Hyperlink"/>
            <w:sz w:val="22"/>
            <w:szCs w:val="22"/>
          </w:rPr>
          <w:t>Policy for the Selection and Contracting of Consulting firms for Bank-executed Operational Work</w:t>
        </w:r>
      </w:hyperlink>
      <w:r w:rsidR="003C4BA8" w:rsidRPr="00915B09">
        <w:rPr>
          <w:color w:val="auto"/>
          <w:sz w:val="22"/>
          <w:szCs w:val="22"/>
        </w:rPr>
        <w:t xml:space="preserve"> - GN-2765-1. </w:t>
      </w:r>
      <w:r w:rsidRPr="00915B09">
        <w:rPr>
          <w:color w:val="auto"/>
          <w:sz w:val="22"/>
          <w:szCs w:val="22"/>
        </w:rPr>
        <w:t xml:space="preserve">All eligible consulting firms, as defined in the Policy may express an interest. </w:t>
      </w:r>
      <w:r w:rsidR="003C4BA8" w:rsidRPr="00915B09">
        <w:rPr>
          <w:color w:val="auto"/>
          <w:sz w:val="22"/>
          <w:szCs w:val="22"/>
        </w:rPr>
        <w:t>If the Consulting Firm is presented in a Consortium, it will designate one of them as a representative, and the latter will be responsible for the communications, the registration in the portal and for submitting the corresponding documents.</w:t>
      </w:r>
    </w:p>
    <w:p w14:paraId="104E1CEF" w14:textId="77777777" w:rsidR="00F45D9C" w:rsidRPr="00915B09" w:rsidRDefault="00F45D9C" w:rsidP="00F45D9C">
      <w:pPr>
        <w:spacing w:line="320" w:lineRule="atLeast"/>
        <w:jc w:val="both"/>
        <w:rPr>
          <w:color w:val="auto"/>
          <w:sz w:val="22"/>
          <w:szCs w:val="22"/>
        </w:rPr>
      </w:pPr>
    </w:p>
    <w:p w14:paraId="1FB8A942" w14:textId="77777777" w:rsidR="00F45D9C" w:rsidRPr="00915B09" w:rsidRDefault="4738AB8D" w:rsidP="00915B09">
      <w:pPr>
        <w:suppressAutoHyphens/>
        <w:jc w:val="both"/>
        <w:rPr>
          <w:color w:val="auto"/>
          <w:sz w:val="22"/>
          <w:szCs w:val="22"/>
        </w:rPr>
      </w:pPr>
      <w:r w:rsidRPr="00915B09">
        <w:rPr>
          <w:color w:val="auto"/>
          <w:sz w:val="22"/>
          <w:szCs w:val="22"/>
        </w:rPr>
        <w:t>The IDB now invites eligible consulting firms to indicate their interest in providing the services</w:t>
      </w:r>
      <w:r w:rsidR="002C3359" w:rsidRPr="00915B09">
        <w:rPr>
          <w:color w:val="auto"/>
          <w:sz w:val="22"/>
          <w:szCs w:val="22"/>
        </w:rPr>
        <w:t xml:space="preserve"> </w:t>
      </w:r>
      <w:r w:rsidR="002E7B51" w:rsidRPr="00915B09">
        <w:rPr>
          <w:color w:val="auto"/>
          <w:sz w:val="22"/>
          <w:szCs w:val="22"/>
        </w:rPr>
        <w:t>described below in the</w:t>
      </w:r>
      <w:r w:rsidR="002C3359" w:rsidRPr="00915B09">
        <w:rPr>
          <w:rStyle w:val="apple-converted-space"/>
          <w:sz w:val="22"/>
          <w:szCs w:val="22"/>
          <w:shd w:val="clear" w:color="auto" w:fill="FFFFFF"/>
        </w:rPr>
        <w:t> </w:t>
      </w:r>
      <w:r w:rsidR="002C3359" w:rsidRPr="00915B09">
        <w:rPr>
          <w:rStyle w:val="normaltextrun"/>
          <w:sz w:val="22"/>
          <w:szCs w:val="22"/>
          <w:u w:val="single"/>
          <w:shd w:val="clear" w:color="auto" w:fill="FFFFFF"/>
        </w:rPr>
        <w:t>draft summary</w:t>
      </w:r>
      <w:r w:rsidR="002C3359" w:rsidRPr="00915B09">
        <w:rPr>
          <w:rStyle w:val="apple-converted-space"/>
          <w:sz w:val="22"/>
          <w:szCs w:val="22"/>
          <w:shd w:val="clear" w:color="auto" w:fill="FFFFFF"/>
        </w:rPr>
        <w:t> </w:t>
      </w:r>
      <w:r w:rsidR="002C3359" w:rsidRPr="00915B09">
        <w:rPr>
          <w:rStyle w:val="normaltextrun"/>
          <w:sz w:val="22"/>
          <w:szCs w:val="22"/>
          <w:shd w:val="clear" w:color="auto" w:fill="FFFFFF"/>
        </w:rPr>
        <w:t>of the intended Terms of Reference for the</w:t>
      </w:r>
      <w:r w:rsidR="002C3359" w:rsidRPr="00915B09">
        <w:rPr>
          <w:rStyle w:val="apple-converted-space"/>
          <w:sz w:val="22"/>
          <w:szCs w:val="22"/>
          <w:shd w:val="clear" w:color="auto" w:fill="FFFFFF"/>
        </w:rPr>
        <w:t> </w:t>
      </w:r>
      <w:r w:rsidR="002E7B51" w:rsidRPr="00915B09">
        <w:rPr>
          <w:rStyle w:val="normaltextrun"/>
          <w:sz w:val="22"/>
          <w:szCs w:val="22"/>
          <w:shd w:val="clear" w:color="auto" w:fill="FFFFFF"/>
        </w:rPr>
        <w:t>assignment</w:t>
      </w:r>
      <w:r w:rsidR="002C3359" w:rsidRPr="00915B09">
        <w:rPr>
          <w:rStyle w:val="normaltextrun"/>
          <w:sz w:val="22"/>
          <w:szCs w:val="22"/>
          <w:shd w:val="clear" w:color="auto" w:fill="FFFFFF"/>
        </w:rPr>
        <w:t>.</w:t>
      </w:r>
      <w:r w:rsidR="002C3359" w:rsidRPr="00915B09">
        <w:rPr>
          <w:rStyle w:val="apple-converted-space"/>
          <w:sz w:val="22"/>
          <w:szCs w:val="22"/>
          <w:shd w:val="clear" w:color="auto" w:fill="FFFFFF"/>
        </w:rPr>
        <w:t> </w:t>
      </w:r>
      <w:r w:rsidRPr="00915B09">
        <w:rPr>
          <w:color w:val="auto"/>
          <w:sz w:val="22"/>
          <w:szCs w:val="22"/>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915B09" w:rsidRDefault="00F45D9C" w:rsidP="00F45D9C">
      <w:pPr>
        <w:spacing w:line="320" w:lineRule="atLeast"/>
        <w:jc w:val="both"/>
        <w:rPr>
          <w:smallCaps/>
          <w:color w:val="4F81BD" w:themeColor="accent1"/>
          <w:sz w:val="22"/>
          <w:szCs w:val="22"/>
        </w:rPr>
      </w:pPr>
    </w:p>
    <w:p w14:paraId="4E1C23E0" w14:textId="44C14D74" w:rsidR="002E7B51" w:rsidRPr="00DE4FA2" w:rsidRDefault="002E7B51" w:rsidP="00915B09">
      <w:pPr>
        <w:suppressAutoHyphens/>
        <w:jc w:val="both"/>
        <w:rPr>
          <w:color w:val="auto"/>
          <w:sz w:val="22"/>
          <w:szCs w:val="22"/>
        </w:rPr>
      </w:pPr>
      <w:r w:rsidRPr="00915B09">
        <w:rPr>
          <w:color w:val="auto"/>
          <w:sz w:val="22"/>
          <w:szCs w:val="22"/>
        </w:rPr>
        <w:lastRenderedPageBreak/>
        <w:t xml:space="preserve">Interested eligible consulting firms may obtain further information during office hours, 09:00 AM to 05:00 PM, (Washington D.C. Time) by sending an email to: </w:t>
      </w:r>
      <w:r w:rsidR="003224EA" w:rsidRPr="00D803E5">
        <w:rPr>
          <w:color w:val="0070C0"/>
          <w:sz w:val="22"/>
          <w:szCs w:val="22"/>
        </w:rPr>
        <w:t xml:space="preserve">Luis Tejerina, </w:t>
      </w:r>
      <w:hyperlink r:id="rId15" w:history="1">
        <w:r w:rsidR="003224EA" w:rsidRPr="00D803E5">
          <w:rPr>
            <w:rStyle w:val="Hyperlink"/>
            <w:sz w:val="22"/>
            <w:szCs w:val="22"/>
          </w:rPr>
          <w:t>luist@iadb.org</w:t>
        </w:r>
      </w:hyperlink>
      <w:r w:rsidR="003224EA" w:rsidRPr="00D803E5">
        <w:rPr>
          <w:color w:val="0070C0"/>
          <w:sz w:val="22"/>
          <w:szCs w:val="22"/>
        </w:rPr>
        <w:t xml:space="preserve"> </w:t>
      </w:r>
      <w:r w:rsidR="00D803E5">
        <w:rPr>
          <w:color w:val="0070C0"/>
          <w:sz w:val="22"/>
          <w:szCs w:val="22"/>
        </w:rPr>
        <w:t>and Mihwa Park, mihwap@iadb.org.</w:t>
      </w:r>
    </w:p>
    <w:p w14:paraId="28992729" w14:textId="77777777" w:rsidR="00F45D9C" w:rsidRPr="00D803E5" w:rsidRDefault="00F45D9C" w:rsidP="00F45D9C">
      <w:pPr>
        <w:suppressAutoHyphens/>
        <w:jc w:val="both"/>
        <w:rPr>
          <w:color w:val="4F81BD" w:themeColor="accent1"/>
          <w:spacing w:val="-2"/>
          <w:sz w:val="22"/>
          <w:szCs w:val="22"/>
        </w:rPr>
      </w:pPr>
    </w:p>
    <w:p w14:paraId="1680211F" w14:textId="77777777" w:rsidR="00F45D9C" w:rsidRPr="00915B09" w:rsidRDefault="00F45D9C" w:rsidP="00F45D9C">
      <w:pPr>
        <w:spacing w:line="320" w:lineRule="atLeast"/>
        <w:jc w:val="both"/>
        <w:rPr>
          <w:color w:val="auto"/>
          <w:sz w:val="22"/>
          <w:szCs w:val="22"/>
        </w:rPr>
      </w:pPr>
    </w:p>
    <w:p w14:paraId="4C8351D7" w14:textId="77777777" w:rsidR="00F45D9C" w:rsidRPr="00DE4FA2" w:rsidRDefault="2CDD2216" w:rsidP="2CDD2216">
      <w:pPr>
        <w:spacing w:line="320" w:lineRule="atLeast"/>
        <w:jc w:val="both"/>
        <w:rPr>
          <w:color w:val="auto"/>
          <w:sz w:val="22"/>
          <w:szCs w:val="22"/>
        </w:rPr>
      </w:pPr>
      <w:r w:rsidRPr="00DE4FA2">
        <w:rPr>
          <w:color w:val="auto"/>
          <w:sz w:val="22"/>
          <w:szCs w:val="22"/>
        </w:rPr>
        <w:t>Inter-American Development Bank</w:t>
      </w:r>
    </w:p>
    <w:p w14:paraId="64E78C0E" w14:textId="101BF887" w:rsidR="00F45D9C" w:rsidRPr="00D803E5" w:rsidRDefault="00F45D9C" w:rsidP="2CDD2216">
      <w:pPr>
        <w:spacing w:line="320" w:lineRule="atLeast"/>
        <w:jc w:val="both"/>
        <w:rPr>
          <w:color w:val="0070C0"/>
          <w:sz w:val="22"/>
          <w:szCs w:val="22"/>
        </w:rPr>
      </w:pPr>
      <w:r w:rsidRPr="00DE4FA2">
        <w:rPr>
          <w:color w:val="auto"/>
          <w:sz w:val="22"/>
          <w:szCs w:val="22"/>
        </w:rPr>
        <w:t xml:space="preserve">Division: </w:t>
      </w:r>
      <w:r w:rsidR="003224EA" w:rsidRPr="00D803E5">
        <w:rPr>
          <w:color w:val="0070C0"/>
          <w:spacing w:val="-2"/>
          <w:sz w:val="22"/>
          <w:szCs w:val="22"/>
        </w:rPr>
        <w:t>SPH/SCL</w:t>
      </w:r>
    </w:p>
    <w:p w14:paraId="4B0045BF" w14:textId="714F613E" w:rsidR="00F45D9C" w:rsidRPr="00DE4FA2" w:rsidRDefault="00F45D9C" w:rsidP="00F45D9C">
      <w:pPr>
        <w:spacing w:line="320" w:lineRule="atLeast"/>
        <w:jc w:val="both"/>
        <w:rPr>
          <w:color w:val="auto"/>
          <w:sz w:val="22"/>
          <w:szCs w:val="22"/>
        </w:rPr>
      </w:pPr>
      <w:r w:rsidRPr="00DE4FA2">
        <w:rPr>
          <w:color w:val="auto"/>
          <w:sz w:val="22"/>
          <w:szCs w:val="22"/>
        </w:rPr>
        <w:t>Attn:</w:t>
      </w:r>
      <w:r w:rsidRPr="00D803E5">
        <w:rPr>
          <w:color w:val="0070C0"/>
          <w:spacing w:val="-2"/>
          <w:sz w:val="22"/>
          <w:szCs w:val="22"/>
        </w:rPr>
        <w:t xml:space="preserve"> </w:t>
      </w:r>
      <w:r w:rsidR="00153FCD" w:rsidRPr="00D803E5">
        <w:rPr>
          <w:color w:val="0070C0"/>
          <w:spacing w:val="-2"/>
          <w:sz w:val="22"/>
          <w:szCs w:val="22"/>
        </w:rPr>
        <w:t>Luis Tejerina</w:t>
      </w:r>
      <w:r w:rsidRPr="00D803E5">
        <w:rPr>
          <w:color w:val="0070C0"/>
          <w:spacing w:val="-2"/>
          <w:sz w:val="22"/>
          <w:szCs w:val="22"/>
        </w:rPr>
        <w:t xml:space="preserve"> </w:t>
      </w:r>
    </w:p>
    <w:p w14:paraId="648099CF" w14:textId="77777777" w:rsidR="00F45D9C" w:rsidRPr="00915B09" w:rsidRDefault="2CDD2216" w:rsidP="2CDD2216">
      <w:pPr>
        <w:spacing w:line="320" w:lineRule="atLeast"/>
        <w:jc w:val="both"/>
        <w:rPr>
          <w:color w:val="auto"/>
          <w:sz w:val="22"/>
          <w:szCs w:val="22"/>
        </w:rPr>
      </w:pPr>
      <w:r w:rsidRPr="00915B09">
        <w:rPr>
          <w:color w:val="auto"/>
          <w:sz w:val="22"/>
          <w:szCs w:val="22"/>
        </w:rPr>
        <w:t>1300 New York Ave, NW, Washington DC 20577, USA</w:t>
      </w:r>
    </w:p>
    <w:p w14:paraId="349989D8" w14:textId="2D70E74E" w:rsidR="00F45D9C" w:rsidRPr="00915B09" w:rsidRDefault="00F45D9C" w:rsidP="2CDD2216">
      <w:pPr>
        <w:suppressAutoHyphens/>
        <w:rPr>
          <w:i/>
          <w:iCs/>
          <w:color w:val="0070C0"/>
          <w:sz w:val="22"/>
          <w:szCs w:val="22"/>
          <w:highlight w:val="yellow"/>
          <w:lang w:val="pt-BR"/>
        </w:rPr>
      </w:pPr>
      <w:r w:rsidRPr="00915B09">
        <w:rPr>
          <w:spacing w:val="-2"/>
          <w:sz w:val="22"/>
          <w:szCs w:val="22"/>
          <w:lang w:val="pt-BR"/>
        </w:rPr>
        <w:t xml:space="preserve">Tel: </w:t>
      </w:r>
      <w:r w:rsidR="0035399A" w:rsidRPr="00915B09">
        <w:rPr>
          <w:spacing w:val="-2"/>
          <w:sz w:val="22"/>
          <w:szCs w:val="22"/>
          <w:lang w:val="pt-BR"/>
        </w:rPr>
        <w:t>+</w:t>
      </w:r>
      <w:r w:rsidR="0035399A" w:rsidRPr="00915B09">
        <w:rPr>
          <w:color w:val="auto"/>
          <w:sz w:val="22"/>
          <w:szCs w:val="22"/>
          <w:lang w:val="pt-BR"/>
        </w:rPr>
        <w:t>1 (240) 651-9101</w:t>
      </w:r>
    </w:p>
    <w:p w14:paraId="0C7C68E9" w14:textId="77B6A626" w:rsidR="00F45D9C" w:rsidRPr="00915B09" w:rsidRDefault="00F45D9C" w:rsidP="2CDD2216">
      <w:pPr>
        <w:suppressAutoHyphens/>
        <w:jc w:val="both"/>
        <w:rPr>
          <w:color w:val="0070C0"/>
          <w:sz w:val="22"/>
          <w:szCs w:val="22"/>
          <w:lang w:val="pt-BR"/>
        </w:rPr>
      </w:pPr>
      <w:r w:rsidRPr="00915B09">
        <w:rPr>
          <w:spacing w:val="-2"/>
          <w:sz w:val="22"/>
          <w:szCs w:val="22"/>
          <w:lang w:val="pt-BR"/>
        </w:rPr>
        <w:t xml:space="preserve">E-mail: </w:t>
      </w:r>
      <w:hyperlink r:id="rId16" w:history="1">
        <w:r w:rsidR="005C736C" w:rsidRPr="00D803E5">
          <w:rPr>
            <w:rStyle w:val="Hyperlink"/>
            <w:spacing w:val="-2"/>
            <w:sz w:val="22"/>
            <w:szCs w:val="22"/>
            <w:lang w:val="pt-BR"/>
          </w:rPr>
          <w:t>luist@iadb.org</w:t>
        </w:r>
      </w:hyperlink>
      <w:r w:rsidR="005C736C" w:rsidRPr="00915B09">
        <w:rPr>
          <w:i/>
          <w:iCs/>
          <w:color w:val="0070C0"/>
          <w:spacing w:val="-2"/>
          <w:sz w:val="22"/>
          <w:szCs w:val="22"/>
          <w:lang w:val="pt-BR"/>
        </w:rPr>
        <w:t xml:space="preserve"> </w:t>
      </w:r>
    </w:p>
    <w:p w14:paraId="1BD17ACE" w14:textId="3C1EDA91" w:rsidR="00170248" w:rsidRPr="00915B09" w:rsidRDefault="2CDD2216" w:rsidP="2CDD2216">
      <w:pPr>
        <w:spacing w:line="320" w:lineRule="atLeast"/>
        <w:jc w:val="both"/>
        <w:rPr>
          <w:color w:val="auto"/>
          <w:sz w:val="22"/>
          <w:szCs w:val="22"/>
        </w:rPr>
      </w:pPr>
      <w:r w:rsidRPr="00915B09">
        <w:rPr>
          <w:color w:val="auto"/>
          <w:sz w:val="22"/>
          <w:szCs w:val="22"/>
        </w:rPr>
        <w:t xml:space="preserve">Web site: </w:t>
      </w:r>
      <w:hyperlink r:id="rId17">
        <w:r w:rsidRPr="00915B09">
          <w:rPr>
            <w:rStyle w:val="Hyperlink"/>
            <w:sz w:val="22"/>
            <w:szCs w:val="22"/>
          </w:rPr>
          <w:t>www.iadb.org</w:t>
        </w:r>
      </w:hyperlink>
      <w:r w:rsidRPr="00915B09">
        <w:rPr>
          <w:color w:val="auto"/>
          <w:sz w:val="22"/>
          <w:szCs w:val="22"/>
        </w:rPr>
        <w:t xml:space="preserve"> </w:t>
      </w:r>
    </w:p>
    <w:p w14:paraId="06B3C2FF" w14:textId="394C6DB4" w:rsidR="00646CCE" w:rsidRPr="00915B09" w:rsidRDefault="00646CCE" w:rsidP="2CDD2216">
      <w:pPr>
        <w:spacing w:line="320" w:lineRule="atLeast"/>
        <w:jc w:val="both"/>
        <w:rPr>
          <w:color w:val="auto"/>
          <w:sz w:val="22"/>
          <w:szCs w:val="22"/>
        </w:rPr>
      </w:pPr>
    </w:p>
    <w:p w14:paraId="44196DA7" w14:textId="5667712B" w:rsidR="00646CCE" w:rsidRPr="00915B09" w:rsidRDefault="00646CCE" w:rsidP="2CDD2216">
      <w:pPr>
        <w:spacing w:line="320" w:lineRule="atLeast"/>
        <w:jc w:val="both"/>
        <w:rPr>
          <w:color w:val="auto"/>
          <w:sz w:val="22"/>
          <w:szCs w:val="22"/>
        </w:rPr>
      </w:pPr>
      <w:r w:rsidRPr="00915B09">
        <w:rPr>
          <w:color w:val="auto"/>
          <w:sz w:val="22"/>
          <w:szCs w:val="22"/>
        </w:rPr>
        <w:t xml:space="preserve">Attached: </w:t>
      </w:r>
      <w:r w:rsidR="00DE4FA2">
        <w:rPr>
          <w:color w:val="auto"/>
          <w:sz w:val="22"/>
          <w:szCs w:val="22"/>
        </w:rPr>
        <w:t xml:space="preserve">Draft Summary of </w:t>
      </w:r>
      <w:r w:rsidRPr="00915B09">
        <w:rPr>
          <w:color w:val="auto"/>
          <w:sz w:val="22"/>
          <w:szCs w:val="22"/>
        </w:rPr>
        <w:t>Terms of Reference COVID-19 Digital Response Systems</w:t>
      </w:r>
    </w:p>
    <w:p w14:paraId="28F0F21F" w14:textId="3E85649B" w:rsidR="00646CCE" w:rsidRPr="00915B09" w:rsidRDefault="00646CCE" w:rsidP="2CDD2216">
      <w:pPr>
        <w:spacing w:line="320" w:lineRule="atLeast"/>
        <w:jc w:val="both"/>
        <w:rPr>
          <w:color w:val="auto"/>
          <w:sz w:val="22"/>
          <w:szCs w:val="22"/>
        </w:rPr>
      </w:pPr>
    </w:p>
    <w:p w14:paraId="1E7163E1" w14:textId="7F1172D8" w:rsidR="00646CCE" w:rsidRPr="00915B09" w:rsidRDefault="00646CCE" w:rsidP="2CDD2216">
      <w:pPr>
        <w:spacing w:line="320" w:lineRule="atLeast"/>
        <w:jc w:val="both"/>
        <w:rPr>
          <w:color w:val="auto"/>
          <w:sz w:val="22"/>
          <w:szCs w:val="22"/>
        </w:rPr>
      </w:pPr>
    </w:p>
    <w:p w14:paraId="5B6FCCF1" w14:textId="6B1618C8" w:rsidR="00646CCE" w:rsidRDefault="00646CCE" w:rsidP="2CDD2216">
      <w:pPr>
        <w:spacing w:line="320" w:lineRule="atLeast"/>
        <w:jc w:val="both"/>
        <w:rPr>
          <w:rFonts w:asciiTheme="minorHAnsi" w:hAnsiTheme="minorHAnsi" w:cstheme="minorBidi"/>
          <w:color w:val="auto"/>
        </w:rPr>
      </w:pPr>
    </w:p>
    <w:p w14:paraId="7EBBC4E3" w14:textId="77777777" w:rsidR="00915B09" w:rsidRDefault="00915B09" w:rsidP="2CDD2216">
      <w:pPr>
        <w:spacing w:line="320" w:lineRule="atLeast"/>
        <w:jc w:val="both"/>
        <w:rPr>
          <w:rFonts w:asciiTheme="minorHAnsi" w:hAnsiTheme="minorHAnsi" w:cstheme="minorBidi"/>
          <w:color w:val="auto"/>
        </w:rPr>
        <w:sectPr w:rsidR="00915B09">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pPr>
    </w:p>
    <w:p w14:paraId="1F95C036" w14:textId="2FC46FBB" w:rsidR="00E857C2" w:rsidRPr="00431BE7" w:rsidRDefault="00DE4FA2" w:rsidP="00E857C2">
      <w:pPr>
        <w:jc w:val="both"/>
        <w:rPr>
          <w:iCs/>
          <w:color w:val="0070C0"/>
          <w:sz w:val="22"/>
          <w:szCs w:val="22"/>
        </w:rPr>
      </w:pPr>
      <w:r w:rsidRPr="00431BE7">
        <w:rPr>
          <w:iCs/>
          <w:color w:val="0070C0"/>
          <w:sz w:val="22"/>
          <w:szCs w:val="22"/>
        </w:rPr>
        <w:lastRenderedPageBreak/>
        <w:t>RG-T3704-P00</w:t>
      </w:r>
      <w:r w:rsidR="00267859">
        <w:rPr>
          <w:iCs/>
          <w:color w:val="0070C0"/>
          <w:sz w:val="22"/>
          <w:szCs w:val="22"/>
        </w:rPr>
        <w:t>1</w:t>
      </w:r>
    </w:p>
    <w:p w14:paraId="4EFB88C5" w14:textId="77777777" w:rsidR="00E857C2" w:rsidRPr="00B821AD" w:rsidRDefault="00E857C2" w:rsidP="00E857C2">
      <w:pPr>
        <w:jc w:val="both"/>
        <w:rPr>
          <w:b/>
          <w:sz w:val="22"/>
          <w:szCs w:val="22"/>
          <w:u w:val="single"/>
        </w:rPr>
      </w:pPr>
    </w:p>
    <w:p w14:paraId="22BACD67" w14:textId="77777777" w:rsidR="00E857C2" w:rsidRPr="00B821AD" w:rsidRDefault="00E857C2" w:rsidP="00E857C2">
      <w:pPr>
        <w:pStyle w:val="Heading1"/>
        <w:jc w:val="center"/>
        <w:rPr>
          <w:b w:val="0"/>
          <w:sz w:val="22"/>
          <w:szCs w:val="22"/>
          <w:u w:val="single"/>
        </w:rPr>
      </w:pPr>
      <w:r w:rsidRPr="00B821AD">
        <w:rPr>
          <w:sz w:val="22"/>
          <w:szCs w:val="22"/>
          <w:u w:val="single"/>
        </w:rPr>
        <w:t>TERMS OF REFERENCE</w:t>
      </w:r>
    </w:p>
    <w:p w14:paraId="7366A81B" w14:textId="77777777" w:rsidR="00E857C2" w:rsidRPr="00B821AD" w:rsidRDefault="00E857C2" w:rsidP="00E857C2">
      <w:pPr>
        <w:jc w:val="both"/>
        <w:rPr>
          <w:i/>
          <w:color w:val="0070C0"/>
          <w:sz w:val="22"/>
          <w:szCs w:val="22"/>
        </w:rPr>
      </w:pPr>
    </w:p>
    <w:p w14:paraId="444BFCC8" w14:textId="77777777" w:rsidR="00E857C2" w:rsidRPr="00B821AD" w:rsidRDefault="00E857C2" w:rsidP="00E857C2">
      <w:pPr>
        <w:pStyle w:val="Heading2"/>
        <w:jc w:val="center"/>
        <w:rPr>
          <w:color w:val="auto"/>
          <w:sz w:val="22"/>
          <w:szCs w:val="22"/>
        </w:rPr>
      </w:pPr>
      <w:r w:rsidRPr="00B821AD">
        <w:rPr>
          <w:color w:val="auto"/>
          <w:sz w:val="22"/>
          <w:szCs w:val="22"/>
        </w:rPr>
        <w:t>COVID-19 Digital Response Systems</w:t>
      </w:r>
    </w:p>
    <w:p w14:paraId="322D70EE" w14:textId="77777777" w:rsidR="00E857C2" w:rsidRPr="00B821AD" w:rsidRDefault="00E857C2" w:rsidP="00E857C2">
      <w:pPr>
        <w:jc w:val="center"/>
        <w:rPr>
          <w:i/>
          <w:color w:val="0070C0"/>
          <w:sz w:val="22"/>
          <w:szCs w:val="22"/>
        </w:rPr>
      </w:pPr>
    </w:p>
    <w:p w14:paraId="14521FFF" w14:textId="77777777" w:rsidR="00E857C2" w:rsidRPr="00B821AD" w:rsidRDefault="00E857C2" w:rsidP="00E857C2">
      <w:pPr>
        <w:suppressAutoHyphens/>
        <w:rPr>
          <w:color w:val="0070C0"/>
          <w:spacing w:val="-2"/>
          <w:sz w:val="22"/>
          <w:szCs w:val="22"/>
        </w:rPr>
      </w:pPr>
      <w:r w:rsidRPr="00B821AD">
        <w:rPr>
          <w:color w:val="0070C0"/>
          <w:spacing w:val="-2"/>
          <w:sz w:val="22"/>
          <w:szCs w:val="22"/>
        </w:rPr>
        <w:t>Regional</w:t>
      </w:r>
    </w:p>
    <w:p w14:paraId="2DA242B1" w14:textId="77777777" w:rsidR="00E857C2" w:rsidRPr="00D803E5" w:rsidRDefault="00E857C2" w:rsidP="00E857C2">
      <w:pPr>
        <w:pStyle w:val="BodyText"/>
        <w:rPr>
          <w:rFonts w:ascii="Arial" w:eastAsiaTheme="minorEastAsia" w:hAnsi="Arial" w:cs="Arial"/>
          <w:color w:val="0070C0"/>
          <w:sz w:val="22"/>
          <w:szCs w:val="22"/>
          <w:lang w:eastAsia="es-AR"/>
        </w:rPr>
      </w:pPr>
      <w:r w:rsidRPr="00D803E5">
        <w:rPr>
          <w:rFonts w:ascii="Arial" w:eastAsiaTheme="minorEastAsia" w:hAnsi="Arial" w:cs="Arial"/>
          <w:color w:val="0070C0"/>
          <w:sz w:val="22"/>
          <w:szCs w:val="22"/>
          <w:lang w:eastAsia="es-AR"/>
        </w:rPr>
        <w:t>RG-T3704</w:t>
      </w:r>
    </w:p>
    <w:p w14:paraId="44E55DF6" w14:textId="1DFF304D" w:rsidR="00E857C2" w:rsidRPr="00D803E5" w:rsidRDefault="00DE4FA2" w:rsidP="00E857C2">
      <w:pPr>
        <w:tabs>
          <w:tab w:val="left" w:pos="7080"/>
        </w:tabs>
        <w:jc w:val="both"/>
        <w:rPr>
          <w:color w:val="0070C0"/>
          <w:spacing w:val="-2"/>
          <w:sz w:val="22"/>
          <w:szCs w:val="22"/>
        </w:rPr>
      </w:pPr>
      <w:r w:rsidRPr="00431BE7">
        <w:rPr>
          <w:color w:val="0070C0"/>
          <w:spacing w:val="-2"/>
        </w:rPr>
        <w:t>Innovative COVID-19 Response Using ICT Tools: Knowledge Sharing Between LAC and Korea in Public Health Emergency Preparedness</w:t>
      </w:r>
    </w:p>
    <w:p w14:paraId="40437336" w14:textId="35EEA46C" w:rsidR="00DE4FA2" w:rsidRDefault="00DE4FA2" w:rsidP="00E857C2">
      <w:pPr>
        <w:tabs>
          <w:tab w:val="left" w:pos="7080"/>
        </w:tabs>
        <w:jc w:val="both"/>
        <w:rPr>
          <w:sz w:val="22"/>
          <w:szCs w:val="22"/>
        </w:rPr>
      </w:pPr>
      <w:hyperlink r:id="rId24" w:history="1">
        <w:r w:rsidRPr="00950B7C">
          <w:rPr>
            <w:rStyle w:val="Hyperlink"/>
            <w:sz w:val="22"/>
            <w:szCs w:val="22"/>
          </w:rPr>
          <w:t>https://www.iadb.org/en/project/RG-T3704</w:t>
        </w:r>
      </w:hyperlink>
      <w:r>
        <w:rPr>
          <w:sz w:val="22"/>
          <w:szCs w:val="22"/>
        </w:rPr>
        <w:t xml:space="preserve"> </w:t>
      </w:r>
    </w:p>
    <w:p w14:paraId="2E528228" w14:textId="77777777" w:rsidR="00E857C2" w:rsidRPr="00B821AD" w:rsidRDefault="00E857C2" w:rsidP="00E857C2">
      <w:pPr>
        <w:tabs>
          <w:tab w:val="left" w:pos="7080"/>
        </w:tabs>
        <w:jc w:val="both"/>
        <w:rPr>
          <w:sz w:val="22"/>
          <w:szCs w:val="22"/>
        </w:rPr>
      </w:pPr>
      <w:r w:rsidRPr="00B821AD">
        <w:rPr>
          <w:sz w:val="22"/>
          <w:szCs w:val="22"/>
        </w:rPr>
        <w:tab/>
      </w:r>
    </w:p>
    <w:p w14:paraId="2E57FF91"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Background and Justification</w:t>
      </w:r>
    </w:p>
    <w:p w14:paraId="00F418A6" w14:textId="77777777" w:rsidR="00E857C2" w:rsidRPr="00B821AD" w:rsidRDefault="00E857C2" w:rsidP="00E857C2">
      <w:pPr>
        <w:spacing w:line="276" w:lineRule="auto"/>
        <w:ind w:left="792"/>
        <w:contextualSpacing/>
        <w:jc w:val="both"/>
        <w:rPr>
          <w:rFonts w:eastAsiaTheme="minorHAnsi"/>
          <w:sz w:val="22"/>
          <w:szCs w:val="22"/>
        </w:rPr>
      </w:pPr>
    </w:p>
    <w:p w14:paraId="2F6249E9" w14:textId="77777777" w:rsidR="00E857C2" w:rsidRPr="00B821AD" w:rsidRDefault="00E857C2" w:rsidP="00915B09">
      <w:pPr>
        <w:numPr>
          <w:ilvl w:val="1"/>
          <w:numId w:val="1"/>
        </w:numPr>
        <w:autoSpaceDE/>
        <w:autoSpaceDN/>
        <w:adjustRightInd/>
        <w:spacing w:after="240"/>
        <w:ind w:left="720" w:hanging="720"/>
        <w:jc w:val="both"/>
        <w:rPr>
          <w:rFonts w:eastAsiaTheme="minorHAnsi"/>
          <w:bCs/>
          <w:i/>
          <w:sz w:val="22"/>
          <w:szCs w:val="22"/>
        </w:rPr>
      </w:pPr>
      <w:r w:rsidRPr="00B821AD">
        <w:rPr>
          <w:rFonts w:eastAsiaTheme="minorHAnsi"/>
          <w:bCs/>
          <w:sz w:val="22"/>
          <w:szCs w:val="22"/>
        </w:rPr>
        <w:t>When COVID 19 hit the countries in Latin America and the Caribbean few countries were ready with information systems in place to react and produce the necessary data to help authorities face the crisis. Countries like Uruguay, Argentina have developed chatbots to answer questions and provide information on COVID-19 to citizens. Colombia launched an informative platform to follow up with the evolution of COVID-19 in the country and launched an app to track COVID-19. Peru and Costa Rica developed dashboards and analytics to monitor the spread of the disease. However, use of digital tools in the LAC region in general was limited due to lack of infrastructure, governance structures for a scenario like this one and policies to back the use of digital technologies during pandemics. Furthermore, responses from various countries were heterogeneous and, in some cases, not led by the Ministries of health. Digital solutions were imported from other regions and implemented in a rush to respond to the challenge without vetting their applicability in the region or strategic planning regarding the role they played in the overall health system response to the pandemic.</w:t>
      </w:r>
    </w:p>
    <w:p w14:paraId="68BA2C8F" w14:textId="48EA6D71"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Digital health interventions are commonly used tools to improve efficiency and quality of health care (Nelson et al. 2019) and they are also proven to be effective during public health emergencies (Allen at al. 2019). According to a recent IDB’s publication, in times of public health emergencies, stronger information systems are important, and digital tools were used to serve as emergency response systems, client communication systems, public health and disease surveillance systems and so on. The report also emphasized the importance of non-digital factors such as institutional capacity, and legal framework to maximize the effectiveness of the digital tools in times of public health emergencies (Park et al. 2020)</w:t>
      </w:r>
    </w:p>
    <w:p w14:paraId="494C6924"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 xml:space="preserve">South Korea is one of the countries that had made the relevant investments and reacted quickly to manage the crisis using data and technology. Korea regularly suffers contingencies that can have serious public health consequences from yearly typhoon to infectious disease outbreaks, which led to development of public health emergency preparedness and response capacity and building resilience (OECD, 2020) Especially against the infectious disease outbreak the country system after MERS outbreak in 2015. MERS outbreak gave important lessons to Korea as gaps of the systems were discovered, which later the government successfully filled institutional, legal frameworks to enhance the country’s emergency preparedness. </w:t>
      </w:r>
    </w:p>
    <w:p w14:paraId="136A5D8D"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 xml:space="preserve">Considering risks for public health, preparedness for public health emergencies became a key policy priority in Korea. The first steps entailed reflection in its legal and institutional framework related to the important risks for pandemic outbreaks and disasters. Currently, </w:t>
      </w:r>
      <w:proofErr w:type="spellStart"/>
      <w:r w:rsidRPr="00B821AD">
        <w:rPr>
          <w:rFonts w:eastAsiaTheme="minorHAnsi"/>
          <w:bCs/>
          <w:iCs/>
          <w:sz w:val="22"/>
          <w:szCs w:val="22"/>
        </w:rPr>
        <w:t>Kkorea’s</w:t>
      </w:r>
      <w:proofErr w:type="spellEnd"/>
      <w:r w:rsidRPr="00B821AD">
        <w:rPr>
          <w:rFonts w:eastAsiaTheme="minorHAnsi"/>
          <w:bCs/>
          <w:iCs/>
          <w:sz w:val="22"/>
          <w:szCs w:val="22"/>
        </w:rPr>
        <w:t xml:space="preserve"> legal framework for public health emergencies is based on an all-hazard approach. The Framework Act on the Management of Disasters and Safety of 2015 clarifies the responsibilities of national to local governments </w:t>
      </w:r>
      <w:proofErr w:type="gramStart"/>
      <w:r w:rsidRPr="00B821AD">
        <w:rPr>
          <w:rFonts w:eastAsiaTheme="minorHAnsi"/>
          <w:bCs/>
          <w:iCs/>
          <w:sz w:val="22"/>
          <w:szCs w:val="22"/>
        </w:rPr>
        <w:t>all across</w:t>
      </w:r>
      <w:proofErr w:type="gramEnd"/>
      <w:r w:rsidRPr="00B821AD">
        <w:rPr>
          <w:rFonts w:eastAsiaTheme="minorHAnsi"/>
          <w:bCs/>
          <w:iCs/>
          <w:sz w:val="22"/>
          <w:szCs w:val="22"/>
        </w:rPr>
        <w:t xml:space="preserve"> the risk management cycle, from prevention, preparedness to response and recovery. The Act also provide instructions to all levels of government to establish both a Safety Management Committee for Policy planning and implementation and a Disaster and Safety Countermeasures Headquarter for operational response, as well as the development of Safety management Plans in all local governments, corresponding with the national Master Plan for Safety management developed every five years (OECD, 2020).</w:t>
      </w:r>
    </w:p>
    <w:p w14:paraId="261556AE" w14:textId="65A5175B" w:rsidR="00E857C2" w:rsidRDefault="00E857C2" w:rsidP="00915B09">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Objectives</w:t>
      </w:r>
    </w:p>
    <w:p w14:paraId="481D3741" w14:textId="77777777" w:rsidR="00DE4FA2" w:rsidRDefault="00DE4FA2" w:rsidP="00DE4FA2">
      <w:pPr>
        <w:autoSpaceDE/>
        <w:autoSpaceDN/>
        <w:adjustRightInd/>
        <w:ind w:left="720"/>
        <w:jc w:val="both"/>
        <w:rPr>
          <w:rFonts w:eastAsiaTheme="minorHAnsi"/>
          <w:bCs/>
          <w:iCs/>
          <w:sz w:val="22"/>
          <w:szCs w:val="22"/>
        </w:rPr>
      </w:pPr>
    </w:p>
    <w:p w14:paraId="1BAB25F5" w14:textId="3F70092F"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 xml:space="preserve">The objective of the study is to develop a typology of digital response systems during pandemics for Latin American counties depending on their level of readiness. </w:t>
      </w:r>
    </w:p>
    <w:p w14:paraId="0FDBEC31"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Scope of Services</w:t>
      </w:r>
    </w:p>
    <w:p w14:paraId="0300D285" w14:textId="77777777" w:rsidR="00E857C2" w:rsidRPr="00B821AD" w:rsidRDefault="00E857C2" w:rsidP="00E857C2">
      <w:pPr>
        <w:spacing w:line="276" w:lineRule="auto"/>
        <w:ind w:left="792"/>
        <w:contextualSpacing/>
        <w:jc w:val="both"/>
        <w:rPr>
          <w:rFonts w:eastAsiaTheme="minorHAnsi"/>
          <w:b/>
          <w:i/>
          <w:sz w:val="22"/>
          <w:szCs w:val="22"/>
        </w:rPr>
      </w:pPr>
    </w:p>
    <w:p w14:paraId="5198ED11"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 xml:space="preserve">The consulting firm will analyze digital tools that have proven to be effective in the fight of pandemics including COVID 19. It will also review the level of readiness of countries in the region and then will develop a typology of systems that need to be in place to be ready for a pandemic. </w:t>
      </w:r>
    </w:p>
    <w:p w14:paraId="72CB7A38"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The typology will include a readiness assessment tool for countries that will help place them in different levels. Depending on the level a country is in the consultancy will recommend a series of digital tools to be in place to face pandemics.</w:t>
      </w:r>
    </w:p>
    <w:p w14:paraId="031CAD69"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This should include a theoretical discussion for example to avoid the use of certain technologies if the country is not ready to use them (digital contact tracing for example)</w:t>
      </w:r>
    </w:p>
    <w:p w14:paraId="7E353A61"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Key Activities</w:t>
      </w:r>
    </w:p>
    <w:p w14:paraId="5B0DA602" w14:textId="77777777" w:rsidR="00E857C2" w:rsidRPr="00B821AD" w:rsidRDefault="00E857C2" w:rsidP="00E857C2">
      <w:pPr>
        <w:spacing w:after="200" w:line="276" w:lineRule="auto"/>
        <w:contextualSpacing/>
        <w:jc w:val="both"/>
        <w:rPr>
          <w:rFonts w:eastAsiaTheme="minorHAnsi"/>
          <w:b/>
          <w:sz w:val="22"/>
          <w:szCs w:val="22"/>
          <w:u w:val="single"/>
        </w:rPr>
      </w:pPr>
    </w:p>
    <w:p w14:paraId="35A67491" w14:textId="77777777" w:rsidR="00E857C2" w:rsidRPr="00B821AD" w:rsidRDefault="00E857C2" w:rsidP="00E857C2">
      <w:pPr>
        <w:spacing w:after="200" w:line="276" w:lineRule="auto"/>
        <w:contextualSpacing/>
        <w:jc w:val="both"/>
        <w:rPr>
          <w:rFonts w:eastAsiaTheme="minorHAnsi"/>
          <w:bCs/>
          <w:iCs/>
          <w:sz w:val="22"/>
          <w:szCs w:val="22"/>
        </w:rPr>
      </w:pPr>
      <w:r w:rsidRPr="00B821AD">
        <w:rPr>
          <w:rFonts w:eastAsiaTheme="minorHAnsi"/>
          <w:bCs/>
          <w:iCs/>
          <w:sz w:val="22"/>
          <w:szCs w:val="22"/>
        </w:rPr>
        <w:t>The selected firm will:</w:t>
      </w:r>
    </w:p>
    <w:p w14:paraId="4DD2B059"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Review digital tools that have proven to be useful in pandemics</w:t>
      </w:r>
    </w:p>
    <w:p w14:paraId="26C41FB9"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Review the level of readiness of countries in the region at a high level (availability of information systems for example) by reviewing existing documentation and interviews with key personnel.</w:t>
      </w:r>
    </w:p>
    <w:p w14:paraId="4D01CA6F" w14:textId="77777777" w:rsidR="00E857C2" w:rsidRPr="00B821AD"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 xml:space="preserve">Develop a typology of countries in the region according to their enabling actors in place to use digital tools to face pandemics. </w:t>
      </w:r>
    </w:p>
    <w:p w14:paraId="58BFD013" w14:textId="5426E10F" w:rsidR="00E857C2" w:rsidRDefault="00E857C2" w:rsidP="00915B09">
      <w:pPr>
        <w:numPr>
          <w:ilvl w:val="1"/>
          <w:numId w:val="1"/>
        </w:numPr>
        <w:autoSpaceDE/>
        <w:autoSpaceDN/>
        <w:adjustRightInd/>
        <w:spacing w:after="240"/>
        <w:ind w:left="720" w:hanging="720"/>
        <w:jc w:val="both"/>
        <w:rPr>
          <w:rFonts w:eastAsiaTheme="minorHAnsi"/>
          <w:bCs/>
          <w:iCs/>
          <w:sz w:val="22"/>
          <w:szCs w:val="22"/>
        </w:rPr>
      </w:pPr>
      <w:r w:rsidRPr="00B821AD">
        <w:rPr>
          <w:rFonts w:eastAsiaTheme="minorHAnsi"/>
          <w:bCs/>
          <w:iCs/>
          <w:sz w:val="22"/>
          <w:szCs w:val="22"/>
        </w:rPr>
        <w:t>Develop a report including data for all Bank member countries with available information. A classification based on the tool developed under 4.3 and recommendations for digital tools to be used in each case.</w:t>
      </w:r>
    </w:p>
    <w:p w14:paraId="7E215F31" w14:textId="3ED8AC7E" w:rsidR="00745AA6" w:rsidRDefault="00745AA6" w:rsidP="00915B09">
      <w:pPr>
        <w:numPr>
          <w:ilvl w:val="1"/>
          <w:numId w:val="1"/>
        </w:numPr>
        <w:autoSpaceDE/>
        <w:autoSpaceDN/>
        <w:adjustRightInd/>
        <w:spacing w:after="240"/>
        <w:ind w:left="720" w:hanging="720"/>
        <w:jc w:val="both"/>
        <w:rPr>
          <w:rFonts w:eastAsiaTheme="minorHAnsi"/>
          <w:bCs/>
          <w:iCs/>
          <w:sz w:val="22"/>
          <w:szCs w:val="22"/>
        </w:rPr>
      </w:pPr>
      <w:r>
        <w:rPr>
          <w:rFonts w:eastAsiaTheme="minorHAnsi"/>
          <w:bCs/>
          <w:iCs/>
          <w:sz w:val="22"/>
          <w:szCs w:val="22"/>
        </w:rPr>
        <w:t xml:space="preserve">Develop a learning material on digital systems for response against pandemics in the format used for the digital materials for the IDB. </w:t>
      </w:r>
      <w:hyperlink r:id="rId25" w:history="1">
        <w:r w:rsidRPr="00546277">
          <w:rPr>
            <w:rStyle w:val="Hyperlink"/>
            <w:rFonts w:eastAsiaTheme="minorHAnsi"/>
            <w:bCs/>
            <w:iCs/>
            <w:sz w:val="22"/>
            <w:szCs w:val="22"/>
          </w:rPr>
          <w:t>https://socialdigital.iadb.org/en/resources/health/research-publications/838</w:t>
        </w:r>
      </w:hyperlink>
    </w:p>
    <w:p w14:paraId="519E5B3E"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Expected Outcome and Deliverables</w:t>
      </w:r>
    </w:p>
    <w:p w14:paraId="431F3A68" w14:textId="77777777" w:rsidR="00E857C2" w:rsidRPr="00B821AD" w:rsidRDefault="00E857C2" w:rsidP="00E857C2">
      <w:pPr>
        <w:spacing w:line="276" w:lineRule="auto"/>
        <w:ind w:left="360"/>
        <w:contextualSpacing/>
        <w:rPr>
          <w:rFonts w:eastAsiaTheme="minorHAnsi"/>
          <w:b/>
          <w:sz w:val="22"/>
          <w:szCs w:val="22"/>
          <w:u w:val="single"/>
        </w:rPr>
      </w:pPr>
    </w:p>
    <w:p w14:paraId="20107C4D" w14:textId="77777777"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iCs/>
          <w:sz w:val="22"/>
          <w:szCs w:val="22"/>
        </w:rPr>
        <w:t>Product 1: Workplan and proposed methodology</w:t>
      </w:r>
    </w:p>
    <w:p w14:paraId="337D6B9E" w14:textId="77777777"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iCs/>
          <w:sz w:val="22"/>
          <w:szCs w:val="22"/>
        </w:rPr>
        <w:t>Product 2: Report on the level of readiness of countries in the region</w:t>
      </w:r>
    </w:p>
    <w:p w14:paraId="6D965779" w14:textId="77777777"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bCs/>
          <w:iCs/>
          <w:sz w:val="22"/>
          <w:szCs w:val="22"/>
        </w:rPr>
        <w:t>Product 3: Proposed classification and digital tools to be used in each case</w:t>
      </w:r>
    </w:p>
    <w:p w14:paraId="3BA6BD4F" w14:textId="77777777"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bCs/>
          <w:iCs/>
          <w:sz w:val="22"/>
          <w:szCs w:val="22"/>
        </w:rPr>
        <w:t>Product 4: Final report including material collected under 4.2 and 4.3</w:t>
      </w:r>
    </w:p>
    <w:p w14:paraId="06B95F63" w14:textId="4CF7BFB9"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bCs/>
          <w:iCs/>
          <w:sz w:val="22"/>
          <w:szCs w:val="22"/>
        </w:rPr>
        <w:t>Product 5: Learning material, video</w:t>
      </w:r>
      <w:r w:rsidR="00915B09">
        <w:rPr>
          <w:rFonts w:eastAsiaTheme="minorHAnsi"/>
          <w:bCs/>
          <w:iCs/>
          <w:sz w:val="22"/>
          <w:szCs w:val="22"/>
        </w:rPr>
        <w:t>,</w:t>
      </w:r>
      <w:r w:rsidRPr="00B821AD">
        <w:rPr>
          <w:rFonts w:eastAsiaTheme="minorHAnsi"/>
          <w:bCs/>
          <w:iCs/>
          <w:sz w:val="22"/>
          <w:szCs w:val="22"/>
        </w:rPr>
        <w:t xml:space="preserve"> a</w:t>
      </w:r>
      <w:r w:rsidR="00915B09">
        <w:rPr>
          <w:rFonts w:eastAsiaTheme="minorHAnsi"/>
          <w:bCs/>
          <w:iCs/>
          <w:sz w:val="22"/>
          <w:szCs w:val="22"/>
        </w:rPr>
        <w:t>n</w:t>
      </w:r>
      <w:r w:rsidRPr="00B821AD">
        <w:rPr>
          <w:rFonts w:eastAsiaTheme="minorHAnsi"/>
          <w:bCs/>
          <w:iCs/>
          <w:sz w:val="22"/>
          <w:szCs w:val="22"/>
        </w:rPr>
        <w:t>d presentation of conclusions</w:t>
      </w:r>
    </w:p>
    <w:p w14:paraId="108D0AB8" w14:textId="77777777" w:rsidR="00E857C2" w:rsidRPr="00B821AD" w:rsidRDefault="00E857C2" w:rsidP="00E857C2">
      <w:pPr>
        <w:rPr>
          <w:rFonts w:eastAsiaTheme="minorHAnsi"/>
          <w:sz w:val="22"/>
          <w:szCs w:val="22"/>
        </w:rPr>
      </w:pPr>
    </w:p>
    <w:p w14:paraId="0DE0FFB3"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Project Schedule and Milestones</w:t>
      </w:r>
    </w:p>
    <w:p w14:paraId="0BBE3B1D" w14:textId="77777777" w:rsidR="00E857C2" w:rsidRPr="00B821AD" w:rsidRDefault="00E857C2" w:rsidP="00E857C2">
      <w:pPr>
        <w:spacing w:after="200" w:line="276" w:lineRule="auto"/>
        <w:ind w:left="360"/>
        <w:contextualSpacing/>
        <w:rPr>
          <w:rFonts w:eastAsiaTheme="minorHAnsi"/>
          <w:b/>
          <w:sz w:val="22"/>
          <w:szCs w:val="22"/>
          <w:u w:val="single"/>
        </w:rPr>
      </w:pPr>
    </w:p>
    <w:tbl>
      <w:tblPr>
        <w:tblW w:w="4701" w:type="pct"/>
        <w:jc w:val="center"/>
        <w:tblLook w:val="04A0" w:firstRow="1" w:lastRow="0" w:firstColumn="1" w:lastColumn="0" w:noHBand="0" w:noVBand="1"/>
      </w:tblPr>
      <w:tblGrid>
        <w:gridCol w:w="3415"/>
        <w:gridCol w:w="720"/>
        <w:gridCol w:w="720"/>
        <w:gridCol w:w="720"/>
        <w:gridCol w:w="720"/>
        <w:gridCol w:w="720"/>
        <w:gridCol w:w="720"/>
        <w:gridCol w:w="720"/>
        <w:gridCol w:w="720"/>
        <w:gridCol w:w="657"/>
      </w:tblGrid>
      <w:tr w:rsidR="00915B09" w:rsidRPr="00915B09" w14:paraId="6D89BB8D" w14:textId="77777777" w:rsidTr="00915B09">
        <w:trPr>
          <w:trHeight w:val="152"/>
          <w:jc w:val="center"/>
        </w:trPr>
        <w:tc>
          <w:tcPr>
            <w:tcW w:w="1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EE8D25" w14:textId="77777777" w:rsidR="00E857C2" w:rsidRPr="00915B09" w:rsidRDefault="00E857C2" w:rsidP="00F81B8D">
            <w:pPr>
              <w:jc w:val="center"/>
              <w:rPr>
                <w:b/>
                <w:bCs/>
                <w:sz w:val="18"/>
                <w:szCs w:val="18"/>
              </w:rPr>
            </w:pPr>
            <w:r w:rsidRPr="00915B09">
              <w:rPr>
                <w:b/>
                <w:bCs/>
                <w:sz w:val="18"/>
                <w:szCs w:val="18"/>
              </w:rPr>
              <w:t>Month</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A99477" w14:textId="77777777" w:rsidR="00E857C2" w:rsidRPr="00915B09" w:rsidRDefault="00E857C2" w:rsidP="00F81B8D">
            <w:pPr>
              <w:jc w:val="center"/>
              <w:rPr>
                <w:b/>
                <w:bCs/>
                <w:sz w:val="18"/>
                <w:szCs w:val="18"/>
              </w:rPr>
            </w:pPr>
            <w:r w:rsidRPr="00915B09">
              <w:rPr>
                <w:b/>
                <w:bCs/>
                <w:sz w:val="18"/>
                <w:szCs w:val="18"/>
              </w:rPr>
              <w:t>1</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9B172C4" w14:textId="77777777" w:rsidR="00E857C2" w:rsidRPr="00915B09" w:rsidRDefault="00E857C2" w:rsidP="00F81B8D">
            <w:pPr>
              <w:jc w:val="center"/>
              <w:rPr>
                <w:b/>
                <w:bCs/>
                <w:sz w:val="18"/>
                <w:szCs w:val="18"/>
              </w:rPr>
            </w:pPr>
            <w:r w:rsidRPr="00915B09">
              <w:rPr>
                <w:b/>
                <w:bCs/>
                <w:sz w:val="18"/>
                <w:szCs w:val="18"/>
              </w:rPr>
              <w:t>2</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8CCBBA" w14:textId="77777777" w:rsidR="00E857C2" w:rsidRPr="00915B09" w:rsidRDefault="00E857C2" w:rsidP="00F81B8D">
            <w:pPr>
              <w:jc w:val="center"/>
              <w:rPr>
                <w:b/>
                <w:bCs/>
                <w:sz w:val="18"/>
                <w:szCs w:val="18"/>
              </w:rPr>
            </w:pPr>
            <w:r w:rsidRPr="00915B09">
              <w:rPr>
                <w:b/>
                <w:bCs/>
                <w:sz w:val="18"/>
                <w:szCs w:val="18"/>
              </w:rPr>
              <w:t>3</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F708872" w14:textId="77777777" w:rsidR="00E857C2" w:rsidRPr="00915B09" w:rsidRDefault="00E857C2" w:rsidP="00F81B8D">
            <w:pPr>
              <w:jc w:val="center"/>
              <w:rPr>
                <w:b/>
                <w:bCs/>
                <w:sz w:val="18"/>
                <w:szCs w:val="18"/>
              </w:rPr>
            </w:pPr>
            <w:r w:rsidRPr="00915B09">
              <w:rPr>
                <w:b/>
                <w:bCs/>
                <w:sz w:val="18"/>
                <w:szCs w:val="18"/>
              </w:rPr>
              <w:t>4</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2F4A24" w14:textId="77777777" w:rsidR="00E857C2" w:rsidRPr="00915B09" w:rsidRDefault="00E857C2" w:rsidP="00F81B8D">
            <w:pPr>
              <w:jc w:val="center"/>
              <w:rPr>
                <w:b/>
                <w:bCs/>
                <w:sz w:val="18"/>
                <w:szCs w:val="18"/>
              </w:rPr>
            </w:pPr>
            <w:r w:rsidRPr="00915B09">
              <w:rPr>
                <w:b/>
                <w:bCs/>
                <w:sz w:val="18"/>
                <w:szCs w:val="18"/>
              </w:rPr>
              <w:t>5</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3C20EB" w14:textId="77777777" w:rsidR="00E857C2" w:rsidRPr="00915B09" w:rsidRDefault="00E857C2" w:rsidP="00F81B8D">
            <w:pPr>
              <w:jc w:val="center"/>
              <w:rPr>
                <w:b/>
                <w:bCs/>
                <w:sz w:val="18"/>
                <w:szCs w:val="18"/>
              </w:rPr>
            </w:pPr>
            <w:r w:rsidRPr="00915B09">
              <w:rPr>
                <w:b/>
                <w:bCs/>
                <w:sz w:val="18"/>
                <w:szCs w:val="18"/>
              </w:rPr>
              <w:t>6</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C7A90B" w14:textId="77777777" w:rsidR="00E857C2" w:rsidRPr="00915B09" w:rsidRDefault="00E857C2" w:rsidP="00F81B8D">
            <w:pPr>
              <w:jc w:val="center"/>
              <w:rPr>
                <w:b/>
                <w:bCs/>
                <w:sz w:val="18"/>
                <w:szCs w:val="18"/>
              </w:rPr>
            </w:pPr>
            <w:r w:rsidRPr="00915B09">
              <w:rPr>
                <w:b/>
                <w:bCs/>
                <w:sz w:val="18"/>
                <w:szCs w:val="18"/>
              </w:rPr>
              <w:t>7</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ACE462" w14:textId="77777777" w:rsidR="00E857C2" w:rsidRPr="00915B09" w:rsidRDefault="00E857C2" w:rsidP="00F81B8D">
            <w:pPr>
              <w:jc w:val="center"/>
              <w:rPr>
                <w:b/>
                <w:bCs/>
                <w:sz w:val="18"/>
                <w:szCs w:val="18"/>
              </w:rPr>
            </w:pPr>
            <w:r w:rsidRPr="00915B09">
              <w:rPr>
                <w:b/>
                <w:bCs/>
                <w:sz w:val="18"/>
                <w:szCs w:val="18"/>
              </w:rPr>
              <w:t>8</w:t>
            </w:r>
          </w:p>
        </w:tc>
        <w:tc>
          <w:tcPr>
            <w:tcW w:w="33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C27832" w14:textId="77777777" w:rsidR="00E857C2" w:rsidRPr="00915B09" w:rsidRDefault="00E857C2" w:rsidP="00F81B8D">
            <w:pPr>
              <w:jc w:val="center"/>
              <w:rPr>
                <w:b/>
                <w:bCs/>
                <w:sz w:val="18"/>
                <w:szCs w:val="18"/>
              </w:rPr>
            </w:pPr>
            <w:r w:rsidRPr="00915B09">
              <w:rPr>
                <w:b/>
                <w:bCs/>
                <w:sz w:val="18"/>
                <w:szCs w:val="18"/>
              </w:rPr>
              <w:t>9</w:t>
            </w:r>
          </w:p>
        </w:tc>
      </w:tr>
      <w:tr w:rsidR="00915B09" w:rsidRPr="00915B09" w14:paraId="0A9B43D0" w14:textId="77777777" w:rsidTr="00915B09">
        <w:trPr>
          <w:trHeight w:val="206"/>
          <w:jc w:val="center"/>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14:paraId="57ED0290" w14:textId="77777777" w:rsidR="00E857C2" w:rsidRPr="00915B09" w:rsidRDefault="00E857C2" w:rsidP="00F81B8D">
            <w:pPr>
              <w:rPr>
                <w:sz w:val="18"/>
                <w:szCs w:val="18"/>
              </w:rPr>
            </w:pPr>
            <w:r w:rsidRPr="00915B09">
              <w:rPr>
                <w:sz w:val="18"/>
                <w:szCs w:val="18"/>
              </w:rPr>
              <w:t>Product 1</w:t>
            </w:r>
          </w:p>
        </w:tc>
        <w:tc>
          <w:tcPr>
            <w:tcW w:w="366" w:type="pct"/>
            <w:tcBorders>
              <w:top w:val="nil"/>
              <w:left w:val="nil"/>
              <w:bottom w:val="single" w:sz="4" w:space="0" w:color="auto"/>
              <w:right w:val="single" w:sz="4" w:space="0" w:color="auto"/>
            </w:tcBorders>
            <w:shd w:val="clear" w:color="000000" w:fill="B4C6E7"/>
            <w:noWrap/>
            <w:vAlign w:val="bottom"/>
            <w:hideMark/>
          </w:tcPr>
          <w:p w14:paraId="3A882F58"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158D256D"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62E193FF"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02F78FD5"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6E558AF5"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62C0DC21"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1BC9C9F6"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2755B264" w14:textId="77777777" w:rsidR="00E857C2" w:rsidRPr="00915B09" w:rsidRDefault="00E857C2" w:rsidP="00F81B8D">
            <w:pPr>
              <w:rPr>
                <w:sz w:val="18"/>
                <w:szCs w:val="18"/>
              </w:rPr>
            </w:pPr>
            <w:r w:rsidRPr="00915B09">
              <w:rPr>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DA97FDF" w14:textId="77777777" w:rsidR="00E857C2" w:rsidRPr="00915B09" w:rsidRDefault="00E857C2" w:rsidP="00F81B8D">
            <w:pPr>
              <w:rPr>
                <w:sz w:val="18"/>
                <w:szCs w:val="18"/>
              </w:rPr>
            </w:pPr>
            <w:r w:rsidRPr="00915B09">
              <w:rPr>
                <w:sz w:val="18"/>
                <w:szCs w:val="18"/>
              </w:rPr>
              <w:t> </w:t>
            </w:r>
          </w:p>
        </w:tc>
      </w:tr>
      <w:tr w:rsidR="00915B09" w:rsidRPr="00915B09" w14:paraId="5035572B" w14:textId="77777777" w:rsidTr="00915B09">
        <w:trPr>
          <w:trHeight w:val="170"/>
          <w:jc w:val="center"/>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14:paraId="01854614" w14:textId="77777777" w:rsidR="00E857C2" w:rsidRPr="00915B09" w:rsidRDefault="00E857C2" w:rsidP="00F81B8D">
            <w:pPr>
              <w:rPr>
                <w:sz w:val="18"/>
                <w:szCs w:val="18"/>
              </w:rPr>
            </w:pPr>
            <w:r w:rsidRPr="00915B09">
              <w:rPr>
                <w:sz w:val="18"/>
                <w:szCs w:val="18"/>
              </w:rPr>
              <w:t>Product 2</w:t>
            </w:r>
          </w:p>
        </w:tc>
        <w:tc>
          <w:tcPr>
            <w:tcW w:w="366" w:type="pct"/>
            <w:tcBorders>
              <w:top w:val="nil"/>
              <w:left w:val="nil"/>
              <w:bottom w:val="single" w:sz="4" w:space="0" w:color="auto"/>
              <w:right w:val="single" w:sz="4" w:space="0" w:color="auto"/>
            </w:tcBorders>
            <w:shd w:val="clear" w:color="auto" w:fill="auto"/>
            <w:noWrap/>
            <w:vAlign w:val="bottom"/>
            <w:hideMark/>
          </w:tcPr>
          <w:p w14:paraId="70DE13A0"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12A3E155"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340830CD"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394507C8"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000000" w:fill="B4C6E7"/>
            <w:noWrap/>
            <w:vAlign w:val="bottom"/>
            <w:hideMark/>
          </w:tcPr>
          <w:p w14:paraId="28485F4C"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000000" w:fill="B4C6E7"/>
            <w:noWrap/>
            <w:vAlign w:val="bottom"/>
            <w:hideMark/>
          </w:tcPr>
          <w:p w14:paraId="7B7C9FB4"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7707A5F6"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7B76CC05" w14:textId="77777777" w:rsidR="00E857C2" w:rsidRPr="00915B09" w:rsidRDefault="00E857C2" w:rsidP="00F81B8D">
            <w:pPr>
              <w:rPr>
                <w:sz w:val="18"/>
                <w:szCs w:val="18"/>
              </w:rPr>
            </w:pPr>
            <w:r w:rsidRPr="00915B09">
              <w:rPr>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77DCD30" w14:textId="77777777" w:rsidR="00E857C2" w:rsidRPr="00915B09" w:rsidRDefault="00E857C2" w:rsidP="00F81B8D">
            <w:pPr>
              <w:rPr>
                <w:sz w:val="18"/>
                <w:szCs w:val="18"/>
              </w:rPr>
            </w:pPr>
            <w:r w:rsidRPr="00915B09">
              <w:rPr>
                <w:sz w:val="18"/>
                <w:szCs w:val="18"/>
              </w:rPr>
              <w:t> </w:t>
            </w:r>
          </w:p>
        </w:tc>
      </w:tr>
      <w:tr w:rsidR="00915B09" w:rsidRPr="00915B09" w14:paraId="08607783" w14:textId="77777777" w:rsidTr="00915B09">
        <w:trPr>
          <w:trHeight w:val="224"/>
          <w:jc w:val="center"/>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14:paraId="295DF752" w14:textId="77777777" w:rsidR="00E857C2" w:rsidRPr="00915B09" w:rsidRDefault="00E857C2" w:rsidP="00F81B8D">
            <w:pPr>
              <w:rPr>
                <w:sz w:val="18"/>
                <w:szCs w:val="18"/>
              </w:rPr>
            </w:pPr>
            <w:r w:rsidRPr="00915B09">
              <w:rPr>
                <w:sz w:val="18"/>
                <w:szCs w:val="18"/>
              </w:rPr>
              <w:t>Product 3</w:t>
            </w:r>
          </w:p>
        </w:tc>
        <w:tc>
          <w:tcPr>
            <w:tcW w:w="366" w:type="pct"/>
            <w:tcBorders>
              <w:top w:val="nil"/>
              <w:left w:val="nil"/>
              <w:bottom w:val="single" w:sz="4" w:space="0" w:color="auto"/>
              <w:right w:val="single" w:sz="4" w:space="0" w:color="auto"/>
            </w:tcBorders>
            <w:shd w:val="clear" w:color="auto" w:fill="auto"/>
            <w:noWrap/>
            <w:vAlign w:val="bottom"/>
            <w:hideMark/>
          </w:tcPr>
          <w:p w14:paraId="14E5D172"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4FA0AEEC"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62636987"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1AD4390F"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5A9DC632"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71C94C85"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52897AC8"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7F383D38" w14:textId="77777777" w:rsidR="00E857C2" w:rsidRPr="00915B09" w:rsidRDefault="00E857C2" w:rsidP="00F81B8D">
            <w:pPr>
              <w:rPr>
                <w:sz w:val="18"/>
                <w:szCs w:val="18"/>
              </w:rPr>
            </w:pPr>
            <w:r w:rsidRPr="00915B09">
              <w:rPr>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B918322" w14:textId="77777777" w:rsidR="00E857C2" w:rsidRPr="00915B09" w:rsidRDefault="00E857C2" w:rsidP="00F81B8D">
            <w:pPr>
              <w:rPr>
                <w:sz w:val="18"/>
                <w:szCs w:val="18"/>
              </w:rPr>
            </w:pPr>
            <w:r w:rsidRPr="00915B09">
              <w:rPr>
                <w:sz w:val="18"/>
                <w:szCs w:val="18"/>
              </w:rPr>
              <w:t> </w:t>
            </w:r>
          </w:p>
        </w:tc>
      </w:tr>
      <w:tr w:rsidR="00915B09" w:rsidRPr="00915B09" w14:paraId="3D37295B" w14:textId="77777777" w:rsidTr="00915B09">
        <w:trPr>
          <w:trHeight w:val="170"/>
          <w:jc w:val="center"/>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14:paraId="77D58CFE" w14:textId="77777777" w:rsidR="00E857C2" w:rsidRPr="00915B09" w:rsidRDefault="00E857C2" w:rsidP="00F81B8D">
            <w:pPr>
              <w:rPr>
                <w:sz w:val="18"/>
                <w:szCs w:val="18"/>
              </w:rPr>
            </w:pPr>
            <w:r w:rsidRPr="00915B09">
              <w:rPr>
                <w:sz w:val="18"/>
                <w:szCs w:val="18"/>
              </w:rPr>
              <w:t>Product 4</w:t>
            </w:r>
          </w:p>
        </w:tc>
        <w:tc>
          <w:tcPr>
            <w:tcW w:w="366" w:type="pct"/>
            <w:tcBorders>
              <w:top w:val="nil"/>
              <w:left w:val="nil"/>
              <w:bottom w:val="single" w:sz="4" w:space="0" w:color="auto"/>
              <w:right w:val="single" w:sz="4" w:space="0" w:color="auto"/>
            </w:tcBorders>
            <w:shd w:val="clear" w:color="auto" w:fill="auto"/>
            <w:noWrap/>
            <w:vAlign w:val="bottom"/>
            <w:hideMark/>
          </w:tcPr>
          <w:p w14:paraId="568ED326"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404741C8"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08B35B7E"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63C9AF56"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4B5869C8"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000000" w:fill="B4C6E7"/>
            <w:noWrap/>
            <w:vAlign w:val="bottom"/>
            <w:hideMark/>
          </w:tcPr>
          <w:p w14:paraId="19DEFAF2"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000000" w:fill="B4C6E7"/>
            <w:noWrap/>
            <w:vAlign w:val="bottom"/>
            <w:hideMark/>
          </w:tcPr>
          <w:p w14:paraId="1A4DCEDD"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3605A98F" w14:textId="77777777" w:rsidR="00E857C2" w:rsidRPr="00915B09" w:rsidRDefault="00E857C2" w:rsidP="00F81B8D">
            <w:pPr>
              <w:rPr>
                <w:sz w:val="18"/>
                <w:szCs w:val="18"/>
              </w:rPr>
            </w:pPr>
            <w:r w:rsidRPr="00915B09">
              <w:rPr>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246B269" w14:textId="77777777" w:rsidR="00E857C2" w:rsidRPr="00915B09" w:rsidRDefault="00E857C2" w:rsidP="00F81B8D">
            <w:pPr>
              <w:rPr>
                <w:sz w:val="18"/>
                <w:szCs w:val="18"/>
              </w:rPr>
            </w:pPr>
            <w:r w:rsidRPr="00915B09">
              <w:rPr>
                <w:sz w:val="18"/>
                <w:szCs w:val="18"/>
              </w:rPr>
              <w:t> </w:t>
            </w:r>
          </w:p>
        </w:tc>
      </w:tr>
      <w:tr w:rsidR="00915B09" w:rsidRPr="00915B09" w14:paraId="560D9908" w14:textId="77777777" w:rsidTr="00915B09">
        <w:trPr>
          <w:trHeight w:val="134"/>
          <w:jc w:val="center"/>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14:paraId="083A5F47" w14:textId="77777777" w:rsidR="00E857C2" w:rsidRPr="00915B09" w:rsidRDefault="00E857C2" w:rsidP="00F81B8D">
            <w:pPr>
              <w:rPr>
                <w:sz w:val="18"/>
                <w:szCs w:val="18"/>
              </w:rPr>
            </w:pPr>
            <w:r w:rsidRPr="00915B09">
              <w:rPr>
                <w:sz w:val="18"/>
                <w:szCs w:val="18"/>
              </w:rPr>
              <w:t>Product 5</w:t>
            </w:r>
          </w:p>
        </w:tc>
        <w:tc>
          <w:tcPr>
            <w:tcW w:w="366" w:type="pct"/>
            <w:tcBorders>
              <w:top w:val="nil"/>
              <w:left w:val="nil"/>
              <w:bottom w:val="single" w:sz="4" w:space="0" w:color="auto"/>
              <w:right w:val="single" w:sz="4" w:space="0" w:color="auto"/>
            </w:tcBorders>
            <w:shd w:val="clear" w:color="auto" w:fill="auto"/>
            <w:noWrap/>
            <w:vAlign w:val="bottom"/>
            <w:hideMark/>
          </w:tcPr>
          <w:p w14:paraId="4265EAC1"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5AEBBE49"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20EFDDFF"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2D24538F"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65A65935"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39B9324D"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14:paraId="10CB8AF8" w14:textId="77777777" w:rsidR="00E857C2" w:rsidRPr="00915B09" w:rsidRDefault="00E857C2" w:rsidP="00F81B8D">
            <w:pPr>
              <w:rPr>
                <w:sz w:val="18"/>
                <w:szCs w:val="18"/>
              </w:rPr>
            </w:pPr>
            <w:r w:rsidRPr="00915B09">
              <w:rPr>
                <w:sz w:val="18"/>
                <w:szCs w:val="18"/>
              </w:rPr>
              <w:t> </w:t>
            </w:r>
          </w:p>
        </w:tc>
        <w:tc>
          <w:tcPr>
            <w:tcW w:w="366" w:type="pct"/>
            <w:tcBorders>
              <w:top w:val="nil"/>
              <w:left w:val="nil"/>
              <w:bottom w:val="single" w:sz="4" w:space="0" w:color="auto"/>
              <w:right w:val="single" w:sz="4" w:space="0" w:color="auto"/>
            </w:tcBorders>
            <w:shd w:val="clear" w:color="000000" w:fill="B4C6E7"/>
            <w:noWrap/>
            <w:vAlign w:val="bottom"/>
            <w:hideMark/>
          </w:tcPr>
          <w:p w14:paraId="6B9EFB25" w14:textId="77777777" w:rsidR="00E857C2" w:rsidRPr="00915B09" w:rsidRDefault="00E857C2" w:rsidP="00F81B8D">
            <w:pPr>
              <w:rPr>
                <w:sz w:val="18"/>
                <w:szCs w:val="18"/>
              </w:rPr>
            </w:pPr>
            <w:r w:rsidRPr="00915B09">
              <w:rPr>
                <w:sz w:val="18"/>
                <w:szCs w:val="18"/>
              </w:rPr>
              <w:t> </w:t>
            </w:r>
          </w:p>
        </w:tc>
        <w:tc>
          <w:tcPr>
            <w:tcW w:w="334" w:type="pct"/>
            <w:tcBorders>
              <w:top w:val="nil"/>
              <w:left w:val="nil"/>
              <w:bottom w:val="single" w:sz="4" w:space="0" w:color="auto"/>
              <w:right w:val="single" w:sz="4" w:space="0" w:color="auto"/>
            </w:tcBorders>
            <w:shd w:val="clear" w:color="000000" w:fill="B4C6E7"/>
            <w:noWrap/>
            <w:vAlign w:val="bottom"/>
            <w:hideMark/>
          </w:tcPr>
          <w:p w14:paraId="4D15BD57" w14:textId="77777777" w:rsidR="00E857C2" w:rsidRPr="00915B09" w:rsidRDefault="00E857C2" w:rsidP="00F81B8D">
            <w:pPr>
              <w:rPr>
                <w:sz w:val="18"/>
                <w:szCs w:val="18"/>
              </w:rPr>
            </w:pPr>
            <w:r w:rsidRPr="00915B09">
              <w:rPr>
                <w:sz w:val="18"/>
                <w:szCs w:val="18"/>
              </w:rPr>
              <w:t> </w:t>
            </w:r>
          </w:p>
        </w:tc>
      </w:tr>
    </w:tbl>
    <w:p w14:paraId="62B4AD5B" w14:textId="77777777" w:rsidR="00E857C2" w:rsidRPr="00B821AD" w:rsidRDefault="00E857C2" w:rsidP="00E857C2">
      <w:pPr>
        <w:tabs>
          <w:tab w:val="left" w:pos="900"/>
        </w:tabs>
        <w:spacing w:after="200" w:line="276" w:lineRule="auto"/>
        <w:contextualSpacing/>
        <w:jc w:val="both"/>
        <w:rPr>
          <w:rFonts w:eastAsiaTheme="minorHAnsi"/>
          <w:b/>
          <w:sz w:val="22"/>
          <w:szCs w:val="22"/>
          <w:u w:val="single"/>
        </w:rPr>
      </w:pPr>
    </w:p>
    <w:p w14:paraId="486B7A03"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Reporting Requirements</w:t>
      </w:r>
    </w:p>
    <w:p w14:paraId="5E34ABE4" w14:textId="77777777" w:rsidR="00E857C2" w:rsidRPr="00B821AD" w:rsidRDefault="00E857C2" w:rsidP="00E857C2">
      <w:pPr>
        <w:spacing w:line="276" w:lineRule="auto"/>
        <w:rPr>
          <w:rFonts w:eastAsiaTheme="minorHAnsi"/>
          <w:b/>
          <w:sz w:val="22"/>
          <w:szCs w:val="22"/>
          <w:u w:val="single"/>
        </w:rPr>
      </w:pPr>
    </w:p>
    <w:p w14:paraId="25B32BC3" w14:textId="77777777" w:rsidR="00E857C2" w:rsidRPr="00B821AD" w:rsidRDefault="00E857C2" w:rsidP="00E857C2">
      <w:pPr>
        <w:numPr>
          <w:ilvl w:val="1"/>
          <w:numId w:val="1"/>
        </w:numPr>
        <w:autoSpaceDE/>
        <w:autoSpaceDN/>
        <w:adjustRightInd/>
        <w:spacing w:after="240" w:line="276" w:lineRule="auto"/>
        <w:ind w:left="720" w:hanging="720"/>
        <w:jc w:val="both"/>
        <w:rPr>
          <w:rFonts w:eastAsiaTheme="minorHAnsi"/>
          <w:sz w:val="22"/>
          <w:szCs w:val="22"/>
        </w:rPr>
      </w:pPr>
      <w:r w:rsidRPr="00B821AD">
        <w:rPr>
          <w:rFonts w:eastAsiaTheme="minorHAnsi"/>
          <w:sz w:val="22"/>
          <w:szCs w:val="22"/>
        </w:rPr>
        <w:t xml:space="preserve">The firm will be required to send progress reports every 15 days with progress of products and plans for the remainder of the project. </w:t>
      </w:r>
    </w:p>
    <w:p w14:paraId="65A29AD3"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lastRenderedPageBreak/>
        <w:t>Acceptance Criteria</w:t>
      </w:r>
    </w:p>
    <w:p w14:paraId="2A1A7954" w14:textId="77777777" w:rsidR="00E857C2" w:rsidRPr="00B821AD" w:rsidRDefault="00E857C2" w:rsidP="00E857C2">
      <w:pPr>
        <w:shd w:val="clear" w:color="auto" w:fill="FFFFFF"/>
        <w:rPr>
          <w:sz w:val="22"/>
          <w:szCs w:val="22"/>
          <w:lang w:val="en-GB"/>
        </w:rPr>
      </w:pPr>
    </w:p>
    <w:p w14:paraId="54AD5BD6" w14:textId="77777777" w:rsidR="00E857C2" w:rsidRPr="00B821AD" w:rsidRDefault="00E857C2" w:rsidP="00915B09">
      <w:pPr>
        <w:numPr>
          <w:ilvl w:val="1"/>
          <w:numId w:val="1"/>
        </w:numPr>
        <w:autoSpaceDE/>
        <w:autoSpaceDN/>
        <w:adjustRightInd/>
        <w:spacing w:after="240"/>
        <w:ind w:left="720" w:hanging="720"/>
        <w:jc w:val="both"/>
        <w:rPr>
          <w:rFonts w:eastAsiaTheme="minorHAnsi"/>
          <w:sz w:val="22"/>
          <w:szCs w:val="22"/>
        </w:rPr>
      </w:pPr>
      <w:r w:rsidRPr="00B821AD">
        <w:rPr>
          <w:rFonts w:eastAsiaTheme="minorHAnsi"/>
          <w:sz w:val="22"/>
          <w:szCs w:val="22"/>
        </w:rPr>
        <w:t>Responsible person: Luis Tejerina, Sector lead specialist of Economics in Social Protection and Health Division</w:t>
      </w:r>
    </w:p>
    <w:p w14:paraId="19A91628"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u w:val="single"/>
        </w:rPr>
        <w:t>Other Requirements</w:t>
      </w:r>
    </w:p>
    <w:p w14:paraId="06C3C836" w14:textId="77777777" w:rsidR="00E857C2" w:rsidRPr="00B821AD" w:rsidRDefault="00E857C2" w:rsidP="00E857C2">
      <w:pPr>
        <w:shd w:val="clear" w:color="auto" w:fill="FFFFFF"/>
        <w:spacing w:after="200" w:line="276" w:lineRule="auto"/>
        <w:contextualSpacing/>
        <w:rPr>
          <w:rFonts w:eastAsiaTheme="minorHAnsi"/>
          <w:i/>
          <w:sz w:val="22"/>
          <w:szCs w:val="22"/>
        </w:rPr>
      </w:pPr>
    </w:p>
    <w:p w14:paraId="1FE484A1" w14:textId="77777777"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iCs/>
          <w:sz w:val="22"/>
          <w:szCs w:val="22"/>
        </w:rPr>
        <w:t>More than 5 years of expertise in digital health</w:t>
      </w:r>
    </w:p>
    <w:p w14:paraId="1CC0D321" w14:textId="77777777"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iCs/>
          <w:sz w:val="22"/>
          <w:szCs w:val="22"/>
        </w:rPr>
        <w:t>The team should include specialists in epidemiology and the use of digital tools for health</w:t>
      </w:r>
    </w:p>
    <w:p w14:paraId="2C706D22" w14:textId="77777777" w:rsidR="00E857C2" w:rsidRPr="00B821AD" w:rsidRDefault="00E857C2" w:rsidP="00E857C2">
      <w:pPr>
        <w:numPr>
          <w:ilvl w:val="1"/>
          <w:numId w:val="1"/>
        </w:numPr>
        <w:autoSpaceDE/>
        <w:autoSpaceDN/>
        <w:adjustRightInd/>
        <w:spacing w:line="276" w:lineRule="auto"/>
        <w:ind w:left="720" w:hanging="720"/>
        <w:jc w:val="both"/>
        <w:rPr>
          <w:rFonts w:eastAsiaTheme="minorHAnsi"/>
          <w:iCs/>
          <w:sz w:val="22"/>
          <w:szCs w:val="22"/>
        </w:rPr>
      </w:pPr>
      <w:r w:rsidRPr="00B821AD">
        <w:rPr>
          <w:rFonts w:eastAsiaTheme="minorHAnsi"/>
          <w:iCs/>
          <w:sz w:val="22"/>
          <w:szCs w:val="22"/>
        </w:rPr>
        <w:t>Experience in working on digital health in at least 3 countries in the region</w:t>
      </w:r>
    </w:p>
    <w:p w14:paraId="70178A83" w14:textId="77777777" w:rsidR="00E857C2" w:rsidRPr="00B821AD" w:rsidRDefault="00E857C2" w:rsidP="00E857C2">
      <w:pPr>
        <w:shd w:val="clear" w:color="auto" w:fill="FFFFFF"/>
        <w:rPr>
          <w:sz w:val="22"/>
          <w:szCs w:val="22"/>
          <w:lang w:val="en-GB"/>
        </w:rPr>
      </w:pPr>
    </w:p>
    <w:p w14:paraId="5229C9A3" w14:textId="77777777" w:rsidR="00E857C2" w:rsidRPr="00B821AD" w:rsidRDefault="00E857C2" w:rsidP="00E857C2">
      <w:pPr>
        <w:numPr>
          <w:ilvl w:val="0"/>
          <w:numId w:val="1"/>
        </w:numPr>
        <w:autoSpaceDE/>
        <w:autoSpaceDN/>
        <w:adjustRightInd/>
        <w:spacing w:after="200" w:line="276" w:lineRule="auto"/>
        <w:contextualSpacing/>
        <w:rPr>
          <w:rFonts w:eastAsiaTheme="minorHAnsi"/>
          <w:b/>
          <w:sz w:val="22"/>
          <w:szCs w:val="22"/>
          <w:u w:val="single"/>
        </w:rPr>
      </w:pPr>
      <w:r w:rsidRPr="00B821AD">
        <w:rPr>
          <w:rFonts w:eastAsiaTheme="minorHAnsi"/>
          <w:b/>
          <w:sz w:val="22"/>
          <w:szCs w:val="22"/>
        </w:rPr>
        <w:t xml:space="preserve"> </w:t>
      </w:r>
      <w:r w:rsidRPr="00B821AD">
        <w:rPr>
          <w:rFonts w:eastAsiaTheme="minorHAnsi"/>
          <w:b/>
          <w:sz w:val="22"/>
          <w:szCs w:val="22"/>
          <w:u w:val="single"/>
        </w:rPr>
        <w:t>Supervision and Reporting</w:t>
      </w:r>
    </w:p>
    <w:p w14:paraId="28294A68" w14:textId="77777777" w:rsidR="00E857C2" w:rsidRPr="00B821AD" w:rsidRDefault="00E857C2" w:rsidP="00E857C2">
      <w:pPr>
        <w:spacing w:after="200" w:line="276" w:lineRule="auto"/>
        <w:ind w:left="360"/>
        <w:contextualSpacing/>
        <w:rPr>
          <w:rFonts w:eastAsiaTheme="minorHAnsi"/>
          <w:b/>
          <w:sz w:val="22"/>
          <w:szCs w:val="22"/>
          <w:u w:val="single"/>
        </w:rPr>
      </w:pPr>
    </w:p>
    <w:p w14:paraId="5318499A" w14:textId="77777777" w:rsidR="00E857C2" w:rsidRPr="00B821AD" w:rsidRDefault="00E857C2" w:rsidP="00E857C2">
      <w:pPr>
        <w:numPr>
          <w:ilvl w:val="1"/>
          <w:numId w:val="1"/>
        </w:numPr>
        <w:autoSpaceDE/>
        <w:autoSpaceDN/>
        <w:adjustRightInd/>
        <w:spacing w:after="240" w:line="276" w:lineRule="auto"/>
        <w:ind w:left="720" w:hanging="720"/>
        <w:jc w:val="both"/>
        <w:rPr>
          <w:rFonts w:eastAsiaTheme="minorHAnsi"/>
          <w:sz w:val="22"/>
          <w:szCs w:val="22"/>
        </w:rPr>
      </w:pPr>
      <w:r w:rsidRPr="00B821AD">
        <w:rPr>
          <w:rFonts w:eastAsiaTheme="minorHAnsi"/>
          <w:sz w:val="22"/>
          <w:szCs w:val="22"/>
        </w:rPr>
        <w:t>Responsible persons: Luis Tejerina, Sector lead specialist of Economics in Social Protection and Health Division/ Social Sector, will accept the products.</w:t>
      </w:r>
    </w:p>
    <w:p w14:paraId="65CC8045" w14:textId="77777777" w:rsidR="00E857C2" w:rsidRPr="00B821AD" w:rsidRDefault="00E857C2" w:rsidP="00E857C2">
      <w:pPr>
        <w:pStyle w:val="ListParagraph"/>
        <w:numPr>
          <w:ilvl w:val="0"/>
          <w:numId w:val="1"/>
        </w:numPr>
        <w:ind w:right="-10"/>
        <w:jc w:val="both"/>
        <w:rPr>
          <w:rFonts w:ascii="Arial" w:hAnsi="Arial" w:cs="Arial"/>
          <w:b/>
          <w:sz w:val="22"/>
          <w:szCs w:val="22"/>
          <w:u w:val="single"/>
        </w:rPr>
      </w:pPr>
      <w:r w:rsidRPr="00B821AD">
        <w:rPr>
          <w:rFonts w:ascii="Arial" w:hAnsi="Arial" w:cs="Arial"/>
          <w:b/>
          <w:sz w:val="22"/>
          <w:szCs w:val="22"/>
          <w:u w:val="single"/>
        </w:rPr>
        <w:t>Schedule of Payments</w:t>
      </w:r>
    </w:p>
    <w:p w14:paraId="7161C369" w14:textId="77777777" w:rsidR="00E857C2" w:rsidRPr="00B821AD" w:rsidRDefault="00E857C2" w:rsidP="00E857C2">
      <w:pPr>
        <w:pStyle w:val="ListParagraph"/>
        <w:ind w:left="360" w:right="-10"/>
        <w:jc w:val="both"/>
        <w:rPr>
          <w:rFonts w:ascii="Arial" w:hAnsi="Arial" w:cs="Arial"/>
          <w:b/>
          <w:sz w:val="22"/>
          <w:szCs w:val="22"/>
        </w:rPr>
      </w:pPr>
    </w:p>
    <w:p w14:paraId="4E928602" w14:textId="392CB800" w:rsidR="00E857C2" w:rsidRPr="00B821AD" w:rsidRDefault="00E857C2" w:rsidP="00E857C2">
      <w:pPr>
        <w:numPr>
          <w:ilvl w:val="1"/>
          <w:numId w:val="1"/>
        </w:numPr>
        <w:autoSpaceDE/>
        <w:autoSpaceDN/>
        <w:adjustRightInd/>
        <w:spacing w:after="240" w:line="276" w:lineRule="auto"/>
        <w:ind w:left="720" w:hanging="720"/>
        <w:jc w:val="both"/>
        <w:rPr>
          <w:rFonts w:eastAsiaTheme="minorHAnsi"/>
          <w:sz w:val="22"/>
          <w:szCs w:val="22"/>
        </w:rPr>
      </w:pPr>
      <w:r w:rsidRPr="00B821AD">
        <w:rPr>
          <w:rFonts w:eastAsiaTheme="minorHAnsi"/>
          <w:sz w:val="22"/>
          <w:szCs w:val="22"/>
        </w:rPr>
        <w:t>Payment terms will be based on project milestones or deliverables. The Bank does not expect to make advance payments under consulting contracts unless a significant amount of travel is required. The Bank wishes to receive the most competitive cost proposal for the services described herein.</w:t>
      </w:r>
    </w:p>
    <w:p w14:paraId="662BE619" w14:textId="77777777" w:rsidR="00E857C2" w:rsidRPr="00B821AD" w:rsidRDefault="00E857C2" w:rsidP="00E857C2">
      <w:pPr>
        <w:numPr>
          <w:ilvl w:val="1"/>
          <w:numId w:val="1"/>
        </w:numPr>
        <w:autoSpaceDE/>
        <w:autoSpaceDN/>
        <w:adjustRightInd/>
        <w:spacing w:after="240" w:line="276" w:lineRule="auto"/>
        <w:ind w:left="720" w:hanging="720"/>
        <w:jc w:val="both"/>
        <w:rPr>
          <w:rFonts w:eastAsiaTheme="minorHAnsi"/>
          <w:sz w:val="22"/>
          <w:szCs w:val="22"/>
        </w:rPr>
      </w:pPr>
      <w:r w:rsidRPr="00B821AD">
        <w:rPr>
          <w:rFonts w:eastAsiaTheme="minorHAnsi"/>
          <w:sz w:val="22"/>
          <w:szCs w:val="22"/>
        </w:rPr>
        <w:t xml:space="preserve">The IDB Official Exchange Rate indicated in the RFP will be applied for necessary conversions of local currency payments. </w:t>
      </w:r>
    </w:p>
    <w:tbl>
      <w:tblPr>
        <w:tblStyle w:val="TableGrid"/>
        <w:tblW w:w="4475" w:type="pct"/>
        <w:tblInd w:w="805" w:type="dxa"/>
        <w:tblLook w:val="04A0" w:firstRow="1" w:lastRow="0" w:firstColumn="1" w:lastColumn="0" w:noHBand="0" w:noVBand="1"/>
      </w:tblPr>
      <w:tblGrid>
        <w:gridCol w:w="4631"/>
        <w:gridCol w:w="4728"/>
      </w:tblGrid>
      <w:tr w:rsidR="00E857C2" w:rsidRPr="00915B09" w14:paraId="23B94A24" w14:textId="77777777" w:rsidTr="00915B09">
        <w:trPr>
          <w:trHeight w:val="218"/>
        </w:trPr>
        <w:tc>
          <w:tcPr>
            <w:tcW w:w="5000" w:type="pct"/>
            <w:gridSpan w:val="2"/>
            <w:shd w:val="clear" w:color="auto" w:fill="D9D9D9" w:themeFill="background1" w:themeFillShade="D9"/>
          </w:tcPr>
          <w:p w14:paraId="3D273216" w14:textId="77777777" w:rsidR="00E857C2" w:rsidRPr="00915B09" w:rsidRDefault="00E857C2" w:rsidP="00F81B8D">
            <w:pPr>
              <w:pStyle w:val="ListParagraph"/>
              <w:ind w:left="0" w:right="-10"/>
              <w:jc w:val="center"/>
              <w:rPr>
                <w:rFonts w:ascii="Arial" w:hAnsi="Arial" w:cs="Arial"/>
                <w:b/>
                <w:sz w:val="18"/>
                <w:szCs w:val="18"/>
              </w:rPr>
            </w:pPr>
            <w:bookmarkStart w:id="0" w:name="_Hlk44956503"/>
            <w:r w:rsidRPr="00915B09">
              <w:rPr>
                <w:rFonts w:ascii="Arial" w:hAnsi="Arial" w:cs="Arial"/>
                <w:b/>
                <w:sz w:val="18"/>
                <w:szCs w:val="18"/>
              </w:rPr>
              <w:t>Payment Schedule</w:t>
            </w:r>
          </w:p>
        </w:tc>
      </w:tr>
      <w:tr w:rsidR="00E857C2" w:rsidRPr="00915B09" w14:paraId="1D11635A" w14:textId="77777777" w:rsidTr="00915B09">
        <w:trPr>
          <w:trHeight w:val="149"/>
        </w:trPr>
        <w:tc>
          <w:tcPr>
            <w:tcW w:w="2474" w:type="pct"/>
            <w:shd w:val="clear" w:color="auto" w:fill="8DB3E2" w:themeFill="text2" w:themeFillTint="66"/>
          </w:tcPr>
          <w:p w14:paraId="165DF9E2" w14:textId="77777777" w:rsidR="00E857C2" w:rsidRPr="00915B09" w:rsidRDefault="00E857C2" w:rsidP="00F81B8D">
            <w:pPr>
              <w:pStyle w:val="ListParagraph"/>
              <w:ind w:right="-10"/>
              <w:jc w:val="center"/>
              <w:rPr>
                <w:rFonts w:ascii="Arial" w:hAnsi="Arial" w:cs="Arial"/>
                <w:b/>
                <w:iCs/>
                <w:sz w:val="18"/>
                <w:szCs w:val="18"/>
              </w:rPr>
            </w:pPr>
            <w:r w:rsidRPr="00915B09">
              <w:rPr>
                <w:rFonts w:ascii="Arial" w:hAnsi="Arial" w:cs="Arial"/>
                <w:b/>
                <w:iCs/>
                <w:sz w:val="18"/>
                <w:szCs w:val="18"/>
              </w:rPr>
              <w:t>Deliverable</w:t>
            </w:r>
          </w:p>
        </w:tc>
        <w:tc>
          <w:tcPr>
            <w:tcW w:w="2526" w:type="pct"/>
            <w:shd w:val="clear" w:color="auto" w:fill="8DB3E2" w:themeFill="text2" w:themeFillTint="66"/>
          </w:tcPr>
          <w:p w14:paraId="2E480C6C" w14:textId="77777777" w:rsidR="00E857C2" w:rsidRPr="00915B09" w:rsidRDefault="00E857C2" w:rsidP="00F81B8D">
            <w:pPr>
              <w:pStyle w:val="ListParagraph"/>
              <w:ind w:left="0" w:right="-10"/>
              <w:jc w:val="center"/>
              <w:rPr>
                <w:rFonts w:ascii="Arial" w:hAnsi="Arial" w:cs="Arial"/>
                <w:b/>
                <w:iCs/>
                <w:sz w:val="18"/>
                <w:szCs w:val="18"/>
              </w:rPr>
            </w:pPr>
            <w:r w:rsidRPr="00915B09">
              <w:rPr>
                <w:rFonts w:ascii="Arial" w:hAnsi="Arial" w:cs="Arial"/>
                <w:b/>
                <w:iCs/>
                <w:sz w:val="18"/>
                <w:szCs w:val="18"/>
              </w:rPr>
              <w:t>%</w:t>
            </w:r>
          </w:p>
        </w:tc>
      </w:tr>
      <w:tr w:rsidR="00E857C2" w:rsidRPr="00915B09" w14:paraId="6548D84E" w14:textId="77777777" w:rsidTr="00915B09">
        <w:trPr>
          <w:trHeight w:val="170"/>
        </w:trPr>
        <w:tc>
          <w:tcPr>
            <w:tcW w:w="2474" w:type="pct"/>
          </w:tcPr>
          <w:p w14:paraId="3F1D3E8D" w14:textId="77777777" w:rsidR="00E857C2" w:rsidRPr="00915B09" w:rsidRDefault="00E857C2" w:rsidP="00F81B8D">
            <w:pPr>
              <w:pStyle w:val="ListParagraph"/>
              <w:ind w:right="-10"/>
              <w:rPr>
                <w:rFonts w:ascii="Arial" w:hAnsi="Arial" w:cs="Arial"/>
                <w:sz w:val="18"/>
                <w:szCs w:val="18"/>
              </w:rPr>
            </w:pPr>
            <w:r w:rsidRPr="00915B09">
              <w:rPr>
                <w:rFonts w:ascii="Arial" w:hAnsi="Arial" w:cs="Arial"/>
                <w:sz w:val="18"/>
                <w:szCs w:val="18"/>
              </w:rPr>
              <w:t>Product 1</w:t>
            </w:r>
          </w:p>
        </w:tc>
        <w:tc>
          <w:tcPr>
            <w:tcW w:w="2526" w:type="pct"/>
          </w:tcPr>
          <w:p w14:paraId="5FF56C4E" w14:textId="61ECCBDE" w:rsidR="00E857C2" w:rsidRPr="00915B09" w:rsidRDefault="00D803E5" w:rsidP="00F81B8D">
            <w:pPr>
              <w:pStyle w:val="ListParagraph"/>
              <w:ind w:left="0" w:right="-10"/>
              <w:jc w:val="center"/>
              <w:rPr>
                <w:rFonts w:ascii="Arial" w:hAnsi="Arial" w:cs="Arial"/>
                <w:sz w:val="18"/>
                <w:szCs w:val="18"/>
              </w:rPr>
            </w:pPr>
            <w:r>
              <w:rPr>
                <w:rFonts w:ascii="Arial" w:hAnsi="Arial" w:cs="Arial"/>
                <w:sz w:val="18"/>
                <w:szCs w:val="18"/>
              </w:rPr>
              <w:t>15</w:t>
            </w:r>
          </w:p>
        </w:tc>
      </w:tr>
      <w:tr w:rsidR="00E857C2" w:rsidRPr="00915B09" w14:paraId="3CA7138D" w14:textId="77777777" w:rsidTr="00915B09">
        <w:trPr>
          <w:trHeight w:val="215"/>
        </w:trPr>
        <w:tc>
          <w:tcPr>
            <w:tcW w:w="2474" w:type="pct"/>
          </w:tcPr>
          <w:p w14:paraId="369F1EB9" w14:textId="77777777" w:rsidR="00E857C2" w:rsidRPr="00915B09" w:rsidRDefault="00E857C2" w:rsidP="00F81B8D">
            <w:pPr>
              <w:pStyle w:val="ListParagraph"/>
              <w:ind w:right="-10"/>
              <w:rPr>
                <w:rFonts w:ascii="Arial" w:hAnsi="Arial" w:cs="Arial"/>
                <w:sz w:val="18"/>
                <w:szCs w:val="18"/>
              </w:rPr>
            </w:pPr>
            <w:r w:rsidRPr="00915B09">
              <w:rPr>
                <w:rFonts w:ascii="Arial" w:hAnsi="Arial" w:cs="Arial"/>
                <w:sz w:val="18"/>
                <w:szCs w:val="18"/>
              </w:rPr>
              <w:t>Product 2</w:t>
            </w:r>
          </w:p>
        </w:tc>
        <w:tc>
          <w:tcPr>
            <w:tcW w:w="2526" w:type="pct"/>
          </w:tcPr>
          <w:p w14:paraId="116A78C0" w14:textId="5455F1F1" w:rsidR="00E857C2" w:rsidRPr="00915B09" w:rsidRDefault="00D803E5" w:rsidP="00F81B8D">
            <w:pPr>
              <w:pStyle w:val="ListParagraph"/>
              <w:ind w:left="0" w:right="-10"/>
              <w:jc w:val="center"/>
              <w:rPr>
                <w:rFonts w:ascii="Arial" w:hAnsi="Arial" w:cs="Arial"/>
                <w:sz w:val="18"/>
                <w:szCs w:val="18"/>
              </w:rPr>
            </w:pPr>
            <w:r>
              <w:rPr>
                <w:rFonts w:ascii="Arial" w:hAnsi="Arial" w:cs="Arial"/>
                <w:sz w:val="18"/>
                <w:szCs w:val="18"/>
              </w:rPr>
              <w:t>15</w:t>
            </w:r>
          </w:p>
        </w:tc>
      </w:tr>
      <w:tr w:rsidR="00E857C2" w:rsidRPr="00915B09" w14:paraId="5BF19804" w14:textId="77777777" w:rsidTr="00915B09">
        <w:trPr>
          <w:trHeight w:val="170"/>
        </w:trPr>
        <w:tc>
          <w:tcPr>
            <w:tcW w:w="2474" w:type="pct"/>
          </w:tcPr>
          <w:p w14:paraId="70A5CBBB" w14:textId="77777777" w:rsidR="00E857C2" w:rsidRPr="00915B09" w:rsidRDefault="00E857C2" w:rsidP="00F81B8D">
            <w:pPr>
              <w:pStyle w:val="ListParagraph"/>
              <w:ind w:right="-10"/>
              <w:rPr>
                <w:rFonts w:ascii="Arial" w:hAnsi="Arial" w:cs="Arial"/>
                <w:sz w:val="18"/>
                <w:szCs w:val="18"/>
              </w:rPr>
            </w:pPr>
            <w:r w:rsidRPr="00915B09">
              <w:rPr>
                <w:rFonts w:ascii="Arial" w:hAnsi="Arial" w:cs="Arial"/>
                <w:sz w:val="18"/>
                <w:szCs w:val="18"/>
              </w:rPr>
              <w:t>Product 3</w:t>
            </w:r>
          </w:p>
        </w:tc>
        <w:tc>
          <w:tcPr>
            <w:tcW w:w="2526" w:type="pct"/>
          </w:tcPr>
          <w:p w14:paraId="2385B807" w14:textId="77777777" w:rsidR="00E857C2" w:rsidRPr="00915B09" w:rsidRDefault="00E857C2" w:rsidP="00F81B8D">
            <w:pPr>
              <w:pStyle w:val="ListParagraph"/>
              <w:ind w:left="0" w:right="-10"/>
              <w:jc w:val="center"/>
              <w:rPr>
                <w:rFonts w:ascii="Arial" w:hAnsi="Arial" w:cs="Arial"/>
                <w:sz w:val="18"/>
                <w:szCs w:val="18"/>
              </w:rPr>
            </w:pPr>
            <w:r w:rsidRPr="00915B09">
              <w:rPr>
                <w:rFonts w:ascii="Arial" w:hAnsi="Arial" w:cs="Arial"/>
                <w:sz w:val="18"/>
                <w:szCs w:val="18"/>
              </w:rPr>
              <w:t>30</w:t>
            </w:r>
          </w:p>
        </w:tc>
      </w:tr>
      <w:tr w:rsidR="00E857C2" w:rsidRPr="00915B09" w14:paraId="68C81BB2" w14:textId="77777777" w:rsidTr="00915B09">
        <w:trPr>
          <w:trHeight w:val="224"/>
        </w:trPr>
        <w:tc>
          <w:tcPr>
            <w:tcW w:w="2474" w:type="pct"/>
          </w:tcPr>
          <w:p w14:paraId="5E61C97D" w14:textId="77777777" w:rsidR="00E857C2" w:rsidRPr="00915B09" w:rsidRDefault="00E857C2" w:rsidP="00F81B8D">
            <w:pPr>
              <w:pStyle w:val="ListParagraph"/>
              <w:ind w:right="-10"/>
              <w:rPr>
                <w:rFonts w:ascii="Arial" w:hAnsi="Arial" w:cs="Arial"/>
                <w:sz w:val="18"/>
                <w:szCs w:val="18"/>
              </w:rPr>
            </w:pPr>
            <w:r w:rsidRPr="00915B09">
              <w:rPr>
                <w:rFonts w:ascii="Arial" w:hAnsi="Arial" w:cs="Arial"/>
                <w:sz w:val="18"/>
                <w:szCs w:val="18"/>
              </w:rPr>
              <w:t>Product 4</w:t>
            </w:r>
          </w:p>
        </w:tc>
        <w:tc>
          <w:tcPr>
            <w:tcW w:w="2526" w:type="pct"/>
          </w:tcPr>
          <w:p w14:paraId="687B99CC" w14:textId="002F92C8" w:rsidR="00E857C2" w:rsidRPr="00915B09" w:rsidRDefault="00D803E5" w:rsidP="00F81B8D">
            <w:pPr>
              <w:pStyle w:val="ListParagraph"/>
              <w:ind w:left="0" w:right="-10"/>
              <w:jc w:val="center"/>
              <w:rPr>
                <w:rFonts w:ascii="Arial" w:hAnsi="Arial" w:cs="Arial"/>
                <w:sz w:val="18"/>
                <w:szCs w:val="18"/>
              </w:rPr>
            </w:pPr>
            <w:r>
              <w:rPr>
                <w:rFonts w:ascii="Arial" w:hAnsi="Arial" w:cs="Arial"/>
                <w:sz w:val="18"/>
                <w:szCs w:val="18"/>
              </w:rPr>
              <w:t>2</w:t>
            </w:r>
            <w:r w:rsidR="00E857C2" w:rsidRPr="00915B09">
              <w:rPr>
                <w:rFonts w:ascii="Arial" w:hAnsi="Arial" w:cs="Arial"/>
                <w:sz w:val="18"/>
                <w:szCs w:val="18"/>
              </w:rPr>
              <w:t>0</w:t>
            </w:r>
          </w:p>
        </w:tc>
      </w:tr>
      <w:tr w:rsidR="00E857C2" w:rsidRPr="00915B09" w14:paraId="6887F0BB" w14:textId="77777777" w:rsidTr="00915B09">
        <w:trPr>
          <w:trHeight w:val="170"/>
        </w:trPr>
        <w:tc>
          <w:tcPr>
            <w:tcW w:w="2474" w:type="pct"/>
          </w:tcPr>
          <w:p w14:paraId="5FDB6DC7" w14:textId="77777777" w:rsidR="00E857C2" w:rsidRPr="00915B09" w:rsidRDefault="00E857C2" w:rsidP="00F81B8D">
            <w:pPr>
              <w:pStyle w:val="ListParagraph"/>
              <w:ind w:right="-10"/>
              <w:rPr>
                <w:rFonts w:ascii="Arial" w:hAnsi="Arial" w:cs="Arial"/>
                <w:sz w:val="18"/>
                <w:szCs w:val="18"/>
              </w:rPr>
            </w:pPr>
            <w:r w:rsidRPr="00915B09">
              <w:rPr>
                <w:rFonts w:ascii="Arial" w:hAnsi="Arial" w:cs="Arial"/>
                <w:sz w:val="18"/>
                <w:szCs w:val="18"/>
              </w:rPr>
              <w:t>Product 5</w:t>
            </w:r>
          </w:p>
        </w:tc>
        <w:tc>
          <w:tcPr>
            <w:tcW w:w="2526" w:type="pct"/>
          </w:tcPr>
          <w:p w14:paraId="000F5DA3" w14:textId="77777777" w:rsidR="00E857C2" w:rsidRPr="00915B09" w:rsidRDefault="00E857C2" w:rsidP="00F81B8D">
            <w:pPr>
              <w:pStyle w:val="ListParagraph"/>
              <w:ind w:left="0" w:right="-10"/>
              <w:jc w:val="center"/>
              <w:rPr>
                <w:rFonts w:ascii="Arial" w:hAnsi="Arial" w:cs="Arial"/>
                <w:sz w:val="18"/>
                <w:szCs w:val="18"/>
              </w:rPr>
            </w:pPr>
            <w:r w:rsidRPr="00915B09">
              <w:rPr>
                <w:rFonts w:ascii="Arial" w:hAnsi="Arial" w:cs="Arial"/>
                <w:sz w:val="18"/>
                <w:szCs w:val="18"/>
              </w:rPr>
              <w:t>20</w:t>
            </w:r>
          </w:p>
        </w:tc>
      </w:tr>
      <w:tr w:rsidR="00E857C2" w:rsidRPr="00915B09" w14:paraId="2BE55635" w14:textId="77777777" w:rsidTr="00915B09">
        <w:trPr>
          <w:trHeight w:val="158"/>
        </w:trPr>
        <w:tc>
          <w:tcPr>
            <w:tcW w:w="2474" w:type="pct"/>
            <w:shd w:val="clear" w:color="auto" w:fill="D9D9D9" w:themeFill="background1" w:themeFillShade="D9"/>
          </w:tcPr>
          <w:p w14:paraId="220EABFD" w14:textId="77777777" w:rsidR="00E857C2" w:rsidRPr="00915B09" w:rsidRDefault="00E857C2" w:rsidP="00F81B8D">
            <w:pPr>
              <w:pStyle w:val="ListParagraph"/>
              <w:ind w:left="0" w:right="-10"/>
              <w:jc w:val="right"/>
              <w:rPr>
                <w:rFonts w:ascii="Arial" w:hAnsi="Arial" w:cs="Arial"/>
                <w:b/>
                <w:sz w:val="18"/>
                <w:szCs w:val="18"/>
              </w:rPr>
            </w:pPr>
            <w:r w:rsidRPr="00915B09">
              <w:rPr>
                <w:rFonts w:ascii="Arial" w:hAnsi="Arial" w:cs="Arial"/>
                <w:b/>
                <w:sz w:val="18"/>
                <w:szCs w:val="18"/>
              </w:rPr>
              <w:t>TOTAL</w:t>
            </w:r>
          </w:p>
        </w:tc>
        <w:tc>
          <w:tcPr>
            <w:tcW w:w="2526" w:type="pct"/>
            <w:shd w:val="clear" w:color="auto" w:fill="D9D9D9" w:themeFill="background1" w:themeFillShade="D9"/>
          </w:tcPr>
          <w:p w14:paraId="27E8DFFB" w14:textId="77777777" w:rsidR="00E857C2" w:rsidRPr="00915B09" w:rsidRDefault="00E857C2" w:rsidP="00915B09">
            <w:pPr>
              <w:pStyle w:val="ListParagraph"/>
              <w:ind w:left="0" w:right="-10"/>
              <w:jc w:val="center"/>
              <w:rPr>
                <w:rFonts w:ascii="Arial" w:hAnsi="Arial" w:cs="Arial"/>
                <w:b/>
                <w:sz w:val="18"/>
                <w:szCs w:val="18"/>
              </w:rPr>
            </w:pPr>
            <w:r w:rsidRPr="00915B09">
              <w:rPr>
                <w:rFonts w:ascii="Arial" w:hAnsi="Arial" w:cs="Arial"/>
                <w:sz w:val="18"/>
                <w:szCs w:val="18"/>
              </w:rPr>
              <w:t>100%</w:t>
            </w:r>
          </w:p>
        </w:tc>
      </w:tr>
      <w:bookmarkEnd w:id="0"/>
    </w:tbl>
    <w:p w14:paraId="182907AC" w14:textId="77777777" w:rsidR="00E857C2" w:rsidRPr="00B821AD" w:rsidRDefault="00E857C2" w:rsidP="00E857C2">
      <w:pPr>
        <w:rPr>
          <w:sz w:val="22"/>
          <w:szCs w:val="22"/>
        </w:rPr>
      </w:pPr>
    </w:p>
    <w:p w14:paraId="4618686C" w14:textId="3FEBB2E3" w:rsidR="008C7908" w:rsidRPr="00170248" w:rsidRDefault="008C7908" w:rsidP="00E857C2">
      <w:pPr>
        <w:rPr>
          <w:rFonts w:asciiTheme="minorHAnsi" w:hAnsiTheme="minorHAnsi" w:cs="Times New Roman"/>
        </w:rPr>
      </w:pPr>
    </w:p>
    <w:sectPr w:rsidR="008C7908" w:rsidRPr="0017024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6393" w14:textId="77777777" w:rsidR="003A61B0" w:rsidRDefault="003A61B0" w:rsidP="0056772C">
      <w:r>
        <w:separator/>
      </w:r>
    </w:p>
  </w:endnote>
  <w:endnote w:type="continuationSeparator" w:id="0">
    <w:p w14:paraId="1284BE90" w14:textId="77777777" w:rsidR="003A61B0" w:rsidRDefault="003A61B0"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67629" w14:textId="77777777" w:rsidR="003A61B0" w:rsidRDefault="003A61B0" w:rsidP="0056772C">
      <w:r>
        <w:separator/>
      </w:r>
    </w:p>
  </w:footnote>
  <w:footnote w:type="continuationSeparator" w:id="0">
    <w:p w14:paraId="485C689F" w14:textId="77777777" w:rsidR="003A61B0" w:rsidRDefault="003A61B0"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4699F"/>
    <w:multiLevelType w:val="multilevel"/>
    <w:tmpl w:val="28EA175A"/>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50DB5"/>
    <w:rsid w:val="000C118D"/>
    <w:rsid w:val="00153FCD"/>
    <w:rsid w:val="00170248"/>
    <w:rsid w:val="001F2366"/>
    <w:rsid w:val="0022121F"/>
    <w:rsid w:val="00267859"/>
    <w:rsid w:val="002C3359"/>
    <w:rsid w:val="002D40DF"/>
    <w:rsid w:val="002E7B51"/>
    <w:rsid w:val="003224EA"/>
    <w:rsid w:val="0035399A"/>
    <w:rsid w:val="00360ACB"/>
    <w:rsid w:val="003800C7"/>
    <w:rsid w:val="003A61B0"/>
    <w:rsid w:val="003C4BA8"/>
    <w:rsid w:val="003C6547"/>
    <w:rsid w:val="003F5CA1"/>
    <w:rsid w:val="004003E8"/>
    <w:rsid w:val="00423E38"/>
    <w:rsid w:val="00431BE7"/>
    <w:rsid w:val="0049371E"/>
    <w:rsid w:val="004A3654"/>
    <w:rsid w:val="004A57F6"/>
    <w:rsid w:val="004D1120"/>
    <w:rsid w:val="004D51F3"/>
    <w:rsid w:val="0051231A"/>
    <w:rsid w:val="0052634A"/>
    <w:rsid w:val="00556C08"/>
    <w:rsid w:val="005673D5"/>
    <w:rsid w:val="0056772C"/>
    <w:rsid w:val="005C736C"/>
    <w:rsid w:val="00601F0A"/>
    <w:rsid w:val="006071D7"/>
    <w:rsid w:val="00620124"/>
    <w:rsid w:val="00637714"/>
    <w:rsid w:val="00637BD8"/>
    <w:rsid w:val="00646CCE"/>
    <w:rsid w:val="006C3B20"/>
    <w:rsid w:val="006E37AE"/>
    <w:rsid w:val="00745AA6"/>
    <w:rsid w:val="0078460F"/>
    <w:rsid w:val="008050A0"/>
    <w:rsid w:val="0081054E"/>
    <w:rsid w:val="008171F3"/>
    <w:rsid w:val="00825558"/>
    <w:rsid w:val="00862D59"/>
    <w:rsid w:val="00891E3C"/>
    <w:rsid w:val="00893970"/>
    <w:rsid w:val="008C7908"/>
    <w:rsid w:val="00901303"/>
    <w:rsid w:val="00915B09"/>
    <w:rsid w:val="009B688E"/>
    <w:rsid w:val="009C45B1"/>
    <w:rsid w:val="00A15B62"/>
    <w:rsid w:val="00A37CA7"/>
    <w:rsid w:val="00A838F0"/>
    <w:rsid w:val="00AD6E3D"/>
    <w:rsid w:val="00AE7268"/>
    <w:rsid w:val="00B17BF0"/>
    <w:rsid w:val="00B217D4"/>
    <w:rsid w:val="00B27293"/>
    <w:rsid w:val="00B3492B"/>
    <w:rsid w:val="00BF0B50"/>
    <w:rsid w:val="00BF5CD3"/>
    <w:rsid w:val="00C27587"/>
    <w:rsid w:val="00C42B39"/>
    <w:rsid w:val="00C439C0"/>
    <w:rsid w:val="00CA49B4"/>
    <w:rsid w:val="00CA7C9E"/>
    <w:rsid w:val="00CD36BB"/>
    <w:rsid w:val="00CD4904"/>
    <w:rsid w:val="00D803E5"/>
    <w:rsid w:val="00DA2C6D"/>
    <w:rsid w:val="00DE327F"/>
    <w:rsid w:val="00DE4FA2"/>
    <w:rsid w:val="00E277C5"/>
    <w:rsid w:val="00E857C2"/>
    <w:rsid w:val="00ED4D33"/>
    <w:rsid w:val="00F45D9C"/>
    <w:rsid w:val="00F74266"/>
    <w:rsid w:val="00FD5185"/>
    <w:rsid w:val="10E76954"/>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character" w:styleId="UnresolvedMention">
    <w:name w:val="Unresolved Mention"/>
    <w:basedOn w:val="DefaultParagraphFont"/>
    <w:uiPriority w:val="99"/>
    <w:semiHidden/>
    <w:unhideWhenUsed/>
    <w:rsid w:val="008050A0"/>
    <w:rPr>
      <w:color w:val="605E5C"/>
      <w:shd w:val="clear" w:color="auto" w:fill="E1DFDD"/>
    </w:rPr>
  </w:style>
  <w:style w:type="table" w:styleId="TableGrid">
    <w:name w:val="Table Grid"/>
    <w:basedOn w:val="TableNormal"/>
    <w:uiPriority w:val="59"/>
    <w:rsid w:val="00E857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57C2"/>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link w:val="ListParagraph"/>
    <w:uiPriority w:val="34"/>
    <w:locked/>
    <w:rsid w:val="00E857C2"/>
    <w:rPr>
      <w:rFonts w:ascii="Times New Roman" w:eastAsia="Times New Roman" w:hAnsi="Times New Roman" w:cs="Times New Roman"/>
      <w:sz w:val="20"/>
      <w:szCs w:val="20"/>
      <w:lang w:val="en-US" w:eastAsia="en-US"/>
    </w:rPr>
  </w:style>
  <w:style w:type="paragraph" w:styleId="NormalWeb">
    <w:name w:val="Normal (Web)"/>
    <w:basedOn w:val="Normal"/>
    <w:uiPriority w:val="99"/>
    <w:semiHidden/>
    <w:unhideWhenUsed/>
    <w:rsid w:val="00E857C2"/>
    <w:pPr>
      <w:widowControl/>
      <w:autoSpaceDE/>
      <w:autoSpaceDN/>
      <w:adjustRightInd/>
      <w:spacing w:before="100" w:beforeAutospacing="1" w:after="100" w:afterAutospacing="1"/>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eo-procurement.iadb.org/home" TargetMode="External"/><Relationship Id="rId18" Type="http://schemas.openxmlformats.org/officeDocument/2006/relationships/header" Target="header1.xml"/><Relationship Id="rId26" Type="http://schemas.openxmlformats.org/officeDocument/2006/relationships/fontTable" Target="fontTable.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adb.org/en/project/RG-T3704" TargetMode="External"/><Relationship Id="rId17" Type="http://schemas.openxmlformats.org/officeDocument/2006/relationships/hyperlink" Target="http://www.iadb.org" TargetMode="External"/><Relationship Id="rId25" Type="http://schemas.openxmlformats.org/officeDocument/2006/relationships/hyperlink" Target="https://socialdigital.iadb.org/en/resources/health/research-publications/838" TargetMode="External"/><Relationship Id="rId33" Type="http://schemas.openxmlformats.org/officeDocument/2006/relationships/customXml" Target="../customXml/item6.xml"/><Relationship Id="rId16" Type="http://schemas.openxmlformats.org/officeDocument/2006/relationships/hyperlink" Target="mailto:luist@iadb.org" TargetMode="External"/><Relationship Id="rId20" Type="http://schemas.openxmlformats.org/officeDocument/2006/relationships/footer" Target="footer1.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adb.org/en/project/RG-T3704"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luist@iadb.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dbdocs.iadb.org/wsdocs/getdocument.aspx?DOCNUM=38988574"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90CE5F170290D4488A81AC197CF6E7EF" ma:contentTypeVersion="0" ma:contentTypeDescription="The base project type from which other project content types inherit their information." ma:contentTypeScope="" ma:versionID="469218fe5dce6319442548b3baa67f2f">
  <xsd:schema xmlns:xsd="http://www.w3.org/2001/XMLSchema" xmlns:xs="http://www.w3.org/2001/XMLSchema" xmlns:p="http://schemas.microsoft.com/office/2006/metadata/properties" xmlns:ns2="cdc7663a-08f0-4737-9e8c-148ce897a09c" targetNamespace="http://schemas.microsoft.com/office/2006/metadata/properties" ma:root="true" ma:fieldsID="6d16a6fb91214a139625c4361dccbfb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704"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E3A7E44E2072E49854A6AD864911D1D" ma:contentTypeVersion="0" ma:contentTypeDescription="A content type to manage public (operations) IDB documents" ma:contentTypeScope="" ma:versionID="6099a6d6c6d2aa8aef81c18ae778469e">
  <xsd:schema xmlns:xsd="http://www.w3.org/2001/XMLSchema" xmlns:xs="http://www.w3.org/2001/XMLSchema" xmlns:p="http://schemas.microsoft.com/office/2006/metadata/properties" xmlns:ns2="cdc7663a-08f0-4737-9e8c-148ce897a09c" targetNamespace="http://schemas.microsoft.com/office/2006/metadata/properties" ma:root="true" ma:fieldsID="b729e9a1784390bde345f631de0e99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70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RG</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SCL/SPH</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Tejerina, Luis</Other_x0020_Author>
    <Migration_x0020_Info xmlns="cdc7663a-08f0-4737-9e8c-148ce897a09c" xsi:nil="true"/>
    <Approval_x0020_Number xmlns="cdc7663a-08f0-4737-9e8c-148ce897a09c">ATN/KP-18135-RG;</Approval_x0020_Number>
    <Phase xmlns="cdc7663a-08f0-4737-9e8c-148ce897a09c">ACTIVE</Phase>
    <Document_x0020_Author xmlns="cdc7663a-08f0-4737-9e8c-148ce897a09c">Guerra Martha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SA-HSS</TermName>
          <TermId xmlns="http://schemas.microsoft.com/office/infopath/2007/PartnerControls">98be7628-374e-4ecf-a12c-bb48b439037b</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KPR</TermName>
          <TermId xmlns="http://schemas.microsoft.com/office/infopath/2007/PartnerControls">6532625e-d021-44f5-96e1-a6225058695c</TermId>
        </TermInfo>
      </Terms>
    </g511464f9e53401d84b16fa9b379a574>
    <Related_x0020_SisCor_x0020_Number xmlns="cdc7663a-08f0-4737-9e8c-148ce897a09c" xsi:nil="true"/>
    <TaxCatchAll xmlns="cdc7663a-08f0-4737-9e8c-148ce897a09c">
      <Value>1128</Value>
      <Value>116</Value>
      <Value>112</Value>
      <Value>111</Value>
      <Value>44</Value>
      <Value>6</Value>
    </TaxCatchAll>
    <Operation_x0020_Type xmlns="cdc7663a-08f0-4737-9e8c-148ce897a09c">TCP</Operation_x0020_Type>
    <Package_x0020_Code xmlns="cdc7663a-08f0-4737-9e8c-148ce897a09c" xsi:nil="true"/>
    <Identifier xmlns="cdc7663a-08f0-4737-9e8c-148ce897a09c">RG-T3704-P001</Identifier>
    <Project_x0020_Number xmlns="cdc7663a-08f0-4737-9e8c-148ce897a09c">RG-T3704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SA</TermName>
          <TermId xmlns="http://schemas.microsoft.com/office/infopath/2007/PartnerControls">e15154b4-8fa2-4f19-a924-5a9b44dc8218</TermId>
        </TermInfo>
      </Terms>
    </nddeef1749674d76abdbe4b239a70bc6>
    <Record_x0020_Number xmlns="cdc7663a-08f0-4737-9e8c-148ce897a09c" xsi:nil="true"/>
    <_dlc_DocId xmlns="cdc7663a-08f0-4737-9e8c-148ce897a09c">EZSHARE-1833159558-3</_dlc_DocId>
    <_dlc_DocIdUrl xmlns="cdc7663a-08f0-4737-9e8c-148ce897a09c">
      <Url>https://idbg.sharepoint.com/teams/EZ-RG-TCP/RG-T3704/_layouts/15/DocIdRedir.aspx?ID=EZSHARE-1833159558-3</Url>
      <Description>EZSHARE-1833159558-3</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F046E693-6629-425E-888A-6FACE6C1D970}"/>
</file>

<file path=customXml/itemProps2.xml><?xml version="1.0" encoding="utf-8"?>
<ds:datastoreItem xmlns:ds="http://schemas.openxmlformats.org/officeDocument/2006/customXml" ds:itemID="{A06DA554-C080-4838-B4B9-5F375572BF03}"/>
</file>

<file path=customXml/itemProps3.xml><?xml version="1.0" encoding="utf-8"?>
<ds:datastoreItem xmlns:ds="http://schemas.openxmlformats.org/officeDocument/2006/customXml" ds:itemID="{7BBDE916-C864-4361-9BBC-E4DD8CDA5FFA}"/>
</file>

<file path=customXml/itemProps4.xml><?xml version="1.0" encoding="utf-8"?>
<ds:datastoreItem xmlns:ds="http://schemas.openxmlformats.org/officeDocument/2006/customXml" ds:itemID="{7416706C-CB50-442F-A438-6BAE0267DDEE}"/>
</file>

<file path=customXml/itemProps5.xml><?xml version="1.0" encoding="utf-8"?>
<ds:datastoreItem xmlns:ds="http://schemas.openxmlformats.org/officeDocument/2006/customXml" ds:itemID="{43760D7C-19E1-47B8-9526-96E4EDD310C6}"/>
</file>

<file path=customXml/itemProps6.xml><?xml version="1.0" encoding="utf-8"?>
<ds:datastoreItem xmlns:ds="http://schemas.openxmlformats.org/officeDocument/2006/customXml" ds:itemID="{C01E10B8-E0ED-44DA-92F9-52E3BE9CBACB}"/>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REOI</cp:keywords>
  <cp:lastModifiedBy>Bermudez Plaza, Neili Carolina</cp:lastModifiedBy>
  <cp:revision>2</cp:revision>
  <cp:lastPrinted>2015-01-20T22:56:00Z</cp:lastPrinted>
  <dcterms:created xsi:type="dcterms:W3CDTF">2020-09-22T15:02:00Z</dcterms:created>
  <dcterms:modified xsi:type="dcterms:W3CDTF">2020-09-22T15:02:00Z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1128;#REOI|28b57750-b297-46eb-9acf-d80618deda34</vt:lpwstr>
  </property>
  <property fmtid="{D5CDD505-2E9C-101B-9397-08002B2CF9AE}" pid="4" name="Sub_x002d_Sector">
    <vt:lpwstr/>
  </property>
  <property fmtid="{D5CDD505-2E9C-101B-9397-08002B2CF9AE}" pid="5" name="TaxKeywordTaxHTField">
    <vt:lpwstr>REOI|28b57750-b297-46eb-9acf-d80618deda34</vt:lpwstr>
  </property>
  <property fmtid="{D5CDD505-2E9C-101B-9397-08002B2CF9AE}" pid="6" name="Country">
    <vt:lpwstr>44;#RG|2537a5b7-6d8e-482c-94dc-32c3cc44ff65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6;#Goods and Services|5bfebf1b-9f1f-4411-b1dd-4c19b807b799</vt:lpwstr>
  </property>
  <property fmtid="{D5CDD505-2E9C-101B-9397-08002B2CF9AE}" pid="10" name="Sector_x0020_IDB">
    <vt:lpwstr/>
  </property>
  <property fmtid="{D5CDD505-2E9C-101B-9397-08002B2CF9AE}" pid="11" name="Sub-Sector">
    <vt:lpwstr>112;#SA-HSS|98be7628-374e-4ecf-a12c-bb48b439037b</vt:lpwstr>
  </property>
  <property fmtid="{D5CDD505-2E9C-101B-9397-08002B2CF9AE}" pid="13" name="Fund IDB">
    <vt:lpwstr>116;#KPR|6532625e-d021-44f5-96e1-a6225058695c</vt:lpwstr>
  </property>
  <property fmtid="{D5CDD505-2E9C-101B-9397-08002B2CF9AE}" pid="14" name="Sector IDB">
    <vt:lpwstr>111;#SA|e15154b4-8fa2-4f19-a924-5a9b44dc8218</vt:lpwstr>
  </property>
  <property fmtid="{D5CDD505-2E9C-101B-9397-08002B2CF9AE}" pid="15" name="_dlc_DocIdItemGuid">
    <vt:lpwstr>8bdee22e-9fed-45e2-8ccf-54b9811e0507</vt:lpwstr>
  </property>
  <property fmtid="{D5CDD505-2E9C-101B-9397-08002B2CF9AE}" pid="17" name="ContentTypeId">
    <vt:lpwstr>0x0101001A458A224826124E8B45B1D613300CFC00AE3A7E44E2072E49854A6AD864911D1D</vt:lpwstr>
  </property>
  <property fmtid="{D5CDD505-2E9C-101B-9397-08002B2CF9AE}" pid="18" name="Series Operations IDB">
    <vt:lpwstr/>
  </property>
</Properties>
</file>