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B4DC5" w14:textId="77777777" w:rsidR="0022011A" w:rsidRPr="00724602" w:rsidRDefault="00CA5996" w:rsidP="007E1EF9">
      <w:pPr>
        <w:pStyle w:val="Heading1"/>
        <w:spacing w:before="0" w:after="240" w:line="276" w:lineRule="auto"/>
        <w:jc w:val="center"/>
        <w:rPr>
          <w:rFonts w:asciiTheme="minorHAnsi" w:hAnsiTheme="minorHAnsi"/>
          <w:sz w:val="28"/>
          <w:szCs w:val="28"/>
        </w:rPr>
      </w:pPr>
      <w:r>
        <w:rPr>
          <w:rFonts w:asciiTheme="minorHAnsi" w:hAnsiTheme="minorHAnsi"/>
          <w:sz w:val="28"/>
          <w:szCs w:val="28"/>
        </w:rPr>
        <w:t xml:space="preserve">  </w:t>
      </w:r>
      <w:r w:rsidR="006D28EE" w:rsidRPr="00724602">
        <w:rPr>
          <w:rFonts w:asciiTheme="minorHAnsi" w:hAnsiTheme="minorHAnsi"/>
          <w:sz w:val="28"/>
          <w:szCs w:val="28"/>
        </w:rPr>
        <w:t>E</w:t>
      </w:r>
      <w:r w:rsidR="00673F76" w:rsidRPr="00724602">
        <w:rPr>
          <w:rFonts w:asciiTheme="minorHAnsi" w:hAnsiTheme="minorHAnsi"/>
          <w:sz w:val="28"/>
          <w:szCs w:val="28"/>
        </w:rPr>
        <w:t xml:space="preserve">nvironmental and Social Management </w:t>
      </w:r>
      <w:r w:rsidR="00DC025F" w:rsidRPr="00724602">
        <w:rPr>
          <w:rFonts w:asciiTheme="minorHAnsi" w:hAnsiTheme="minorHAnsi"/>
          <w:sz w:val="28"/>
          <w:szCs w:val="28"/>
        </w:rPr>
        <w:t>Framework</w:t>
      </w:r>
    </w:p>
    <w:p w14:paraId="67B36D02" w14:textId="77777777" w:rsidR="006D28EE" w:rsidRPr="003B07BB" w:rsidRDefault="007B5604" w:rsidP="007E1EF9">
      <w:pPr>
        <w:spacing w:line="276" w:lineRule="auto"/>
        <w:jc w:val="center"/>
        <w:rPr>
          <w:rFonts w:eastAsiaTheme="majorEastAsia" w:cstheme="majorBidi"/>
          <w:b/>
          <w:color w:val="000000" w:themeColor="text1"/>
          <w:sz w:val="24"/>
          <w:szCs w:val="24"/>
        </w:rPr>
      </w:pPr>
      <w:r w:rsidRPr="003B07BB">
        <w:rPr>
          <w:rFonts w:eastAsiaTheme="majorEastAsia" w:cstheme="majorBidi"/>
          <w:b/>
          <w:color w:val="000000" w:themeColor="text1"/>
          <w:sz w:val="24"/>
          <w:szCs w:val="24"/>
        </w:rPr>
        <w:t>IDB</w:t>
      </w:r>
      <w:r w:rsidR="00F156A7" w:rsidRPr="003B07BB">
        <w:rPr>
          <w:rFonts w:eastAsiaTheme="majorEastAsia" w:cstheme="majorBidi"/>
          <w:b/>
          <w:color w:val="000000" w:themeColor="text1"/>
          <w:sz w:val="24"/>
          <w:szCs w:val="24"/>
        </w:rPr>
        <w:t xml:space="preserve"> </w:t>
      </w:r>
      <w:r w:rsidR="00B968F9" w:rsidRPr="003B07BB">
        <w:rPr>
          <w:rFonts w:eastAsiaTheme="majorEastAsia" w:cstheme="majorBidi"/>
          <w:b/>
          <w:color w:val="000000" w:themeColor="text1"/>
          <w:sz w:val="24"/>
          <w:szCs w:val="24"/>
        </w:rPr>
        <w:t>P</w:t>
      </w:r>
      <w:r w:rsidR="00123F65" w:rsidRPr="003B07BB">
        <w:rPr>
          <w:rFonts w:eastAsiaTheme="majorEastAsia" w:cstheme="majorBidi"/>
          <w:b/>
          <w:color w:val="000000" w:themeColor="text1"/>
          <w:sz w:val="24"/>
          <w:szCs w:val="24"/>
        </w:rPr>
        <w:t xml:space="preserve">roject </w:t>
      </w:r>
      <w:r w:rsidR="00571B83" w:rsidRPr="003B07BB">
        <w:rPr>
          <w:rFonts w:eastAsiaTheme="majorEastAsia" w:cstheme="majorBidi"/>
          <w:b/>
          <w:color w:val="000000" w:themeColor="text1"/>
          <w:sz w:val="24"/>
          <w:szCs w:val="24"/>
        </w:rPr>
        <w:t>“</w:t>
      </w:r>
      <w:r w:rsidR="006B6C44" w:rsidRPr="003B07BB">
        <w:rPr>
          <w:rFonts w:eastAsiaTheme="majorEastAsia" w:cstheme="majorBidi"/>
          <w:b/>
          <w:color w:val="000000" w:themeColor="text1"/>
          <w:sz w:val="24"/>
          <w:szCs w:val="24"/>
        </w:rPr>
        <w:t>PROMOTING RISK MITIGATION INSTRUMENTS AND FINANCE FOR RENEWABLE ENERGY AND ENERGY EFFICIENCY INVESTMENTS IN ARGENTINA</w:t>
      </w:r>
      <w:r w:rsidR="00571B83" w:rsidRPr="003B07BB">
        <w:rPr>
          <w:rFonts w:eastAsiaTheme="majorEastAsia" w:cstheme="majorBidi"/>
          <w:b/>
          <w:color w:val="000000" w:themeColor="text1"/>
          <w:sz w:val="24"/>
          <w:szCs w:val="24"/>
        </w:rPr>
        <w:t>”</w:t>
      </w:r>
    </w:p>
    <w:p w14:paraId="6969DBE3" w14:textId="77777777" w:rsidR="00891BAF" w:rsidRPr="006C06AD" w:rsidRDefault="00891BAF" w:rsidP="00470155">
      <w:pPr>
        <w:pStyle w:val="Heading2"/>
        <w:numPr>
          <w:ilvl w:val="0"/>
          <w:numId w:val="39"/>
        </w:numPr>
        <w:spacing w:before="240" w:after="240" w:line="276" w:lineRule="auto"/>
        <w:jc w:val="both"/>
        <w:rPr>
          <w:rFonts w:asciiTheme="minorHAnsi" w:hAnsiTheme="minorHAnsi"/>
          <w:sz w:val="20"/>
          <w:szCs w:val="20"/>
        </w:rPr>
      </w:pPr>
      <w:r w:rsidRPr="006C06AD">
        <w:rPr>
          <w:rFonts w:asciiTheme="minorHAnsi" w:hAnsiTheme="minorHAnsi"/>
          <w:sz w:val="20"/>
          <w:szCs w:val="20"/>
        </w:rPr>
        <w:t>Objectives of the ESMF</w:t>
      </w:r>
    </w:p>
    <w:p w14:paraId="1D257E77" w14:textId="77777777" w:rsidR="00891BAF" w:rsidRPr="006C06AD" w:rsidRDefault="00891BAF" w:rsidP="007E1EF9">
      <w:pPr>
        <w:spacing w:line="276" w:lineRule="auto"/>
        <w:jc w:val="both"/>
        <w:rPr>
          <w:sz w:val="20"/>
          <w:szCs w:val="20"/>
        </w:rPr>
      </w:pPr>
      <w:r w:rsidRPr="006C06AD">
        <w:rPr>
          <w:sz w:val="20"/>
          <w:szCs w:val="20"/>
        </w:rPr>
        <w:t xml:space="preserve">This Environmental and Social Management Framework (ESMF) is a safeguard instrument that describes how the environmental and social impacts and risks of the </w:t>
      </w:r>
      <w:r w:rsidR="00123F65" w:rsidRPr="006C06AD">
        <w:rPr>
          <w:sz w:val="20"/>
          <w:szCs w:val="20"/>
        </w:rPr>
        <w:t>Project</w:t>
      </w:r>
      <w:r w:rsidRPr="006C06AD">
        <w:rPr>
          <w:sz w:val="20"/>
          <w:szCs w:val="20"/>
        </w:rPr>
        <w:t xml:space="preserve"> will be managed and supervised when funding from GCF is accessed. The ESMF presents the general context of the </w:t>
      </w:r>
      <w:r w:rsidR="00123F65" w:rsidRPr="006C06AD">
        <w:rPr>
          <w:sz w:val="20"/>
          <w:szCs w:val="20"/>
        </w:rPr>
        <w:t>Project</w:t>
      </w:r>
      <w:r w:rsidRPr="006C06AD">
        <w:rPr>
          <w:sz w:val="20"/>
          <w:szCs w:val="20"/>
        </w:rPr>
        <w:t xml:space="preserve">, the expected impacts and risks of the </w:t>
      </w:r>
      <w:r w:rsidR="00180F24">
        <w:rPr>
          <w:sz w:val="20"/>
          <w:szCs w:val="20"/>
        </w:rPr>
        <w:t>sub-</w:t>
      </w:r>
      <w:r w:rsidRPr="006C06AD">
        <w:rPr>
          <w:sz w:val="20"/>
          <w:szCs w:val="20"/>
        </w:rPr>
        <w:t>projects, the require</w:t>
      </w:r>
      <w:r w:rsidR="00386525" w:rsidRPr="006C06AD">
        <w:rPr>
          <w:sz w:val="20"/>
          <w:szCs w:val="20"/>
        </w:rPr>
        <w:t>d</w:t>
      </w:r>
      <w:r w:rsidR="005A23E5" w:rsidRPr="006C06AD">
        <w:rPr>
          <w:sz w:val="20"/>
          <w:szCs w:val="20"/>
        </w:rPr>
        <w:t xml:space="preserve"> </w:t>
      </w:r>
      <w:r w:rsidRPr="006C06AD">
        <w:rPr>
          <w:sz w:val="20"/>
          <w:szCs w:val="20"/>
        </w:rPr>
        <w:t xml:space="preserve">mitigation measures as well as the capacity, roles and responsibilities, appraisal and supervision processes and resources available to manage the risks of the institutions involved in financing the </w:t>
      </w:r>
      <w:r w:rsidR="0028758B">
        <w:rPr>
          <w:sz w:val="20"/>
          <w:szCs w:val="20"/>
        </w:rPr>
        <w:t>sub-</w:t>
      </w:r>
      <w:r w:rsidRPr="006C06AD">
        <w:rPr>
          <w:sz w:val="20"/>
          <w:szCs w:val="20"/>
        </w:rPr>
        <w:t xml:space="preserve">projects under the </w:t>
      </w:r>
      <w:r w:rsidR="00123F65" w:rsidRPr="006C06AD">
        <w:rPr>
          <w:sz w:val="20"/>
          <w:szCs w:val="20"/>
        </w:rPr>
        <w:t>Project</w:t>
      </w:r>
      <w:r w:rsidRPr="006C06AD">
        <w:rPr>
          <w:sz w:val="20"/>
          <w:szCs w:val="20"/>
        </w:rPr>
        <w:t xml:space="preserve">. </w:t>
      </w:r>
    </w:p>
    <w:p w14:paraId="42715D64" w14:textId="77777777" w:rsidR="001C3AF3" w:rsidRPr="006C06AD" w:rsidRDefault="001C3AF3" w:rsidP="007E1EF9">
      <w:pPr>
        <w:spacing w:line="276" w:lineRule="auto"/>
        <w:jc w:val="both"/>
        <w:rPr>
          <w:sz w:val="20"/>
          <w:szCs w:val="20"/>
        </w:rPr>
      </w:pPr>
      <w:r w:rsidRPr="006C06AD">
        <w:rPr>
          <w:sz w:val="20"/>
          <w:szCs w:val="20"/>
        </w:rPr>
        <w:t xml:space="preserve">This provides guidance to </w:t>
      </w:r>
      <w:r w:rsidR="0028758B" w:rsidRPr="0028758B">
        <w:rPr>
          <w:sz w:val="20"/>
          <w:szCs w:val="20"/>
        </w:rPr>
        <w:t>first-tier local financial intermediaries</w:t>
      </w:r>
      <w:r w:rsidRPr="006C06AD">
        <w:rPr>
          <w:sz w:val="20"/>
          <w:szCs w:val="20"/>
        </w:rPr>
        <w:t xml:space="preserve"> (LFIs) and sub</w:t>
      </w:r>
      <w:r w:rsidR="0028758B">
        <w:rPr>
          <w:sz w:val="20"/>
          <w:szCs w:val="20"/>
        </w:rPr>
        <w:t>-</w:t>
      </w:r>
      <w:r w:rsidRPr="006C06AD">
        <w:rPr>
          <w:sz w:val="20"/>
          <w:szCs w:val="20"/>
        </w:rPr>
        <w:t>project proponents</w:t>
      </w:r>
      <w:r w:rsidR="00B2576D">
        <w:rPr>
          <w:rStyle w:val="FootnoteReference"/>
          <w:sz w:val="20"/>
          <w:szCs w:val="20"/>
        </w:rPr>
        <w:footnoteReference w:id="1"/>
      </w:r>
      <w:r w:rsidRPr="006C06AD">
        <w:rPr>
          <w:sz w:val="20"/>
          <w:szCs w:val="20"/>
        </w:rPr>
        <w:t xml:space="preserve"> on the process of how to screen, scope and assess sub</w:t>
      </w:r>
      <w:r w:rsidR="0028758B">
        <w:rPr>
          <w:sz w:val="20"/>
          <w:szCs w:val="20"/>
        </w:rPr>
        <w:t>-</w:t>
      </w:r>
      <w:r w:rsidRPr="006C06AD">
        <w:rPr>
          <w:sz w:val="20"/>
          <w:szCs w:val="20"/>
        </w:rPr>
        <w:t xml:space="preserve">projects supported by the Project and manage environmental and social safeguard issues that arise during their implementation. It identifies the environmental and social management roles and responsibilities of the accredited entity, BICE, and the LFIs and other involved agencies including identification on any capacity building requirements. Finally, the ESMF presents broad description and overview of the environmental and social contexts relevant to the Project and the likely environmental and social risks and impacts including national policies and institutional arrangements. </w:t>
      </w:r>
    </w:p>
    <w:p w14:paraId="1218AE15" w14:textId="77777777" w:rsidR="001C3AF3" w:rsidRPr="006C06AD" w:rsidRDefault="001C3AF3" w:rsidP="007E1EF9">
      <w:pPr>
        <w:spacing w:line="276" w:lineRule="auto"/>
        <w:jc w:val="both"/>
        <w:rPr>
          <w:sz w:val="20"/>
          <w:szCs w:val="20"/>
        </w:rPr>
      </w:pPr>
      <w:r w:rsidRPr="006C06AD">
        <w:rPr>
          <w:sz w:val="20"/>
          <w:szCs w:val="20"/>
        </w:rPr>
        <w:t xml:space="preserve">The ESMF describes the process of screening, scoping and developing the specifications for environmental and social assessments of </w:t>
      </w:r>
      <w:r w:rsidR="0028758B">
        <w:rPr>
          <w:sz w:val="20"/>
          <w:szCs w:val="20"/>
        </w:rPr>
        <w:t>sub-projects</w:t>
      </w:r>
      <w:r w:rsidRPr="006C06AD">
        <w:rPr>
          <w:sz w:val="20"/>
          <w:szCs w:val="20"/>
        </w:rPr>
        <w:t xml:space="preserve"> as part of the overall environmental and social due diligence process. It also describes how to select and implement specific stakeholder and community engagement at the</w:t>
      </w:r>
      <w:r w:rsidR="0028758B">
        <w:rPr>
          <w:sz w:val="20"/>
          <w:szCs w:val="20"/>
        </w:rPr>
        <w:t xml:space="preserve"> sub-project</w:t>
      </w:r>
      <w:r w:rsidRPr="006C06AD">
        <w:rPr>
          <w:sz w:val="20"/>
          <w:szCs w:val="20"/>
        </w:rPr>
        <w:t xml:space="preserve"> level and mechanisms for grievance redress. The ESMF also describes and establishes a methodological approach (workflow) to managing environmental and social risks and impacts in a structured way, on a continuous basis. An overview of institutional arrangements for managing the Project and the management procedures is also provided. The ESMF identifies applicable national regulations and policies and provides an overview of the environmental and social context for the country. The ESMF also provides key potential environmental and social issues for the sub</w:t>
      </w:r>
      <w:r w:rsidR="0028758B">
        <w:rPr>
          <w:sz w:val="20"/>
          <w:szCs w:val="20"/>
        </w:rPr>
        <w:t>-</w:t>
      </w:r>
      <w:r w:rsidRPr="006C06AD">
        <w:rPr>
          <w:sz w:val="20"/>
          <w:szCs w:val="20"/>
        </w:rPr>
        <w:t>projects in the pre-construction, construction and operation stages. The sub</w:t>
      </w:r>
      <w:r w:rsidR="0028758B">
        <w:rPr>
          <w:sz w:val="20"/>
          <w:szCs w:val="20"/>
        </w:rPr>
        <w:t>-</w:t>
      </w:r>
      <w:r w:rsidRPr="006C06AD">
        <w:rPr>
          <w:sz w:val="20"/>
          <w:szCs w:val="20"/>
        </w:rPr>
        <w:t>projects are likely to be small-scale and the potential adverse environmental risks and impacts are expected to be minimal and include air emissions, pollution, waste generation, occupational health and safety and local community nuisance. The sub</w:t>
      </w:r>
      <w:r w:rsidR="0028758B">
        <w:rPr>
          <w:sz w:val="20"/>
          <w:szCs w:val="20"/>
        </w:rPr>
        <w:t>-</w:t>
      </w:r>
      <w:r w:rsidRPr="006C06AD">
        <w:rPr>
          <w:sz w:val="20"/>
          <w:szCs w:val="20"/>
        </w:rPr>
        <w:t>projects are not expected to disrupt and resettle local population, disturb and impair biodiversity. There are expected beneficial impacts to local economies through the creation of jobs and procurement of local services and materials. More detailed due diligence for each sub</w:t>
      </w:r>
      <w:r w:rsidR="0028758B">
        <w:rPr>
          <w:sz w:val="20"/>
          <w:szCs w:val="20"/>
        </w:rPr>
        <w:t>-</w:t>
      </w:r>
      <w:r w:rsidRPr="006C06AD">
        <w:rPr>
          <w:sz w:val="20"/>
          <w:szCs w:val="20"/>
        </w:rPr>
        <w:t>project will identify potential impacts and develop site-specific mitigation measures.</w:t>
      </w:r>
    </w:p>
    <w:p w14:paraId="57DB0C8E" w14:textId="77777777" w:rsidR="001C3AF3" w:rsidRPr="006C06AD" w:rsidRDefault="001C3AF3">
      <w:pPr>
        <w:spacing w:line="276" w:lineRule="auto"/>
        <w:jc w:val="both"/>
        <w:rPr>
          <w:sz w:val="20"/>
          <w:szCs w:val="20"/>
        </w:rPr>
      </w:pPr>
      <w:r w:rsidRPr="006C06AD">
        <w:rPr>
          <w:sz w:val="20"/>
          <w:szCs w:val="20"/>
        </w:rPr>
        <w:t>The purpose of the ESMF is</w:t>
      </w:r>
      <w:r w:rsidR="00EA5BEA" w:rsidRPr="006C06AD">
        <w:rPr>
          <w:sz w:val="20"/>
          <w:szCs w:val="20"/>
        </w:rPr>
        <w:t xml:space="preserve"> to</w:t>
      </w:r>
      <w:r w:rsidRPr="006C06AD">
        <w:rPr>
          <w:sz w:val="20"/>
          <w:szCs w:val="20"/>
        </w:rPr>
        <w:t xml:space="preserve">: </w:t>
      </w:r>
    </w:p>
    <w:p w14:paraId="097D94E2" w14:textId="77777777" w:rsidR="001C3AF3" w:rsidRPr="006C06AD" w:rsidRDefault="00EA5BEA">
      <w:pPr>
        <w:pStyle w:val="ListParagraph"/>
        <w:numPr>
          <w:ilvl w:val="0"/>
          <w:numId w:val="47"/>
        </w:numPr>
        <w:ind w:left="360"/>
        <w:jc w:val="both"/>
        <w:rPr>
          <w:sz w:val="20"/>
          <w:szCs w:val="20"/>
        </w:rPr>
      </w:pPr>
      <w:r w:rsidRPr="006C06AD">
        <w:rPr>
          <w:sz w:val="20"/>
          <w:szCs w:val="20"/>
        </w:rPr>
        <w:t>G</w:t>
      </w:r>
      <w:r w:rsidR="001C3AF3" w:rsidRPr="006C06AD">
        <w:rPr>
          <w:sz w:val="20"/>
          <w:szCs w:val="20"/>
        </w:rPr>
        <w:t>uide the executing entities, local financial institutions, and sub</w:t>
      </w:r>
      <w:r w:rsidR="0028758B">
        <w:rPr>
          <w:sz w:val="20"/>
          <w:szCs w:val="20"/>
        </w:rPr>
        <w:t>-</w:t>
      </w:r>
      <w:r w:rsidR="001C3AF3" w:rsidRPr="006C06AD">
        <w:rPr>
          <w:sz w:val="20"/>
          <w:szCs w:val="20"/>
        </w:rPr>
        <w:t>project proponents on the process of how to screen, scope and assess sub</w:t>
      </w:r>
      <w:r w:rsidR="0028758B">
        <w:rPr>
          <w:sz w:val="20"/>
          <w:szCs w:val="20"/>
        </w:rPr>
        <w:t>-</w:t>
      </w:r>
      <w:r w:rsidR="001C3AF3" w:rsidRPr="006C06AD">
        <w:rPr>
          <w:sz w:val="20"/>
          <w:szCs w:val="20"/>
        </w:rPr>
        <w:t xml:space="preserve">projects and manage environmental and social safeguard issues that arise during implementation; </w:t>
      </w:r>
    </w:p>
    <w:p w14:paraId="31C547CB" w14:textId="77777777" w:rsidR="001C3AF3" w:rsidRPr="006C06AD" w:rsidRDefault="001C3AF3">
      <w:pPr>
        <w:pStyle w:val="ListParagraph"/>
        <w:numPr>
          <w:ilvl w:val="0"/>
          <w:numId w:val="47"/>
        </w:numPr>
        <w:ind w:left="360"/>
        <w:jc w:val="both"/>
        <w:rPr>
          <w:sz w:val="20"/>
          <w:szCs w:val="20"/>
        </w:rPr>
      </w:pPr>
      <w:r w:rsidRPr="006C06AD">
        <w:rPr>
          <w:sz w:val="20"/>
          <w:szCs w:val="20"/>
        </w:rPr>
        <w:t xml:space="preserve">Identify the roles and responsibilities related to environmental and social management of the Project and involved agencies including identification on any capacity building requirements; and </w:t>
      </w:r>
    </w:p>
    <w:p w14:paraId="785FF83B" w14:textId="77777777" w:rsidR="001C3AF3" w:rsidRPr="006C06AD" w:rsidRDefault="00EA5BEA">
      <w:pPr>
        <w:pStyle w:val="ListParagraph"/>
        <w:numPr>
          <w:ilvl w:val="0"/>
          <w:numId w:val="47"/>
        </w:numPr>
        <w:ind w:left="360"/>
        <w:jc w:val="both"/>
        <w:rPr>
          <w:sz w:val="20"/>
          <w:szCs w:val="20"/>
        </w:rPr>
      </w:pPr>
      <w:r w:rsidRPr="006C06AD">
        <w:rPr>
          <w:sz w:val="20"/>
          <w:szCs w:val="20"/>
        </w:rPr>
        <w:lastRenderedPageBreak/>
        <w:t>P</w:t>
      </w:r>
      <w:r w:rsidR="001C3AF3" w:rsidRPr="006C06AD">
        <w:rPr>
          <w:sz w:val="20"/>
          <w:szCs w:val="20"/>
        </w:rPr>
        <w:t xml:space="preserve">resent broad description and overview of the environmental and social contexts relevant to the </w:t>
      </w:r>
      <w:r w:rsidR="0028758B">
        <w:rPr>
          <w:sz w:val="20"/>
          <w:szCs w:val="20"/>
        </w:rPr>
        <w:t>P</w:t>
      </w:r>
      <w:r w:rsidR="001C3AF3" w:rsidRPr="006C06AD">
        <w:rPr>
          <w:sz w:val="20"/>
          <w:szCs w:val="20"/>
        </w:rPr>
        <w:t xml:space="preserve">roject and the likely environmental and social risks and impacts including national policies and institutional arrangements. </w:t>
      </w:r>
    </w:p>
    <w:p w14:paraId="14C2E633" w14:textId="77777777" w:rsidR="00891BAF" w:rsidRPr="006C06AD" w:rsidRDefault="00891BAF" w:rsidP="007E1EF9">
      <w:pPr>
        <w:spacing w:line="276" w:lineRule="auto"/>
        <w:jc w:val="both"/>
        <w:rPr>
          <w:rFonts w:eastAsia="Times New Roman" w:cs="Arial"/>
          <w:bCs/>
          <w:sz w:val="20"/>
          <w:szCs w:val="20"/>
          <w:lang w:eastAsia="ja-JP"/>
        </w:rPr>
      </w:pPr>
      <w:r w:rsidRPr="006C06AD">
        <w:rPr>
          <w:sz w:val="20"/>
          <w:szCs w:val="20"/>
        </w:rPr>
        <w:t xml:space="preserve">The Inter-American Development Bank (IDB) </w:t>
      </w:r>
      <w:r w:rsidRPr="006C06AD">
        <w:rPr>
          <w:rFonts w:eastAsia="Times New Roman" w:cs="Arial"/>
          <w:bCs/>
          <w:color w:val="000000"/>
          <w:sz w:val="20"/>
          <w:szCs w:val="20"/>
          <w:lang w:eastAsia="ja-JP"/>
        </w:rPr>
        <w:t>will maintain supervision responsibilities in accordance with the Accreditation Master Agreement (AMA) and Bank’s policies and procedures with regard</w:t>
      </w:r>
      <w:r w:rsidR="00EA5BEA" w:rsidRPr="006C06AD">
        <w:rPr>
          <w:rFonts w:eastAsia="Times New Roman" w:cs="Arial"/>
          <w:bCs/>
          <w:color w:val="000000"/>
          <w:sz w:val="20"/>
          <w:szCs w:val="20"/>
          <w:lang w:eastAsia="ja-JP"/>
        </w:rPr>
        <w:t>s</w:t>
      </w:r>
      <w:r w:rsidRPr="006C06AD">
        <w:rPr>
          <w:rFonts w:eastAsia="Times New Roman" w:cs="Arial"/>
          <w:bCs/>
          <w:color w:val="000000"/>
          <w:sz w:val="20"/>
          <w:szCs w:val="20"/>
          <w:lang w:eastAsia="ja-JP"/>
        </w:rPr>
        <w:t xml:space="preserve"> to the Pro</w:t>
      </w:r>
      <w:r w:rsidR="00EA5BEA" w:rsidRPr="006C06AD">
        <w:rPr>
          <w:rFonts w:eastAsia="Times New Roman" w:cs="Arial"/>
          <w:bCs/>
          <w:color w:val="000000"/>
          <w:sz w:val="20"/>
          <w:szCs w:val="20"/>
          <w:lang w:eastAsia="ja-JP"/>
        </w:rPr>
        <w:t>ject</w:t>
      </w:r>
      <w:r w:rsidRPr="006C06AD">
        <w:rPr>
          <w:rFonts w:eastAsia="Times New Roman" w:cs="Arial"/>
          <w:bCs/>
          <w:color w:val="000000"/>
          <w:sz w:val="20"/>
          <w:szCs w:val="20"/>
          <w:lang w:eastAsia="ja-JP"/>
        </w:rPr>
        <w:t xml:space="preserve">. </w:t>
      </w:r>
      <w:bookmarkStart w:id="0" w:name="_Hlk503282035"/>
      <w:r w:rsidRPr="006C06AD">
        <w:rPr>
          <w:rFonts w:eastAsia="Times New Roman" w:cs="Arial"/>
          <w:bCs/>
          <w:color w:val="000000"/>
          <w:sz w:val="20"/>
          <w:szCs w:val="20"/>
          <w:lang w:eastAsia="ja-JP"/>
        </w:rPr>
        <w:t xml:space="preserve">At the sub-project level, relevant IDB environmental and social safeguards standards will be contractually required in </w:t>
      </w:r>
      <w:r w:rsidRPr="006C06AD">
        <w:rPr>
          <w:rFonts w:eastAsia="Times New Roman" w:cs="Arial"/>
          <w:bCs/>
          <w:sz w:val="20"/>
          <w:szCs w:val="20"/>
          <w:lang w:eastAsia="ja-JP"/>
        </w:rPr>
        <w:t>accordance with IDB policies and procedures, the AMA and/or such other related arrangements.</w:t>
      </w:r>
    </w:p>
    <w:bookmarkEnd w:id="0"/>
    <w:p w14:paraId="1405E242" w14:textId="77777777" w:rsidR="00386525" w:rsidRPr="006C06AD" w:rsidRDefault="00891BAF" w:rsidP="007E1EF9">
      <w:pPr>
        <w:pStyle w:val="Heading2"/>
        <w:spacing w:before="240" w:after="240" w:line="276" w:lineRule="auto"/>
        <w:jc w:val="both"/>
        <w:rPr>
          <w:rFonts w:asciiTheme="minorHAnsi" w:eastAsia="Times New Roman" w:hAnsiTheme="minorHAnsi" w:cs="Arial"/>
          <w:bCs/>
          <w:color w:val="000000"/>
          <w:sz w:val="20"/>
          <w:szCs w:val="20"/>
          <w:lang w:eastAsia="ja-JP"/>
        </w:rPr>
      </w:pPr>
      <w:r w:rsidRPr="006C06AD">
        <w:rPr>
          <w:rFonts w:asciiTheme="minorHAnsi" w:eastAsia="Times New Roman" w:hAnsiTheme="minorHAnsi" w:cs="Arial"/>
          <w:bCs/>
          <w:color w:val="000000"/>
          <w:sz w:val="20"/>
          <w:szCs w:val="20"/>
          <w:lang w:eastAsia="ja-JP"/>
        </w:rPr>
        <w:t>The ESMF follows the standards of IDB’s Environmental and Safeguards Compliance Policy (OP-703), those of other relevant IDB safeguards policies (see below) and, when relevant, sector guidelines and good international industry practice (GIIP) such as the International Finance Corporation (IFC) Performance Standards on Environmental and Social Sustainability and World Bank Group (WBG) Environmental, Health and Safety (EHS) Guidelines</w:t>
      </w:r>
      <w:r w:rsidR="00C1153F" w:rsidRPr="006C06AD">
        <w:rPr>
          <w:rFonts w:asciiTheme="minorHAnsi" w:eastAsia="Times New Roman" w:hAnsiTheme="minorHAnsi" w:cs="Arial"/>
          <w:bCs/>
          <w:color w:val="000000"/>
          <w:sz w:val="20"/>
          <w:szCs w:val="20"/>
          <w:lang w:eastAsia="ja-JP"/>
        </w:rPr>
        <w:t>.</w:t>
      </w:r>
    </w:p>
    <w:p w14:paraId="40C5CC80" w14:textId="77777777" w:rsidR="00DC025F" w:rsidRPr="006C06AD" w:rsidRDefault="00123F65">
      <w:pPr>
        <w:pStyle w:val="Heading2"/>
        <w:numPr>
          <w:ilvl w:val="0"/>
          <w:numId w:val="39"/>
        </w:numPr>
        <w:spacing w:before="240" w:after="240" w:line="276" w:lineRule="auto"/>
        <w:jc w:val="both"/>
        <w:rPr>
          <w:rFonts w:asciiTheme="minorHAnsi" w:hAnsiTheme="minorHAnsi"/>
          <w:sz w:val="20"/>
          <w:szCs w:val="20"/>
        </w:rPr>
      </w:pPr>
      <w:r w:rsidRPr="006C06AD">
        <w:rPr>
          <w:rFonts w:asciiTheme="minorHAnsi" w:hAnsiTheme="minorHAnsi"/>
          <w:sz w:val="20"/>
          <w:szCs w:val="20"/>
        </w:rPr>
        <w:t>Project</w:t>
      </w:r>
      <w:r w:rsidR="00DC025F" w:rsidRPr="006C06AD">
        <w:rPr>
          <w:rFonts w:asciiTheme="minorHAnsi" w:hAnsiTheme="minorHAnsi"/>
          <w:sz w:val="20"/>
          <w:szCs w:val="20"/>
        </w:rPr>
        <w:t xml:space="preserve"> </w:t>
      </w:r>
      <w:r w:rsidR="00F741A5" w:rsidRPr="006C06AD">
        <w:rPr>
          <w:rFonts w:asciiTheme="minorHAnsi" w:hAnsiTheme="minorHAnsi"/>
          <w:sz w:val="20"/>
          <w:szCs w:val="20"/>
        </w:rPr>
        <w:t xml:space="preserve">Description and </w:t>
      </w:r>
      <w:r w:rsidR="00DC025F" w:rsidRPr="006C06AD">
        <w:rPr>
          <w:rFonts w:asciiTheme="minorHAnsi" w:hAnsiTheme="minorHAnsi"/>
          <w:sz w:val="20"/>
          <w:szCs w:val="20"/>
        </w:rPr>
        <w:t>Objectives</w:t>
      </w:r>
    </w:p>
    <w:p w14:paraId="7F43321F" w14:textId="77777777" w:rsidR="009A2B88" w:rsidRPr="006C06AD" w:rsidRDefault="007A7AC4" w:rsidP="007E1EF9">
      <w:pPr>
        <w:pStyle w:val="Paragraph"/>
        <w:tabs>
          <w:tab w:val="clear" w:pos="720"/>
        </w:tabs>
        <w:spacing w:line="276" w:lineRule="auto"/>
        <w:ind w:left="0" w:firstLine="0"/>
        <w:rPr>
          <w:rFonts w:asciiTheme="minorHAnsi" w:hAnsiTheme="minorHAnsi" w:cs="Arial"/>
          <w:sz w:val="20"/>
          <w:lang w:val="en-US"/>
        </w:rPr>
      </w:pPr>
      <w:r w:rsidRPr="006C06AD">
        <w:rPr>
          <w:rFonts w:asciiTheme="minorHAnsi" w:hAnsiTheme="minorHAnsi" w:cs="Arial"/>
          <w:sz w:val="20"/>
          <w:lang w:val="en-US"/>
        </w:rPr>
        <w:t xml:space="preserve">The objective of the Project is to contribute to improve the efficiency in the production and use of energy </w:t>
      </w:r>
      <w:r w:rsidR="009A2B88" w:rsidRPr="006C06AD">
        <w:rPr>
          <w:rFonts w:asciiTheme="minorHAnsi" w:hAnsiTheme="minorHAnsi" w:cs="Arial"/>
          <w:sz w:val="20"/>
          <w:lang w:val="en-US"/>
        </w:rPr>
        <w:t xml:space="preserve">Argentina, by increasing investments in energy efficiency (EE) and power production from renewable energy (RE) sources to reduce GHG emissions. The Project intends to scale up </w:t>
      </w:r>
      <w:r w:rsidR="00B17CB9" w:rsidRPr="006C06AD">
        <w:rPr>
          <w:rFonts w:asciiTheme="minorHAnsi" w:hAnsiTheme="minorHAnsi" w:cs="Arial"/>
          <w:sz w:val="20"/>
          <w:lang w:val="en-US"/>
        </w:rPr>
        <w:t>Small and Medium Enterprises (SME)</w:t>
      </w:r>
      <w:r w:rsidR="009A2B88" w:rsidRPr="006C06AD">
        <w:rPr>
          <w:rFonts w:asciiTheme="minorHAnsi" w:hAnsiTheme="minorHAnsi" w:cs="Arial"/>
          <w:sz w:val="20"/>
          <w:lang w:val="en-US"/>
        </w:rPr>
        <w:t xml:space="preserve"> investment in RE and EE by making available </w:t>
      </w:r>
      <w:r w:rsidR="00B17CB9" w:rsidRPr="006C06AD">
        <w:rPr>
          <w:rFonts w:asciiTheme="minorHAnsi" w:hAnsiTheme="minorHAnsi" w:cs="Arial"/>
          <w:sz w:val="20"/>
          <w:lang w:val="en-US"/>
        </w:rPr>
        <w:t xml:space="preserve">medium and long-term </w:t>
      </w:r>
      <w:r w:rsidR="009A2B88" w:rsidRPr="006C06AD">
        <w:rPr>
          <w:rFonts w:asciiTheme="minorHAnsi" w:hAnsiTheme="minorHAnsi" w:cs="Arial"/>
          <w:sz w:val="20"/>
          <w:lang w:val="en-US"/>
        </w:rPr>
        <w:t xml:space="preserve">financing instruments tailored to meet the specific needs of these </w:t>
      </w:r>
      <w:r w:rsidR="0028758B">
        <w:rPr>
          <w:rFonts w:asciiTheme="minorHAnsi" w:hAnsiTheme="minorHAnsi" w:cs="Arial"/>
          <w:sz w:val="20"/>
          <w:lang w:val="en-US"/>
        </w:rPr>
        <w:t>sub-</w:t>
      </w:r>
      <w:r w:rsidR="009A2B88" w:rsidRPr="006C06AD">
        <w:rPr>
          <w:rFonts w:asciiTheme="minorHAnsi" w:hAnsiTheme="minorHAnsi" w:cs="Arial"/>
          <w:sz w:val="20"/>
          <w:lang w:val="en-US"/>
        </w:rPr>
        <w:t xml:space="preserve">projects, channeling funds through BICE, a local National Development Bank (NDB) and its network of </w:t>
      </w:r>
      <w:r w:rsidR="005857C3" w:rsidRPr="005857C3">
        <w:rPr>
          <w:rFonts w:asciiTheme="minorHAnsi" w:hAnsiTheme="minorHAnsi" w:cs="Arial"/>
          <w:sz w:val="20"/>
          <w:lang w:val="en-US"/>
        </w:rPr>
        <w:t>first-tier local financial intermediaries (LFIs)</w:t>
      </w:r>
      <w:r w:rsidR="009A2B88" w:rsidRPr="006C06AD">
        <w:rPr>
          <w:rFonts w:asciiTheme="minorHAnsi" w:hAnsiTheme="minorHAnsi" w:cs="Arial"/>
          <w:sz w:val="20"/>
          <w:lang w:val="en-US"/>
        </w:rPr>
        <w:t>.</w:t>
      </w:r>
    </w:p>
    <w:p w14:paraId="4FE6D77B" w14:textId="77777777" w:rsidR="009A2B88" w:rsidRPr="006C06AD" w:rsidRDefault="009A2B88" w:rsidP="007E1EF9">
      <w:pPr>
        <w:pStyle w:val="Paragraph"/>
        <w:tabs>
          <w:tab w:val="clear" w:pos="720"/>
        </w:tabs>
        <w:spacing w:line="276" w:lineRule="auto"/>
        <w:ind w:left="0" w:firstLine="0"/>
        <w:rPr>
          <w:rFonts w:asciiTheme="minorHAnsi" w:hAnsiTheme="minorHAnsi" w:cs="Arial"/>
          <w:sz w:val="20"/>
          <w:lang w:val="en-US"/>
        </w:rPr>
      </w:pPr>
      <w:r w:rsidRPr="006C06AD">
        <w:rPr>
          <w:rFonts w:asciiTheme="minorHAnsi" w:hAnsiTheme="minorHAnsi" w:cs="Arial"/>
          <w:sz w:val="20"/>
          <w:lang w:val="en-US"/>
        </w:rPr>
        <w:t>The proposed Project shall be executed via two components:</w:t>
      </w:r>
    </w:p>
    <w:p w14:paraId="65E56C36" w14:textId="77777777" w:rsidR="009A2B88" w:rsidRPr="006C06AD" w:rsidRDefault="009A2B88" w:rsidP="007E1EF9">
      <w:pPr>
        <w:pStyle w:val="Paragraph"/>
        <w:tabs>
          <w:tab w:val="clear" w:pos="720"/>
        </w:tabs>
        <w:spacing w:line="276" w:lineRule="auto"/>
        <w:ind w:left="0" w:firstLine="0"/>
        <w:rPr>
          <w:rFonts w:asciiTheme="minorHAnsi" w:hAnsiTheme="minorHAnsi" w:cs="Arial"/>
          <w:sz w:val="20"/>
          <w:lang w:val="en-US"/>
        </w:rPr>
      </w:pPr>
      <w:r w:rsidRPr="006C06AD">
        <w:rPr>
          <w:rFonts w:asciiTheme="minorHAnsi" w:hAnsiTheme="minorHAnsi" w:cs="Arial"/>
          <w:sz w:val="20"/>
          <w:lang w:val="en-US"/>
        </w:rPr>
        <w:t xml:space="preserve">For </w:t>
      </w:r>
      <w:r w:rsidRPr="006C06AD">
        <w:rPr>
          <w:rFonts w:asciiTheme="minorHAnsi" w:hAnsiTheme="minorHAnsi" w:cs="Arial"/>
          <w:b/>
          <w:sz w:val="20"/>
          <w:lang w:val="en-US"/>
        </w:rPr>
        <w:t>Component 1</w:t>
      </w:r>
      <w:r w:rsidRPr="006C06AD">
        <w:rPr>
          <w:rFonts w:asciiTheme="minorHAnsi" w:hAnsiTheme="minorHAnsi" w:cs="Arial"/>
          <w:sz w:val="20"/>
          <w:lang w:val="en-US"/>
        </w:rPr>
        <w:t xml:space="preserve">, </w:t>
      </w:r>
      <w:r w:rsidR="005857C3">
        <w:rPr>
          <w:rFonts w:asciiTheme="minorHAnsi" w:hAnsiTheme="minorHAnsi" w:cs="Arial"/>
          <w:sz w:val="20"/>
          <w:lang w:val="en-US"/>
        </w:rPr>
        <w:t>Green Climate Fund (</w:t>
      </w:r>
      <w:r w:rsidRPr="006C06AD">
        <w:rPr>
          <w:rFonts w:asciiTheme="minorHAnsi" w:hAnsiTheme="minorHAnsi" w:cs="Arial"/>
          <w:sz w:val="20"/>
          <w:lang w:val="en-US"/>
        </w:rPr>
        <w:t>GCF</w:t>
      </w:r>
      <w:r w:rsidR="005857C3">
        <w:rPr>
          <w:rFonts w:asciiTheme="minorHAnsi" w:hAnsiTheme="minorHAnsi" w:cs="Arial"/>
          <w:sz w:val="20"/>
          <w:lang w:val="en-US"/>
        </w:rPr>
        <w:t>)</w:t>
      </w:r>
      <w:r w:rsidRPr="006C06AD">
        <w:rPr>
          <w:rFonts w:asciiTheme="minorHAnsi" w:hAnsiTheme="minorHAnsi" w:cs="Arial"/>
          <w:sz w:val="20"/>
          <w:lang w:val="en-US"/>
        </w:rPr>
        <w:t xml:space="preserve"> grant resources (USD </w:t>
      </w:r>
      <w:r w:rsidR="002C50F1" w:rsidRPr="006C06AD">
        <w:rPr>
          <w:rFonts w:asciiTheme="minorHAnsi" w:hAnsiTheme="minorHAnsi" w:cs="Arial"/>
          <w:sz w:val="20"/>
          <w:lang w:val="en-US"/>
        </w:rPr>
        <w:t>3</w:t>
      </w:r>
      <w:r w:rsidRPr="006C06AD">
        <w:rPr>
          <w:rFonts w:asciiTheme="minorHAnsi" w:hAnsiTheme="minorHAnsi" w:cs="Arial"/>
          <w:sz w:val="20"/>
          <w:lang w:val="en-US"/>
        </w:rPr>
        <w:t xml:space="preserve">m) will finance third party expertise to provide technical assistance and develop non- financial mechanisms to support the implementation of the loans and reduce risks for developers, other end-beneficiaries, technical service providers, and commercial banks. These resources will help guarantee a sound and efficient Project, while also ensuring local capacity building so that a permanent mechanism remains in place after the conclusion of donor support. Resources for bridging information asymmetries, bankable </w:t>
      </w:r>
      <w:r w:rsidR="0028758B">
        <w:rPr>
          <w:rFonts w:asciiTheme="minorHAnsi" w:hAnsiTheme="minorHAnsi" w:cs="Arial"/>
          <w:sz w:val="20"/>
          <w:lang w:val="en-US"/>
        </w:rPr>
        <w:t>sub-</w:t>
      </w:r>
      <w:r w:rsidRPr="006C06AD">
        <w:rPr>
          <w:rFonts w:asciiTheme="minorHAnsi" w:hAnsiTheme="minorHAnsi" w:cs="Arial"/>
          <w:sz w:val="20"/>
          <w:lang w:val="en-US"/>
        </w:rPr>
        <w:t>project structuring, dissemination and capacity building activities and other associated minor costs are also considered under this component.</w:t>
      </w:r>
    </w:p>
    <w:p w14:paraId="2D754E5A" w14:textId="77777777" w:rsidR="009A2B88" w:rsidRPr="006C06AD" w:rsidRDefault="009A2B88" w:rsidP="007E1EF9">
      <w:pPr>
        <w:pStyle w:val="Paragraph"/>
        <w:tabs>
          <w:tab w:val="clear" w:pos="720"/>
        </w:tabs>
        <w:spacing w:line="276" w:lineRule="auto"/>
        <w:ind w:left="0" w:firstLine="0"/>
        <w:rPr>
          <w:rFonts w:asciiTheme="minorHAnsi" w:hAnsiTheme="minorHAnsi" w:cs="Arial"/>
          <w:sz w:val="20"/>
          <w:lang w:val="en-US"/>
        </w:rPr>
      </w:pPr>
      <w:r w:rsidRPr="006C06AD">
        <w:rPr>
          <w:rFonts w:asciiTheme="minorHAnsi" w:hAnsiTheme="minorHAnsi" w:cs="Arial"/>
          <w:sz w:val="20"/>
          <w:lang w:val="en-US"/>
        </w:rPr>
        <w:t xml:space="preserve">For </w:t>
      </w:r>
      <w:r w:rsidRPr="006C06AD">
        <w:rPr>
          <w:rFonts w:asciiTheme="minorHAnsi" w:hAnsiTheme="minorHAnsi" w:cs="Arial"/>
          <w:b/>
          <w:sz w:val="20"/>
          <w:lang w:val="en-US"/>
        </w:rPr>
        <w:t>Component 2</w:t>
      </w:r>
      <w:r w:rsidRPr="006C06AD">
        <w:rPr>
          <w:rFonts w:asciiTheme="minorHAnsi" w:hAnsiTheme="minorHAnsi" w:cs="Arial"/>
          <w:sz w:val="20"/>
          <w:lang w:val="en-US"/>
        </w:rPr>
        <w:t xml:space="preserve">, GCF resources (USD 100m) are requested in the form of a concessional loan to be blended with local financial institutions’ resources for financing eligible </w:t>
      </w:r>
      <w:r w:rsidR="0028758B">
        <w:rPr>
          <w:rFonts w:asciiTheme="minorHAnsi" w:hAnsiTheme="minorHAnsi" w:cs="Arial"/>
          <w:sz w:val="20"/>
          <w:lang w:val="en-US"/>
        </w:rPr>
        <w:t>sub-</w:t>
      </w:r>
      <w:r w:rsidRPr="006C06AD">
        <w:rPr>
          <w:rFonts w:asciiTheme="minorHAnsi" w:hAnsiTheme="minorHAnsi" w:cs="Arial"/>
          <w:sz w:val="20"/>
          <w:lang w:val="en-US"/>
        </w:rPr>
        <w:t>projects.</w:t>
      </w:r>
      <w:r w:rsidR="005D20C6" w:rsidRPr="006C06AD">
        <w:rPr>
          <w:rStyle w:val="FootnoteReference"/>
          <w:rFonts w:asciiTheme="minorHAnsi" w:hAnsiTheme="minorHAnsi" w:cs="Arial"/>
          <w:sz w:val="20"/>
          <w:lang w:val="en-US"/>
        </w:rPr>
        <w:footnoteReference w:id="2"/>
      </w:r>
      <w:r w:rsidRPr="006C06AD">
        <w:rPr>
          <w:rFonts w:asciiTheme="minorHAnsi" w:hAnsiTheme="minorHAnsi" w:cs="Arial"/>
          <w:sz w:val="20"/>
          <w:lang w:val="en-US"/>
        </w:rPr>
        <w:t xml:space="preserve"> BICE will use GCF loan resources along with its own resources to provide financial support to private developers either directly or via </w:t>
      </w:r>
      <w:r w:rsidR="007529EB">
        <w:rPr>
          <w:rFonts w:asciiTheme="minorHAnsi" w:hAnsiTheme="minorHAnsi" w:cs="Arial"/>
          <w:sz w:val="20"/>
          <w:lang w:val="en-US"/>
        </w:rPr>
        <w:t>L</w:t>
      </w:r>
      <w:r w:rsidRPr="006C06AD">
        <w:rPr>
          <w:rFonts w:asciiTheme="minorHAnsi" w:hAnsiTheme="minorHAnsi" w:cs="Arial"/>
          <w:sz w:val="20"/>
          <w:lang w:val="en-US"/>
        </w:rPr>
        <w:t xml:space="preserve">FIs. By channeling GCF resources, BICE will increase its ability to provide financial conditions consistent with RE and EE investment costs, risks, cash flow profile and expected returns to make these ventures successful. Based on this, the Project intends to develop a portfolio of bankable </w:t>
      </w:r>
      <w:r w:rsidR="0028758B">
        <w:rPr>
          <w:rFonts w:asciiTheme="minorHAnsi" w:hAnsiTheme="minorHAnsi" w:cs="Arial"/>
          <w:sz w:val="20"/>
          <w:lang w:val="en-US"/>
        </w:rPr>
        <w:t>sub-</w:t>
      </w:r>
      <w:r w:rsidRPr="006C06AD">
        <w:rPr>
          <w:rFonts w:asciiTheme="minorHAnsi" w:hAnsiTheme="minorHAnsi" w:cs="Arial"/>
          <w:sz w:val="20"/>
          <w:lang w:val="en-US"/>
        </w:rPr>
        <w:t xml:space="preserve">projects, familiarizing market actors (developers/SMEs banks, technology and service providers) with this type of investments, leveraging additional financing from the private banking sector, and mobilizing capital to grow the industry in the long term (demonstration effect). </w:t>
      </w:r>
    </w:p>
    <w:p w14:paraId="084B9A68" w14:textId="77777777" w:rsidR="009A2B88" w:rsidRPr="006C06AD" w:rsidRDefault="009A2B88" w:rsidP="007E1EF9">
      <w:pPr>
        <w:pStyle w:val="Paragraph"/>
        <w:tabs>
          <w:tab w:val="clear" w:pos="720"/>
        </w:tabs>
        <w:spacing w:line="276" w:lineRule="auto"/>
        <w:ind w:left="0" w:firstLine="0"/>
        <w:rPr>
          <w:rFonts w:asciiTheme="minorHAnsi" w:hAnsiTheme="minorHAnsi" w:cs="Arial"/>
          <w:sz w:val="20"/>
          <w:lang w:val="en-US"/>
        </w:rPr>
      </w:pPr>
      <w:r w:rsidRPr="006C06AD">
        <w:rPr>
          <w:rFonts w:asciiTheme="minorHAnsi" w:hAnsiTheme="minorHAnsi" w:cs="Arial"/>
          <w:sz w:val="20"/>
          <w:lang w:val="en-US"/>
        </w:rPr>
        <w:t xml:space="preserve">The intended beneficiaries of the Project will be </w:t>
      </w:r>
      <w:r w:rsidR="006C06AD" w:rsidRPr="006C06AD">
        <w:rPr>
          <w:rFonts w:asciiTheme="minorHAnsi" w:hAnsiTheme="minorHAnsi" w:cs="Arial"/>
          <w:sz w:val="20"/>
          <w:lang w:val="en-US"/>
        </w:rPr>
        <w:t>small and medium companies (SMEs)</w:t>
      </w:r>
      <w:r w:rsidR="006C06AD" w:rsidRPr="006C06AD">
        <w:rPr>
          <w:rStyle w:val="FootnoteReference"/>
          <w:rFonts w:asciiTheme="minorHAnsi" w:hAnsiTheme="minorHAnsi" w:cs="Arial"/>
          <w:sz w:val="20"/>
          <w:lang w:val="en-US"/>
        </w:rPr>
        <w:footnoteReference w:id="3"/>
      </w:r>
      <w:r w:rsidR="006C06AD" w:rsidRPr="006C06AD">
        <w:rPr>
          <w:rFonts w:asciiTheme="minorHAnsi" w:hAnsiTheme="minorHAnsi" w:cs="Arial"/>
          <w:sz w:val="20"/>
          <w:lang w:val="en-US"/>
        </w:rPr>
        <w:t xml:space="preserve"> that invest in RE and EE projects.</w:t>
      </w:r>
      <w:r w:rsidRPr="006C06AD">
        <w:rPr>
          <w:rFonts w:asciiTheme="minorHAnsi" w:hAnsiTheme="minorHAnsi" w:cs="Arial"/>
          <w:sz w:val="20"/>
          <w:lang w:val="en-US"/>
        </w:rPr>
        <w:t xml:space="preserve"> An improved efficiency in the use and production of energy will also enable final consumers to benefit from greater and better availability of cleaner energy at competitive prices, and will allow the government to downscale </w:t>
      </w:r>
      <w:r w:rsidRPr="006C06AD">
        <w:rPr>
          <w:rFonts w:asciiTheme="minorHAnsi" w:hAnsiTheme="minorHAnsi" w:cs="Arial"/>
          <w:sz w:val="20"/>
          <w:lang w:val="en-US"/>
        </w:rPr>
        <w:lastRenderedPageBreak/>
        <w:t>current subsidies for fossil-fuel based generation. Finally, communities should benefit from positive externalities associated to the environmental and economic impacts of the Project.</w:t>
      </w:r>
    </w:p>
    <w:p w14:paraId="576F34BD" w14:textId="77777777" w:rsidR="000A0F21" w:rsidRPr="006C06AD" w:rsidRDefault="00385658" w:rsidP="007E1EF9">
      <w:pPr>
        <w:pStyle w:val="Paragraph"/>
        <w:tabs>
          <w:tab w:val="clear" w:pos="720"/>
        </w:tabs>
        <w:spacing w:line="276" w:lineRule="auto"/>
        <w:ind w:left="0" w:firstLine="0"/>
        <w:rPr>
          <w:rFonts w:asciiTheme="minorHAnsi" w:hAnsiTheme="minorHAnsi" w:cs="Arial"/>
          <w:sz w:val="20"/>
          <w:lang w:val="en-US"/>
        </w:rPr>
      </w:pPr>
      <w:bookmarkStart w:id="1" w:name="_Ref479230334"/>
      <w:r w:rsidRPr="006C06AD">
        <w:rPr>
          <w:rFonts w:asciiTheme="minorHAnsi" w:hAnsiTheme="minorHAnsi" w:cs="Arial"/>
          <w:sz w:val="20"/>
          <w:lang w:val="en-US"/>
        </w:rPr>
        <w:t xml:space="preserve">Eligible </w:t>
      </w:r>
      <w:r w:rsidR="0028758B">
        <w:rPr>
          <w:rFonts w:asciiTheme="minorHAnsi" w:hAnsiTheme="minorHAnsi" w:cs="Arial"/>
          <w:sz w:val="20"/>
          <w:lang w:val="en-US"/>
        </w:rPr>
        <w:t>sub-</w:t>
      </w:r>
      <w:r w:rsidRPr="006C06AD">
        <w:rPr>
          <w:rFonts w:asciiTheme="minorHAnsi" w:hAnsiTheme="minorHAnsi" w:cs="Arial"/>
          <w:sz w:val="20"/>
          <w:lang w:val="en-US"/>
        </w:rPr>
        <w:t>projects will include (a) energy efficiency investments undertaken by SMEs</w:t>
      </w:r>
      <w:r w:rsidR="00C1153F" w:rsidRPr="006C06AD">
        <w:rPr>
          <w:rFonts w:asciiTheme="minorHAnsi" w:hAnsiTheme="minorHAnsi" w:cs="Arial"/>
          <w:sz w:val="20"/>
          <w:lang w:val="en-US"/>
        </w:rPr>
        <w:t xml:space="preserve"> (b</w:t>
      </w:r>
      <w:r w:rsidRPr="006C06AD">
        <w:rPr>
          <w:rFonts w:asciiTheme="minorHAnsi" w:hAnsiTheme="minorHAnsi" w:cs="Arial"/>
          <w:sz w:val="20"/>
          <w:lang w:val="en-US"/>
        </w:rPr>
        <w:t>)</w:t>
      </w:r>
      <w:r w:rsidR="00C1153F" w:rsidRPr="006C06AD">
        <w:rPr>
          <w:rFonts w:asciiTheme="minorHAnsi" w:hAnsiTheme="minorHAnsi" w:cs="Arial"/>
          <w:sz w:val="20"/>
          <w:lang w:val="en-US"/>
        </w:rPr>
        <w:t xml:space="preserve"> small scale renewable</w:t>
      </w:r>
      <w:r w:rsidR="004F1621" w:rsidRPr="006C06AD">
        <w:rPr>
          <w:rFonts w:asciiTheme="minorHAnsi" w:hAnsiTheme="minorHAnsi" w:cs="Arial"/>
          <w:sz w:val="20"/>
          <w:lang w:val="en-US"/>
        </w:rPr>
        <w:t xml:space="preserve"> energy project</w:t>
      </w:r>
      <w:r w:rsidR="00C1153F" w:rsidRPr="006C06AD">
        <w:rPr>
          <w:rFonts w:asciiTheme="minorHAnsi" w:hAnsiTheme="minorHAnsi" w:cs="Arial"/>
          <w:sz w:val="20"/>
          <w:lang w:val="en-US"/>
        </w:rPr>
        <w:t xml:space="preserve">s </w:t>
      </w:r>
      <w:r w:rsidR="006C06AD" w:rsidRPr="006C06AD">
        <w:rPr>
          <w:rFonts w:asciiTheme="minorHAnsi" w:hAnsiTheme="minorHAnsi" w:cs="Arial"/>
          <w:sz w:val="20"/>
          <w:lang w:val="en-US"/>
        </w:rPr>
        <w:t xml:space="preserve">from SMEs </w:t>
      </w:r>
      <w:r w:rsidR="00C1153F" w:rsidRPr="006C06AD">
        <w:rPr>
          <w:rFonts w:asciiTheme="minorHAnsi" w:hAnsiTheme="minorHAnsi" w:cs="Arial"/>
          <w:sz w:val="20"/>
          <w:lang w:val="en-US"/>
        </w:rPr>
        <w:t xml:space="preserve">focused on </w:t>
      </w:r>
      <w:r w:rsidR="004F1621" w:rsidRPr="006C06AD">
        <w:rPr>
          <w:rFonts w:asciiTheme="minorHAnsi" w:hAnsiTheme="minorHAnsi" w:cs="Arial"/>
          <w:sz w:val="20"/>
          <w:lang w:val="en-US"/>
        </w:rPr>
        <w:t xml:space="preserve">cogeneration projects from </w:t>
      </w:r>
      <w:r w:rsidR="004B5C8B" w:rsidRPr="006C06AD">
        <w:rPr>
          <w:rFonts w:asciiTheme="minorHAnsi" w:hAnsiTheme="minorHAnsi" w:cs="Arial"/>
          <w:sz w:val="20"/>
          <w:lang w:val="en-US"/>
        </w:rPr>
        <w:t>waste</w:t>
      </w:r>
      <w:r w:rsidRPr="006C06AD">
        <w:rPr>
          <w:rFonts w:asciiTheme="minorHAnsi" w:hAnsiTheme="minorHAnsi" w:cs="Arial"/>
          <w:sz w:val="20"/>
          <w:lang w:val="en-US"/>
        </w:rPr>
        <w:t xml:space="preserve">. </w:t>
      </w:r>
    </w:p>
    <w:p w14:paraId="60470FE6" w14:textId="77777777" w:rsidR="000A0F21" w:rsidRPr="006C06AD" w:rsidRDefault="000A0F21" w:rsidP="007E1EF9">
      <w:pPr>
        <w:pStyle w:val="Paragraph"/>
        <w:tabs>
          <w:tab w:val="clear" w:pos="720"/>
        </w:tabs>
        <w:spacing w:line="276" w:lineRule="auto"/>
        <w:ind w:left="0" w:firstLine="0"/>
        <w:rPr>
          <w:rFonts w:asciiTheme="minorHAnsi" w:hAnsiTheme="minorHAnsi" w:cs="Arial"/>
          <w:sz w:val="20"/>
          <w:lang w:val="en-US"/>
        </w:rPr>
      </w:pPr>
      <w:r w:rsidRPr="006C06AD">
        <w:rPr>
          <w:rFonts w:asciiTheme="minorHAnsi" w:hAnsiTheme="minorHAnsi" w:cs="Arial"/>
          <w:sz w:val="20"/>
          <w:lang w:val="en-US"/>
        </w:rPr>
        <w:t xml:space="preserve">Within the spectrum of those eligible </w:t>
      </w:r>
      <w:r w:rsidR="0028758B">
        <w:rPr>
          <w:rFonts w:asciiTheme="minorHAnsi" w:hAnsiTheme="minorHAnsi" w:cs="Arial"/>
          <w:sz w:val="20"/>
          <w:lang w:val="en-US"/>
        </w:rPr>
        <w:t>sub-</w:t>
      </w:r>
      <w:r w:rsidRPr="006C06AD">
        <w:rPr>
          <w:rFonts w:asciiTheme="minorHAnsi" w:hAnsiTheme="minorHAnsi" w:cs="Arial"/>
          <w:sz w:val="20"/>
          <w:lang w:val="en-US"/>
        </w:rPr>
        <w:t>projects, the feasibility study identified</w:t>
      </w:r>
      <w:r w:rsidR="006C06AD" w:rsidRPr="006C06AD">
        <w:rPr>
          <w:rFonts w:asciiTheme="minorHAnsi" w:hAnsiTheme="minorHAnsi" w:cs="Arial"/>
          <w:sz w:val="20"/>
          <w:lang w:val="en-US"/>
        </w:rPr>
        <w:t>, among others,</w:t>
      </w:r>
      <w:r w:rsidRPr="006C06AD">
        <w:rPr>
          <w:rFonts w:asciiTheme="minorHAnsi" w:hAnsiTheme="minorHAnsi" w:cs="Arial"/>
          <w:sz w:val="20"/>
          <w:lang w:val="en-US"/>
        </w:rPr>
        <w:t xml:space="preserve"> the following combination of technolog</w:t>
      </w:r>
      <w:r w:rsidR="00AC6898" w:rsidRPr="006C06AD">
        <w:rPr>
          <w:rFonts w:asciiTheme="minorHAnsi" w:hAnsiTheme="minorHAnsi" w:cs="Arial"/>
          <w:sz w:val="20"/>
          <w:lang w:val="en-US"/>
        </w:rPr>
        <w:t>ies</w:t>
      </w:r>
      <w:r w:rsidR="00C1153F" w:rsidRPr="006C06AD">
        <w:rPr>
          <w:rFonts w:asciiTheme="minorHAnsi" w:hAnsiTheme="minorHAnsi" w:cs="Arial"/>
          <w:sz w:val="20"/>
          <w:lang w:val="en-US"/>
        </w:rPr>
        <w:t xml:space="preserve"> and sectors with high</w:t>
      </w:r>
      <w:r w:rsidR="006C06AD" w:rsidRPr="006C06AD">
        <w:rPr>
          <w:rFonts w:asciiTheme="minorHAnsi" w:hAnsiTheme="minorHAnsi" w:cs="Arial"/>
          <w:sz w:val="20"/>
          <w:lang w:val="en-US"/>
        </w:rPr>
        <w:t>er potential for</w:t>
      </w:r>
      <w:r w:rsidR="00C1153F" w:rsidRPr="006C06AD">
        <w:rPr>
          <w:rFonts w:asciiTheme="minorHAnsi" w:hAnsiTheme="minorHAnsi" w:cs="Arial"/>
          <w:sz w:val="20"/>
          <w:lang w:val="en-US"/>
        </w:rPr>
        <w:t xml:space="preserve"> credit demand</w:t>
      </w:r>
      <w:r w:rsidR="005D20C6" w:rsidRPr="006C06AD">
        <w:rPr>
          <w:rStyle w:val="FootnoteReference"/>
          <w:rFonts w:asciiTheme="minorHAnsi" w:hAnsiTheme="minorHAnsi" w:cs="Arial"/>
          <w:sz w:val="20"/>
          <w:lang w:val="en-US"/>
        </w:rPr>
        <w:footnoteReference w:id="4"/>
      </w:r>
      <w:r w:rsidRPr="006C06AD">
        <w:rPr>
          <w:rFonts w:asciiTheme="minorHAnsi" w:hAnsiTheme="minorHAnsi" w:cs="Arial"/>
          <w:sz w:val="20"/>
          <w:lang w:val="en-US"/>
        </w:rPr>
        <w:t xml:space="preserve">: </w:t>
      </w:r>
    </w:p>
    <w:p w14:paraId="2139D135" w14:textId="77777777" w:rsidR="000A0F21" w:rsidRPr="006C06AD" w:rsidRDefault="00A81FD0" w:rsidP="007E1EF9">
      <w:pPr>
        <w:pStyle w:val="Paragraph"/>
        <w:numPr>
          <w:ilvl w:val="0"/>
          <w:numId w:val="43"/>
        </w:numPr>
        <w:spacing w:line="276" w:lineRule="auto"/>
        <w:rPr>
          <w:rFonts w:asciiTheme="minorHAnsi" w:hAnsiTheme="minorHAnsi" w:cs="Arial"/>
          <w:sz w:val="20"/>
          <w:lang w:val="en-US"/>
        </w:rPr>
      </w:pPr>
      <w:r>
        <w:rPr>
          <w:rFonts w:asciiTheme="minorHAnsi" w:hAnsiTheme="minorHAnsi" w:cs="Arial"/>
          <w:sz w:val="20"/>
          <w:lang w:val="en-US"/>
        </w:rPr>
        <w:t>C</w:t>
      </w:r>
      <w:r w:rsidR="000A0F21" w:rsidRPr="006C06AD">
        <w:rPr>
          <w:rFonts w:asciiTheme="minorHAnsi" w:hAnsiTheme="minorHAnsi" w:cs="Arial"/>
          <w:sz w:val="20"/>
          <w:lang w:val="en-US"/>
        </w:rPr>
        <w:t xml:space="preserve">ogeneration from waste issued from </w:t>
      </w:r>
      <w:r w:rsidR="00386525" w:rsidRPr="006C06AD">
        <w:rPr>
          <w:rFonts w:asciiTheme="minorHAnsi" w:hAnsiTheme="minorHAnsi" w:cs="Arial"/>
          <w:sz w:val="20"/>
          <w:lang w:val="en-US"/>
        </w:rPr>
        <w:t xml:space="preserve">agricultural, </w:t>
      </w:r>
      <w:r w:rsidR="000A0F21" w:rsidRPr="006C06AD">
        <w:rPr>
          <w:rFonts w:asciiTheme="minorHAnsi" w:hAnsiTheme="minorHAnsi" w:cs="Arial"/>
          <w:sz w:val="20"/>
          <w:lang w:val="en-US"/>
        </w:rPr>
        <w:t xml:space="preserve">commercial </w:t>
      </w:r>
      <w:r w:rsidR="00386525" w:rsidRPr="006C06AD">
        <w:rPr>
          <w:rFonts w:asciiTheme="minorHAnsi" w:hAnsiTheme="minorHAnsi" w:cs="Arial"/>
          <w:sz w:val="20"/>
          <w:lang w:val="en-US"/>
        </w:rPr>
        <w:t>forestry, timber</w:t>
      </w:r>
      <w:r w:rsidR="000A0F21" w:rsidRPr="006C06AD">
        <w:rPr>
          <w:rFonts w:asciiTheme="minorHAnsi" w:hAnsiTheme="minorHAnsi" w:cs="Arial"/>
          <w:sz w:val="20"/>
          <w:lang w:val="en-US"/>
        </w:rPr>
        <w:t>/</w:t>
      </w:r>
      <w:r w:rsidR="00386525" w:rsidRPr="006C06AD">
        <w:rPr>
          <w:rFonts w:asciiTheme="minorHAnsi" w:hAnsiTheme="minorHAnsi" w:cs="Arial"/>
          <w:sz w:val="20"/>
          <w:lang w:val="en-US"/>
        </w:rPr>
        <w:t>paper</w:t>
      </w:r>
      <w:r w:rsidR="000A0F21" w:rsidRPr="006C06AD">
        <w:rPr>
          <w:rFonts w:asciiTheme="minorHAnsi" w:hAnsiTheme="minorHAnsi" w:cs="Arial"/>
          <w:sz w:val="20"/>
          <w:lang w:val="en-US"/>
        </w:rPr>
        <w:t>,</w:t>
      </w:r>
      <w:r w:rsidR="00386525" w:rsidRPr="006C06AD">
        <w:rPr>
          <w:rFonts w:asciiTheme="minorHAnsi" w:hAnsiTheme="minorHAnsi" w:cs="Arial"/>
          <w:sz w:val="20"/>
          <w:lang w:val="en-US"/>
        </w:rPr>
        <w:t xml:space="preserve"> feedlots, pig farms</w:t>
      </w:r>
      <w:r w:rsidR="000A0F21" w:rsidRPr="006C06AD">
        <w:rPr>
          <w:rFonts w:asciiTheme="minorHAnsi" w:hAnsiTheme="minorHAnsi" w:cs="Arial"/>
          <w:sz w:val="20"/>
          <w:lang w:val="en-US"/>
        </w:rPr>
        <w:t xml:space="preserve"> and</w:t>
      </w:r>
      <w:r w:rsidR="00386525" w:rsidRPr="006C06AD">
        <w:rPr>
          <w:rFonts w:asciiTheme="minorHAnsi" w:hAnsiTheme="minorHAnsi" w:cs="Arial"/>
          <w:sz w:val="20"/>
          <w:lang w:val="en-US"/>
        </w:rPr>
        <w:t xml:space="preserve"> food processing</w:t>
      </w:r>
      <w:r w:rsidR="000A0F21" w:rsidRPr="006C06AD">
        <w:rPr>
          <w:rFonts w:asciiTheme="minorHAnsi" w:hAnsiTheme="minorHAnsi" w:cs="Arial"/>
          <w:sz w:val="20"/>
          <w:lang w:val="en-US"/>
        </w:rPr>
        <w:t xml:space="preserve"> operations</w:t>
      </w:r>
      <w:r w:rsidR="00386525" w:rsidRPr="006C06AD">
        <w:rPr>
          <w:rFonts w:asciiTheme="minorHAnsi" w:hAnsiTheme="minorHAnsi" w:cs="Arial"/>
          <w:sz w:val="20"/>
          <w:lang w:val="en-US"/>
        </w:rPr>
        <w:t xml:space="preserve"> and </w:t>
      </w:r>
    </w:p>
    <w:p w14:paraId="421BB240" w14:textId="77777777" w:rsidR="009A2B88" w:rsidRPr="006C06AD" w:rsidRDefault="00A81FD0" w:rsidP="007E1EF9">
      <w:pPr>
        <w:pStyle w:val="Paragraph"/>
        <w:numPr>
          <w:ilvl w:val="0"/>
          <w:numId w:val="43"/>
        </w:numPr>
        <w:spacing w:line="276" w:lineRule="auto"/>
        <w:rPr>
          <w:rFonts w:asciiTheme="minorHAnsi" w:hAnsiTheme="minorHAnsi" w:cs="Arial"/>
          <w:sz w:val="20"/>
          <w:lang w:val="en-US"/>
        </w:rPr>
      </w:pPr>
      <w:r>
        <w:rPr>
          <w:rFonts w:asciiTheme="minorHAnsi" w:hAnsiTheme="minorHAnsi" w:cs="Arial"/>
          <w:sz w:val="20"/>
          <w:lang w:val="en-US"/>
        </w:rPr>
        <w:t>E</w:t>
      </w:r>
      <w:r w:rsidR="00386525" w:rsidRPr="006C06AD">
        <w:rPr>
          <w:rFonts w:asciiTheme="minorHAnsi" w:hAnsiTheme="minorHAnsi" w:cs="Arial"/>
          <w:sz w:val="20"/>
          <w:lang w:val="en-US"/>
        </w:rPr>
        <w:t>nergy efficiency in energy-intensive industry (chemicals, food processing, dairy and plastics</w:t>
      </w:r>
      <w:r w:rsidR="00012145" w:rsidRPr="006C06AD">
        <w:rPr>
          <w:rFonts w:asciiTheme="minorHAnsi" w:hAnsiTheme="minorHAnsi" w:cs="Arial"/>
          <w:sz w:val="20"/>
          <w:lang w:val="en-US"/>
        </w:rPr>
        <w:t>)</w:t>
      </w:r>
      <w:r w:rsidR="00856C26" w:rsidRPr="006C06AD">
        <w:rPr>
          <w:rFonts w:asciiTheme="minorHAnsi" w:hAnsiTheme="minorHAnsi" w:cs="Arial"/>
          <w:sz w:val="20"/>
          <w:lang w:val="en-US"/>
        </w:rPr>
        <w:t>.</w:t>
      </w:r>
      <w:bookmarkEnd w:id="1"/>
    </w:p>
    <w:p w14:paraId="3B920C7B" w14:textId="77777777" w:rsidR="009A2B88" w:rsidRPr="006C06AD" w:rsidRDefault="009A2B88">
      <w:pPr>
        <w:pStyle w:val="Paragraph"/>
        <w:tabs>
          <w:tab w:val="clear" w:pos="720"/>
        </w:tabs>
        <w:spacing w:line="276" w:lineRule="auto"/>
        <w:rPr>
          <w:rFonts w:asciiTheme="minorHAnsi" w:hAnsiTheme="minorHAnsi" w:cs="Arial"/>
          <w:sz w:val="20"/>
          <w:lang w:val="en-US"/>
        </w:rPr>
      </w:pPr>
      <w:r w:rsidRPr="006C06AD">
        <w:rPr>
          <w:rFonts w:asciiTheme="minorHAnsi" w:hAnsiTheme="minorHAnsi" w:cs="Arial"/>
          <w:sz w:val="20"/>
          <w:lang w:val="en-US"/>
        </w:rPr>
        <w:t xml:space="preserve">For the Energy Efficiency </w:t>
      </w:r>
      <w:r w:rsidR="0028758B">
        <w:rPr>
          <w:rFonts w:asciiTheme="minorHAnsi" w:hAnsiTheme="minorHAnsi" w:cs="Arial"/>
          <w:sz w:val="20"/>
          <w:lang w:val="en-US"/>
        </w:rPr>
        <w:t>sub-</w:t>
      </w:r>
      <w:r w:rsidRPr="006C06AD">
        <w:rPr>
          <w:rFonts w:asciiTheme="minorHAnsi" w:hAnsiTheme="minorHAnsi" w:cs="Arial"/>
          <w:sz w:val="20"/>
          <w:lang w:val="en-US"/>
        </w:rPr>
        <w:t xml:space="preserve">projects, the following </w:t>
      </w:r>
      <w:r w:rsidR="00D23332" w:rsidRPr="006C06AD">
        <w:rPr>
          <w:rFonts w:asciiTheme="minorHAnsi" w:hAnsiTheme="minorHAnsi" w:cs="Arial"/>
          <w:sz w:val="20"/>
          <w:lang w:val="en-US"/>
        </w:rPr>
        <w:t xml:space="preserve">5 </w:t>
      </w:r>
      <w:r w:rsidRPr="006C06AD">
        <w:rPr>
          <w:rFonts w:asciiTheme="minorHAnsi" w:hAnsiTheme="minorHAnsi" w:cs="Arial"/>
          <w:sz w:val="20"/>
          <w:lang w:val="en-US"/>
        </w:rPr>
        <w:t>technologies</w:t>
      </w:r>
      <w:r w:rsidR="00D23332" w:rsidRPr="006C06AD">
        <w:rPr>
          <w:rFonts w:asciiTheme="minorHAnsi" w:hAnsiTheme="minorHAnsi" w:cs="Arial"/>
          <w:sz w:val="20"/>
          <w:lang w:val="en-US"/>
        </w:rPr>
        <w:t xml:space="preserve"> </w:t>
      </w:r>
      <w:r w:rsidRPr="006C06AD">
        <w:rPr>
          <w:rFonts w:asciiTheme="minorHAnsi" w:hAnsiTheme="minorHAnsi" w:cs="Arial"/>
          <w:sz w:val="20"/>
          <w:lang w:val="en-US"/>
        </w:rPr>
        <w:t>have been identified and prioritized: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3061"/>
        <w:gridCol w:w="4314"/>
      </w:tblGrid>
      <w:tr w:rsidR="00D23332" w:rsidRPr="006C06AD" w14:paraId="15646044" w14:textId="77777777" w:rsidTr="00A81FD0">
        <w:trPr>
          <w:tblHeader/>
        </w:trPr>
        <w:tc>
          <w:tcPr>
            <w:tcW w:w="1056" w:type="pct"/>
            <w:shd w:val="clear" w:color="auto" w:fill="D9D9D9"/>
            <w:vAlign w:val="center"/>
          </w:tcPr>
          <w:p w14:paraId="6CF58C3E" w14:textId="77777777" w:rsidR="00D23332" w:rsidRPr="00A81FD0" w:rsidRDefault="00D23332">
            <w:pPr>
              <w:pStyle w:val="ListParagraph"/>
              <w:spacing w:after="120"/>
              <w:ind w:left="360"/>
              <w:jc w:val="center"/>
              <w:rPr>
                <w:rFonts w:eastAsia="Cambria"/>
                <w:b/>
                <w:sz w:val="20"/>
                <w:szCs w:val="20"/>
                <w:lang w:eastAsia="es-ES"/>
              </w:rPr>
            </w:pPr>
            <w:r w:rsidRPr="00A81FD0">
              <w:rPr>
                <w:rFonts w:eastAsia="Cambria"/>
                <w:b/>
                <w:sz w:val="20"/>
                <w:szCs w:val="20"/>
                <w:lang w:eastAsia="es-ES"/>
              </w:rPr>
              <w:t>Project Type</w:t>
            </w:r>
          </w:p>
        </w:tc>
        <w:tc>
          <w:tcPr>
            <w:tcW w:w="1637" w:type="pct"/>
            <w:shd w:val="clear" w:color="auto" w:fill="D9D9D9"/>
            <w:vAlign w:val="center"/>
          </w:tcPr>
          <w:p w14:paraId="23122441" w14:textId="77777777" w:rsidR="00D23332" w:rsidRPr="00A81FD0" w:rsidRDefault="00D23332">
            <w:pPr>
              <w:spacing w:after="120" w:line="276" w:lineRule="auto"/>
              <w:jc w:val="center"/>
              <w:rPr>
                <w:rFonts w:eastAsia="Cambria"/>
                <w:b/>
                <w:sz w:val="20"/>
                <w:szCs w:val="20"/>
                <w:lang w:eastAsia="es-ES"/>
              </w:rPr>
            </w:pPr>
            <w:r w:rsidRPr="00A81FD0">
              <w:rPr>
                <w:rFonts w:eastAsia="Cambria"/>
                <w:b/>
                <w:sz w:val="20"/>
                <w:szCs w:val="20"/>
                <w:lang w:eastAsia="es-ES"/>
              </w:rPr>
              <w:t>Description</w:t>
            </w:r>
          </w:p>
        </w:tc>
        <w:tc>
          <w:tcPr>
            <w:tcW w:w="2307" w:type="pct"/>
            <w:shd w:val="clear" w:color="auto" w:fill="D9D9D9"/>
            <w:vAlign w:val="center"/>
          </w:tcPr>
          <w:p w14:paraId="0A05A3AA" w14:textId="77777777" w:rsidR="00D23332" w:rsidRPr="00A81FD0" w:rsidRDefault="00D23332">
            <w:pPr>
              <w:spacing w:after="120" w:line="276" w:lineRule="auto"/>
              <w:jc w:val="center"/>
              <w:rPr>
                <w:rFonts w:eastAsia="Cambria"/>
                <w:b/>
                <w:sz w:val="20"/>
                <w:szCs w:val="20"/>
                <w:lang w:eastAsia="es-ES"/>
              </w:rPr>
            </w:pPr>
            <w:r w:rsidRPr="00A81FD0">
              <w:rPr>
                <w:rFonts w:eastAsia="Cambria"/>
                <w:b/>
                <w:sz w:val="20"/>
                <w:szCs w:val="20"/>
                <w:lang w:eastAsia="es-ES"/>
              </w:rPr>
              <w:t>Technological improvement</w:t>
            </w:r>
          </w:p>
        </w:tc>
      </w:tr>
      <w:tr w:rsidR="00D23332" w:rsidRPr="006C06AD" w14:paraId="61D1B120" w14:textId="77777777" w:rsidTr="00A81FD0">
        <w:trPr>
          <w:trHeight w:val="1628"/>
        </w:trPr>
        <w:tc>
          <w:tcPr>
            <w:tcW w:w="1056" w:type="pct"/>
            <w:tcBorders>
              <w:bottom w:val="single" w:sz="4" w:space="0" w:color="auto"/>
            </w:tcBorders>
            <w:shd w:val="clear" w:color="auto" w:fill="auto"/>
            <w:vAlign w:val="center"/>
          </w:tcPr>
          <w:p w14:paraId="46CDCA53" w14:textId="77777777" w:rsidR="00D23332" w:rsidRPr="006C06AD" w:rsidRDefault="00D23332" w:rsidP="007E1EF9">
            <w:pPr>
              <w:spacing w:after="0" w:line="240" w:lineRule="auto"/>
              <w:jc w:val="both"/>
              <w:rPr>
                <w:rFonts w:eastAsia="Cambria"/>
                <w:sz w:val="20"/>
                <w:szCs w:val="20"/>
                <w:lang w:eastAsia="es-ES"/>
              </w:rPr>
            </w:pPr>
            <w:r w:rsidRPr="006C06AD">
              <w:rPr>
                <w:rFonts w:eastAsia="Cambria"/>
                <w:sz w:val="20"/>
                <w:szCs w:val="20"/>
                <w:lang w:eastAsia="es-ES"/>
              </w:rPr>
              <w:t>Solar water heaters</w:t>
            </w:r>
          </w:p>
        </w:tc>
        <w:tc>
          <w:tcPr>
            <w:tcW w:w="1637" w:type="pct"/>
            <w:tcBorders>
              <w:bottom w:val="single" w:sz="4" w:space="0" w:color="auto"/>
            </w:tcBorders>
            <w:vAlign w:val="center"/>
          </w:tcPr>
          <w:p w14:paraId="5FD79FC7" w14:textId="77777777" w:rsidR="00D23332" w:rsidRPr="006C06AD" w:rsidRDefault="00D23332" w:rsidP="007E1EF9">
            <w:pPr>
              <w:spacing w:after="0" w:line="240" w:lineRule="auto"/>
              <w:jc w:val="both"/>
              <w:rPr>
                <w:rFonts w:eastAsia="Cambria"/>
                <w:sz w:val="20"/>
                <w:szCs w:val="20"/>
                <w:lang w:eastAsia="es-ES"/>
              </w:rPr>
            </w:pPr>
            <w:r w:rsidRPr="006C06AD">
              <w:rPr>
                <w:rFonts w:eastAsia="Cambria"/>
                <w:sz w:val="20"/>
                <w:szCs w:val="20"/>
                <w:lang w:eastAsia="es-ES"/>
              </w:rPr>
              <w:t xml:space="preserve">Substitution of old water heating systems with solar water heaters </w:t>
            </w:r>
            <w:r w:rsidR="00012145" w:rsidRPr="006C06AD">
              <w:rPr>
                <w:rFonts w:eastAsia="Cambria"/>
                <w:sz w:val="20"/>
                <w:szCs w:val="20"/>
                <w:lang w:eastAsia="es-ES"/>
              </w:rPr>
              <w:t>allowing the reduction of energy consumption and/or</w:t>
            </w:r>
            <w:r w:rsidRPr="006C06AD">
              <w:rPr>
                <w:rFonts w:eastAsia="Cambria"/>
                <w:sz w:val="20"/>
                <w:szCs w:val="20"/>
                <w:lang w:eastAsia="es-ES"/>
              </w:rPr>
              <w:t xml:space="preserve"> </w:t>
            </w:r>
            <w:r w:rsidR="00012145" w:rsidRPr="006C06AD">
              <w:rPr>
                <w:rFonts w:eastAsia="Cambria"/>
                <w:sz w:val="20"/>
                <w:szCs w:val="20"/>
                <w:lang w:eastAsia="es-ES"/>
              </w:rPr>
              <w:t>fossil fuel consumption</w:t>
            </w:r>
          </w:p>
        </w:tc>
        <w:tc>
          <w:tcPr>
            <w:tcW w:w="2307" w:type="pct"/>
            <w:tcBorders>
              <w:bottom w:val="single" w:sz="4" w:space="0" w:color="auto"/>
            </w:tcBorders>
            <w:vAlign w:val="center"/>
          </w:tcPr>
          <w:p w14:paraId="6E197606" w14:textId="77777777" w:rsidR="00D23332" w:rsidRPr="006C06AD" w:rsidRDefault="00D23332">
            <w:pPr>
              <w:spacing w:after="0" w:line="240" w:lineRule="auto"/>
              <w:rPr>
                <w:rFonts w:eastAsia="Cambria"/>
                <w:sz w:val="20"/>
                <w:szCs w:val="20"/>
                <w:lang w:eastAsia="es-ES"/>
              </w:rPr>
            </w:pPr>
          </w:p>
        </w:tc>
      </w:tr>
      <w:tr w:rsidR="00D23332" w:rsidRPr="006C06AD" w14:paraId="2E711B68" w14:textId="77777777" w:rsidTr="00A81FD0">
        <w:trPr>
          <w:trHeight w:val="1628"/>
        </w:trPr>
        <w:tc>
          <w:tcPr>
            <w:tcW w:w="1056" w:type="pct"/>
            <w:tcBorders>
              <w:bottom w:val="single" w:sz="4" w:space="0" w:color="auto"/>
            </w:tcBorders>
            <w:shd w:val="clear" w:color="auto" w:fill="auto"/>
            <w:vAlign w:val="center"/>
          </w:tcPr>
          <w:p w14:paraId="4484F6A9" w14:textId="77777777" w:rsidR="00D23332" w:rsidRPr="006C06AD" w:rsidRDefault="00D23332" w:rsidP="007E1EF9">
            <w:pPr>
              <w:spacing w:after="0" w:line="240" w:lineRule="auto"/>
              <w:jc w:val="both"/>
              <w:rPr>
                <w:rFonts w:eastAsia="Cambria"/>
                <w:sz w:val="20"/>
                <w:szCs w:val="20"/>
                <w:lang w:eastAsia="es-ES"/>
              </w:rPr>
            </w:pPr>
            <w:r w:rsidRPr="006C06AD">
              <w:rPr>
                <w:rFonts w:eastAsia="Cambria"/>
                <w:sz w:val="20"/>
                <w:szCs w:val="20"/>
                <w:lang w:eastAsia="es-ES"/>
              </w:rPr>
              <w:t>Air conditioning</w:t>
            </w:r>
          </w:p>
        </w:tc>
        <w:tc>
          <w:tcPr>
            <w:tcW w:w="1637" w:type="pct"/>
            <w:tcBorders>
              <w:bottom w:val="single" w:sz="4" w:space="0" w:color="auto"/>
            </w:tcBorders>
            <w:vAlign w:val="center"/>
          </w:tcPr>
          <w:p w14:paraId="3BF789A9" w14:textId="77777777" w:rsidR="00D23332" w:rsidRPr="006C06AD" w:rsidRDefault="00D23332" w:rsidP="007E1EF9">
            <w:pPr>
              <w:spacing w:after="0" w:line="240" w:lineRule="auto"/>
              <w:jc w:val="both"/>
              <w:rPr>
                <w:rFonts w:eastAsia="Cambria"/>
                <w:sz w:val="20"/>
                <w:szCs w:val="20"/>
                <w:lang w:eastAsia="es-ES"/>
              </w:rPr>
            </w:pPr>
            <w:r w:rsidRPr="006C06AD">
              <w:rPr>
                <w:rFonts w:eastAsia="Cambria"/>
                <w:sz w:val="20"/>
                <w:szCs w:val="20"/>
                <w:lang w:eastAsia="es-ES"/>
              </w:rPr>
              <w:t>Substitution of old air-conditioning equipment with new energy efficient equipment that contain efficient, less polluting refrigerants (and no substances with high Ozone Depletion Potential)</w:t>
            </w:r>
          </w:p>
        </w:tc>
        <w:tc>
          <w:tcPr>
            <w:tcW w:w="2307" w:type="pct"/>
            <w:tcBorders>
              <w:bottom w:val="single" w:sz="4" w:space="0" w:color="auto"/>
            </w:tcBorders>
            <w:vAlign w:val="center"/>
          </w:tcPr>
          <w:p w14:paraId="2268F130"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compression systems with high grade materials.</w:t>
            </w:r>
          </w:p>
          <w:p w14:paraId="2EF97B48"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compressors with frequency variation</w:t>
            </w:r>
          </w:p>
          <w:p w14:paraId="33FB3F84"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improvements in evaporation systems for thermal load management</w:t>
            </w:r>
          </w:p>
          <w:p w14:paraId="48C073EF"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electronic expansion valve system</w:t>
            </w:r>
          </w:p>
          <w:p w14:paraId="1A2C6E85"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refrigerant leak detection systems</w:t>
            </w:r>
          </w:p>
          <w:p w14:paraId="35989DDD"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efficient, less polluting refrigerants</w:t>
            </w:r>
          </w:p>
          <w:p w14:paraId="3AECEDF1"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dehumidification systems</w:t>
            </w:r>
          </w:p>
        </w:tc>
      </w:tr>
      <w:tr w:rsidR="00D23332" w:rsidRPr="006C06AD" w14:paraId="4926B95A" w14:textId="77777777" w:rsidTr="00A81FD0">
        <w:trPr>
          <w:trHeight w:val="77"/>
        </w:trPr>
        <w:tc>
          <w:tcPr>
            <w:tcW w:w="1056" w:type="pct"/>
            <w:tcBorders>
              <w:top w:val="single" w:sz="4" w:space="0" w:color="auto"/>
              <w:bottom w:val="single" w:sz="4" w:space="0" w:color="auto"/>
            </w:tcBorders>
            <w:shd w:val="clear" w:color="auto" w:fill="auto"/>
            <w:vAlign w:val="center"/>
          </w:tcPr>
          <w:p w14:paraId="44352AFD" w14:textId="77777777" w:rsidR="00D23332" w:rsidRPr="006C06AD" w:rsidRDefault="00D23332" w:rsidP="007E1EF9">
            <w:pPr>
              <w:spacing w:after="0" w:line="240" w:lineRule="auto"/>
              <w:jc w:val="both"/>
              <w:rPr>
                <w:rFonts w:eastAsia="Cambria"/>
                <w:sz w:val="20"/>
                <w:szCs w:val="20"/>
                <w:lang w:eastAsia="es-ES"/>
              </w:rPr>
            </w:pPr>
            <w:r w:rsidRPr="006C06AD">
              <w:rPr>
                <w:sz w:val="20"/>
                <w:szCs w:val="20"/>
              </w:rPr>
              <w:t>Boilers</w:t>
            </w:r>
          </w:p>
        </w:tc>
        <w:tc>
          <w:tcPr>
            <w:tcW w:w="1637" w:type="pct"/>
            <w:tcBorders>
              <w:top w:val="single" w:sz="4" w:space="0" w:color="auto"/>
              <w:bottom w:val="single" w:sz="4" w:space="0" w:color="auto"/>
            </w:tcBorders>
            <w:vAlign w:val="center"/>
          </w:tcPr>
          <w:p w14:paraId="46BF0D51" w14:textId="77777777" w:rsidR="00D23332" w:rsidRPr="006C06AD" w:rsidRDefault="00D23332" w:rsidP="007E1EF9">
            <w:pPr>
              <w:spacing w:after="0" w:line="240" w:lineRule="auto"/>
              <w:jc w:val="both"/>
              <w:rPr>
                <w:rFonts w:eastAsia="Cambria"/>
                <w:sz w:val="20"/>
                <w:szCs w:val="20"/>
                <w:lang w:eastAsia="es-ES"/>
              </w:rPr>
            </w:pPr>
            <w:r w:rsidRPr="006C06AD">
              <w:rPr>
                <w:rFonts w:eastAsia="Cambria"/>
                <w:sz w:val="20"/>
                <w:szCs w:val="20"/>
                <w:lang w:eastAsia="es-ES"/>
              </w:rPr>
              <w:t>Replacement of old furnace/ boiler / water heater systems with new equipment consuming less fuel and/or energy.</w:t>
            </w:r>
          </w:p>
        </w:tc>
        <w:tc>
          <w:tcPr>
            <w:tcW w:w="2307" w:type="pct"/>
            <w:tcBorders>
              <w:top w:val="single" w:sz="4" w:space="0" w:color="auto"/>
              <w:bottom w:val="single" w:sz="4" w:space="0" w:color="auto"/>
            </w:tcBorders>
            <w:vAlign w:val="center"/>
          </w:tcPr>
          <w:p w14:paraId="2A6EBB5D"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gas heat recovery systems</w:t>
            </w:r>
          </w:p>
          <w:p w14:paraId="75169794"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condensate recovery systems</w:t>
            </w:r>
          </w:p>
          <w:p w14:paraId="7EC1FCD3"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completely automated safety and control devices</w:t>
            </w:r>
          </w:p>
          <w:p w14:paraId="730D38CA"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continuous monitoring of oxygen and exhaust gases</w:t>
            </w:r>
          </w:p>
          <w:p w14:paraId="5D488D40"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efficient fuel burners</w:t>
            </w:r>
          </w:p>
          <w:p w14:paraId="435FB16F"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high strength construction and insulation materials</w:t>
            </w:r>
          </w:p>
        </w:tc>
      </w:tr>
      <w:tr w:rsidR="00D23332" w:rsidRPr="006C06AD" w14:paraId="31A0ADAE" w14:textId="77777777" w:rsidTr="00A81FD0">
        <w:trPr>
          <w:trHeight w:val="77"/>
        </w:trPr>
        <w:tc>
          <w:tcPr>
            <w:tcW w:w="1056" w:type="pct"/>
            <w:tcBorders>
              <w:top w:val="single" w:sz="4" w:space="0" w:color="auto"/>
              <w:bottom w:val="single" w:sz="4" w:space="0" w:color="auto"/>
            </w:tcBorders>
            <w:shd w:val="clear" w:color="auto" w:fill="auto"/>
            <w:vAlign w:val="center"/>
          </w:tcPr>
          <w:p w14:paraId="6DA19D37" w14:textId="77777777" w:rsidR="00D23332" w:rsidRPr="006C06AD" w:rsidRDefault="00D23332" w:rsidP="007E1EF9">
            <w:pPr>
              <w:spacing w:after="120" w:line="276" w:lineRule="auto"/>
              <w:jc w:val="both"/>
              <w:rPr>
                <w:sz w:val="20"/>
                <w:szCs w:val="20"/>
              </w:rPr>
            </w:pPr>
            <w:r w:rsidRPr="006C06AD">
              <w:rPr>
                <w:sz w:val="20"/>
                <w:szCs w:val="20"/>
              </w:rPr>
              <w:t>Refrigeration chambers</w:t>
            </w:r>
          </w:p>
        </w:tc>
        <w:tc>
          <w:tcPr>
            <w:tcW w:w="1637" w:type="pct"/>
            <w:tcBorders>
              <w:top w:val="single" w:sz="4" w:space="0" w:color="auto"/>
              <w:bottom w:val="single" w:sz="4" w:space="0" w:color="auto"/>
            </w:tcBorders>
            <w:vAlign w:val="center"/>
          </w:tcPr>
          <w:p w14:paraId="6C1939EB" w14:textId="77777777" w:rsidR="00D23332" w:rsidRPr="006C06AD" w:rsidRDefault="00D23332" w:rsidP="007E1EF9">
            <w:pPr>
              <w:spacing w:after="0" w:line="240" w:lineRule="auto"/>
              <w:jc w:val="both"/>
              <w:rPr>
                <w:rFonts w:eastAsia="Cambria"/>
                <w:sz w:val="20"/>
                <w:szCs w:val="20"/>
                <w:lang w:eastAsia="es-ES"/>
              </w:rPr>
            </w:pPr>
            <w:r w:rsidRPr="006C06AD">
              <w:rPr>
                <w:rFonts w:eastAsia="Cambria"/>
                <w:sz w:val="20"/>
                <w:szCs w:val="20"/>
                <w:lang w:eastAsia="es-ES"/>
              </w:rPr>
              <w:t>Substitution of old equipmentwith new energy efficient equipment that contain efficient, less polluting refrigerants (and no substances with high Ozone Depletion Potential)</w:t>
            </w:r>
          </w:p>
        </w:tc>
        <w:tc>
          <w:tcPr>
            <w:tcW w:w="2307" w:type="pct"/>
            <w:tcBorders>
              <w:top w:val="single" w:sz="4" w:space="0" w:color="auto"/>
              <w:bottom w:val="single" w:sz="4" w:space="0" w:color="auto"/>
            </w:tcBorders>
            <w:vAlign w:val="center"/>
          </w:tcPr>
          <w:p w14:paraId="1ECFDECA"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high efficiency evaporator fans</w:t>
            </w:r>
          </w:p>
          <w:p w14:paraId="27A2ACF2"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high efficiency compression systems</w:t>
            </w:r>
          </w:p>
          <w:p w14:paraId="26D19748"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pressure, temperature, and humidity control systems</w:t>
            </w:r>
          </w:p>
          <w:p w14:paraId="51A5770D"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high grade materials for refrigeration doors and insulation</w:t>
            </w:r>
          </w:p>
          <w:p w14:paraId="53D51C04"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w:t>
            </w:r>
            <w:r w:rsidR="00A81FD0">
              <w:rPr>
                <w:rFonts w:eastAsia="Cambria"/>
                <w:sz w:val="20"/>
                <w:szCs w:val="20"/>
                <w:lang w:eastAsia="es-ES"/>
              </w:rPr>
              <w:t xml:space="preserve"> </w:t>
            </w:r>
            <w:r w:rsidRPr="006C06AD">
              <w:rPr>
                <w:rFonts w:eastAsia="Cambria"/>
                <w:sz w:val="20"/>
                <w:szCs w:val="20"/>
                <w:lang w:eastAsia="es-ES"/>
              </w:rPr>
              <w:t>pre-cooling and ante-chambers for management of air and heat</w:t>
            </w:r>
          </w:p>
        </w:tc>
      </w:tr>
      <w:tr w:rsidR="00D23332" w:rsidRPr="006C06AD" w14:paraId="2E9BD6AF" w14:textId="77777777" w:rsidTr="00A81FD0">
        <w:trPr>
          <w:trHeight w:val="77"/>
        </w:trPr>
        <w:tc>
          <w:tcPr>
            <w:tcW w:w="1056" w:type="pct"/>
            <w:tcBorders>
              <w:top w:val="single" w:sz="4" w:space="0" w:color="auto"/>
              <w:bottom w:val="single" w:sz="4" w:space="0" w:color="auto"/>
            </w:tcBorders>
            <w:shd w:val="clear" w:color="auto" w:fill="auto"/>
            <w:vAlign w:val="center"/>
          </w:tcPr>
          <w:p w14:paraId="7C33B916" w14:textId="77777777" w:rsidR="00D23332" w:rsidRPr="006C06AD" w:rsidRDefault="00D23332" w:rsidP="007E1EF9">
            <w:pPr>
              <w:spacing w:after="120" w:line="276" w:lineRule="auto"/>
              <w:jc w:val="both"/>
              <w:rPr>
                <w:sz w:val="20"/>
                <w:szCs w:val="20"/>
              </w:rPr>
            </w:pPr>
            <w:r w:rsidRPr="006C06AD">
              <w:rPr>
                <w:sz w:val="20"/>
                <w:szCs w:val="20"/>
              </w:rPr>
              <w:t>Motors</w:t>
            </w:r>
          </w:p>
        </w:tc>
        <w:tc>
          <w:tcPr>
            <w:tcW w:w="1637" w:type="pct"/>
            <w:tcBorders>
              <w:top w:val="single" w:sz="4" w:space="0" w:color="auto"/>
              <w:bottom w:val="single" w:sz="4" w:space="0" w:color="auto"/>
            </w:tcBorders>
            <w:vAlign w:val="center"/>
          </w:tcPr>
          <w:p w14:paraId="675068C4" w14:textId="77777777" w:rsidR="00D23332" w:rsidRPr="006C06AD" w:rsidRDefault="00D23332" w:rsidP="007E1EF9">
            <w:pPr>
              <w:spacing w:after="0" w:line="240" w:lineRule="auto"/>
              <w:jc w:val="both"/>
              <w:rPr>
                <w:rFonts w:eastAsia="Cambria"/>
                <w:sz w:val="20"/>
                <w:szCs w:val="20"/>
                <w:lang w:eastAsia="es-ES"/>
              </w:rPr>
            </w:pPr>
            <w:r w:rsidRPr="006C06AD">
              <w:rPr>
                <w:rFonts w:eastAsia="Cambria"/>
                <w:sz w:val="20"/>
                <w:szCs w:val="20"/>
                <w:lang w:eastAsia="es-ES"/>
              </w:rPr>
              <w:t>Replacement of old motors with new equipment consuming less fuel and/or energy.</w:t>
            </w:r>
          </w:p>
        </w:tc>
        <w:tc>
          <w:tcPr>
            <w:tcW w:w="2307" w:type="pct"/>
            <w:tcBorders>
              <w:top w:val="single" w:sz="4" w:space="0" w:color="auto"/>
              <w:bottom w:val="single" w:sz="4" w:space="0" w:color="auto"/>
            </w:tcBorders>
            <w:vAlign w:val="center"/>
          </w:tcPr>
          <w:p w14:paraId="12D01713" w14:textId="77777777" w:rsidR="00D23332" w:rsidRPr="006C06AD" w:rsidRDefault="00D23332">
            <w:pPr>
              <w:spacing w:after="0" w:line="240" w:lineRule="auto"/>
              <w:rPr>
                <w:rFonts w:eastAsia="Cambria"/>
                <w:sz w:val="20"/>
                <w:szCs w:val="20"/>
                <w:lang w:eastAsia="es-ES"/>
              </w:rPr>
            </w:pPr>
            <w:r w:rsidRPr="006C06AD">
              <w:rPr>
                <w:sz w:val="20"/>
                <w:szCs w:val="20"/>
              </w:rPr>
              <w:t xml:space="preserve">- </w:t>
            </w:r>
            <w:r w:rsidRPr="006C06AD">
              <w:rPr>
                <w:rFonts w:eastAsia="Cambria"/>
                <w:sz w:val="20"/>
                <w:szCs w:val="20"/>
                <w:lang w:eastAsia="es-ES"/>
              </w:rPr>
              <w:t>materials with high magnetic properties</w:t>
            </w:r>
          </w:p>
          <w:p w14:paraId="5411EEA5"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better quality construction materials</w:t>
            </w:r>
          </w:p>
          <w:p w14:paraId="4EFD195D"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lamination and gap reduction</w:t>
            </w:r>
          </w:p>
          <w:p w14:paraId="5EC2F46D"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lastRenderedPageBreak/>
              <w:t>- improvements in wire size and materials</w:t>
            </w:r>
          </w:p>
          <w:p w14:paraId="7827EC29" w14:textId="77777777" w:rsidR="00D23332" w:rsidRPr="006C06AD" w:rsidRDefault="00D23332">
            <w:pPr>
              <w:spacing w:after="0" w:line="240" w:lineRule="auto"/>
              <w:rPr>
                <w:rFonts w:eastAsia="Cambria"/>
                <w:sz w:val="20"/>
                <w:szCs w:val="20"/>
                <w:lang w:eastAsia="es-ES"/>
              </w:rPr>
            </w:pPr>
            <w:r w:rsidRPr="006C06AD">
              <w:rPr>
                <w:rFonts w:eastAsia="Cambria"/>
                <w:sz w:val="20"/>
                <w:szCs w:val="20"/>
                <w:lang w:eastAsia="es-ES"/>
              </w:rPr>
              <w:t>- high efficiency cooling systems and fans</w:t>
            </w:r>
          </w:p>
        </w:tc>
      </w:tr>
    </w:tbl>
    <w:p w14:paraId="2B87BFBB" w14:textId="77777777" w:rsidR="00D23332" w:rsidRPr="006C06AD" w:rsidRDefault="00D23332">
      <w:pPr>
        <w:pStyle w:val="ListParagraph"/>
        <w:tabs>
          <w:tab w:val="left" w:pos="720"/>
        </w:tabs>
        <w:spacing w:after="120"/>
        <w:ind w:left="360"/>
        <w:jc w:val="both"/>
        <w:rPr>
          <w:sz w:val="20"/>
          <w:szCs w:val="20"/>
        </w:rPr>
      </w:pPr>
    </w:p>
    <w:p w14:paraId="11D33FB4" w14:textId="77777777" w:rsidR="00012145" w:rsidRPr="006C06AD" w:rsidRDefault="00012145">
      <w:pPr>
        <w:pStyle w:val="Paragraph"/>
        <w:tabs>
          <w:tab w:val="clear" w:pos="720"/>
        </w:tabs>
        <w:spacing w:line="276" w:lineRule="auto"/>
        <w:ind w:left="0" w:firstLine="0"/>
        <w:rPr>
          <w:rFonts w:asciiTheme="minorHAnsi" w:hAnsiTheme="minorHAnsi"/>
          <w:sz w:val="20"/>
          <w:lang w:val="en-US"/>
        </w:rPr>
      </w:pPr>
      <w:r w:rsidRPr="006C06AD">
        <w:rPr>
          <w:rFonts w:asciiTheme="minorHAnsi" w:eastAsiaTheme="minorHAnsi" w:hAnsiTheme="minorHAnsi" w:cstheme="minorBidi"/>
          <w:sz w:val="20"/>
          <w:lang w:val="en-US"/>
        </w:rPr>
        <w:t xml:space="preserve">The feasibility study estimated the following </w:t>
      </w:r>
      <w:r w:rsidR="005D20C6" w:rsidRPr="006C06AD">
        <w:rPr>
          <w:rFonts w:asciiTheme="minorHAnsi" w:eastAsiaTheme="minorHAnsi" w:hAnsiTheme="minorHAnsi" w:cstheme="minorBidi"/>
          <w:sz w:val="20"/>
          <w:lang w:val="en-US"/>
        </w:rPr>
        <w:t xml:space="preserve">indicative </w:t>
      </w:r>
      <w:r w:rsidRPr="006C06AD">
        <w:rPr>
          <w:rFonts w:asciiTheme="minorHAnsi" w:eastAsiaTheme="minorHAnsi" w:hAnsiTheme="minorHAnsi" w:cstheme="minorBidi"/>
          <w:sz w:val="20"/>
          <w:lang w:val="en-US"/>
        </w:rPr>
        <w:t>expected demand and average sizes of sub-projects</w:t>
      </w:r>
      <w:r w:rsidR="005D20C6" w:rsidRPr="006C06AD">
        <w:rPr>
          <w:rStyle w:val="FootnoteReference"/>
          <w:rFonts w:asciiTheme="minorHAnsi" w:eastAsiaTheme="minorHAnsi" w:hAnsiTheme="minorHAnsi" w:cstheme="minorBidi"/>
          <w:sz w:val="20"/>
          <w:lang w:val="en-US"/>
        </w:rPr>
        <w:footnoteReference w:id="5"/>
      </w:r>
      <w:r w:rsidRPr="006C06AD">
        <w:rPr>
          <w:rFonts w:asciiTheme="minorHAnsi" w:eastAsiaTheme="minorHAnsi" w:hAnsiTheme="minorHAnsi" w:cstheme="minorBidi"/>
          <w:sz w:val="20"/>
          <w:lang w:val="en-US"/>
        </w:rPr>
        <w:t>:</w:t>
      </w:r>
    </w:p>
    <w:tbl>
      <w:tblPr>
        <w:tblW w:w="9252" w:type="dxa"/>
        <w:tblInd w:w="103" w:type="dxa"/>
        <w:tblLayout w:type="fixed"/>
        <w:tblLook w:val="04A0" w:firstRow="1" w:lastRow="0" w:firstColumn="1" w:lastColumn="0" w:noHBand="0" w:noVBand="1"/>
      </w:tblPr>
      <w:tblGrid>
        <w:gridCol w:w="2502"/>
        <w:gridCol w:w="1950"/>
        <w:gridCol w:w="2400"/>
        <w:gridCol w:w="2400"/>
      </w:tblGrid>
      <w:tr w:rsidR="00012145" w:rsidRPr="006C06AD" w14:paraId="132D7726" w14:textId="77777777" w:rsidTr="00672C33">
        <w:tc>
          <w:tcPr>
            <w:tcW w:w="2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3F9CE7" w14:textId="77777777" w:rsidR="00012145" w:rsidRPr="006C06AD" w:rsidRDefault="00012145" w:rsidP="00A81FD0">
            <w:pPr>
              <w:spacing w:after="0" w:line="276" w:lineRule="auto"/>
              <w:jc w:val="center"/>
              <w:rPr>
                <w:rFonts w:eastAsia="Times New Roman" w:cs="Arial"/>
                <w:b/>
                <w:bCs/>
                <w:color w:val="000000"/>
                <w:sz w:val="20"/>
                <w:szCs w:val="20"/>
              </w:rPr>
            </w:pPr>
            <w:r w:rsidRPr="006C06AD">
              <w:rPr>
                <w:rFonts w:eastAsia="Times New Roman" w:cs="Arial"/>
                <w:b/>
                <w:bCs/>
                <w:color w:val="000000"/>
                <w:sz w:val="20"/>
                <w:szCs w:val="20"/>
              </w:rPr>
              <w:t>Technology</w:t>
            </w:r>
          </w:p>
        </w:tc>
        <w:tc>
          <w:tcPr>
            <w:tcW w:w="1950" w:type="dxa"/>
            <w:tcBorders>
              <w:top w:val="single" w:sz="4" w:space="0" w:color="auto"/>
              <w:left w:val="nil"/>
              <w:bottom w:val="single" w:sz="4" w:space="0" w:color="auto"/>
              <w:right w:val="single" w:sz="4" w:space="0" w:color="auto"/>
            </w:tcBorders>
            <w:shd w:val="clear" w:color="auto" w:fill="D9D9D9" w:themeFill="background1" w:themeFillShade="D9"/>
            <w:hideMark/>
          </w:tcPr>
          <w:p w14:paraId="537332D1" w14:textId="77777777" w:rsidR="00012145" w:rsidRPr="006C06AD" w:rsidRDefault="00012145">
            <w:pPr>
              <w:spacing w:after="0" w:line="276" w:lineRule="auto"/>
              <w:jc w:val="center"/>
              <w:rPr>
                <w:rFonts w:eastAsia="Times New Roman" w:cs="Arial"/>
                <w:b/>
                <w:bCs/>
                <w:color w:val="000000"/>
                <w:sz w:val="20"/>
                <w:szCs w:val="20"/>
              </w:rPr>
            </w:pPr>
            <w:r w:rsidRPr="006C06AD">
              <w:rPr>
                <w:rFonts w:eastAsia="Times New Roman" w:cs="Arial"/>
                <w:b/>
                <w:bCs/>
                <w:color w:val="000000"/>
                <w:sz w:val="20"/>
                <w:szCs w:val="20"/>
              </w:rPr>
              <w:t xml:space="preserve">No. </w:t>
            </w:r>
            <w:r w:rsidR="0028758B">
              <w:rPr>
                <w:rFonts w:eastAsia="Times New Roman" w:cs="Arial"/>
                <w:b/>
                <w:bCs/>
                <w:color w:val="000000"/>
                <w:sz w:val="20"/>
                <w:szCs w:val="20"/>
              </w:rPr>
              <w:t>sub-p</w:t>
            </w:r>
            <w:r w:rsidRPr="006C06AD">
              <w:rPr>
                <w:rFonts w:eastAsia="Times New Roman" w:cs="Arial"/>
                <w:b/>
                <w:bCs/>
                <w:color w:val="000000"/>
                <w:sz w:val="20"/>
                <w:szCs w:val="20"/>
              </w:rPr>
              <w:t>rojects targeted</w:t>
            </w:r>
          </w:p>
        </w:tc>
        <w:tc>
          <w:tcPr>
            <w:tcW w:w="2400" w:type="dxa"/>
            <w:tcBorders>
              <w:top w:val="single" w:sz="4" w:space="0" w:color="auto"/>
              <w:left w:val="nil"/>
              <w:bottom w:val="single" w:sz="4" w:space="0" w:color="auto"/>
              <w:right w:val="single" w:sz="4" w:space="0" w:color="auto"/>
            </w:tcBorders>
            <w:shd w:val="clear" w:color="auto" w:fill="D9D9D9" w:themeFill="background1" w:themeFillShade="D9"/>
            <w:hideMark/>
          </w:tcPr>
          <w:p w14:paraId="05716128" w14:textId="77777777" w:rsidR="00012145" w:rsidRPr="006C06AD" w:rsidRDefault="00012145">
            <w:pPr>
              <w:spacing w:after="0" w:line="276" w:lineRule="auto"/>
              <w:jc w:val="center"/>
              <w:rPr>
                <w:rFonts w:eastAsia="Times New Roman" w:cs="Arial"/>
                <w:b/>
                <w:bCs/>
                <w:color w:val="000000"/>
                <w:sz w:val="20"/>
                <w:szCs w:val="20"/>
              </w:rPr>
            </w:pPr>
            <w:r w:rsidRPr="006C06AD">
              <w:rPr>
                <w:rFonts w:eastAsia="Times New Roman" w:cs="Arial"/>
                <w:b/>
                <w:bCs/>
                <w:color w:val="000000"/>
                <w:sz w:val="20"/>
                <w:szCs w:val="20"/>
              </w:rPr>
              <w:t>Average power capacity per plant</w:t>
            </w:r>
          </w:p>
        </w:tc>
        <w:tc>
          <w:tcPr>
            <w:tcW w:w="2400" w:type="dxa"/>
            <w:tcBorders>
              <w:top w:val="single" w:sz="4" w:space="0" w:color="auto"/>
              <w:left w:val="nil"/>
              <w:bottom w:val="single" w:sz="4" w:space="0" w:color="auto"/>
              <w:right w:val="single" w:sz="4" w:space="0" w:color="auto"/>
            </w:tcBorders>
            <w:shd w:val="clear" w:color="auto" w:fill="D9D9D9" w:themeFill="background1" w:themeFillShade="D9"/>
            <w:hideMark/>
          </w:tcPr>
          <w:p w14:paraId="69A8FE37" w14:textId="77777777" w:rsidR="00012145" w:rsidRPr="006C06AD" w:rsidRDefault="00012145">
            <w:pPr>
              <w:spacing w:after="0" w:line="276" w:lineRule="auto"/>
              <w:jc w:val="center"/>
              <w:rPr>
                <w:rFonts w:eastAsia="Times New Roman" w:cs="Arial"/>
                <w:b/>
                <w:bCs/>
                <w:color w:val="000000"/>
                <w:sz w:val="20"/>
                <w:szCs w:val="20"/>
              </w:rPr>
            </w:pPr>
            <w:r w:rsidRPr="006C06AD">
              <w:rPr>
                <w:rFonts w:eastAsia="Times New Roman" w:cs="Arial"/>
                <w:b/>
                <w:bCs/>
                <w:color w:val="000000"/>
                <w:sz w:val="20"/>
                <w:szCs w:val="20"/>
              </w:rPr>
              <w:t>Average size of sub-project (USD)</w:t>
            </w:r>
          </w:p>
        </w:tc>
      </w:tr>
      <w:tr w:rsidR="00012145" w:rsidRPr="006C06AD" w14:paraId="1D025ECC" w14:textId="77777777" w:rsidTr="00F877B3">
        <w:trPr>
          <w:trHeight w:val="312"/>
        </w:trPr>
        <w:tc>
          <w:tcPr>
            <w:tcW w:w="2502" w:type="dxa"/>
            <w:tcBorders>
              <w:top w:val="nil"/>
              <w:left w:val="single" w:sz="4" w:space="0" w:color="auto"/>
              <w:bottom w:val="single" w:sz="4" w:space="0" w:color="auto"/>
              <w:right w:val="single" w:sz="4" w:space="0" w:color="auto"/>
            </w:tcBorders>
            <w:shd w:val="clear" w:color="auto" w:fill="auto"/>
            <w:vAlign w:val="bottom"/>
            <w:hideMark/>
          </w:tcPr>
          <w:p w14:paraId="5240A73F" w14:textId="77777777" w:rsidR="00012145" w:rsidRPr="006C06AD" w:rsidRDefault="00012145" w:rsidP="00C17775">
            <w:pPr>
              <w:spacing w:after="0" w:line="276" w:lineRule="auto"/>
              <w:jc w:val="both"/>
              <w:rPr>
                <w:rFonts w:eastAsia="Times New Roman" w:cs="Arial"/>
                <w:color w:val="000000"/>
                <w:sz w:val="20"/>
                <w:szCs w:val="20"/>
              </w:rPr>
            </w:pPr>
            <w:r w:rsidRPr="006C06AD">
              <w:rPr>
                <w:rFonts w:eastAsia="Times New Roman" w:cs="Arial"/>
                <w:color w:val="000000"/>
                <w:sz w:val="20"/>
                <w:szCs w:val="20"/>
              </w:rPr>
              <w:t>Cogeneration</w:t>
            </w:r>
          </w:p>
        </w:tc>
        <w:tc>
          <w:tcPr>
            <w:tcW w:w="1950" w:type="dxa"/>
            <w:tcBorders>
              <w:top w:val="nil"/>
              <w:left w:val="nil"/>
              <w:bottom w:val="single" w:sz="4" w:space="0" w:color="auto"/>
              <w:right w:val="single" w:sz="4" w:space="0" w:color="auto"/>
            </w:tcBorders>
            <w:shd w:val="clear" w:color="auto" w:fill="auto"/>
            <w:vAlign w:val="bottom"/>
            <w:hideMark/>
          </w:tcPr>
          <w:p w14:paraId="155D0FCE" w14:textId="77777777" w:rsidR="00012145" w:rsidRPr="006C06AD" w:rsidRDefault="00012145" w:rsidP="00C17775">
            <w:pPr>
              <w:spacing w:after="0" w:line="276" w:lineRule="auto"/>
              <w:jc w:val="both"/>
              <w:rPr>
                <w:rFonts w:eastAsia="Times New Roman" w:cs="Arial"/>
                <w:color w:val="000000"/>
                <w:sz w:val="20"/>
                <w:szCs w:val="20"/>
              </w:rPr>
            </w:pPr>
            <w:r w:rsidRPr="006C06AD">
              <w:rPr>
                <w:rFonts w:eastAsia="Times New Roman" w:cs="Arial"/>
                <w:color w:val="000000"/>
                <w:sz w:val="20"/>
                <w:szCs w:val="20"/>
              </w:rPr>
              <w:t> </w:t>
            </w:r>
          </w:p>
        </w:tc>
        <w:tc>
          <w:tcPr>
            <w:tcW w:w="2400" w:type="dxa"/>
            <w:tcBorders>
              <w:top w:val="nil"/>
              <w:left w:val="nil"/>
              <w:bottom w:val="single" w:sz="4" w:space="0" w:color="auto"/>
              <w:right w:val="single" w:sz="4" w:space="0" w:color="auto"/>
            </w:tcBorders>
            <w:shd w:val="clear" w:color="auto" w:fill="auto"/>
            <w:vAlign w:val="bottom"/>
            <w:hideMark/>
          </w:tcPr>
          <w:p w14:paraId="2E34053D" w14:textId="77777777" w:rsidR="00012145" w:rsidRPr="006C06AD" w:rsidRDefault="00012145" w:rsidP="00C17775">
            <w:pPr>
              <w:spacing w:after="0" w:line="276" w:lineRule="auto"/>
              <w:jc w:val="both"/>
              <w:rPr>
                <w:rFonts w:eastAsia="Times New Roman" w:cs="Arial"/>
                <w:b/>
                <w:bCs/>
                <w:color w:val="000000"/>
                <w:sz w:val="20"/>
                <w:szCs w:val="20"/>
              </w:rPr>
            </w:pPr>
            <w:r w:rsidRPr="006C06AD">
              <w:rPr>
                <w:rFonts w:eastAsia="Times New Roman" w:cs="Arial"/>
                <w:b/>
                <w:bCs/>
                <w:color w:val="000000"/>
                <w:sz w:val="20"/>
                <w:szCs w:val="20"/>
              </w:rPr>
              <w:t> </w:t>
            </w:r>
          </w:p>
        </w:tc>
        <w:tc>
          <w:tcPr>
            <w:tcW w:w="2400" w:type="dxa"/>
            <w:tcBorders>
              <w:top w:val="nil"/>
              <w:left w:val="nil"/>
              <w:bottom w:val="single" w:sz="4" w:space="0" w:color="auto"/>
              <w:right w:val="single" w:sz="4" w:space="0" w:color="auto"/>
            </w:tcBorders>
            <w:shd w:val="clear" w:color="auto" w:fill="auto"/>
            <w:vAlign w:val="bottom"/>
            <w:hideMark/>
          </w:tcPr>
          <w:p w14:paraId="1CB9BFDE" w14:textId="77777777" w:rsidR="00012145" w:rsidRPr="006C06AD" w:rsidRDefault="00012145" w:rsidP="00C17775">
            <w:pPr>
              <w:spacing w:after="0" w:line="276" w:lineRule="auto"/>
              <w:jc w:val="both"/>
              <w:rPr>
                <w:rFonts w:eastAsia="Times New Roman" w:cs="Arial"/>
                <w:b/>
                <w:bCs/>
                <w:color w:val="000000"/>
                <w:sz w:val="20"/>
                <w:szCs w:val="20"/>
              </w:rPr>
            </w:pPr>
            <w:r w:rsidRPr="006C06AD">
              <w:rPr>
                <w:rFonts w:eastAsia="Times New Roman" w:cs="Arial"/>
                <w:b/>
                <w:bCs/>
                <w:color w:val="000000"/>
                <w:sz w:val="20"/>
                <w:szCs w:val="20"/>
              </w:rPr>
              <w:t> </w:t>
            </w:r>
          </w:p>
        </w:tc>
      </w:tr>
      <w:tr w:rsidR="00F61838" w:rsidRPr="006C06AD" w14:paraId="3B5573FA" w14:textId="77777777" w:rsidTr="00F877B3">
        <w:trPr>
          <w:trHeight w:val="312"/>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7EFB85F5" w14:textId="77777777" w:rsidR="00F61838" w:rsidRPr="006C06AD" w:rsidRDefault="00F61838" w:rsidP="00C17775">
            <w:pPr>
              <w:spacing w:after="0" w:line="276" w:lineRule="auto"/>
              <w:ind w:firstLineChars="100" w:firstLine="200"/>
              <w:jc w:val="both"/>
              <w:rPr>
                <w:rFonts w:eastAsia="Times New Roman" w:cs="Arial"/>
                <w:i/>
                <w:iCs/>
                <w:color w:val="000000"/>
                <w:sz w:val="20"/>
                <w:szCs w:val="20"/>
              </w:rPr>
            </w:pPr>
            <w:r w:rsidRPr="006C06AD">
              <w:rPr>
                <w:rFonts w:eastAsia="Times New Roman" w:cs="Arial"/>
                <w:i/>
                <w:iCs/>
                <w:color w:val="000000"/>
                <w:sz w:val="20"/>
                <w:szCs w:val="20"/>
              </w:rPr>
              <w:t>Pig farms waste</w:t>
            </w:r>
          </w:p>
        </w:tc>
        <w:tc>
          <w:tcPr>
            <w:tcW w:w="1950" w:type="dxa"/>
            <w:tcBorders>
              <w:top w:val="nil"/>
              <w:left w:val="nil"/>
              <w:bottom w:val="single" w:sz="4" w:space="0" w:color="auto"/>
              <w:right w:val="single" w:sz="4" w:space="0" w:color="auto"/>
            </w:tcBorders>
            <w:shd w:val="clear" w:color="auto" w:fill="auto"/>
            <w:noWrap/>
            <w:vAlign w:val="bottom"/>
            <w:hideMark/>
          </w:tcPr>
          <w:p w14:paraId="124EFDA5" w14:textId="77777777" w:rsidR="00F61838" w:rsidRPr="006C06AD" w:rsidRDefault="00F61838" w:rsidP="00C17775">
            <w:pPr>
              <w:spacing w:after="0" w:line="276" w:lineRule="auto"/>
              <w:jc w:val="both"/>
              <w:rPr>
                <w:rFonts w:eastAsia="Times New Roman" w:cs="Arial"/>
                <w:i/>
                <w:iCs/>
                <w:color w:val="000000"/>
                <w:sz w:val="20"/>
                <w:szCs w:val="20"/>
              </w:rPr>
            </w:pPr>
            <w:r w:rsidRPr="006C06AD">
              <w:rPr>
                <w:rFonts w:eastAsia="Times New Roman" w:cs="Arial"/>
                <w:iCs/>
                <w:color w:val="000000"/>
                <w:sz w:val="20"/>
                <w:szCs w:val="20"/>
              </w:rPr>
              <w:t>449 [954]</w:t>
            </w:r>
          </w:p>
        </w:tc>
        <w:tc>
          <w:tcPr>
            <w:tcW w:w="2400" w:type="dxa"/>
            <w:tcBorders>
              <w:top w:val="nil"/>
              <w:left w:val="nil"/>
              <w:bottom w:val="single" w:sz="4" w:space="0" w:color="auto"/>
              <w:right w:val="single" w:sz="4" w:space="0" w:color="auto"/>
            </w:tcBorders>
            <w:shd w:val="clear" w:color="auto" w:fill="auto"/>
            <w:noWrap/>
            <w:vAlign w:val="bottom"/>
            <w:hideMark/>
          </w:tcPr>
          <w:p w14:paraId="7B655D4F" w14:textId="77777777" w:rsidR="00F61838" w:rsidRPr="006C06AD" w:rsidRDefault="00F61838" w:rsidP="00C17775">
            <w:pPr>
              <w:spacing w:after="0" w:line="276" w:lineRule="auto"/>
              <w:jc w:val="both"/>
              <w:rPr>
                <w:rFonts w:eastAsia="Times New Roman" w:cs="Arial"/>
                <w:color w:val="000000"/>
                <w:sz w:val="20"/>
                <w:szCs w:val="20"/>
              </w:rPr>
            </w:pPr>
            <w:r w:rsidRPr="006C06AD">
              <w:rPr>
                <w:rFonts w:eastAsia="Times New Roman" w:cs="Arial"/>
                <w:color w:val="000000"/>
                <w:sz w:val="20"/>
                <w:szCs w:val="20"/>
              </w:rPr>
              <w:t>37.07kW</w:t>
            </w:r>
          </w:p>
        </w:tc>
        <w:tc>
          <w:tcPr>
            <w:tcW w:w="2400" w:type="dxa"/>
            <w:tcBorders>
              <w:top w:val="nil"/>
              <w:left w:val="nil"/>
              <w:bottom w:val="single" w:sz="4" w:space="0" w:color="auto"/>
              <w:right w:val="single" w:sz="4" w:space="0" w:color="auto"/>
            </w:tcBorders>
            <w:shd w:val="clear" w:color="auto" w:fill="auto"/>
            <w:noWrap/>
            <w:vAlign w:val="bottom"/>
            <w:hideMark/>
          </w:tcPr>
          <w:p w14:paraId="7AB98CA4" w14:textId="77777777" w:rsidR="00F61838" w:rsidRPr="006C06AD" w:rsidRDefault="00F61838" w:rsidP="00C17775">
            <w:pPr>
              <w:spacing w:after="0" w:line="276" w:lineRule="auto"/>
              <w:jc w:val="both"/>
              <w:rPr>
                <w:rFonts w:eastAsia="Times New Roman" w:cs="Arial"/>
                <w:color w:val="000000"/>
                <w:sz w:val="20"/>
                <w:szCs w:val="20"/>
              </w:rPr>
            </w:pPr>
            <w:r w:rsidRPr="006C06AD">
              <w:rPr>
                <w:rFonts w:eastAsia="Times New Roman" w:cs="Arial"/>
                <w:color w:val="000000"/>
                <w:sz w:val="20"/>
                <w:szCs w:val="20"/>
              </w:rPr>
              <w:t>75,000</w:t>
            </w:r>
          </w:p>
        </w:tc>
      </w:tr>
      <w:tr w:rsidR="00F61838" w:rsidRPr="006C06AD" w14:paraId="287DAB2A" w14:textId="77777777" w:rsidTr="00F877B3">
        <w:trPr>
          <w:trHeight w:val="312"/>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584F1629" w14:textId="77777777" w:rsidR="00F61838" w:rsidRPr="006C06AD" w:rsidRDefault="00F61838" w:rsidP="00C17775">
            <w:pPr>
              <w:spacing w:after="0" w:line="276" w:lineRule="auto"/>
              <w:ind w:firstLineChars="100" w:firstLine="200"/>
              <w:jc w:val="both"/>
              <w:rPr>
                <w:rFonts w:eastAsia="Times New Roman" w:cs="Arial"/>
                <w:i/>
                <w:iCs/>
                <w:color w:val="000000"/>
                <w:sz w:val="20"/>
                <w:szCs w:val="20"/>
              </w:rPr>
            </w:pPr>
            <w:r w:rsidRPr="006C06AD">
              <w:rPr>
                <w:rFonts w:eastAsia="Times New Roman" w:cs="Arial"/>
                <w:i/>
                <w:iCs/>
                <w:color w:val="000000"/>
                <w:sz w:val="20"/>
                <w:szCs w:val="20"/>
              </w:rPr>
              <w:t>Livestock (feedlot) waste</w:t>
            </w:r>
          </w:p>
        </w:tc>
        <w:tc>
          <w:tcPr>
            <w:tcW w:w="1950" w:type="dxa"/>
            <w:tcBorders>
              <w:top w:val="nil"/>
              <w:left w:val="nil"/>
              <w:bottom w:val="single" w:sz="4" w:space="0" w:color="auto"/>
              <w:right w:val="single" w:sz="4" w:space="0" w:color="auto"/>
            </w:tcBorders>
            <w:shd w:val="clear" w:color="auto" w:fill="auto"/>
            <w:noWrap/>
            <w:vAlign w:val="bottom"/>
            <w:hideMark/>
          </w:tcPr>
          <w:p w14:paraId="6D1202A7" w14:textId="77777777" w:rsidR="00F61838" w:rsidRPr="006C06AD" w:rsidRDefault="00F61838" w:rsidP="00C17775">
            <w:pPr>
              <w:spacing w:after="0" w:line="276" w:lineRule="auto"/>
              <w:jc w:val="both"/>
              <w:rPr>
                <w:rFonts w:eastAsia="Times New Roman" w:cs="Arial"/>
                <w:i/>
                <w:iCs/>
                <w:color w:val="000000"/>
                <w:sz w:val="20"/>
                <w:szCs w:val="20"/>
              </w:rPr>
            </w:pPr>
            <w:r w:rsidRPr="006C06AD">
              <w:rPr>
                <w:rFonts w:eastAsia="Times New Roman" w:cs="Arial"/>
                <w:iCs/>
                <w:color w:val="000000"/>
                <w:sz w:val="20"/>
                <w:szCs w:val="20"/>
              </w:rPr>
              <w:t>20 [43]</w:t>
            </w:r>
          </w:p>
        </w:tc>
        <w:tc>
          <w:tcPr>
            <w:tcW w:w="2400" w:type="dxa"/>
            <w:tcBorders>
              <w:top w:val="nil"/>
              <w:left w:val="nil"/>
              <w:bottom w:val="single" w:sz="4" w:space="0" w:color="auto"/>
              <w:right w:val="single" w:sz="4" w:space="0" w:color="auto"/>
            </w:tcBorders>
            <w:shd w:val="clear" w:color="auto" w:fill="auto"/>
            <w:noWrap/>
            <w:vAlign w:val="bottom"/>
            <w:hideMark/>
          </w:tcPr>
          <w:p w14:paraId="66FC9FC0" w14:textId="77777777" w:rsidR="00F61838" w:rsidRPr="006C06AD" w:rsidRDefault="00F61838" w:rsidP="00C17775">
            <w:pPr>
              <w:spacing w:after="0" w:line="276" w:lineRule="auto"/>
              <w:jc w:val="both"/>
              <w:rPr>
                <w:rFonts w:eastAsia="Times New Roman" w:cs="Arial"/>
                <w:color w:val="000000"/>
                <w:sz w:val="20"/>
                <w:szCs w:val="20"/>
              </w:rPr>
            </w:pPr>
            <w:r w:rsidRPr="006C06AD">
              <w:rPr>
                <w:rFonts w:eastAsia="Times New Roman" w:cs="Arial"/>
                <w:color w:val="000000"/>
                <w:sz w:val="20"/>
                <w:szCs w:val="20"/>
              </w:rPr>
              <w:t>194kW</w:t>
            </w:r>
          </w:p>
        </w:tc>
        <w:tc>
          <w:tcPr>
            <w:tcW w:w="2400" w:type="dxa"/>
            <w:tcBorders>
              <w:top w:val="nil"/>
              <w:left w:val="nil"/>
              <w:bottom w:val="single" w:sz="4" w:space="0" w:color="auto"/>
              <w:right w:val="single" w:sz="4" w:space="0" w:color="auto"/>
            </w:tcBorders>
            <w:shd w:val="clear" w:color="auto" w:fill="auto"/>
            <w:noWrap/>
            <w:vAlign w:val="bottom"/>
            <w:hideMark/>
          </w:tcPr>
          <w:p w14:paraId="048975ED" w14:textId="77777777" w:rsidR="00F61838" w:rsidRPr="006C06AD" w:rsidRDefault="00F61838" w:rsidP="00C17775">
            <w:pPr>
              <w:spacing w:after="0" w:line="276" w:lineRule="auto"/>
              <w:jc w:val="both"/>
              <w:rPr>
                <w:rFonts w:eastAsia="Times New Roman" w:cs="Arial"/>
                <w:color w:val="000000"/>
                <w:sz w:val="20"/>
                <w:szCs w:val="20"/>
              </w:rPr>
            </w:pPr>
            <w:r w:rsidRPr="006C06AD">
              <w:rPr>
                <w:rFonts w:eastAsia="Times New Roman" w:cs="Arial"/>
                <w:color w:val="000000"/>
                <w:sz w:val="20"/>
                <w:szCs w:val="20"/>
              </w:rPr>
              <w:t>700,000</w:t>
            </w:r>
          </w:p>
        </w:tc>
      </w:tr>
      <w:tr w:rsidR="00F61838" w:rsidRPr="006C06AD" w14:paraId="3144B47F" w14:textId="77777777" w:rsidTr="00F877B3">
        <w:trPr>
          <w:trHeight w:val="312"/>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781C2838" w14:textId="77777777" w:rsidR="00F61838" w:rsidRPr="006C06AD" w:rsidRDefault="00F61838" w:rsidP="00C17775">
            <w:pPr>
              <w:spacing w:after="0" w:line="276" w:lineRule="auto"/>
              <w:ind w:firstLineChars="100" w:firstLine="200"/>
              <w:jc w:val="both"/>
              <w:rPr>
                <w:rFonts w:eastAsia="Times New Roman" w:cs="Arial"/>
                <w:i/>
                <w:iCs/>
                <w:color w:val="000000"/>
                <w:sz w:val="20"/>
                <w:szCs w:val="20"/>
              </w:rPr>
            </w:pPr>
            <w:r w:rsidRPr="006C06AD">
              <w:rPr>
                <w:rFonts w:eastAsia="Times New Roman" w:cs="Arial"/>
                <w:i/>
                <w:iCs/>
                <w:color w:val="000000"/>
                <w:sz w:val="20"/>
                <w:szCs w:val="20"/>
              </w:rPr>
              <w:t>Agroindustry waste</w:t>
            </w:r>
          </w:p>
        </w:tc>
        <w:tc>
          <w:tcPr>
            <w:tcW w:w="1950" w:type="dxa"/>
            <w:tcBorders>
              <w:top w:val="nil"/>
              <w:left w:val="nil"/>
              <w:bottom w:val="single" w:sz="4" w:space="0" w:color="auto"/>
              <w:right w:val="single" w:sz="4" w:space="0" w:color="auto"/>
            </w:tcBorders>
            <w:shd w:val="clear" w:color="auto" w:fill="auto"/>
            <w:noWrap/>
            <w:vAlign w:val="bottom"/>
            <w:hideMark/>
          </w:tcPr>
          <w:p w14:paraId="6B3FF4DC" w14:textId="77777777" w:rsidR="00F61838" w:rsidRPr="006C06AD" w:rsidRDefault="00F61838" w:rsidP="00C17775">
            <w:pPr>
              <w:spacing w:after="0" w:line="276" w:lineRule="auto"/>
              <w:jc w:val="both"/>
              <w:rPr>
                <w:rFonts w:eastAsia="Times New Roman" w:cs="Arial"/>
                <w:i/>
                <w:iCs/>
                <w:color w:val="000000"/>
                <w:sz w:val="20"/>
                <w:szCs w:val="20"/>
              </w:rPr>
            </w:pPr>
            <w:r w:rsidRPr="006C06AD">
              <w:rPr>
                <w:rFonts w:eastAsia="Times New Roman" w:cs="Arial"/>
                <w:iCs/>
                <w:color w:val="000000"/>
                <w:sz w:val="20"/>
                <w:szCs w:val="20"/>
              </w:rPr>
              <w:t>168 [357]</w:t>
            </w:r>
          </w:p>
        </w:tc>
        <w:tc>
          <w:tcPr>
            <w:tcW w:w="2400" w:type="dxa"/>
            <w:tcBorders>
              <w:top w:val="nil"/>
              <w:left w:val="nil"/>
              <w:bottom w:val="single" w:sz="4" w:space="0" w:color="auto"/>
              <w:right w:val="single" w:sz="4" w:space="0" w:color="auto"/>
            </w:tcBorders>
            <w:shd w:val="clear" w:color="auto" w:fill="auto"/>
            <w:noWrap/>
            <w:vAlign w:val="bottom"/>
            <w:hideMark/>
          </w:tcPr>
          <w:p w14:paraId="0FA19A54" w14:textId="77777777" w:rsidR="00F61838" w:rsidRPr="006C06AD" w:rsidRDefault="00F61838" w:rsidP="00C17775">
            <w:pPr>
              <w:spacing w:after="0" w:line="276" w:lineRule="auto"/>
              <w:jc w:val="both"/>
              <w:rPr>
                <w:rFonts w:eastAsia="Times New Roman" w:cs="Arial"/>
                <w:color w:val="000000"/>
                <w:sz w:val="20"/>
                <w:szCs w:val="20"/>
              </w:rPr>
            </w:pPr>
            <w:r w:rsidRPr="006C06AD">
              <w:rPr>
                <w:rFonts w:eastAsia="Times New Roman" w:cs="Arial"/>
                <w:color w:val="000000"/>
                <w:sz w:val="20"/>
                <w:szCs w:val="20"/>
              </w:rPr>
              <w:t>50kW</w:t>
            </w:r>
          </w:p>
        </w:tc>
        <w:tc>
          <w:tcPr>
            <w:tcW w:w="2400" w:type="dxa"/>
            <w:tcBorders>
              <w:top w:val="nil"/>
              <w:left w:val="nil"/>
              <w:bottom w:val="single" w:sz="4" w:space="0" w:color="auto"/>
              <w:right w:val="single" w:sz="4" w:space="0" w:color="auto"/>
            </w:tcBorders>
            <w:shd w:val="clear" w:color="auto" w:fill="auto"/>
            <w:noWrap/>
            <w:vAlign w:val="bottom"/>
            <w:hideMark/>
          </w:tcPr>
          <w:p w14:paraId="45AA4C7A" w14:textId="77777777" w:rsidR="00F61838" w:rsidRPr="006C06AD" w:rsidRDefault="00F61838" w:rsidP="00C17775">
            <w:pPr>
              <w:spacing w:after="0" w:line="276" w:lineRule="auto"/>
              <w:jc w:val="both"/>
              <w:rPr>
                <w:rFonts w:eastAsia="Times New Roman" w:cs="Arial"/>
                <w:color w:val="000000"/>
                <w:sz w:val="20"/>
                <w:szCs w:val="20"/>
              </w:rPr>
            </w:pPr>
            <w:r w:rsidRPr="006C06AD">
              <w:rPr>
                <w:rFonts w:eastAsia="Times New Roman" w:cs="Arial"/>
                <w:color w:val="000000"/>
                <w:sz w:val="20"/>
                <w:szCs w:val="20"/>
              </w:rPr>
              <w:t>175,000</w:t>
            </w:r>
          </w:p>
        </w:tc>
      </w:tr>
      <w:tr w:rsidR="00F61838" w:rsidRPr="006C06AD" w14:paraId="22FC662F" w14:textId="77777777" w:rsidTr="00F877B3">
        <w:trPr>
          <w:trHeight w:val="312"/>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33CD2D40" w14:textId="77777777" w:rsidR="00F61838" w:rsidRPr="006C06AD" w:rsidRDefault="00F61838" w:rsidP="00C17775">
            <w:pPr>
              <w:spacing w:after="0" w:line="276" w:lineRule="auto"/>
              <w:ind w:firstLineChars="100" w:firstLine="200"/>
              <w:jc w:val="both"/>
              <w:rPr>
                <w:rFonts w:eastAsia="Times New Roman" w:cs="Arial"/>
                <w:i/>
                <w:iCs/>
                <w:color w:val="000000"/>
                <w:sz w:val="20"/>
                <w:szCs w:val="20"/>
              </w:rPr>
            </w:pPr>
            <w:r w:rsidRPr="006C06AD">
              <w:rPr>
                <w:rFonts w:eastAsia="Times New Roman" w:cs="Arial"/>
                <w:i/>
                <w:iCs/>
                <w:color w:val="000000"/>
                <w:sz w:val="20"/>
                <w:szCs w:val="20"/>
              </w:rPr>
              <w:t>Agricultural waste</w:t>
            </w:r>
          </w:p>
        </w:tc>
        <w:tc>
          <w:tcPr>
            <w:tcW w:w="1950" w:type="dxa"/>
            <w:tcBorders>
              <w:top w:val="nil"/>
              <w:left w:val="nil"/>
              <w:bottom w:val="single" w:sz="4" w:space="0" w:color="auto"/>
              <w:right w:val="single" w:sz="4" w:space="0" w:color="auto"/>
            </w:tcBorders>
            <w:shd w:val="clear" w:color="auto" w:fill="auto"/>
            <w:noWrap/>
            <w:vAlign w:val="bottom"/>
            <w:hideMark/>
          </w:tcPr>
          <w:p w14:paraId="614DC42B" w14:textId="77777777" w:rsidR="00F61838" w:rsidRPr="006C06AD" w:rsidRDefault="00F61838" w:rsidP="00C17775">
            <w:pPr>
              <w:spacing w:after="0" w:line="276" w:lineRule="auto"/>
              <w:ind w:firstLineChars="100" w:firstLine="200"/>
              <w:jc w:val="both"/>
              <w:rPr>
                <w:rFonts w:eastAsia="Times New Roman" w:cs="Arial"/>
                <w:i/>
                <w:iCs/>
                <w:color w:val="000000"/>
                <w:sz w:val="20"/>
                <w:szCs w:val="20"/>
              </w:rPr>
            </w:pPr>
            <w:r w:rsidRPr="006C06AD">
              <w:rPr>
                <w:rFonts w:eastAsia="Times New Roman" w:cs="Arial"/>
                <w:color w:val="000000"/>
                <w:sz w:val="20"/>
                <w:szCs w:val="20"/>
              </w:rPr>
              <w:t>12 [21]</w:t>
            </w:r>
          </w:p>
        </w:tc>
        <w:tc>
          <w:tcPr>
            <w:tcW w:w="2400" w:type="dxa"/>
            <w:tcBorders>
              <w:top w:val="nil"/>
              <w:left w:val="nil"/>
              <w:bottom w:val="single" w:sz="4" w:space="0" w:color="auto"/>
              <w:right w:val="single" w:sz="4" w:space="0" w:color="auto"/>
            </w:tcBorders>
            <w:shd w:val="clear" w:color="auto" w:fill="auto"/>
            <w:noWrap/>
            <w:vAlign w:val="bottom"/>
            <w:hideMark/>
          </w:tcPr>
          <w:p w14:paraId="7F6B903E" w14:textId="77777777" w:rsidR="00F61838" w:rsidRPr="006C06AD" w:rsidRDefault="00F61838" w:rsidP="00C17775">
            <w:pPr>
              <w:spacing w:after="0" w:line="276" w:lineRule="auto"/>
              <w:ind w:firstLineChars="100" w:firstLine="200"/>
              <w:jc w:val="both"/>
              <w:rPr>
                <w:rFonts w:eastAsia="Times New Roman" w:cs="Arial"/>
                <w:iCs/>
                <w:color w:val="000000"/>
                <w:sz w:val="20"/>
                <w:szCs w:val="20"/>
              </w:rPr>
            </w:pPr>
            <w:r w:rsidRPr="006C06AD">
              <w:rPr>
                <w:rFonts w:eastAsia="Times New Roman" w:cs="Arial"/>
                <w:iCs/>
                <w:color w:val="000000"/>
                <w:sz w:val="20"/>
                <w:szCs w:val="20"/>
              </w:rPr>
              <w:t>2.5MW</w:t>
            </w:r>
          </w:p>
        </w:tc>
        <w:tc>
          <w:tcPr>
            <w:tcW w:w="2400" w:type="dxa"/>
            <w:tcBorders>
              <w:top w:val="nil"/>
              <w:left w:val="nil"/>
              <w:bottom w:val="single" w:sz="4" w:space="0" w:color="auto"/>
              <w:right w:val="single" w:sz="4" w:space="0" w:color="auto"/>
            </w:tcBorders>
            <w:shd w:val="clear" w:color="auto" w:fill="auto"/>
            <w:noWrap/>
            <w:vAlign w:val="bottom"/>
            <w:hideMark/>
          </w:tcPr>
          <w:p w14:paraId="5C898692" w14:textId="77777777" w:rsidR="00F61838" w:rsidRPr="006C06AD" w:rsidRDefault="00F61838" w:rsidP="00C17775">
            <w:pPr>
              <w:spacing w:after="0" w:line="276" w:lineRule="auto"/>
              <w:ind w:firstLineChars="100" w:firstLine="200"/>
              <w:jc w:val="both"/>
              <w:rPr>
                <w:rFonts w:eastAsia="Times New Roman" w:cs="Arial"/>
                <w:iCs/>
                <w:color w:val="000000"/>
                <w:sz w:val="20"/>
                <w:szCs w:val="20"/>
              </w:rPr>
            </w:pPr>
            <w:r w:rsidRPr="006C06AD">
              <w:rPr>
                <w:rFonts w:eastAsia="Times New Roman" w:cs="Arial"/>
                <w:iCs/>
                <w:color w:val="000000"/>
                <w:sz w:val="20"/>
                <w:szCs w:val="20"/>
              </w:rPr>
              <w:t>5,000,000</w:t>
            </w:r>
          </w:p>
        </w:tc>
      </w:tr>
      <w:tr w:rsidR="00F61838" w:rsidRPr="006C06AD" w14:paraId="599AE0AC" w14:textId="77777777" w:rsidTr="00F877B3">
        <w:trPr>
          <w:trHeight w:val="312"/>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47E8D611" w14:textId="77777777" w:rsidR="00F61838" w:rsidRPr="006C06AD" w:rsidRDefault="00F61838" w:rsidP="00C17775">
            <w:pPr>
              <w:spacing w:after="0" w:line="276" w:lineRule="auto"/>
              <w:jc w:val="both"/>
              <w:rPr>
                <w:rFonts w:eastAsia="Times New Roman" w:cs="Arial"/>
                <w:color w:val="000000"/>
                <w:sz w:val="20"/>
                <w:szCs w:val="20"/>
              </w:rPr>
            </w:pPr>
            <w:r w:rsidRPr="006C06AD">
              <w:rPr>
                <w:rFonts w:eastAsia="Times New Roman" w:cs="Arial"/>
                <w:color w:val="000000"/>
                <w:sz w:val="20"/>
                <w:szCs w:val="20"/>
              </w:rPr>
              <w:t>Energy efficiency</w:t>
            </w:r>
          </w:p>
        </w:tc>
        <w:tc>
          <w:tcPr>
            <w:tcW w:w="1950" w:type="dxa"/>
            <w:tcBorders>
              <w:top w:val="nil"/>
              <w:left w:val="nil"/>
              <w:bottom w:val="single" w:sz="4" w:space="0" w:color="auto"/>
              <w:right w:val="single" w:sz="4" w:space="0" w:color="auto"/>
            </w:tcBorders>
            <w:shd w:val="clear" w:color="auto" w:fill="auto"/>
            <w:noWrap/>
            <w:vAlign w:val="bottom"/>
            <w:hideMark/>
          </w:tcPr>
          <w:p w14:paraId="4A691E78" w14:textId="77777777" w:rsidR="00F61838" w:rsidRPr="006C06AD" w:rsidRDefault="00F61838" w:rsidP="00C17775">
            <w:pPr>
              <w:spacing w:after="0" w:line="276" w:lineRule="auto"/>
              <w:jc w:val="both"/>
              <w:rPr>
                <w:rFonts w:eastAsia="Times New Roman" w:cs="Arial"/>
                <w:color w:val="000000"/>
                <w:sz w:val="20"/>
                <w:szCs w:val="20"/>
              </w:rPr>
            </w:pPr>
            <w:r w:rsidRPr="006C06AD">
              <w:rPr>
                <w:rFonts w:eastAsia="Times New Roman" w:cs="Arial"/>
                <w:color w:val="000000"/>
                <w:sz w:val="20"/>
                <w:szCs w:val="20"/>
              </w:rPr>
              <w:t>598 [1,136]</w:t>
            </w:r>
          </w:p>
        </w:tc>
        <w:tc>
          <w:tcPr>
            <w:tcW w:w="2400" w:type="dxa"/>
            <w:tcBorders>
              <w:top w:val="nil"/>
              <w:left w:val="nil"/>
              <w:bottom w:val="single" w:sz="4" w:space="0" w:color="auto"/>
              <w:right w:val="single" w:sz="4" w:space="0" w:color="auto"/>
            </w:tcBorders>
            <w:shd w:val="clear" w:color="auto" w:fill="auto"/>
            <w:noWrap/>
            <w:vAlign w:val="bottom"/>
            <w:hideMark/>
          </w:tcPr>
          <w:p w14:paraId="3DC2C8B2" w14:textId="77777777" w:rsidR="00F61838" w:rsidRPr="006C06AD" w:rsidRDefault="00F61838" w:rsidP="00C17775">
            <w:pPr>
              <w:spacing w:after="0" w:line="276" w:lineRule="auto"/>
              <w:jc w:val="both"/>
              <w:rPr>
                <w:rFonts w:eastAsia="Times New Roman" w:cs="Arial"/>
                <w:color w:val="000000"/>
                <w:sz w:val="20"/>
                <w:szCs w:val="20"/>
              </w:rPr>
            </w:pPr>
            <w:r w:rsidRPr="006C06AD">
              <w:rPr>
                <w:rFonts w:eastAsia="Times New Roman" w:cs="Arial"/>
                <w:color w:val="000000"/>
                <w:sz w:val="20"/>
                <w:szCs w:val="20"/>
              </w:rPr>
              <w:t>NA</w:t>
            </w:r>
          </w:p>
        </w:tc>
        <w:tc>
          <w:tcPr>
            <w:tcW w:w="2400" w:type="dxa"/>
            <w:tcBorders>
              <w:top w:val="nil"/>
              <w:left w:val="nil"/>
              <w:bottom w:val="single" w:sz="4" w:space="0" w:color="auto"/>
              <w:right w:val="single" w:sz="4" w:space="0" w:color="auto"/>
            </w:tcBorders>
            <w:shd w:val="clear" w:color="auto" w:fill="auto"/>
            <w:noWrap/>
            <w:vAlign w:val="bottom"/>
            <w:hideMark/>
          </w:tcPr>
          <w:p w14:paraId="749A2C1A" w14:textId="77777777" w:rsidR="00F61838" w:rsidRPr="006C06AD" w:rsidRDefault="00F61838" w:rsidP="00C17775">
            <w:pPr>
              <w:spacing w:after="0" w:line="276" w:lineRule="auto"/>
              <w:jc w:val="both"/>
              <w:rPr>
                <w:rFonts w:eastAsia="Times New Roman" w:cs="Arial"/>
                <w:color w:val="000000"/>
                <w:sz w:val="20"/>
                <w:szCs w:val="20"/>
              </w:rPr>
            </w:pPr>
            <w:r w:rsidRPr="006C06AD">
              <w:rPr>
                <w:rFonts w:eastAsia="Times New Roman" w:cs="Arial"/>
                <w:color w:val="000000"/>
                <w:sz w:val="20"/>
                <w:szCs w:val="20"/>
              </w:rPr>
              <w:t>69,000</w:t>
            </w:r>
          </w:p>
        </w:tc>
      </w:tr>
    </w:tbl>
    <w:p w14:paraId="25AA10CF" w14:textId="77777777" w:rsidR="001C3AF3" w:rsidRPr="006C06AD" w:rsidRDefault="001C3AF3" w:rsidP="00C17775">
      <w:pPr>
        <w:pStyle w:val="Heading2"/>
        <w:numPr>
          <w:ilvl w:val="0"/>
          <w:numId w:val="39"/>
        </w:numPr>
        <w:spacing w:before="240" w:after="240" w:line="276" w:lineRule="auto"/>
        <w:jc w:val="both"/>
        <w:rPr>
          <w:sz w:val="20"/>
          <w:szCs w:val="20"/>
        </w:rPr>
      </w:pPr>
      <w:r w:rsidRPr="006C06AD">
        <w:rPr>
          <w:rFonts w:asciiTheme="minorHAnsi" w:hAnsiTheme="minorHAnsi"/>
          <w:sz w:val="20"/>
          <w:szCs w:val="20"/>
        </w:rPr>
        <w:t xml:space="preserve">Environmental and </w:t>
      </w:r>
      <w:r w:rsidR="00B773FC" w:rsidRPr="006C06AD">
        <w:rPr>
          <w:rFonts w:asciiTheme="minorHAnsi" w:hAnsiTheme="minorHAnsi"/>
          <w:sz w:val="20"/>
          <w:szCs w:val="20"/>
        </w:rPr>
        <w:t>S</w:t>
      </w:r>
      <w:r w:rsidRPr="006C06AD">
        <w:rPr>
          <w:rFonts w:asciiTheme="minorHAnsi" w:hAnsiTheme="minorHAnsi"/>
          <w:sz w:val="20"/>
          <w:szCs w:val="20"/>
        </w:rPr>
        <w:t xml:space="preserve">ocial </w:t>
      </w:r>
      <w:r w:rsidR="00B773FC" w:rsidRPr="006C06AD">
        <w:rPr>
          <w:rFonts w:asciiTheme="minorHAnsi" w:hAnsiTheme="minorHAnsi"/>
          <w:sz w:val="20"/>
          <w:szCs w:val="20"/>
        </w:rPr>
        <w:t>R</w:t>
      </w:r>
      <w:r w:rsidRPr="006C06AD">
        <w:rPr>
          <w:rFonts w:asciiTheme="minorHAnsi" w:hAnsiTheme="minorHAnsi"/>
          <w:sz w:val="20"/>
          <w:szCs w:val="20"/>
        </w:rPr>
        <w:t xml:space="preserve">isk </w:t>
      </w:r>
      <w:r w:rsidR="00B773FC" w:rsidRPr="006C06AD">
        <w:rPr>
          <w:rFonts w:asciiTheme="minorHAnsi" w:hAnsiTheme="minorHAnsi"/>
          <w:sz w:val="20"/>
          <w:szCs w:val="20"/>
        </w:rPr>
        <w:t>C</w:t>
      </w:r>
      <w:r w:rsidRPr="006C06AD">
        <w:rPr>
          <w:rFonts w:asciiTheme="minorHAnsi" w:hAnsiTheme="minorHAnsi"/>
          <w:sz w:val="20"/>
          <w:szCs w:val="20"/>
        </w:rPr>
        <w:t>ategory</w:t>
      </w:r>
    </w:p>
    <w:p w14:paraId="0853A560" w14:textId="77777777" w:rsidR="001C3AF3" w:rsidRPr="006C06AD" w:rsidRDefault="001C3AF3" w:rsidP="00C17775">
      <w:pPr>
        <w:pStyle w:val="Paragraph"/>
        <w:tabs>
          <w:tab w:val="clear" w:pos="720"/>
        </w:tabs>
        <w:spacing w:line="276" w:lineRule="auto"/>
        <w:ind w:left="0" w:firstLine="0"/>
        <w:rPr>
          <w:rFonts w:asciiTheme="minorHAnsi" w:hAnsiTheme="minorHAnsi" w:cs="Arial"/>
          <w:sz w:val="20"/>
          <w:lang w:val="en-US"/>
        </w:rPr>
      </w:pPr>
      <w:r w:rsidRPr="006C06AD">
        <w:rPr>
          <w:rFonts w:asciiTheme="minorHAnsi" w:hAnsiTheme="minorHAnsi" w:cs="Arial"/>
          <w:sz w:val="20"/>
          <w:lang w:val="en-US"/>
        </w:rPr>
        <w:t xml:space="preserve">Based on </w:t>
      </w:r>
      <w:r w:rsidR="00672C33">
        <w:rPr>
          <w:rFonts w:asciiTheme="minorHAnsi" w:hAnsiTheme="minorHAnsi" w:cs="Arial"/>
          <w:sz w:val="20"/>
          <w:lang w:val="en-US"/>
        </w:rPr>
        <w:t xml:space="preserve">IDB’s </w:t>
      </w:r>
      <w:r w:rsidRPr="006C06AD">
        <w:rPr>
          <w:rFonts w:asciiTheme="minorHAnsi" w:hAnsiTheme="minorHAnsi" w:cs="Arial"/>
          <w:sz w:val="20"/>
          <w:lang w:val="en-US"/>
        </w:rPr>
        <w:t xml:space="preserve">Directive B.13 of the Environment and Safeguards Compliance Policy (OP-703), the </w:t>
      </w:r>
      <w:r w:rsidR="00123F65" w:rsidRPr="006C06AD">
        <w:rPr>
          <w:rFonts w:asciiTheme="minorHAnsi" w:hAnsiTheme="minorHAnsi" w:cs="Arial"/>
          <w:sz w:val="20"/>
          <w:lang w:val="en-US"/>
        </w:rPr>
        <w:t>Project</w:t>
      </w:r>
      <w:r w:rsidRPr="006C06AD">
        <w:rPr>
          <w:rFonts w:asciiTheme="minorHAnsi" w:hAnsiTheme="minorHAnsi" w:cs="Arial"/>
          <w:sz w:val="20"/>
          <w:lang w:val="en-US"/>
        </w:rPr>
        <w:t xml:space="preserve"> is classified as a financial intermediary and as such </w:t>
      </w:r>
      <w:r w:rsidRPr="004949A0">
        <w:rPr>
          <w:rFonts w:asciiTheme="minorHAnsi" w:hAnsiTheme="minorHAnsi" w:cs="Arial"/>
          <w:sz w:val="20"/>
          <w:lang w:val="en-US"/>
        </w:rPr>
        <w:t>is not categorized ex-ante according to its potential environment and social impacts and risks.</w:t>
      </w:r>
    </w:p>
    <w:p w14:paraId="0BFC14FE" w14:textId="77777777" w:rsidR="001C3AF3" w:rsidRPr="006C06AD" w:rsidRDefault="001C3AF3" w:rsidP="00C17775">
      <w:pPr>
        <w:pStyle w:val="Paragraph"/>
        <w:tabs>
          <w:tab w:val="clear" w:pos="720"/>
        </w:tabs>
        <w:spacing w:line="276" w:lineRule="auto"/>
        <w:ind w:left="0" w:firstLine="0"/>
        <w:rPr>
          <w:rFonts w:asciiTheme="minorHAnsi" w:hAnsiTheme="minorHAnsi" w:cs="Arial"/>
          <w:sz w:val="20"/>
          <w:lang w:val="en-US"/>
        </w:rPr>
      </w:pPr>
      <w:r w:rsidRPr="006C06AD">
        <w:rPr>
          <w:rFonts w:asciiTheme="minorHAnsi" w:hAnsiTheme="minorHAnsi" w:cs="Arial"/>
          <w:sz w:val="20"/>
          <w:lang w:val="en-US"/>
        </w:rPr>
        <w:t xml:space="preserve">Based on the environmental and social due diligence conclusions, the intended use of proceeds described above, and their potential environmental and social risks and impacts, this operation is classified as medium-risk level financial intermediation (FI-2). </w:t>
      </w:r>
      <w:r w:rsidR="0028758B">
        <w:rPr>
          <w:rFonts w:asciiTheme="minorHAnsi" w:hAnsiTheme="minorHAnsi" w:cs="Arial"/>
          <w:sz w:val="20"/>
          <w:lang w:val="en-US"/>
        </w:rPr>
        <w:t>Sub-projects</w:t>
      </w:r>
      <w:r w:rsidRPr="006C06AD">
        <w:rPr>
          <w:rFonts w:asciiTheme="minorHAnsi" w:hAnsiTheme="minorHAnsi" w:cs="Arial"/>
          <w:sz w:val="20"/>
          <w:lang w:val="en-US"/>
        </w:rPr>
        <w:t xml:space="preserve"> to be financed under the Project will only be those that are expected to have minimal to moderate environmental and social risks, equivalent to Category C and B. The environmental and social risks and impacts are expected to be small-scale, reversible, and readily mitigated using accepted industry practices. The Project will exclude </w:t>
      </w:r>
      <w:r w:rsidR="0028758B">
        <w:rPr>
          <w:rFonts w:asciiTheme="minorHAnsi" w:hAnsiTheme="minorHAnsi" w:cs="Arial"/>
          <w:sz w:val="20"/>
          <w:lang w:val="en-US"/>
        </w:rPr>
        <w:t>sub-projects</w:t>
      </w:r>
      <w:r w:rsidRPr="006C06AD">
        <w:rPr>
          <w:rFonts w:asciiTheme="minorHAnsi" w:hAnsiTheme="minorHAnsi" w:cs="Arial"/>
          <w:sz w:val="20"/>
          <w:lang w:val="en-US"/>
        </w:rPr>
        <w:t xml:space="preserve"> that (i) involve involuntary resettlement of people, (ii) have a potentially adverse impact on communities and/or indigenous people, or (iii) involve conversion or degradation of critical natural habitats or cultural sites (see Exclusion List on Appendix 1.). It is important to note that </w:t>
      </w:r>
      <w:r w:rsidR="0028758B">
        <w:rPr>
          <w:rFonts w:asciiTheme="minorHAnsi" w:hAnsiTheme="minorHAnsi" w:cs="Arial"/>
          <w:sz w:val="20"/>
          <w:lang w:val="en-US"/>
        </w:rPr>
        <w:t>sub-projects</w:t>
      </w:r>
      <w:r w:rsidRPr="006C06AD">
        <w:rPr>
          <w:rFonts w:asciiTheme="minorHAnsi" w:hAnsiTheme="minorHAnsi" w:cs="Arial"/>
          <w:sz w:val="20"/>
          <w:lang w:val="en-US"/>
        </w:rPr>
        <w:t xml:space="preserve"> eligible for financing under this </w:t>
      </w:r>
      <w:r w:rsidR="0028758B">
        <w:rPr>
          <w:rFonts w:asciiTheme="minorHAnsi" w:hAnsiTheme="minorHAnsi" w:cs="Arial"/>
          <w:sz w:val="20"/>
          <w:lang w:val="en-US"/>
        </w:rPr>
        <w:t>P</w:t>
      </w:r>
      <w:r w:rsidRPr="006C06AD">
        <w:rPr>
          <w:rFonts w:asciiTheme="minorHAnsi" w:hAnsiTheme="minorHAnsi" w:cs="Arial"/>
          <w:sz w:val="20"/>
          <w:lang w:val="en-US"/>
        </w:rPr>
        <w:t xml:space="preserve">roject are not greenfield projects: these are energy efficiency and renewable energy </w:t>
      </w:r>
      <w:r w:rsidR="0028758B">
        <w:rPr>
          <w:rFonts w:asciiTheme="minorHAnsi" w:hAnsiTheme="minorHAnsi" w:cs="Arial"/>
          <w:sz w:val="20"/>
          <w:lang w:val="en-US"/>
        </w:rPr>
        <w:t>sub-projects</w:t>
      </w:r>
      <w:r w:rsidRPr="006C06AD">
        <w:rPr>
          <w:rFonts w:asciiTheme="minorHAnsi" w:hAnsiTheme="minorHAnsi" w:cs="Arial"/>
          <w:sz w:val="20"/>
          <w:lang w:val="en-US"/>
        </w:rPr>
        <w:t xml:space="preserve"> to be implemented in existing built-up areas such as industrial or agricultural facilities. It is also worth noting that the IDB has been executing very similar EE projects in Mexico, and Colombia and is preparing project execution in El Salvador.</w:t>
      </w:r>
    </w:p>
    <w:p w14:paraId="60BE01D4" w14:textId="77777777" w:rsidR="00DC025F" w:rsidRPr="006C06AD" w:rsidRDefault="00DC025F">
      <w:pPr>
        <w:pStyle w:val="Heading2"/>
        <w:numPr>
          <w:ilvl w:val="0"/>
          <w:numId w:val="39"/>
        </w:numPr>
        <w:spacing w:before="240" w:after="240" w:line="276" w:lineRule="auto"/>
        <w:jc w:val="both"/>
        <w:rPr>
          <w:rFonts w:asciiTheme="minorHAnsi" w:hAnsiTheme="minorHAnsi"/>
          <w:sz w:val="20"/>
          <w:szCs w:val="20"/>
        </w:rPr>
      </w:pPr>
      <w:r w:rsidRPr="006C06AD">
        <w:rPr>
          <w:rFonts w:asciiTheme="minorHAnsi" w:hAnsiTheme="minorHAnsi"/>
          <w:sz w:val="20"/>
          <w:szCs w:val="20"/>
        </w:rPr>
        <w:t>Policy and Legal Framework</w:t>
      </w:r>
    </w:p>
    <w:p w14:paraId="74590CA3" w14:textId="77777777" w:rsidR="00B06A46" w:rsidRPr="00B06A46" w:rsidRDefault="00B06A46" w:rsidP="00B06A46">
      <w:pPr>
        <w:jc w:val="both"/>
        <w:rPr>
          <w:rFonts w:eastAsia="Times New Roman" w:cs="Arial"/>
          <w:bCs/>
          <w:sz w:val="20"/>
          <w:szCs w:val="20"/>
          <w:lang w:eastAsia="ja-JP"/>
        </w:rPr>
      </w:pPr>
      <w:r w:rsidRPr="00B06A46">
        <w:rPr>
          <w:rFonts w:eastAsia="Times New Roman" w:cs="Arial"/>
          <w:bCs/>
          <w:color w:val="000000"/>
          <w:sz w:val="20"/>
          <w:szCs w:val="20"/>
          <w:lang w:eastAsia="ja-JP"/>
        </w:rPr>
        <w:t xml:space="preserve">At the sub-project level, relevant IDB environmental and social safeguards standards will be contractually required in </w:t>
      </w:r>
      <w:r w:rsidRPr="00B06A46">
        <w:rPr>
          <w:rFonts w:eastAsia="Times New Roman" w:cs="Arial"/>
          <w:bCs/>
          <w:sz w:val="20"/>
          <w:szCs w:val="20"/>
          <w:lang w:eastAsia="ja-JP"/>
        </w:rPr>
        <w:t>accordance with IDB policies and procedures, the AMA and/or such other related arrangements.</w:t>
      </w:r>
    </w:p>
    <w:p w14:paraId="1746B544" w14:textId="14071FC3" w:rsidR="002E31DE" w:rsidRPr="006C06AD" w:rsidRDefault="00B06A46" w:rsidP="00C17775">
      <w:pPr>
        <w:spacing w:line="276" w:lineRule="auto"/>
        <w:jc w:val="both"/>
        <w:rPr>
          <w:rFonts w:cs="Calibri"/>
          <w:color w:val="000000"/>
          <w:sz w:val="20"/>
          <w:szCs w:val="20"/>
        </w:rPr>
      </w:pPr>
      <w:r w:rsidRPr="00343CD2">
        <w:rPr>
          <w:sz w:val="20"/>
          <w:szCs w:val="20"/>
        </w:rPr>
        <w:t xml:space="preserve">These include </w:t>
      </w:r>
      <w:r w:rsidR="002E31DE" w:rsidRPr="00343CD2">
        <w:rPr>
          <w:sz w:val="20"/>
          <w:szCs w:val="20"/>
        </w:rPr>
        <w:t xml:space="preserve">the </w:t>
      </w:r>
      <w:r w:rsidR="002E31DE" w:rsidRPr="00343CD2">
        <w:rPr>
          <w:rFonts w:cs="Calibri"/>
          <w:color w:val="000000"/>
          <w:sz w:val="20"/>
          <w:szCs w:val="20"/>
        </w:rPr>
        <w:t xml:space="preserve">IDB Environment and Safeguards Compliance Policy (OP-703); Natural Disaster Risk Management Policy (OP-704); Involuntary Resettlement Policy (OP-710); </w:t>
      </w:r>
      <w:r w:rsidR="0015606A" w:rsidRPr="00343CD2">
        <w:rPr>
          <w:rFonts w:cs="Calibri"/>
          <w:color w:val="000000"/>
          <w:sz w:val="20"/>
          <w:szCs w:val="20"/>
        </w:rPr>
        <w:t xml:space="preserve">Operational Policy on </w:t>
      </w:r>
      <w:r w:rsidR="002E31DE" w:rsidRPr="00343CD2">
        <w:rPr>
          <w:rFonts w:cs="Calibri"/>
          <w:color w:val="000000"/>
          <w:sz w:val="20"/>
          <w:szCs w:val="20"/>
        </w:rPr>
        <w:t xml:space="preserve">Indigenous People (OP-765); </w:t>
      </w:r>
      <w:r w:rsidR="0015606A" w:rsidRPr="00343CD2">
        <w:rPr>
          <w:rFonts w:cs="Calibri"/>
          <w:color w:val="000000"/>
          <w:sz w:val="20"/>
          <w:szCs w:val="20"/>
        </w:rPr>
        <w:t xml:space="preserve">Operational Policy on </w:t>
      </w:r>
      <w:r w:rsidR="002E31DE" w:rsidRPr="00343CD2">
        <w:rPr>
          <w:rFonts w:cs="Calibri"/>
          <w:color w:val="000000"/>
          <w:sz w:val="20"/>
          <w:szCs w:val="20"/>
        </w:rPr>
        <w:t xml:space="preserve">Gender Equality in Development (OP-761) and </w:t>
      </w:r>
      <w:r w:rsidR="0015606A" w:rsidRPr="00343CD2">
        <w:rPr>
          <w:rFonts w:cs="Calibri"/>
          <w:color w:val="000000"/>
          <w:sz w:val="20"/>
          <w:szCs w:val="20"/>
        </w:rPr>
        <w:t>sector guidance documents</w:t>
      </w:r>
      <w:r w:rsidR="002A2B08" w:rsidRPr="00343CD2">
        <w:rPr>
          <w:rFonts w:cs="Calibri"/>
          <w:color w:val="000000"/>
          <w:sz w:val="20"/>
          <w:szCs w:val="20"/>
        </w:rPr>
        <w:t>.</w:t>
      </w:r>
      <w:r w:rsidR="002A2B08" w:rsidRPr="006C06AD">
        <w:rPr>
          <w:rFonts w:cs="Calibri"/>
          <w:color w:val="000000"/>
          <w:sz w:val="20"/>
          <w:szCs w:val="20"/>
        </w:rPr>
        <w:t xml:space="preserve"> </w:t>
      </w:r>
      <w:r w:rsidR="002E31DE" w:rsidRPr="006C06AD">
        <w:rPr>
          <w:rFonts w:cs="Calibri"/>
          <w:color w:val="000000"/>
          <w:sz w:val="20"/>
          <w:szCs w:val="20"/>
        </w:rPr>
        <w:t xml:space="preserve">  </w:t>
      </w:r>
    </w:p>
    <w:p w14:paraId="0EA4A27C" w14:textId="77777777" w:rsidR="002E31DE" w:rsidRPr="006C06AD" w:rsidRDefault="001C3AF3" w:rsidP="00C17775">
      <w:pPr>
        <w:autoSpaceDE w:val="0"/>
        <w:autoSpaceDN w:val="0"/>
        <w:adjustRightInd w:val="0"/>
        <w:spacing w:after="0" w:line="240" w:lineRule="auto"/>
        <w:jc w:val="both"/>
        <w:rPr>
          <w:rFonts w:cs="Calibri"/>
          <w:color w:val="000000"/>
          <w:sz w:val="20"/>
          <w:szCs w:val="20"/>
        </w:rPr>
      </w:pPr>
      <w:r w:rsidRPr="006C06AD">
        <w:rPr>
          <w:rFonts w:cs="Arial"/>
          <w:color w:val="000000"/>
          <w:sz w:val="20"/>
          <w:szCs w:val="20"/>
        </w:rPr>
        <w:lastRenderedPageBreak/>
        <w:t xml:space="preserve">All </w:t>
      </w:r>
      <w:r w:rsidR="0028758B">
        <w:rPr>
          <w:rFonts w:cs="Arial"/>
          <w:color w:val="000000"/>
          <w:sz w:val="20"/>
          <w:szCs w:val="20"/>
        </w:rPr>
        <w:t>sub-projects</w:t>
      </w:r>
      <w:r w:rsidRPr="006C06AD">
        <w:rPr>
          <w:rFonts w:cs="Arial"/>
          <w:color w:val="000000"/>
          <w:sz w:val="20"/>
          <w:szCs w:val="20"/>
        </w:rPr>
        <w:t xml:space="preserve"> shall comply with national, provincial and municipal applicable laws and all their requirements. In accordance with the environmental and social due diligence process described in this ESMF, applicable laws, their requirements and authorities with competent jurisdiction for each</w:t>
      </w:r>
      <w:r w:rsidR="0028758B">
        <w:rPr>
          <w:rFonts w:cs="Arial"/>
          <w:color w:val="000000"/>
          <w:sz w:val="20"/>
          <w:szCs w:val="20"/>
        </w:rPr>
        <w:t xml:space="preserve"> sub-project</w:t>
      </w:r>
      <w:r w:rsidRPr="006C06AD">
        <w:rPr>
          <w:rFonts w:cs="Arial"/>
          <w:color w:val="000000"/>
          <w:sz w:val="20"/>
          <w:szCs w:val="20"/>
        </w:rPr>
        <w:t xml:space="preserve"> (mainly at provincial level), shall be identified and specified by the</w:t>
      </w:r>
      <w:r w:rsidR="0028758B">
        <w:rPr>
          <w:rFonts w:cs="Arial"/>
          <w:color w:val="000000"/>
          <w:sz w:val="20"/>
          <w:szCs w:val="20"/>
        </w:rPr>
        <w:t xml:space="preserve"> sub-project</w:t>
      </w:r>
      <w:r w:rsidRPr="006C06AD">
        <w:rPr>
          <w:rFonts w:cs="Arial"/>
          <w:color w:val="000000"/>
          <w:sz w:val="20"/>
          <w:szCs w:val="20"/>
        </w:rPr>
        <w:t xml:space="preserve"> proponents and LFIs at the screening and scoping stage and further detailed during the assessment. </w:t>
      </w:r>
      <w:r w:rsidR="0028758B">
        <w:rPr>
          <w:rFonts w:cs="Calibri"/>
          <w:color w:val="000000"/>
          <w:sz w:val="20"/>
          <w:szCs w:val="20"/>
        </w:rPr>
        <w:t>Sub-projects</w:t>
      </w:r>
      <w:r w:rsidR="002E31DE" w:rsidRPr="006C06AD">
        <w:rPr>
          <w:rFonts w:cs="Calibri"/>
          <w:color w:val="000000"/>
          <w:sz w:val="20"/>
          <w:szCs w:val="20"/>
        </w:rPr>
        <w:t xml:space="preserve">’ environmental and social risks and impacts will be assessed for compliance with host country laws and regulations and </w:t>
      </w:r>
      <w:r w:rsidR="00DF4FA1" w:rsidRPr="006C06AD">
        <w:rPr>
          <w:rFonts w:cs="Calibri"/>
          <w:color w:val="000000"/>
          <w:sz w:val="20"/>
          <w:szCs w:val="20"/>
        </w:rPr>
        <w:t xml:space="preserve">the standards of </w:t>
      </w:r>
      <w:r w:rsidR="002E31DE" w:rsidRPr="006C06AD">
        <w:rPr>
          <w:rFonts w:cs="Calibri"/>
          <w:color w:val="000000"/>
          <w:sz w:val="20"/>
          <w:szCs w:val="20"/>
        </w:rPr>
        <w:t xml:space="preserve">applicable </w:t>
      </w:r>
      <w:r w:rsidR="00CA10C2" w:rsidRPr="006C06AD">
        <w:rPr>
          <w:rFonts w:cs="Calibri"/>
          <w:color w:val="000000"/>
          <w:sz w:val="20"/>
          <w:szCs w:val="20"/>
        </w:rPr>
        <w:t xml:space="preserve">IDB </w:t>
      </w:r>
      <w:r w:rsidR="00DF4FA1" w:rsidRPr="006C06AD">
        <w:rPr>
          <w:rFonts w:cs="Calibri"/>
          <w:color w:val="000000"/>
          <w:sz w:val="20"/>
          <w:szCs w:val="20"/>
        </w:rPr>
        <w:t xml:space="preserve">safeguard </w:t>
      </w:r>
      <w:r w:rsidR="002E31DE" w:rsidRPr="006C06AD">
        <w:rPr>
          <w:rFonts w:cs="Calibri"/>
          <w:color w:val="000000"/>
          <w:sz w:val="20"/>
          <w:szCs w:val="20"/>
        </w:rPr>
        <w:t>policies and only those that meet the requirements</w:t>
      </w:r>
      <w:r w:rsidR="002A2B08" w:rsidRPr="006C06AD">
        <w:rPr>
          <w:rFonts w:cs="Calibri"/>
          <w:color w:val="000000"/>
          <w:sz w:val="20"/>
          <w:szCs w:val="20"/>
        </w:rPr>
        <w:t>,</w:t>
      </w:r>
      <w:r w:rsidR="002E31DE" w:rsidRPr="006C06AD">
        <w:rPr>
          <w:rFonts w:cs="Calibri"/>
          <w:color w:val="000000"/>
          <w:sz w:val="20"/>
          <w:szCs w:val="20"/>
        </w:rPr>
        <w:t xml:space="preserve"> </w:t>
      </w:r>
      <w:r w:rsidR="002A2B08" w:rsidRPr="006C06AD">
        <w:rPr>
          <w:rFonts w:cs="Calibri"/>
          <w:color w:val="000000"/>
          <w:sz w:val="20"/>
          <w:szCs w:val="20"/>
        </w:rPr>
        <w:t xml:space="preserve">as presented in this ESMF, </w:t>
      </w:r>
      <w:r w:rsidR="002E31DE" w:rsidRPr="006C06AD">
        <w:rPr>
          <w:rFonts w:cs="Calibri"/>
          <w:color w:val="000000"/>
          <w:sz w:val="20"/>
          <w:szCs w:val="20"/>
        </w:rPr>
        <w:t xml:space="preserve">will be </w:t>
      </w:r>
      <w:r w:rsidR="002A2B08" w:rsidRPr="006C06AD">
        <w:rPr>
          <w:rFonts w:cs="Calibri"/>
          <w:color w:val="000000"/>
          <w:sz w:val="20"/>
          <w:szCs w:val="20"/>
        </w:rPr>
        <w:t xml:space="preserve">eligible for </w:t>
      </w:r>
      <w:r w:rsidR="002E31DE" w:rsidRPr="006C06AD">
        <w:rPr>
          <w:rFonts w:cs="Calibri"/>
          <w:color w:val="000000"/>
          <w:sz w:val="20"/>
          <w:szCs w:val="20"/>
        </w:rPr>
        <w:t>financ</w:t>
      </w:r>
      <w:r w:rsidR="002A2B08" w:rsidRPr="006C06AD">
        <w:rPr>
          <w:rFonts w:cs="Calibri"/>
          <w:color w:val="000000"/>
          <w:sz w:val="20"/>
          <w:szCs w:val="20"/>
        </w:rPr>
        <w:t>ing</w:t>
      </w:r>
      <w:r w:rsidR="002E31DE" w:rsidRPr="006C06AD">
        <w:rPr>
          <w:rFonts w:cs="Calibri"/>
          <w:color w:val="000000"/>
          <w:sz w:val="20"/>
          <w:szCs w:val="20"/>
        </w:rPr>
        <w:t>.</w:t>
      </w:r>
    </w:p>
    <w:p w14:paraId="5CFA2C09" w14:textId="1263F2C4" w:rsidR="001C3AF3" w:rsidRPr="006C06AD" w:rsidRDefault="0006245B">
      <w:pPr>
        <w:spacing w:line="276" w:lineRule="auto"/>
        <w:jc w:val="both"/>
        <w:rPr>
          <w:sz w:val="20"/>
          <w:szCs w:val="20"/>
        </w:rPr>
      </w:pPr>
      <w:r w:rsidRPr="006C06AD">
        <w:rPr>
          <w:sz w:val="20"/>
          <w:szCs w:val="20"/>
        </w:rPr>
        <w:t xml:space="preserve">Argentinean </w:t>
      </w:r>
      <w:r w:rsidR="008D4F7D" w:rsidRPr="006C06AD">
        <w:rPr>
          <w:sz w:val="20"/>
          <w:szCs w:val="20"/>
        </w:rPr>
        <w:t xml:space="preserve">environmental law is established at the national province and municipal levels, as a result of the federal organization in the Constitution, where Provinces have the legislative and enforcement authority. </w:t>
      </w:r>
    </w:p>
    <w:p w14:paraId="04784FEE" w14:textId="77777777" w:rsidR="001C3AF3" w:rsidRPr="006C06AD" w:rsidRDefault="001C3AF3" w:rsidP="00C17775">
      <w:pPr>
        <w:autoSpaceDE w:val="0"/>
        <w:autoSpaceDN w:val="0"/>
        <w:adjustRightInd w:val="0"/>
        <w:spacing w:after="0" w:line="240" w:lineRule="auto"/>
        <w:jc w:val="both"/>
        <w:rPr>
          <w:rFonts w:cs="Arial"/>
          <w:color w:val="000000"/>
          <w:sz w:val="20"/>
          <w:szCs w:val="20"/>
        </w:rPr>
      </w:pPr>
      <w:r w:rsidRPr="006C06AD">
        <w:rPr>
          <w:rFonts w:cs="Arial"/>
          <w:color w:val="000000"/>
          <w:sz w:val="20"/>
          <w:szCs w:val="20"/>
        </w:rPr>
        <w:t>The table below summarizes the current principal environmental laws in Argentina and the specific laws on climate change and renewable energy relevant to the Project</w:t>
      </w:r>
      <w:r w:rsidR="00672C33">
        <w:rPr>
          <w:rFonts w:cs="Arial"/>
          <w:color w:val="000000"/>
          <w:sz w:val="20"/>
          <w:szCs w:val="20"/>
        </w:rPr>
        <w:t>:</w:t>
      </w:r>
    </w:p>
    <w:p w14:paraId="169F1E34" w14:textId="77777777" w:rsidR="001C3AF3" w:rsidRPr="006C06AD" w:rsidRDefault="001C3AF3" w:rsidP="00C17775">
      <w:pPr>
        <w:autoSpaceDE w:val="0"/>
        <w:autoSpaceDN w:val="0"/>
        <w:adjustRightInd w:val="0"/>
        <w:spacing w:after="0" w:line="240" w:lineRule="auto"/>
        <w:jc w:val="both"/>
        <w:rPr>
          <w:rFonts w:cs="Arial"/>
          <w:color w:val="000000"/>
          <w:sz w:val="20"/>
          <w:szCs w:val="20"/>
        </w:rPr>
      </w:pPr>
    </w:p>
    <w:tbl>
      <w:tblPr>
        <w:tblStyle w:val="TableGrid"/>
        <w:tblW w:w="9445" w:type="dxa"/>
        <w:tblLook w:val="04A0" w:firstRow="1" w:lastRow="0" w:firstColumn="1" w:lastColumn="0" w:noHBand="0" w:noVBand="1"/>
      </w:tblPr>
      <w:tblGrid>
        <w:gridCol w:w="1975"/>
        <w:gridCol w:w="7470"/>
      </w:tblGrid>
      <w:tr w:rsidR="001C3AF3" w:rsidRPr="006C06AD" w14:paraId="19F93FF6" w14:textId="77777777" w:rsidTr="001C3AF3">
        <w:tc>
          <w:tcPr>
            <w:tcW w:w="94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661F7" w14:textId="77777777" w:rsidR="001C3AF3" w:rsidRPr="006C06AD" w:rsidRDefault="001C3AF3" w:rsidP="00C17775">
            <w:pPr>
              <w:pStyle w:val="Default"/>
              <w:jc w:val="both"/>
              <w:rPr>
                <w:rFonts w:asciiTheme="minorHAnsi" w:hAnsiTheme="minorHAnsi" w:cs="Arial"/>
                <w:b/>
                <w:sz w:val="20"/>
                <w:szCs w:val="20"/>
              </w:rPr>
            </w:pPr>
            <w:r w:rsidRPr="006C06AD">
              <w:rPr>
                <w:rFonts w:asciiTheme="minorHAnsi" w:hAnsiTheme="minorHAnsi"/>
                <w:b/>
                <w:sz w:val="20"/>
                <w:szCs w:val="20"/>
              </w:rPr>
              <w:t>Environmental management, protection and conservation</w:t>
            </w:r>
          </w:p>
        </w:tc>
      </w:tr>
      <w:tr w:rsidR="001C3AF3" w:rsidRPr="006C06AD" w14:paraId="264EDF39" w14:textId="77777777" w:rsidTr="001C3AF3">
        <w:tc>
          <w:tcPr>
            <w:tcW w:w="1975" w:type="dxa"/>
            <w:tcBorders>
              <w:top w:val="single" w:sz="4" w:space="0" w:color="auto"/>
              <w:left w:val="single" w:sz="4" w:space="0" w:color="auto"/>
              <w:bottom w:val="single" w:sz="4" w:space="0" w:color="auto"/>
              <w:right w:val="single" w:sz="4" w:space="0" w:color="auto"/>
            </w:tcBorders>
            <w:hideMark/>
          </w:tcPr>
          <w:p w14:paraId="0A178455"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Section 41 National Constitution</w:t>
            </w:r>
          </w:p>
        </w:tc>
        <w:tc>
          <w:tcPr>
            <w:tcW w:w="7470" w:type="dxa"/>
            <w:tcBorders>
              <w:top w:val="single" w:sz="4" w:space="0" w:color="auto"/>
              <w:left w:val="single" w:sz="4" w:space="0" w:color="auto"/>
              <w:bottom w:val="single" w:sz="4" w:space="0" w:color="auto"/>
              <w:right w:val="single" w:sz="4" w:space="0" w:color="auto"/>
            </w:tcBorders>
            <w:hideMark/>
          </w:tcPr>
          <w:p w14:paraId="433C5AB0"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Regarding environmental matters, it establishes that “…the Nation will regulate the minimum protection standards, and the provinces those necessary to reinforce them.”</w:t>
            </w:r>
          </w:p>
          <w:p w14:paraId="7D6FF969"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Minimum budget laws set forth the basic guidelines for environmental management applicable to the entire national territory and set the legal foundations on which a state policy regarding protection of environment and sustainable development is built on, defining priority areas for public management and instruments aimed at achieving the objectives established by such environmental policy.</w:t>
            </w:r>
          </w:p>
          <w:p w14:paraId="4BC02B6D"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It also regulates the civil responsibility on environmental damage, establishing the duty of repairing it, in the sense that economic compensation of environmental damage is unacceptable, but it is the obligation of natural and legal persons who may have caused such damage to repair the environmental means that have been damaged.</w:t>
            </w:r>
          </w:p>
        </w:tc>
      </w:tr>
      <w:tr w:rsidR="001C3AF3" w:rsidRPr="006C06AD" w14:paraId="6E765ACA" w14:textId="77777777" w:rsidTr="001C3AF3">
        <w:tc>
          <w:tcPr>
            <w:tcW w:w="1975" w:type="dxa"/>
            <w:tcBorders>
              <w:top w:val="single" w:sz="4" w:space="0" w:color="auto"/>
              <w:left w:val="single" w:sz="4" w:space="0" w:color="auto"/>
              <w:bottom w:val="single" w:sz="4" w:space="0" w:color="auto"/>
              <w:right w:val="single" w:sz="4" w:space="0" w:color="auto"/>
            </w:tcBorders>
            <w:hideMark/>
          </w:tcPr>
          <w:p w14:paraId="3AD65364"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Section 121 &amp; 124</w:t>
            </w:r>
          </w:p>
          <w:p w14:paraId="4B49FA52"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National Constitution</w:t>
            </w:r>
          </w:p>
        </w:tc>
        <w:tc>
          <w:tcPr>
            <w:tcW w:w="7470" w:type="dxa"/>
            <w:tcBorders>
              <w:top w:val="single" w:sz="4" w:space="0" w:color="auto"/>
              <w:left w:val="single" w:sz="4" w:space="0" w:color="auto"/>
              <w:bottom w:val="single" w:sz="4" w:space="0" w:color="auto"/>
              <w:right w:val="single" w:sz="4" w:space="0" w:color="auto"/>
            </w:tcBorders>
            <w:hideMark/>
          </w:tcPr>
          <w:p w14:paraId="7014F134"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They establish that the provinces have the original dominion over the natural resources existing in their territory, and, therefore, may exercise all of the rights related to that dominion, including those related to the use.</w:t>
            </w:r>
          </w:p>
        </w:tc>
      </w:tr>
      <w:tr w:rsidR="001C3AF3" w:rsidRPr="006C06AD" w14:paraId="1B94E5AC" w14:textId="77777777" w:rsidTr="001C3AF3">
        <w:tc>
          <w:tcPr>
            <w:tcW w:w="1975" w:type="dxa"/>
            <w:tcBorders>
              <w:top w:val="single" w:sz="4" w:space="0" w:color="auto"/>
              <w:left w:val="single" w:sz="4" w:space="0" w:color="auto"/>
              <w:bottom w:val="single" w:sz="4" w:space="0" w:color="auto"/>
              <w:right w:val="single" w:sz="4" w:space="0" w:color="auto"/>
            </w:tcBorders>
            <w:hideMark/>
          </w:tcPr>
          <w:p w14:paraId="4D85DDCF"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Section 125</w:t>
            </w:r>
          </w:p>
          <w:p w14:paraId="239B33BB"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National Constitution</w:t>
            </w:r>
          </w:p>
        </w:tc>
        <w:tc>
          <w:tcPr>
            <w:tcW w:w="7470" w:type="dxa"/>
            <w:tcBorders>
              <w:top w:val="single" w:sz="4" w:space="0" w:color="auto"/>
              <w:left w:val="single" w:sz="4" w:space="0" w:color="auto"/>
              <w:bottom w:val="single" w:sz="4" w:space="0" w:color="auto"/>
              <w:right w:val="single" w:sz="4" w:space="0" w:color="auto"/>
            </w:tcBorders>
            <w:hideMark/>
          </w:tcPr>
          <w:p w14:paraId="141C4522"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The provinces may enter into partial treaties for purposes of the administration of justice, of economic interests, and works of common benefit, with the knowledge of the Federal Congress; and may promote their industry, immigration, the construction of railways and navigable canals, the colonization of provincial-owned lands; the introduction and establishment of new industries, the imports of foreign capitals and the exploration of their rivers, by means of laws protecting these ends and with their own resources.</w:t>
            </w:r>
          </w:p>
        </w:tc>
      </w:tr>
      <w:tr w:rsidR="001C3AF3" w:rsidRPr="006C06AD" w14:paraId="7C592950" w14:textId="77777777" w:rsidTr="001C3AF3">
        <w:tc>
          <w:tcPr>
            <w:tcW w:w="1975" w:type="dxa"/>
            <w:tcBorders>
              <w:top w:val="single" w:sz="4" w:space="0" w:color="auto"/>
              <w:left w:val="single" w:sz="4" w:space="0" w:color="auto"/>
              <w:bottom w:val="single" w:sz="4" w:space="0" w:color="auto"/>
              <w:right w:val="single" w:sz="4" w:space="0" w:color="auto"/>
            </w:tcBorders>
            <w:hideMark/>
          </w:tcPr>
          <w:p w14:paraId="3A3BB36D"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Section 31</w:t>
            </w:r>
          </w:p>
          <w:p w14:paraId="1F5F426D"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National Constitution</w:t>
            </w:r>
          </w:p>
        </w:tc>
        <w:tc>
          <w:tcPr>
            <w:tcW w:w="7470" w:type="dxa"/>
            <w:tcBorders>
              <w:top w:val="single" w:sz="4" w:space="0" w:color="auto"/>
              <w:left w:val="single" w:sz="4" w:space="0" w:color="auto"/>
              <w:bottom w:val="single" w:sz="4" w:space="0" w:color="auto"/>
              <w:right w:val="single" w:sz="4" w:space="0" w:color="auto"/>
            </w:tcBorders>
            <w:hideMark/>
          </w:tcPr>
          <w:p w14:paraId="248423AB"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Formal agreements between the States shall also be considered. That is, International Treaties in force constitute positive international law to those who are contracting parties, and in the cases specifically established in Section 31, are considered national law.</w:t>
            </w:r>
          </w:p>
        </w:tc>
      </w:tr>
      <w:tr w:rsidR="001C3AF3" w:rsidRPr="006C06AD" w14:paraId="6058484A" w14:textId="77777777" w:rsidTr="001C3AF3">
        <w:tc>
          <w:tcPr>
            <w:tcW w:w="1975" w:type="dxa"/>
            <w:tcBorders>
              <w:top w:val="single" w:sz="4" w:space="0" w:color="auto"/>
              <w:left w:val="single" w:sz="4" w:space="0" w:color="auto"/>
              <w:bottom w:val="single" w:sz="4" w:space="0" w:color="auto"/>
              <w:right w:val="single" w:sz="4" w:space="0" w:color="auto"/>
            </w:tcBorders>
            <w:hideMark/>
          </w:tcPr>
          <w:p w14:paraId="0392EC3C"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Law 25.675</w:t>
            </w:r>
          </w:p>
          <w:p w14:paraId="367D6B2D"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2002</w:t>
            </w:r>
          </w:p>
        </w:tc>
        <w:tc>
          <w:tcPr>
            <w:tcW w:w="7470" w:type="dxa"/>
            <w:tcBorders>
              <w:top w:val="single" w:sz="4" w:space="0" w:color="auto"/>
              <w:left w:val="single" w:sz="4" w:space="0" w:color="auto"/>
              <w:bottom w:val="single" w:sz="4" w:space="0" w:color="auto"/>
              <w:right w:val="single" w:sz="4" w:space="0" w:color="auto"/>
            </w:tcBorders>
            <w:hideMark/>
          </w:tcPr>
          <w:p w14:paraId="04856BBA"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General Environment Law provides minimum budgets to achieve a sustainable and appropriate management of the environment, the preservation and protection of biological diversity and the implementation of a sustainable development.</w:t>
            </w:r>
          </w:p>
          <w:p w14:paraId="0D8271E6"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In this context, the Provinces can regulate the aspects provided for by national laws, even improve or enlarge them, but never breach them. Accordingly, it establishes an inter-jurisdictional coordination federal system for the implementation of environmental policies at national and regional level (Section 1°, Subsection j), implemented by the Environmental Federal Council (COFEMA).</w:t>
            </w:r>
          </w:p>
        </w:tc>
      </w:tr>
      <w:tr w:rsidR="001C3AF3" w:rsidRPr="006C06AD" w14:paraId="2A3BD44E" w14:textId="77777777" w:rsidTr="001C3AF3">
        <w:tc>
          <w:tcPr>
            <w:tcW w:w="1975" w:type="dxa"/>
            <w:tcBorders>
              <w:top w:val="single" w:sz="4" w:space="0" w:color="auto"/>
              <w:left w:val="single" w:sz="4" w:space="0" w:color="auto"/>
              <w:bottom w:val="single" w:sz="4" w:space="0" w:color="auto"/>
              <w:right w:val="single" w:sz="4" w:space="0" w:color="auto"/>
            </w:tcBorders>
            <w:hideMark/>
          </w:tcPr>
          <w:p w14:paraId="35DA2084"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Law 25.675</w:t>
            </w:r>
          </w:p>
        </w:tc>
        <w:tc>
          <w:tcPr>
            <w:tcW w:w="7470" w:type="dxa"/>
            <w:tcBorders>
              <w:top w:val="single" w:sz="4" w:space="0" w:color="auto"/>
              <w:left w:val="single" w:sz="4" w:space="0" w:color="auto"/>
              <w:bottom w:val="single" w:sz="4" w:space="0" w:color="auto"/>
              <w:right w:val="single" w:sz="4" w:space="0" w:color="auto"/>
            </w:tcBorders>
            <w:hideMark/>
          </w:tcPr>
          <w:p w14:paraId="0C1E356F"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 xml:space="preserve">It establishes the principles of the national environmental policies as well as the minimum budgets and environmental damage. The legal good protected by this Law is the environment. It also establishes precautionary measures in urgency and has a special civil responsibility regime. It lists the instruments of environmental policy and management, such as land-use planning, environmental education, environmental information, citizen participation and the Environmental Impact Assessment of projects, as useful tool to avoid or mitigate the environmental damage they may cause. The Law regulates these </w:t>
            </w:r>
            <w:r w:rsidRPr="006C06AD">
              <w:rPr>
                <w:rFonts w:cs="Arial"/>
                <w:color w:val="000000"/>
                <w:sz w:val="20"/>
                <w:szCs w:val="20"/>
              </w:rPr>
              <w:lastRenderedPageBreak/>
              <w:t>instruments in a general way, establishing the institutional framework throughout the regulation. It also establishes the minimum requirements that a sectoral scheme must have, either Provincial or Municipal.</w:t>
            </w:r>
          </w:p>
          <w:p w14:paraId="7DF48FC1"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Section 11 of the Law states that “…any work susceptible to substantially degrade the environment, some of its components, or affect the population’s quality of life…” is subject to the environmental assessment procedure. The sectoral scheme or that of the venue where the work is implemented defines the activities that are susceptible of producing an environmental impact that this Section addresses. Complementary, citizen participation must be a validity requirement for this procedure.</w:t>
            </w:r>
          </w:p>
        </w:tc>
      </w:tr>
      <w:tr w:rsidR="001C3AF3" w:rsidRPr="006C06AD" w14:paraId="0E538B96" w14:textId="77777777" w:rsidTr="001C3AF3">
        <w:tc>
          <w:tcPr>
            <w:tcW w:w="1975" w:type="dxa"/>
            <w:tcBorders>
              <w:top w:val="single" w:sz="4" w:space="0" w:color="auto"/>
              <w:left w:val="single" w:sz="4" w:space="0" w:color="auto"/>
              <w:bottom w:val="single" w:sz="4" w:space="0" w:color="auto"/>
              <w:right w:val="single" w:sz="4" w:space="0" w:color="auto"/>
            </w:tcBorders>
            <w:hideMark/>
          </w:tcPr>
          <w:p w14:paraId="544C6B1C"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lastRenderedPageBreak/>
              <w:t>Law 25.831</w:t>
            </w:r>
          </w:p>
          <w:p w14:paraId="12B5E28C"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2004</w:t>
            </w:r>
          </w:p>
        </w:tc>
        <w:tc>
          <w:tcPr>
            <w:tcW w:w="7470" w:type="dxa"/>
            <w:tcBorders>
              <w:top w:val="single" w:sz="4" w:space="0" w:color="auto"/>
              <w:left w:val="single" w:sz="4" w:space="0" w:color="auto"/>
              <w:bottom w:val="single" w:sz="4" w:space="0" w:color="auto"/>
              <w:right w:val="single" w:sz="4" w:space="0" w:color="auto"/>
            </w:tcBorders>
            <w:hideMark/>
          </w:tcPr>
          <w:p w14:paraId="66C0D260"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The Free Access to Public Environmental Information Regime establishes the minimum budgets of environmental protection to guarantee the right to access to environmental information held by the State, at national, provincial and municipal level and as well as in the City of Buenos Aires; or the environmental information held by self-regulatory agencies and public service companies, either public, private or mixed entities.</w:t>
            </w:r>
          </w:p>
        </w:tc>
      </w:tr>
      <w:tr w:rsidR="001C3AF3" w:rsidRPr="006C06AD" w14:paraId="76EF9A15" w14:textId="77777777" w:rsidTr="001C3AF3">
        <w:tc>
          <w:tcPr>
            <w:tcW w:w="1975" w:type="dxa"/>
            <w:tcBorders>
              <w:top w:val="single" w:sz="4" w:space="0" w:color="auto"/>
              <w:left w:val="single" w:sz="4" w:space="0" w:color="auto"/>
              <w:bottom w:val="single" w:sz="4" w:space="0" w:color="auto"/>
              <w:right w:val="single" w:sz="4" w:space="0" w:color="auto"/>
            </w:tcBorders>
            <w:hideMark/>
          </w:tcPr>
          <w:p w14:paraId="361EC3BF"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Law No. 26331</w:t>
            </w:r>
          </w:p>
          <w:p w14:paraId="55485073"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2007</w:t>
            </w:r>
          </w:p>
        </w:tc>
        <w:tc>
          <w:tcPr>
            <w:tcW w:w="7470" w:type="dxa"/>
            <w:tcBorders>
              <w:top w:val="single" w:sz="4" w:space="0" w:color="auto"/>
              <w:left w:val="single" w:sz="4" w:space="0" w:color="auto"/>
              <w:bottom w:val="single" w:sz="4" w:space="0" w:color="auto"/>
              <w:right w:val="single" w:sz="4" w:space="0" w:color="auto"/>
            </w:tcBorders>
            <w:hideMark/>
          </w:tcPr>
          <w:p w14:paraId="5243325A"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Native Forests. It provides the minimum environmental protection budgets for the enrichment, restoration, conservation, exploitation and sustainable management of native forests and the environmental services they contribute to society, assimilating them as tangible and intangible benefits generated by the ecosystems of the native forest, which are necessary for the survival of the natural and biological system as a whole (water regulation, conservation of biodiversity, soil conservation and water quality, etc.).</w:t>
            </w:r>
          </w:p>
        </w:tc>
      </w:tr>
      <w:tr w:rsidR="001C3AF3" w:rsidRPr="006C06AD" w14:paraId="00C7AA3C" w14:textId="77777777" w:rsidTr="001C3AF3">
        <w:tc>
          <w:tcPr>
            <w:tcW w:w="94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70D57" w14:textId="77777777" w:rsidR="001C3AF3" w:rsidRPr="006C06AD" w:rsidRDefault="001C3AF3" w:rsidP="00C17775">
            <w:pPr>
              <w:autoSpaceDE w:val="0"/>
              <w:autoSpaceDN w:val="0"/>
              <w:adjustRightInd w:val="0"/>
              <w:jc w:val="both"/>
              <w:rPr>
                <w:rFonts w:cs="Arial"/>
                <w:b/>
                <w:color w:val="000000"/>
                <w:sz w:val="20"/>
                <w:szCs w:val="20"/>
              </w:rPr>
            </w:pPr>
            <w:r w:rsidRPr="006C06AD">
              <w:rPr>
                <w:rFonts w:cs="Arial"/>
                <w:b/>
                <w:color w:val="000000"/>
                <w:sz w:val="20"/>
                <w:szCs w:val="20"/>
              </w:rPr>
              <w:t>Climate change</w:t>
            </w:r>
          </w:p>
        </w:tc>
      </w:tr>
      <w:tr w:rsidR="001C3AF3" w:rsidRPr="006C06AD" w14:paraId="751C0AA2" w14:textId="77777777" w:rsidTr="001C3AF3">
        <w:tc>
          <w:tcPr>
            <w:tcW w:w="1975" w:type="dxa"/>
            <w:tcBorders>
              <w:top w:val="single" w:sz="4" w:space="0" w:color="auto"/>
              <w:left w:val="single" w:sz="4" w:space="0" w:color="auto"/>
              <w:bottom w:val="single" w:sz="4" w:space="0" w:color="auto"/>
              <w:right w:val="single" w:sz="4" w:space="0" w:color="auto"/>
            </w:tcBorders>
            <w:hideMark/>
          </w:tcPr>
          <w:p w14:paraId="06DA7B4B"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Law 27270 and Decree 1033/2016</w:t>
            </w:r>
          </w:p>
        </w:tc>
        <w:tc>
          <w:tcPr>
            <w:tcW w:w="7470" w:type="dxa"/>
            <w:tcBorders>
              <w:top w:val="single" w:sz="4" w:space="0" w:color="auto"/>
              <w:left w:val="single" w:sz="4" w:space="0" w:color="auto"/>
              <w:bottom w:val="single" w:sz="4" w:space="0" w:color="auto"/>
              <w:right w:val="single" w:sz="4" w:space="0" w:color="auto"/>
            </w:tcBorders>
            <w:hideMark/>
          </w:tcPr>
          <w:p w14:paraId="06B8A845"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Approval of the Paris Agreement</w:t>
            </w:r>
          </w:p>
        </w:tc>
      </w:tr>
      <w:tr w:rsidR="001C3AF3" w:rsidRPr="006C06AD" w14:paraId="10B63C97" w14:textId="77777777" w:rsidTr="001C3AF3">
        <w:tc>
          <w:tcPr>
            <w:tcW w:w="1975" w:type="dxa"/>
            <w:tcBorders>
              <w:top w:val="single" w:sz="4" w:space="0" w:color="auto"/>
              <w:left w:val="single" w:sz="4" w:space="0" w:color="auto"/>
              <w:bottom w:val="single" w:sz="4" w:space="0" w:color="auto"/>
              <w:right w:val="single" w:sz="4" w:space="0" w:color="auto"/>
            </w:tcBorders>
            <w:hideMark/>
          </w:tcPr>
          <w:p w14:paraId="4FD0EDD0"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Law 24295 y Decree 2213/2002</w:t>
            </w:r>
          </w:p>
        </w:tc>
        <w:tc>
          <w:tcPr>
            <w:tcW w:w="7470" w:type="dxa"/>
            <w:tcBorders>
              <w:top w:val="single" w:sz="4" w:space="0" w:color="auto"/>
              <w:left w:val="single" w:sz="4" w:space="0" w:color="auto"/>
              <w:bottom w:val="single" w:sz="4" w:space="0" w:color="auto"/>
              <w:right w:val="single" w:sz="4" w:space="0" w:color="auto"/>
            </w:tcBorders>
            <w:hideMark/>
          </w:tcPr>
          <w:p w14:paraId="1D4017A9"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Approval of the United Nations Convention on Climate Change.</w:t>
            </w:r>
          </w:p>
          <w:p w14:paraId="3ED872BB"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It recognizes that all countries, especially developing countries, need to have access to the resources needed to achieve sustainable economic and social development. It also acknowledges that developing countries, in order to move towards that goal, will need to increase their energy consumption, taking into account the possibilities of achieving greater energy efficiency and of controlling greenhouse gas emissions in general, inter alia, through the application of new technologies under certain conditions that make that an application economically and socially beneficial.</w:t>
            </w:r>
          </w:p>
        </w:tc>
      </w:tr>
      <w:tr w:rsidR="001C3AF3" w:rsidRPr="006C06AD" w14:paraId="5891A9C6" w14:textId="77777777" w:rsidTr="001C3AF3">
        <w:tc>
          <w:tcPr>
            <w:tcW w:w="1975" w:type="dxa"/>
            <w:tcBorders>
              <w:top w:val="single" w:sz="4" w:space="0" w:color="auto"/>
              <w:left w:val="single" w:sz="4" w:space="0" w:color="auto"/>
              <w:bottom w:val="single" w:sz="4" w:space="0" w:color="auto"/>
              <w:right w:val="single" w:sz="4" w:space="0" w:color="auto"/>
            </w:tcBorders>
          </w:tcPr>
          <w:p w14:paraId="3A3F195D"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Order 248/2005</w:t>
            </w:r>
          </w:p>
          <w:p w14:paraId="21BCDA95" w14:textId="77777777" w:rsidR="001C3AF3" w:rsidRPr="006C06AD" w:rsidRDefault="001C3AF3" w:rsidP="00C17775">
            <w:pPr>
              <w:autoSpaceDE w:val="0"/>
              <w:autoSpaceDN w:val="0"/>
              <w:adjustRightInd w:val="0"/>
              <w:jc w:val="both"/>
              <w:rPr>
                <w:rFonts w:cs="Arial"/>
                <w:color w:val="000000"/>
                <w:sz w:val="20"/>
                <w:szCs w:val="20"/>
              </w:rPr>
            </w:pPr>
          </w:p>
        </w:tc>
        <w:tc>
          <w:tcPr>
            <w:tcW w:w="7470" w:type="dxa"/>
            <w:tcBorders>
              <w:top w:val="single" w:sz="4" w:space="0" w:color="auto"/>
              <w:left w:val="single" w:sz="4" w:space="0" w:color="auto"/>
              <w:bottom w:val="single" w:sz="4" w:space="0" w:color="auto"/>
              <w:right w:val="single" w:sz="4" w:space="0" w:color="auto"/>
            </w:tcBorders>
            <w:hideMark/>
          </w:tcPr>
          <w:p w14:paraId="651A38C7"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 xml:space="preserve">Creation of the National Climate Scenarios </w:t>
            </w:r>
            <w:r w:rsidR="00123F65" w:rsidRPr="006C06AD">
              <w:rPr>
                <w:rFonts w:cs="Arial"/>
                <w:color w:val="000000"/>
                <w:sz w:val="20"/>
                <w:szCs w:val="20"/>
              </w:rPr>
              <w:t>Project</w:t>
            </w:r>
          </w:p>
          <w:p w14:paraId="3A012267"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 xml:space="preserve">It adopts the national </w:t>
            </w:r>
            <w:r w:rsidR="00123F65" w:rsidRPr="006C06AD">
              <w:rPr>
                <w:rFonts w:cs="Arial"/>
                <w:color w:val="000000"/>
                <w:sz w:val="20"/>
                <w:szCs w:val="20"/>
              </w:rPr>
              <w:t>Project</w:t>
            </w:r>
            <w:r w:rsidRPr="006C06AD">
              <w:rPr>
                <w:rFonts w:cs="Arial"/>
                <w:color w:val="000000"/>
                <w:sz w:val="20"/>
                <w:szCs w:val="20"/>
              </w:rPr>
              <w:t xml:space="preserve"> of Climate Scenarios, related to the fulfillment of the commitments emerging from the ratification of the United Nations Framework Convention on Climate Change.</w:t>
            </w:r>
          </w:p>
        </w:tc>
      </w:tr>
      <w:tr w:rsidR="001C3AF3" w:rsidRPr="006C06AD" w14:paraId="01D356C3" w14:textId="77777777" w:rsidTr="001C3AF3">
        <w:tc>
          <w:tcPr>
            <w:tcW w:w="1975" w:type="dxa"/>
            <w:tcBorders>
              <w:top w:val="single" w:sz="4" w:space="0" w:color="auto"/>
              <w:left w:val="single" w:sz="4" w:space="0" w:color="auto"/>
              <w:bottom w:val="single" w:sz="4" w:space="0" w:color="auto"/>
              <w:right w:val="single" w:sz="4" w:space="0" w:color="auto"/>
            </w:tcBorders>
            <w:hideMark/>
          </w:tcPr>
          <w:p w14:paraId="672B0165"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Decree 891/2016</w:t>
            </w:r>
          </w:p>
        </w:tc>
        <w:tc>
          <w:tcPr>
            <w:tcW w:w="7470" w:type="dxa"/>
            <w:tcBorders>
              <w:top w:val="single" w:sz="4" w:space="0" w:color="auto"/>
              <w:left w:val="single" w:sz="4" w:space="0" w:color="auto"/>
              <w:bottom w:val="single" w:sz="4" w:space="0" w:color="auto"/>
              <w:right w:val="single" w:sz="4" w:space="0" w:color="auto"/>
            </w:tcBorders>
            <w:hideMark/>
          </w:tcPr>
          <w:p w14:paraId="77E1722E"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Creation of the National Cabinet for Climate Change.</w:t>
            </w:r>
          </w:p>
          <w:p w14:paraId="1EE63D88"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This body is chaired by the chief of Cabinet of Ministers and composed by holders of national ministerial portfolios who must propose a Plan of response to climate change together with sector plans.</w:t>
            </w:r>
          </w:p>
        </w:tc>
      </w:tr>
      <w:tr w:rsidR="001C3AF3" w:rsidRPr="006C06AD" w14:paraId="47E41B56" w14:textId="77777777" w:rsidTr="001C3AF3">
        <w:tc>
          <w:tcPr>
            <w:tcW w:w="1975" w:type="dxa"/>
            <w:tcBorders>
              <w:top w:val="single" w:sz="4" w:space="0" w:color="auto"/>
              <w:left w:val="single" w:sz="4" w:space="0" w:color="auto"/>
              <w:bottom w:val="single" w:sz="4" w:space="0" w:color="auto"/>
              <w:right w:val="single" w:sz="4" w:space="0" w:color="auto"/>
            </w:tcBorders>
            <w:hideMark/>
          </w:tcPr>
          <w:p w14:paraId="23B42DD7"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Law 27137 amending law 25438</w:t>
            </w:r>
          </w:p>
        </w:tc>
        <w:tc>
          <w:tcPr>
            <w:tcW w:w="7470" w:type="dxa"/>
            <w:tcBorders>
              <w:top w:val="single" w:sz="4" w:space="0" w:color="auto"/>
              <w:left w:val="single" w:sz="4" w:space="0" w:color="auto"/>
              <w:bottom w:val="single" w:sz="4" w:space="0" w:color="auto"/>
              <w:right w:val="single" w:sz="4" w:space="0" w:color="auto"/>
            </w:tcBorders>
            <w:hideMark/>
          </w:tcPr>
          <w:p w14:paraId="524F5105"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Amendment to the Kyoto Protocol</w:t>
            </w:r>
          </w:p>
        </w:tc>
      </w:tr>
      <w:tr w:rsidR="001C3AF3" w:rsidRPr="006C06AD" w14:paraId="4409F89A" w14:textId="77777777" w:rsidTr="001C3AF3">
        <w:tc>
          <w:tcPr>
            <w:tcW w:w="94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F98903" w14:textId="77777777" w:rsidR="001C3AF3" w:rsidRPr="006C06AD" w:rsidRDefault="001C3AF3" w:rsidP="00C17775">
            <w:pPr>
              <w:autoSpaceDE w:val="0"/>
              <w:autoSpaceDN w:val="0"/>
              <w:adjustRightInd w:val="0"/>
              <w:jc w:val="both"/>
              <w:rPr>
                <w:rFonts w:cs="Arial"/>
                <w:b/>
                <w:color w:val="000000"/>
                <w:sz w:val="20"/>
                <w:szCs w:val="20"/>
              </w:rPr>
            </w:pPr>
            <w:r w:rsidRPr="006C06AD">
              <w:rPr>
                <w:rFonts w:cs="Arial"/>
                <w:b/>
                <w:color w:val="000000"/>
                <w:sz w:val="20"/>
                <w:szCs w:val="20"/>
              </w:rPr>
              <w:t>Renewable energy</w:t>
            </w:r>
          </w:p>
        </w:tc>
      </w:tr>
      <w:tr w:rsidR="001C3AF3" w:rsidRPr="006C06AD" w14:paraId="1CC9A0B7" w14:textId="77777777" w:rsidTr="001C3AF3">
        <w:tc>
          <w:tcPr>
            <w:tcW w:w="1975" w:type="dxa"/>
            <w:tcBorders>
              <w:top w:val="single" w:sz="4" w:space="0" w:color="auto"/>
              <w:left w:val="single" w:sz="4" w:space="0" w:color="auto"/>
              <w:bottom w:val="single" w:sz="4" w:space="0" w:color="auto"/>
              <w:right w:val="single" w:sz="4" w:space="0" w:color="auto"/>
            </w:tcBorders>
            <w:hideMark/>
          </w:tcPr>
          <w:p w14:paraId="4D9314D8"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Law 27191 (amending Law 26190) and Regulatory Decree 531/2016.</w:t>
            </w:r>
          </w:p>
        </w:tc>
        <w:tc>
          <w:tcPr>
            <w:tcW w:w="7470" w:type="dxa"/>
            <w:tcBorders>
              <w:top w:val="single" w:sz="4" w:space="0" w:color="auto"/>
              <w:left w:val="single" w:sz="4" w:space="0" w:color="auto"/>
              <w:bottom w:val="single" w:sz="4" w:space="0" w:color="auto"/>
              <w:right w:val="single" w:sz="4" w:space="0" w:color="auto"/>
            </w:tcBorders>
            <w:hideMark/>
          </w:tcPr>
          <w:p w14:paraId="1E9387B3"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Regime of National Promotion for the Use of Renewable Sources of Energy destined to the production of Renewable Energy. It establishes the promotion the development of enterprises for the generation of electrical energy from renewable sources of energy.</w:t>
            </w:r>
          </w:p>
        </w:tc>
      </w:tr>
      <w:tr w:rsidR="001C3AF3" w:rsidRPr="006C06AD" w14:paraId="76A07447" w14:textId="77777777" w:rsidTr="001C3AF3">
        <w:tc>
          <w:tcPr>
            <w:tcW w:w="1975" w:type="dxa"/>
            <w:tcBorders>
              <w:top w:val="single" w:sz="4" w:space="0" w:color="auto"/>
              <w:left w:val="single" w:sz="4" w:space="0" w:color="auto"/>
              <w:bottom w:val="single" w:sz="4" w:space="0" w:color="auto"/>
              <w:right w:val="single" w:sz="4" w:space="0" w:color="auto"/>
            </w:tcBorders>
            <w:hideMark/>
          </w:tcPr>
          <w:p w14:paraId="7E275947"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Order 331/2016</w:t>
            </w:r>
          </w:p>
        </w:tc>
        <w:tc>
          <w:tcPr>
            <w:tcW w:w="7470" w:type="dxa"/>
            <w:tcBorders>
              <w:top w:val="single" w:sz="4" w:space="0" w:color="auto"/>
              <w:left w:val="single" w:sz="4" w:space="0" w:color="auto"/>
              <w:bottom w:val="single" w:sz="4" w:space="0" w:color="auto"/>
              <w:right w:val="single" w:sz="4" w:space="0" w:color="auto"/>
            </w:tcBorders>
            <w:hideMark/>
          </w:tcPr>
          <w:p w14:paraId="4698FFF7" w14:textId="77777777" w:rsidR="001C3AF3" w:rsidRPr="006C06AD" w:rsidRDefault="001C3AF3" w:rsidP="00C17775">
            <w:pPr>
              <w:autoSpaceDE w:val="0"/>
              <w:autoSpaceDN w:val="0"/>
              <w:adjustRightInd w:val="0"/>
              <w:jc w:val="both"/>
              <w:rPr>
                <w:rFonts w:cs="Arial"/>
                <w:color w:val="000000"/>
                <w:sz w:val="20"/>
                <w:szCs w:val="20"/>
              </w:rPr>
            </w:pPr>
            <w:r w:rsidRPr="006C06AD">
              <w:rPr>
                <w:rFonts w:cs="Arial"/>
                <w:color w:val="000000"/>
                <w:sz w:val="20"/>
                <w:szCs w:val="20"/>
              </w:rPr>
              <w:t>Creation of a National Strategy for Sustainable Production and Consumption: Organizational structure and actions of each involved agency.</w:t>
            </w:r>
          </w:p>
        </w:tc>
      </w:tr>
    </w:tbl>
    <w:p w14:paraId="0499C7ED" w14:textId="77777777" w:rsidR="001C3AF3" w:rsidRPr="006C06AD" w:rsidRDefault="001C3AF3">
      <w:pPr>
        <w:spacing w:line="276" w:lineRule="auto"/>
        <w:jc w:val="both"/>
        <w:rPr>
          <w:sz w:val="20"/>
          <w:szCs w:val="20"/>
        </w:rPr>
      </w:pPr>
    </w:p>
    <w:p w14:paraId="1A977397" w14:textId="77777777" w:rsidR="008D4F7D" w:rsidRPr="006C06AD" w:rsidRDefault="001C3AF3" w:rsidP="00C17775">
      <w:pPr>
        <w:keepNext/>
        <w:spacing w:line="276" w:lineRule="auto"/>
        <w:jc w:val="both"/>
        <w:rPr>
          <w:sz w:val="20"/>
          <w:szCs w:val="20"/>
        </w:rPr>
      </w:pPr>
      <w:r w:rsidRPr="006C06AD">
        <w:rPr>
          <w:sz w:val="20"/>
          <w:szCs w:val="20"/>
        </w:rPr>
        <w:lastRenderedPageBreak/>
        <w:t xml:space="preserve">Other </w:t>
      </w:r>
      <w:r w:rsidR="002A2B08" w:rsidRPr="006C06AD">
        <w:rPr>
          <w:sz w:val="20"/>
          <w:szCs w:val="20"/>
        </w:rPr>
        <w:t xml:space="preserve">relevant </w:t>
      </w:r>
      <w:r w:rsidR="002902F9" w:rsidRPr="006C06AD">
        <w:rPr>
          <w:sz w:val="20"/>
          <w:szCs w:val="20"/>
        </w:rPr>
        <w:t xml:space="preserve">environmental and social </w:t>
      </w:r>
      <w:r w:rsidR="008D4F7D" w:rsidRPr="006C06AD">
        <w:rPr>
          <w:sz w:val="20"/>
          <w:szCs w:val="20"/>
        </w:rPr>
        <w:t>norms at the national level include:</w:t>
      </w:r>
    </w:p>
    <w:p w14:paraId="3F3A2CF1" w14:textId="77777777" w:rsidR="008D4F7D" w:rsidRPr="006C06AD" w:rsidRDefault="008D4F7D">
      <w:pPr>
        <w:pStyle w:val="ListParagraph"/>
        <w:numPr>
          <w:ilvl w:val="0"/>
          <w:numId w:val="14"/>
        </w:numPr>
        <w:jc w:val="both"/>
        <w:rPr>
          <w:sz w:val="20"/>
          <w:szCs w:val="20"/>
        </w:rPr>
      </w:pPr>
      <w:r w:rsidRPr="006C06AD">
        <w:rPr>
          <w:sz w:val="20"/>
          <w:szCs w:val="20"/>
        </w:rPr>
        <w:t xml:space="preserve">International treaties ratified by Argentina, such as: protection of cultural heritage, CITES, Convention of Vienna, Protocol of Montreal, Convention on Migratory Species, RAMSAR Convention, </w:t>
      </w:r>
      <w:r w:rsidR="00C0006B" w:rsidRPr="006C06AD">
        <w:rPr>
          <w:sz w:val="20"/>
          <w:szCs w:val="20"/>
        </w:rPr>
        <w:t xml:space="preserve">Basel </w:t>
      </w:r>
      <w:r w:rsidRPr="006C06AD">
        <w:rPr>
          <w:sz w:val="20"/>
          <w:szCs w:val="20"/>
        </w:rPr>
        <w:t xml:space="preserve">Convention, UNFCCC, CBD, Kyoto Protocol, etc. </w:t>
      </w:r>
    </w:p>
    <w:p w14:paraId="35DADF29" w14:textId="77777777" w:rsidR="008D4F7D" w:rsidRPr="006C06AD" w:rsidRDefault="008D4F7D">
      <w:pPr>
        <w:pStyle w:val="ListParagraph"/>
        <w:numPr>
          <w:ilvl w:val="0"/>
          <w:numId w:val="14"/>
        </w:numPr>
        <w:jc w:val="both"/>
        <w:rPr>
          <w:sz w:val="20"/>
          <w:szCs w:val="20"/>
        </w:rPr>
      </w:pPr>
      <w:r w:rsidRPr="006C06AD">
        <w:rPr>
          <w:sz w:val="20"/>
          <w:szCs w:val="20"/>
        </w:rPr>
        <w:t>Law</w:t>
      </w:r>
      <w:r w:rsidR="001C3AF3" w:rsidRPr="006C06AD">
        <w:rPr>
          <w:sz w:val="20"/>
          <w:szCs w:val="20"/>
        </w:rPr>
        <w:t>s</w:t>
      </w:r>
      <w:r w:rsidRPr="006C06AD">
        <w:rPr>
          <w:sz w:val="20"/>
          <w:szCs w:val="20"/>
        </w:rPr>
        <w:t xml:space="preserve"> on </w:t>
      </w:r>
      <w:r w:rsidR="002902F9" w:rsidRPr="006C06AD">
        <w:rPr>
          <w:sz w:val="20"/>
          <w:szCs w:val="20"/>
        </w:rPr>
        <w:t>national parks</w:t>
      </w:r>
      <w:r w:rsidR="001C3AF3" w:rsidRPr="006C06AD">
        <w:rPr>
          <w:sz w:val="20"/>
          <w:szCs w:val="20"/>
        </w:rPr>
        <w:t xml:space="preserve">, conservation of wildlife and biodiversity, defense of forests, national parks, monuments, and natural reserves </w:t>
      </w:r>
    </w:p>
    <w:p w14:paraId="28AFF7EB" w14:textId="77777777" w:rsidR="008D4F7D" w:rsidRPr="006C06AD" w:rsidRDefault="008D4F7D">
      <w:pPr>
        <w:pStyle w:val="ListParagraph"/>
        <w:numPr>
          <w:ilvl w:val="0"/>
          <w:numId w:val="14"/>
        </w:numPr>
        <w:jc w:val="both"/>
        <w:rPr>
          <w:sz w:val="20"/>
          <w:szCs w:val="20"/>
        </w:rPr>
      </w:pPr>
      <w:r w:rsidRPr="006C06AD">
        <w:rPr>
          <w:sz w:val="20"/>
          <w:szCs w:val="20"/>
        </w:rPr>
        <w:t xml:space="preserve">Law on </w:t>
      </w:r>
      <w:r w:rsidR="002902F9" w:rsidRPr="006C06AD">
        <w:rPr>
          <w:sz w:val="20"/>
          <w:szCs w:val="20"/>
        </w:rPr>
        <w:t xml:space="preserve">air quality conservation and </w:t>
      </w:r>
      <w:r w:rsidRPr="006C06AD">
        <w:rPr>
          <w:sz w:val="20"/>
          <w:szCs w:val="20"/>
        </w:rPr>
        <w:t>Argentinean Fund to promote CDM</w:t>
      </w:r>
    </w:p>
    <w:p w14:paraId="01C6CBEA" w14:textId="77777777" w:rsidR="00291CFE" w:rsidRPr="006C06AD" w:rsidRDefault="00CC70DF">
      <w:pPr>
        <w:pStyle w:val="ListParagraph"/>
        <w:numPr>
          <w:ilvl w:val="0"/>
          <w:numId w:val="14"/>
        </w:numPr>
        <w:jc w:val="both"/>
        <w:rPr>
          <w:sz w:val="20"/>
          <w:szCs w:val="20"/>
        </w:rPr>
      </w:pPr>
      <w:r w:rsidRPr="006C06AD">
        <w:rPr>
          <w:sz w:val="20"/>
          <w:szCs w:val="20"/>
        </w:rPr>
        <w:t>Law on protection of cultural heritage</w:t>
      </w:r>
    </w:p>
    <w:p w14:paraId="428985CE" w14:textId="77777777" w:rsidR="00CC70DF" w:rsidRPr="006C06AD" w:rsidRDefault="00CC70DF">
      <w:pPr>
        <w:pStyle w:val="ListParagraph"/>
        <w:numPr>
          <w:ilvl w:val="0"/>
          <w:numId w:val="14"/>
        </w:numPr>
        <w:jc w:val="both"/>
        <w:rPr>
          <w:sz w:val="20"/>
          <w:szCs w:val="20"/>
        </w:rPr>
      </w:pPr>
      <w:r w:rsidRPr="006C06AD">
        <w:rPr>
          <w:sz w:val="20"/>
          <w:szCs w:val="20"/>
        </w:rPr>
        <w:t xml:space="preserve">Law on </w:t>
      </w:r>
      <w:r w:rsidR="002902F9" w:rsidRPr="006C06AD">
        <w:rPr>
          <w:sz w:val="20"/>
          <w:szCs w:val="20"/>
        </w:rPr>
        <w:t>promotion of preferred industries</w:t>
      </w:r>
    </w:p>
    <w:p w14:paraId="30DF19B7" w14:textId="77777777" w:rsidR="00CC70DF" w:rsidRPr="006C06AD" w:rsidRDefault="00CC70DF">
      <w:pPr>
        <w:pStyle w:val="ListParagraph"/>
        <w:numPr>
          <w:ilvl w:val="0"/>
          <w:numId w:val="14"/>
        </w:numPr>
        <w:jc w:val="both"/>
        <w:rPr>
          <w:sz w:val="20"/>
          <w:szCs w:val="20"/>
        </w:rPr>
      </w:pPr>
      <w:r w:rsidRPr="006C06AD">
        <w:rPr>
          <w:sz w:val="20"/>
          <w:szCs w:val="20"/>
        </w:rPr>
        <w:t>Law</w:t>
      </w:r>
      <w:r w:rsidR="001C3AF3" w:rsidRPr="006C06AD">
        <w:rPr>
          <w:sz w:val="20"/>
          <w:szCs w:val="20"/>
        </w:rPr>
        <w:t>s</w:t>
      </w:r>
      <w:r w:rsidRPr="006C06AD">
        <w:rPr>
          <w:sz w:val="20"/>
          <w:szCs w:val="20"/>
        </w:rPr>
        <w:t xml:space="preserve"> on </w:t>
      </w:r>
      <w:r w:rsidR="001C3AF3" w:rsidRPr="006C06AD">
        <w:rPr>
          <w:sz w:val="20"/>
          <w:szCs w:val="20"/>
        </w:rPr>
        <w:t xml:space="preserve">traffic, </w:t>
      </w:r>
      <w:r w:rsidR="002902F9" w:rsidRPr="006C06AD">
        <w:rPr>
          <w:sz w:val="20"/>
          <w:szCs w:val="20"/>
        </w:rPr>
        <w:t>occupational h</w:t>
      </w:r>
      <w:r w:rsidRPr="006C06AD">
        <w:rPr>
          <w:sz w:val="20"/>
          <w:szCs w:val="20"/>
        </w:rPr>
        <w:t>ealth and safety</w:t>
      </w:r>
      <w:r w:rsidR="001C3AF3" w:rsidRPr="006C06AD">
        <w:rPr>
          <w:sz w:val="20"/>
          <w:szCs w:val="20"/>
        </w:rPr>
        <w:t xml:space="preserve"> and accidents and illnesses, prevention of risks at wor</w:t>
      </w:r>
      <w:r w:rsidR="00172581" w:rsidRPr="006C06AD">
        <w:rPr>
          <w:sz w:val="20"/>
          <w:szCs w:val="20"/>
        </w:rPr>
        <w:t>k</w:t>
      </w:r>
    </w:p>
    <w:p w14:paraId="79EA3ED8" w14:textId="77777777" w:rsidR="00CC70DF" w:rsidRPr="006C06AD" w:rsidRDefault="00CC70DF">
      <w:pPr>
        <w:pStyle w:val="ListParagraph"/>
        <w:numPr>
          <w:ilvl w:val="0"/>
          <w:numId w:val="14"/>
        </w:numPr>
        <w:jc w:val="both"/>
        <w:rPr>
          <w:sz w:val="20"/>
          <w:szCs w:val="20"/>
        </w:rPr>
      </w:pPr>
      <w:r w:rsidRPr="006C06AD">
        <w:rPr>
          <w:sz w:val="20"/>
          <w:szCs w:val="20"/>
        </w:rPr>
        <w:t>Law on national regime for wind and solar energy</w:t>
      </w:r>
    </w:p>
    <w:p w14:paraId="2A79DB9B" w14:textId="77777777" w:rsidR="00CC70DF" w:rsidRPr="00672C33" w:rsidRDefault="00CC70DF">
      <w:pPr>
        <w:pStyle w:val="ListParagraph"/>
        <w:numPr>
          <w:ilvl w:val="0"/>
          <w:numId w:val="14"/>
        </w:numPr>
        <w:jc w:val="both"/>
        <w:rPr>
          <w:sz w:val="20"/>
          <w:szCs w:val="20"/>
        </w:rPr>
      </w:pPr>
      <w:r w:rsidRPr="00672C33">
        <w:rPr>
          <w:sz w:val="20"/>
          <w:szCs w:val="20"/>
        </w:rPr>
        <w:t>Law on promotion of renewable sources for renewable energy generation</w:t>
      </w:r>
    </w:p>
    <w:p w14:paraId="1FEA9BF5" w14:textId="77777777" w:rsidR="001C3AF3" w:rsidRPr="00672C33" w:rsidRDefault="001C3AF3" w:rsidP="00C17775">
      <w:pPr>
        <w:pStyle w:val="CommentText"/>
        <w:jc w:val="both"/>
      </w:pPr>
      <w:r w:rsidRPr="00C17775">
        <w:t xml:space="preserve">A more detailed analysis of local legislation relevant to eligible </w:t>
      </w:r>
      <w:r w:rsidR="0028758B" w:rsidRPr="00C17775">
        <w:t>sub-projects</w:t>
      </w:r>
      <w:r w:rsidRPr="00C17775">
        <w:t>, including a gap analysis</w:t>
      </w:r>
      <w:r w:rsidR="00672C33" w:rsidRPr="00C17775">
        <w:t xml:space="preserve"> of how the laws comply with IDB requirements</w:t>
      </w:r>
      <w:r w:rsidRPr="00C17775">
        <w:t>, is part of the standard preparation of Loans by IDB and will be undertaken in the preparation of the Loan.</w:t>
      </w:r>
      <w:r w:rsidRPr="00672C33">
        <w:t xml:space="preserve">  </w:t>
      </w:r>
    </w:p>
    <w:p w14:paraId="066DC6E5" w14:textId="77777777" w:rsidR="0006245B" w:rsidRPr="006C06AD" w:rsidRDefault="008D5CF6" w:rsidP="00C17775">
      <w:pPr>
        <w:spacing w:line="276" w:lineRule="auto"/>
        <w:jc w:val="both"/>
        <w:rPr>
          <w:sz w:val="20"/>
          <w:szCs w:val="20"/>
        </w:rPr>
      </w:pPr>
      <w:r w:rsidRPr="00672C33">
        <w:rPr>
          <w:sz w:val="20"/>
          <w:szCs w:val="20"/>
        </w:rPr>
        <w:t xml:space="preserve">At the </w:t>
      </w:r>
      <w:r w:rsidR="00490864" w:rsidRPr="00672C33">
        <w:rPr>
          <w:sz w:val="20"/>
          <w:szCs w:val="20"/>
        </w:rPr>
        <w:t xml:space="preserve">provincial </w:t>
      </w:r>
      <w:r w:rsidRPr="00672C33">
        <w:rPr>
          <w:sz w:val="20"/>
          <w:szCs w:val="20"/>
        </w:rPr>
        <w:t>level, each</w:t>
      </w:r>
      <w:r w:rsidRPr="006C06AD">
        <w:rPr>
          <w:sz w:val="20"/>
          <w:szCs w:val="20"/>
        </w:rPr>
        <w:t xml:space="preserve"> </w:t>
      </w:r>
      <w:r w:rsidR="00490864" w:rsidRPr="006C06AD">
        <w:rPr>
          <w:sz w:val="20"/>
          <w:szCs w:val="20"/>
        </w:rPr>
        <w:t xml:space="preserve">province’s Constitution </w:t>
      </w:r>
      <w:r w:rsidRPr="006C06AD">
        <w:rPr>
          <w:sz w:val="20"/>
          <w:szCs w:val="20"/>
        </w:rPr>
        <w:t xml:space="preserve">and legal framework establishes specific requirements for environmental, social, health and safety matters regarding renewable energy developments, including the review and approval of the EIA and issuance of </w:t>
      </w:r>
      <w:r w:rsidR="00490864" w:rsidRPr="006C06AD">
        <w:rPr>
          <w:sz w:val="20"/>
          <w:szCs w:val="20"/>
        </w:rPr>
        <w:t>province</w:t>
      </w:r>
      <w:r w:rsidRPr="006C06AD">
        <w:rPr>
          <w:sz w:val="20"/>
          <w:szCs w:val="20"/>
        </w:rPr>
        <w:t xml:space="preserve">-level permits. At the </w:t>
      </w:r>
      <w:r w:rsidR="00490864" w:rsidRPr="006C06AD">
        <w:rPr>
          <w:sz w:val="20"/>
          <w:szCs w:val="20"/>
        </w:rPr>
        <w:t xml:space="preserve">municipal </w:t>
      </w:r>
      <w:r w:rsidRPr="006C06AD">
        <w:rPr>
          <w:sz w:val="20"/>
          <w:szCs w:val="20"/>
        </w:rPr>
        <w:t xml:space="preserve">level, other permits and authorizations are required, including public consultation requirements, waste management, construction permits, among others. </w:t>
      </w:r>
    </w:p>
    <w:p w14:paraId="3C73FE35" w14:textId="77777777" w:rsidR="008D5CF6" w:rsidRPr="006C06AD" w:rsidRDefault="008D5CF6" w:rsidP="00C17775">
      <w:pPr>
        <w:spacing w:line="276" w:lineRule="auto"/>
        <w:jc w:val="both"/>
        <w:rPr>
          <w:sz w:val="20"/>
          <w:szCs w:val="20"/>
        </w:rPr>
      </w:pPr>
      <w:r w:rsidRPr="006C06AD">
        <w:rPr>
          <w:sz w:val="20"/>
          <w:szCs w:val="20"/>
        </w:rPr>
        <w:t xml:space="preserve">Compliance with national, province and municipal laws and regulations will be required for </w:t>
      </w:r>
      <w:r w:rsidR="0028758B">
        <w:rPr>
          <w:sz w:val="20"/>
          <w:szCs w:val="20"/>
        </w:rPr>
        <w:t>sub-</w:t>
      </w:r>
      <w:r w:rsidR="008E7106" w:rsidRPr="006C06AD">
        <w:rPr>
          <w:sz w:val="20"/>
          <w:szCs w:val="20"/>
        </w:rPr>
        <w:t>project</w:t>
      </w:r>
      <w:r w:rsidRPr="006C06AD">
        <w:rPr>
          <w:sz w:val="20"/>
          <w:szCs w:val="20"/>
        </w:rPr>
        <w:t xml:space="preserve">s financed under the </w:t>
      </w:r>
      <w:r w:rsidR="00123F65" w:rsidRPr="006C06AD">
        <w:rPr>
          <w:sz w:val="20"/>
          <w:szCs w:val="20"/>
        </w:rPr>
        <w:t>Project</w:t>
      </w:r>
      <w:r w:rsidR="007A4901" w:rsidRPr="006C06AD">
        <w:rPr>
          <w:sz w:val="20"/>
          <w:szCs w:val="20"/>
        </w:rPr>
        <w:t xml:space="preserve">. The </w:t>
      </w:r>
      <w:r w:rsidR="00B773FC" w:rsidRPr="006C06AD">
        <w:rPr>
          <w:sz w:val="20"/>
          <w:szCs w:val="20"/>
        </w:rPr>
        <w:t xml:space="preserve">environmental and social </w:t>
      </w:r>
      <w:r w:rsidR="007A4901" w:rsidRPr="006C06AD">
        <w:rPr>
          <w:sz w:val="20"/>
          <w:szCs w:val="20"/>
        </w:rPr>
        <w:t xml:space="preserve">tools to be developed in the framework of this </w:t>
      </w:r>
      <w:r w:rsidR="00123F65" w:rsidRPr="006C06AD">
        <w:rPr>
          <w:sz w:val="20"/>
          <w:szCs w:val="20"/>
        </w:rPr>
        <w:t>Project</w:t>
      </w:r>
      <w:r w:rsidR="007A4901" w:rsidRPr="006C06AD">
        <w:rPr>
          <w:sz w:val="20"/>
          <w:szCs w:val="20"/>
        </w:rPr>
        <w:t xml:space="preserve"> (see below) will be based on </w:t>
      </w:r>
      <w:r w:rsidR="007C635E" w:rsidRPr="006C06AD">
        <w:rPr>
          <w:sz w:val="20"/>
          <w:szCs w:val="20"/>
        </w:rPr>
        <w:t>the local regulation</w:t>
      </w:r>
      <w:r w:rsidR="007A4901" w:rsidRPr="006C06AD">
        <w:rPr>
          <w:sz w:val="20"/>
          <w:szCs w:val="20"/>
        </w:rPr>
        <w:t xml:space="preserve"> and </w:t>
      </w:r>
      <w:r w:rsidR="007C635E" w:rsidRPr="006C06AD">
        <w:rPr>
          <w:sz w:val="20"/>
          <w:szCs w:val="20"/>
        </w:rPr>
        <w:t xml:space="preserve">on </w:t>
      </w:r>
      <w:r w:rsidR="007A4901" w:rsidRPr="006C06AD">
        <w:rPr>
          <w:sz w:val="20"/>
          <w:szCs w:val="20"/>
        </w:rPr>
        <w:t xml:space="preserve">the analysis of the gaps between the local regulation and IDB </w:t>
      </w:r>
      <w:r w:rsidR="007A4901" w:rsidRPr="008767F2">
        <w:rPr>
          <w:sz w:val="20"/>
          <w:szCs w:val="20"/>
        </w:rPr>
        <w:t>safeguards</w:t>
      </w:r>
      <w:r w:rsidR="007A4901" w:rsidRPr="00C17775">
        <w:rPr>
          <w:sz w:val="20"/>
          <w:szCs w:val="20"/>
        </w:rPr>
        <w:t>.</w:t>
      </w:r>
      <w:r w:rsidR="007A4901" w:rsidRPr="006C06AD">
        <w:rPr>
          <w:sz w:val="20"/>
          <w:szCs w:val="20"/>
        </w:rPr>
        <w:t xml:space="preserve"> </w:t>
      </w:r>
    </w:p>
    <w:p w14:paraId="48EC07E0" w14:textId="77777777" w:rsidR="002A2B08" w:rsidRPr="006C06AD" w:rsidRDefault="002A2B08" w:rsidP="00C17775">
      <w:pPr>
        <w:spacing w:line="276" w:lineRule="auto"/>
        <w:jc w:val="both"/>
        <w:rPr>
          <w:sz w:val="20"/>
          <w:szCs w:val="20"/>
        </w:rPr>
      </w:pPr>
      <w:r w:rsidRPr="006C06AD">
        <w:rPr>
          <w:sz w:val="20"/>
          <w:szCs w:val="20"/>
        </w:rPr>
        <w:t xml:space="preserve">BICE has confirmed to the </w:t>
      </w:r>
      <w:r w:rsidR="00C738A3" w:rsidRPr="006C06AD">
        <w:rPr>
          <w:sz w:val="20"/>
          <w:szCs w:val="20"/>
        </w:rPr>
        <w:t>Pro</w:t>
      </w:r>
      <w:r w:rsidR="002035F9" w:rsidRPr="006C06AD">
        <w:rPr>
          <w:sz w:val="20"/>
          <w:szCs w:val="20"/>
        </w:rPr>
        <w:t>ject</w:t>
      </w:r>
      <w:r w:rsidR="00C738A3" w:rsidRPr="006C06AD">
        <w:rPr>
          <w:sz w:val="20"/>
          <w:szCs w:val="20"/>
        </w:rPr>
        <w:t xml:space="preserve"> </w:t>
      </w:r>
      <w:r w:rsidRPr="006C06AD">
        <w:rPr>
          <w:sz w:val="20"/>
          <w:szCs w:val="20"/>
        </w:rPr>
        <w:t xml:space="preserve">team that it is in compliance with Directive B.2 of IDB Environmental and Safeguards Compliance Policy (country laws and regulations), complying with all applicable legal and regulatory environmental, social, health and safety, and labor (ESHS&amp;L) laws and regulations. BICE requires financial intermediaries to comply with applicable environmental legislation and regulation, prior to approving financing to operations and related activities. </w:t>
      </w:r>
    </w:p>
    <w:p w14:paraId="21F7074D" w14:textId="77777777" w:rsidR="002A2B08" w:rsidRPr="006C06AD" w:rsidRDefault="001C3AF3" w:rsidP="00C17775">
      <w:pPr>
        <w:spacing w:line="276" w:lineRule="auto"/>
        <w:jc w:val="both"/>
        <w:rPr>
          <w:sz w:val="20"/>
          <w:szCs w:val="20"/>
        </w:rPr>
      </w:pPr>
      <w:r w:rsidRPr="006C06AD">
        <w:rPr>
          <w:sz w:val="20"/>
          <w:szCs w:val="20"/>
        </w:rPr>
        <w:t xml:space="preserve">The Project is also expected to comply with the applicable policies and practices of IDB as the entity accredited by the GCF to have the management systems in place to manage environmental and social risks and impacts that may arise from activities financed by the GCF. The applicability of the IDB policies is summarized in the table below: </w:t>
      </w:r>
    </w:p>
    <w:tbl>
      <w:tblPr>
        <w:tblStyle w:val="TableGrid"/>
        <w:tblW w:w="0" w:type="auto"/>
        <w:jc w:val="center"/>
        <w:tblLook w:val="04A0" w:firstRow="1" w:lastRow="0" w:firstColumn="1" w:lastColumn="0" w:noHBand="0" w:noVBand="1"/>
      </w:tblPr>
      <w:tblGrid>
        <w:gridCol w:w="2633"/>
        <w:gridCol w:w="2520"/>
        <w:gridCol w:w="3978"/>
      </w:tblGrid>
      <w:tr w:rsidR="008534FD" w:rsidRPr="006C06AD" w14:paraId="29A342BC" w14:textId="77777777" w:rsidTr="00DB02FE">
        <w:trPr>
          <w:tblHeader/>
          <w:jc w:val="center"/>
        </w:trPr>
        <w:tc>
          <w:tcPr>
            <w:tcW w:w="2633" w:type="dxa"/>
            <w:shd w:val="clear" w:color="auto" w:fill="D9D9D9" w:themeFill="background1" w:themeFillShade="D9"/>
          </w:tcPr>
          <w:p w14:paraId="1CDFD02B" w14:textId="77777777" w:rsidR="008534FD" w:rsidRPr="006C06AD" w:rsidRDefault="008534FD">
            <w:pPr>
              <w:jc w:val="both"/>
              <w:rPr>
                <w:rFonts w:cs="Arial"/>
                <w:b/>
                <w:sz w:val="20"/>
                <w:szCs w:val="20"/>
              </w:rPr>
            </w:pPr>
            <w:r w:rsidRPr="006C06AD">
              <w:rPr>
                <w:rFonts w:cs="Arial"/>
                <w:b/>
                <w:sz w:val="20"/>
                <w:szCs w:val="20"/>
              </w:rPr>
              <w:t>Policy / Directive</w:t>
            </w:r>
          </w:p>
        </w:tc>
        <w:tc>
          <w:tcPr>
            <w:tcW w:w="2520" w:type="dxa"/>
            <w:shd w:val="clear" w:color="auto" w:fill="D9D9D9" w:themeFill="background1" w:themeFillShade="D9"/>
          </w:tcPr>
          <w:p w14:paraId="5141C821" w14:textId="77777777" w:rsidR="008534FD" w:rsidRPr="006C06AD" w:rsidRDefault="008534FD">
            <w:pPr>
              <w:jc w:val="both"/>
              <w:rPr>
                <w:rFonts w:cs="Arial"/>
                <w:b/>
                <w:sz w:val="20"/>
                <w:szCs w:val="20"/>
              </w:rPr>
            </w:pPr>
            <w:r w:rsidRPr="006C06AD">
              <w:rPr>
                <w:rFonts w:cs="Arial"/>
                <w:b/>
                <w:sz w:val="20"/>
                <w:szCs w:val="20"/>
              </w:rPr>
              <w:t>Applicable Aspect</w:t>
            </w:r>
          </w:p>
        </w:tc>
        <w:tc>
          <w:tcPr>
            <w:tcW w:w="3978" w:type="dxa"/>
            <w:shd w:val="clear" w:color="auto" w:fill="D9D9D9" w:themeFill="background1" w:themeFillShade="D9"/>
          </w:tcPr>
          <w:p w14:paraId="63A770E7" w14:textId="77777777" w:rsidR="008534FD" w:rsidRPr="006C06AD" w:rsidRDefault="008534FD">
            <w:pPr>
              <w:jc w:val="both"/>
              <w:rPr>
                <w:rFonts w:cs="Arial"/>
                <w:b/>
                <w:sz w:val="20"/>
                <w:szCs w:val="20"/>
              </w:rPr>
            </w:pPr>
            <w:r w:rsidRPr="006C06AD">
              <w:rPr>
                <w:rFonts w:cs="Arial"/>
                <w:b/>
                <w:sz w:val="20"/>
                <w:szCs w:val="20"/>
              </w:rPr>
              <w:t>Compliance Rationale</w:t>
            </w:r>
          </w:p>
        </w:tc>
      </w:tr>
      <w:tr w:rsidR="008534FD" w:rsidRPr="006C06AD" w14:paraId="020BE6D6" w14:textId="77777777" w:rsidTr="00DB02FE">
        <w:trPr>
          <w:jc w:val="center"/>
        </w:trPr>
        <w:tc>
          <w:tcPr>
            <w:tcW w:w="9131" w:type="dxa"/>
            <w:gridSpan w:val="3"/>
            <w:shd w:val="clear" w:color="auto" w:fill="D9D9D9" w:themeFill="background1" w:themeFillShade="D9"/>
          </w:tcPr>
          <w:p w14:paraId="7743E097" w14:textId="77777777" w:rsidR="008534FD" w:rsidRPr="006C06AD" w:rsidRDefault="008534FD">
            <w:pPr>
              <w:jc w:val="both"/>
              <w:rPr>
                <w:rFonts w:cs="Arial"/>
                <w:sz w:val="20"/>
                <w:szCs w:val="20"/>
              </w:rPr>
            </w:pPr>
            <w:r w:rsidRPr="006C06AD">
              <w:rPr>
                <w:rFonts w:cs="Arial"/>
                <w:b/>
                <w:sz w:val="20"/>
                <w:szCs w:val="20"/>
              </w:rPr>
              <w:t>OP-703 Environmental and Safeguards Compliance</w:t>
            </w:r>
          </w:p>
        </w:tc>
      </w:tr>
      <w:tr w:rsidR="008534FD" w:rsidRPr="006C06AD" w14:paraId="5662D2D1" w14:textId="77777777" w:rsidTr="008534FD">
        <w:trPr>
          <w:jc w:val="center"/>
        </w:trPr>
        <w:tc>
          <w:tcPr>
            <w:tcW w:w="2633" w:type="dxa"/>
          </w:tcPr>
          <w:p w14:paraId="1DA35B76" w14:textId="77777777" w:rsidR="008534FD" w:rsidRPr="006C06AD" w:rsidRDefault="008534FD">
            <w:pPr>
              <w:jc w:val="both"/>
              <w:rPr>
                <w:rFonts w:cs="Arial"/>
                <w:sz w:val="20"/>
                <w:szCs w:val="20"/>
              </w:rPr>
            </w:pPr>
            <w:r w:rsidRPr="006C06AD">
              <w:rPr>
                <w:rFonts w:cs="Arial"/>
                <w:sz w:val="20"/>
                <w:szCs w:val="20"/>
              </w:rPr>
              <w:t>B.1 Bank Policies</w:t>
            </w:r>
          </w:p>
        </w:tc>
        <w:tc>
          <w:tcPr>
            <w:tcW w:w="2520" w:type="dxa"/>
          </w:tcPr>
          <w:p w14:paraId="1EF88ECB" w14:textId="77777777" w:rsidR="008534FD" w:rsidRPr="006C06AD" w:rsidRDefault="008534FD" w:rsidP="00C17775">
            <w:pPr>
              <w:jc w:val="both"/>
              <w:rPr>
                <w:rFonts w:cs="Arial"/>
                <w:sz w:val="20"/>
                <w:szCs w:val="20"/>
              </w:rPr>
            </w:pPr>
            <w:r w:rsidRPr="006C06AD">
              <w:rPr>
                <w:rFonts w:cs="Arial"/>
                <w:sz w:val="20"/>
                <w:szCs w:val="20"/>
              </w:rPr>
              <w:t>Compliance with applicable IDB policies</w:t>
            </w:r>
          </w:p>
        </w:tc>
        <w:tc>
          <w:tcPr>
            <w:tcW w:w="3978" w:type="dxa"/>
          </w:tcPr>
          <w:p w14:paraId="408AD2D2" w14:textId="77777777" w:rsidR="008534FD" w:rsidRPr="006C06AD" w:rsidRDefault="008534FD" w:rsidP="00C17775">
            <w:pPr>
              <w:jc w:val="both"/>
              <w:rPr>
                <w:rFonts w:cs="Arial"/>
                <w:sz w:val="20"/>
                <w:szCs w:val="20"/>
              </w:rPr>
            </w:pPr>
            <w:r w:rsidRPr="006C06AD">
              <w:rPr>
                <w:rFonts w:cs="Arial"/>
                <w:sz w:val="20"/>
                <w:szCs w:val="20"/>
              </w:rPr>
              <w:t xml:space="preserve">The Project triggers the following directives of IDB’s OP-703 Environmental and Safeguards Policy: </w:t>
            </w:r>
          </w:p>
          <w:p w14:paraId="28C68A4C" w14:textId="77777777" w:rsidR="008534FD" w:rsidRPr="006C06AD" w:rsidRDefault="008534FD" w:rsidP="00C17775">
            <w:pPr>
              <w:jc w:val="both"/>
              <w:rPr>
                <w:rFonts w:cs="Arial"/>
                <w:sz w:val="20"/>
                <w:szCs w:val="20"/>
              </w:rPr>
            </w:pPr>
            <w:r w:rsidRPr="006C06AD">
              <w:rPr>
                <w:rFonts w:cs="Arial"/>
                <w:sz w:val="20"/>
                <w:szCs w:val="20"/>
              </w:rPr>
              <w:t xml:space="preserve">B.1 Bank Policies; B.2 Country laws; B.7 Supervision and Compliance; B.10. Hazardous Materials; B.11 Pollution Prevention; B.13 Flexible Investment. </w:t>
            </w:r>
          </w:p>
          <w:p w14:paraId="63B44E70" w14:textId="77777777" w:rsidR="008534FD" w:rsidRPr="006C06AD" w:rsidRDefault="008534FD" w:rsidP="00C17775">
            <w:pPr>
              <w:jc w:val="both"/>
              <w:rPr>
                <w:rFonts w:cs="Arial"/>
                <w:sz w:val="20"/>
                <w:szCs w:val="20"/>
              </w:rPr>
            </w:pPr>
          </w:p>
          <w:p w14:paraId="17320DCF" w14:textId="77777777" w:rsidR="008534FD" w:rsidRPr="006C06AD" w:rsidRDefault="008534FD" w:rsidP="00C17775">
            <w:pPr>
              <w:jc w:val="both"/>
              <w:rPr>
                <w:rFonts w:cs="Arial"/>
                <w:sz w:val="20"/>
                <w:szCs w:val="20"/>
              </w:rPr>
            </w:pPr>
            <w:r w:rsidRPr="006C06AD">
              <w:rPr>
                <w:rFonts w:cs="Arial"/>
                <w:sz w:val="20"/>
                <w:szCs w:val="20"/>
              </w:rPr>
              <w:t xml:space="preserve">The OP-102, Disclosure of Information Policy also applies for this Project. </w:t>
            </w:r>
          </w:p>
          <w:p w14:paraId="76487FFC" w14:textId="77777777" w:rsidR="008534FD" w:rsidRPr="006C06AD" w:rsidRDefault="008534FD" w:rsidP="00C17775">
            <w:pPr>
              <w:jc w:val="both"/>
              <w:rPr>
                <w:rFonts w:cs="Arial"/>
                <w:sz w:val="20"/>
                <w:szCs w:val="20"/>
              </w:rPr>
            </w:pPr>
            <w:r w:rsidRPr="006C06AD">
              <w:rPr>
                <w:rFonts w:cs="Arial"/>
                <w:sz w:val="20"/>
                <w:szCs w:val="20"/>
              </w:rPr>
              <w:lastRenderedPageBreak/>
              <w:t xml:space="preserve">Based on due diligence, it is not expected that OP-704 Disaster Risk Management, OP-761 Gender Equality, OP-710 Involuntary resettlement and OP-765 Indigenous Peoples will be triggered for this Project.  </w:t>
            </w:r>
          </w:p>
        </w:tc>
      </w:tr>
      <w:tr w:rsidR="008534FD" w:rsidRPr="006C06AD" w14:paraId="4A167980" w14:textId="77777777" w:rsidTr="008534FD">
        <w:trPr>
          <w:jc w:val="center"/>
        </w:trPr>
        <w:tc>
          <w:tcPr>
            <w:tcW w:w="2633" w:type="dxa"/>
          </w:tcPr>
          <w:p w14:paraId="283E87E6" w14:textId="77777777" w:rsidR="008534FD" w:rsidRPr="006C06AD" w:rsidRDefault="008534FD">
            <w:pPr>
              <w:jc w:val="both"/>
              <w:rPr>
                <w:rFonts w:cs="Arial"/>
                <w:sz w:val="20"/>
                <w:szCs w:val="20"/>
              </w:rPr>
            </w:pPr>
            <w:r w:rsidRPr="006C06AD">
              <w:rPr>
                <w:rFonts w:cs="Arial"/>
                <w:sz w:val="20"/>
                <w:szCs w:val="20"/>
              </w:rPr>
              <w:lastRenderedPageBreak/>
              <w:t>B.2 Country laws</w:t>
            </w:r>
          </w:p>
        </w:tc>
        <w:tc>
          <w:tcPr>
            <w:tcW w:w="2520" w:type="dxa"/>
          </w:tcPr>
          <w:p w14:paraId="01F05295" w14:textId="77777777" w:rsidR="008534FD" w:rsidRPr="006C06AD" w:rsidRDefault="008534FD" w:rsidP="00C17775">
            <w:pPr>
              <w:jc w:val="both"/>
              <w:rPr>
                <w:rFonts w:cs="Arial"/>
                <w:sz w:val="20"/>
                <w:szCs w:val="20"/>
              </w:rPr>
            </w:pPr>
            <w:r w:rsidRPr="006C06AD">
              <w:rPr>
                <w:rFonts w:cs="Arial"/>
                <w:sz w:val="20"/>
                <w:szCs w:val="20"/>
              </w:rPr>
              <w:t>Compliance with country laws and regulations</w:t>
            </w:r>
          </w:p>
        </w:tc>
        <w:tc>
          <w:tcPr>
            <w:tcW w:w="3978" w:type="dxa"/>
          </w:tcPr>
          <w:p w14:paraId="7B9CD14D" w14:textId="77777777" w:rsidR="008534FD" w:rsidRPr="006C06AD" w:rsidRDefault="008534FD" w:rsidP="00C17775">
            <w:pPr>
              <w:jc w:val="both"/>
              <w:rPr>
                <w:rFonts w:cs="Arial"/>
                <w:sz w:val="20"/>
                <w:szCs w:val="20"/>
              </w:rPr>
            </w:pPr>
            <w:r w:rsidRPr="006C06AD">
              <w:rPr>
                <w:rFonts w:cs="Arial"/>
                <w:sz w:val="20"/>
                <w:szCs w:val="20"/>
              </w:rPr>
              <w:t>Compliance with country laws and regulations will be enforced through the different legally binding documents in the Project: between IDB and BICE, between BICE and the 1</w:t>
            </w:r>
            <w:r w:rsidRPr="006C06AD">
              <w:rPr>
                <w:rFonts w:cs="Arial"/>
                <w:sz w:val="20"/>
                <w:szCs w:val="20"/>
                <w:vertAlign w:val="superscript"/>
              </w:rPr>
              <w:t>st</w:t>
            </w:r>
            <w:r w:rsidRPr="006C06AD">
              <w:rPr>
                <w:rFonts w:cs="Arial"/>
                <w:sz w:val="20"/>
                <w:szCs w:val="20"/>
              </w:rPr>
              <w:t xml:space="preserve"> Tier Bank, between the 1</w:t>
            </w:r>
            <w:r w:rsidRPr="006C06AD">
              <w:rPr>
                <w:rFonts w:cs="Arial"/>
                <w:sz w:val="20"/>
                <w:szCs w:val="20"/>
                <w:vertAlign w:val="superscript"/>
              </w:rPr>
              <w:t>st</w:t>
            </w:r>
            <w:r w:rsidRPr="006C06AD">
              <w:rPr>
                <w:rFonts w:cs="Arial"/>
                <w:sz w:val="20"/>
                <w:szCs w:val="20"/>
              </w:rPr>
              <w:t xml:space="preserve"> Tier Bank and the sub-borrower. </w:t>
            </w:r>
          </w:p>
        </w:tc>
      </w:tr>
      <w:tr w:rsidR="008534FD" w:rsidRPr="006C06AD" w14:paraId="20094854" w14:textId="77777777" w:rsidTr="008534FD">
        <w:trPr>
          <w:jc w:val="center"/>
        </w:trPr>
        <w:tc>
          <w:tcPr>
            <w:tcW w:w="2633" w:type="dxa"/>
          </w:tcPr>
          <w:p w14:paraId="5B3FFE16" w14:textId="77777777" w:rsidR="008534FD" w:rsidRPr="006C06AD" w:rsidRDefault="008534FD">
            <w:pPr>
              <w:jc w:val="both"/>
              <w:rPr>
                <w:rFonts w:cs="Arial"/>
                <w:sz w:val="20"/>
                <w:szCs w:val="20"/>
              </w:rPr>
            </w:pPr>
            <w:r w:rsidRPr="006C06AD">
              <w:rPr>
                <w:rFonts w:cs="Arial"/>
                <w:sz w:val="20"/>
                <w:szCs w:val="20"/>
              </w:rPr>
              <w:t>B.3 Screening and Classification</w:t>
            </w:r>
          </w:p>
        </w:tc>
        <w:tc>
          <w:tcPr>
            <w:tcW w:w="2520" w:type="dxa"/>
          </w:tcPr>
          <w:p w14:paraId="410382FC" w14:textId="77777777" w:rsidR="008534FD" w:rsidRPr="006C06AD" w:rsidRDefault="008534FD" w:rsidP="00C17775">
            <w:pPr>
              <w:jc w:val="both"/>
              <w:rPr>
                <w:rFonts w:cs="Arial"/>
                <w:sz w:val="20"/>
                <w:szCs w:val="20"/>
              </w:rPr>
            </w:pPr>
            <w:r w:rsidRPr="006C06AD">
              <w:rPr>
                <w:rFonts w:cs="Arial"/>
                <w:sz w:val="20"/>
                <w:szCs w:val="20"/>
              </w:rPr>
              <w:t>Application of appropriate classification</w:t>
            </w:r>
          </w:p>
        </w:tc>
        <w:tc>
          <w:tcPr>
            <w:tcW w:w="3978" w:type="dxa"/>
          </w:tcPr>
          <w:p w14:paraId="3EC4D417" w14:textId="77777777" w:rsidR="008534FD" w:rsidRPr="006C06AD" w:rsidRDefault="008534FD" w:rsidP="00C17775">
            <w:pPr>
              <w:jc w:val="both"/>
              <w:rPr>
                <w:rFonts w:cs="Arial"/>
                <w:sz w:val="20"/>
                <w:szCs w:val="20"/>
              </w:rPr>
            </w:pPr>
            <w:r w:rsidRPr="006C06AD">
              <w:rPr>
                <w:rFonts w:cs="Arial"/>
                <w:sz w:val="20"/>
                <w:szCs w:val="20"/>
              </w:rPr>
              <w:t>Not triggered (B.13)</w:t>
            </w:r>
          </w:p>
        </w:tc>
      </w:tr>
      <w:tr w:rsidR="008534FD" w:rsidRPr="006C06AD" w14:paraId="1E7A8FDA" w14:textId="77777777" w:rsidTr="008534FD">
        <w:trPr>
          <w:jc w:val="center"/>
        </w:trPr>
        <w:tc>
          <w:tcPr>
            <w:tcW w:w="2633" w:type="dxa"/>
          </w:tcPr>
          <w:p w14:paraId="1F288D6B" w14:textId="77777777" w:rsidR="008534FD" w:rsidRPr="006C06AD" w:rsidRDefault="008534FD">
            <w:pPr>
              <w:jc w:val="both"/>
              <w:rPr>
                <w:rFonts w:cs="Arial"/>
                <w:sz w:val="20"/>
                <w:szCs w:val="20"/>
              </w:rPr>
            </w:pPr>
            <w:r w:rsidRPr="006C06AD">
              <w:rPr>
                <w:rFonts w:cs="Arial"/>
                <w:sz w:val="20"/>
                <w:szCs w:val="20"/>
              </w:rPr>
              <w:t>B.4 Other Risk Factors</w:t>
            </w:r>
          </w:p>
        </w:tc>
        <w:tc>
          <w:tcPr>
            <w:tcW w:w="2520" w:type="dxa"/>
          </w:tcPr>
          <w:p w14:paraId="71C5FF9C" w14:textId="77777777" w:rsidR="008534FD" w:rsidRPr="006C06AD" w:rsidRDefault="008534FD" w:rsidP="00C17775">
            <w:pPr>
              <w:jc w:val="both"/>
              <w:rPr>
                <w:rFonts w:cs="Arial"/>
                <w:sz w:val="20"/>
                <w:szCs w:val="20"/>
              </w:rPr>
            </w:pPr>
            <w:r w:rsidRPr="006C06AD">
              <w:rPr>
                <w:rFonts w:cs="Arial"/>
                <w:sz w:val="20"/>
                <w:szCs w:val="20"/>
              </w:rPr>
              <w:t>Not triggered</w:t>
            </w:r>
          </w:p>
        </w:tc>
        <w:tc>
          <w:tcPr>
            <w:tcW w:w="3978" w:type="dxa"/>
          </w:tcPr>
          <w:p w14:paraId="53EBF749" w14:textId="77777777" w:rsidR="008534FD" w:rsidRPr="006C06AD" w:rsidRDefault="008534FD" w:rsidP="00C17775">
            <w:pPr>
              <w:jc w:val="both"/>
              <w:rPr>
                <w:rFonts w:cs="Arial"/>
                <w:sz w:val="20"/>
                <w:szCs w:val="20"/>
              </w:rPr>
            </w:pPr>
            <w:r w:rsidRPr="006C06AD">
              <w:rPr>
                <w:rFonts w:cs="Arial"/>
                <w:sz w:val="20"/>
                <w:szCs w:val="20"/>
              </w:rPr>
              <w:t>Not triggered</w:t>
            </w:r>
          </w:p>
        </w:tc>
      </w:tr>
      <w:tr w:rsidR="008534FD" w:rsidRPr="006C06AD" w14:paraId="6778FA77" w14:textId="77777777" w:rsidTr="008534FD">
        <w:trPr>
          <w:jc w:val="center"/>
        </w:trPr>
        <w:tc>
          <w:tcPr>
            <w:tcW w:w="2633" w:type="dxa"/>
          </w:tcPr>
          <w:p w14:paraId="5EED59FD" w14:textId="77777777" w:rsidR="008534FD" w:rsidRPr="006C06AD" w:rsidRDefault="008534FD">
            <w:pPr>
              <w:jc w:val="both"/>
              <w:rPr>
                <w:rFonts w:cs="Arial"/>
                <w:sz w:val="20"/>
                <w:szCs w:val="20"/>
              </w:rPr>
            </w:pPr>
            <w:r w:rsidRPr="006C06AD">
              <w:rPr>
                <w:rFonts w:cs="Arial"/>
                <w:sz w:val="20"/>
                <w:szCs w:val="20"/>
              </w:rPr>
              <w:t>B.5 ESA Requirements</w:t>
            </w:r>
          </w:p>
        </w:tc>
        <w:tc>
          <w:tcPr>
            <w:tcW w:w="2520" w:type="dxa"/>
          </w:tcPr>
          <w:p w14:paraId="52A216CD" w14:textId="77777777" w:rsidR="008534FD" w:rsidRPr="006C06AD" w:rsidRDefault="008534FD">
            <w:pPr>
              <w:jc w:val="both"/>
              <w:rPr>
                <w:rFonts w:cs="Arial"/>
                <w:sz w:val="20"/>
                <w:szCs w:val="20"/>
              </w:rPr>
            </w:pPr>
            <w:r w:rsidRPr="006C06AD">
              <w:rPr>
                <w:rFonts w:cs="Arial"/>
                <w:sz w:val="20"/>
                <w:szCs w:val="20"/>
              </w:rPr>
              <w:t>NA</w:t>
            </w:r>
          </w:p>
        </w:tc>
        <w:tc>
          <w:tcPr>
            <w:tcW w:w="3978" w:type="dxa"/>
          </w:tcPr>
          <w:p w14:paraId="2F5192C9" w14:textId="77777777" w:rsidR="008534FD" w:rsidRPr="006C06AD" w:rsidRDefault="008534FD" w:rsidP="00C17775">
            <w:pPr>
              <w:jc w:val="both"/>
              <w:rPr>
                <w:rFonts w:cs="Arial"/>
                <w:sz w:val="20"/>
                <w:szCs w:val="20"/>
              </w:rPr>
            </w:pPr>
            <w:r w:rsidRPr="006C06AD">
              <w:rPr>
                <w:rFonts w:cs="Arial"/>
                <w:sz w:val="20"/>
                <w:szCs w:val="20"/>
              </w:rPr>
              <w:t>Not triggered (B.13)</w:t>
            </w:r>
          </w:p>
        </w:tc>
      </w:tr>
      <w:tr w:rsidR="008534FD" w:rsidRPr="006C06AD" w14:paraId="4D67EEFB" w14:textId="77777777" w:rsidTr="008534FD">
        <w:trPr>
          <w:jc w:val="center"/>
        </w:trPr>
        <w:tc>
          <w:tcPr>
            <w:tcW w:w="2633" w:type="dxa"/>
          </w:tcPr>
          <w:p w14:paraId="272D9214" w14:textId="77777777" w:rsidR="008534FD" w:rsidRPr="006C06AD" w:rsidRDefault="008534FD">
            <w:pPr>
              <w:jc w:val="both"/>
              <w:rPr>
                <w:rFonts w:cs="Arial"/>
                <w:sz w:val="20"/>
                <w:szCs w:val="20"/>
              </w:rPr>
            </w:pPr>
            <w:r w:rsidRPr="006C06AD">
              <w:rPr>
                <w:rFonts w:cs="Arial"/>
                <w:sz w:val="20"/>
                <w:szCs w:val="20"/>
              </w:rPr>
              <w:t>B.6 Consultations</w:t>
            </w:r>
          </w:p>
        </w:tc>
        <w:tc>
          <w:tcPr>
            <w:tcW w:w="2520" w:type="dxa"/>
          </w:tcPr>
          <w:p w14:paraId="1A49E3DB" w14:textId="77777777" w:rsidR="008534FD" w:rsidRPr="006C06AD" w:rsidRDefault="008534FD">
            <w:pPr>
              <w:jc w:val="both"/>
              <w:rPr>
                <w:rFonts w:cs="Arial"/>
                <w:sz w:val="20"/>
                <w:szCs w:val="20"/>
              </w:rPr>
            </w:pPr>
          </w:p>
        </w:tc>
        <w:tc>
          <w:tcPr>
            <w:tcW w:w="3978" w:type="dxa"/>
          </w:tcPr>
          <w:p w14:paraId="1FB71331" w14:textId="77777777" w:rsidR="008534FD" w:rsidRPr="006C06AD" w:rsidRDefault="008534FD" w:rsidP="00C17775">
            <w:pPr>
              <w:jc w:val="both"/>
              <w:rPr>
                <w:rFonts w:cs="Arial"/>
                <w:sz w:val="20"/>
                <w:szCs w:val="20"/>
              </w:rPr>
            </w:pPr>
            <w:r w:rsidRPr="006C06AD">
              <w:rPr>
                <w:rFonts w:cs="Arial"/>
                <w:sz w:val="20"/>
                <w:szCs w:val="20"/>
              </w:rPr>
              <w:t xml:space="preserve">Given the profile of the expected portfolio and the eligibility criteria for sub-projects, we expect most sub-projects to be low risk (C category) and as such won’t require public consultation according to IDB safeguards. A classification tool will be designed and included in the Operating Regulations of the </w:t>
            </w:r>
            <w:r w:rsidR="00123F65" w:rsidRPr="006C06AD">
              <w:rPr>
                <w:rFonts w:cs="Arial"/>
                <w:sz w:val="20"/>
                <w:szCs w:val="20"/>
              </w:rPr>
              <w:t>Project</w:t>
            </w:r>
            <w:r w:rsidRPr="006C06AD">
              <w:rPr>
                <w:rFonts w:cs="Arial"/>
                <w:sz w:val="20"/>
                <w:szCs w:val="20"/>
              </w:rPr>
              <w:t xml:space="preserve">. For </w:t>
            </w:r>
            <w:r w:rsidR="00AB64E3" w:rsidRPr="006C06AD">
              <w:rPr>
                <w:rFonts w:cs="Arial"/>
                <w:sz w:val="20"/>
                <w:szCs w:val="20"/>
              </w:rPr>
              <w:t xml:space="preserve">moderate risks </w:t>
            </w:r>
            <w:r w:rsidR="0028758B">
              <w:rPr>
                <w:rFonts w:cs="Arial"/>
                <w:sz w:val="20"/>
                <w:szCs w:val="20"/>
              </w:rPr>
              <w:t>sub-</w:t>
            </w:r>
            <w:r w:rsidRPr="006C06AD">
              <w:rPr>
                <w:rFonts w:cs="Arial"/>
                <w:sz w:val="20"/>
                <w:szCs w:val="20"/>
              </w:rPr>
              <w:t xml:space="preserve">projects (B category), the public consultation will be </w:t>
            </w:r>
            <w:r w:rsidR="00AB64E3" w:rsidRPr="006C06AD">
              <w:rPr>
                <w:rFonts w:cs="Arial"/>
                <w:sz w:val="20"/>
                <w:szCs w:val="20"/>
              </w:rPr>
              <w:t>realized in compliance with</w:t>
            </w:r>
            <w:r w:rsidRPr="006C06AD">
              <w:rPr>
                <w:rFonts w:cs="Arial"/>
                <w:sz w:val="20"/>
                <w:szCs w:val="20"/>
              </w:rPr>
              <w:t xml:space="preserve"> the IDB safeguards. High risk </w:t>
            </w:r>
            <w:r w:rsidR="0028758B">
              <w:rPr>
                <w:rFonts w:cs="Arial"/>
                <w:sz w:val="20"/>
                <w:szCs w:val="20"/>
              </w:rPr>
              <w:t>sub-</w:t>
            </w:r>
            <w:r w:rsidRPr="006C06AD">
              <w:rPr>
                <w:rFonts w:cs="Arial"/>
                <w:sz w:val="20"/>
                <w:szCs w:val="20"/>
              </w:rPr>
              <w:t xml:space="preserve">projects (A category) will be excluded from the </w:t>
            </w:r>
            <w:r w:rsidR="00123F65" w:rsidRPr="006C06AD">
              <w:rPr>
                <w:rFonts w:cs="Arial"/>
                <w:sz w:val="20"/>
                <w:szCs w:val="20"/>
              </w:rPr>
              <w:t>Project</w:t>
            </w:r>
            <w:r w:rsidRPr="006C06AD">
              <w:rPr>
                <w:rFonts w:cs="Arial"/>
                <w:sz w:val="20"/>
                <w:szCs w:val="20"/>
              </w:rPr>
              <w:t xml:space="preserve">. </w:t>
            </w:r>
          </w:p>
        </w:tc>
      </w:tr>
      <w:tr w:rsidR="008534FD" w:rsidRPr="006C06AD" w14:paraId="1566A76E" w14:textId="77777777" w:rsidTr="008534FD">
        <w:trPr>
          <w:jc w:val="center"/>
        </w:trPr>
        <w:tc>
          <w:tcPr>
            <w:tcW w:w="2633" w:type="dxa"/>
          </w:tcPr>
          <w:p w14:paraId="2747E528" w14:textId="77777777" w:rsidR="008534FD" w:rsidRPr="006C06AD" w:rsidRDefault="008534FD">
            <w:pPr>
              <w:jc w:val="both"/>
              <w:rPr>
                <w:rFonts w:cs="Arial"/>
                <w:sz w:val="20"/>
                <w:szCs w:val="20"/>
              </w:rPr>
            </w:pPr>
            <w:r w:rsidRPr="006C06AD">
              <w:rPr>
                <w:rFonts w:cs="Arial"/>
                <w:sz w:val="20"/>
                <w:szCs w:val="20"/>
              </w:rPr>
              <w:t>B.7 Supervision and Compliance</w:t>
            </w:r>
          </w:p>
        </w:tc>
        <w:tc>
          <w:tcPr>
            <w:tcW w:w="2520" w:type="dxa"/>
          </w:tcPr>
          <w:p w14:paraId="0C2EFE6F" w14:textId="77777777" w:rsidR="008534FD" w:rsidRPr="006C06AD" w:rsidRDefault="008534FD">
            <w:pPr>
              <w:jc w:val="both"/>
              <w:rPr>
                <w:rFonts w:cs="Arial"/>
                <w:sz w:val="20"/>
                <w:szCs w:val="20"/>
              </w:rPr>
            </w:pPr>
            <w:r w:rsidRPr="006C06AD">
              <w:rPr>
                <w:rFonts w:cs="Arial"/>
                <w:sz w:val="20"/>
                <w:szCs w:val="20"/>
              </w:rPr>
              <w:t>Internal supervision and reporting</w:t>
            </w:r>
          </w:p>
        </w:tc>
        <w:tc>
          <w:tcPr>
            <w:tcW w:w="3978" w:type="dxa"/>
          </w:tcPr>
          <w:p w14:paraId="01E3A612" w14:textId="77777777" w:rsidR="008534FD" w:rsidRPr="006C06AD" w:rsidRDefault="008534FD" w:rsidP="00C17775">
            <w:pPr>
              <w:jc w:val="both"/>
              <w:rPr>
                <w:rFonts w:cs="Arial"/>
                <w:sz w:val="20"/>
                <w:szCs w:val="20"/>
              </w:rPr>
            </w:pPr>
            <w:r w:rsidRPr="006C06AD">
              <w:rPr>
                <w:rFonts w:cs="Arial"/>
                <w:sz w:val="20"/>
                <w:szCs w:val="20"/>
              </w:rPr>
              <w:t xml:space="preserve">The IDB will supervise the </w:t>
            </w:r>
            <w:r w:rsidR="00123F65" w:rsidRPr="006C06AD">
              <w:rPr>
                <w:rFonts w:cs="Arial"/>
                <w:sz w:val="20"/>
                <w:szCs w:val="20"/>
              </w:rPr>
              <w:t>Project</w:t>
            </w:r>
            <w:r w:rsidRPr="006C06AD">
              <w:rPr>
                <w:rFonts w:cs="Arial"/>
                <w:sz w:val="20"/>
                <w:szCs w:val="20"/>
              </w:rPr>
              <w:t>, the adequate provisions for annual reporting from the Executing Agency and for IDB supervision have been made in the Operating Regulations.</w:t>
            </w:r>
          </w:p>
        </w:tc>
      </w:tr>
      <w:tr w:rsidR="008534FD" w:rsidRPr="006C06AD" w14:paraId="32FE887B" w14:textId="77777777" w:rsidTr="008534FD">
        <w:trPr>
          <w:jc w:val="center"/>
        </w:trPr>
        <w:tc>
          <w:tcPr>
            <w:tcW w:w="2633" w:type="dxa"/>
          </w:tcPr>
          <w:p w14:paraId="1E31E4DB" w14:textId="77777777" w:rsidR="008534FD" w:rsidRPr="006C06AD" w:rsidRDefault="008534FD">
            <w:pPr>
              <w:jc w:val="both"/>
              <w:rPr>
                <w:rFonts w:cs="Arial"/>
                <w:sz w:val="20"/>
                <w:szCs w:val="20"/>
              </w:rPr>
            </w:pPr>
            <w:r w:rsidRPr="006C06AD">
              <w:rPr>
                <w:rFonts w:cs="Arial"/>
                <w:sz w:val="20"/>
                <w:szCs w:val="20"/>
              </w:rPr>
              <w:t>B.8 Transboundary Impacts</w:t>
            </w:r>
          </w:p>
        </w:tc>
        <w:tc>
          <w:tcPr>
            <w:tcW w:w="2520" w:type="dxa"/>
          </w:tcPr>
          <w:p w14:paraId="7B257162" w14:textId="77777777" w:rsidR="008534FD" w:rsidRPr="006C06AD" w:rsidRDefault="008534FD">
            <w:pPr>
              <w:jc w:val="both"/>
              <w:rPr>
                <w:rFonts w:cs="Arial"/>
                <w:sz w:val="20"/>
                <w:szCs w:val="20"/>
              </w:rPr>
            </w:pPr>
            <w:r w:rsidRPr="006C06AD">
              <w:rPr>
                <w:rFonts w:cs="Arial"/>
                <w:sz w:val="20"/>
                <w:szCs w:val="20"/>
              </w:rPr>
              <w:t>N/A</w:t>
            </w:r>
          </w:p>
        </w:tc>
        <w:tc>
          <w:tcPr>
            <w:tcW w:w="3978" w:type="dxa"/>
          </w:tcPr>
          <w:p w14:paraId="667BB5E9" w14:textId="77777777" w:rsidR="008534FD" w:rsidRPr="006C06AD" w:rsidRDefault="008534FD" w:rsidP="00C17775">
            <w:pPr>
              <w:jc w:val="both"/>
              <w:rPr>
                <w:rFonts w:cs="Arial"/>
                <w:sz w:val="20"/>
                <w:szCs w:val="20"/>
              </w:rPr>
            </w:pPr>
            <w:r w:rsidRPr="006C06AD">
              <w:rPr>
                <w:rFonts w:cs="Arial"/>
                <w:sz w:val="20"/>
                <w:szCs w:val="20"/>
              </w:rPr>
              <w:t>Not triggered</w:t>
            </w:r>
          </w:p>
        </w:tc>
      </w:tr>
      <w:tr w:rsidR="008534FD" w:rsidRPr="006C06AD" w14:paraId="4075D3B1" w14:textId="77777777" w:rsidTr="008534FD">
        <w:trPr>
          <w:jc w:val="center"/>
        </w:trPr>
        <w:tc>
          <w:tcPr>
            <w:tcW w:w="2633" w:type="dxa"/>
          </w:tcPr>
          <w:p w14:paraId="69C6B28B" w14:textId="77777777" w:rsidR="008534FD" w:rsidRPr="006C06AD" w:rsidRDefault="008534FD">
            <w:pPr>
              <w:jc w:val="both"/>
              <w:rPr>
                <w:rFonts w:cs="Arial"/>
                <w:sz w:val="20"/>
                <w:szCs w:val="20"/>
              </w:rPr>
            </w:pPr>
            <w:r w:rsidRPr="006C06AD">
              <w:rPr>
                <w:rFonts w:cs="Arial"/>
                <w:sz w:val="20"/>
                <w:szCs w:val="20"/>
              </w:rPr>
              <w:t>B.9 Natural Habitats and Cultural Sites</w:t>
            </w:r>
          </w:p>
        </w:tc>
        <w:tc>
          <w:tcPr>
            <w:tcW w:w="2520" w:type="dxa"/>
          </w:tcPr>
          <w:p w14:paraId="06BC72DD" w14:textId="77777777" w:rsidR="008534FD" w:rsidRPr="006C06AD" w:rsidRDefault="008534FD">
            <w:pPr>
              <w:jc w:val="both"/>
              <w:rPr>
                <w:rFonts w:cs="Arial"/>
                <w:sz w:val="20"/>
                <w:szCs w:val="20"/>
              </w:rPr>
            </w:pPr>
            <w:r w:rsidRPr="006C06AD">
              <w:rPr>
                <w:rFonts w:cs="Arial"/>
                <w:sz w:val="20"/>
                <w:szCs w:val="20"/>
              </w:rPr>
              <w:t>N/A</w:t>
            </w:r>
          </w:p>
        </w:tc>
        <w:tc>
          <w:tcPr>
            <w:tcW w:w="3978" w:type="dxa"/>
          </w:tcPr>
          <w:p w14:paraId="068F3F23" w14:textId="77777777" w:rsidR="008534FD" w:rsidRPr="006C06AD" w:rsidRDefault="008534FD" w:rsidP="00C17775">
            <w:pPr>
              <w:jc w:val="both"/>
              <w:rPr>
                <w:rFonts w:cs="Arial"/>
                <w:sz w:val="20"/>
                <w:szCs w:val="20"/>
              </w:rPr>
            </w:pPr>
            <w:r w:rsidRPr="006C06AD">
              <w:rPr>
                <w:rFonts w:cs="Arial"/>
                <w:sz w:val="20"/>
                <w:szCs w:val="20"/>
              </w:rPr>
              <w:t xml:space="preserve">Not triggered. Sub-Projects having an impact on Natural habitats or Cultural Sites are excluded from the </w:t>
            </w:r>
            <w:r w:rsidR="0028758B">
              <w:rPr>
                <w:rFonts w:cs="Arial"/>
                <w:sz w:val="20"/>
                <w:szCs w:val="20"/>
              </w:rPr>
              <w:t>P</w:t>
            </w:r>
            <w:r w:rsidRPr="006C06AD">
              <w:rPr>
                <w:rFonts w:cs="Arial"/>
                <w:sz w:val="20"/>
                <w:szCs w:val="20"/>
              </w:rPr>
              <w:t>roject.</w:t>
            </w:r>
          </w:p>
        </w:tc>
      </w:tr>
      <w:tr w:rsidR="008534FD" w:rsidRPr="006C06AD" w14:paraId="7B5D5652" w14:textId="77777777" w:rsidTr="008534FD">
        <w:trPr>
          <w:jc w:val="center"/>
        </w:trPr>
        <w:tc>
          <w:tcPr>
            <w:tcW w:w="2633" w:type="dxa"/>
          </w:tcPr>
          <w:p w14:paraId="03470D10" w14:textId="77777777" w:rsidR="008534FD" w:rsidRPr="006C06AD" w:rsidRDefault="008534FD">
            <w:pPr>
              <w:jc w:val="both"/>
              <w:rPr>
                <w:rFonts w:cs="Arial"/>
                <w:sz w:val="20"/>
                <w:szCs w:val="20"/>
              </w:rPr>
            </w:pPr>
            <w:r w:rsidRPr="006C06AD">
              <w:rPr>
                <w:rFonts w:cs="Arial"/>
                <w:sz w:val="20"/>
                <w:szCs w:val="20"/>
              </w:rPr>
              <w:t>B.10 Hazardous Materials</w:t>
            </w:r>
          </w:p>
        </w:tc>
        <w:tc>
          <w:tcPr>
            <w:tcW w:w="2520" w:type="dxa"/>
          </w:tcPr>
          <w:p w14:paraId="57CCD788" w14:textId="77777777" w:rsidR="008534FD" w:rsidRPr="006C06AD" w:rsidRDefault="008534FD">
            <w:pPr>
              <w:jc w:val="both"/>
              <w:rPr>
                <w:rFonts w:cs="Arial"/>
                <w:sz w:val="20"/>
                <w:szCs w:val="20"/>
              </w:rPr>
            </w:pPr>
            <w:r w:rsidRPr="006C06AD">
              <w:rPr>
                <w:rFonts w:cs="Arial"/>
                <w:sz w:val="20"/>
                <w:szCs w:val="20"/>
              </w:rPr>
              <w:t>Waste management</w:t>
            </w:r>
          </w:p>
        </w:tc>
        <w:tc>
          <w:tcPr>
            <w:tcW w:w="3978" w:type="dxa"/>
          </w:tcPr>
          <w:p w14:paraId="68756981" w14:textId="77777777" w:rsidR="008534FD" w:rsidRPr="006C06AD" w:rsidRDefault="008534FD" w:rsidP="00C17775">
            <w:pPr>
              <w:jc w:val="both"/>
              <w:rPr>
                <w:rFonts w:cs="Arial"/>
                <w:sz w:val="20"/>
                <w:szCs w:val="20"/>
              </w:rPr>
            </w:pPr>
            <w:r w:rsidRPr="006C06AD">
              <w:rPr>
                <w:rFonts w:cs="Arial"/>
                <w:sz w:val="20"/>
                <w:szCs w:val="20"/>
              </w:rPr>
              <w:t xml:space="preserve">The </w:t>
            </w:r>
            <w:r w:rsidR="0028758B">
              <w:rPr>
                <w:rFonts w:cs="Arial"/>
                <w:sz w:val="20"/>
                <w:szCs w:val="20"/>
              </w:rPr>
              <w:t>sub-</w:t>
            </w:r>
            <w:r w:rsidRPr="006C06AD">
              <w:rPr>
                <w:rFonts w:cs="Arial"/>
                <w:sz w:val="20"/>
                <w:szCs w:val="20"/>
              </w:rPr>
              <w:t xml:space="preserve">projects will follow Argentina local regulations. Furthermore, a set of specific requirements will be designed and included in the Operating Regulations of the </w:t>
            </w:r>
            <w:r w:rsidR="00123F65" w:rsidRPr="006C06AD">
              <w:rPr>
                <w:rFonts w:cs="Arial"/>
                <w:sz w:val="20"/>
                <w:szCs w:val="20"/>
              </w:rPr>
              <w:t>Project</w:t>
            </w:r>
            <w:r w:rsidRPr="006C06AD">
              <w:rPr>
                <w:rFonts w:cs="Arial"/>
                <w:sz w:val="20"/>
                <w:szCs w:val="20"/>
              </w:rPr>
              <w:t xml:space="preserve"> for biogas </w:t>
            </w:r>
            <w:r w:rsidR="0028758B">
              <w:rPr>
                <w:rFonts w:cs="Arial"/>
                <w:sz w:val="20"/>
                <w:szCs w:val="20"/>
              </w:rPr>
              <w:t>sub-</w:t>
            </w:r>
            <w:r w:rsidRPr="006C06AD">
              <w:rPr>
                <w:rFonts w:cs="Arial"/>
                <w:sz w:val="20"/>
                <w:szCs w:val="20"/>
              </w:rPr>
              <w:t xml:space="preserve">projects. </w:t>
            </w:r>
          </w:p>
        </w:tc>
      </w:tr>
      <w:tr w:rsidR="008534FD" w:rsidRPr="006C06AD" w14:paraId="6AF6EC74" w14:textId="77777777" w:rsidTr="008534FD">
        <w:trPr>
          <w:jc w:val="center"/>
        </w:trPr>
        <w:tc>
          <w:tcPr>
            <w:tcW w:w="2633" w:type="dxa"/>
          </w:tcPr>
          <w:p w14:paraId="46C58D89" w14:textId="77777777" w:rsidR="008534FD" w:rsidRPr="006C06AD" w:rsidRDefault="008534FD">
            <w:pPr>
              <w:jc w:val="both"/>
              <w:rPr>
                <w:rFonts w:cs="Arial"/>
                <w:sz w:val="20"/>
                <w:szCs w:val="20"/>
              </w:rPr>
            </w:pPr>
            <w:r w:rsidRPr="006C06AD">
              <w:rPr>
                <w:rFonts w:cs="Arial"/>
                <w:sz w:val="20"/>
                <w:szCs w:val="20"/>
              </w:rPr>
              <w:t>B.11 Pollution Prevention</w:t>
            </w:r>
          </w:p>
        </w:tc>
        <w:tc>
          <w:tcPr>
            <w:tcW w:w="2520" w:type="dxa"/>
          </w:tcPr>
          <w:p w14:paraId="23D3A374" w14:textId="77777777" w:rsidR="008534FD" w:rsidRPr="006C06AD" w:rsidRDefault="008534FD">
            <w:pPr>
              <w:jc w:val="both"/>
              <w:rPr>
                <w:rFonts w:cs="Arial"/>
                <w:sz w:val="20"/>
                <w:szCs w:val="20"/>
              </w:rPr>
            </w:pPr>
            <w:r w:rsidRPr="006C06AD">
              <w:rPr>
                <w:rFonts w:cs="Arial"/>
                <w:sz w:val="20"/>
                <w:szCs w:val="20"/>
              </w:rPr>
              <w:t>Pollution control and CO</w:t>
            </w:r>
            <w:r w:rsidRPr="006C06AD">
              <w:rPr>
                <w:rFonts w:cs="Arial"/>
                <w:sz w:val="20"/>
                <w:szCs w:val="20"/>
                <w:vertAlign w:val="subscript"/>
              </w:rPr>
              <w:t>2</w:t>
            </w:r>
            <w:r w:rsidRPr="006C06AD">
              <w:rPr>
                <w:rFonts w:cs="Arial"/>
                <w:sz w:val="20"/>
                <w:szCs w:val="20"/>
              </w:rPr>
              <w:t xml:space="preserve"> emissions</w:t>
            </w:r>
          </w:p>
        </w:tc>
        <w:tc>
          <w:tcPr>
            <w:tcW w:w="3978" w:type="dxa"/>
          </w:tcPr>
          <w:p w14:paraId="09325516" w14:textId="77777777" w:rsidR="008534FD" w:rsidRPr="006C06AD" w:rsidRDefault="008534FD" w:rsidP="00C17775">
            <w:pPr>
              <w:jc w:val="both"/>
              <w:rPr>
                <w:rFonts w:cs="Arial"/>
                <w:sz w:val="20"/>
                <w:szCs w:val="20"/>
              </w:rPr>
            </w:pPr>
            <w:r w:rsidRPr="006C06AD">
              <w:rPr>
                <w:rFonts w:cs="Arial"/>
                <w:sz w:val="20"/>
                <w:szCs w:val="20"/>
              </w:rPr>
              <w:t xml:space="preserve">The </w:t>
            </w:r>
            <w:r w:rsidR="0028758B">
              <w:rPr>
                <w:rFonts w:cs="Arial"/>
                <w:sz w:val="20"/>
                <w:szCs w:val="20"/>
              </w:rPr>
              <w:t>sub-</w:t>
            </w:r>
            <w:r w:rsidRPr="006C06AD">
              <w:rPr>
                <w:rFonts w:cs="Arial"/>
                <w:sz w:val="20"/>
                <w:szCs w:val="20"/>
              </w:rPr>
              <w:t>projects will follow Argentina local regulations.</w:t>
            </w:r>
          </w:p>
        </w:tc>
      </w:tr>
      <w:tr w:rsidR="008534FD" w:rsidRPr="006C06AD" w14:paraId="5445477C" w14:textId="77777777" w:rsidTr="008534FD">
        <w:trPr>
          <w:jc w:val="center"/>
        </w:trPr>
        <w:tc>
          <w:tcPr>
            <w:tcW w:w="2633" w:type="dxa"/>
          </w:tcPr>
          <w:p w14:paraId="1DDA1893" w14:textId="77777777" w:rsidR="008534FD" w:rsidRPr="006C06AD" w:rsidRDefault="008534FD">
            <w:pPr>
              <w:jc w:val="both"/>
              <w:rPr>
                <w:rFonts w:cs="Arial"/>
                <w:sz w:val="20"/>
                <w:szCs w:val="20"/>
              </w:rPr>
            </w:pPr>
            <w:r w:rsidRPr="006C06AD">
              <w:rPr>
                <w:rFonts w:cs="Arial"/>
                <w:sz w:val="20"/>
                <w:szCs w:val="20"/>
              </w:rPr>
              <w:t>B.12 Projects Under Construction</w:t>
            </w:r>
          </w:p>
        </w:tc>
        <w:tc>
          <w:tcPr>
            <w:tcW w:w="2520" w:type="dxa"/>
          </w:tcPr>
          <w:p w14:paraId="52ED91BF" w14:textId="77777777" w:rsidR="008534FD" w:rsidRPr="006C06AD" w:rsidRDefault="008534FD">
            <w:pPr>
              <w:jc w:val="both"/>
              <w:rPr>
                <w:rFonts w:cs="Arial"/>
                <w:sz w:val="20"/>
                <w:szCs w:val="20"/>
              </w:rPr>
            </w:pPr>
            <w:r w:rsidRPr="006C06AD">
              <w:rPr>
                <w:rFonts w:cs="Arial"/>
                <w:sz w:val="20"/>
                <w:szCs w:val="20"/>
              </w:rPr>
              <w:t>N/A</w:t>
            </w:r>
          </w:p>
        </w:tc>
        <w:tc>
          <w:tcPr>
            <w:tcW w:w="3978" w:type="dxa"/>
          </w:tcPr>
          <w:p w14:paraId="7EFD3E20" w14:textId="77777777" w:rsidR="008534FD" w:rsidRPr="006C06AD" w:rsidRDefault="008534FD" w:rsidP="00C17775">
            <w:pPr>
              <w:jc w:val="both"/>
              <w:rPr>
                <w:rFonts w:cs="Arial"/>
                <w:sz w:val="20"/>
                <w:szCs w:val="20"/>
              </w:rPr>
            </w:pPr>
            <w:r w:rsidRPr="006C06AD">
              <w:rPr>
                <w:rFonts w:cs="Arial"/>
                <w:sz w:val="20"/>
                <w:szCs w:val="20"/>
              </w:rPr>
              <w:t>Not triggered</w:t>
            </w:r>
          </w:p>
        </w:tc>
      </w:tr>
      <w:tr w:rsidR="008534FD" w:rsidRPr="006C06AD" w14:paraId="45F0ABAC" w14:textId="77777777" w:rsidTr="008534FD">
        <w:trPr>
          <w:jc w:val="center"/>
        </w:trPr>
        <w:tc>
          <w:tcPr>
            <w:tcW w:w="2633" w:type="dxa"/>
          </w:tcPr>
          <w:p w14:paraId="00D4559D" w14:textId="77777777" w:rsidR="008534FD" w:rsidRPr="006C06AD" w:rsidRDefault="008534FD">
            <w:pPr>
              <w:jc w:val="both"/>
              <w:rPr>
                <w:rFonts w:cs="Arial"/>
                <w:sz w:val="20"/>
                <w:szCs w:val="20"/>
              </w:rPr>
            </w:pPr>
            <w:r w:rsidRPr="006C06AD">
              <w:rPr>
                <w:rFonts w:cs="Arial"/>
                <w:sz w:val="20"/>
                <w:szCs w:val="20"/>
              </w:rPr>
              <w:t>B.13 Non-Investment and Flexible Lending Instruments</w:t>
            </w:r>
          </w:p>
        </w:tc>
        <w:tc>
          <w:tcPr>
            <w:tcW w:w="2520" w:type="dxa"/>
          </w:tcPr>
          <w:p w14:paraId="6CE51B49" w14:textId="77777777" w:rsidR="008534FD" w:rsidRPr="006C06AD" w:rsidRDefault="008534FD">
            <w:pPr>
              <w:jc w:val="both"/>
              <w:rPr>
                <w:rFonts w:cs="Arial"/>
                <w:sz w:val="20"/>
                <w:szCs w:val="20"/>
              </w:rPr>
            </w:pPr>
          </w:p>
        </w:tc>
        <w:tc>
          <w:tcPr>
            <w:tcW w:w="3978" w:type="dxa"/>
          </w:tcPr>
          <w:p w14:paraId="2C54A2A7" w14:textId="77777777" w:rsidR="008534FD" w:rsidRPr="006C06AD" w:rsidRDefault="008534FD" w:rsidP="00C17775">
            <w:pPr>
              <w:jc w:val="both"/>
              <w:rPr>
                <w:rFonts w:cs="Arial"/>
                <w:sz w:val="20"/>
                <w:szCs w:val="20"/>
              </w:rPr>
            </w:pPr>
            <w:r w:rsidRPr="006C06AD">
              <w:rPr>
                <w:rFonts w:cs="Arial"/>
                <w:sz w:val="20"/>
                <w:szCs w:val="20"/>
              </w:rPr>
              <w:t xml:space="preserve">Triggered. During due diligence, the BICE institutional capacity and measures in place to mitigate potential </w:t>
            </w:r>
            <w:r w:rsidR="00B773FC" w:rsidRPr="006C06AD">
              <w:rPr>
                <w:rFonts w:cs="Arial"/>
                <w:sz w:val="20"/>
                <w:szCs w:val="20"/>
              </w:rPr>
              <w:t>environmental and social</w:t>
            </w:r>
            <w:r w:rsidRPr="006C06AD">
              <w:rPr>
                <w:rFonts w:cs="Arial"/>
                <w:sz w:val="20"/>
                <w:szCs w:val="20"/>
              </w:rPr>
              <w:t xml:space="preserve"> risks have been assessed.</w:t>
            </w:r>
          </w:p>
        </w:tc>
      </w:tr>
      <w:tr w:rsidR="008534FD" w:rsidRPr="006C06AD" w14:paraId="35C04DC5" w14:textId="77777777" w:rsidTr="008534FD">
        <w:trPr>
          <w:jc w:val="center"/>
        </w:trPr>
        <w:tc>
          <w:tcPr>
            <w:tcW w:w="2633" w:type="dxa"/>
          </w:tcPr>
          <w:p w14:paraId="3CF6B881" w14:textId="77777777" w:rsidR="008534FD" w:rsidRPr="006C06AD" w:rsidRDefault="008534FD">
            <w:pPr>
              <w:jc w:val="both"/>
              <w:rPr>
                <w:rFonts w:cs="Arial"/>
                <w:sz w:val="20"/>
                <w:szCs w:val="20"/>
              </w:rPr>
            </w:pPr>
            <w:r w:rsidRPr="006C06AD">
              <w:rPr>
                <w:rFonts w:cs="Arial"/>
                <w:sz w:val="20"/>
                <w:szCs w:val="20"/>
              </w:rPr>
              <w:t>B.14 Multiple Phase Loans</w:t>
            </w:r>
          </w:p>
        </w:tc>
        <w:tc>
          <w:tcPr>
            <w:tcW w:w="2520" w:type="dxa"/>
          </w:tcPr>
          <w:p w14:paraId="60111097" w14:textId="77777777" w:rsidR="008534FD" w:rsidRPr="006C06AD" w:rsidRDefault="008534FD">
            <w:pPr>
              <w:jc w:val="both"/>
              <w:rPr>
                <w:rFonts w:cs="Arial"/>
                <w:sz w:val="20"/>
                <w:szCs w:val="20"/>
              </w:rPr>
            </w:pPr>
            <w:r w:rsidRPr="006C06AD">
              <w:rPr>
                <w:rFonts w:cs="Arial"/>
                <w:sz w:val="20"/>
                <w:szCs w:val="20"/>
              </w:rPr>
              <w:t>N/A</w:t>
            </w:r>
          </w:p>
        </w:tc>
        <w:tc>
          <w:tcPr>
            <w:tcW w:w="3978" w:type="dxa"/>
          </w:tcPr>
          <w:p w14:paraId="09B667FF" w14:textId="77777777" w:rsidR="008534FD" w:rsidRPr="006C06AD" w:rsidRDefault="008534FD" w:rsidP="00C17775">
            <w:pPr>
              <w:jc w:val="both"/>
              <w:rPr>
                <w:rFonts w:cs="Arial"/>
                <w:sz w:val="20"/>
                <w:szCs w:val="20"/>
              </w:rPr>
            </w:pPr>
            <w:r w:rsidRPr="006C06AD">
              <w:rPr>
                <w:rFonts w:cs="Arial"/>
                <w:sz w:val="20"/>
                <w:szCs w:val="20"/>
              </w:rPr>
              <w:t>Not triggered</w:t>
            </w:r>
          </w:p>
        </w:tc>
      </w:tr>
      <w:tr w:rsidR="008534FD" w:rsidRPr="006C06AD" w14:paraId="45260436" w14:textId="77777777" w:rsidTr="008534FD">
        <w:trPr>
          <w:jc w:val="center"/>
        </w:trPr>
        <w:tc>
          <w:tcPr>
            <w:tcW w:w="2633" w:type="dxa"/>
          </w:tcPr>
          <w:p w14:paraId="2D7457E2" w14:textId="77777777" w:rsidR="008534FD" w:rsidRPr="006C06AD" w:rsidRDefault="008534FD">
            <w:pPr>
              <w:jc w:val="both"/>
              <w:rPr>
                <w:rFonts w:cs="Arial"/>
                <w:sz w:val="20"/>
                <w:szCs w:val="20"/>
              </w:rPr>
            </w:pPr>
            <w:r w:rsidRPr="006C06AD">
              <w:rPr>
                <w:rFonts w:cs="Arial"/>
                <w:sz w:val="20"/>
                <w:szCs w:val="20"/>
              </w:rPr>
              <w:t>B.15 Co-Financing Operations</w:t>
            </w:r>
          </w:p>
        </w:tc>
        <w:tc>
          <w:tcPr>
            <w:tcW w:w="2520" w:type="dxa"/>
          </w:tcPr>
          <w:p w14:paraId="635C405B" w14:textId="77777777" w:rsidR="008534FD" w:rsidRPr="006C06AD" w:rsidRDefault="008534FD">
            <w:pPr>
              <w:jc w:val="both"/>
              <w:rPr>
                <w:rFonts w:cs="Arial"/>
                <w:sz w:val="20"/>
                <w:szCs w:val="20"/>
              </w:rPr>
            </w:pPr>
            <w:r w:rsidRPr="006C06AD">
              <w:rPr>
                <w:rFonts w:cs="Arial"/>
                <w:sz w:val="20"/>
                <w:szCs w:val="20"/>
              </w:rPr>
              <w:t>N/A</w:t>
            </w:r>
          </w:p>
        </w:tc>
        <w:tc>
          <w:tcPr>
            <w:tcW w:w="3978" w:type="dxa"/>
          </w:tcPr>
          <w:p w14:paraId="651DD94B" w14:textId="77777777" w:rsidR="008534FD" w:rsidRPr="006C06AD" w:rsidRDefault="008534FD" w:rsidP="00C17775">
            <w:pPr>
              <w:jc w:val="both"/>
              <w:rPr>
                <w:rFonts w:cs="Arial"/>
                <w:sz w:val="20"/>
                <w:szCs w:val="20"/>
              </w:rPr>
            </w:pPr>
            <w:r w:rsidRPr="006C06AD">
              <w:rPr>
                <w:rFonts w:cs="Arial"/>
                <w:sz w:val="20"/>
                <w:szCs w:val="20"/>
              </w:rPr>
              <w:t>Not triggered</w:t>
            </w:r>
          </w:p>
        </w:tc>
      </w:tr>
      <w:tr w:rsidR="008534FD" w:rsidRPr="006C06AD" w14:paraId="4A55CB7A" w14:textId="77777777" w:rsidTr="008534FD">
        <w:trPr>
          <w:jc w:val="center"/>
        </w:trPr>
        <w:tc>
          <w:tcPr>
            <w:tcW w:w="2633" w:type="dxa"/>
          </w:tcPr>
          <w:p w14:paraId="5E7C7005" w14:textId="77777777" w:rsidR="008534FD" w:rsidRPr="006C06AD" w:rsidRDefault="008534FD">
            <w:pPr>
              <w:jc w:val="both"/>
              <w:rPr>
                <w:rFonts w:cs="Arial"/>
                <w:sz w:val="20"/>
                <w:szCs w:val="20"/>
              </w:rPr>
            </w:pPr>
            <w:r w:rsidRPr="006C06AD">
              <w:rPr>
                <w:rFonts w:cs="Arial"/>
                <w:sz w:val="20"/>
                <w:szCs w:val="20"/>
              </w:rPr>
              <w:t>B.16 In-Country Systems</w:t>
            </w:r>
          </w:p>
        </w:tc>
        <w:tc>
          <w:tcPr>
            <w:tcW w:w="2520" w:type="dxa"/>
          </w:tcPr>
          <w:p w14:paraId="66E258F0" w14:textId="77777777" w:rsidR="008534FD" w:rsidRPr="006C06AD" w:rsidRDefault="008534FD">
            <w:pPr>
              <w:jc w:val="both"/>
              <w:rPr>
                <w:rFonts w:cs="Arial"/>
                <w:sz w:val="20"/>
                <w:szCs w:val="20"/>
              </w:rPr>
            </w:pPr>
            <w:r w:rsidRPr="006C06AD">
              <w:rPr>
                <w:rFonts w:cs="Arial"/>
                <w:sz w:val="20"/>
                <w:szCs w:val="20"/>
              </w:rPr>
              <w:t>N/A</w:t>
            </w:r>
          </w:p>
        </w:tc>
        <w:tc>
          <w:tcPr>
            <w:tcW w:w="3978" w:type="dxa"/>
          </w:tcPr>
          <w:p w14:paraId="147AE953" w14:textId="77777777" w:rsidR="008534FD" w:rsidRPr="006C06AD" w:rsidRDefault="008534FD" w:rsidP="00C17775">
            <w:pPr>
              <w:jc w:val="both"/>
              <w:rPr>
                <w:rFonts w:cs="Arial"/>
                <w:sz w:val="20"/>
                <w:szCs w:val="20"/>
              </w:rPr>
            </w:pPr>
            <w:r w:rsidRPr="006C06AD">
              <w:rPr>
                <w:rFonts w:cs="Arial"/>
                <w:sz w:val="20"/>
                <w:szCs w:val="20"/>
              </w:rPr>
              <w:t>Not triggered</w:t>
            </w:r>
          </w:p>
        </w:tc>
      </w:tr>
      <w:tr w:rsidR="008534FD" w:rsidRPr="006C06AD" w14:paraId="4C95D929" w14:textId="77777777" w:rsidTr="008534FD">
        <w:trPr>
          <w:jc w:val="center"/>
        </w:trPr>
        <w:tc>
          <w:tcPr>
            <w:tcW w:w="2633" w:type="dxa"/>
          </w:tcPr>
          <w:p w14:paraId="586BD53F" w14:textId="77777777" w:rsidR="008534FD" w:rsidRPr="006C06AD" w:rsidRDefault="008534FD">
            <w:pPr>
              <w:jc w:val="both"/>
              <w:rPr>
                <w:rFonts w:cs="Arial"/>
                <w:sz w:val="20"/>
                <w:szCs w:val="20"/>
              </w:rPr>
            </w:pPr>
            <w:r w:rsidRPr="006C06AD">
              <w:rPr>
                <w:rFonts w:cs="Arial"/>
                <w:sz w:val="20"/>
                <w:szCs w:val="20"/>
              </w:rPr>
              <w:lastRenderedPageBreak/>
              <w:t>B.17 Procurement</w:t>
            </w:r>
          </w:p>
        </w:tc>
        <w:tc>
          <w:tcPr>
            <w:tcW w:w="2520" w:type="dxa"/>
          </w:tcPr>
          <w:p w14:paraId="3BE0A821" w14:textId="77777777" w:rsidR="008534FD" w:rsidRPr="006C06AD" w:rsidRDefault="008534FD">
            <w:pPr>
              <w:jc w:val="both"/>
              <w:rPr>
                <w:rFonts w:cs="Arial"/>
                <w:sz w:val="20"/>
                <w:szCs w:val="20"/>
              </w:rPr>
            </w:pPr>
            <w:r w:rsidRPr="006C06AD">
              <w:rPr>
                <w:rFonts w:cs="Arial"/>
                <w:sz w:val="20"/>
                <w:szCs w:val="20"/>
              </w:rPr>
              <w:t>N/A</w:t>
            </w:r>
          </w:p>
        </w:tc>
        <w:tc>
          <w:tcPr>
            <w:tcW w:w="3978" w:type="dxa"/>
          </w:tcPr>
          <w:p w14:paraId="349ED673" w14:textId="77777777" w:rsidR="008534FD" w:rsidRPr="006C06AD" w:rsidRDefault="008534FD" w:rsidP="00C17775">
            <w:pPr>
              <w:jc w:val="both"/>
              <w:rPr>
                <w:rFonts w:cs="Arial"/>
                <w:sz w:val="20"/>
                <w:szCs w:val="20"/>
              </w:rPr>
            </w:pPr>
            <w:r w:rsidRPr="006C06AD">
              <w:rPr>
                <w:rFonts w:cs="Arial"/>
                <w:sz w:val="20"/>
                <w:szCs w:val="20"/>
              </w:rPr>
              <w:t>Not triggered</w:t>
            </w:r>
          </w:p>
        </w:tc>
      </w:tr>
      <w:tr w:rsidR="008534FD" w:rsidRPr="006C06AD" w14:paraId="6C08E625" w14:textId="77777777" w:rsidTr="008534FD">
        <w:trPr>
          <w:jc w:val="center"/>
        </w:trPr>
        <w:tc>
          <w:tcPr>
            <w:tcW w:w="2633" w:type="dxa"/>
          </w:tcPr>
          <w:p w14:paraId="2BB8DC80" w14:textId="77777777" w:rsidR="008534FD" w:rsidRPr="006C06AD" w:rsidRDefault="008534FD">
            <w:pPr>
              <w:jc w:val="both"/>
              <w:rPr>
                <w:rFonts w:cs="Arial"/>
                <w:b/>
                <w:sz w:val="20"/>
                <w:szCs w:val="20"/>
              </w:rPr>
            </w:pPr>
            <w:r w:rsidRPr="006C06AD">
              <w:rPr>
                <w:rFonts w:cs="Arial"/>
                <w:b/>
                <w:sz w:val="20"/>
                <w:szCs w:val="20"/>
              </w:rPr>
              <w:t>OP-710 Involuntary Resettlement</w:t>
            </w:r>
          </w:p>
        </w:tc>
        <w:tc>
          <w:tcPr>
            <w:tcW w:w="2520" w:type="dxa"/>
          </w:tcPr>
          <w:p w14:paraId="6DEFF5D6" w14:textId="77777777" w:rsidR="008534FD" w:rsidRPr="006C06AD" w:rsidRDefault="008534FD">
            <w:pPr>
              <w:jc w:val="both"/>
              <w:rPr>
                <w:rFonts w:cs="Arial"/>
                <w:sz w:val="20"/>
                <w:szCs w:val="20"/>
              </w:rPr>
            </w:pPr>
            <w:r w:rsidRPr="006C06AD">
              <w:rPr>
                <w:rFonts w:cs="Arial"/>
                <w:sz w:val="20"/>
                <w:szCs w:val="20"/>
              </w:rPr>
              <w:t>N/A</w:t>
            </w:r>
          </w:p>
        </w:tc>
        <w:tc>
          <w:tcPr>
            <w:tcW w:w="3978" w:type="dxa"/>
          </w:tcPr>
          <w:p w14:paraId="29B6FCB1" w14:textId="77777777" w:rsidR="008534FD" w:rsidRPr="006C06AD" w:rsidRDefault="008534FD" w:rsidP="00C17775">
            <w:pPr>
              <w:jc w:val="both"/>
              <w:rPr>
                <w:rFonts w:cs="Arial"/>
                <w:sz w:val="20"/>
                <w:szCs w:val="20"/>
              </w:rPr>
            </w:pPr>
            <w:r w:rsidRPr="006C06AD">
              <w:rPr>
                <w:rFonts w:cs="Arial"/>
                <w:sz w:val="20"/>
                <w:szCs w:val="20"/>
              </w:rPr>
              <w:t>Not triggered</w:t>
            </w:r>
          </w:p>
        </w:tc>
      </w:tr>
      <w:tr w:rsidR="008534FD" w:rsidRPr="006C06AD" w14:paraId="2B691A5A" w14:textId="77777777" w:rsidTr="008534FD">
        <w:trPr>
          <w:jc w:val="center"/>
        </w:trPr>
        <w:tc>
          <w:tcPr>
            <w:tcW w:w="2633" w:type="dxa"/>
          </w:tcPr>
          <w:p w14:paraId="2C71FD19" w14:textId="77777777" w:rsidR="008534FD" w:rsidRPr="006C06AD" w:rsidRDefault="008534FD">
            <w:pPr>
              <w:jc w:val="both"/>
              <w:rPr>
                <w:rFonts w:cs="Arial"/>
                <w:b/>
                <w:sz w:val="20"/>
                <w:szCs w:val="20"/>
              </w:rPr>
            </w:pPr>
            <w:r w:rsidRPr="006C06AD">
              <w:rPr>
                <w:rFonts w:cs="Arial"/>
                <w:b/>
                <w:sz w:val="20"/>
                <w:szCs w:val="20"/>
              </w:rPr>
              <w:t>OP-765 Indigenous Peoples</w:t>
            </w:r>
          </w:p>
        </w:tc>
        <w:tc>
          <w:tcPr>
            <w:tcW w:w="2520" w:type="dxa"/>
          </w:tcPr>
          <w:p w14:paraId="2C07720A" w14:textId="77777777" w:rsidR="008534FD" w:rsidRPr="006C06AD" w:rsidRDefault="008534FD">
            <w:pPr>
              <w:jc w:val="both"/>
              <w:rPr>
                <w:rFonts w:cs="Arial"/>
                <w:sz w:val="20"/>
                <w:szCs w:val="20"/>
              </w:rPr>
            </w:pPr>
            <w:r w:rsidRPr="006C06AD">
              <w:rPr>
                <w:rFonts w:cs="Arial"/>
                <w:sz w:val="20"/>
                <w:szCs w:val="20"/>
              </w:rPr>
              <w:t>N/A</w:t>
            </w:r>
          </w:p>
        </w:tc>
        <w:tc>
          <w:tcPr>
            <w:tcW w:w="3978" w:type="dxa"/>
          </w:tcPr>
          <w:p w14:paraId="34AEA7D3" w14:textId="77777777" w:rsidR="008534FD" w:rsidRPr="006C06AD" w:rsidRDefault="008534FD" w:rsidP="00C17775">
            <w:pPr>
              <w:jc w:val="both"/>
              <w:rPr>
                <w:rFonts w:cs="Arial"/>
                <w:sz w:val="20"/>
                <w:szCs w:val="20"/>
              </w:rPr>
            </w:pPr>
            <w:r w:rsidRPr="006C06AD">
              <w:rPr>
                <w:rFonts w:cs="Arial"/>
                <w:sz w:val="20"/>
                <w:szCs w:val="20"/>
              </w:rPr>
              <w:t>Not triggered</w:t>
            </w:r>
          </w:p>
        </w:tc>
      </w:tr>
      <w:tr w:rsidR="008534FD" w:rsidRPr="006C06AD" w14:paraId="348E377F" w14:textId="77777777" w:rsidTr="008534FD">
        <w:trPr>
          <w:jc w:val="center"/>
        </w:trPr>
        <w:tc>
          <w:tcPr>
            <w:tcW w:w="2633" w:type="dxa"/>
          </w:tcPr>
          <w:p w14:paraId="7A24BA38" w14:textId="77777777" w:rsidR="008534FD" w:rsidRPr="006C06AD" w:rsidRDefault="008534FD">
            <w:pPr>
              <w:jc w:val="both"/>
              <w:rPr>
                <w:rFonts w:cs="Arial"/>
                <w:b/>
                <w:sz w:val="20"/>
                <w:szCs w:val="20"/>
              </w:rPr>
            </w:pPr>
            <w:r w:rsidRPr="006C06AD">
              <w:rPr>
                <w:rFonts w:cs="Arial"/>
                <w:b/>
                <w:sz w:val="20"/>
                <w:szCs w:val="20"/>
              </w:rPr>
              <w:t>OP-704 Disaster Risk Management Policy</w:t>
            </w:r>
          </w:p>
        </w:tc>
        <w:tc>
          <w:tcPr>
            <w:tcW w:w="2520" w:type="dxa"/>
          </w:tcPr>
          <w:p w14:paraId="6E08FA24" w14:textId="77777777" w:rsidR="008534FD" w:rsidRPr="006C06AD" w:rsidRDefault="008534FD" w:rsidP="00C17775">
            <w:pPr>
              <w:jc w:val="both"/>
              <w:rPr>
                <w:rFonts w:cs="Arial"/>
                <w:sz w:val="20"/>
                <w:szCs w:val="20"/>
              </w:rPr>
            </w:pPr>
            <w:r w:rsidRPr="006C06AD">
              <w:rPr>
                <w:rFonts w:cs="Arial"/>
                <w:sz w:val="20"/>
                <w:szCs w:val="20"/>
              </w:rPr>
              <w:t>Hurricane and earthquake prone area</w:t>
            </w:r>
          </w:p>
        </w:tc>
        <w:tc>
          <w:tcPr>
            <w:tcW w:w="3978" w:type="dxa"/>
          </w:tcPr>
          <w:p w14:paraId="69712465" w14:textId="77777777" w:rsidR="008534FD" w:rsidRPr="006C06AD" w:rsidRDefault="008534FD">
            <w:pPr>
              <w:jc w:val="both"/>
              <w:rPr>
                <w:rFonts w:cs="Arial"/>
                <w:sz w:val="20"/>
                <w:szCs w:val="20"/>
              </w:rPr>
            </w:pPr>
            <w:r w:rsidRPr="006C06AD">
              <w:rPr>
                <w:rFonts w:cs="Arial"/>
                <w:sz w:val="20"/>
                <w:szCs w:val="20"/>
              </w:rPr>
              <w:t>Not triggered</w:t>
            </w:r>
          </w:p>
        </w:tc>
      </w:tr>
      <w:tr w:rsidR="008534FD" w:rsidRPr="006C06AD" w14:paraId="2D2D0A43" w14:textId="77777777" w:rsidTr="008534FD">
        <w:trPr>
          <w:jc w:val="center"/>
        </w:trPr>
        <w:tc>
          <w:tcPr>
            <w:tcW w:w="2633" w:type="dxa"/>
          </w:tcPr>
          <w:p w14:paraId="4EF3BFD4" w14:textId="77777777" w:rsidR="008534FD" w:rsidRPr="006C06AD" w:rsidRDefault="008534FD">
            <w:pPr>
              <w:jc w:val="both"/>
              <w:rPr>
                <w:rFonts w:cs="Arial"/>
                <w:b/>
                <w:sz w:val="20"/>
                <w:szCs w:val="20"/>
              </w:rPr>
            </w:pPr>
            <w:r w:rsidRPr="006C06AD">
              <w:rPr>
                <w:rFonts w:cs="Arial"/>
                <w:b/>
                <w:sz w:val="20"/>
                <w:szCs w:val="20"/>
              </w:rPr>
              <w:t>OP-761 Gender Equality</w:t>
            </w:r>
          </w:p>
        </w:tc>
        <w:tc>
          <w:tcPr>
            <w:tcW w:w="2520" w:type="dxa"/>
          </w:tcPr>
          <w:p w14:paraId="781306CC" w14:textId="77777777" w:rsidR="008534FD" w:rsidRPr="006C06AD" w:rsidRDefault="008534FD" w:rsidP="00C17775">
            <w:pPr>
              <w:jc w:val="both"/>
              <w:rPr>
                <w:rFonts w:cs="Arial"/>
                <w:sz w:val="20"/>
                <w:szCs w:val="20"/>
              </w:rPr>
            </w:pPr>
            <w:r w:rsidRPr="006C06AD">
              <w:rPr>
                <w:rFonts w:cs="Arial"/>
                <w:sz w:val="20"/>
                <w:szCs w:val="20"/>
              </w:rPr>
              <w:t>Avoiding gender discrimination within the Project or as a result of the Project.</w:t>
            </w:r>
          </w:p>
        </w:tc>
        <w:tc>
          <w:tcPr>
            <w:tcW w:w="3978" w:type="dxa"/>
          </w:tcPr>
          <w:p w14:paraId="0CF8B7B3" w14:textId="77777777" w:rsidR="001F06DE" w:rsidRPr="006C06AD" w:rsidRDefault="008534FD" w:rsidP="00C17775">
            <w:pPr>
              <w:jc w:val="both"/>
              <w:rPr>
                <w:rFonts w:cs="Arial"/>
                <w:sz w:val="20"/>
                <w:szCs w:val="20"/>
              </w:rPr>
            </w:pPr>
            <w:r w:rsidRPr="006C06AD">
              <w:rPr>
                <w:rFonts w:cs="Arial"/>
                <w:sz w:val="20"/>
                <w:szCs w:val="20"/>
              </w:rPr>
              <w:t>Not triggered</w:t>
            </w:r>
            <w:r w:rsidR="001F06DE" w:rsidRPr="006C06AD">
              <w:rPr>
                <w:rFonts w:cs="Arial"/>
                <w:sz w:val="20"/>
                <w:szCs w:val="20"/>
              </w:rPr>
              <w:t xml:space="preserve">. When required, the public consultations will be carried out in compliance with the Bank's safeguards </w:t>
            </w:r>
            <w:r w:rsidR="00C738A3" w:rsidRPr="006C06AD">
              <w:rPr>
                <w:rFonts w:cs="Arial"/>
                <w:sz w:val="20"/>
                <w:szCs w:val="20"/>
              </w:rPr>
              <w:t xml:space="preserve">policies and procedures </w:t>
            </w:r>
            <w:r w:rsidR="001F06DE" w:rsidRPr="006C06AD">
              <w:rPr>
                <w:rFonts w:cs="Arial"/>
                <w:sz w:val="20"/>
                <w:szCs w:val="20"/>
              </w:rPr>
              <w:t>and will also ensure women's equitable access to the consultation processes.</w:t>
            </w:r>
          </w:p>
          <w:p w14:paraId="3CABFD9B" w14:textId="77777777" w:rsidR="008534FD" w:rsidRPr="006C06AD" w:rsidRDefault="001F06DE" w:rsidP="00C17775">
            <w:pPr>
              <w:jc w:val="both"/>
              <w:rPr>
                <w:rFonts w:cs="Arial"/>
                <w:sz w:val="20"/>
                <w:szCs w:val="20"/>
              </w:rPr>
            </w:pPr>
            <w:r w:rsidRPr="006C06AD">
              <w:rPr>
                <w:rFonts w:cs="Arial"/>
                <w:sz w:val="20"/>
                <w:szCs w:val="20"/>
              </w:rPr>
              <w:t xml:space="preserve">It is important to remind that the applicable national legal framework integrates the issue of gender equality particularly in labor regulation. </w:t>
            </w:r>
          </w:p>
        </w:tc>
      </w:tr>
      <w:tr w:rsidR="008534FD" w:rsidRPr="006C06AD" w14:paraId="6B9C7E4B" w14:textId="77777777" w:rsidTr="008534FD">
        <w:trPr>
          <w:jc w:val="center"/>
        </w:trPr>
        <w:tc>
          <w:tcPr>
            <w:tcW w:w="2633" w:type="dxa"/>
          </w:tcPr>
          <w:p w14:paraId="33EF75D8" w14:textId="77777777" w:rsidR="008534FD" w:rsidRPr="006C06AD" w:rsidRDefault="008534FD">
            <w:pPr>
              <w:jc w:val="both"/>
              <w:rPr>
                <w:rFonts w:cs="Arial"/>
                <w:b/>
                <w:sz w:val="20"/>
                <w:szCs w:val="20"/>
              </w:rPr>
            </w:pPr>
            <w:r w:rsidRPr="006C06AD">
              <w:rPr>
                <w:rFonts w:cs="Arial"/>
                <w:b/>
                <w:sz w:val="20"/>
                <w:szCs w:val="20"/>
              </w:rPr>
              <w:t>OP-102 Access to Information Policy</w:t>
            </w:r>
          </w:p>
        </w:tc>
        <w:tc>
          <w:tcPr>
            <w:tcW w:w="2520" w:type="dxa"/>
          </w:tcPr>
          <w:p w14:paraId="0488C094" w14:textId="77777777" w:rsidR="008534FD" w:rsidRPr="006C06AD" w:rsidRDefault="008534FD">
            <w:pPr>
              <w:jc w:val="both"/>
              <w:rPr>
                <w:rFonts w:cs="Arial"/>
                <w:sz w:val="20"/>
                <w:szCs w:val="20"/>
              </w:rPr>
            </w:pPr>
            <w:r w:rsidRPr="006C06AD">
              <w:rPr>
                <w:rFonts w:cs="Arial"/>
                <w:sz w:val="20"/>
                <w:szCs w:val="20"/>
              </w:rPr>
              <w:t>Project information disclosure</w:t>
            </w:r>
          </w:p>
        </w:tc>
        <w:tc>
          <w:tcPr>
            <w:tcW w:w="3978" w:type="dxa"/>
          </w:tcPr>
          <w:p w14:paraId="0D50B0D4" w14:textId="77777777" w:rsidR="008534FD" w:rsidRPr="006C06AD" w:rsidRDefault="008534FD">
            <w:pPr>
              <w:jc w:val="both"/>
              <w:rPr>
                <w:rFonts w:cs="Arial"/>
                <w:sz w:val="20"/>
                <w:szCs w:val="20"/>
              </w:rPr>
            </w:pPr>
            <w:r w:rsidRPr="006C06AD">
              <w:rPr>
                <w:rFonts w:cs="Arial"/>
                <w:sz w:val="20"/>
                <w:szCs w:val="20"/>
              </w:rPr>
              <w:t xml:space="preserve">The </w:t>
            </w:r>
            <w:r w:rsidR="00123F65" w:rsidRPr="006C06AD">
              <w:rPr>
                <w:rFonts w:cs="Arial"/>
                <w:sz w:val="20"/>
                <w:szCs w:val="20"/>
              </w:rPr>
              <w:t>Project</w:t>
            </w:r>
            <w:r w:rsidR="00C738A3" w:rsidRPr="006C06AD">
              <w:rPr>
                <w:rFonts w:cs="Arial"/>
                <w:sz w:val="20"/>
                <w:szCs w:val="20"/>
              </w:rPr>
              <w:t xml:space="preserve"> </w:t>
            </w:r>
            <w:r w:rsidRPr="006C06AD">
              <w:rPr>
                <w:rFonts w:cs="Arial"/>
                <w:sz w:val="20"/>
                <w:szCs w:val="20"/>
              </w:rPr>
              <w:t>team will follow the Bank’s procedures as per OP-102.</w:t>
            </w:r>
          </w:p>
        </w:tc>
      </w:tr>
    </w:tbl>
    <w:p w14:paraId="235617FB" w14:textId="77777777" w:rsidR="004B3E99" w:rsidRDefault="004B3E99">
      <w:pPr>
        <w:spacing w:line="276" w:lineRule="auto"/>
        <w:jc w:val="both"/>
        <w:rPr>
          <w:sz w:val="20"/>
          <w:szCs w:val="20"/>
        </w:rPr>
      </w:pPr>
    </w:p>
    <w:p w14:paraId="09F02B69" w14:textId="7C99621E" w:rsidR="00A15D34" w:rsidRPr="006C06AD" w:rsidRDefault="00B06A46">
      <w:pPr>
        <w:spacing w:line="276" w:lineRule="auto"/>
        <w:jc w:val="both"/>
        <w:rPr>
          <w:sz w:val="20"/>
          <w:szCs w:val="20"/>
        </w:rPr>
      </w:pPr>
      <w:bookmarkStart w:id="2" w:name="_GoBack"/>
      <w:bookmarkEnd w:id="2"/>
      <w:r>
        <w:rPr>
          <w:sz w:val="20"/>
          <w:szCs w:val="20"/>
        </w:rPr>
        <w:t>As assessed during the accreditation process to the GCF, IDB environmental and social safeguards are fully consistent with the interim GCF standards</w:t>
      </w:r>
      <w:r w:rsidR="004B3E99">
        <w:rPr>
          <w:sz w:val="20"/>
          <w:szCs w:val="20"/>
        </w:rPr>
        <w:t>.</w:t>
      </w:r>
    </w:p>
    <w:p w14:paraId="5DBE0939" w14:textId="77777777" w:rsidR="00DC025F" w:rsidRPr="006C06AD" w:rsidRDefault="009F6A51">
      <w:pPr>
        <w:pStyle w:val="Heading2"/>
        <w:numPr>
          <w:ilvl w:val="0"/>
          <w:numId w:val="39"/>
        </w:numPr>
        <w:spacing w:before="240" w:after="240" w:line="276" w:lineRule="auto"/>
        <w:jc w:val="both"/>
        <w:rPr>
          <w:rFonts w:asciiTheme="minorHAnsi" w:hAnsiTheme="minorHAnsi"/>
          <w:sz w:val="20"/>
          <w:szCs w:val="20"/>
        </w:rPr>
      </w:pPr>
      <w:bookmarkStart w:id="3" w:name="_Ref499902064"/>
      <w:r w:rsidRPr="006C06AD">
        <w:rPr>
          <w:rFonts w:asciiTheme="minorHAnsi" w:hAnsiTheme="minorHAnsi"/>
          <w:sz w:val="20"/>
          <w:szCs w:val="20"/>
        </w:rPr>
        <w:t xml:space="preserve">Description of Potential </w:t>
      </w:r>
      <w:r w:rsidR="00DC025F" w:rsidRPr="006C06AD">
        <w:rPr>
          <w:rFonts w:asciiTheme="minorHAnsi" w:hAnsiTheme="minorHAnsi"/>
          <w:sz w:val="20"/>
          <w:szCs w:val="20"/>
        </w:rPr>
        <w:t xml:space="preserve">Environmental and Social </w:t>
      </w:r>
      <w:bookmarkEnd w:id="3"/>
      <w:r w:rsidRPr="006C06AD">
        <w:rPr>
          <w:rFonts w:asciiTheme="minorHAnsi" w:hAnsiTheme="minorHAnsi"/>
          <w:sz w:val="20"/>
          <w:szCs w:val="20"/>
        </w:rPr>
        <w:t>Impacts</w:t>
      </w:r>
    </w:p>
    <w:p w14:paraId="5E74C4BE" w14:textId="77777777" w:rsidR="007249DB" w:rsidRPr="00672C33" w:rsidRDefault="00172581">
      <w:pPr>
        <w:spacing w:line="276" w:lineRule="auto"/>
        <w:jc w:val="both"/>
        <w:rPr>
          <w:b/>
          <w:sz w:val="20"/>
          <w:szCs w:val="20"/>
        </w:rPr>
      </w:pPr>
      <w:r w:rsidRPr="00672C33">
        <w:rPr>
          <w:b/>
          <w:sz w:val="20"/>
          <w:szCs w:val="20"/>
        </w:rPr>
        <w:t xml:space="preserve">Description of </w:t>
      </w:r>
      <w:r w:rsidR="007249DB" w:rsidRPr="00672C33">
        <w:rPr>
          <w:b/>
          <w:sz w:val="20"/>
          <w:szCs w:val="20"/>
        </w:rPr>
        <w:t xml:space="preserve">Expected </w:t>
      </w:r>
      <w:r w:rsidR="008534FD" w:rsidRPr="00672C33">
        <w:rPr>
          <w:b/>
          <w:sz w:val="20"/>
          <w:szCs w:val="20"/>
        </w:rPr>
        <w:t>Positive Impacts</w:t>
      </w:r>
    </w:p>
    <w:p w14:paraId="40ACA296" w14:textId="77777777" w:rsidR="00F877B3" w:rsidRPr="006C06AD" w:rsidRDefault="00F877B3" w:rsidP="00C17775">
      <w:pPr>
        <w:spacing w:line="276" w:lineRule="auto"/>
        <w:jc w:val="both"/>
        <w:rPr>
          <w:sz w:val="20"/>
          <w:szCs w:val="20"/>
        </w:rPr>
      </w:pPr>
      <w:r w:rsidRPr="006C06AD">
        <w:rPr>
          <w:sz w:val="20"/>
          <w:szCs w:val="20"/>
        </w:rPr>
        <w:t xml:space="preserve">As advanced before, the </w:t>
      </w:r>
      <w:r w:rsidR="00123F65" w:rsidRPr="006C06AD">
        <w:rPr>
          <w:sz w:val="20"/>
          <w:szCs w:val="20"/>
        </w:rPr>
        <w:t>Project</w:t>
      </w:r>
      <w:r w:rsidRPr="006C06AD">
        <w:rPr>
          <w:sz w:val="20"/>
          <w:szCs w:val="20"/>
        </w:rPr>
        <w:t xml:space="preserve"> aims at promoting energy savings, renewable energy generation and GHG emission reductions. The main outcomes of the </w:t>
      </w:r>
      <w:r w:rsidR="00123F65" w:rsidRPr="006C06AD">
        <w:rPr>
          <w:sz w:val="20"/>
          <w:szCs w:val="20"/>
        </w:rPr>
        <w:t>Project</w:t>
      </w:r>
      <w:r w:rsidRPr="006C06AD">
        <w:rPr>
          <w:sz w:val="20"/>
          <w:szCs w:val="20"/>
        </w:rPr>
        <w:t xml:space="preserve"> would be the percentage reductions in energy costs and GHG emissions of beneficiary firms relative to that of comparable, non-beneficiary firms. The intermediate outcomes of the </w:t>
      </w:r>
      <w:r w:rsidR="00123F65" w:rsidRPr="006C06AD">
        <w:rPr>
          <w:sz w:val="20"/>
          <w:szCs w:val="20"/>
        </w:rPr>
        <w:t>Project</w:t>
      </w:r>
      <w:r w:rsidRPr="006C06AD">
        <w:rPr>
          <w:sz w:val="20"/>
          <w:szCs w:val="20"/>
        </w:rPr>
        <w:t xml:space="preserve"> would be (i) the percentage reduction in energy costs and GHG emissions of beneficiary firms over the life of the </w:t>
      </w:r>
      <w:r w:rsidR="00123F65" w:rsidRPr="006C06AD">
        <w:rPr>
          <w:sz w:val="20"/>
          <w:szCs w:val="20"/>
        </w:rPr>
        <w:t>Project</w:t>
      </w:r>
      <w:r w:rsidRPr="006C06AD">
        <w:rPr>
          <w:sz w:val="20"/>
          <w:szCs w:val="20"/>
        </w:rPr>
        <w:t xml:space="preserve"> and (ii) an increase in the number of SMEs that gain access to investment finance for RE and EE </w:t>
      </w:r>
      <w:r w:rsidR="0028758B">
        <w:rPr>
          <w:sz w:val="20"/>
          <w:szCs w:val="20"/>
        </w:rPr>
        <w:t>sub-</w:t>
      </w:r>
      <w:r w:rsidRPr="006C06AD">
        <w:rPr>
          <w:sz w:val="20"/>
          <w:szCs w:val="20"/>
        </w:rPr>
        <w:t>projects. Eligible sub-projects do not entail land acquisition or new construction.</w:t>
      </w:r>
    </w:p>
    <w:p w14:paraId="39E62E1B" w14:textId="77777777" w:rsidR="008534FD" w:rsidRPr="006C06AD" w:rsidRDefault="008534FD" w:rsidP="00C17775">
      <w:pPr>
        <w:spacing w:line="276" w:lineRule="auto"/>
        <w:jc w:val="both"/>
        <w:rPr>
          <w:sz w:val="20"/>
          <w:szCs w:val="20"/>
        </w:rPr>
      </w:pPr>
      <w:r w:rsidRPr="006C06AD">
        <w:rPr>
          <w:sz w:val="20"/>
          <w:szCs w:val="20"/>
        </w:rPr>
        <w:t xml:space="preserve">Beyond the general positive impacts of the </w:t>
      </w:r>
      <w:r w:rsidR="00123F65" w:rsidRPr="006C06AD">
        <w:rPr>
          <w:sz w:val="20"/>
          <w:szCs w:val="20"/>
        </w:rPr>
        <w:t>Project</w:t>
      </w:r>
      <w:r w:rsidRPr="006C06AD">
        <w:rPr>
          <w:sz w:val="20"/>
          <w:szCs w:val="20"/>
        </w:rPr>
        <w:t xml:space="preserve"> described above, it is expected that the market structuring efforts and risk mitigation tools to be piloted under the </w:t>
      </w:r>
      <w:r w:rsidR="00123F65" w:rsidRPr="006C06AD">
        <w:rPr>
          <w:sz w:val="20"/>
          <w:szCs w:val="20"/>
        </w:rPr>
        <w:t>Project</w:t>
      </w:r>
      <w:r w:rsidRPr="006C06AD">
        <w:rPr>
          <w:sz w:val="20"/>
          <w:szCs w:val="20"/>
        </w:rPr>
        <w:t xml:space="preserve"> could also result in increased market confidence regarding the services provided by technical services providers as well as in a lower perception of risk by LFIs as well as SMEs on EE investment </w:t>
      </w:r>
      <w:r w:rsidR="0028758B">
        <w:rPr>
          <w:sz w:val="20"/>
          <w:szCs w:val="20"/>
        </w:rPr>
        <w:t>sub-</w:t>
      </w:r>
      <w:r w:rsidRPr="006C06AD">
        <w:rPr>
          <w:sz w:val="20"/>
          <w:szCs w:val="20"/>
        </w:rPr>
        <w:t xml:space="preserve">projects, paving the way for future replication of the </w:t>
      </w:r>
      <w:r w:rsidR="00123F65" w:rsidRPr="006C06AD">
        <w:rPr>
          <w:sz w:val="20"/>
          <w:szCs w:val="20"/>
        </w:rPr>
        <w:t>Project</w:t>
      </w:r>
      <w:r w:rsidRPr="006C06AD">
        <w:rPr>
          <w:sz w:val="20"/>
          <w:szCs w:val="20"/>
        </w:rPr>
        <w:t>.</w:t>
      </w:r>
    </w:p>
    <w:p w14:paraId="4E83A4F0" w14:textId="77777777" w:rsidR="008534FD" w:rsidRPr="006C06AD" w:rsidRDefault="008534FD" w:rsidP="00C17775">
      <w:pPr>
        <w:spacing w:line="276" w:lineRule="auto"/>
        <w:jc w:val="both"/>
        <w:rPr>
          <w:sz w:val="20"/>
          <w:szCs w:val="20"/>
        </w:rPr>
      </w:pPr>
      <w:r w:rsidRPr="006C06AD">
        <w:rPr>
          <w:sz w:val="20"/>
          <w:szCs w:val="20"/>
        </w:rPr>
        <w:t xml:space="preserve">Additionally, it is estimated that the </w:t>
      </w:r>
      <w:r w:rsidR="0028758B">
        <w:rPr>
          <w:sz w:val="20"/>
          <w:szCs w:val="20"/>
        </w:rPr>
        <w:t>P</w:t>
      </w:r>
      <w:r w:rsidRPr="006C06AD">
        <w:rPr>
          <w:sz w:val="20"/>
          <w:szCs w:val="20"/>
        </w:rPr>
        <w:t>roject’s total benefits would extend far beyond environmental or economic gains. By lowering energy costs, resources can be re-invested in the business or invested elsewhere in the economy, resulting in additional jobs. First, a number of jobs would be created for the trade, installation, and manufacture of new technologies and equipment, and in industries supplying the clean energy sector. Second, job expansion in SMEs, where women tend to be more represented, offers additional opportunities for grater gender-inclusiveness.</w:t>
      </w:r>
    </w:p>
    <w:p w14:paraId="2B5B70F1" w14:textId="77777777" w:rsidR="008534FD" w:rsidRPr="00672C33" w:rsidRDefault="00172581">
      <w:pPr>
        <w:spacing w:line="276" w:lineRule="auto"/>
        <w:jc w:val="both"/>
        <w:rPr>
          <w:b/>
          <w:sz w:val="20"/>
          <w:szCs w:val="20"/>
        </w:rPr>
      </w:pPr>
      <w:r w:rsidRPr="00672C33">
        <w:rPr>
          <w:b/>
          <w:sz w:val="20"/>
          <w:szCs w:val="20"/>
        </w:rPr>
        <w:t xml:space="preserve">Description of </w:t>
      </w:r>
      <w:r w:rsidR="008534FD" w:rsidRPr="00672C33">
        <w:rPr>
          <w:b/>
          <w:sz w:val="20"/>
          <w:szCs w:val="20"/>
        </w:rPr>
        <w:t xml:space="preserve">Potential Negative Impacts  </w:t>
      </w:r>
    </w:p>
    <w:p w14:paraId="6E089AA6" w14:textId="77777777" w:rsidR="009A3EB5" w:rsidRPr="00672C33" w:rsidRDefault="00F877B3" w:rsidP="00C17775">
      <w:pPr>
        <w:spacing w:line="276" w:lineRule="auto"/>
        <w:jc w:val="both"/>
        <w:rPr>
          <w:i/>
          <w:sz w:val="20"/>
          <w:szCs w:val="20"/>
        </w:rPr>
      </w:pPr>
      <w:r w:rsidRPr="00672C33">
        <w:rPr>
          <w:i/>
          <w:sz w:val="20"/>
          <w:szCs w:val="20"/>
        </w:rPr>
        <w:t xml:space="preserve">Energy </w:t>
      </w:r>
      <w:r w:rsidR="009A3EB5" w:rsidRPr="00672C33">
        <w:rPr>
          <w:i/>
          <w:sz w:val="20"/>
          <w:szCs w:val="20"/>
        </w:rPr>
        <w:t>e</w:t>
      </w:r>
      <w:r w:rsidRPr="00672C33">
        <w:rPr>
          <w:i/>
          <w:sz w:val="20"/>
          <w:szCs w:val="20"/>
        </w:rPr>
        <w:t xml:space="preserve">fficiency </w:t>
      </w:r>
      <w:r w:rsidR="0028758B">
        <w:rPr>
          <w:i/>
          <w:sz w:val="20"/>
          <w:szCs w:val="20"/>
        </w:rPr>
        <w:t>sub-</w:t>
      </w:r>
      <w:r w:rsidRPr="00672C33">
        <w:rPr>
          <w:i/>
          <w:sz w:val="20"/>
          <w:szCs w:val="20"/>
        </w:rPr>
        <w:t>projects</w:t>
      </w:r>
    </w:p>
    <w:p w14:paraId="5B21CEFC" w14:textId="77777777" w:rsidR="00F877B3" w:rsidRPr="006C06AD" w:rsidRDefault="009A3EB5" w:rsidP="00C17775">
      <w:pPr>
        <w:spacing w:line="276" w:lineRule="auto"/>
        <w:jc w:val="both"/>
        <w:rPr>
          <w:sz w:val="20"/>
          <w:szCs w:val="20"/>
        </w:rPr>
      </w:pPr>
      <w:r w:rsidRPr="006C06AD">
        <w:rPr>
          <w:sz w:val="20"/>
          <w:szCs w:val="20"/>
        </w:rPr>
        <w:lastRenderedPageBreak/>
        <w:t xml:space="preserve"> T</w:t>
      </w:r>
      <w:r w:rsidR="00F877B3" w:rsidRPr="006C06AD">
        <w:rPr>
          <w:sz w:val="20"/>
          <w:szCs w:val="20"/>
        </w:rPr>
        <w:t>h</w:t>
      </w:r>
      <w:r w:rsidRPr="006C06AD">
        <w:rPr>
          <w:sz w:val="20"/>
          <w:szCs w:val="20"/>
        </w:rPr>
        <w:t>e</w:t>
      </w:r>
      <w:r w:rsidR="00F877B3" w:rsidRPr="006C06AD">
        <w:rPr>
          <w:sz w:val="20"/>
          <w:szCs w:val="20"/>
        </w:rPr>
        <w:t xml:space="preserve">se </w:t>
      </w:r>
      <w:r w:rsidR="0028758B">
        <w:rPr>
          <w:sz w:val="20"/>
          <w:szCs w:val="20"/>
        </w:rPr>
        <w:t>sub-projects</w:t>
      </w:r>
      <w:r w:rsidR="00F877B3" w:rsidRPr="006C06AD">
        <w:rPr>
          <w:sz w:val="20"/>
          <w:szCs w:val="20"/>
        </w:rPr>
        <w:t xml:space="preserve"> consist of repla</w:t>
      </w:r>
      <w:r w:rsidRPr="006C06AD">
        <w:rPr>
          <w:sz w:val="20"/>
          <w:szCs w:val="20"/>
        </w:rPr>
        <w:t xml:space="preserve">cing </w:t>
      </w:r>
      <w:r w:rsidR="00F877B3" w:rsidRPr="006C06AD">
        <w:rPr>
          <w:sz w:val="20"/>
          <w:szCs w:val="20"/>
        </w:rPr>
        <w:t xml:space="preserve">old equipment </w:t>
      </w:r>
      <w:r w:rsidRPr="006C06AD">
        <w:rPr>
          <w:sz w:val="20"/>
          <w:szCs w:val="20"/>
        </w:rPr>
        <w:t xml:space="preserve">with </w:t>
      </w:r>
      <w:r w:rsidR="00F877B3" w:rsidRPr="006C06AD">
        <w:rPr>
          <w:sz w:val="20"/>
          <w:szCs w:val="20"/>
        </w:rPr>
        <w:t xml:space="preserve">new </w:t>
      </w:r>
      <w:r w:rsidRPr="006C06AD">
        <w:rPr>
          <w:sz w:val="20"/>
          <w:szCs w:val="20"/>
        </w:rPr>
        <w:t xml:space="preserve">and </w:t>
      </w:r>
      <w:r w:rsidR="00F877B3" w:rsidRPr="006C06AD">
        <w:rPr>
          <w:sz w:val="20"/>
          <w:szCs w:val="20"/>
        </w:rPr>
        <w:t>more energy efficient</w:t>
      </w:r>
      <w:r w:rsidRPr="006C06AD">
        <w:rPr>
          <w:sz w:val="20"/>
          <w:szCs w:val="20"/>
        </w:rPr>
        <w:t xml:space="preserve"> </w:t>
      </w:r>
      <w:r w:rsidR="00F877B3" w:rsidRPr="006C06AD">
        <w:rPr>
          <w:sz w:val="20"/>
          <w:szCs w:val="20"/>
        </w:rPr>
        <w:t>equipment. They happen in existing small-scale operations</w:t>
      </w:r>
      <w:r w:rsidRPr="006C06AD">
        <w:rPr>
          <w:sz w:val="20"/>
          <w:szCs w:val="20"/>
        </w:rPr>
        <w:t xml:space="preserve">, most likely by </w:t>
      </w:r>
      <w:r w:rsidR="00672C33">
        <w:rPr>
          <w:sz w:val="20"/>
          <w:szCs w:val="20"/>
        </w:rPr>
        <w:t>SMEs</w:t>
      </w:r>
      <w:r w:rsidR="00F877B3" w:rsidRPr="006C06AD">
        <w:rPr>
          <w:sz w:val="20"/>
          <w:szCs w:val="20"/>
        </w:rPr>
        <w:t xml:space="preserve"> and do not involve green field project. It is expected that the substitution of old technologies and equipment for new ones through the adoption of EE measures will result in energy savings and hence will have a positive impact on the environment and climate change by reducing GHG and other emissions. However, this type of project could have reduced benefits and/or limited adverse impacts on the environment if the substituted units are not withdrawn from circulation and are not properly disposed. The Project stipulates that replaced old equipment should be properly decommissioned and disposed to avoid GHG emissions leakages.</w:t>
      </w:r>
    </w:p>
    <w:p w14:paraId="3B0E7CFA" w14:textId="77777777" w:rsidR="007249DB" w:rsidRPr="006C06AD" w:rsidRDefault="00F877B3">
      <w:pPr>
        <w:spacing w:line="276" w:lineRule="auto"/>
        <w:jc w:val="both"/>
        <w:rPr>
          <w:sz w:val="20"/>
          <w:szCs w:val="20"/>
        </w:rPr>
      </w:pPr>
      <w:r w:rsidRPr="006C06AD">
        <w:rPr>
          <w:sz w:val="20"/>
          <w:szCs w:val="20"/>
        </w:rPr>
        <w:t xml:space="preserve">The potential negative </w:t>
      </w:r>
      <w:r w:rsidR="00B773FC" w:rsidRPr="006C06AD">
        <w:rPr>
          <w:sz w:val="20"/>
          <w:szCs w:val="20"/>
        </w:rPr>
        <w:t>environmental and social</w:t>
      </w:r>
      <w:r w:rsidRPr="006C06AD">
        <w:rPr>
          <w:sz w:val="20"/>
          <w:szCs w:val="20"/>
        </w:rPr>
        <w:t xml:space="preserve"> </w:t>
      </w:r>
      <w:r w:rsidR="00B773FC" w:rsidRPr="006C06AD">
        <w:rPr>
          <w:sz w:val="20"/>
          <w:szCs w:val="20"/>
        </w:rPr>
        <w:t xml:space="preserve">risks and </w:t>
      </w:r>
      <w:r w:rsidRPr="006C06AD">
        <w:rPr>
          <w:sz w:val="20"/>
          <w:szCs w:val="20"/>
        </w:rPr>
        <w:t xml:space="preserve">impacts of the different types of EE </w:t>
      </w:r>
      <w:r w:rsidR="0028758B">
        <w:rPr>
          <w:sz w:val="20"/>
          <w:szCs w:val="20"/>
        </w:rPr>
        <w:t>sub-</w:t>
      </w:r>
      <w:r w:rsidRPr="006C06AD">
        <w:rPr>
          <w:sz w:val="20"/>
          <w:szCs w:val="20"/>
        </w:rPr>
        <w:t>projects are described below:</w:t>
      </w:r>
      <w:r w:rsidR="007249DB" w:rsidRPr="006C06AD">
        <w:rPr>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9"/>
        <w:gridCol w:w="1532"/>
        <w:gridCol w:w="1374"/>
        <w:gridCol w:w="2021"/>
        <w:gridCol w:w="1354"/>
        <w:gridCol w:w="1590"/>
      </w:tblGrid>
      <w:tr w:rsidR="00F877B3" w:rsidRPr="006C06AD" w14:paraId="3C11A7AF" w14:textId="77777777" w:rsidTr="005534B9">
        <w:trPr>
          <w:tblHeader/>
        </w:trPr>
        <w:tc>
          <w:tcPr>
            <w:tcW w:w="791" w:type="pct"/>
            <w:shd w:val="clear" w:color="auto" w:fill="D9D9D9"/>
            <w:vAlign w:val="center"/>
          </w:tcPr>
          <w:p w14:paraId="35DD5E15" w14:textId="77777777" w:rsidR="00F877B3" w:rsidRPr="006C06AD" w:rsidRDefault="00F877B3" w:rsidP="00C17775">
            <w:pPr>
              <w:spacing w:after="0" w:line="240" w:lineRule="auto"/>
              <w:jc w:val="both"/>
              <w:rPr>
                <w:rFonts w:eastAsia="Cambria"/>
                <w:sz w:val="20"/>
                <w:szCs w:val="20"/>
                <w:lang w:eastAsia="es-ES"/>
              </w:rPr>
            </w:pPr>
            <w:r w:rsidRPr="006C06AD">
              <w:rPr>
                <w:rFonts w:eastAsia="Cambria"/>
                <w:sz w:val="20"/>
                <w:szCs w:val="20"/>
                <w:lang w:eastAsia="es-ES"/>
              </w:rPr>
              <w:t>Project Type</w:t>
            </w:r>
          </w:p>
        </w:tc>
        <w:tc>
          <w:tcPr>
            <w:tcW w:w="819" w:type="pct"/>
            <w:shd w:val="clear" w:color="auto" w:fill="D9D9D9"/>
            <w:vAlign w:val="center"/>
          </w:tcPr>
          <w:p w14:paraId="086F2E9D" w14:textId="77777777" w:rsidR="00F877B3" w:rsidRPr="006C06AD" w:rsidRDefault="00F877B3" w:rsidP="00C17775">
            <w:pPr>
              <w:spacing w:after="0" w:line="240" w:lineRule="auto"/>
              <w:jc w:val="both"/>
              <w:rPr>
                <w:rFonts w:eastAsia="Cambria"/>
                <w:sz w:val="20"/>
                <w:szCs w:val="20"/>
                <w:lang w:eastAsia="es-ES"/>
              </w:rPr>
            </w:pPr>
            <w:r w:rsidRPr="006C06AD">
              <w:rPr>
                <w:rFonts w:eastAsia="Cambria"/>
                <w:sz w:val="20"/>
                <w:szCs w:val="20"/>
                <w:lang w:eastAsia="es-ES"/>
              </w:rPr>
              <w:t>Description</w:t>
            </w:r>
          </w:p>
        </w:tc>
        <w:tc>
          <w:tcPr>
            <w:tcW w:w="735" w:type="pct"/>
            <w:shd w:val="clear" w:color="auto" w:fill="D9D9D9"/>
            <w:vAlign w:val="center"/>
          </w:tcPr>
          <w:p w14:paraId="2C5BEE7D" w14:textId="77777777" w:rsidR="00F877B3" w:rsidRPr="006C06AD" w:rsidRDefault="00F877B3" w:rsidP="00C17775">
            <w:pPr>
              <w:spacing w:after="0" w:line="240" w:lineRule="auto"/>
              <w:jc w:val="both"/>
              <w:rPr>
                <w:rFonts w:eastAsia="Cambria"/>
                <w:sz w:val="20"/>
                <w:szCs w:val="20"/>
                <w:lang w:eastAsia="es-ES"/>
              </w:rPr>
            </w:pPr>
            <w:r w:rsidRPr="006C06AD">
              <w:rPr>
                <w:rFonts w:eastAsia="Cambria"/>
                <w:sz w:val="20"/>
                <w:szCs w:val="20"/>
                <w:lang w:eastAsia="es-ES"/>
              </w:rPr>
              <w:t>Associated Waste</w:t>
            </w:r>
          </w:p>
        </w:tc>
        <w:tc>
          <w:tcPr>
            <w:tcW w:w="1081" w:type="pct"/>
            <w:shd w:val="clear" w:color="auto" w:fill="D9D9D9"/>
            <w:vAlign w:val="center"/>
          </w:tcPr>
          <w:p w14:paraId="5DD906C1" w14:textId="77777777" w:rsidR="00F877B3" w:rsidRPr="006C06AD" w:rsidRDefault="00F877B3" w:rsidP="00C17775">
            <w:pPr>
              <w:spacing w:after="0" w:line="240" w:lineRule="auto"/>
              <w:jc w:val="both"/>
              <w:rPr>
                <w:rFonts w:eastAsia="Cambria"/>
                <w:sz w:val="20"/>
                <w:szCs w:val="20"/>
                <w:lang w:eastAsia="es-ES"/>
              </w:rPr>
            </w:pPr>
            <w:r w:rsidRPr="006C06AD">
              <w:rPr>
                <w:rFonts w:eastAsia="Cambria"/>
                <w:sz w:val="20"/>
                <w:szCs w:val="20"/>
                <w:lang w:eastAsia="es-ES"/>
              </w:rPr>
              <w:t>Management</w:t>
            </w:r>
          </w:p>
        </w:tc>
        <w:tc>
          <w:tcPr>
            <w:tcW w:w="724" w:type="pct"/>
            <w:shd w:val="clear" w:color="auto" w:fill="D9D9D9"/>
            <w:vAlign w:val="center"/>
          </w:tcPr>
          <w:p w14:paraId="69E4EFAE" w14:textId="77777777" w:rsidR="00F877B3" w:rsidRPr="006C06AD" w:rsidRDefault="00F877B3" w:rsidP="00C17775">
            <w:pPr>
              <w:spacing w:after="0" w:line="240" w:lineRule="auto"/>
              <w:jc w:val="both"/>
              <w:rPr>
                <w:rFonts w:eastAsia="Cambria"/>
                <w:sz w:val="20"/>
                <w:szCs w:val="20"/>
                <w:lang w:eastAsia="es-ES"/>
              </w:rPr>
            </w:pPr>
            <w:r w:rsidRPr="006C06AD">
              <w:rPr>
                <w:rFonts w:eastAsia="Cambria"/>
                <w:sz w:val="20"/>
                <w:szCs w:val="20"/>
                <w:lang w:eastAsia="es-ES"/>
              </w:rPr>
              <w:t>Associated costs and revenues</w:t>
            </w:r>
          </w:p>
        </w:tc>
        <w:tc>
          <w:tcPr>
            <w:tcW w:w="850" w:type="pct"/>
            <w:shd w:val="clear" w:color="auto" w:fill="D9D9D9"/>
            <w:vAlign w:val="center"/>
          </w:tcPr>
          <w:p w14:paraId="0ECBD0B0" w14:textId="77777777" w:rsidR="00F877B3" w:rsidRPr="006C06AD" w:rsidRDefault="00172581" w:rsidP="00C17775">
            <w:pPr>
              <w:spacing w:after="0" w:line="240" w:lineRule="auto"/>
              <w:jc w:val="both"/>
              <w:rPr>
                <w:rFonts w:eastAsia="Cambria"/>
                <w:sz w:val="20"/>
                <w:szCs w:val="20"/>
                <w:lang w:eastAsia="es-ES"/>
              </w:rPr>
            </w:pPr>
            <w:r w:rsidRPr="006C06AD">
              <w:rPr>
                <w:rFonts w:eastAsia="Cambria"/>
                <w:sz w:val="20"/>
                <w:szCs w:val="20"/>
                <w:lang w:eastAsia="es-ES"/>
              </w:rPr>
              <w:t xml:space="preserve">Potential environmental and social risks and </w:t>
            </w:r>
            <w:r w:rsidR="00843E98" w:rsidRPr="006C06AD">
              <w:rPr>
                <w:rFonts w:eastAsia="Cambria"/>
                <w:sz w:val="20"/>
                <w:szCs w:val="20"/>
                <w:lang w:eastAsia="es-ES"/>
              </w:rPr>
              <w:t>i</w:t>
            </w:r>
            <w:r w:rsidR="00F877B3" w:rsidRPr="006C06AD">
              <w:rPr>
                <w:rFonts w:eastAsia="Cambria"/>
                <w:sz w:val="20"/>
                <w:szCs w:val="20"/>
                <w:lang w:eastAsia="es-ES"/>
              </w:rPr>
              <w:t>mpact</w:t>
            </w:r>
            <w:r w:rsidRPr="006C06AD">
              <w:rPr>
                <w:rFonts w:eastAsia="Cambria"/>
                <w:sz w:val="20"/>
                <w:szCs w:val="20"/>
                <w:lang w:eastAsia="es-ES"/>
              </w:rPr>
              <w:t>s</w:t>
            </w:r>
            <w:r w:rsidR="00F877B3" w:rsidRPr="006C06AD">
              <w:rPr>
                <w:rFonts w:eastAsia="Cambria"/>
                <w:sz w:val="20"/>
                <w:szCs w:val="20"/>
                <w:lang w:eastAsia="es-ES"/>
              </w:rPr>
              <w:t xml:space="preserve"> before management</w:t>
            </w:r>
          </w:p>
        </w:tc>
      </w:tr>
      <w:tr w:rsidR="002E060D" w:rsidRPr="006C06AD" w14:paraId="1E4DCBB8" w14:textId="77777777" w:rsidTr="002E060D">
        <w:trPr>
          <w:trHeight w:val="1628"/>
        </w:trPr>
        <w:tc>
          <w:tcPr>
            <w:tcW w:w="791" w:type="pct"/>
            <w:tcBorders>
              <w:bottom w:val="single" w:sz="4" w:space="0" w:color="auto"/>
            </w:tcBorders>
            <w:shd w:val="clear" w:color="auto" w:fill="auto"/>
            <w:vAlign w:val="center"/>
          </w:tcPr>
          <w:p w14:paraId="0C5AC3D0"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Solar water heaters</w:t>
            </w:r>
          </w:p>
        </w:tc>
        <w:tc>
          <w:tcPr>
            <w:tcW w:w="819" w:type="pct"/>
            <w:tcBorders>
              <w:bottom w:val="single" w:sz="4" w:space="0" w:color="auto"/>
            </w:tcBorders>
            <w:vAlign w:val="center"/>
          </w:tcPr>
          <w:p w14:paraId="1116B0DF"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Substitution of old water heating systems with solar water heaters allowing the reduction of energy consumption and/or fossil fuel consumption</w:t>
            </w:r>
          </w:p>
        </w:tc>
        <w:tc>
          <w:tcPr>
            <w:tcW w:w="735" w:type="pct"/>
            <w:tcBorders>
              <w:bottom w:val="single" w:sz="4" w:space="0" w:color="auto"/>
            </w:tcBorders>
            <w:shd w:val="clear" w:color="auto" w:fill="auto"/>
            <w:vAlign w:val="center"/>
          </w:tcPr>
          <w:p w14:paraId="2E8C183B"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Scrap</w:t>
            </w:r>
          </w:p>
        </w:tc>
        <w:tc>
          <w:tcPr>
            <w:tcW w:w="1081" w:type="pct"/>
            <w:tcBorders>
              <w:bottom w:val="single" w:sz="4" w:space="0" w:color="auto"/>
            </w:tcBorders>
            <w:shd w:val="clear" w:color="auto" w:fill="auto"/>
            <w:vAlign w:val="center"/>
          </w:tcPr>
          <w:p w14:paraId="4F8A5245"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 xml:space="preserve">Decommission (based on a </w:t>
            </w:r>
            <w:r w:rsidRPr="006C06AD">
              <w:rPr>
                <w:sz w:val="20"/>
                <w:szCs w:val="20"/>
              </w:rPr>
              <w:t>Decommissioning and Disposal Protocol)</w:t>
            </w:r>
          </w:p>
        </w:tc>
        <w:tc>
          <w:tcPr>
            <w:tcW w:w="724" w:type="pct"/>
            <w:tcBorders>
              <w:bottom w:val="single" w:sz="4" w:space="0" w:color="auto"/>
            </w:tcBorders>
            <w:shd w:val="clear" w:color="auto" w:fill="auto"/>
            <w:vAlign w:val="center"/>
          </w:tcPr>
          <w:p w14:paraId="0882FBCF"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Costs of disassembling and shipping.</w:t>
            </w:r>
          </w:p>
        </w:tc>
        <w:tc>
          <w:tcPr>
            <w:tcW w:w="850" w:type="pct"/>
            <w:tcBorders>
              <w:bottom w:val="single" w:sz="4" w:space="0" w:color="auto"/>
            </w:tcBorders>
            <w:shd w:val="clear" w:color="auto" w:fill="auto"/>
            <w:vAlign w:val="center"/>
          </w:tcPr>
          <w:p w14:paraId="2402E667"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Soil contamination and reduced solid waste storage capacity in sanitary landfills</w:t>
            </w:r>
          </w:p>
        </w:tc>
      </w:tr>
      <w:tr w:rsidR="002E060D" w:rsidRPr="006C06AD" w14:paraId="67522DA9" w14:textId="77777777" w:rsidTr="005534B9">
        <w:trPr>
          <w:trHeight w:val="1628"/>
        </w:trPr>
        <w:tc>
          <w:tcPr>
            <w:tcW w:w="791" w:type="pct"/>
            <w:tcBorders>
              <w:bottom w:val="single" w:sz="4" w:space="0" w:color="auto"/>
            </w:tcBorders>
            <w:shd w:val="clear" w:color="auto" w:fill="auto"/>
            <w:vAlign w:val="center"/>
          </w:tcPr>
          <w:p w14:paraId="298D2491"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Air conditioning</w:t>
            </w:r>
          </w:p>
        </w:tc>
        <w:tc>
          <w:tcPr>
            <w:tcW w:w="819" w:type="pct"/>
            <w:tcBorders>
              <w:bottom w:val="single" w:sz="4" w:space="0" w:color="auto"/>
            </w:tcBorders>
            <w:vAlign w:val="center"/>
          </w:tcPr>
          <w:p w14:paraId="26C09689"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Substitution of old air-conditioning equipment with new energy efficient equipment that contain efficient, less polluting refrigerants (and no substances with high Ozone Depletion Potential)</w:t>
            </w:r>
          </w:p>
        </w:tc>
        <w:tc>
          <w:tcPr>
            <w:tcW w:w="735" w:type="pct"/>
            <w:tcBorders>
              <w:bottom w:val="single" w:sz="4" w:space="0" w:color="auto"/>
            </w:tcBorders>
            <w:shd w:val="clear" w:color="auto" w:fill="auto"/>
            <w:vAlign w:val="center"/>
          </w:tcPr>
          <w:p w14:paraId="455BC0AA"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Hazardous waste: ozone depleting substances (HCFC, CFC), and scrap</w:t>
            </w:r>
          </w:p>
        </w:tc>
        <w:tc>
          <w:tcPr>
            <w:tcW w:w="1081" w:type="pct"/>
            <w:tcBorders>
              <w:bottom w:val="single" w:sz="4" w:space="0" w:color="auto"/>
            </w:tcBorders>
            <w:shd w:val="clear" w:color="auto" w:fill="auto"/>
            <w:vAlign w:val="center"/>
          </w:tcPr>
          <w:p w14:paraId="6BFB0AC1"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Final disposal of CFC or HCFC and commercialization of scrap</w:t>
            </w:r>
          </w:p>
        </w:tc>
        <w:tc>
          <w:tcPr>
            <w:tcW w:w="724" w:type="pct"/>
            <w:tcBorders>
              <w:bottom w:val="single" w:sz="4" w:space="0" w:color="auto"/>
            </w:tcBorders>
            <w:shd w:val="clear" w:color="auto" w:fill="auto"/>
            <w:vAlign w:val="center"/>
          </w:tcPr>
          <w:p w14:paraId="18D87584"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Costs of treatment by competent and approved third party</w:t>
            </w:r>
          </w:p>
        </w:tc>
        <w:tc>
          <w:tcPr>
            <w:tcW w:w="850" w:type="pct"/>
            <w:tcBorders>
              <w:bottom w:val="single" w:sz="4" w:space="0" w:color="auto"/>
            </w:tcBorders>
            <w:shd w:val="clear" w:color="auto" w:fill="auto"/>
            <w:vAlign w:val="center"/>
          </w:tcPr>
          <w:p w14:paraId="432115E8"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Release of ozone depleting substances to the atmosphere</w:t>
            </w:r>
          </w:p>
        </w:tc>
      </w:tr>
      <w:tr w:rsidR="002E060D" w:rsidRPr="006C06AD" w14:paraId="28D6854D" w14:textId="77777777" w:rsidTr="005534B9">
        <w:trPr>
          <w:trHeight w:val="77"/>
        </w:trPr>
        <w:tc>
          <w:tcPr>
            <w:tcW w:w="791" w:type="pct"/>
            <w:tcBorders>
              <w:top w:val="single" w:sz="4" w:space="0" w:color="auto"/>
              <w:bottom w:val="single" w:sz="4" w:space="0" w:color="auto"/>
            </w:tcBorders>
            <w:shd w:val="clear" w:color="auto" w:fill="auto"/>
            <w:vAlign w:val="center"/>
          </w:tcPr>
          <w:p w14:paraId="56AE9811" w14:textId="77777777" w:rsidR="002E060D" w:rsidRPr="006C06AD" w:rsidRDefault="002E060D">
            <w:pPr>
              <w:spacing w:after="0" w:line="240" w:lineRule="auto"/>
              <w:rPr>
                <w:rFonts w:eastAsia="Cambria"/>
                <w:sz w:val="20"/>
                <w:szCs w:val="20"/>
                <w:lang w:eastAsia="es-ES"/>
              </w:rPr>
            </w:pPr>
            <w:r w:rsidRPr="006C06AD">
              <w:rPr>
                <w:sz w:val="20"/>
                <w:szCs w:val="20"/>
              </w:rPr>
              <w:t>Boilers</w:t>
            </w:r>
          </w:p>
        </w:tc>
        <w:tc>
          <w:tcPr>
            <w:tcW w:w="819" w:type="pct"/>
            <w:tcBorders>
              <w:top w:val="single" w:sz="4" w:space="0" w:color="auto"/>
              <w:bottom w:val="single" w:sz="4" w:space="0" w:color="auto"/>
            </w:tcBorders>
            <w:vAlign w:val="center"/>
          </w:tcPr>
          <w:p w14:paraId="030C9EB1"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 xml:space="preserve">Replacement of old furnace/ boiler / water heater systems with new equipment </w:t>
            </w:r>
            <w:r w:rsidRPr="006C06AD">
              <w:rPr>
                <w:rFonts w:eastAsia="Cambria"/>
                <w:sz w:val="20"/>
                <w:szCs w:val="20"/>
                <w:lang w:eastAsia="es-ES"/>
              </w:rPr>
              <w:lastRenderedPageBreak/>
              <w:t>consuming less fuel and/or energy.</w:t>
            </w:r>
          </w:p>
        </w:tc>
        <w:tc>
          <w:tcPr>
            <w:tcW w:w="735" w:type="pct"/>
            <w:tcBorders>
              <w:top w:val="single" w:sz="4" w:space="0" w:color="auto"/>
              <w:bottom w:val="single" w:sz="4" w:space="0" w:color="auto"/>
            </w:tcBorders>
            <w:shd w:val="clear" w:color="auto" w:fill="auto"/>
            <w:vAlign w:val="center"/>
          </w:tcPr>
          <w:p w14:paraId="1630AFF7"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lastRenderedPageBreak/>
              <w:t>Scrap</w:t>
            </w:r>
          </w:p>
        </w:tc>
        <w:tc>
          <w:tcPr>
            <w:tcW w:w="1081" w:type="pct"/>
            <w:tcBorders>
              <w:top w:val="single" w:sz="4" w:space="0" w:color="auto"/>
              <w:bottom w:val="single" w:sz="4" w:space="0" w:color="auto"/>
            </w:tcBorders>
            <w:shd w:val="clear" w:color="auto" w:fill="auto"/>
            <w:vAlign w:val="center"/>
          </w:tcPr>
          <w:p w14:paraId="64DB4B08"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 xml:space="preserve">Decommission (based on a </w:t>
            </w:r>
            <w:r w:rsidRPr="006C06AD">
              <w:rPr>
                <w:sz w:val="20"/>
                <w:szCs w:val="20"/>
              </w:rPr>
              <w:t>Decommissioning and Disposal Protocol)</w:t>
            </w:r>
          </w:p>
        </w:tc>
        <w:tc>
          <w:tcPr>
            <w:tcW w:w="724" w:type="pct"/>
            <w:tcBorders>
              <w:top w:val="single" w:sz="4" w:space="0" w:color="auto"/>
              <w:bottom w:val="single" w:sz="4" w:space="0" w:color="auto"/>
            </w:tcBorders>
            <w:shd w:val="clear" w:color="auto" w:fill="auto"/>
            <w:vAlign w:val="center"/>
          </w:tcPr>
          <w:p w14:paraId="4BDA5A81"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Costs of disassembling and shipping.</w:t>
            </w:r>
          </w:p>
        </w:tc>
        <w:tc>
          <w:tcPr>
            <w:tcW w:w="850" w:type="pct"/>
            <w:tcBorders>
              <w:top w:val="single" w:sz="4" w:space="0" w:color="auto"/>
              <w:bottom w:val="single" w:sz="4" w:space="0" w:color="auto"/>
            </w:tcBorders>
            <w:shd w:val="clear" w:color="auto" w:fill="auto"/>
            <w:vAlign w:val="center"/>
          </w:tcPr>
          <w:p w14:paraId="12CEF696"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 xml:space="preserve">Soil contamination and reduced solid waste storage capacity </w:t>
            </w:r>
            <w:r w:rsidRPr="006C06AD">
              <w:rPr>
                <w:rFonts w:eastAsia="Cambria"/>
                <w:sz w:val="20"/>
                <w:szCs w:val="20"/>
                <w:lang w:eastAsia="es-ES"/>
              </w:rPr>
              <w:lastRenderedPageBreak/>
              <w:t>in sanitary landfills</w:t>
            </w:r>
          </w:p>
        </w:tc>
      </w:tr>
      <w:tr w:rsidR="002E060D" w:rsidRPr="006C06AD" w14:paraId="04481299" w14:textId="77777777" w:rsidTr="005534B9">
        <w:trPr>
          <w:trHeight w:val="77"/>
        </w:trPr>
        <w:tc>
          <w:tcPr>
            <w:tcW w:w="791" w:type="pct"/>
            <w:tcBorders>
              <w:top w:val="single" w:sz="4" w:space="0" w:color="auto"/>
              <w:bottom w:val="single" w:sz="4" w:space="0" w:color="auto"/>
            </w:tcBorders>
            <w:shd w:val="clear" w:color="auto" w:fill="auto"/>
            <w:vAlign w:val="center"/>
          </w:tcPr>
          <w:p w14:paraId="48C4A646" w14:textId="77777777" w:rsidR="002E060D" w:rsidRPr="006C06AD" w:rsidRDefault="002E060D">
            <w:pPr>
              <w:spacing w:after="0" w:line="240" w:lineRule="auto"/>
              <w:rPr>
                <w:sz w:val="20"/>
                <w:szCs w:val="20"/>
              </w:rPr>
            </w:pPr>
            <w:r w:rsidRPr="006C06AD">
              <w:rPr>
                <w:sz w:val="20"/>
                <w:szCs w:val="20"/>
              </w:rPr>
              <w:lastRenderedPageBreak/>
              <w:t>Refrigeration chambers</w:t>
            </w:r>
          </w:p>
        </w:tc>
        <w:tc>
          <w:tcPr>
            <w:tcW w:w="819" w:type="pct"/>
            <w:tcBorders>
              <w:top w:val="single" w:sz="4" w:space="0" w:color="auto"/>
              <w:bottom w:val="single" w:sz="4" w:space="0" w:color="auto"/>
            </w:tcBorders>
            <w:vAlign w:val="center"/>
          </w:tcPr>
          <w:p w14:paraId="3B2BBA53"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Substitution of old equipment with new energy efficient equipment that contain efficient, less polluting refrigerants (and no substances with high Ozone Depletion Potential)</w:t>
            </w:r>
          </w:p>
        </w:tc>
        <w:tc>
          <w:tcPr>
            <w:tcW w:w="735" w:type="pct"/>
            <w:tcBorders>
              <w:top w:val="single" w:sz="4" w:space="0" w:color="auto"/>
              <w:bottom w:val="single" w:sz="4" w:space="0" w:color="auto"/>
            </w:tcBorders>
            <w:shd w:val="clear" w:color="auto" w:fill="auto"/>
            <w:vAlign w:val="center"/>
          </w:tcPr>
          <w:p w14:paraId="1797D567"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Hazardous waste: ozone depleting substances (HCFC, CFC), and scrap</w:t>
            </w:r>
          </w:p>
        </w:tc>
        <w:tc>
          <w:tcPr>
            <w:tcW w:w="1081" w:type="pct"/>
            <w:tcBorders>
              <w:top w:val="single" w:sz="4" w:space="0" w:color="auto"/>
              <w:bottom w:val="single" w:sz="4" w:space="0" w:color="auto"/>
            </w:tcBorders>
            <w:shd w:val="clear" w:color="auto" w:fill="auto"/>
            <w:vAlign w:val="center"/>
          </w:tcPr>
          <w:p w14:paraId="36E27C54"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Final disposal of CFC or HCFC and commercialization of scrap</w:t>
            </w:r>
          </w:p>
        </w:tc>
        <w:tc>
          <w:tcPr>
            <w:tcW w:w="724" w:type="pct"/>
            <w:tcBorders>
              <w:top w:val="single" w:sz="4" w:space="0" w:color="auto"/>
              <w:bottom w:val="single" w:sz="4" w:space="0" w:color="auto"/>
            </w:tcBorders>
            <w:shd w:val="clear" w:color="auto" w:fill="auto"/>
            <w:vAlign w:val="center"/>
          </w:tcPr>
          <w:p w14:paraId="29C866ED"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Costs of treatment by competent and approved third party</w:t>
            </w:r>
          </w:p>
        </w:tc>
        <w:tc>
          <w:tcPr>
            <w:tcW w:w="850" w:type="pct"/>
            <w:tcBorders>
              <w:top w:val="single" w:sz="4" w:space="0" w:color="auto"/>
              <w:bottom w:val="single" w:sz="4" w:space="0" w:color="auto"/>
            </w:tcBorders>
            <w:shd w:val="clear" w:color="auto" w:fill="auto"/>
            <w:vAlign w:val="center"/>
          </w:tcPr>
          <w:p w14:paraId="082165B9"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Release of ozone depleting substances to the atmosphere</w:t>
            </w:r>
          </w:p>
        </w:tc>
      </w:tr>
      <w:tr w:rsidR="002E060D" w:rsidRPr="006C06AD" w14:paraId="6E73A524" w14:textId="77777777" w:rsidTr="005534B9">
        <w:trPr>
          <w:trHeight w:val="77"/>
        </w:trPr>
        <w:tc>
          <w:tcPr>
            <w:tcW w:w="791" w:type="pct"/>
            <w:tcBorders>
              <w:top w:val="single" w:sz="4" w:space="0" w:color="auto"/>
              <w:bottom w:val="single" w:sz="4" w:space="0" w:color="auto"/>
            </w:tcBorders>
            <w:shd w:val="clear" w:color="auto" w:fill="auto"/>
            <w:vAlign w:val="center"/>
          </w:tcPr>
          <w:p w14:paraId="5BFE2763" w14:textId="77777777" w:rsidR="002E060D" w:rsidRPr="006C06AD" w:rsidRDefault="002E060D">
            <w:pPr>
              <w:spacing w:after="0" w:line="240" w:lineRule="auto"/>
              <w:rPr>
                <w:sz w:val="20"/>
                <w:szCs w:val="20"/>
              </w:rPr>
            </w:pPr>
            <w:r w:rsidRPr="006C06AD">
              <w:rPr>
                <w:sz w:val="20"/>
                <w:szCs w:val="20"/>
              </w:rPr>
              <w:t>Motors</w:t>
            </w:r>
          </w:p>
        </w:tc>
        <w:tc>
          <w:tcPr>
            <w:tcW w:w="819" w:type="pct"/>
            <w:tcBorders>
              <w:top w:val="single" w:sz="4" w:space="0" w:color="auto"/>
              <w:bottom w:val="single" w:sz="4" w:space="0" w:color="auto"/>
            </w:tcBorders>
            <w:vAlign w:val="center"/>
          </w:tcPr>
          <w:p w14:paraId="4039D675"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Replacement of old motors with new equipment consuming less fuel and/or energy.</w:t>
            </w:r>
          </w:p>
        </w:tc>
        <w:tc>
          <w:tcPr>
            <w:tcW w:w="735" w:type="pct"/>
            <w:tcBorders>
              <w:top w:val="single" w:sz="4" w:space="0" w:color="auto"/>
              <w:bottom w:val="single" w:sz="4" w:space="0" w:color="auto"/>
            </w:tcBorders>
            <w:shd w:val="clear" w:color="auto" w:fill="auto"/>
            <w:vAlign w:val="center"/>
          </w:tcPr>
          <w:p w14:paraId="05E52A03"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Scrap</w:t>
            </w:r>
          </w:p>
        </w:tc>
        <w:tc>
          <w:tcPr>
            <w:tcW w:w="1081" w:type="pct"/>
            <w:tcBorders>
              <w:top w:val="single" w:sz="4" w:space="0" w:color="auto"/>
              <w:bottom w:val="single" w:sz="4" w:space="0" w:color="auto"/>
            </w:tcBorders>
            <w:shd w:val="clear" w:color="auto" w:fill="auto"/>
            <w:vAlign w:val="center"/>
          </w:tcPr>
          <w:p w14:paraId="438970F5"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 xml:space="preserve">Decommission (based on a </w:t>
            </w:r>
            <w:r w:rsidRPr="006C06AD">
              <w:rPr>
                <w:sz w:val="20"/>
                <w:szCs w:val="20"/>
              </w:rPr>
              <w:t>Decommissioning and Disposal Protocol)</w:t>
            </w:r>
          </w:p>
        </w:tc>
        <w:tc>
          <w:tcPr>
            <w:tcW w:w="724" w:type="pct"/>
            <w:tcBorders>
              <w:top w:val="single" w:sz="4" w:space="0" w:color="auto"/>
              <w:bottom w:val="single" w:sz="4" w:space="0" w:color="auto"/>
            </w:tcBorders>
            <w:shd w:val="clear" w:color="auto" w:fill="auto"/>
            <w:vAlign w:val="center"/>
          </w:tcPr>
          <w:p w14:paraId="0ABF45DE"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Costs of disassembling and shipping.</w:t>
            </w:r>
          </w:p>
        </w:tc>
        <w:tc>
          <w:tcPr>
            <w:tcW w:w="850" w:type="pct"/>
            <w:tcBorders>
              <w:top w:val="single" w:sz="4" w:space="0" w:color="auto"/>
              <w:bottom w:val="single" w:sz="4" w:space="0" w:color="auto"/>
            </w:tcBorders>
            <w:shd w:val="clear" w:color="auto" w:fill="auto"/>
            <w:vAlign w:val="center"/>
          </w:tcPr>
          <w:p w14:paraId="66E80779" w14:textId="77777777" w:rsidR="002E060D" w:rsidRPr="006C06AD" w:rsidRDefault="002E060D">
            <w:pPr>
              <w:spacing w:after="0" w:line="240" w:lineRule="auto"/>
              <w:rPr>
                <w:rFonts w:eastAsia="Cambria"/>
                <w:sz w:val="20"/>
                <w:szCs w:val="20"/>
                <w:lang w:eastAsia="es-ES"/>
              </w:rPr>
            </w:pPr>
            <w:r w:rsidRPr="006C06AD">
              <w:rPr>
                <w:rFonts w:eastAsia="Cambria"/>
                <w:sz w:val="20"/>
                <w:szCs w:val="20"/>
                <w:lang w:eastAsia="es-ES"/>
              </w:rPr>
              <w:t>Soil contamination and reduced solid waste storage capacity in sanitary landfills</w:t>
            </w:r>
          </w:p>
        </w:tc>
      </w:tr>
    </w:tbl>
    <w:p w14:paraId="65933D67" w14:textId="77777777" w:rsidR="00F877B3" w:rsidRPr="006C06AD" w:rsidRDefault="00F877B3">
      <w:pPr>
        <w:spacing w:line="276" w:lineRule="auto"/>
        <w:jc w:val="both"/>
        <w:rPr>
          <w:sz w:val="20"/>
          <w:szCs w:val="20"/>
        </w:rPr>
      </w:pPr>
    </w:p>
    <w:p w14:paraId="5CA784D6" w14:textId="77777777" w:rsidR="00937C73" w:rsidRPr="006C06AD" w:rsidRDefault="00172581" w:rsidP="00C17775">
      <w:pPr>
        <w:spacing w:line="276" w:lineRule="auto"/>
        <w:jc w:val="both"/>
        <w:rPr>
          <w:sz w:val="20"/>
          <w:szCs w:val="20"/>
        </w:rPr>
      </w:pPr>
      <w:r w:rsidRPr="006C06AD">
        <w:rPr>
          <w:sz w:val="20"/>
          <w:szCs w:val="20"/>
        </w:rPr>
        <w:t xml:space="preserve">Key environmental risks and impacts expected to be generated from energy efficiency </w:t>
      </w:r>
      <w:r w:rsidR="0028758B">
        <w:rPr>
          <w:sz w:val="20"/>
          <w:szCs w:val="20"/>
        </w:rPr>
        <w:t>sub-projects</w:t>
      </w:r>
      <w:r w:rsidRPr="006C06AD">
        <w:rPr>
          <w:sz w:val="20"/>
          <w:szCs w:val="20"/>
        </w:rPr>
        <w:t xml:space="preserve"> are mainly those related to waste generation, soil contamination, and </w:t>
      </w:r>
      <w:r w:rsidRPr="0057708E">
        <w:rPr>
          <w:sz w:val="20"/>
          <w:szCs w:val="20"/>
        </w:rPr>
        <w:t>emissions</w:t>
      </w:r>
      <w:r w:rsidRPr="00C17775">
        <w:rPr>
          <w:sz w:val="20"/>
          <w:szCs w:val="20"/>
        </w:rPr>
        <w:t>. Further due diligence will be undertaken at the</w:t>
      </w:r>
      <w:r w:rsidR="0028758B" w:rsidRPr="00C17775">
        <w:rPr>
          <w:sz w:val="20"/>
          <w:szCs w:val="20"/>
        </w:rPr>
        <w:t xml:space="preserve"> sub-project</w:t>
      </w:r>
      <w:r w:rsidRPr="00C17775">
        <w:rPr>
          <w:sz w:val="20"/>
          <w:szCs w:val="20"/>
        </w:rPr>
        <w:t xml:space="preserve"> level and prior to funding consideration of </w:t>
      </w:r>
      <w:r w:rsidR="0028758B" w:rsidRPr="00C17775">
        <w:rPr>
          <w:sz w:val="20"/>
          <w:szCs w:val="20"/>
        </w:rPr>
        <w:t>sub-projects</w:t>
      </w:r>
      <w:r w:rsidRPr="00C17775">
        <w:rPr>
          <w:sz w:val="20"/>
          <w:szCs w:val="20"/>
        </w:rPr>
        <w:t>.</w:t>
      </w:r>
      <w:r w:rsidRPr="0057708E">
        <w:rPr>
          <w:sz w:val="20"/>
          <w:szCs w:val="20"/>
        </w:rPr>
        <w:t xml:space="preserve"> </w:t>
      </w:r>
      <w:r w:rsidRPr="00C17775">
        <w:rPr>
          <w:sz w:val="20"/>
          <w:szCs w:val="20"/>
        </w:rPr>
        <w:t>To guide the</w:t>
      </w:r>
      <w:r w:rsidR="0028758B" w:rsidRPr="00C17775">
        <w:rPr>
          <w:sz w:val="20"/>
          <w:szCs w:val="20"/>
        </w:rPr>
        <w:t xml:space="preserve"> sub-project</w:t>
      </w:r>
      <w:r w:rsidRPr="00C17775">
        <w:rPr>
          <w:sz w:val="20"/>
          <w:szCs w:val="20"/>
        </w:rPr>
        <w:t xml:space="preserve"> proponents</w:t>
      </w:r>
      <w:r w:rsidRPr="0057708E">
        <w:rPr>
          <w:sz w:val="20"/>
          <w:szCs w:val="20"/>
        </w:rPr>
        <w:t>,</w:t>
      </w:r>
      <w:r w:rsidRPr="006C06AD">
        <w:rPr>
          <w:sz w:val="20"/>
          <w:szCs w:val="20"/>
        </w:rPr>
        <w:t xml:space="preserve"> LFIs, and BICE, a</w:t>
      </w:r>
      <w:r w:rsidR="00937C73" w:rsidRPr="006C06AD">
        <w:rPr>
          <w:sz w:val="20"/>
          <w:szCs w:val="20"/>
        </w:rPr>
        <w:t xml:space="preserve"> Decommissioning and Disposal </w:t>
      </w:r>
      <w:r w:rsidRPr="006C06AD">
        <w:rPr>
          <w:sz w:val="20"/>
          <w:szCs w:val="20"/>
        </w:rPr>
        <w:t>P</w:t>
      </w:r>
      <w:r w:rsidR="00937C73" w:rsidRPr="006C06AD">
        <w:rPr>
          <w:sz w:val="20"/>
          <w:szCs w:val="20"/>
        </w:rPr>
        <w:t xml:space="preserve">rotocol will be designed and implemented during the </w:t>
      </w:r>
      <w:r w:rsidR="0028758B">
        <w:rPr>
          <w:sz w:val="20"/>
          <w:szCs w:val="20"/>
        </w:rPr>
        <w:t>P</w:t>
      </w:r>
      <w:r w:rsidR="00937C73" w:rsidRPr="006C06AD">
        <w:rPr>
          <w:sz w:val="20"/>
          <w:szCs w:val="20"/>
        </w:rPr>
        <w:t xml:space="preserve">roject implementation phase.  The protocol will be based on the following principles: </w:t>
      </w:r>
    </w:p>
    <w:p w14:paraId="219FFF94" w14:textId="77777777" w:rsidR="00937C73" w:rsidRPr="006C06AD" w:rsidRDefault="00937C73" w:rsidP="00C17775">
      <w:pPr>
        <w:pStyle w:val="ListParagraph"/>
        <w:numPr>
          <w:ilvl w:val="0"/>
          <w:numId w:val="53"/>
        </w:numPr>
        <w:ind w:left="360"/>
        <w:jc w:val="both"/>
        <w:rPr>
          <w:sz w:val="20"/>
          <w:szCs w:val="20"/>
        </w:rPr>
      </w:pPr>
      <w:r w:rsidRPr="006C06AD">
        <w:rPr>
          <w:sz w:val="20"/>
          <w:szCs w:val="20"/>
        </w:rPr>
        <w:t xml:space="preserve">Replaced equipment will have to be handled in a technically appropriate manner to ensure that its disposal is (i) final, (ii) undertaken in accordance with all relevant national regulations and (iii) undertaken with the assistance of national licensed or certified waste management service provider. </w:t>
      </w:r>
    </w:p>
    <w:p w14:paraId="121C9195" w14:textId="77777777" w:rsidR="00937C73" w:rsidRPr="006C06AD" w:rsidRDefault="00937C73" w:rsidP="00C17775">
      <w:pPr>
        <w:pStyle w:val="ListParagraph"/>
        <w:numPr>
          <w:ilvl w:val="0"/>
          <w:numId w:val="53"/>
        </w:numPr>
        <w:ind w:left="360"/>
        <w:jc w:val="both"/>
        <w:rPr>
          <w:sz w:val="20"/>
          <w:szCs w:val="20"/>
        </w:rPr>
      </w:pPr>
      <w:r w:rsidRPr="006C06AD">
        <w:rPr>
          <w:sz w:val="20"/>
          <w:szCs w:val="20"/>
        </w:rPr>
        <w:t xml:space="preserve">The Project verification scheme will include verification of compliance with the Project Decommissioning and Disposal Protocol. </w:t>
      </w:r>
    </w:p>
    <w:p w14:paraId="6D09B92C" w14:textId="77777777" w:rsidR="00937C73" w:rsidRPr="006C06AD" w:rsidRDefault="00937C73" w:rsidP="00C17775">
      <w:pPr>
        <w:pStyle w:val="ListParagraph"/>
        <w:numPr>
          <w:ilvl w:val="0"/>
          <w:numId w:val="53"/>
        </w:numPr>
        <w:ind w:left="360"/>
        <w:jc w:val="both"/>
        <w:rPr>
          <w:sz w:val="20"/>
          <w:szCs w:val="20"/>
        </w:rPr>
      </w:pPr>
      <w:r w:rsidRPr="006C06AD">
        <w:rPr>
          <w:sz w:val="20"/>
          <w:szCs w:val="20"/>
        </w:rPr>
        <w:t>If for any reason a Project beneficiary fails to decommission and dispose any substituted equipment according to the Project Decommissioning and Disposal Protocol, it will be forced to repay the loan immediately and may be subject to regulatory sanctions as established in relevant laws and regulations of the country.</w:t>
      </w:r>
    </w:p>
    <w:p w14:paraId="2911C818" w14:textId="77777777" w:rsidR="009A3EB5" w:rsidRPr="00672C33" w:rsidRDefault="00E44450" w:rsidP="00C17775">
      <w:pPr>
        <w:spacing w:line="276" w:lineRule="auto"/>
        <w:jc w:val="both"/>
        <w:rPr>
          <w:i/>
          <w:sz w:val="20"/>
          <w:szCs w:val="20"/>
        </w:rPr>
      </w:pPr>
      <w:r w:rsidRPr="00672C33">
        <w:rPr>
          <w:i/>
          <w:sz w:val="20"/>
          <w:szCs w:val="20"/>
        </w:rPr>
        <w:t xml:space="preserve">Co-generation from agricultural waste </w:t>
      </w:r>
      <w:r w:rsidR="0028758B">
        <w:rPr>
          <w:i/>
          <w:sz w:val="20"/>
          <w:szCs w:val="20"/>
        </w:rPr>
        <w:t>sub-</w:t>
      </w:r>
      <w:r w:rsidRPr="00672C33">
        <w:rPr>
          <w:i/>
          <w:sz w:val="20"/>
          <w:szCs w:val="20"/>
        </w:rPr>
        <w:t>projects</w:t>
      </w:r>
    </w:p>
    <w:p w14:paraId="2A3604FB" w14:textId="4A17822D" w:rsidR="00E44450" w:rsidRPr="006C06AD" w:rsidRDefault="009A3EB5" w:rsidP="00C17775">
      <w:pPr>
        <w:spacing w:line="276" w:lineRule="auto"/>
        <w:jc w:val="both"/>
        <w:rPr>
          <w:sz w:val="20"/>
          <w:szCs w:val="20"/>
        </w:rPr>
      </w:pPr>
      <w:r w:rsidRPr="006C06AD">
        <w:rPr>
          <w:sz w:val="20"/>
          <w:szCs w:val="20"/>
        </w:rPr>
        <w:t>T</w:t>
      </w:r>
      <w:r w:rsidR="00E44450" w:rsidRPr="006C06AD">
        <w:rPr>
          <w:sz w:val="20"/>
          <w:szCs w:val="20"/>
        </w:rPr>
        <w:t xml:space="preserve">he identified </w:t>
      </w:r>
      <w:r w:rsidR="0028758B">
        <w:rPr>
          <w:sz w:val="20"/>
          <w:szCs w:val="20"/>
        </w:rPr>
        <w:t>sub-projects</w:t>
      </w:r>
      <w:r w:rsidR="00E44450" w:rsidRPr="006C06AD">
        <w:rPr>
          <w:sz w:val="20"/>
          <w:szCs w:val="20"/>
        </w:rPr>
        <w:t xml:space="preserve"> are small scale (2.5MW in average) and </w:t>
      </w:r>
      <w:r w:rsidRPr="006C06AD">
        <w:rPr>
          <w:sz w:val="20"/>
          <w:szCs w:val="20"/>
        </w:rPr>
        <w:t xml:space="preserve">using </w:t>
      </w:r>
      <w:r w:rsidR="00E44450" w:rsidRPr="006C06AD">
        <w:rPr>
          <w:sz w:val="20"/>
          <w:szCs w:val="20"/>
        </w:rPr>
        <w:t xml:space="preserve">secondary </w:t>
      </w:r>
      <w:r w:rsidRPr="006C06AD">
        <w:rPr>
          <w:sz w:val="20"/>
          <w:szCs w:val="20"/>
        </w:rPr>
        <w:t xml:space="preserve">fuel </w:t>
      </w:r>
      <w:r w:rsidR="00E44450" w:rsidRPr="006C06AD">
        <w:rPr>
          <w:sz w:val="20"/>
          <w:szCs w:val="20"/>
        </w:rPr>
        <w:t xml:space="preserve">sources only, more specifically agricultural waste from an existing operation. Eligibility criteria would require </w:t>
      </w:r>
      <w:r w:rsidR="0028758B">
        <w:rPr>
          <w:sz w:val="20"/>
          <w:szCs w:val="20"/>
        </w:rPr>
        <w:t>sub-</w:t>
      </w:r>
      <w:r w:rsidR="00E44450" w:rsidRPr="006C06AD">
        <w:rPr>
          <w:sz w:val="20"/>
          <w:szCs w:val="20"/>
        </w:rPr>
        <w:t xml:space="preserve">projects to only use </w:t>
      </w:r>
      <w:r w:rsidR="00E44450" w:rsidRPr="006C06AD">
        <w:rPr>
          <w:sz w:val="20"/>
          <w:szCs w:val="20"/>
        </w:rPr>
        <w:lastRenderedPageBreak/>
        <w:t xml:space="preserve">agricultural waste and to be calibrated to run mainly on the existing operation waste production. None of </w:t>
      </w:r>
      <w:r w:rsidRPr="006C06AD">
        <w:rPr>
          <w:sz w:val="20"/>
          <w:szCs w:val="20"/>
        </w:rPr>
        <w:t xml:space="preserve">the </w:t>
      </w:r>
      <w:r w:rsidR="0028758B">
        <w:rPr>
          <w:sz w:val="20"/>
          <w:szCs w:val="20"/>
        </w:rPr>
        <w:t>sub-projects</w:t>
      </w:r>
      <w:r w:rsidRPr="006C06AD">
        <w:rPr>
          <w:sz w:val="20"/>
          <w:szCs w:val="20"/>
        </w:rPr>
        <w:t xml:space="preserve"> </w:t>
      </w:r>
      <w:r w:rsidR="00E44450" w:rsidRPr="006C06AD">
        <w:rPr>
          <w:sz w:val="20"/>
          <w:szCs w:val="20"/>
        </w:rPr>
        <w:t xml:space="preserve">would include land acquisition for extension of the biomass production. The feasibility study did confirm that </w:t>
      </w:r>
      <w:r w:rsidR="0057708E">
        <w:rPr>
          <w:sz w:val="20"/>
          <w:szCs w:val="20"/>
        </w:rPr>
        <w:t xml:space="preserve">for </w:t>
      </w:r>
      <w:r w:rsidR="00E44450" w:rsidRPr="006C06AD">
        <w:rPr>
          <w:sz w:val="20"/>
          <w:szCs w:val="20"/>
        </w:rPr>
        <w:t xml:space="preserve">small scale </w:t>
      </w:r>
      <w:r w:rsidR="0028758B">
        <w:rPr>
          <w:sz w:val="20"/>
          <w:szCs w:val="20"/>
        </w:rPr>
        <w:t>sub-</w:t>
      </w:r>
      <w:r w:rsidR="00E44450" w:rsidRPr="006C06AD">
        <w:rPr>
          <w:sz w:val="20"/>
          <w:szCs w:val="20"/>
        </w:rPr>
        <w:t>projects</w:t>
      </w:r>
      <w:r w:rsidR="0057708E">
        <w:rPr>
          <w:sz w:val="20"/>
          <w:szCs w:val="20"/>
        </w:rPr>
        <w:t xml:space="preserve">, the purchase of external fuel would drastically hamper the economic viability of the projects, those projects </w:t>
      </w:r>
      <w:r w:rsidR="009A308E">
        <w:rPr>
          <w:sz w:val="20"/>
          <w:szCs w:val="20"/>
        </w:rPr>
        <w:t>will</w:t>
      </w:r>
      <w:r w:rsidR="0057708E">
        <w:rPr>
          <w:sz w:val="20"/>
          <w:szCs w:val="20"/>
        </w:rPr>
        <w:t xml:space="preserve"> therefore only </w:t>
      </w:r>
      <w:r w:rsidR="009A308E">
        <w:rPr>
          <w:sz w:val="20"/>
          <w:szCs w:val="20"/>
        </w:rPr>
        <w:t xml:space="preserve">use waste biomass from </w:t>
      </w:r>
      <w:r w:rsidR="0057708E">
        <w:rPr>
          <w:sz w:val="20"/>
          <w:szCs w:val="20"/>
        </w:rPr>
        <w:t>existing operation</w:t>
      </w:r>
      <w:r w:rsidR="00B824C4">
        <w:rPr>
          <w:sz w:val="20"/>
          <w:szCs w:val="20"/>
        </w:rPr>
        <w:t>s</w:t>
      </w:r>
      <w:r w:rsidR="0057708E">
        <w:rPr>
          <w:sz w:val="20"/>
          <w:szCs w:val="20"/>
        </w:rPr>
        <w:t xml:space="preserve">. </w:t>
      </w:r>
      <w:r w:rsidR="00E44450" w:rsidRPr="006C06AD">
        <w:rPr>
          <w:sz w:val="20"/>
          <w:szCs w:val="20"/>
        </w:rPr>
        <w:t xml:space="preserve"> </w:t>
      </w:r>
    </w:p>
    <w:p w14:paraId="7569D6DD" w14:textId="238024B0" w:rsidR="00E44450" w:rsidRPr="006C06AD" w:rsidRDefault="00E44450" w:rsidP="00C17775">
      <w:pPr>
        <w:spacing w:line="276" w:lineRule="auto"/>
        <w:jc w:val="both"/>
        <w:rPr>
          <w:sz w:val="20"/>
          <w:szCs w:val="20"/>
        </w:rPr>
      </w:pPr>
      <w:r w:rsidRPr="006C06AD">
        <w:rPr>
          <w:sz w:val="20"/>
          <w:szCs w:val="20"/>
        </w:rPr>
        <w:t xml:space="preserve">Biomass </w:t>
      </w:r>
      <w:r w:rsidR="0028758B">
        <w:rPr>
          <w:sz w:val="20"/>
          <w:szCs w:val="20"/>
        </w:rPr>
        <w:t>sub-</w:t>
      </w:r>
      <w:r w:rsidRPr="006C06AD">
        <w:rPr>
          <w:sz w:val="20"/>
          <w:szCs w:val="20"/>
        </w:rPr>
        <w:t xml:space="preserve">projects in general </w:t>
      </w:r>
      <w:r w:rsidR="009A3EB5" w:rsidRPr="006C06AD">
        <w:rPr>
          <w:sz w:val="20"/>
          <w:szCs w:val="20"/>
        </w:rPr>
        <w:t xml:space="preserve">may generate </w:t>
      </w:r>
      <w:r w:rsidRPr="006C06AD">
        <w:rPr>
          <w:sz w:val="20"/>
          <w:szCs w:val="20"/>
        </w:rPr>
        <w:t xml:space="preserve">a number of </w:t>
      </w:r>
      <w:r w:rsidR="009A3EB5" w:rsidRPr="006C06AD">
        <w:rPr>
          <w:sz w:val="20"/>
          <w:szCs w:val="20"/>
        </w:rPr>
        <w:t xml:space="preserve">adverse </w:t>
      </w:r>
      <w:r w:rsidRPr="006C06AD">
        <w:rPr>
          <w:sz w:val="20"/>
          <w:szCs w:val="20"/>
        </w:rPr>
        <w:t>environmental impacts on air and soil quality, biodiversity, water, land and a number of social impacts on employment, economy and food security</w:t>
      </w:r>
      <w:r w:rsidR="009A3EB5" w:rsidRPr="006C06AD">
        <w:rPr>
          <w:sz w:val="20"/>
          <w:szCs w:val="20"/>
        </w:rPr>
        <w:t xml:space="preserve">. These impacts are mainly from fuel sources, the operation of the power plant, and from the associated facilities. </w:t>
      </w:r>
      <w:r w:rsidRPr="006C06AD">
        <w:rPr>
          <w:sz w:val="20"/>
          <w:szCs w:val="20"/>
        </w:rPr>
        <w:t xml:space="preserve"> The small-scale </w:t>
      </w:r>
      <w:r w:rsidR="0028758B">
        <w:rPr>
          <w:sz w:val="20"/>
          <w:szCs w:val="20"/>
        </w:rPr>
        <w:t>sub-projects</w:t>
      </w:r>
      <w:r w:rsidRPr="006C06AD">
        <w:rPr>
          <w:sz w:val="20"/>
          <w:szCs w:val="20"/>
        </w:rPr>
        <w:t xml:space="preserve"> targeted in this Project have limited potential negative impacts</w:t>
      </w:r>
      <w:r w:rsidR="009A3EB5" w:rsidRPr="006C06AD">
        <w:rPr>
          <w:sz w:val="20"/>
          <w:szCs w:val="20"/>
        </w:rPr>
        <w:t xml:space="preserve"> since the co-generation facilities will be installed </w:t>
      </w:r>
      <w:r w:rsidR="009A308E">
        <w:rPr>
          <w:sz w:val="20"/>
          <w:szCs w:val="20"/>
        </w:rPr>
        <w:t>within</w:t>
      </w:r>
      <w:r w:rsidR="009A308E" w:rsidRPr="006C06AD">
        <w:rPr>
          <w:sz w:val="20"/>
          <w:szCs w:val="20"/>
        </w:rPr>
        <w:t xml:space="preserve"> </w:t>
      </w:r>
      <w:r w:rsidR="009A3EB5" w:rsidRPr="006C06AD">
        <w:rPr>
          <w:sz w:val="20"/>
          <w:szCs w:val="20"/>
        </w:rPr>
        <w:t xml:space="preserve">existing industrial plants, </w:t>
      </w:r>
      <w:r w:rsidR="009A308E">
        <w:rPr>
          <w:sz w:val="20"/>
          <w:szCs w:val="20"/>
        </w:rPr>
        <w:t xml:space="preserve">use biomass residues </w:t>
      </w:r>
      <w:r w:rsidR="009A3EB5" w:rsidRPr="006C06AD">
        <w:rPr>
          <w:sz w:val="20"/>
          <w:szCs w:val="20"/>
        </w:rPr>
        <w:t>and will not use fuel sourced from biomass plantation</w:t>
      </w:r>
      <w:r w:rsidR="009A308E">
        <w:rPr>
          <w:sz w:val="20"/>
          <w:szCs w:val="20"/>
        </w:rPr>
        <w:t>s</w:t>
      </w:r>
      <w:r w:rsidR="009A3EB5" w:rsidRPr="006C06AD">
        <w:rPr>
          <w:sz w:val="20"/>
          <w:szCs w:val="20"/>
        </w:rPr>
        <w:t>.</w:t>
      </w:r>
      <w:r w:rsidRPr="006C06AD">
        <w:rPr>
          <w:sz w:val="20"/>
          <w:szCs w:val="20"/>
        </w:rPr>
        <w:t xml:space="preserve"> </w:t>
      </w:r>
    </w:p>
    <w:p w14:paraId="7864D9A3" w14:textId="77777777" w:rsidR="00E44450" w:rsidRPr="006C06AD" w:rsidRDefault="00E44450" w:rsidP="00C17775">
      <w:pPr>
        <w:pStyle w:val="ListParagraph"/>
        <w:numPr>
          <w:ilvl w:val="0"/>
          <w:numId w:val="54"/>
        </w:numPr>
        <w:ind w:left="360"/>
        <w:jc w:val="both"/>
        <w:rPr>
          <w:sz w:val="20"/>
          <w:szCs w:val="20"/>
        </w:rPr>
      </w:pPr>
      <w:r w:rsidRPr="006C06AD">
        <w:rPr>
          <w:sz w:val="20"/>
          <w:szCs w:val="20"/>
        </w:rPr>
        <w:t xml:space="preserve">Land and Biodiversity: the </w:t>
      </w:r>
      <w:r w:rsidR="0028758B">
        <w:rPr>
          <w:sz w:val="20"/>
          <w:szCs w:val="20"/>
        </w:rPr>
        <w:t>sub-</w:t>
      </w:r>
      <w:r w:rsidRPr="006C06AD">
        <w:rPr>
          <w:sz w:val="20"/>
          <w:szCs w:val="20"/>
        </w:rPr>
        <w:t>projects targeted would have no negative impact on land and biodiversity as only the use of secondary resources is eligible.</w:t>
      </w:r>
    </w:p>
    <w:p w14:paraId="4FFE3E12" w14:textId="77777777" w:rsidR="00E44450" w:rsidRPr="006C06AD" w:rsidRDefault="00E44450" w:rsidP="00C17775">
      <w:pPr>
        <w:pStyle w:val="ListParagraph"/>
        <w:numPr>
          <w:ilvl w:val="0"/>
          <w:numId w:val="54"/>
        </w:numPr>
        <w:ind w:left="360"/>
        <w:jc w:val="both"/>
        <w:rPr>
          <w:sz w:val="20"/>
          <w:szCs w:val="20"/>
        </w:rPr>
      </w:pPr>
      <w:r w:rsidRPr="006C06AD">
        <w:rPr>
          <w:sz w:val="20"/>
          <w:szCs w:val="20"/>
        </w:rPr>
        <w:t xml:space="preserve">Water: the </w:t>
      </w:r>
      <w:r w:rsidR="0028758B">
        <w:rPr>
          <w:sz w:val="20"/>
          <w:szCs w:val="20"/>
        </w:rPr>
        <w:t>sub-</w:t>
      </w:r>
      <w:r w:rsidRPr="006C06AD">
        <w:rPr>
          <w:sz w:val="20"/>
          <w:szCs w:val="20"/>
        </w:rPr>
        <w:t xml:space="preserve">projects targeted do not involve additional production of biomass and therefore there would not be any increased use of groundwater. The financed operations would follow the Argentinian regulation, hence avoiding any impact on water quality through discharge of wastewater. Liquid effluents in this type of operation is in any case very limited. </w:t>
      </w:r>
    </w:p>
    <w:p w14:paraId="67A01C1E" w14:textId="77777777" w:rsidR="00E44450" w:rsidRPr="006C06AD" w:rsidRDefault="00E44450" w:rsidP="00C17775">
      <w:pPr>
        <w:pStyle w:val="ListParagraph"/>
        <w:numPr>
          <w:ilvl w:val="0"/>
          <w:numId w:val="54"/>
        </w:numPr>
        <w:ind w:left="360"/>
        <w:jc w:val="both"/>
        <w:rPr>
          <w:sz w:val="20"/>
          <w:szCs w:val="20"/>
        </w:rPr>
      </w:pPr>
      <w:r w:rsidRPr="006C06AD">
        <w:rPr>
          <w:sz w:val="20"/>
          <w:szCs w:val="20"/>
        </w:rPr>
        <w:t xml:space="preserve">Air quality: the financed operations will comply with the Argentinian regulation. And the transport of resources should be minimal. </w:t>
      </w:r>
    </w:p>
    <w:p w14:paraId="0463941A" w14:textId="77777777" w:rsidR="00E44450" w:rsidRPr="006C06AD" w:rsidRDefault="00E44450" w:rsidP="00C17775">
      <w:pPr>
        <w:pStyle w:val="ListParagraph"/>
        <w:numPr>
          <w:ilvl w:val="0"/>
          <w:numId w:val="54"/>
        </w:numPr>
        <w:ind w:left="360"/>
        <w:jc w:val="both"/>
        <w:rPr>
          <w:sz w:val="20"/>
          <w:szCs w:val="20"/>
        </w:rPr>
      </w:pPr>
      <w:r w:rsidRPr="006C06AD">
        <w:rPr>
          <w:sz w:val="20"/>
          <w:szCs w:val="20"/>
        </w:rPr>
        <w:t xml:space="preserve">Social impacts: the </w:t>
      </w:r>
      <w:r w:rsidR="0028758B">
        <w:rPr>
          <w:sz w:val="20"/>
          <w:szCs w:val="20"/>
        </w:rPr>
        <w:t>sub-</w:t>
      </w:r>
      <w:r w:rsidRPr="006C06AD">
        <w:rPr>
          <w:sz w:val="20"/>
          <w:szCs w:val="20"/>
        </w:rPr>
        <w:t xml:space="preserve">projects use secondary resources e.g. agricultural waste that had no previous use. There should be no impact on communities for land use, source of income, or food security. The </w:t>
      </w:r>
      <w:r w:rsidR="0028758B">
        <w:rPr>
          <w:sz w:val="20"/>
          <w:szCs w:val="20"/>
        </w:rPr>
        <w:t>sub-</w:t>
      </w:r>
      <w:r w:rsidRPr="006C06AD">
        <w:rPr>
          <w:sz w:val="20"/>
          <w:szCs w:val="20"/>
        </w:rPr>
        <w:t xml:space="preserve">projects could generate employment even if not in major number and the generation of clean energy definitely benefits the larger populations.        </w:t>
      </w:r>
    </w:p>
    <w:p w14:paraId="7B355DD1" w14:textId="3A62E408" w:rsidR="008534FD" w:rsidRPr="006C06AD" w:rsidRDefault="00E44450" w:rsidP="00C17775">
      <w:pPr>
        <w:spacing w:line="276" w:lineRule="auto"/>
        <w:jc w:val="both"/>
        <w:rPr>
          <w:sz w:val="20"/>
          <w:szCs w:val="20"/>
        </w:rPr>
      </w:pPr>
      <w:r w:rsidRPr="006C06AD">
        <w:rPr>
          <w:sz w:val="20"/>
          <w:szCs w:val="20"/>
        </w:rPr>
        <w:t xml:space="preserve">Therefore, the only potential environmental risk could come from the </w:t>
      </w:r>
      <w:r w:rsidR="0028758B">
        <w:rPr>
          <w:sz w:val="20"/>
          <w:szCs w:val="20"/>
        </w:rPr>
        <w:t>sub-</w:t>
      </w:r>
      <w:r w:rsidRPr="006C06AD">
        <w:rPr>
          <w:sz w:val="20"/>
          <w:szCs w:val="20"/>
        </w:rPr>
        <w:t>project procedures for acquisition of additional waste, beyond the facility own waste, in those exceptional cases</w:t>
      </w:r>
      <w:r w:rsidR="0057708E">
        <w:rPr>
          <w:sz w:val="20"/>
          <w:szCs w:val="20"/>
        </w:rPr>
        <w:t xml:space="preserve"> when</w:t>
      </w:r>
      <w:r w:rsidRPr="006C06AD">
        <w:rPr>
          <w:sz w:val="20"/>
          <w:szCs w:val="20"/>
        </w:rPr>
        <w:t xml:space="preserve"> additional supply is necessary. The </w:t>
      </w:r>
      <w:r w:rsidR="00865849">
        <w:rPr>
          <w:sz w:val="20"/>
          <w:szCs w:val="20"/>
        </w:rPr>
        <w:t xml:space="preserve">project will aim </w:t>
      </w:r>
      <w:r w:rsidRPr="006C06AD">
        <w:rPr>
          <w:sz w:val="20"/>
          <w:szCs w:val="20"/>
        </w:rPr>
        <w:t xml:space="preserve">to </w:t>
      </w:r>
      <w:r w:rsidR="00865849">
        <w:rPr>
          <w:sz w:val="20"/>
          <w:szCs w:val="20"/>
        </w:rPr>
        <w:t>en</w:t>
      </w:r>
      <w:r w:rsidRPr="006C06AD">
        <w:rPr>
          <w:sz w:val="20"/>
          <w:szCs w:val="20"/>
        </w:rPr>
        <w:t xml:space="preserve">sure that (i) those cases are </w:t>
      </w:r>
      <w:r w:rsidR="00672C33" w:rsidRPr="006C06AD">
        <w:rPr>
          <w:sz w:val="20"/>
          <w:szCs w:val="20"/>
        </w:rPr>
        <w:t>exceptional,</w:t>
      </w:r>
      <w:r w:rsidRPr="006C06AD">
        <w:rPr>
          <w:sz w:val="20"/>
          <w:szCs w:val="20"/>
        </w:rPr>
        <w:t xml:space="preserve"> and that the co-generation </w:t>
      </w:r>
      <w:r w:rsidR="00865849">
        <w:rPr>
          <w:sz w:val="20"/>
          <w:szCs w:val="20"/>
        </w:rPr>
        <w:t xml:space="preserve">plant </w:t>
      </w:r>
      <w:r w:rsidRPr="006C06AD">
        <w:rPr>
          <w:sz w:val="20"/>
          <w:szCs w:val="20"/>
        </w:rPr>
        <w:t xml:space="preserve">is calibrated to run on </w:t>
      </w:r>
      <w:r w:rsidR="0088622E">
        <w:rPr>
          <w:sz w:val="20"/>
          <w:szCs w:val="20"/>
        </w:rPr>
        <w:t>the facility’s</w:t>
      </w:r>
      <w:r w:rsidR="0088622E" w:rsidRPr="006C06AD">
        <w:rPr>
          <w:sz w:val="20"/>
          <w:szCs w:val="20"/>
        </w:rPr>
        <w:t xml:space="preserve"> </w:t>
      </w:r>
      <w:r w:rsidRPr="006C06AD">
        <w:rPr>
          <w:sz w:val="20"/>
          <w:szCs w:val="20"/>
        </w:rPr>
        <w:t xml:space="preserve">own waste, (ii) nothing else than agricultural waste is used. Specific </w:t>
      </w:r>
      <w:r w:rsidR="00B773FC" w:rsidRPr="006C06AD">
        <w:rPr>
          <w:sz w:val="20"/>
          <w:szCs w:val="20"/>
        </w:rPr>
        <w:t xml:space="preserve">environmental and </w:t>
      </w:r>
      <w:r w:rsidR="00672C33" w:rsidRPr="006C06AD">
        <w:rPr>
          <w:sz w:val="20"/>
          <w:szCs w:val="20"/>
        </w:rPr>
        <w:t>social requirements</w:t>
      </w:r>
      <w:r w:rsidRPr="006C06AD">
        <w:rPr>
          <w:sz w:val="20"/>
          <w:szCs w:val="20"/>
        </w:rPr>
        <w:t xml:space="preserve"> will be imposed for those few </w:t>
      </w:r>
      <w:r w:rsidR="0028758B">
        <w:rPr>
          <w:sz w:val="20"/>
          <w:szCs w:val="20"/>
        </w:rPr>
        <w:t>sub-</w:t>
      </w:r>
      <w:r w:rsidRPr="006C06AD">
        <w:rPr>
          <w:sz w:val="20"/>
          <w:szCs w:val="20"/>
        </w:rPr>
        <w:t>projects (see below) in order to mitigate these risks</w:t>
      </w:r>
      <w:r w:rsidR="0057708E">
        <w:rPr>
          <w:sz w:val="20"/>
          <w:szCs w:val="20"/>
        </w:rPr>
        <w:t xml:space="preserve"> and ensure traceability of the waste supply in those exceptional cases</w:t>
      </w:r>
      <w:r w:rsidR="00865849">
        <w:rPr>
          <w:sz w:val="20"/>
          <w:szCs w:val="20"/>
        </w:rPr>
        <w:t>,</w:t>
      </w:r>
      <w:r w:rsidR="0057708E">
        <w:rPr>
          <w:sz w:val="20"/>
          <w:szCs w:val="20"/>
        </w:rPr>
        <w:t xml:space="preserve"> if any</w:t>
      </w:r>
      <w:r w:rsidRPr="006C06AD">
        <w:rPr>
          <w:sz w:val="20"/>
          <w:szCs w:val="20"/>
        </w:rPr>
        <w:t>.</w:t>
      </w:r>
    </w:p>
    <w:p w14:paraId="495D19DB" w14:textId="77777777" w:rsidR="009F6A51" w:rsidRPr="00672C33" w:rsidRDefault="00E44450" w:rsidP="00C17775">
      <w:pPr>
        <w:spacing w:line="276" w:lineRule="auto"/>
        <w:jc w:val="both"/>
        <w:rPr>
          <w:i/>
          <w:sz w:val="20"/>
          <w:szCs w:val="20"/>
        </w:rPr>
      </w:pPr>
      <w:r w:rsidRPr="00672C33">
        <w:rPr>
          <w:i/>
          <w:sz w:val="20"/>
          <w:szCs w:val="20"/>
        </w:rPr>
        <w:t>Co-generation from biogas</w:t>
      </w:r>
      <w:r w:rsidR="009F6A51" w:rsidRPr="00672C33">
        <w:rPr>
          <w:i/>
          <w:sz w:val="20"/>
          <w:szCs w:val="20"/>
        </w:rPr>
        <w:t xml:space="preserve"> </w:t>
      </w:r>
    </w:p>
    <w:p w14:paraId="13B5B503" w14:textId="74D1DFBE" w:rsidR="0032258B" w:rsidRPr="006C06AD" w:rsidRDefault="009F6A51" w:rsidP="00C17775">
      <w:pPr>
        <w:spacing w:line="276" w:lineRule="auto"/>
        <w:jc w:val="both"/>
        <w:rPr>
          <w:sz w:val="20"/>
          <w:szCs w:val="20"/>
        </w:rPr>
      </w:pPr>
      <w:r w:rsidRPr="006C06AD">
        <w:rPr>
          <w:sz w:val="20"/>
          <w:szCs w:val="20"/>
        </w:rPr>
        <w:t>T</w:t>
      </w:r>
      <w:r w:rsidR="008534FD" w:rsidRPr="006C06AD">
        <w:rPr>
          <w:sz w:val="20"/>
          <w:szCs w:val="20"/>
        </w:rPr>
        <w:t xml:space="preserve">hose </w:t>
      </w:r>
      <w:r w:rsidR="0028758B">
        <w:rPr>
          <w:sz w:val="20"/>
          <w:szCs w:val="20"/>
        </w:rPr>
        <w:t>sub-</w:t>
      </w:r>
      <w:r w:rsidR="008534FD" w:rsidRPr="006C06AD">
        <w:rPr>
          <w:sz w:val="20"/>
          <w:szCs w:val="20"/>
        </w:rPr>
        <w:t xml:space="preserve">projects have </w:t>
      </w:r>
      <w:r w:rsidR="00596BA0">
        <w:rPr>
          <w:sz w:val="20"/>
          <w:szCs w:val="20"/>
        </w:rPr>
        <w:t>significant</w:t>
      </w:r>
      <w:r w:rsidR="008534FD" w:rsidRPr="006C06AD">
        <w:rPr>
          <w:sz w:val="20"/>
          <w:szCs w:val="20"/>
        </w:rPr>
        <w:t xml:space="preserve"> positive impacts</w:t>
      </w:r>
      <w:r w:rsidRPr="006C06AD">
        <w:rPr>
          <w:sz w:val="20"/>
          <w:szCs w:val="20"/>
        </w:rPr>
        <w:t xml:space="preserve">, in addition to GHG emissions </w:t>
      </w:r>
      <w:r w:rsidR="00672C33" w:rsidRPr="006C06AD">
        <w:rPr>
          <w:sz w:val="20"/>
          <w:szCs w:val="20"/>
        </w:rPr>
        <w:t xml:space="preserve">reduction, </w:t>
      </w:r>
      <w:r w:rsidR="002B4D95">
        <w:rPr>
          <w:sz w:val="20"/>
          <w:szCs w:val="20"/>
        </w:rPr>
        <w:t xml:space="preserve">and </w:t>
      </w:r>
      <w:r w:rsidR="00672C33" w:rsidRPr="006C06AD">
        <w:rPr>
          <w:sz w:val="20"/>
          <w:szCs w:val="20"/>
        </w:rPr>
        <w:t>can</w:t>
      </w:r>
      <w:r w:rsidR="008534FD" w:rsidRPr="006C06AD">
        <w:rPr>
          <w:sz w:val="20"/>
          <w:szCs w:val="20"/>
        </w:rPr>
        <w:t xml:space="preserve"> be crucial in the mitigation of those activities main environmental issues. By implementing a biogas facility, the target client can reduce its generation of solid waste and sludge from waste feed or animal waste and carcasses, reduce its release of </w:t>
      </w:r>
      <w:r w:rsidR="00E44450" w:rsidRPr="006C06AD">
        <w:rPr>
          <w:sz w:val="20"/>
          <w:szCs w:val="20"/>
        </w:rPr>
        <w:t xml:space="preserve">potentially harmful </w:t>
      </w:r>
      <w:r w:rsidR="008534FD" w:rsidRPr="006C06AD">
        <w:rPr>
          <w:sz w:val="20"/>
          <w:szCs w:val="20"/>
        </w:rPr>
        <w:t xml:space="preserve">effluents, reduce its impact on water system, reduce its potential negative impact on soil contamination. </w:t>
      </w:r>
      <w:r w:rsidR="00F249E4" w:rsidRPr="006C06AD">
        <w:rPr>
          <w:sz w:val="20"/>
          <w:szCs w:val="20"/>
        </w:rPr>
        <w:t>In Argentina, implementing a biogas operation can allow pig farms for ex</w:t>
      </w:r>
      <w:r w:rsidR="00E44450" w:rsidRPr="006C06AD">
        <w:rPr>
          <w:sz w:val="20"/>
          <w:szCs w:val="20"/>
        </w:rPr>
        <w:t>am</w:t>
      </w:r>
      <w:r w:rsidR="00F249E4" w:rsidRPr="006C06AD">
        <w:rPr>
          <w:sz w:val="20"/>
          <w:szCs w:val="20"/>
        </w:rPr>
        <w:t xml:space="preserve">ple to comply with water management regulations. </w:t>
      </w:r>
      <w:r w:rsidR="008534FD" w:rsidRPr="006C06AD">
        <w:rPr>
          <w:sz w:val="20"/>
          <w:szCs w:val="20"/>
        </w:rPr>
        <w:t xml:space="preserve">Nevertheless, those </w:t>
      </w:r>
      <w:r w:rsidR="0028758B">
        <w:rPr>
          <w:sz w:val="20"/>
          <w:szCs w:val="20"/>
        </w:rPr>
        <w:t>sub-projects</w:t>
      </w:r>
      <w:r w:rsidR="008534FD" w:rsidRPr="006C06AD">
        <w:rPr>
          <w:sz w:val="20"/>
          <w:szCs w:val="20"/>
        </w:rPr>
        <w:t xml:space="preserve"> must be executed with the appropriate caution to avoid potential risks such as soil and/or water contamination for example. Specific </w:t>
      </w:r>
      <w:r w:rsidR="00B773FC" w:rsidRPr="006C06AD">
        <w:rPr>
          <w:sz w:val="20"/>
          <w:szCs w:val="20"/>
        </w:rPr>
        <w:t xml:space="preserve">environmental and social </w:t>
      </w:r>
      <w:r w:rsidR="008534FD" w:rsidRPr="006C06AD">
        <w:rPr>
          <w:sz w:val="20"/>
          <w:szCs w:val="20"/>
        </w:rPr>
        <w:t>requiremen</w:t>
      </w:r>
      <w:r w:rsidR="007249DB" w:rsidRPr="006C06AD">
        <w:rPr>
          <w:sz w:val="20"/>
          <w:szCs w:val="20"/>
        </w:rPr>
        <w:t>ts will be imposed for those</w:t>
      </w:r>
      <w:r w:rsidR="008534FD" w:rsidRPr="006C06AD">
        <w:rPr>
          <w:sz w:val="20"/>
          <w:szCs w:val="20"/>
        </w:rPr>
        <w:t xml:space="preserve"> </w:t>
      </w:r>
      <w:r w:rsidR="0028758B">
        <w:rPr>
          <w:sz w:val="20"/>
          <w:szCs w:val="20"/>
        </w:rPr>
        <w:t>sub-</w:t>
      </w:r>
      <w:r w:rsidR="008534FD" w:rsidRPr="006C06AD">
        <w:rPr>
          <w:sz w:val="20"/>
          <w:szCs w:val="20"/>
        </w:rPr>
        <w:t>projects in order to mitigate these risks.</w:t>
      </w:r>
    </w:p>
    <w:p w14:paraId="3CEDEE62" w14:textId="77777777" w:rsidR="0093096F" w:rsidRPr="006C06AD" w:rsidRDefault="003E0374" w:rsidP="00C17775">
      <w:pPr>
        <w:spacing w:line="276" w:lineRule="auto"/>
        <w:jc w:val="both"/>
        <w:rPr>
          <w:sz w:val="20"/>
          <w:szCs w:val="20"/>
        </w:rPr>
      </w:pPr>
      <w:r w:rsidRPr="006C06AD">
        <w:rPr>
          <w:sz w:val="20"/>
          <w:szCs w:val="20"/>
        </w:rPr>
        <w:t xml:space="preserve">Due to the nature of the investments to be financed under the </w:t>
      </w:r>
      <w:r w:rsidR="009F6A51" w:rsidRPr="006C06AD">
        <w:rPr>
          <w:sz w:val="20"/>
          <w:szCs w:val="20"/>
        </w:rPr>
        <w:t xml:space="preserve">Project </w:t>
      </w:r>
      <w:r w:rsidRPr="006C06AD">
        <w:rPr>
          <w:sz w:val="20"/>
          <w:szCs w:val="20"/>
        </w:rPr>
        <w:t xml:space="preserve">and its main beneficiaries, particularly existing small- and medium-sized enterprises, negative environmental and social impacts from the facilities other than </w:t>
      </w:r>
      <w:r w:rsidR="00F249E4" w:rsidRPr="006C06AD">
        <w:rPr>
          <w:sz w:val="20"/>
          <w:szCs w:val="20"/>
        </w:rPr>
        <w:t>those described above</w:t>
      </w:r>
      <w:r w:rsidRPr="006C06AD">
        <w:rPr>
          <w:sz w:val="20"/>
          <w:szCs w:val="20"/>
        </w:rPr>
        <w:t xml:space="preserve"> are not foreseen</w:t>
      </w:r>
      <w:r w:rsidR="007A7AC4" w:rsidRPr="006C06AD">
        <w:rPr>
          <w:sz w:val="20"/>
          <w:szCs w:val="20"/>
        </w:rPr>
        <w:t xml:space="preserve">. </w:t>
      </w:r>
      <w:r w:rsidR="00E44450" w:rsidRPr="006C06AD">
        <w:rPr>
          <w:sz w:val="20"/>
          <w:szCs w:val="20"/>
        </w:rPr>
        <w:t xml:space="preserve">All </w:t>
      </w:r>
      <w:r w:rsidR="0028758B">
        <w:rPr>
          <w:sz w:val="20"/>
          <w:szCs w:val="20"/>
        </w:rPr>
        <w:t>sub-projects</w:t>
      </w:r>
      <w:r w:rsidR="00E44450" w:rsidRPr="006C06AD">
        <w:rPr>
          <w:sz w:val="20"/>
          <w:szCs w:val="20"/>
        </w:rPr>
        <w:t xml:space="preserve"> eligible </w:t>
      </w:r>
      <w:r w:rsidR="009F6A51" w:rsidRPr="006C06AD">
        <w:rPr>
          <w:sz w:val="20"/>
          <w:szCs w:val="20"/>
        </w:rPr>
        <w:t xml:space="preserve">for support under </w:t>
      </w:r>
      <w:r w:rsidR="00E44450" w:rsidRPr="006C06AD">
        <w:rPr>
          <w:sz w:val="20"/>
          <w:szCs w:val="20"/>
        </w:rPr>
        <w:t xml:space="preserve">the Project are classified as B or C, the Project will involve the development of a specific classification tool for cogeneration </w:t>
      </w:r>
      <w:r w:rsidR="0028758B">
        <w:rPr>
          <w:sz w:val="20"/>
          <w:szCs w:val="20"/>
        </w:rPr>
        <w:t>sub-</w:t>
      </w:r>
      <w:r w:rsidR="00E44450" w:rsidRPr="006C06AD">
        <w:rPr>
          <w:sz w:val="20"/>
          <w:szCs w:val="20"/>
        </w:rPr>
        <w:t>projects (see below Mitigation Measures).</w:t>
      </w:r>
    </w:p>
    <w:p w14:paraId="0EDF0B95" w14:textId="77777777" w:rsidR="001654CD" w:rsidRPr="006C06AD" w:rsidRDefault="001654CD">
      <w:pPr>
        <w:pStyle w:val="Heading2"/>
        <w:numPr>
          <w:ilvl w:val="0"/>
          <w:numId w:val="39"/>
        </w:numPr>
        <w:spacing w:before="240" w:after="240" w:line="276" w:lineRule="auto"/>
        <w:jc w:val="both"/>
        <w:rPr>
          <w:rFonts w:asciiTheme="minorHAnsi" w:hAnsiTheme="minorHAnsi"/>
          <w:sz w:val="20"/>
          <w:szCs w:val="20"/>
        </w:rPr>
      </w:pPr>
      <w:r w:rsidRPr="006C06AD">
        <w:rPr>
          <w:rFonts w:asciiTheme="minorHAnsi" w:hAnsiTheme="minorHAnsi"/>
          <w:sz w:val="20"/>
          <w:szCs w:val="20"/>
        </w:rPr>
        <w:lastRenderedPageBreak/>
        <w:t xml:space="preserve">Subproject </w:t>
      </w:r>
      <w:r w:rsidR="006C3B18" w:rsidRPr="006C06AD">
        <w:rPr>
          <w:rFonts w:asciiTheme="minorHAnsi" w:hAnsiTheme="minorHAnsi"/>
          <w:sz w:val="20"/>
          <w:szCs w:val="20"/>
        </w:rPr>
        <w:t xml:space="preserve">environmental and social </w:t>
      </w:r>
      <w:r w:rsidRPr="006C06AD">
        <w:rPr>
          <w:rFonts w:asciiTheme="minorHAnsi" w:hAnsiTheme="minorHAnsi"/>
          <w:sz w:val="20"/>
          <w:szCs w:val="20"/>
        </w:rPr>
        <w:t>due diligence</w:t>
      </w:r>
    </w:p>
    <w:p w14:paraId="1DCC0EC6" w14:textId="77777777" w:rsidR="000C7F7B" w:rsidRPr="006C06AD" w:rsidRDefault="000C7F7B" w:rsidP="00C17775">
      <w:pPr>
        <w:jc w:val="both"/>
        <w:rPr>
          <w:sz w:val="20"/>
          <w:szCs w:val="20"/>
        </w:rPr>
      </w:pPr>
      <w:r w:rsidRPr="006C06AD">
        <w:rPr>
          <w:sz w:val="20"/>
          <w:szCs w:val="20"/>
        </w:rPr>
        <w:t xml:space="preserve">The roles and responsibilities related to environmental and social due diligence is presented in Appendix IV of this ESMF. </w:t>
      </w:r>
    </w:p>
    <w:p w14:paraId="385F8BE2" w14:textId="77777777" w:rsidR="001654CD" w:rsidRPr="006C06AD" w:rsidRDefault="00CA7EDF" w:rsidP="00C17775">
      <w:pPr>
        <w:jc w:val="both"/>
        <w:rPr>
          <w:b/>
          <w:sz w:val="20"/>
          <w:szCs w:val="20"/>
        </w:rPr>
      </w:pPr>
      <w:r w:rsidRPr="006C06AD">
        <w:rPr>
          <w:b/>
          <w:sz w:val="20"/>
          <w:szCs w:val="20"/>
        </w:rPr>
        <w:t xml:space="preserve">Screening and scoping of </w:t>
      </w:r>
      <w:r w:rsidR="0028758B">
        <w:rPr>
          <w:b/>
          <w:sz w:val="20"/>
          <w:szCs w:val="20"/>
        </w:rPr>
        <w:t>sub-projects</w:t>
      </w:r>
    </w:p>
    <w:p w14:paraId="448641A8" w14:textId="77777777" w:rsidR="00CA7EDF" w:rsidRPr="006C06AD" w:rsidRDefault="00CA7EDF" w:rsidP="00C17775">
      <w:pPr>
        <w:spacing w:line="276" w:lineRule="auto"/>
        <w:jc w:val="both"/>
        <w:rPr>
          <w:sz w:val="20"/>
          <w:szCs w:val="20"/>
        </w:rPr>
      </w:pPr>
      <w:r w:rsidRPr="006C06AD">
        <w:rPr>
          <w:sz w:val="20"/>
          <w:szCs w:val="20"/>
        </w:rPr>
        <w:t>Each</w:t>
      </w:r>
      <w:r w:rsidR="0028758B">
        <w:rPr>
          <w:sz w:val="20"/>
          <w:szCs w:val="20"/>
        </w:rPr>
        <w:t xml:space="preserve"> sub-project</w:t>
      </w:r>
      <w:r w:rsidRPr="006C06AD">
        <w:rPr>
          <w:sz w:val="20"/>
          <w:szCs w:val="20"/>
        </w:rPr>
        <w:t xml:space="preserve"> will undergo a screening and scoping exercise to establish the appropriate level and extent of environmental assessment required. The ESMF outlines the procedures for screening environmental and social issues, risks, and impacts of each</w:t>
      </w:r>
      <w:r w:rsidR="0028758B">
        <w:rPr>
          <w:sz w:val="20"/>
          <w:szCs w:val="20"/>
        </w:rPr>
        <w:t xml:space="preserve"> sub-project</w:t>
      </w:r>
      <w:r w:rsidRPr="006C06AD">
        <w:rPr>
          <w:sz w:val="20"/>
          <w:szCs w:val="20"/>
        </w:rPr>
        <w:t xml:space="preserve"> that may likely arise during implementation and for scoping the assessment and management of risks and impacts.   </w:t>
      </w:r>
    </w:p>
    <w:p w14:paraId="6D919ABA" w14:textId="77777777" w:rsidR="00CA7EDF" w:rsidRPr="006C06AD" w:rsidRDefault="00CA7EDF" w:rsidP="00C17775">
      <w:pPr>
        <w:spacing w:line="276" w:lineRule="auto"/>
        <w:jc w:val="both"/>
        <w:rPr>
          <w:sz w:val="20"/>
          <w:szCs w:val="20"/>
        </w:rPr>
      </w:pPr>
      <w:r w:rsidRPr="006C06AD">
        <w:rPr>
          <w:sz w:val="20"/>
          <w:szCs w:val="20"/>
        </w:rPr>
        <w:t>Screening is a high-level analysis to determine the level of environmental and social assessment required for a particular</w:t>
      </w:r>
      <w:r w:rsidR="0028758B">
        <w:rPr>
          <w:sz w:val="20"/>
          <w:szCs w:val="20"/>
        </w:rPr>
        <w:t xml:space="preserve"> sub-project</w:t>
      </w:r>
      <w:r w:rsidRPr="006C06AD">
        <w:rPr>
          <w:sz w:val="20"/>
          <w:szCs w:val="20"/>
        </w:rPr>
        <w:t xml:space="preserve">. The screening of </w:t>
      </w:r>
      <w:r w:rsidR="0028758B">
        <w:rPr>
          <w:sz w:val="20"/>
          <w:szCs w:val="20"/>
        </w:rPr>
        <w:t>sub-projects</w:t>
      </w:r>
      <w:r w:rsidRPr="006C06AD">
        <w:rPr>
          <w:sz w:val="20"/>
          <w:szCs w:val="20"/>
        </w:rPr>
        <w:t xml:space="preserve"> will identify potential environmental and social issues and safeguard preparation procedures to further assess potential impacts and design mitigation measures, as may be needed. </w:t>
      </w:r>
    </w:p>
    <w:p w14:paraId="73FC634D" w14:textId="77777777" w:rsidR="00CA7EDF" w:rsidRPr="006C06AD" w:rsidRDefault="00CA7EDF" w:rsidP="00C17775">
      <w:pPr>
        <w:spacing w:line="276" w:lineRule="auto"/>
        <w:jc w:val="both"/>
        <w:rPr>
          <w:sz w:val="20"/>
          <w:szCs w:val="20"/>
        </w:rPr>
      </w:pPr>
      <w:r w:rsidRPr="006C06AD">
        <w:rPr>
          <w:sz w:val="20"/>
          <w:szCs w:val="20"/>
        </w:rPr>
        <w:t>Screening is a vitally important tool for predicting and understanding potential environmental and social risks and impacts, and help determine significant issues for the Project, and focus what issues to monitor and prioritize during assessment and implementation. Through the screening process, any activities that could affect the environment or communities will be identified for more detailed analysis in the subsequent environmental and social assessment for each</w:t>
      </w:r>
      <w:r w:rsidR="0028758B">
        <w:rPr>
          <w:sz w:val="20"/>
          <w:szCs w:val="20"/>
        </w:rPr>
        <w:t xml:space="preserve"> sub-project</w:t>
      </w:r>
      <w:r w:rsidRPr="006C06AD">
        <w:rPr>
          <w:sz w:val="20"/>
          <w:szCs w:val="20"/>
        </w:rPr>
        <w:t xml:space="preserve">. The screening will also establish the basis for specifying further due diligence of the </w:t>
      </w:r>
      <w:r w:rsidR="0028758B">
        <w:rPr>
          <w:sz w:val="20"/>
          <w:szCs w:val="20"/>
        </w:rPr>
        <w:t>sub-projects</w:t>
      </w:r>
      <w:r w:rsidRPr="006C06AD">
        <w:rPr>
          <w:sz w:val="20"/>
          <w:szCs w:val="20"/>
        </w:rPr>
        <w:t xml:space="preserve">. </w:t>
      </w:r>
    </w:p>
    <w:p w14:paraId="347A6E38" w14:textId="013C7AE3" w:rsidR="00CA7EDF" w:rsidRPr="006C06AD" w:rsidRDefault="00CA7EDF" w:rsidP="00C17775">
      <w:pPr>
        <w:spacing w:line="276" w:lineRule="auto"/>
        <w:jc w:val="both"/>
        <w:rPr>
          <w:sz w:val="20"/>
          <w:szCs w:val="20"/>
        </w:rPr>
      </w:pPr>
      <w:r w:rsidRPr="00343CD2">
        <w:rPr>
          <w:sz w:val="20"/>
          <w:szCs w:val="20"/>
        </w:rPr>
        <w:t>Each</w:t>
      </w:r>
      <w:r w:rsidR="0028758B" w:rsidRPr="00343CD2">
        <w:rPr>
          <w:sz w:val="20"/>
          <w:szCs w:val="20"/>
        </w:rPr>
        <w:t xml:space="preserve"> sub-project</w:t>
      </w:r>
      <w:r w:rsidRPr="00343CD2">
        <w:rPr>
          <w:sz w:val="20"/>
          <w:szCs w:val="20"/>
        </w:rPr>
        <w:t xml:space="preserve"> will utilize </w:t>
      </w:r>
      <w:r w:rsidR="002B4D95" w:rsidRPr="00343CD2">
        <w:rPr>
          <w:sz w:val="20"/>
          <w:szCs w:val="20"/>
        </w:rPr>
        <w:t xml:space="preserve">a specific </w:t>
      </w:r>
      <w:r w:rsidRPr="00343CD2">
        <w:rPr>
          <w:sz w:val="20"/>
          <w:szCs w:val="20"/>
        </w:rPr>
        <w:t xml:space="preserve">screening </w:t>
      </w:r>
      <w:r w:rsidR="002B4D95" w:rsidRPr="00343CD2">
        <w:rPr>
          <w:sz w:val="20"/>
          <w:szCs w:val="20"/>
        </w:rPr>
        <w:t>tool that will be developed during the project preparation phase and approved by the accredited entity before the GCF loan</w:t>
      </w:r>
      <w:r w:rsidR="00510B21" w:rsidRPr="00343CD2">
        <w:rPr>
          <w:sz w:val="20"/>
          <w:szCs w:val="20"/>
        </w:rPr>
        <w:t>’s</w:t>
      </w:r>
      <w:r w:rsidR="002B4D95" w:rsidRPr="00343CD2">
        <w:rPr>
          <w:sz w:val="20"/>
          <w:szCs w:val="20"/>
        </w:rPr>
        <w:t xml:space="preserve"> first </w:t>
      </w:r>
      <w:r w:rsidR="00510B21" w:rsidRPr="00343CD2">
        <w:rPr>
          <w:sz w:val="20"/>
          <w:szCs w:val="20"/>
        </w:rPr>
        <w:t>disbursement</w:t>
      </w:r>
      <w:r w:rsidRPr="00343CD2">
        <w:rPr>
          <w:sz w:val="20"/>
          <w:szCs w:val="20"/>
        </w:rPr>
        <w:t xml:space="preserve">, with consideration of the IFC Performance Standards and GCF ESSs.  </w:t>
      </w:r>
      <w:r w:rsidR="0028758B" w:rsidRPr="00343CD2">
        <w:rPr>
          <w:sz w:val="20"/>
          <w:szCs w:val="20"/>
        </w:rPr>
        <w:t>Sub-projects</w:t>
      </w:r>
      <w:r w:rsidRPr="00343CD2">
        <w:rPr>
          <w:sz w:val="20"/>
          <w:szCs w:val="20"/>
        </w:rPr>
        <w:t xml:space="preserve"> categorized as high-risk, or Category A, will not be considered for financing under this ESMF.</w:t>
      </w:r>
    </w:p>
    <w:p w14:paraId="57E32DE3" w14:textId="77777777" w:rsidR="00CA7EDF" w:rsidRPr="006C06AD" w:rsidRDefault="00CA7EDF" w:rsidP="00C17775">
      <w:pPr>
        <w:spacing w:line="276" w:lineRule="auto"/>
        <w:jc w:val="both"/>
        <w:rPr>
          <w:sz w:val="20"/>
          <w:szCs w:val="20"/>
        </w:rPr>
      </w:pPr>
      <w:r w:rsidRPr="006C06AD">
        <w:rPr>
          <w:sz w:val="20"/>
          <w:szCs w:val="20"/>
        </w:rPr>
        <w:t>Scoping identifies the general approach and processes to assessing further the risks and impacts that are likely to be generated for each</w:t>
      </w:r>
      <w:r w:rsidR="0028758B">
        <w:rPr>
          <w:sz w:val="20"/>
          <w:szCs w:val="20"/>
        </w:rPr>
        <w:t xml:space="preserve"> sub-project</w:t>
      </w:r>
      <w:r w:rsidRPr="006C06AD">
        <w:rPr>
          <w:sz w:val="20"/>
          <w:szCs w:val="20"/>
        </w:rPr>
        <w:t xml:space="preserve">. The scoping process will determine the appropriate spatial and temporal considerations for the environmental and social assessments including information needs and make recommendations for suitable survey and research methodologies. </w:t>
      </w:r>
    </w:p>
    <w:p w14:paraId="41644B9C" w14:textId="77777777" w:rsidR="00CA7EDF" w:rsidRPr="006C06AD" w:rsidRDefault="00CA7EDF" w:rsidP="00C17775">
      <w:pPr>
        <w:spacing w:line="276" w:lineRule="auto"/>
        <w:jc w:val="both"/>
        <w:rPr>
          <w:sz w:val="20"/>
          <w:szCs w:val="20"/>
        </w:rPr>
      </w:pPr>
      <w:r w:rsidRPr="006C06AD">
        <w:rPr>
          <w:sz w:val="20"/>
          <w:szCs w:val="20"/>
        </w:rPr>
        <w:t>Relevant stakeholders such as government officials, non-government organizations (NGOs) and local communities may be consulted at the scoping stage and/or during the assessment to obtain information about each</w:t>
      </w:r>
      <w:r w:rsidR="0028758B">
        <w:rPr>
          <w:sz w:val="20"/>
          <w:szCs w:val="20"/>
        </w:rPr>
        <w:t xml:space="preserve"> sub-project</w:t>
      </w:r>
      <w:r w:rsidRPr="006C06AD">
        <w:rPr>
          <w:sz w:val="20"/>
          <w:szCs w:val="20"/>
        </w:rPr>
        <w:t xml:space="preserve">. Key issues for discussion may include potential environmental and social risks and impacts and linkages to local implementation issues as well as regulatory and policy requirements. Objectives of consultations during this stage would include: </w:t>
      </w:r>
    </w:p>
    <w:p w14:paraId="3FB579F6" w14:textId="77777777" w:rsidR="00CA7EDF" w:rsidRPr="006C06AD" w:rsidRDefault="00672C33" w:rsidP="00C17775">
      <w:pPr>
        <w:pStyle w:val="ListParagraph"/>
        <w:numPr>
          <w:ilvl w:val="0"/>
          <w:numId w:val="55"/>
        </w:numPr>
        <w:ind w:left="360"/>
        <w:jc w:val="both"/>
        <w:rPr>
          <w:sz w:val="20"/>
          <w:szCs w:val="20"/>
        </w:rPr>
      </w:pPr>
      <w:r>
        <w:rPr>
          <w:sz w:val="20"/>
          <w:szCs w:val="20"/>
        </w:rPr>
        <w:t>I</w:t>
      </w:r>
      <w:r w:rsidR="00CA7EDF" w:rsidRPr="006C06AD">
        <w:rPr>
          <w:sz w:val="20"/>
          <w:szCs w:val="20"/>
        </w:rPr>
        <w:t xml:space="preserve">dentify stakeholder’s key environmental and social concerns; </w:t>
      </w:r>
    </w:p>
    <w:p w14:paraId="3014A77D" w14:textId="77777777" w:rsidR="00CA7EDF" w:rsidRPr="006C06AD" w:rsidRDefault="00672C33" w:rsidP="00C17775">
      <w:pPr>
        <w:pStyle w:val="ListParagraph"/>
        <w:numPr>
          <w:ilvl w:val="0"/>
          <w:numId w:val="55"/>
        </w:numPr>
        <w:ind w:left="360"/>
        <w:jc w:val="both"/>
        <w:rPr>
          <w:sz w:val="20"/>
          <w:szCs w:val="20"/>
        </w:rPr>
      </w:pPr>
      <w:r>
        <w:rPr>
          <w:sz w:val="20"/>
          <w:szCs w:val="20"/>
        </w:rPr>
        <w:t>I</w:t>
      </w:r>
      <w:r w:rsidR="00CA7EDF" w:rsidRPr="006C06AD">
        <w:rPr>
          <w:sz w:val="20"/>
          <w:szCs w:val="20"/>
        </w:rPr>
        <w:t>dentify some key mitigation measures to be incorporated in the design of the</w:t>
      </w:r>
      <w:r w:rsidR="0028758B">
        <w:rPr>
          <w:sz w:val="20"/>
          <w:szCs w:val="20"/>
        </w:rPr>
        <w:t xml:space="preserve"> sub-project</w:t>
      </w:r>
      <w:r w:rsidR="00CA7EDF" w:rsidRPr="006C06AD">
        <w:rPr>
          <w:sz w:val="20"/>
          <w:szCs w:val="20"/>
        </w:rPr>
        <w:t xml:space="preserve"> to reduce key risks; and </w:t>
      </w:r>
    </w:p>
    <w:p w14:paraId="236A2713" w14:textId="77777777" w:rsidR="00CA7EDF" w:rsidRPr="006C06AD" w:rsidRDefault="00672C33" w:rsidP="00C17775">
      <w:pPr>
        <w:pStyle w:val="ListParagraph"/>
        <w:numPr>
          <w:ilvl w:val="0"/>
          <w:numId w:val="55"/>
        </w:numPr>
        <w:ind w:left="360"/>
        <w:jc w:val="both"/>
        <w:rPr>
          <w:sz w:val="20"/>
          <w:szCs w:val="20"/>
        </w:rPr>
      </w:pPr>
      <w:r>
        <w:rPr>
          <w:sz w:val="20"/>
          <w:szCs w:val="20"/>
        </w:rPr>
        <w:t>P</w:t>
      </w:r>
      <w:r w:rsidR="00CA7EDF" w:rsidRPr="006C06AD">
        <w:rPr>
          <w:sz w:val="20"/>
          <w:szCs w:val="20"/>
        </w:rPr>
        <w:t xml:space="preserve">rovide explanation of next steps including future site investigations and communication with communities. </w:t>
      </w:r>
    </w:p>
    <w:p w14:paraId="3A69D460" w14:textId="77777777" w:rsidR="00A34BAF" w:rsidRPr="006C06AD" w:rsidRDefault="00CA7EDF" w:rsidP="00C17775">
      <w:pPr>
        <w:spacing w:line="276" w:lineRule="auto"/>
        <w:jc w:val="both"/>
        <w:rPr>
          <w:sz w:val="20"/>
          <w:szCs w:val="20"/>
        </w:rPr>
      </w:pPr>
      <w:r w:rsidRPr="006C06AD">
        <w:rPr>
          <w:sz w:val="20"/>
          <w:szCs w:val="20"/>
        </w:rPr>
        <w:t xml:space="preserve">The end product of the scoping process will be a guidance on how further due diligence will be conducted and the level of detail that is required. </w:t>
      </w:r>
    </w:p>
    <w:p w14:paraId="090543DD" w14:textId="77777777" w:rsidR="00672C33" w:rsidRDefault="00672C33" w:rsidP="00672C33">
      <w:pPr>
        <w:spacing w:line="276" w:lineRule="auto"/>
        <w:jc w:val="both"/>
        <w:rPr>
          <w:sz w:val="20"/>
          <w:szCs w:val="20"/>
        </w:rPr>
      </w:pPr>
    </w:p>
    <w:p w14:paraId="2A0938B9" w14:textId="77777777" w:rsidR="00672C33" w:rsidRDefault="00672C33" w:rsidP="00672C33">
      <w:pPr>
        <w:spacing w:line="276" w:lineRule="auto"/>
        <w:jc w:val="both"/>
        <w:rPr>
          <w:sz w:val="20"/>
          <w:szCs w:val="20"/>
        </w:rPr>
      </w:pPr>
    </w:p>
    <w:p w14:paraId="3ED1D6F7" w14:textId="77777777" w:rsidR="00672C33" w:rsidRDefault="00672C33" w:rsidP="00672C33">
      <w:pPr>
        <w:spacing w:line="276" w:lineRule="auto"/>
        <w:jc w:val="both"/>
        <w:rPr>
          <w:sz w:val="20"/>
          <w:szCs w:val="20"/>
        </w:rPr>
      </w:pPr>
    </w:p>
    <w:p w14:paraId="13309FB2" w14:textId="77777777" w:rsidR="00672C33" w:rsidRDefault="00672C33" w:rsidP="00672C33">
      <w:pPr>
        <w:spacing w:line="276" w:lineRule="auto"/>
        <w:jc w:val="both"/>
        <w:rPr>
          <w:sz w:val="20"/>
          <w:szCs w:val="20"/>
        </w:rPr>
      </w:pPr>
    </w:p>
    <w:p w14:paraId="4B6B1A99" w14:textId="77777777" w:rsidR="00A34BAF" w:rsidRDefault="00A34BAF">
      <w:pPr>
        <w:spacing w:line="276" w:lineRule="auto"/>
        <w:jc w:val="both"/>
        <w:rPr>
          <w:sz w:val="20"/>
          <w:szCs w:val="20"/>
        </w:rPr>
      </w:pPr>
      <w:r w:rsidRPr="00FA2DFC">
        <w:rPr>
          <w:b/>
          <w:sz w:val="20"/>
          <w:szCs w:val="20"/>
        </w:rPr>
        <w:t xml:space="preserve">Figure </w:t>
      </w:r>
      <w:r w:rsidR="00672C33" w:rsidRPr="00FA2DFC">
        <w:rPr>
          <w:b/>
          <w:sz w:val="20"/>
          <w:szCs w:val="20"/>
        </w:rPr>
        <w:t>1</w:t>
      </w:r>
      <w:r w:rsidRPr="00FA2DFC">
        <w:rPr>
          <w:b/>
          <w:sz w:val="20"/>
          <w:szCs w:val="20"/>
        </w:rPr>
        <w:t>:</w:t>
      </w:r>
      <w:r w:rsidRPr="006C06AD">
        <w:rPr>
          <w:sz w:val="20"/>
          <w:szCs w:val="20"/>
        </w:rPr>
        <w:t xml:space="preserve"> Process flow for screening and scoping </w:t>
      </w:r>
      <w:r w:rsidR="0028758B">
        <w:rPr>
          <w:sz w:val="20"/>
          <w:szCs w:val="20"/>
        </w:rPr>
        <w:t>sub-projects</w:t>
      </w:r>
    </w:p>
    <w:p w14:paraId="66E83C7E" w14:textId="77777777" w:rsidR="00DC7B58" w:rsidRPr="006C06AD" w:rsidRDefault="00DC7B58" w:rsidP="00827B88">
      <w:pPr>
        <w:spacing w:line="276" w:lineRule="auto"/>
        <w:jc w:val="both"/>
        <w:rPr>
          <w:sz w:val="20"/>
          <w:szCs w:val="20"/>
        </w:rPr>
      </w:pPr>
      <w:r>
        <w:rPr>
          <w:noProof/>
          <w:sz w:val="20"/>
          <w:szCs w:val="20"/>
        </w:rPr>
        <w:drawing>
          <wp:inline distT="0" distB="0" distL="0" distR="0" wp14:anchorId="5FF719A3" wp14:editId="259F789A">
            <wp:extent cx="4041775" cy="605980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1775" cy="6059805"/>
                    </a:xfrm>
                    <a:prstGeom prst="rect">
                      <a:avLst/>
                    </a:prstGeom>
                    <a:noFill/>
                  </pic:spPr>
                </pic:pic>
              </a:graphicData>
            </a:graphic>
          </wp:inline>
        </w:drawing>
      </w:r>
    </w:p>
    <w:p w14:paraId="7665909A" w14:textId="77777777" w:rsidR="00A34BAF" w:rsidRPr="006C06AD" w:rsidRDefault="00A34BAF" w:rsidP="00DC7B58">
      <w:pPr>
        <w:spacing w:line="276" w:lineRule="auto"/>
        <w:rPr>
          <w:sz w:val="20"/>
          <w:szCs w:val="20"/>
        </w:rPr>
      </w:pPr>
    </w:p>
    <w:p w14:paraId="31695430" w14:textId="77777777" w:rsidR="00A34BAF" w:rsidRPr="006C06AD" w:rsidRDefault="00A34BAF" w:rsidP="00DC7B58">
      <w:pPr>
        <w:spacing w:line="276" w:lineRule="auto"/>
        <w:rPr>
          <w:sz w:val="20"/>
          <w:szCs w:val="20"/>
        </w:rPr>
      </w:pPr>
    </w:p>
    <w:p w14:paraId="30CF932D" w14:textId="77777777" w:rsidR="00A34BAF" w:rsidRPr="006C06AD" w:rsidRDefault="00A34BAF" w:rsidP="00DC7B58">
      <w:pPr>
        <w:spacing w:line="276" w:lineRule="auto"/>
        <w:rPr>
          <w:sz w:val="20"/>
          <w:szCs w:val="20"/>
        </w:rPr>
      </w:pPr>
    </w:p>
    <w:p w14:paraId="264DE1BE" w14:textId="77777777" w:rsidR="004B36C2" w:rsidRPr="006C06AD" w:rsidRDefault="004B36C2" w:rsidP="00827B88">
      <w:pPr>
        <w:spacing w:line="276" w:lineRule="auto"/>
        <w:jc w:val="both"/>
        <w:rPr>
          <w:b/>
          <w:sz w:val="20"/>
          <w:szCs w:val="20"/>
        </w:rPr>
      </w:pPr>
      <w:r w:rsidRPr="006C06AD">
        <w:rPr>
          <w:b/>
          <w:sz w:val="20"/>
          <w:szCs w:val="20"/>
        </w:rPr>
        <w:t>Environmental and social assessment</w:t>
      </w:r>
    </w:p>
    <w:p w14:paraId="14D9F8F0" w14:textId="75BE89BC" w:rsidR="004B36C2" w:rsidRPr="006C06AD" w:rsidRDefault="0028758B" w:rsidP="00827B88">
      <w:pPr>
        <w:spacing w:line="276" w:lineRule="auto"/>
        <w:jc w:val="both"/>
        <w:rPr>
          <w:sz w:val="20"/>
          <w:szCs w:val="20"/>
        </w:rPr>
      </w:pPr>
      <w:r>
        <w:rPr>
          <w:sz w:val="20"/>
          <w:szCs w:val="20"/>
        </w:rPr>
        <w:lastRenderedPageBreak/>
        <w:t>Sub-projects</w:t>
      </w:r>
      <w:r w:rsidR="004B36C2" w:rsidRPr="006C06AD">
        <w:rPr>
          <w:sz w:val="20"/>
          <w:szCs w:val="20"/>
        </w:rPr>
        <w:t xml:space="preserve"> that are determined to have low to no environmental and social risks </w:t>
      </w:r>
      <w:r w:rsidR="002B4D95">
        <w:rPr>
          <w:sz w:val="20"/>
          <w:szCs w:val="20"/>
        </w:rPr>
        <w:t xml:space="preserve">(Category C) </w:t>
      </w:r>
      <w:r w:rsidR="004B36C2" w:rsidRPr="006C06AD">
        <w:rPr>
          <w:sz w:val="20"/>
          <w:szCs w:val="20"/>
        </w:rPr>
        <w:t xml:space="preserve">will not require any further due diligence, consistent with the requirements of IDB and the GCF ESS standards. On the other hand, </w:t>
      </w:r>
      <w:r>
        <w:rPr>
          <w:sz w:val="20"/>
          <w:szCs w:val="20"/>
        </w:rPr>
        <w:t>sub-projects</w:t>
      </w:r>
      <w:r w:rsidR="004B36C2" w:rsidRPr="006C06AD">
        <w:rPr>
          <w:sz w:val="20"/>
          <w:szCs w:val="20"/>
        </w:rPr>
        <w:t xml:space="preserve"> that are determined to have moderate environmental and social risk</w:t>
      </w:r>
      <w:r w:rsidR="002B4D95">
        <w:rPr>
          <w:sz w:val="20"/>
          <w:szCs w:val="20"/>
        </w:rPr>
        <w:t>s</w:t>
      </w:r>
      <w:r w:rsidR="004B36C2" w:rsidRPr="006C06AD">
        <w:rPr>
          <w:sz w:val="20"/>
          <w:szCs w:val="20"/>
        </w:rPr>
        <w:t xml:space="preserve"> </w:t>
      </w:r>
      <w:r w:rsidR="002B4D95">
        <w:rPr>
          <w:sz w:val="20"/>
          <w:szCs w:val="20"/>
        </w:rPr>
        <w:t>(C</w:t>
      </w:r>
      <w:r w:rsidR="004B36C2" w:rsidRPr="006C06AD">
        <w:rPr>
          <w:sz w:val="20"/>
          <w:szCs w:val="20"/>
        </w:rPr>
        <w:t>ategory</w:t>
      </w:r>
      <w:r w:rsidR="002B4D95">
        <w:rPr>
          <w:sz w:val="20"/>
          <w:szCs w:val="20"/>
        </w:rPr>
        <w:t xml:space="preserve"> B)</w:t>
      </w:r>
      <w:r w:rsidR="004B36C2" w:rsidRPr="006C06AD">
        <w:rPr>
          <w:sz w:val="20"/>
          <w:szCs w:val="20"/>
        </w:rPr>
        <w:t xml:space="preserve"> during the screening stage will be required to conduct more detailed due diligence appropriate to the types of environmental and social issues and risks identified. A purpose-fit environmental and social assessment may entail narrow focused assessment highlighting the issues and risks identified and providing measures to mitigate and manage such risks. The assessment methodology will be developed in accordance with good international industry practice, and the potential impacts will be identified in the context of the Project’s area of influence. The assessment should propose measures to minimize, mitigate, and offset adverse impacts in a manner relevant and appropriate to the nature and scale of the proposed </w:t>
      </w:r>
      <w:r>
        <w:rPr>
          <w:sz w:val="20"/>
          <w:szCs w:val="20"/>
        </w:rPr>
        <w:t>sub-</w:t>
      </w:r>
      <w:r w:rsidR="004B36C2" w:rsidRPr="006C06AD">
        <w:rPr>
          <w:sz w:val="20"/>
          <w:szCs w:val="20"/>
        </w:rPr>
        <w:t>project. The sub</w:t>
      </w:r>
      <w:r>
        <w:rPr>
          <w:sz w:val="20"/>
          <w:szCs w:val="20"/>
        </w:rPr>
        <w:t>-</w:t>
      </w:r>
      <w:r w:rsidR="004B36C2" w:rsidRPr="006C06AD">
        <w:rPr>
          <w:sz w:val="20"/>
          <w:szCs w:val="20"/>
        </w:rPr>
        <w:t>project proponent or the borrower client will have the responsibility to undertake such assessment guided by the environmental and social management system of the LFI and BICE and consistent with the requirements of IDB. The general procedure for environmental and social assessment is described below:</w:t>
      </w:r>
    </w:p>
    <w:p w14:paraId="092FCA89" w14:textId="77777777" w:rsidR="004B36C2" w:rsidRPr="006C06AD" w:rsidRDefault="004B36C2" w:rsidP="00827B88">
      <w:pPr>
        <w:pStyle w:val="ListParagraph"/>
        <w:numPr>
          <w:ilvl w:val="0"/>
          <w:numId w:val="61"/>
        </w:numPr>
        <w:ind w:left="450"/>
        <w:jc w:val="both"/>
        <w:rPr>
          <w:sz w:val="20"/>
          <w:szCs w:val="20"/>
        </w:rPr>
      </w:pPr>
      <w:r w:rsidRPr="00672C33">
        <w:rPr>
          <w:i/>
          <w:sz w:val="20"/>
          <w:szCs w:val="20"/>
        </w:rPr>
        <w:t>Sub</w:t>
      </w:r>
      <w:r w:rsidR="0028758B">
        <w:rPr>
          <w:i/>
          <w:sz w:val="20"/>
          <w:szCs w:val="20"/>
        </w:rPr>
        <w:t>-</w:t>
      </w:r>
      <w:r w:rsidRPr="00672C33">
        <w:rPr>
          <w:i/>
          <w:sz w:val="20"/>
          <w:szCs w:val="20"/>
        </w:rPr>
        <w:t>project description.</w:t>
      </w:r>
      <w:r w:rsidRPr="006C06AD">
        <w:rPr>
          <w:sz w:val="20"/>
          <w:szCs w:val="20"/>
        </w:rPr>
        <w:t xml:space="preserve"> A sub</w:t>
      </w:r>
      <w:r w:rsidR="0028758B">
        <w:rPr>
          <w:sz w:val="20"/>
          <w:szCs w:val="20"/>
        </w:rPr>
        <w:t>-</w:t>
      </w:r>
      <w:r w:rsidRPr="006C06AD">
        <w:rPr>
          <w:sz w:val="20"/>
          <w:szCs w:val="20"/>
        </w:rPr>
        <w:t>project description will be gathered as early as possible that describes all project activities that could impact on environmental and social components within the</w:t>
      </w:r>
      <w:r w:rsidR="0028758B">
        <w:rPr>
          <w:sz w:val="20"/>
          <w:szCs w:val="20"/>
        </w:rPr>
        <w:t xml:space="preserve"> sub-project</w:t>
      </w:r>
      <w:r w:rsidRPr="006C06AD">
        <w:rPr>
          <w:sz w:val="20"/>
          <w:szCs w:val="20"/>
        </w:rPr>
        <w:t xml:space="preserve"> area of influence. Ideally the description will be prepared by the</w:t>
      </w:r>
      <w:r w:rsidR="0028758B">
        <w:rPr>
          <w:sz w:val="20"/>
          <w:szCs w:val="20"/>
        </w:rPr>
        <w:t xml:space="preserve"> sub-project</w:t>
      </w:r>
      <w:r w:rsidRPr="006C06AD">
        <w:rPr>
          <w:sz w:val="20"/>
          <w:szCs w:val="20"/>
        </w:rPr>
        <w:t xml:space="preserve"> proponent team in association with the team. It will consider all project phases from pre-installation and pre-construction, installation and construction, operation and decommissioning. The description will be as detailed as possible in order to identify the environmental and social aspects resulting from project activities. </w:t>
      </w:r>
    </w:p>
    <w:p w14:paraId="097997DB" w14:textId="77777777" w:rsidR="004B36C2" w:rsidRPr="006C06AD" w:rsidRDefault="004B36C2" w:rsidP="00827B88">
      <w:pPr>
        <w:pStyle w:val="ListParagraph"/>
        <w:ind w:left="450"/>
        <w:jc w:val="both"/>
        <w:rPr>
          <w:sz w:val="20"/>
          <w:szCs w:val="20"/>
        </w:rPr>
      </w:pPr>
    </w:p>
    <w:p w14:paraId="18C354DF" w14:textId="77777777" w:rsidR="004B36C2" w:rsidRPr="006C06AD" w:rsidRDefault="004B36C2" w:rsidP="00827B88">
      <w:pPr>
        <w:pStyle w:val="ListParagraph"/>
        <w:numPr>
          <w:ilvl w:val="0"/>
          <w:numId w:val="61"/>
        </w:numPr>
        <w:ind w:left="450"/>
        <w:jc w:val="both"/>
        <w:rPr>
          <w:sz w:val="20"/>
          <w:szCs w:val="20"/>
        </w:rPr>
      </w:pPr>
      <w:r w:rsidRPr="00672C33">
        <w:rPr>
          <w:i/>
          <w:sz w:val="20"/>
          <w:szCs w:val="20"/>
        </w:rPr>
        <w:t xml:space="preserve">Analysis of alternatives. </w:t>
      </w:r>
      <w:r w:rsidRPr="006C06AD">
        <w:rPr>
          <w:sz w:val="20"/>
          <w:szCs w:val="20"/>
        </w:rPr>
        <w:t>An analysis of alternatives to the</w:t>
      </w:r>
      <w:r w:rsidR="0028758B">
        <w:rPr>
          <w:sz w:val="20"/>
          <w:szCs w:val="20"/>
        </w:rPr>
        <w:t xml:space="preserve"> sub-project</w:t>
      </w:r>
      <w:r w:rsidRPr="006C06AD">
        <w:rPr>
          <w:sz w:val="20"/>
          <w:szCs w:val="20"/>
        </w:rPr>
        <w:t xml:space="preserve"> will include consideration of alternatives within project design. This should also include the ‘no-action’ or ‘no-go’ alternative for the project. </w:t>
      </w:r>
    </w:p>
    <w:p w14:paraId="189BBE37" w14:textId="77777777" w:rsidR="004B36C2" w:rsidRPr="006C06AD" w:rsidRDefault="004B36C2" w:rsidP="00827B88">
      <w:pPr>
        <w:pStyle w:val="ListParagraph"/>
        <w:ind w:left="450"/>
        <w:jc w:val="both"/>
        <w:rPr>
          <w:sz w:val="20"/>
          <w:szCs w:val="20"/>
        </w:rPr>
      </w:pPr>
    </w:p>
    <w:p w14:paraId="29DCF73C" w14:textId="77777777" w:rsidR="004B36C2" w:rsidRPr="006C06AD" w:rsidRDefault="004B36C2" w:rsidP="00827B88">
      <w:pPr>
        <w:pStyle w:val="ListParagraph"/>
        <w:numPr>
          <w:ilvl w:val="0"/>
          <w:numId w:val="61"/>
        </w:numPr>
        <w:ind w:left="450"/>
        <w:jc w:val="both"/>
        <w:rPr>
          <w:sz w:val="20"/>
          <w:szCs w:val="20"/>
        </w:rPr>
      </w:pPr>
      <w:r w:rsidRPr="00672C33">
        <w:rPr>
          <w:i/>
          <w:sz w:val="20"/>
          <w:szCs w:val="20"/>
        </w:rPr>
        <w:t>Establishment of baseline conditions.</w:t>
      </w:r>
      <w:r w:rsidRPr="006C06AD">
        <w:rPr>
          <w:sz w:val="20"/>
          <w:szCs w:val="20"/>
        </w:rPr>
        <w:t xml:space="preserve"> Baseline data collection is the gathering of background data by the</w:t>
      </w:r>
      <w:r w:rsidR="0028758B">
        <w:rPr>
          <w:sz w:val="20"/>
          <w:szCs w:val="20"/>
        </w:rPr>
        <w:t xml:space="preserve"> sub-project</w:t>
      </w:r>
      <w:r w:rsidRPr="006C06AD">
        <w:rPr>
          <w:sz w:val="20"/>
          <w:szCs w:val="20"/>
        </w:rPr>
        <w:t xml:space="preserve"> proponent team in support of the environmental assessment. The baseline data will be collected prior to development and as part of the design of the project, but may also occur throughout the life of the</w:t>
      </w:r>
      <w:r w:rsidR="0028758B">
        <w:rPr>
          <w:sz w:val="20"/>
          <w:szCs w:val="20"/>
        </w:rPr>
        <w:t xml:space="preserve"> sub-project</w:t>
      </w:r>
      <w:r w:rsidRPr="006C06AD">
        <w:rPr>
          <w:sz w:val="20"/>
          <w:szCs w:val="20"/>
        </w:rPr>
        <w:t xml:space="preserve"> as part of ongoing monitoring of environmental and social conditions. Baseline information may be collected from secondary desk-based studies and literature reviews and supplemented with primary data identified in the screening and scoping stage and obtained from site surveys, validation and monitoring, along with consultation with affected communities and key stakeholders following the stakeholder engagement plan. </w:t>
      </w:r>
    </w:p>
    <w:p w14:paraId="1D057591" w14:textId="77777777" w:rsidR="004B36C2" w:rsidRPr="006C06AD" w:rsidRDefault="004B36C2" w:rsidP="00827B88">
      <w:pPr>
        <w:pStyle w:val="ListParagraph"/>
        <w:ind w:left="450"/>
        <w:jc w:val="both"/>
        <w:rPr>
          <w:sz w:val="20"/>
          <w:szCs w:val="20"/>
        </w:rPr>
      </w:pPr>
    </w:p>
    <w:p w14:paraId="757BFB10" w14:textId="012C54D9" w:rsidR="00C61E7C" w:rsidRPr="006C06AD" w:rsidRDefault="004B36C2" w:rsidP="00827B88">
      <w:pPr>
        <w:pStyle w:val="ListParagraph"/>
        <w:numPr>
          <w:ilvl w:val="0"/>
          <w:numId w:val="61"/>
        </w:numPr>
        <w:ind w:left="450"/>
        <w:jc w:val="both"/>
        <w:rPr>
          <w:sz w:val="20"/>
          <w:szCs w:val="20"/>
        </w:rPr>
      </w:pPr>
      <w:r w:rsidRPr="00672C33">
        <w:rPr>
          <w:i/>
          <w:sz w:val="20"/>
          <w:szCs w:val="20"/>
        </w:rPr>
        <w:t xml:space="preserve">Assessment of risks and potential impacts. </w:t>
      </w:r>
      <w:r w:rsidRPr="006C06AD">
        <w:rPr>
          <w:sz w:val="20"/>
          <w:szCs w:val="20"/>
        </w:rPr>
        <w:t xml:space="preserve">The scale and significance of environmental and social risks and impacts will be assessed against the established baseline conditions. The assessment criteria will be based on good international industry practices and the requirements of the IDB. The component activities of the </w:t>
      </w:r>
      <w:r w:rsidR="0028758B">
        <w:rPr>
          <w:sz w:val="20"/>
          <w:szCs w:val="20"/>
        </w:rPr>
        <w:t>sub-projects</w:t>
      </w:r>
      <w:r w:rsidRPr="006C06AD">
        <w:rPr>
          <w:sz w:val="20"/>
          <w:szCs w:val="20"/>
        </w:rPr>
        <w:t xml:space="preserve"> will be assessed in terms of the magnitude, duration, spatial extent, and likelihood of occurrence and the significance of the </w:t>
      </w:r>
      <w:r w:rsidR="0028758B">
        <w:rPr>
          <w:sz w:val="20"/>
          <w:szCs w:val="20"/>
        </w:rPr>
        <w:t>sub-projects</w:t>
      </w:r>
      <w:r w:rsidRPr="006C06AD">
        <w:rPr>
          <w:sz w:val="20"/>
          <w:szCs w:val="20"/>
        </w:rPr>
        <w:t xml:space="preserve"> on the local communities, including livelihoods, health, culture and employment. </w:t>
      </w:r>
    </w:p>
    <w:p w14:paraId="305B8847" w14:textId="77777777" w:rsidR="00C61E7C" w:rsidRPr="006C06AD" w:rsidRDefault="00C61E7C" w:rsidP="00827B88">
      <w:pPr>
        <w:pStyle w:val="ListParagraph"/>
        <w:ind w:left="450"/>
        <w:jc w:val="both"/>
        <w:rPr>
          <w:sz w:val="20"/>
          <w:szCs w:val="20"/>
        </w:rPr>
      </w:pPr>
    </w:p>
    <w:p w14:paraId="4287E22F" w14:textId="77777777" w:rsidR="004B36C2" w:rsidRDefault="004B36C2" w:rsidP="00827B88">
      <w:pPr>
        <w:pStyle w:val="ListParagraph"/>
        <w:numPr>
          <w:ilvl w:val="0"/>
          <w:numId w:val="61"/>
        </w:numPr>
        <w:ind w:left="450"/>
        <w:jc w:val="both"/>
        <w:rPr>
          <w:sz w:val="20"/>
          <w:szCs w:val="20"/>
        </w:rPr>
      </w:pPr>
      <w:r w:rsidRPr="00672C33">
        <w:rPr>
          <w:i/>
          <w:sz w:val="20"/>
          <w:szCs w:val="20"/>
        </w:rPr>
        <w:t>Mitigation Measures.</w:t>
      </w:r>
      <w:r w:rsidRPr="006C06AD">
        <w:rPr>
          <w:sz w:val="20"/>
          <w:szCs w:val="20"/>
        </w:rPr>
        <w:t xml:space="preserve"> Measures to avoid, minimize, and mitigate, restore and compensate adverse environmental and social risks and impacts including actions to promote and enhance the outcomes will be identified following the identification and assessment of risks and impacts. Proposed mitigation measures will be recommended that will relate to specific risks and impacts and in the case of the energy efficiency and co-generation </w:t>
      </w:r>
      <w:r w:rsidR="0028758B">
        <w:rPr>
          <w:sz w:val="20"/>
          <w:szCs w:val="20"/>
        </w:rPr>
        <w:t>sub-projects</w:t>
      </w:r>
      <w:r w:rsidRPr="006C06AD">
        <w:rPr>
          <w:sz w:val="20"/>
          <w:szCs w:val="20"/>
        </w:rPr>
        <w:t xml:space="preserve"> will include control of air emissions, management of waste, and occupational health and safety. There are no foreseen impacts related to involuntary resettlement, displacement of people and adverse impacts on indigenous peoples – and therefore mitigation measures related to these risks and impacts </w:t>
      </w:r>
      <w:r w:rsidRPr="006C06AD">
        <w:rPr>
          <w:sz w:val="20"/>
          <w:szCs w:val="20"/>
        </w:rPr>
        <w:lastRenderedPageBreak/>
        <w:t xml:space="preserve">are not expected. The mitigation measures will be clearly identified and linked to the environmental and social management plans (ESMP) of the </w:t>
      </w:r>
      <w:r w:rsidR="0028758B">
        <w:rPr>
          <w:sz w:val="20"/>
          <w:szCs w:val="20"/>
        </w:rPr>
        <w:t>sub-projects</w:t>
      </w:r>
      <w:r w:rsidRPr="006C06AD">
        <w:rPr>
          <w:sz w:val="20"/>
          <w:szCs w:val="20"/>
        </w:rPr>
        <w:t>. The</w:t>
      </w:r>
      <w:r w:rsidR="0028758B">
        <w:rPr>
          <w:sz w:val="20"/>
          <w:szCs w:val="20"/>
        </w:rPr>
        <w:t xml:space="preserve"> sub-project</w:t>
      </w:r>
      <w:r w:rsidRPr="006C06AD">
        <w:rPr>
          <w:sz w:val="20"/>
          <w:szCs w:val="20"/>
        </w:rPr>
        <w:t xml:space="preserve"> proponents have the responsibility of ensuring that appropriate and adequate mitigation measures are developed and implemented. The LFIs and BICE shall ensure that adequate resources are allocated to implement the mitigation measures. The accredited entity shall perform oversight and overall supervision of the implementation of the mitigation measures.   </w:t>
      </w:r>
    </w:p>
    <w:p w14:paraId="71FD0F78" w14:textId="77777777" w:rsidR="00672C33" w:rsidRDefault="00672C33" w:rsidP="00827B88">
      <w:pPr>
        <w:pStyle w:val="ListParagraph"/>
        <w:ind w:left="450"/>
        <w:jc w:val="both"/>
        <w:rPr>
          <w:sz w:val="20"/>
          <w:szCs w:val="20"/>
        </w:rPr>
      </w:pPr>
    </w:p>
    <w:p w14:paraId="14476C1A" w14:textId="77777777" w:rsidR="004B36C2" w:rsidRPr="006C06AD" w:rsidRDefault="004B36C2" w:rsidP="00C17775">
      <w:pPr>
        <w:pStyle w:val="ListParagraph"/>
        <w:numPr>
          <w:ilvl w:val="0"/>
          <w:numId w:val="61"/>
        </w:numPr>
        <w:ind w:left="450"/>
        <w:jc w:val="both"/>
        <w:rPr>
          <w:sz w:val="20"/>
          <w:szCs w:val="20"/>
        </w:rPr>
      </w:pPr>
      <w:r w:rsidRPr="00672C33">
        <w:rPr>
          <w:i/>
          <w:sz w:val="20"/>
          <w:szCs w:val="20"/>
        </w:rPr>
        <w:t>Monitoring and follow-up.</w:t>
      </w:r>
      <w:r w:rsidRPr="006C06AD">
        <w:rPr>
          <w:sz w:val="20"/>
          <w:szCs w:val="20"/>
        </w:rPr>
        <w:t xml:space="preserve"> The environmental and social assessment including the ESMP shall include robust description of monitoring and follow-up actions. The monitoring and follow-up actions will consider the following: </w:t>
      </w:r>
    </w:p>
    <w:p w14:paraId="130ADE84" w14:textId="77777777" w:rsidR="004B36C2" w:rsidRPr="006C06AD" w:rsidRDefault="00672C33" w:rsidP="00C17775">
      <w:pPr>
        <w:pStyle w:val="ListParagraph"/>
        <w:numPr>
          <w:ilvl w:val="0"/>
          <w:numId w:val="62"/>
        </w:numPr>
        <w:ind w:left="810"/>
        <w:jc w:val="both"/>
        <w:rPr>
          <w:sz w:val="20"/>
          <w:szCs w:val="20"/>
        </w:rPr>
      </w:pPr>
      <w:r>
        <w:rPr>
          <w:sz w:val="20"/>
          <w:szCs w:val="20"/>
        </w:rPr>
        <w:t>C</w:t>
      </w:r>
      <w:r w:rsidR="004B36C2" w:rsidRPr="006C06AD">
        <w:rPr>
          <w:sz w:val="20"/>
          <w:szCs w:val="20"/>
        </w:rPr>
        <w:t xml:space="preserve">ontinuation of the collection of baseline data throughout the lifecycle of the </w:t>
      </w:r>
      <w:r w:rsidR="0028758B">
        <w:rPr>
          <w:sz w:val="20"/>
          <w:szCs w:val="20"/>
        </w:rPr>
        <w:t>sub-projects</w:t>
      </w:r>
      <w:r w:rsidR="004B36C2" w:rsidRPr="006C06AD">
        <w:rPr>
          <w:sz w:val="20"/>
          <w:szCs w:val="20"/>
        </w:rPr>
        <w:t xml:space="preserve">; </w:t>
      </w:r>
    </w:p>
    <w:p w14:paraId="230722DB" w14:textId="77777777" w:rsidR="004B36C2" w:rsidRPr="006C06AD" w:rsidRDefault="00672C33" w:rsidP="00C17775">
      <w:pPr>
        <w:pStyle w:val="ListParagraph"/>
        <w:numPr>
          <w:ilvl w:val="0"/>
          <w:numId w:val="62"/>
        </w:numPr>
        <w:ind w:left="810"/>
        <w:jc w:val="both"/>
        <w:rPr>
          <w:sz w:val="20"/>
          <w:szCs w:val="20"/>
        </w:rPr>
      </w:pPr>
      <w:r>
        <w:rPr>
          <w:sz w:val="20"/>
          <w:szCs w:val="20"/>
        </w:rPr>
        <w:t>E</w:t>
      </w:r>
      <w:r w:rsidR="004B36C2" w:rsidRPr="006C06AD">
        <w:rPr>
          <w:sz w:val="20"/>
          <w:szCs w:val="20"/>
        </w:rPr>
        <w:t xml:space="preserve">valuation of the implementation of mitigation measures, or compliance with project standards or requirements; </w:t>
      </w:r>
    </w:p>
    <w:p w14:paraId="63D0E82C" w14:textId="77777777" w:rsidR="004B36C2" w:rsidRPr="006C06AD" w:rsidRDefault="00672C33" w:rsidP="00C17775">
      <w:pPr>
        <w:pStyle w:val="ListParagraph"/>
        <w:numPr>
          <w:ilvl w:val="0"/>
          <w:numId w:val="62"/>
        </w:numPr>
        <w:ind w:left="810"/>
        <w:jc w:val="both"/>
        <w:rPr>
          <w:sz w:val="20"/>
          <w:szCs w:val="20"/>
        </w:rPr>
      </w:pPr>
      <w:r>
        <w:rPr>
          <w:sz w:val="20"/>
          <w:szCs w:val="20"/>
        </w:rPr>
        <w:t>A</w:t>
      </w:r>
      <w:r w:rsidR="004B36C2" w:rsidRPr="006C06AD">
        <w:rPr>
          <w:sz w:val="20"/>
          <w:szCs w:val="20"/>
        </w:rPr>
        <w:t xml:space="preserve">ssessment of any unintended impacts that may not have been previously predicted; and </w:t>
      </w:r>
    </w:p>
    <w:p w14:paraId="6067DE29" w14:textId="77777777" w:rsidR="004B36C2" w:rsidRPr="006C06AD" w:rsidRDefault="00672C33" w:rsidP="00C17775">
      <w:pPr>
        <w:pStyle w:val="ListParagraph"/>
        <w:numPr>
          <w:ilvl w:val="0"/>
          <w:numId w:val="62"/>
        </w:numPr>
        <w:ind w:left="810"/>
        <w:jc w:val="both"/>
        <w:rPr>
          <w:sz w:val="20"/>
          <w:szCs w:val="20"/>
        </w:rPr>
      </w:pPr>
      <w:r>
        <w:rPr>
          <w:sz w:val="20"/>
          <w:szCs w:val="20"/>
        </w:rPr>
        <w:t>I</w:t>
      </w:r>
      <w:r w:rsidR="004B36C2" w:rsidRPr="006C06AD">
        <w:rPr>
          <w:sz w:val="20"/>
          <w:szCs w:val="20"/>
        </w:rPr>
        <w:t>nvolvement of local communities in monitoring efforts through participatory monitoring ensuring that the collection and dissemination of monitoring data and results will be transparent and available to interested</w:t>
      </w:r>
      <w:r w:rsidR="0028758B">
        <w:rPr>
          <w:sz w:val="20"/>
          <w:szCs w:val="20"/>
        </w:rPr>
        <w:t xml:space="preserve"> sub-project</w:t>
      </w:r>
      <w:r w:rsidR="004B36C2" w:rsidRPr="006C06AD">
        <w:rPr>
          <w:sz w:val="20"/>
          <w:szCs w:val="20"/>
        </w:rPr>
        <w:t xml:space="preserve"> stakeholders. </w:t>
      </w:r>
    </w:p>
    <w:p w14:paraId="0BC2C69B" w14:textId="77777777" w:rsidR="004B36C2" w:rsidRPr="006C06AD" w:rsidRDefault="004B36C2" w:rsidP="00C17775">
      <w:pPr>
        <w:spacing w:line="276" w:lineRule="auto"/>
        <w:jc w:val="both"/>
        <w:rPr>
          <w:b/>
          <w:sz w:val="20"/>
          <w:szCs w:val="20"/>
        </w:rPr>
      </w:pPr>
      <w:r w:rsidRPr="006C06AD">
        <w:rPr>
          <w:b/>
          <w:sz w:val="20"/>
          <w:szCs w:val="20"/>
        </w:rPr>
        <w:t xml:space="preserve">Environmental and Social Management Plan </w:t>
      </w:r>
    </w:p>
    <w:p w14:paraId="4A49D783" w14:textId="0BAD62CB" w:rsidR="004B36C2" w:rsidRPr="006C06AD" w:rsidRDefault="002B4D95" w:rsidP="00C17775">
      <w:pPr>
        <w:spacing w:line="276" w:lineRule="auto"/>
        <w:jc w:val="both"/>
        <w:rPr>
          <w:sz w:val="20"/>
          <w:szCs w:val="20"/>
        </w:rPr>
      </w:pPr>
      <w:r>
        <w:rPr>
          <w:sz w:val="20"/>
          <w:szCs w:val="20"/>
        </w:rPr>
        <w:t>For Category B projects, t</w:t>
      </w:r>
      <w:r w:rsidR="004B36C2" w:rsidRPr="006C06AD">
        <w:rPr>
          <w:sz w:val="20"/>
          <w:szCs w:val="20"/>
        </w:rPr>
        <w:t>he mitigation and monitoring measures proposed within the environmental and social assessment will be detailed within a sub</w:t>
      </w:r>
      <w:r w:rsidR="0028758B">
        <w:rPr>
          <w:sz w:val="20"/>
          <w:szCs w:val="20"/>
        </w:rPr>
        <w:t>-</w:t>
      </w:r>
      <w:r w:rsidR="004B36C2" w:rsidRPr="006C06AD">
        <w:rPr>
          <w:sz w:val="20"/>
          <w:szCs w:val="20"/>
        </w:rPr>
        <w:t>project specific ESMP. The ESMP will present the sub</w:t>
      </w:r>
      <w:r w:rsidR="0028758B">
        <w:rPr>
          <w:sz w:val="20"/>
          <w:szCs w:val="20"/>
        </w:rPr>
        <w:t>-</w:t>
      </w:r>
      <w:r w:rsidR="004B36C2" w:rsidRPr="006C06AD">
        <w:rPr>
          <w:sz w:val="20"/>
          <w:szCs w:val="20"/>
        </w:rPr>
        <w:t>project proponent’s commitments to mitigate and continuously monitor risks and impacts through the mitigation hierarchy.  The level of detail and complexity of the ESMP will be appropriate to the sub</w:t>
      </w:r>
      <w:r w:rsidR="0028758B">
        <w:rPr>
          <w:sz w:val="20"/>
          <w:szCs w:val="20"/>
        </w:rPr>
        <w:t>-</w:t>
      </w:r>
      <w:r w:rsidR="004B36C2" w:rsidRPr="006C06AD">
        <w:rPr>
          <w:sz w:val="20"/>
          <w:szCs w:val="20"/>
        </w:rPr>
        <w:t>project’s potential risks and impacts. Specific management plans may be developed responding to specific environmental and social issues, for example, waste disposal protocol, waste management plan, air emission control and management, emergency preparedness and response plan, and others as may be deemed necessary. The ESMP will also set out the responsibilities for implementing and monitoring measures contained in the ESMP for the various phases of sub</w:t>
      </w:r>
      <w:r w:rsidR="0028758B">
        <w:rPr>
          <w:sz w:val="20"/>
          <w:szCs w:val="20"/>
        </w:rPr>
        <w:t>-</w:t>
      </w:r>
      <w:r w:rsidR="004B36C2" w:rsidRPr="006C06AD">
        <w:rPr>
          <w:sz w:val="20"/>
          <w:szCs w:val="20"/>
        </w:rPr>
        <w:t xml:space="preserve">project implementation. </w:t>
      </w:r>
    </w:p>
    <w:p w14:paraId="0DDDA711" w14:textId="77777777" w:rsidR="0093096F" w:rsidRPr="006C06AD" w:rsidRDefault="0093096F">
      <w:pPr>
        <w:pStyle w:val="Heading2"/>
        <w:numPr>
          <w:ilvl w:val="0"/>
          <w:numId w:val="39"/>
        </w:numPr>
        <w:spacing w:before="240" w:after="240" w:line="276" w:lineRule="auto"/>
        <w:jc w:val="both"/>
        <w:rPr>
          <w:rFonts w:asciiTheme="minorHAnsi" w:hAnsiTheme="minorHAnsi"/>
          <w:sz w:val="20"/>
          <w:szCs w:val="20"/>
        </w:rPr>
      </w:pPr>
      <w:r w:rsidRPr="006C06AD">
        <w:rPr>
          <w:rFonts w:asciiTheme="minorHAnsi" w:hAnsiTheme="minorHAnsi"/>
          <w:sz w:val="20"/>
          <w:szCs w:val="20"/>
        </w:rPr>
        <w:t>Institutional Environmental and Social Capacity</w:t>
      </w:r>
    </w:p>
    <w:p w14:paraId="0B5EEEED" w14:textId="77777777" w:rsidR="0093096F" w:rsidRPr="006C06AD" w:rsidRDefault="0093096F" w:rsidP="00C17775">
      <w:pPr>
        <w:spacing w:line="276" w:lineRule="auto"/>
        <w:jc w:val="both"/>
        <w:rPr>
          <w:sz w:val="20"/>
          <w:szCs w:val="20"/>
        </w:rPr>
      </w:pPr>
      <w:r w:rsidRPr="006C06AD">
        <w:rPr>
          <w:sz w:val="20"/>
          <w:szCs w:val="20"/>
        </w:rPr>
        <w:t xml:space="preserve">BICE has started a process to build capacity on the management of </w:t>
      </w:r>
      <w:r w:rsidR="00B773FC" w:rsidRPr="006C06AD">
        <w:rPr>
          <w:sz w:val="20"/>
          <w:szCs w:val="20"/>
        </w:rPr>
        <w:t>environmental and social</w:t>
      </w:r>
      <w:r w:rsidRPr="006C06AD">
        <w:rPr>
          <w:sz w:val="20"/>
          <w:szCs w:val="20"/>
        </w:rPr>
        <w:t xml:space="preserve"> risks in its portfolio. Some of their staff have been trained on those topics last year in Uruguay, in a course developed by the IDB, ALIDE and the BROU.  </w:t>
      </w:r>
    </w:p>
    <w:p w14:paraId="5400B2F8" w14:textId="77777777" w:rsidR="0093096F" w:rsidRPr="006C06AD" w:rsidRDefault="0093096F" w:rsidP="00C17775">
      <w:pPr>
        <w:spacing w:line="276" w:lineRule="auto"/>
        <w:jc w:val="both"/>
        <w:rPr>
          <w:sz w:val="20"/>
          <w:szCs w:val="20"/>
        </w:rPr>
      </w:pPr>
      <w:r w:rsidRPr="006C06AD">
        <w:rPr>
          <w:sz w:val="20"/>
          <w:szCs w:val="20"/>
        </w:rPr>
        <w:t>BICE has recently piloted an ESMS, compliant with the World Banks safeguards, for a multi-sectorial credit line to Small and Medium Enterprises</w:t>
      </w:r>
      <w:r w:rsidR="00195ED1" w:rsidRPr="006C06AD">
        <w:rPr>
          <w:sz w:val="20"/>
          <w:szCs w:val="20"/>
        </w:rPr>
        <w:t xml:space="preserve"> (</w:t>
      </w:r>
      <w:hyperlink r:id="rId9" w:history="1">
        <w:r w:rsidR="00195ED1" w:rsidRPr="006C06AD">
          <w:rPr>
            <w:rStyle w:val="Hyperlink"/>
            <w:sz w:val="20"/>
            <w:szCs w:val="20"/>
          </w:rPr>
          <w:t>https://www.bice.com.ar/es/banco-mundial/</w:t>
        </w:r>
      </w:hyperlink>
      <w:r w:rsidR="00195ED1" w:rsidRPr="006C06AD">
        <w:rPr>
          <w:sz w:val="20"/>
          <w:szCs w:val="20"/>
        </w:rPr>
        <w:t xml:space="preserve"> )</w:t>
      </w:r>
      <w:r w:rsidRPr="006C06AD">
        <w:rPr>
          <w:sz w:val="20"/>
          <w:szCs w:val="20"/>
        </w:rPr>
        <w:t xml:space="preserve">. </w:t>
      </w:r>
    </w:p>
    <w:p w14:paraId="39DEA8C3" w14:textId="77777777" w:rsidR="0093096F" w:rsidRPr="006C06AD" w:rsidRDefault="0093096F" w:rsidP="00C17775">
      <w:pPr>
        <w:spacing w:line="276" w:lineRule="auto"/>
        <w:jc w:val="both"/>
        <w:rPr>
          <w:sz w:val="20"/>
          <w:szCs w:val="20"/>
        </w:rPr>
      </w:pPr>
      <w:r w:rsidRPr="006C06AD">
        <w:rPr>
          <w:sz w:val="20"/>
          <w:szCs w:val="20"/>
        </w:rPr>
        <w:t xml:space="preserve">The </w:t>
      </w:r>
      <w:r w:rsidR="00B773FC" w:rsidRPr="006C06AD">
        <w:rPr>
          <w:sz w:val="20"/>
          <w:szCs w:val="20"/>
        </w:rPr>
        <w:t>environmental and social</w:t>
      </w:r>
      <w:r w:rsidRPr="006C06AD">
        <w:rPr>
          <w:sz w:val="20"/>
          <w:szCs w:val="20"/>
        </w:rPr>
        <w:t xml:space="preserve"> due diligence concluded that BICE has the capacity to apply the ESMF and manage a portfolio with the </w:t>
      </w:r>
      <w:r w:rsidR="00B773FC" w:rsidRPr="006C06AD">
        <w:rPr>
          <w:sz w:val="20"/>
          <w:szCs w:val="20"/>
        </w:rPr>
        <w:t>environmental and social</w:t>
      </w:r>
      <w:r w:rsidRPr="006C06AD">
        <w:rPr>
          <w:sz w:val="20"/>
          <w:szCs w:val="20"/>
        </w:rPr>
        <w:t xml:space="preserve"> risks magnitude assessed for this </w:t>
      </w:r>
      <w:r w:rsidR="00123F65" w:rsidRPr="006C06AD">
        <w:rPr>
          <w:sz w:val="20"/>
          <w:szCs w:val="20"/>
        </w:rPr>
        <w:t>Project</w:t>
      </w:r>
      <w:r w:rsidRPr="006C06AD">
        <w:rPr>
          <w:sz w:val="20"/>
          <w:szCs w:val="20"/>
        </w:rPr>
        <w:t>.</w:t>
      </w:r>
    </w:p>
    <w:p w14:paraId="2DFD246C" w14:textId="77777777" w:rsidR="0093096F" w:rsidRPr="006C06AD" w:rsidRDefault="0093096F" w:rsidP="00C17775">
      <w:pPr>
        <w:spacing w:line="276" w:lineRule="auto"/>
        <w:jc w:val="both"/>
        <w:rPr>
          <w:sz w:val="20"/>
          <w:szCs w:val="20"/>
        </w:rPr>
      </w:pPr>
      <w:r w:rsidRPr="006C06AD">
        <w:rPr>
          <w:sz w:val="20"/>
          <w:szCs w:val="20"/>
        </w:rPr>
        <w:t xml:space="preserve">BICE will appoint an </w:t>
      </w:r>
      <w:r w:rsidR="00B773FC" w:rsidRPr="006C06AD">
        <w:rPr>
          <w:sz w:val="20"/>
          <w:szCs w:val="20"/>
        </w:rPr>
        <w:t>Environmental and Social</w:t>
      </w:r>
      <w:r w:rsidRPr="006C06AD">
        <w:rPr>
          <w:sz w:val="20"/>
          <w:szCs w:val="20"/>
        </w:rPr>
        <w:t xml:space="preserve"> Coordinator for the duration of the Project who will be responsible for the application of this ESMF.</w:t>
      </w:r>
    </w:p>
    <w:p w14:paraId="636B0612" w14:textId="77777777" w:rsidR="0093096F" w:rsidRPr="006C06AD" w:rsidRDefault="00FA2DFC" w:rsidP="00C17775">
      <w:pPr>
        <w:spacing w:line="276" w:lineRule="auto"/>
        <w:jc w:val="both"/>
        <w:rPr>
          <w:sz w:val="20"/>
          <w:szCs w:val="20"/>
        </w:rPr>
      </w:pPr>
      <w:r w:rsidRPr="006C06AD">
        <w:rPr>
          <w:sz w:val="20"/>
          <w:szCs w:val="20"/>
        </w:rPr>
        <w:t>Furthermore,</w:t>
      </w:r>
      <w:r w:rsidR="0093096F" w:rsidRPr="006C06AD">
        <w:rPr>
          <w:sz w:val="20"/>
          <w:szCs w:val="20"/>
        </w:rPr>
        <w:t xml:space="preserve"> training</w:t>
      </w:r>
      <w:r w:rsidR="006C3B18" w:rsidRPr="006C06AD">
        <w:rPr>
          <w:sz w:val="20"/>
          <w:szCs w:val="20"/>
        </w:rPr>
        <w:t>s</w:t>
      </w:r>
      <w:r w:rsidR="0093096F" w:rsidRPr="006C06AD">
        <w:rPr>
          <w:sz w:val="20"/>
          <w:szCs w:val="20"/>
        </w:rPr>
        <w:t xml:space="preserve"> on this ESMF will also be provided to the participant </w:t>
      </w:r>
      <w:r w:rsidR="007529EB">
        <w:rPr>
          <w:sz w:val="20"/>
          <w:szCs w:val="20"/>
        </w:rPr>
        <w:t>L</w:t>
      </w:r>
      <w:r w:rsidR="0093096F" w:rsidRPr="006C06AD">
        <w:rPr>
          <w:sz w:val="20"/>
          <w:szCs w:val="20"/>
        </w:rPr>
        <w:t>FIs.</w:t>
      </w:r>
    </w:p>
    <w:p w14:paraId="1BD4BB48" w14:textId="77777777" w:rsidR="00DC025F" w:rsidRPr="006C06AD" w:rsidRDefault="006C3B18">
      <w:pPr>
        <w:pStyle w:val="Heading2"/>
        <w:numPr>
          <w:ilvl w:val="0"/>
          <w:numId w:val="39"/>
        </w:numPr>
        <w:spacing w:before="240" w:after="240" w:line="276" w:lineRule="auto"/>
        <w:jc w:val="both"/>
        <w:rPr>
          <w:rFonts w:asciiTheme="minorHAnsi" w:hAnsiTheme="minorHAnsi"/>
          <w:sz w:val="20"/>
          <w:szCs w:val="20"/>
        </w:rPr>
      </w:pPr>
      <w:r w:rsidRPr="006C06AD">
        <w:rPr>
          <w:rFonts w:asciiTheme="minorHAnsi" w:hAnsiTheme="minorHAnsi"/>
          <w:sz w:val="20"/>
          <w:szCs w:val="20"/>
        </w:rPr>
        <w:lastRenderedPageBreak/>
        <w:t xml:space="preserve">Key environmental and social considerations: </w:t>
      </w:r>
    </w:p>
    <w:p w14:paraId="4B216B5C" w14:textId="77777777" w:rsidR="007249DB" w:rsidRPr="006C06AD" w:rsidRDefault="007249DB" w:rsidP="00C17775">
      <w:pPr>
        <w:spacing w:line="276" w:lineRule="auto"/>
        <w:jc w:val="both"/>
        <w:rPr>
          <w:sz w:val="20"/>
          <w:szCs w:val="20"/>
        </w:rPr>
      </w:pPr>
      <w:r w:rsidRPr="006C06AD">
        <w:rPr>
          <w:sz w:val="20"/>
          <w:szCs w:val="20"/>
        </w:rPr>
        <w:t xml:space="preserve">For this </w:t>
      </w:r>
      <w:r w:rsidR="006C3B18" w:rsidRPr="006C06AD">
        <w:rPr>
          <w:sz w:val="20"/>
          <w:szCs w:val="20"/>
        </w:rPr>
        <w:t>Project</w:t>
      </w:r>
      <w:r w:rsidRPr="006C06AD">
        <w:rPr>
          <w:sz w:val="20"/>
          <w:szCs w:val="20"/>
        </w:rPr>
        <w:t xml:space="preserve">, </w:t>
      </w:r>
      <w:r w:rsidR="006C3B18" w:rsidRPr="006C06AD">
        <w:rPr>
          <w:sz w:val="20"/>
          <w:szCs w:val="20"/>
        </w:rPr>
        <w:t xml:space="preserve">and </w:t>
      </w:r>
      <w:r w:rsidRPr="006C06AD">
        <w:rPr>
          <w:sz w:val="20"/>
          <w:szCs w:val="20"/>
        </w:rPr>
        <w:t xml:space="preserve">within the framework of eligibility requirements established for the </w:t>
      </w:r>
      <w:r w:rsidR="0028758B">
        <w:rPr>
          <w:sz w:val="20"/>
          <w:szCs w:val="20"/>
        </w:rPr>
        <w:t>sub-projects</w:t>
      </w:r>
      <w:r w:rsidRPr="006C06AD">
        <w:rPr>
          <w:sz w:val="20"/>
          <w:szCs w:val="20"/>
        </w:rPr>
        <w:t xml:space="preserve"> in agreement with IDB, the Bank will </w:t>
      </w:r>
      <w:r w:rsidR="00343CD2">
        <w:rPr>
          <w:sz w:val="20"/>
          <w:szCs w:val="20"/>
        </w:rPr>
        <w:t xml:space="preserve">contractually </w:t>
      </w:r>
      <w:r w:rsidRPr="006C06AD">
        <w:rPr>
          <w:sz w:val="20"/>
          <w:szCs w:val="20"/>
        </w:rPr>
        <w:t xml:space="preserve">require BICE to manage the </w:t>
      </w:r>
      <w:r w:rsidR="00123F65" w:rsidRPr="006C06AD">
        <w:rPr>
          <w:sz w:val="20"/>
          <w:szCs w:val="20"/>
        </w:rPr>
        <w:t>Project</w:t>
      </w:r>
      <w:r w:rsidRPr="006C06AD">
        <w:rPr>
          <w:sz w:val="20"/>
          <w:szCs w:val="20"/>
        </w:rPr>
        <w:t xml:space="preserve"> </w:t>
      </w:r>
      <w:r w:rsidR="006C3B18" w:rsidRPr="006C06AD">
        <w:rPr>
          <w:sz w:val="20"/>
          <w:szCs w:val="20"/>
        </w:rPr>
        <w:t>taking into consideration the following:</w:t>
      </w:r>
    </w:p>
    <w:p w14:paraId="5C2076B8" w14:textId="77777777" w:rsidR="007249DB" w:rsidRPr="006C06AD" w:rsidRDefault="006C3B18">
      <w:pPr>
        <w:pStyle w:val="ListParagraph"/>
        <w:numPr>
          <w:ilvl w:val="0"/>
          <w:numId w:val="35"/>
        </w:numPr>
        <w:jc w:val="both"/>
        <w:rPr>
          <w:sz w:val="20"/>
          <w:szCs w:val="20"/>
        </w:rPr>
      </w:pPr>
      <w:r w:rsidRPr="006C06AD">
        <w:rPr>
          <w:sz w:val="20"/>
          <w:szCs w:val="20"/>
        </w:rPr>
        <w:t xml:space="preserve">The </w:t>
      </w:r>
      <w:r w:rsidR="0028758B">
        <w:rPr>
          <w:sz w:val="20"/>
          <w:szCs w:val="20"/>
        </w:rPr>
        <w:t>sub-projects</w:t>
      </w:r>
      <w:r w:rsidRPr="006C06AD">
        <w:rPr>
          <w:sz w:val="20"/>
          <w:szCs w:val="20"/>
        </w:rPr>
        <w:t xml:space="preserve"> shall c</w:t>
      </w:r>
      <w:r w:rsidR="007249DB" w:rsidRPr="006C06AD">
        <w:rPr>
          <w:sz w:val="20"/>
          <w:szCs w:val="20"/>
        </w:rPr>
        <w:t>omply with all applicable environmental, social, health and safety, and labor regulatory requirements of Argentina.</w:t>
      </w:r>
    </w:p>
    <w:p w14:paraId="647769ED" w14:textId="00804F28" w:rsidR="007249DB" w:rsidRPr="006C06AD" w:rsidRDefault="006C3B18">
      <w:pPr>
        <w:pStyle w:val="ListParagraph"/>
        <w:numPr>
          <w:ilvl w:val="0"/>
          <w:numId w:val="35"/>
        </w:numPr>
        <w:jc w:val="both"/>
        <w:rPr>
          <w:sz w:val="20"/>
          <w:szCs w:val="20"/>
        </w:rPr>
      </w:pPr>
      <w:r w:rsidRPr="006C06AD">
        <w:rPr>
          <w:sz w:val="20"/>
          <w:szCs w:val="20"/>
        </w:rPr>
        <w:t>BICE will c</w:t>
      </w:r>
      <w:r w:rsidR="007249DB" w:rsidRPr="006C06AD">
        <w:rPr>
          <w:sz w:val="20"/>
          <w:szCs w:val="20"/>
        </w:rPr>
        <w:t xml:space="preserve">onfirm that </w:t>
      </w:r>
      <w:r w:rsidR="002B4D95">
        <w:rPr>
          <w:sz w:val="20"/>
          <w:szCs w:val="20"/>
        </w:rPr>
        <w:t xml:space="preserve">LFIs </w:t>
      </w:r>
      <w:r w:rsidR="007249DB" w:rsidRPr="006C06AD">
        <w:rPr>
          <w:sz w:val="20"/>
          <w:szCs w:val="20"/>
        </w:rPr>
        <w:t>participating in the Pro</w:t>
      </w:r>
      <w:r w:rsidRPr="006C06AD">
        <w:rPr>
          <w:sz w:val="20"/>
          <w:szCs w:val="20"/>
        </w:rPr>
        <w:t>ject</w:t>
      </w:r>
      <w:r w:rsidR="007249DB" w:rsidRPr="006C06AD">
        <w:rPr>
          <w:sz w:val="20"/>
          <w:szCs w:val="20"/>
        </w:rPr>
        <w:t xml:space="preserve"> and the </w:t>
      </w:r>
      <w:r w:rsidR="0028758B">
        <w:rPr>
          <w:sz w:val="20"/>
          <w:szCs w:val="20"/>
        </w:rPr>
        <w:t>sub-projects</w:t>
      </w:r>
      <w:r w:rsidR="007249DB" w:rsidRPr="006C06AD">
        <w:rPr>
          <w:sz w:val="20"/>
          <w:szCs w:val="20"/>
        </w:rPr>
        <w:t xml:space="preserve"> financed through this Pro</w:t>
      </w:r>
      <w:r w:rsidRPr="006C06AD">
        <w:rPr>
          <w:sz w:val="20"/>
          <w:szCs w:val="20"/>
        </w:rPr>
        <w:t>ject</w:t>
      </w:r>
      <w:r w:rsidR="007249DB" w:rsidRPr="006C06AD">
        <w:rPr>
          <w:sz w:val="20"/>
          <w:szCs w:val="20"/>
        </w:rPr>
        <w:t xml:space="preserve"> comply with all applicable environmental, social, health and safety, and labor regulatory requirements of Argentina. </w:t>
      </w:r>
    </w:p>
    <w:p w14:paraId="54279751" w14:textId="77777777" w:rsidR="008A04EC" w:rsidRPr="006C06AD" w:rsidRDefault="006C3B18">
      <w:pPr>
        <w:pStyle w:val="ListParagraph"/>
        <w:numPr>
          <w:ilvl w:val="0"/>
          <w:numId w:val="35"/>
        </w:numPr>
        <w:jc w:val="both"/>
        <w:rPr>
          <w:sz w:val="20"/>
          <w:szCs w:val="20"/>
        </w:rPr>
      </w:pPr>
      <w:r w:rsidRPr="006C06AD">
        <w:rPr>
          <w:sz w:val="20"/>
          <w:szCs w:val="20"/>
        </w:rPr>
        <w:t>To strengthen its capacity to discharge its environmental and social responsibilities, BICE will a</w:t>
      </w:r>
      <w:r w:rsidR="008A04EC" w:rsidRPr="006C06AD">
        <w:rPr>
          <w:sz w:val="20"/>
          <w:szCs w:val="20"/>
        </w:rPr>
        <w:t>ppoint an Environmental and Social Coordinator for the duration of the Project</w:t>
      </w:r>
      <w:r w:rsidRPr="006C06AD">
        <w:rPr>
          <w:sz w:val="20"/>
          <w:szCs w:val="20"/>
        </w:rPr>
        <w:t>.</w:t>
      </w:r>
    </w:p>
    <w:p w14:paraId="0DE4DFB0" w14:textId="77777777" w:rsidR="007249DB" w:rsidRPr="006C06AD" w:rsidRDefault="006C3B18">
      <w:pPr>
        <w:pStyle w:val="ListParagraph"/>
        <w:numPr>
          <w:ilvl w:val="0"/>
          <w:numId w:val="35"/>
        </w:numPr>
        <w:jc w:val="both"/>
        <w:rPr>
          <w:sz w:val="20"/>
          <w:szCs w:val="20"/>
        </w:rPr>
      </w:pPr>
      <w:r w:rsidRPr="006C06AD">
        <w:rPr>
          <w:sz w:val="20"/>
          <w:szCs w:val="20"/>
        </w:rPr>
        <w:t xml:space="preserve">The IDB exclusion list will be </w:t>
      </w:r>
      <w:r w:rsidR="007249DB" w:rsidRPr="006C06AD">
        <w:rPr>
          <w:sz w:val="20"/>
          <w:szCs w:val="20"/>
        </w:rPr>
        <w:t>Integrate</w:t>
      </w:r>
      <w:r w:rsidRPr="006C06AD">
        <w:rPr>
          <w:sz w:val="20"/>
          <w:szCs w:val="20"/>
        </w:rPr>
        <w:t>d</w:t>
      </w:r>
      <w:r w:rsidR="007249DB" w:rsidRPr="006C06AD">
        <w:rPr>
          <w:sz w:val="20"/>
          <w:szCs w:val="20"/>
        </w:rPr>
        <w:t xml:space="preserve"> </w:t>
      </w:r>
      <w:r w:rsidRPr="006C06AD">
        <w:rPr>
          <w:sz w:val="20"/>
          <w:szCs w:val="20"/>
        </w:rPr>
        <w:t xml:space="preserve">into </w:t>
      </w:r>
      <w:r w:rsidR="007249DB" w:rsidRPr="006C06AD">
        <w:rPr>
          <w:sz w:val="20"/>
          <w:szCs w:val="20"/>
        </w:rPr>
        <w:t xml:space="preserve">the(see Annex I) loan approval process. </w:t>
      </w:r>
      <w:r w:rsidR="004C6A40" w:rsidRPr="006C06AD">
        <w:rPr>
          <w:sz w:val="20"/>
          <w:szCs w:val="20"/>
        </w:rPr>
        <w:t>It is worth noting that this list excludes</w:t>
      </w:r>
      <w:r w:rsidRPr="006C06AD">
        <w:rPr>
          <w:sz w:val="20"/>
          <w:szCs w:val="20"/>
        </w:rPr>
        <w:t xml:space="preserve">, </w:t>
      </w:r>
      <w:r w:rsidR="00B10219" w:rsidRPr="006C06AD">
        <w:rPr>
          <w:sz w:val="20"/>
          <w:szCs w:val="20"/>
        </w:rPr>
        <w:t>among others</w:t>
      </w:r>
      <w:r w:rsidRPr="006C06AD">
        <w:rPr>
          <w:sz w:val="20"/>
          <w:szCs w:val="20"/>
        </w:rPr>
        <w:t xml:space="preserve">, </w:t>
      </w:r>
      <w:r w:rsidR="0028758B">
        <w:rPr>
          <w:sz w:val="20"/>
          <w:szCs w:val="20"/>
        </w:rPr>
        <w:t>sub-</w:t>
      </w:r>
      <w:r w:rsidR="004C6A40" w:rsidRPr="006C06AD">
        <w:rPr>
          <w:sz w:val="20"/>
          <w:szCs w:val="20"/>
        </w:rPr>
        <w:t>projects that (i) involve involuntary resettlement of people, (ii) have a potentially adverse social impact on communities</w:t>
      </w:r>
      <w:r w:rsidR="00F249E4" w:rsidRPr="006C06AD">
        <w:rPr>
          <w:sz w:val="20"/>
          <w:szCs w:val="20"/>
        </w:rPr>
        <w:t xml:space="preserve"> and/or indigenous peoples</w:t>
      </w:r>
      <w:r w:rsidR="004C6A40" w:rsidRPr="006C06AD">
        <w:rPr>
          <w:sz w:val="20"/>
          <w:szCs w:val="20"/>
        </w:rPr>
        <w:t>, (iii) involve conversion or degradation of critical natural habitats or cultural sites</w:t>
      </w:r>
      <w:r w:rsidR="008A04EC" w:rsidRPr="006C06AD">
        <w:rPr>
          <w:sz w:val="20"/>
          <w:szCs w:val="20"/>
        </w:rPr>
        <w:t>.</w:t>
      </w:r>
    </w:p>
    <w:p w14:paraId="20660D93" w14:textId="6C86BB14" w:rsidR="0093096F" w:rsidRPr="006C06AD" w:rsidRDefault="0093096F">
      <w:pPr>
        <w:pStyle w:val="ListParagraph"/>
        <w:numPr>
          <w:ilvl w:val="0"/>
          <w:numId w:val="35"/>
        </w:numPr>
        <w:jc w:val="both"/>
        <w:rPr>
          <w:sz w:val="20"/>
          <w:szCs w:val="20"/>
        </w:rPr>
      </w:pPr>
      <w:r w:rsidRPr="006C06AD">
        <w:rPr>
          <w:sz w:val="20"/>
          <w:szCs w:val="20"/>
        </w:rPr>
        <w:t xml:space="preserve">For </w:t>
      </w:r>
      <w:r w:rsidR="006C3B18" w:rsidRPr="006C06AD">
        <w:rPr>
          <w:sz w:val="20"/>
          <w:szCs w:val="20"/>
        </w:rPr>
        <w:t>e</w:t>
      </w:r>
      <w:r w:rsidRPr="006C06AD">
        <w:rPr>
          <w:sz w:val="20"/>
          <w:szCs w:val="20"/>
        </w:rPr>
        <w:t xml:space="preserve">nergy </w:t>
      </w:r>
      <w:r w:rsidR="006C3B18" w:rsidRPr="006C06AD">
        <w:rPr>
          <w:sz w:val="20"/>
          <w:szCs w:val="20"/>
        </w:rPr>
        <w:t>e</w:t>
      </w:r>
      <w:r w:rsidRPr="006C06AD">
        <w:rPr>
          <w:sz w:val="20"/>
          <w:szCs w:val="20"/>
        </w:rPr>
        <w:t xml:space="preserve">fficiency </w:t>
      </w:r>
      <w:r w:rsidR="0028758B">
        <w:rPr>
          <w:sz w:val="20"/>
          <w:szCs w:val="20"/>
        </w:rPr>
        <w:t>sub-projects</w:t>
      </w:r>
      <w:r w:rsidRPr="006C06AD">
        <w:rPr>
          <w:sz w:val="20"/>
          <w:szCs w:val="20"/>
        </w:rPr>
        <w:t xml:space="preserve">, </w:t>
      </w:r>
      <w:r w:rsidR="006C3B18" w:rsidRPr="006C06AD">
        <w:rPr>
          <w:sz w:val="20"/>
          <w:szCs w:val="20"/>
        </w:rPr>
        <w:t>the</w:t>
      </w:r>
      <w:r w:rsidR="0028758B">
        <w:rPr>
          <w:sz w:val="20"/>
          <w:szCs w:val="20"/>
        </w:rPr>
        <w:t xml:space="preserve"> sub-project</w:t>
      </w:r>
      <w:r w:rsidR="006C3B18" w:rsidRPr="006C06AD">
        <w:rPr>
          <w:sz w:val="20"/>
          <w:szCs w:val="20"/>
        </w:rPr>
        <w:t xml:space="preserve"> shall adopt and implement</w:t>
      </w:r>
      <w:r w:rsidR="00672C33">
        <w:rPr>
          <w:sz w:val="20"/>
          <w:szCs w:val="20"/>
        </w:rPr>
        <w:t xml:space="preserve"> </w:t>
      </w:r>
      <w:r w:rsidRPr="006C06AD">
        <w:rPr>
          <w:sz w:val="20"/>
          <w:szCs w:val="20"/>
        </w:rPr>
        <w:t xml:space="preserve">a Decommissioning and Disposal Protocol for replaced equipment and materials acceptable to the IDB, to be presented by BICE and approved by the IDB as a condition prior to first disbursement. The protocol must ensure that any equipment replaced is not reused and is appropriately disposed. It will include the necessary description of each party responsibility. Once approved, said Protocol will be part of this ESMF and as such will apply to BICE, the participating </w:t>
      </w:r>
      <w:r w:rsidR="002B4D95">
        <w:rPr>
          <w:sz w:val="20"/>
          <w:szCs w:val="20"/>
        </w:rPr>
        <w:t>L</w:t>
      </w:r>
      <w:r w:rsidRPr="006C06AD">
        <w:rPr>
          <w:sz w:val="20"/>
          <w:szCs w:val="20"/>
        </w:rPr>
        <w:t>FI and each respective sub-</w:t>
      </w:r>
      <w:r w:rsidR="002B4D95">
        <w:rPr>
          <w:sz w:val="20"/>
          <w:szCs w:val="20"/>
        </w:rPr>
        <w:t>project proponent</w:t>
      </w:r>
      <w:r w:rsidR="002B4D95" w:rsidRPr="006C06AD">
        <w:rPr>
          <w:sz w:val="20"/>
          <w:szCs w:val="20"/>
        </w:rPr>
        <w:t xml:space="preserve"> </w:t>
      </w:r>
      <w:r w:rsidRPr="006C06AD">
        <w:rPr>
          <w:sz w:val="20"/>
          <w:szCs w:val="20"/>
        </w:rPr>
        <w:t>as pertinent to their respective responsibilities.</w:t>
      </w:r>
    </w:p>
    <w:p w14:paraId="06238172" w14:textId="77777777" w:rsidR="0093096F" w:rsidRPr="006C06AD" w:rsidRDefault="0093096F">
      <w:pPr>
        <w:pStyle w:val="ListParagraph"/>
        <w:numPr>
          <w:ilvl w:val="0"/>
          <w:numId w:val="35"/>
        </w:numPr>
        <w:jc w:val="both"/>
        <w:rPr>
          <w:sz w:val="20"/>
          <w:szCs w:val="20"/>
        </w:rPr>
      </w:pPr>
      <w:r w:rsidRPr="006C06AD">
        <w:rPr>
          <w:sz w:val="20"/>
          <w:szCs w:val="20"/>
        </w:rPr>
        <w:t xml:space="preserve">For co-generation </w:t>
      </w:r>
      <w:r w:rsidR="0028758B">
        <w:rPr>
          <w:sz w:val="20"/>
          <w:szCs w:val="20"/>
        </w:rPr>
        <w:t>sub-projects</w:t>
      </w:r>
      <w:r w:rsidRPr="006C06AD">
        <w:rPr>
          <w:sz w:val="20"/>
          <w:szCs w:val="20"/>
        </w:rPr>
        <w:t>,</w:t>
      </w:r>
      <w:r w:rsidR="006C3B18" w:rsidRPr="006C06AD">
        <w:rPr>
          <w:sz w:val="20"/>
          <w:szCs w:val="20"/>
        </w:rPr>
        <w:t xml:space="preserve"> </w:t>
      </w:r>
      <w:r w:rsidRPr="006C06AD">
        <w:rPr>
          <w:sz w:val="20"/>
          <w:szCs w:val="20"/>
        </w:rPr>
        <w:t>a</w:t>
      </w:r>
      <w:r w:rsidR="0028758B">
        <w:rPr>
          <w:sz w:val="20"/>
          <w:szCs w:val="20"/>
        </w:rPr>
        <w:t xml:space="preserve"> sub-project</w:t>
      </w:r>
      <w:r w:rsidR="006C3B18" w:rsidRPr="006C06AD">
        <w:rPr>
          <w:sz w:val="20"/>
          <w:szCs w:val="20"/>
        </w:rPr>
        <w:t xml:space="preserve"> risk </w:t>
      </w:r>
      <w:r w:rsidRPr="006C06AD">
        <w:rPr>
          <w:sz w:val="20"/>
          <w:szCs w:val="20"/>
        </w:rPr>
        <w:t>classification tool</w:t>
      </w:r>
      <w:r w:rsidR="006C3B18" w:rsidRPr="006C06AD">
        <w:rPr>
          <w:sz w:val="20"/>
          <w:szCs w:val="20"/>
        </w:rPr>
        <w:t xml:space="preserve"> will be developed</w:t>
      </w:r>
      <w:r w:rsidRPr="006C06AD">
        <w:rPr>
          <w:sz w:val="20"/>
          <w:szCs w:val="20"/>
        </w:rPr>
        <w:t>. The tool will be based on the IFC Converting Biom</w:t>
      </w:r>
      <w:r w:rsidR="006C3B18" w:rsidRPr="006C06AD">
        <w:rPr>
          <w:sz w:val="20"/>
          <w:szCs w:val="20"/>
        </w:rPr>
        <w:t>a</w:t>
      </w:r>
      <w:r w:rsidRPr="006C06AD">
        <w:rPr>
          <w:sz w:val="20"/>
          <w:szCs w:val="20"/>
        </w:rPr>
        <w:t xml:space="preserve">ss to Energy: A Guide for Developers and Investors and will be in line with the IDB safeguards. It will be presented by BICE and approved by the IDB as a condition prior to first disbursement.  Once approved, said tool will be part of this ESMF. BICE will be responsible to classify the co-generation </w:t>
      </w:r>
      <w:r w:rsidR="0028758B">
        <w:rPr>
          <w:sz w:val="20"/>
          <w:szCs w:val="20"/>
        </w:rPr>
        <w:t>sub-</w:t>
      </w:r>
      <w:r w:rsidRPr="006C06AD">
        <w:rPr>
          <w:sz w:val="20"/>
          <w:szCs w:val="20"/>
        </w:rPr>
        <w:t xml:space="preserve">projects. Only B&amp;C category </w:t>
      </w:r>
      <w:r w:rsidR="0028758B">
        <w:rPr>
          <w:sz w:val="20"/>
          <w:szCs w:val="20"/>
        </w:rPr>
        <w:t>sub-</w:t>
      </w:r>
      <w:r w:rsidRPr="006C06AD">
        <w:rPr>
          <w:sz w:val="20"/>
          <w:szCs w:val="20"/>
        </w:rPr>
        <w:t xml:space="preserve">projects will be eligible for financing. </w:t>
      </w:r>
    </w:p>
    <w:p w14:paraId="1B299901" w14:textId="77777777" w:rsidR="0093096F" w:rsidRPr="006C06AD" w:rsidRDefault="0093096F">
      <w:pPr>
        <w:pStyle w:val="ListParagraph"/>
        <w:numPr>
          <w:ilvl w:val="0"/>
          <w:numId w:val="35"/>
        </w:numPr>
        <w:jc w:val="both"/>
        <w:rPr>
          <w:sz w:val="20"/>
          <w:szCs w:val="20"/>
        </w:rPr>
      </w:pPr>
      <w:r w:rsidRPr="006C06AD">
        <w:rPr>
          <w:sz w:val="20"/>
          <w:szCs w:val="20"/>
        </w:rPr>
        <w:t xml:space="preserve">For </w:t>
      </w:r>
      <w:r w:rsidR="0094587C" w:rsidRPr="006C06AD">
        <w:rPr>
          <w:sz w:val="20"/>
          <w:szCs w:val="20"/>
        </w:rPr>
        <w:t>co-generation c</w:t>
      </w:r>
      <w:r w:rsidR="00833E83" w:rsidRPr="006C06AD">
        <w:rPr>
          <w:sz w:val="20"/>
          <w:szCs w:val="20"/>
        </w:rPr>
        <w:t>ategory B</w:t>
      </w:r>
      <w:r w:rsidRPr="006C06AD">
        <w:rPr>
          <w:sz w:val="20"/>
          <w:szCs w:val="20"/>
        </w:rPr>
        <w:t xml:space="preserve"> </w:t>
      </w:r>
      <w:r w:rsidR="0028758B">
        <w:rPr>
          <w:sz w:val="20"/>
          <w:szCs w:val="20"/>
        </w:rPr>
        <w:t>sub-projects</w:t>
      </w:r>
      <w:r w:rsidRPr="006C06AD">
        <w:rPr>
          <w:sz w:val="20"/>
          <w:szCs w:val="20"/>
        </w:rPr>
        <w:t xml:space="preserve">, </w:t>
      </w:r>
      <w:r w:rsidR="00833E83" w:rsidRPr="006C06AD">
        <w:rPr>
          <w:sz w:val="20"/>
          <w:szCs w:val="20"/>
        </w:rPr>
        <w:t xml:space="preserve">contract an external consultancy with resources from Component 1 to realize an Environmental and Social Impact Assessment, </w:t>
      </w:r>
      <w:r w:rsidR="006C3B18" w:rsidRPr="006C06AD">
        <w:rPr>
          <w:sz w:val="20"/>
          <w:szCs w:val="20"/>
        </w:rPr>
        <w:t xml:space="preserve">and </w:t>
      </w:r>
      <w:r w:rsidRPr="006C06AD">
        <w:rPr>
          <w:sz w:val="20"/>
          <w:szCs w:val="20"/>
        </w:rPr>
        <w:t xml:space="preserve">ensure that all </w:t>
      </w:r>
      <w:r w:rsidR="0028758B">
        <w:rPr>
          <w:sz w:val="20"/>
          <w:szCs w:val="20"/>
        </w:rPr>
        <w:t>sub-</w:t>
      </w:r>
      <w:r w:rsidRPr="006C06AD">
        <w:rPr>
          <w:sz w:val="20"/>
          <w:szCs w:val="20"/>
        </w:rPr>
        <w:t xml:space="preserve">projects </w:t>
      </w:r>
      <w:r w:rsidR="0094587C" w:rsidRPr="006C06AD">
        <w:rPr>
          <w:sz w:val="20"/>
          <w:szCs w:val="20"/>
        </w:rPr>
        <w:t xml:space="preserve">to be financed with resources from the </w:t>
      </w:r>
      <w:r w:rsidR="00123F65" w:rsidRPr="006C06AD">
        <w:rPr>
          <w:sz w:val="20"/>
          <w:szCs w:val="20"/>
        </w:rPr>
        <w:t>Project</w:t>
      </w:r>
      <w:r w:rsidR="0094587C" w:rsidRPr="006C06AD">
        <w:rPr>
          <w:sz w:val="20"/>
          <w:szCs w:val="20"/>
        </w:rPr>
        <w:t xml:space="preserve"> comply with the IDB safeguards (including the necessary stakeholders’ consultation - during </w:t>
      </w:r>
      <w:r w:rsidR="0028758B">
        <w:rPr>
          <w:sz w:val="20"/>
          <w:szCs w:val="20"/>
        </w:rPr>
        <w:t>sub-</w:t>
      </w:r>
      <w:r w:rsidR="0094587C" w:rsidRPr="006C06AD">
        <w:rPr>
          <w:sz w:val="20"/>
          <w:szCs w:val="20"/>
        </w:rPr>
        <w:t xml:space="preserve">project preparation phase – and according to the IDB guidelines, and the implementation of a </w:t>
      </w:r>
      <w:r w:rsidR="0028758B">
        <w:rPr>
          <w:sz w:val="20"/>
          <w:szCs w:val="20"/>
        </w:rPr>
        <w:t>sub-</w:t>
      </w:r>
      <w:r w:rsidR="0094587C" w:rsidRPr="006C06AD">
        <w:rPr>
          <w:sz w:val="20"/>
          <w:szCs w:val="20"/>
        </w:rPr>
        <w:t>project grievance mechanism)</w:t>
      </w:r>
      <w:r w:rsidRPr="006C06AD">
        <w:rPr>
          <w:sz w:val="20"/>
          <w:szCs w:val="20"/>
        </w:rPr>
        <w:t xml:space="preserve">.  </w:t>
      </w:r>
      <w:r w:rsidR="0094587C" w:rsidRPr="006C06AD">
        <w:rPr>
          <w:sz w:val="20"/>
          <w:szCs w:val="20"/>
        </w:rPr>
        <w:t xml:space="preserve">The first three B category cogeneration </w:t>
      </w:r>
      <w:r w:rsidR="0028758B">
        <w:rPr>
          <w:sz w:val="20"/>
          <w:szCs w:val="20"/>
        </w:rPr>
        <w:t>sub-</w:t>
      </w:r>
      <w:r w:rsidR="0094587C" w:rsidRPr="006C06AD">
        <w:rPr>
          <w:sz w:val="20"/>
          <w:szCs w:val="20"/>
        </w:rPr>
        <w:t xml:space="preserve">projects will need no-objection from the IDB. </w:t>
      </w:r>
    </w:p>
    <w:p w14:paraId="25DF83BF" w14:textId="494CD149" w:rsidR="0093096F" w:rsidRPr="006C06AD" w:rsidRDefault="006C3B18">
      <w:pPr>
        <w:pStyle w:val="ListParagraph"/>
        <w:numPr>
          <w:ilvl w:val="0"/>
          <w:numId w:val="35"/>
        </w:numPr>
        <w:jc w:val="both"/>
        <w:rPr>
          <w:sz w:val="20"/>
          <w:szCs w:val="20"/>
        </w:rPr>
      </w:pPr>
      <w:r w:rsidRPr="006C06AD">
        <w:rPr>
          <w:sz w:val="20"/>
          <w:szCs w:val="20"/>
        </w:rPr>
        <w:t>BICE shall perform</w:t>
      </w:r>
      <w:r w:rsidR="0093096F" w:rsidRPr="006C06AD">
        <w:rPr>
          <w:sz w:val="20"/>
          <w:szCs w:val="20"/>
        </w:rPr>
        <w:t xml:space="preserve"> compulsory site-visits for </w:t>
      </w:r>
      <w:r w:rsidR="0028758B">
        <w:rPr>
          <w:sz w:val="20"/>
          <w:szCs w:val="20"/>
        </w:rPr>
        <w:t>sub-</w:t>
      </w:r>
      <w:r w:rsidR="0093096F" w:rsidRPr="006C06AD">
        <w:rPr>
          <w:sz w:val="20"/>
          <w:szCs w:val="20"/>
        </w:rPr>
        <w:t>projects above US$1m (E&amp;S coordinator)</w:t>
      </w:r>
    </w:p>
    <w:p w14:paraId="0ACDFBB3" w14:textId="1FF3AF65" w:rsidR="004C6A40" w:rsidRDefault="006C3B18">
      <w:pPr>
        <w:pStyle w:val="ListParagraph"/>
        <w:numPr>
          <w:ilvl w:val="0"/>
          <w:numId w:val="35"/>
        </w:numPr>
        <w:jc w:val="both"/>
        <w:rPr>
          <w:sz w:val="20"/>
          <w:szCs w:val="20"/>
        </w:rPr>
      </w:pPr>
      <w:r w:rsidRPr="006C06AD">
        <w:rPr>
          <w:sz w:val="20"/>
          <w:szCs w:val="20"/>
        </w:rPr>
        <w:t>BICE</w:t>
      </w:r>
      <w:r w:rsidR="002B4D95">
        <w:rPr>
          <w:sz w:val="20"/>
          <w:szCs w:val="20"/>
        </w:rPr>
        <w:t xml:space="preserve"> </w:t>
      </w:r>
      <w:r w:rsidRPr="006C06AD">
        <w:rPr>
          <w:sz w:val="20"/>
          <w:szCs w:val="20"/>
        </w:rPr>
        <w:t xml:space="preserve">shall </w:t>
      </w:r>
      <w:r w:rsidR="002B4D95">
        <w:rPr>
          <w:sz w:val="20"/>
          <w:szCs w:val="20"/>
        </w:rPr>
        <w:t>i</w:t>
      </w:r>
      <w:r w:rsidR="0093096F" w:rsidRPr="006C06AD">
        <w:rPr>
          <w:sz w:val="20"/>
          <w:szCs w:val="20"/>
        </w:rPr>
        <w:t xml:space="preserve">mplement a grievance mechanism at the </w:t>
      </w:r>
      <w:r w:rsidR="00123F65" w:rsidRPr="006C06AD">
        <w:rPr>
          <w:sz w:val="20"/>
          <w:szCs w:val="20"/>
        </w:rPr>
        <w:t>Project</w:t>
      </w:r>
      <w:r w:rsidR="0093096F" w:rsidRPr="006C06AD">
        <w:rPr>
          <w:sz w:val="20"/>
          <w:szCs w:val="20"/>
        </w:rPr>
        <w:t xml:space="preserve"> level</w:t>
      </w:r>
      <w:r w:rsidR="007249DB" w:rsidRPr="006C06AD">
        <w:rPr>
          <w:sz w:val="20"/>
          <w:szCs w:val="20"/>
        </w:rPr>
        <w:t>.</w:t>
      </w:r>
    </w:p>
    <w:p w14:paraId="1B3DB62E" w14:textId="77777777" w:rsidR="002B4D95" w:rsidRPr="006C06AD" w:rsidRDefault="002B4D95">
      <w:pPr>
        <w:pStyle w:val="ListParagraph"/>
        <w:numPr>
          <w:ilvl w:val="0"/>
          <w:numId w:val="35"/>
        </w:numPr>
        <w:jc w:val="both"/>
        <w:rPr>
          <w:sz w:val="20"/>
          <w:szCs w:val="20"/>
        </w:rPr>
      </w:pPr>
      <w:r>
        <w:rPr>
          <w:sz w:val="20"/>
          <w:szCs w:val="20"/>
        </w:rPr>
        <w:t>For Category B sub-projects, the sub-project</w:t>
      </w:r>
      <w:r w:rsidRPr="006C06AD">
        <w:rPr>
          <w:sz w:val="20"/>
          <w:szCs w:val="20"/>
        </w:rPr>
        <w:t xml:space="preserve"> proponents</w:t>
      </w:r>
      <w:r w:rsidRPr="002B4D95">
        <w:rPr>
          <w:sz w:val="20"/>
          <w:szCs w:val="20"/>
        </w:rPr>
        <w:t xml:space="preserve"> </w:t>
      </w:r>
      <w:r w:rsidRPr="006C06AD">
        <w:rPr>
          <w:sz w:val="20"/>
          <w:szCs w:val="20"/>
        </w:rPr>
        <w:t xml:space="preserve">shall </w:t>
      </w:r>
      <w:r>
        <w:rPr>
          <w:sz w:val="20"/>
          <w:szCs w:val="20"/>
        </w:rPr>
        <w:t>i</w:t>
      </w:r>
      <w:r w:rsidRPr="006C06AD">
        <w:rPr>
          <w:sz w:val="20"/>
          <w:szCs w:val="20"/>
        </w:rPr>
        <w:t xml:space="preserve">mplement a grievance mechanism at the </w:t>
      </w:r>
      <w:r>
        <w:rPr>
          <w:sz w:val="20"/>
          <w:szCs w:val="20"/>
        </w:rPr>
        <w:t xml:space="preserve">sub-project </w:t>
      </w:r>
      <w:r w:rsidRPr="006C06AD">
        <w:rPr>
          <w:sz w:val="20"/>
          <w:szCs w:val="20"/>
        </w:rPr>
        <w:t>level.</w:t>
      </w:r>
    </w:p>
    <w:p w14:paraId="2982C65F" w14:textId="2B293F47" w:rsidR="007249DB" w:rsidRPr="006C06AD" w:rsidRDefault="006C3B18">
      <w:pPr>
        <w:pStyle w:val="ListParagraph"/>
        <w:numPr>
          <w:ilvl w:val="0"/>
          <w:numId w:val="35"/>
        </w:numPr>
        <w:jc w:val="both"/>
        <w:rPr>
          <w:sz w:val="20"/>
          <w:szCs w:val="20"/>
        </w:rPr>
      </w:pPr>
      <w:r w:rsidRPr="006C06AD">
        <w:rPr>
          <w:sz w:val="20"/>
          <w:szCs w:val="20"/>
        </w:rPr>
        <w:t>BICE shall provide</w:t>
      </w:r>
      <w:r w:rsidR="007249DB" w:rsidRPr="006C06AD">
        <w:rPr>
          <w:sz w:val="20"/>
          <w:szCs w:val="20"/>
        </w:rPr>
        <w:t xml:space="preserve"> an Annual Environmental and Social Compliance Report (ESCR) with information on the guaranteed portfolio and any particular risk issues identified, mitigation measures agreed with clients as well as compliance status.</w:t>
      </w:r>
    </w:p>
    <w:p w14:paraId="1901052D" w14:textId="77777777" w:rsidR="007249DB" w:rsidRPr="006C06AD" w:rsidRDefault="007249DB">
      <w:pPr>
        <w:spacing w:line="276" w:lineRule="auto"/>
        <w:jc w:val="both"/>
        <w:rPr>
          <w:sz w:val="20"/>
          <w:szCs w:val="20"/>
        </w:rPr>
      </w:pPr>
      <w:r w:rsidRPr="006C06AD">
        <w:rPr>
          <w:sz w:val="20"/>
          <w:szCs w:val="20"/>
        </w:rPr>
        <w:t xml:space="preserve">The IDB will supervise the ESHS and labor aspects related to the use of the proceeds of the </w:t>
      </w:r>
      <w:r w:rsidR="00123F65" w:rsidRPr="006C06AD">
        <w:rPr>
          <w:sz w:val="20"/>
          <w:szCs w:val="20"/>
        </w:rPr>
        <w:t>Project</w:t>
      </w:r>
      <w:r w:rsidRPr="006C06AD">
        <w:rPr>
          <w:sz w:val="20"/>
          <w:szCs w:val="20"/>
        </w:rPr>
        <w:t>, as necessary either by an IDB in-house specialist or with external consultants, hired by the IDB.  To this end, BICE will provide and facilitate access by IDB to all relevant documentation, personne</w:t>
      </w:r>
      <w:r w:rsidR="008A04EC" w:rsidRPr="006C06AD">
        <w:rPr>
          <w:sz w:val="20"/>
          <w:szCs w:val="20"/>
        </w:rPr>
        <w:t xml:space="preserve">l and sub-projects facilities. </w:t>
      </w:r>
      <w:r w:rsidRPr="006C06AD">
        <w:rPr>
          <w:sz w:val="20"/>
          <w:szCs w:val="20"/>
        </w:rPr>
        <w:t>If necessary, IDB and BICE will agree on corrective actions or measures necessary to address impacts and risks and/or to enhance their management.</w:t>
      </w:r>
      <w:r w:rsidR="005E3320" w:rsidRPr="006C06AD">
        <w:rPr>
          <w:sz w:val="20"/>
          <w:szCs w:val="20"/>
        </w:rPr>
        <w:t xml:space="preserve"> It is worth mentioning that in addition to the supervision of sub-projects during their execution, the disbursements for sub-loans under the Project will be on a ‘portfolio justification’ basis. Upon receipt of the portfolio </w:t>
      </w:r>
      <w:r w:rsidR="005E3320" w:rsidRPr="006C06AD">
        <w:rPr>
          <w:sz w:val="20"/>
          <w:szCs w:val="20"/>
        </w:rPr>
        <w:lastRenderedPageBreak/>
        <w:t>to be re-discounted, as condition for disbursement, the IDB will check compliance with this ESMF to confirm their eligibility.</w:t>
      </w:r>
    </w:p>
    <w:p w14:paraId="573060F2" w14:textId="77777777" w:rsidR="00C61E7C" w:rsidRPr="006C06AD" w:rsidRDefault="00C61E7C">
      <w:pPr>
        <w:spacing w:line="276" w:lineRule="auto"/>
        <w:jc w:val="both"/>
        <w:rPr>
          <w:sz w:val="20"/>
          <w:szCs w:val="20"/>
        </w:rPr>
      </w:pPr>
      <w:r w:rsidRPr="006C06AD">
        <w:rPr>
          <w:sz w:val="20"/>
          <w:szCs w:val="20"/>
        </w:rPr>
        <w:t>The processes contained in the ESMF is presented in the diagram below.</w:t>
      </w:r>
    </w:p>
    <w:p w14:paraId="7603F655" w14:textId="77777777" w:rsidR="00C61E7C" w:rsidRPr="006C06AD" w:rsidRDefault="00C61E7C">
      <w:pPr>
        <w:spacing w:line="276" w:lineRule="auto"/>
        <w:jc w:val="both"/>
        <w:rPr>
          <w:sz w:val="20"/>
          <w:szCs w:val="20"/>
        </w:rPr>
      </w:pPr>
      <w:r w:rsidRPr="00FA2DFC">
        <w:rPr>
          <w:b/>
          <w:sz w:val="20"/>
          <w:szCs w:val="20"/>
        </w:rPr>
        <w:t xml:space="preserve">Figure </w:t>
      </w:r>
      <w:r w:rsidR="00672C33" w:rsidRPr="00FA2DFC">
        <w:rPr>
          <w:b/>
          <w:sz w:val="20"/>
          <w:szCs w:val="20"/>
        </w:rPr>
        <w:t>2</w:t>
      </w:r>
      <w:r w:rsidRPr="00FA2DFC">
        <w:rPr>
          <w:b/>
          <w:sz w:val="20"/>
          <w:szCs w:val="20"/>
        </w:rPr>
        <w:t>:</w:t>
      </w:r>
      <w:r w:rsidRPr="006C06AD">
        <w:rPr>
          <w:sz w:val="20"/>
          <w:szCs w:val="20"/>
        </w:rPr>
        <w:t xml:space="preserve"> ESMF process flowchart</w:t>
      </w:r>
    </w:p>
    <w:p w14:paraId="110E1397" w14:textId="77777777" w:rsidR="00C61E7C" w:rsidRPr="006C06AD" w:rsidRDefault="00C61E7C">
      <w:pPr>
        <w:spacing w:line="276" w:lineRule="auto"/>
        <w:jc w:val="both"/>
        <w:rPr>
          <w:sz w:val="20"/>
          <w:szCs w:val="20"/>
        </w:rPr>
      </w:pPr>
    </w:p>
    <w:p w14:paraId="6412534E" w14:textId="77777777" w:rsidR="00C61E7C" w:rsidRPr="006C06AD" w:rsidRDefault="00C61E7C">
      <w:pPr>
        <w:spacing w:line="276" w:lineRule="auto"/>
        <w:jc w:val="both"/>
        <w:rPr>
          <w:sz w:val="20"/>
          <w:szCs w:val="20"/>
        </w:rPr>
      </w:pPr>
      <w:r w:rsidRPr="006C06AD">
        <w:rPr>
          <w:noProof/>
          <w:sz w:val="20"/>
          <w:szCs w:val="20"/>
        </w:rPr>
        <mc:AlternateContent>
          <mc:Choice Requires="wpg">
            <w:drawing>
              <wp:anchor distT="0" distB="0" distL="114300" distR="114300" simplePos="0" relativeHeight="251663360" behindDoc="0" locked="0" layoutInCell="1" allowOverlap="1" wp14:anchorId="71E2857B" wp14:editId="1A27C236">
                <wp:simplePos x="0" y="0"/>
                <wp:positionH relativeFrom="column">
                  <wp:posOffset>0</wp:posOffset>
                </wp:positionH>
                <wp:positionV relativeFrom="paragraph">
                  <wp:posOffset>0</wp:posOffset>
                </wp:positionV>
                <wp:extent cx="6172200" cy="6888480"/>
                <wp:effectExtent l="0" t="0" r="0" b="26670"/>
                <wp:wrapNone/>
                <wp:docPr id="45" name="Group 45"/>
                <wp:cNvGraphicFramePr/>
                <a:graphic xmlns:a="http://schemas.openxmlformats.org/drawingml/2006/main">
                  <a:graphicData uri="http://schemas.microsoft.com/office/word/2010/wordprocessingGroup">
                    <wpg:wgp>
                      <wpg:cNvGrpSpPr/>
                      <wpg:grpSpPr>
                        <a:xfrm>
                          <a:off x="0" y="0"/>
                          <a:ext cx="6172200" cy="6888480"/>
                          <a:chOff x="0" y="0"/>
                          <a:chExt cx="6258560" cy="7171690"/>
                        </a:xfrm>
                      </wpg:grpSpPr>
                      <wpg:grpSp>
                        <wpg:cNvPr id="46" name="Group 46"/>
                        <wpg:cNvGrpSpPr/>
                        <wpg:grpSpPr>
                          <a:xfrm>
                            <a:off x="0" y="0"/>
                            <a:ext cx="6050280" cy="1113790"/>
                            <a:chOff x="0" y="0"/>
                            <a:chExt cx="6050280" cy="1113790"/>
                          </a:xfrm>
                        </wpg:grpSpPr>
                        <wpg:grpSp>
                          <wpg:cNvPr id="47" name="Group 47"/>
                          <wpg:cNvGrpSpPr/>
                          <wpg:grpSpPr>
                            <a:xfrm>
                              <a:off x="0" y="0"/>
                              <a:ext cx="6050280" cy="947420"/>
                              <a:chOff x="0" y="0"/>
                              <a:chExt cx="6050280" cy="947420"/>
                            </a:xfrm>
                          </wpg:grpSpPr>
                          <wps:wsp>
                            <wps:cNvPr id="48" name="Text Box 48"/>
                            <wps:cNvSpPr txBox="1"/>
                            <wps:spPr>
                              <a:xfrm>
                                <a:off x="1463040" y="0"/>
                                <a:ext cx="3268980" cy="502920"/>
                              </a:xfrm>
                              <a:prstGeom prst="rect">
                                <a:avLst/>
                              </a:prstGeom>
                              <a:solidFill>
                                <a:sysClr val="window" lastClr="FFFFFF"/>
                              </a:solidFill>
                              <a:ln w="6350">
                                <a:noFill/>
                              </a:ln>
                              <a:effectLst/>
                            </wps:spPr>
                            <wps:txbx>
                              <w:txbxContent>
                                <w:p w14:paraId="16FDED46" w14:textId="77777777" w:rsidR="00C53AA5" w:rsidRPr="004750B8" w:rsidRDefault="00C53AA5" w:rsidP="00C61E7C">
                                  <w:pPr>
                                    <w:jc w:val="center"/>
                                    <w:rPr>
                                      <w:b/>
                                    </w:rPr>
                                  </w:pPr>
                                  <w:r w:rsidRPr="004750B8">
                                    <w:rPr>
                                      <w:b/>
                                    </w:rPr>
                                    <w:t>Environmental and Social Management Framework (ESMF)</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9" name="Straight Connector 49"/>
                            <wps:cNvCnPr/>
                            <wps:spPr>
                              <a:xfrm>
                                <a:off x="3093720" y="518160"/>
                                <a:ext cx="0" cy="215900"/>
                              </a:xfrm>
                              <a:prstGeom prst="line">
                                <a:avLst/>
                              </a:prstGeom>
                              <a:noFill/>
                              <a:ln w="19050" cap="flat" cmpd="sng" algn="ctr">
                                <a:solidFill>
                                  <a:sysClr val="windowText" lastClr="000000"/>
                                </a:solidFill>
                                <a:prstDash val="solid"/>
                                <a:miter lim="800000"/>
                              </a:ln>
                              <a:effectLst/>
                            </wps:spPr>
                            <wps:bodyPr/>
                          </wps:wsp>
                          <wps:wsp>
                            <wps:cNvPr id="50" name="Straight Connector 50"/>
                            <wps:cNvCnPr/>
                            <wps:spPr>
                              <a:xfrm>
                                <a:off x="15240" y="731520"/>
                                <a:ext cx="6032500" cy="12700"/>
                              </a:xfrm>
                              <a:prstGeom prst="line">
                                <a:avLst/>
                              </a:prstGeom>
                              <a:noFill/>
                              <a:ln w="19050" cap="flat" cmpd="sng" algn="ctr">
                                <a:solidFill>
                                  <a:sysClr val="windowText" lastClr="000000"/>
                                </a:solidFill>
                                <a:prstDash val="solid"/>
                                <a:miter lim="800000"/>
                              </a:ln>
                              <a:effectLst/>
                            </wps:spPr>
                            <wps:bodyPr/>
                          </wps:wsp>
                          <wps:wsp>
                            <wps:cNvPr id="51" name="Straight Connector 51"/>
                            <wps:cNvCnPr/>
                            <wps:spPr>
                              <a:xfrm>
                                <a:off x="0" y="723900"/>
                                <a:ext cx="0" cy="215900"/>
                              </a:xfrm>
                              <a:prstGeom prst="line">
                                <a:avLst/>
                              </a:prstGeom>
                              <a:noFill/>
                              <a:ln w="19050" cap="flat" cmpd="sng" algn="ctr">
                                <a:solidFill>
                                  <a:sysClr val="windowText" lastClr="000000"/>
                                </a:solidFill>
                                <a:prstDash val="solid"/>
                                <a:miter lim="800000"/>
                              </a:ln>
                              <a:effectLst/>
                            </wps:spPr>
                            <wps:bodyPr/>
                          </wps:wsp>
                          <wps:wsp>
                            <wps:cNvPr id="52" name="Straight Connector 52"/>
                            <wps:cNvCnPr/>
                            <wps:spPr>
                              <a:xfrm>
                                <a:off x="6050280" y="731520"/>
                                <a:ext cx="0" cy="215900"/>
                              </a:xfrm>
                              <a:prstGeom prst="line">
                                <a:avLst/>
                              </a:prstGeom>
                              <a:noFill/>
                              <a:ln w="19050" cap="flat" cmpd="sng" algn="ctr">
                                <a:solidFill>
                                  <a:sysClr val="windowText" lastClr="000000"/>
                                </a:solidFill>
                                <a:prstDash val="solid"/>
                                <a:miter lim="800000"/>
                              </a:ln>
                              <a:effectLst/>
                            </wps:spPr>
                            <wps:bodyPr/>
                          </wps:wsp>
                        </wpg:grpSp>
                        <wps:wsp>
                          <wps:cNvPr id="53" name="Text Box 53"/>
                          <wps:cNvSpPr txBox="1"/>
                          <wps:spPr>
                            <a:xfrm>
                              <a:off x="4008120" y="777240"/>
                              <a:ext cx="2035810" cy="336550"/>
                            </a:xfrm>
                            <a:prstGeom prst="rect">
                              <a:avLst/>
                            </a:prstGeom>
                            <a:solidFill>
                              <a:sysClr val="window" lastClr="FFFFFF"/>
                            </a:solidFill>
                            <a:ln w="6350">
                              <a:noFill/>
                            </a:ln>
                            <a:effectLst/>
                          </wps:spPr>
                          <wps:txbx>
                            <w:txbxContent>
                              <w:p w14:paraId="3AF787C2" w14:textId="77777777" w:rsidR="00C53AA5" w:rsidRPr="00BF2DDB" w:rsidRDefault="00C53AA5" w:rsidP="00C61E7C">
                                <w:pPr>
                                  <w:jc w:val="right"/>
                                  <w:rPr>
                                    <w:b/>
                                  </w:rPr>
                                </w:pPr>
                                <w:r>
                                  <w:rPr>
                                    <w:b/>
                                  </w:rPr>
                                  <w:t>Each potential sub-project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g:cNvPr id="54" name="Group 54"/>
                        <wpg:cNvGrpSpPr/>
                        <wpg:grpSpPr>
                          <a:xfrm>
                            <a:off x="129540" y="1089660"/>
                            <a:ext cx="6129020" cy="6082030"/>
                            <a:chOff x="0" y="0"/>
                            <a:chExt cx="6129020" cy="6082030"/>
                          </a:xfrm>
                        </wpg:grpSpPr>
                        <wps:wsp>
                          <wps:cNvPr id="55" name="Text Box 55"/>
                          <wps:cNvSpPr txBox="1"/>
                          <wps:spPr>
                            <a:xfrm>
                              <a:off x="2202180" y="167640"/>
                              <a:ext cx="1524000" cy="628650"/>
                            </a:xfrm>
                            <a:prstGeom prst="rect">
                              <a:avLst/>
                            </a:prstGeom>
                            <a:solidFill>
                              <a:sysClr val="window" lastClr="FFFFFF"/>
                            </a:solidFill>
                            <a:ln w="6350">
                              <a:solidFill>
                                <a:prstClr val="black"/>
                              </a:solidFill>
                            </a:ln>
                            <a:effectLst/>
                          </wps:spPr>
                          <wps:txbx>
                            <w:txbxContent>
                              <w:p w14:paraId="7434E90E" w14:textId="77777777" w:rsidR="00C53AA5" w:rsidRPr="004750B8" w:rsidRDefault="00C53AA5" w:rsidP="00C61E7C">
                                <w:pPr>
                                  <w:jc w:val="center"/>
                                  <w:rPr>
                                    <w:sz w:val="20"/>
                                    <w:szCs w:val="20"/>
                                  </w:rPr>
                                </w:pPr>
                                <w:r w:rsidRPr="004750B8">
                                  <w:rPr>
                                    <w:sz w:val="20"/>
                                    <w:szCs w:val="20"/>
                                  </w:rPr>
                                  <w:t>No specific environmental assessment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209800" y="1371600"/>
                              <a:ext cx="1524000" cy="365760"/>
                            </a:xfrm>
                            <a:prstGeom prst="rect">
                              <a:avLst/>
                            </a:prstGeom>
                            <a:solidFill>
                              <a:sysClr val="window" lastClr="FFFFFF"/>
                            </a:solidFill>
                            <a:ln w="6350">
                              <a:solidFill>
                                <a:prstClr val="black"/>
                              </a:solidFill>
                            </a:ln>
                            <a:effectLst/>
                          </wps:spPr>
                          <wps:txbx>
                            <w:txbxContent>
                              <w:p w14:paraId="503EE10C" w14:textId="77777777" w:rsidR="00C53AA5" w:rsidRDefault="00C53AA5" w:rsidP="00C61E7C">
                                <w:pPr>
                                  <w:jc w:val="center"/>
                                </w:pPr>
                                <w:r>
                                  <w:t>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2209800" y="2255520"/>
                              <a:ext cx="1524000" cy="426720"/>
                            </a:xfrm>
                            <a:prstGeom prst="rect">
                              <a:avLst/>
                            </a:prstGeom>
                            <a:solidFill>
                              <a:sysClr val="window" lastClr="FFFFFF"/>
                            </a:solidFill>
                            <a:ln w="6350">
                              <a:solidFill>
                                <a:prstClr val="black"/>
                              </a:solidFill>
                            </a:ln>
                            <a:effectLst/>
                          </wps:spPr>
                          <wps:txbx>
                            <w:txbxContent>
                              <w:p w14:paraId="6A88F60C" w14:textId="77777777" w:rsidR="00C53AA5" w:rsidRDefault="00C53AA5" w:rsidP="00C61E7C">
                                <w:pPr>
                                  <w:jc w:val="center"/>
                                </w:pPr>
                                <w:r>
                                  <w:t>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2202180" y="3451860"/>
                              <a:ext cx="1524000" cy="628650"/>
                            </a:xfrm>
                            <a:prstGeom prst="rect">
                              <a:avLst/>
                            </a:prstGeom>
                            <a:solidFill>
                              <a:sysClr val="window" lastClr="FFFFFF"/>
                            </a:solidFill>
                            <a:ln w="6350">
                              <a:solidFill>
                                <a:prstClr val="black"/>
                              </a:solidFill>
                            </a:ln>
                            <a:effectLst/>
                          </wps:spPr>
                          <wps:txbx>
                            <w:txbxContent>
                              <w:p w14:paraId="6D9017E4" w14:textId="77777777" w:rsidR="00C53AA5" w:rsidRDefault="00C53AA5" w:rsidP="00C61E7C">
                                <w:pPr>
                                  <w:jc w:val="center"/>
                                </w:pPr>
                                <w:r>
                                  <w:t>Consideration of further mitigation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9" name="Straight Arrow Connector 59"/>
                          <wps:cNvCnPr/>
                          <wps:spPr>
                            <a:xfrm>
                              <a:off x="1531620" y="1554480"/>
                              <a:ext cx="679450" cy="0"/>
                            </a:xfrm>
                            <a:prstGeom prst="straightConnector1">
                              <a:avLst/>
                            </a:prstGeom>
                            <a:noFill/>
                            <a:ln w="12700" cap="flat" cmpd="sng" algn="ctr">
                              <a:solidFill>
                                <a:sysClr val="windowText" lastClr="000000"/>
                              </a:solidFill>
                              <a:prstDash val="solid"/>
                              <a:miter lim="800000"/>
                              <a:tailEnd type="triangle"/>
                            </a:ln>
                            <a:effectLst/>
                          </wps:spPr>
                          <wps:bodyPr/>
                        </wps:wsp>
                        <wps:wsp>
                          <wps:cNvPr id="60" name="Straight Arrow Connector 60"/>
                          <wps:cNvCnPr/>
                          <wps:spPr>
                            <a:xfrm>
                              <a:off x="1531620" y="2468880"/>
                              <a:ext cx="679450" cy="0"/>
                            </a:xfrm>
                            <a:prstGeom prst="straightConnector1">
                              <a:avLst/>
                            </a:prstGeom>
                            <a:noFill/>
                            <a:ln w="12700" cap="flat" cmpd="sng" algn="ctr">
                              <a:solidFill>
                                <a:sysClr val="windowText" lastClr="000000"/>
                              </a:solidFill>
                              <a:prstDash val="solid"/>
                              <a:miter lim="800000"/>
                              <a:tailEnd type="triangle"/>
                            </a:ln>
                            <a:effectLst/>
                          </wps:spPr>
                          <wps:bodyPr/>
                        </wps:wsp>
                        <wps:wsp>
                          <wps:cNvPr id="61" name="Straight Connector 61"/>
                          <wps:cNvCnPr/>
                          <wps:spPr>
                            <a:xfrm flipV="1">
                              <a:off x="1524000" y="4579620"/>
                              <a:ext cx="1466850" cy="6350"/>
                            </a:xfrm>
                            <a:prstGeom prst="line">
                              <a:avLst/>
                            </a:prstGeom>
                            <a:noFill/>
                            <a:ln w="12700" cap="flat" cmpd="sng" algn="ctr">
                              <a:solidFill>
                                <a:sysClr val="windowText" lastClr="000000"/>
                              </a:solidFill>
                              <a:prstDash val="solid"/>
                              <a:miter lim="800000"/>
                            </a:ln>
                            <a:effectLst/>
                          </wps:spPr>
                          <wps:bodyPr/>
                        </wps:wsp>
                        <wps:wsp>
                          <wps:cNvPr id="62" name="Straight Arrow Connector 62"/>
                          <wps:cNvCnPr/>
                          <wps:spPr>
                            <a:xfrm flipV="1">
                              <a:off x="2979420" y="4069080"/>
                              <a:ext cx="0" cy="514350"/>
                            </a:xfrm>
                            <a:prstGeom prst="straightConnector1">
                              <a:avLst/>
                            </a:prstGeom>
                            <a:noFill/>
                            <a:ln w="12700" cap="flat" cmpd="sng" algn="ctr">
                              <a:solidFill>
                                <a:sysClr val="windowText" lastClr="000000"/>
                              </a:solidFill>
                              <a:prstDash val="solid"/>
                              <a:miter lim="800000"/>
                              <a:tailEnd type="triangle"/>
                            </a:ln>
                            <a:effectLst/>
                          </wps:spPr>
                          <wps:bodyPr/>
                        </wps:wsp>
                        <wps:wsp>
                          <wps:cNvPr id="63" name="Text Box 63"/>
                          <wps:cNvSpPr txBox="1"/>
                          <wps:spPr>
                            <a:xfrm>
                              <a:off x="4366260" y="2628900"/>
                              <a:ext cx="1739900" cy="685800"/>
                            </a:xfrm>
                            <a:prstGeom prst="rect">
                              <a:avLst/>
                            </a:prstGeom>
                            <a:solidFill>
                              <a:sysClr val="window" lastClr="FFFFFF"/>
                            </a:solidFill>
                            <a:ln w="6350">
                              <a:noFill/>
                            </a:ln>
                            <a:effectLst/>
                          </wps:spPr>
                          <wps:txbx>
                            <w:txbxContent>
                              <w:p w14:paraId="071807A0" w14:textId="77777777" w:rsidR="00C53AA5" w:rsidRPr="00BF2DDB" w:rsidRDefault="00C53AA5" w:rsidP="00C61E7C">
                                <w:pPr>
                                  <w:jc w:val="center"/>
                                  <w:rPr>
                                    <w:b/>
                                  </w:rPr>
                                </w:pPr>
                                <w:r>
                                  <w:rPr>
                                    <w:b/>
                                  </w:rPr>
                                  <w:t xml:space="preserve">Subproject-specific environmental and social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64"/>
                          <wps:cNvSpPr txBox="1"/>
                          <wps:spPr>
                            <a:xfrm>
                              <a:off x="4328160" y="960120"/>
                              <a:ext cx="1739900" cy="685800"/>
                            </a:xfrm>
                            <a:prstGeom prst="rect">
                              <a:avLst/>
                            </a:prstGeom>
                            <a:solidFill>
                              <a:sysClr val="window" lastClr="FFFFFF"/>
                            </a:solidFill>
                            <a:ln w="6350">
                              <a:noFill/>
                            </a:ln>
                            <a:effectLst/>
                          </wps:spPr>
                          <wps:txbx>
                            <w:txbxContent>
                              <w:p w14:paraId="72D3CA9A" w14:textId="77777777" w:rsidR="00C53AA5" w:rsidRPr="00BF2DDB" w:rsidRDefault="00C53AA5" w:rsidP="00C61E7C">
                                <w:pPr>
                                  <w:jc w:val="center"/>
                                  <w:rPr>
                                    <w:b/>
                                  </w:rPr>
                                </w:pPr>
                                <w:r>
                                  <w:rPr>
                                    <w:b/>
                                  </w:rPr>
                                  <w:t>Subproject-specific screening and scoping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4389120" y="5326380"/>
                              <a:ext cx="1739900" cy="685800"/>
                            </a:xfrm>
                            <a:prstGeom prst="rect">
                              <a:avLst/>
                            </a:prstGeom>
                            <a:solidFill>
                              <a:sysClr val="window" lastClr="FFFFFF"/>
                            </a:solidFill>
                            <a:ln w="6350">
                              <a:noFill/>
                            </a:ln>
                            <a:effectLst/>
                          </wps:spPr>
                          <wps:txbx>
                            <w:txbxContent>
                              <w:p w14:paraId="0DB3B46B" w14:textId="77777777" w:rsidR="00C53AA5" w:rsidRPr="00BF2DDB" w:rsidRDefault="00C53AA5" w:rsidP="00C61E7C">
                                <w:pPr>
                                  <w:jc w:val="center"/>
                                  <w:rPr>
                                    <w:b/>
                                  </w:rPr>
                                </w:pPr>
                                <w:r>
                                  <w:rPr>
                                    <w:b/>
                                  </w:rPr>
                                  <w:t>Subproject-specific ESMP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 66"/>
                          <wpg:cNvGrpSpPr/>
                          <wpg:grpSpPr>
                            <a:xfrm>
                              <a:off x="0" y="0"/>
                              <a:ext cx="2240280" cy="6082030"/>
                              <a:chOff x="0" y="0"/>
                              <a:chExt cx="2240280" cy="6082030"/>
                            </a:xfrm>
                          </wpg:grpSpPr>
                          <wps:wsp>
                            <wps:cNvPr id="67" name="Text Box 67"/>
                            <wps:cNvSpPr txBox="1"/>
                            <wps:spPr>
                              <a:xfrm>
                                <a:off x="0" y="5288280"/>
                                <a:ext cx="1524000" cy="793750"/>
                              </a:xfrm>
                              <a:prstGeom prst="rect">
                                <a:avLst/>
                              </a:prstGeom>
                              <a:solidFill>
                                <a:sysClr val="window" lastClr="FFFFFF"/>
                              </a:solidFill>
                              <a:ln w="6350">
                                <a:solidFill>
                                  <a:prstClr val="black"/>
                                </a:solidFill>
                              </a:ln>
                              <a:effectLst/>
                            </wps:spPr>
                            <wps:txbx>
                              <w:txbxContent>
                                <w:p w14:paraId="733ADED2" w14:textId="77777777" w:rsidR="00C53AA5" w:rsidRPr="004750B8" w:rsidRDefault="00C53AA5" w:rsidP="00C61E7C">
                                  <w:pPr>
                                    <w:jc w:val="center"/>
                                    <w:rPr>
                                      <w:sz w:val="20"/>
                                      <w:szCs w:val="20"/>
                                    </w:rPr>
                                  </w:pPr>
                                  <w:r w:rsidRPr="004750B8">
                                    <w:rPr>
                                      <w:sz w:val="20"/>
                                      <w:szCs w:val="20"/>
                                    </w:rPr>
                                    <w:t>Subproject-specific Environmental and Social Management Plan (ESMP)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0" y="4320540"/>
                                <a:ext cx="1524000" cy="449580"/>
                              </a:xfrm>
                              <a:prstGeom prst="rect">
                                <a:avLst/>
                              </a:prstGeom>
                              <a:solidFill>
                                <a:sysClr val="window" lastClr="FFFFFF"/>
                              </a:solidFill>
                              <a:ln w="6350">
                                <a:solidFill>
                                  <a:prstClr val="black"/>
                                </a:solidFill>
                              </a:ln>
                              <a:effectLst/>
                            </wps:spPr>
                            <wps:txbx>
                              <w:txbxContent>
                                <w:p w14:paraId="2189A3BD" w14:textId="77777777" w:rsidR="00C53AA5" w:rsidRPr="004750B8" w:rsidRDefault="00C53AA5" w:rsidP="00C61E7C">
                                  <w:pPr>
                                    <w:jc w:val="center"/>
                                    <w:rPr>
                                      <w:sz w:val="20"/>
                                      <w:szCs w:val="20"/>
                                    </w:rPr>
                                  </w:pPr>
                                  <w:r w:rsidRPr="004750B8">
                                    <w:rPr>
                                      <w:sz w:val="20"/>
                                      <w:szCs w:val="20"/>
                                    </w:rPr>
                                    <w:t>Mitigation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0" y="3192780"/>
                                <a:ext cx="1524000" cy="628650"/>
                              </a:xfrm>
                              <a:prstGeom prst="rect">
                                <a:avLst/>
                              </a:prstGeom>
                              <a:solidFill>
                                <a:sysClr val="window" lastClr="FFFFFF"/>
                              </a:solidFill>
                              <a:ln w="6350">
                                <a:solidFill>
                                  <a:prstClr val="black"/>
                                </a:solidFill>
                              </a:ln>
                              <a:effectLst/>
                            </wps:spPr>
                            <wps:txbx>
                              <w:txbxContent>
                                <w:p w14:paraId="1FEED1C2" w14:textId="77777777" w:rsidR="00C53AA5" w:rsidRDefault="00C53AA5" w:rsidP="00C61E7C">
                                  <w:pPr>
                                    <w:jc w:val="center"/>
                                  </w:pPr>
                                  <w:r>
                                    <w:t>Impact prediction and evaluation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70" name="Text Box 70"/>
                            <wps:cNvSpPr txBox="1"/>
                            <wps:spPr>
                              <a:xfrm>
                                <a:off x="0" y="2255520"/>
                                <a:ext cx="1524000" cy="434340"/>
                              </a:xfrm>
                              <a:prstGeom prst="rect">
                                <a:avLst/>
                              </a:prstGeom>
                              <a:solidFill>
                                <a:sysClr val="window" lastClr="FFFFFF"/>
                              </a:solidFill>
                              <a:ln w="6350">
                                <a:solidFill>
                                  <a:prstClr val="black"/>
                                </a:solidFill>
                              </a:ln>
                              <a:effectLst/>
                            </wps:spPr>
                            <wps:txbx>
                              <w:txbxContent>
                                <w:p w14:paraId="02284140" w14:textId="77777777" w:rsidR="00C53AA5" w:rsidRDefault="00C53AA5" w:rsidP="00C61E7C">
                                  <w:pPr>
                                    <w:jc w:val="center"/>
                                  </w:pPr>
                                  <w:r>
                                    <w:t>Baseline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0" y="1379220"/>
                                <a:ext cx="1524000" cy="373380"/>
                              </a:xfrm>
                              <a:prstGeom prst="rect">
                                <a:avLst/>
                              </a:prstGeom>
                              <a:solidFill>
                                <a:sysClr val="window" lastClr="FFFFFF"/>
                              </a:solidFill>
                              <a:ln w="6350">
                                <a:solidFill>
                                  <a:prstClr val="black"/>
                                </a:solidFill>
                              </a:ln>
                              <a:effectLst/>
                            </wps:spPr>
                            <wps:txbx>
                              <w:txbxContent>
                                <w:p w14:paraId="2B14ADE4" w14:textId="77777777" w:rsidR="00C53AA5" w:rsidRDefault="00C53AA5" w:rsidP="00C61E7C">
                                  <w:pPr>
                                    <w:jc w:val="center"/>
                                  </w:pPr>
                                  <w:r>
                                    <w:t>Scoping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0" y="220980"/>
                                <a:ext cx="1524000" cy="480060"/>
                              </a:xfrm>
                              <a:prstGeom prst="rect">
                                <a:avLst/>
                              </a:prstGeom>
                              <a:solidFill>
                                <a:sysClr val="window" lastClr="FFFFFF"/>
                              </a:solidFill>
                              <a:ln w="6350">
                                <a:solidFill>
                                  <a:prstClr val="black"/>
                                </a:solidFill>
                              </a:ln>
                              <a:effectLst/>
                            </wps:spPr>
                            <wps:txbx>
                              <w:txbxContent>
                                <w:p w14:paraId="1DD9510A" w14:textId="77777777" w:rsidR="00C53AA5" w:rsidRPr="008B54F1" w:rsidRDefault="00C53AA5" w:rsidP="00C61E7C">
                                  <w:pPr>
                                    <w:jc w:val="center"/>
                                    <w:rPr>
                                      <w:sz w:val="20"/>
                                    </w:rPr>
                                  </w:pPr>
                                  <w:r w:rsidRPr="008B54F1">
                                    <w:rPr>
                                      <w:sz w:val="20"/>
                                    </w:rPr>
                                    <w:t>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Arrow Connector 73"/>
                            <wps:cNvCnPr/>
                            <wps:spPr>
                              <a:xfrm>
                                <a:off x="1531620" y="502920"/>
                                <a:ext cx="679450" cy="0"/>
                              </a:xfrm>
                              <a:prstGeom prst="straightConnector1">
                                <a:avLst/>
                              </a:prstGeom>
                              <a:noFill/>
                              <a:ln w="12700" cap="flat" cmpd="sng" algn="ctr">
                                <a:solidFill>
                                  <a:sysClr val="windowText" lastClr="000000"/>
                                </a:solidFill>
                                <a:prstDash val="solid"/>
                                <a:miter lim="800000"/>
                                <a:tailEnd type="triangle"/>
                              </a:ln>
                              <a:effectLst/>
                            </wps:spPr>
                            <wps:bodyPr/>
                          </wps:wsp>
                          <wps:wsp>
                            <wps:cNvPr id="74" name="Straight Arrow Connector 74"/>
                            <wps:cNvCnPr/>
                            <wps:spPr>
                              <a:xfrm>
                                <a:off x="777240" y="701040"/>
                                <a:ext cx="0" cy="647700"/>
                              </a:xfrm>
                              <a:prstGeom prst="straightConnector1">
                                <a:avLst/>
                              </a:prstGeom>
                              <a:noFill/>
                              <a:ln w="12700" cap="flat" cmpd="sng" algn="ctr">
                                <a:solidFill>
                                  <a:sysClr val="windowText" lastClr="000000"/>
                                </a:solidFill>
                                <a:prstDash val="solid"/>
                                <a:miter lim="800000"/>
                                <a:tailEnd type="triangle"/>
                              </a:ln>
                              <a:effectLst/>
                            </wps:spPr>
                            <wps:bodyPr/>
                          </wps:wsp>
                          <wps:wsp>
                            <wps:cNvPr id="75" name="Straight Arrow Connector 75"/>
                            <wps:cNvCnPr/>
                            <wps:spPr>
                              <a:xfrm>
                                <a:off x="769620" y="1760220"/>
                                <a:ext cx="0" cy="469900"/>
                              </a:xfrm>
                              <a:prstGeom prst="straightConnector1">
                                <a:avLst/>
                              </a:prstGeom>
                              <a:noFill/>
                              <a:ln w="12700" cap="flat" cmpd="sng" algn="ctr">
                                <a:solidFill>
                                  <a:sysClr val="windowText" lastClr="000000"/>
                                </a:solidFill>
                                <a:prstDash val="solid"/>
                                <a:miter lim="800000"/>
                                <a:tailEnd type="triangle"/>
                              </a:ln>
                              <a:effectLst/>
                            </wps:spPr>
                            <wps:bodyPr/>
                          </wps:wsp>
                          <wps:wsp>
                            <wps:cNvPr id="76" name="Text Box 76"/>
                            <wps:cNvSpPr txBox="1"/>
                            <wps:spPr>
                              <a:xfrm>
                                <a:off x="845820" y="838200"/>
                                <a:ext cx="762000" cy="381000"/>
                              </a:xfrm>
                              <a:prstGeom prst="rect">
                                <a:avLst/>
                              </a:prstGeom>
                              <a:solidFill>
                                <a:sysClr val="window" lastClr="FFFFFF"/>
                              </a:solidFill>
                              <a:ln w="6350">
                                <a:noFill/>
                              </a:ln>
                              <a:effectLst/>
                            </wps:spPr>
                            <wps:txbx>
                              <w:txbxContent>
                                <w:p w14:paraId="5CE54510" w14:textId="77777777" w:rsidR="00C53AA5" w:rsidRPr="00BF2DDB" w:rsidRDefault="00C53AA5" w:rsidP="00C61E7C">
                                  <w:pPr>
                                    <w:rPr>
                                      <w:sz w:val="16"/>
                                    </w:rPr>
                                  </w:pPr>
                                  <w:r>
                                    <w:rPr>
                                      <w:sz w:val="16"/>
                                    </w:rPr>
                                    <w:t>Category B - Impacts likely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1478280" y="0"/>
                                <a:ext cx="762000" cy="476250"/>
                              </a:xfrm>
                              <a:prstGeom prst="rect">
                                <a:avLst/>
                              </a:prstGeom>
                              <a:noFill/>
                              <a:ln w="6350">
                                <a:noFill/>
                              </a:ln>
                              <a:effectLst/>
                            </wps:spPr>
                            <wps:txbx>
                              <w:txbxContent>
                                <w:p w14:paraId="646ACC67" w14:textId="77777777" w:rsidR="00C53AA5" w:rsidRPr="00BF2DDB" w:rsidRDefault="00C53AA5" w:rsidP="00C61E7C">
                                  <w:pPr>
                                    <w:rPr>
                                      <w:sz w:val="16"/>
                                    </w:rPr>
                                  </w:pPr>
                                  <w:r>
                                    <w:rPr>
                                      <w:sz w:val="16"/>
                                    </w:rPr>
                                    <w:t>Category C - No significant impacts likely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Straight Arrow Connector 78"/>
                            <wps:cNvCnPr/>
                            <wps:spPr>
                              <a:xfrm>
                                <a:off x="762000" y="2697480"/>
                                <a:ext cx="0" cy="469900"/>
                              </a:xfrm>
                              <a:prstGeom prst="straightConnector1">
                                <a:avLst/>
                              </a:prstGeom>
                              <a:noFill/>
                              <a:ln w="12700" cap="flat" cmpd="sng" algn="ctr">
                                <a:solidFill>
                                  <a:sysClr val="windowText" lastClr="000000"/>
                                </a:solidFill>
                                <a:prstDash val="solid"/>
                                <a:miter lim="800000"/>
                                <a:tailEnd type="triangle"/>
                              </a:ln>
                              <a:effectLst/>
                            </wps:spPr>
                            <wps:bodyPr/>
                          </wps:wsp>
                          <wps:wsp>
                            <wps:cNvPr id="79" name="Straight Arrow Connector 79"/>
                            <wps:cNvCnPr/>
                            <wps:spPr>
                              <a:xfrm>
                                <a:off x="754380" y="3825240"/>
                                <a:ext cx="0" cy="469900"/>
                              </a:xfrm>
                              <a:prstGeom prst="straightConnector1">
                                <a:avLst/>
                              </a:prstGeom>
                              <a:noFill/>
                              <a:ln w="12700" cap="flat" cmpd="sng" algn="ctr">
                                <a:solidFill>
                                  <a:sysClr val="windowText" lastClr="000000"/>
                                </a:solidFill>
                                <a:prstDash val="solid"/>
                                <a:miter lim="800000"/>
                                <a:tailEnd type="triangle"/>
                              </a:ln>
                              <a:effectLst/>
                            </wps:spPr>
                            <wps:bodyPr/>
                          </wps:wsp>
                          <wps:wsp>
                            <wps:cNvPr id="80" name="Straight Arrow Connector 80"/>
                            <wps:cNvCnPr/>
                            <wps:spPr>
                              <a:xfrm>
                                <a:off x="762000" y="4792980"/>
                                <a:ext cx="0" cy="469900"/>
                              </a:xfrm>
                              <a:prstGeom prst="straightConnector1">
                                <a:avLst/>
                              </a:prstGeom>
                              <a:noFill/>
                              <a:ln w="12700" cap="flat" cmpd="sng" algn="ctr">
                                <a:solidFill>
                                  <a:sysClr val="windowText" lastClr="000000"/>
                                </a:solidFill>
                                <a:prstDash val="solid"/>
                                <a:miter lim="800000"/>
                                <a:tailEnd type="triangle"/>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71E2857B" id="Group 45" o:spid="_x0000_s1026" style="position:absolute;left:0;text-align:left;margin-left:0;margin-top:0;width:486pt;height:542.4pt;z-index:251663360;mso-width-relative:margin;mso-height-relative:margin" coordsize="62585,7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">
                <v:group id="Group 46" o:spid="_x0000_s1027" style="position:absolute;width:60502;height:11137" coordsize="60502,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7" o:spid="_x0000_s1028" style="position:absolute;width:60502;height:9474" coordsize="60502,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type id="_x0000_t202" coordsize="21600,21600" o:spt="202" path="m,l,21600r21600,l21600,xe">
                      <v:stroke joinstyle="miter"/>
                      <v:path gradientshapeok="t" o:connecttype="rect"/>
                    </v:shapetype>
                    <v:shape id="Text Box 48" o:spid="_x0000_s1029" type="#_x0000_t202" style="position:absolute;left:14630;width:32690;height:50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" fillcolor="window" stroked="f" strokeweight=".5pt">
                      <v:textbox>
                        <w:txbxContent>
                          <w:p w14:paraId="16FDED46" w14:textId="77777777" w:rsidR="00C53AA5" w:rsidRPr="004750B8" w:rsidRDefault="00C53AA5" w:rsidP="00C61E7C">
                            <w:pPr>
                              <w:jc w:val="center"/>
                              <w:rPr>
                                <w:b/>
                              </w:rPr>
                            </w:pPr>
                            <w:r w:rsidRPr="004750B8">
                              <w:rPr>
                                <w:b/>
                              </w:rPr>
                              <w:t>Environmental and Social Management Framework (ESMF)</w:t>
                            </w:r>
                          </w:p>
                        </w:txbxContent>
                      </v:textbox>
                    </v:shape>
                    <v:line id="Straight Connector 49" o:spid="_x0000_s1030" style="position:absolute;visibility:visible;mso-wrap-style:square" from="30937,5181" to="30937,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" strokecolor="windowText" strokeweight="1.5pt">
                      <v:stroke joinstyle="miter"/>
                    </v:line>
                    <v:line id="Straight Connector 50" o:spid="_x0000_s1031" style="position:absolute;visibility:visible;mso-wrap-style:square" from="152,7315" to="60477,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" strokecolor="windowText" strokeweight="1.5pt">
                      <v:stroke joinstyle="miter"/>
                    </v:line>
                    <v:line id="Straight Connector 51" o:spid="_x0000_s1032" style="position:absolute;visibility:visible;mso-wrap-style:square" from="0,7239" to="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" strokecolor="windowText" strokeweight="1.5pt">
                      <v:stroke joinstyle="miter"/>
                    </v:line>
                    <v:line id="Straight Connector 52" o:spid="_x0000_s1033" style="position:absolute;visibility:visible;mso-wrap-style:square" from="60502,7315" to="60502,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" strokecolor="windowText" strokeweight="1.5pt">
                      <v:stroke joinstyle="miter"/>
                    </v:line>
                  </v:group>
                  <v:shape id="Text Box 53" o:spid="_x0000_s1034" type="#_x0000_t202" style="position:absolute;left:40081;top:7772;width:20358;height:336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" fillcolor="window" stroked="f" strokeweight=".5pt">
                    <v:textbox>
                      <w:txbxContent>
                        <w:p w14:paraId="3AF787C2" w14:textId="77777777" w:rsidR="00C53AA5" w:rsidRPr="00BF2DDB" w:rsidRDefault="00C53AA5" w:rsidP="00C61E7C">
                          <w:pPr>
                            <w:jc w:val="right"/>
                            <w:rPr>
                              <w:b/>
                            </w:rPr>
                          </w:pPr>
                          <w:r>
                            <w:rPr>
                              <w:b/>
                            </w:rPr>
                            <w:t>Each potential sub-project</w:t>
                          </w:r>
                        </w:p>
                      </w:txbxContent>
                    </v:textbox>
                  </v:shape>
                </v:group>
                <v:group id="Group 54" o:spid="_x0000_s1035" style="position:absolute;left:1295;top:10896;width:61290;height:60820" coordsize="61290,6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55" o:spid="_x0000_s1036" type="#_x0000_t202" style="position:absolute;left:22021;top:1676;width:15240;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7duwwAAANsAAAAPAAAAZHJzL2Rvd25yZXYueG1sRI9Ba8JA&#10;FITvBf/D8oTe6qaC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Rqe3bsMAAADbAAAADwAA&#10;AAAAAAAAAAAAAAAHAgAAZHJzL2Rvd25yZXYueG1sUEsFBgAAAAADAAMAtwAAAPcCAAAAAA==&#10;" fillcolor="window" strokeweight=".5pt">
                    <v:textbox>
                      <w:txbxContent>
                        <w:p w14:paraId="7434E90E" w14:textId="77777777" w:rsidR="00C53AA5" w:rsidRPr="004750B8" w:rsidRDefault="00C53AA5" w:rsidP="00C61E7C">
                          <w:pPr>
                            <w:jc w:val="center"/>
                            <w:rPr>
                              <w:sz w:val="20"/>
                              <w:szCs w:val="20"/>
                            </w:rPr>
                          </w:pPr>
                          <w:r w:rsidRPr="004750B8">
                            <w:rPr>
                              <w:sz w:val="20"/>
                              <w:szCs w:val="20"/>
                            </w:rPr>
                            <w:t>No specific environmental assessment required</w:t>
                          </w:r>
                        </w:p>
                      </w:txbxContent>
                    </v:textbox>
                  </v:shape>
                  <v:shape id="Text Box 56" o:spid="_x0000_s1037" type="#_x0000_t202" style="position:absolute;left:22098;top:13716;width:15240;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" fillcolor="window" strokeweight=".5pt">
                    <v:textbox>
                      <w:txbxContent>
                        <w:p w14:paraId="503EE10C" w14:textId="77777777" w:rsidR="00C53AA5" w:rsidRDefault="00C53AA5" w:rsidP="00C61E7C">
                          <w:pPr>
                            <w:jc w:val="center"/>
                          </w:pPr>
                          <w:r>
                            <w:t>Consultation</w:t>
                          </w:r>
                        </w:p>
                      </w:txbxContent>
                    </v:textbox>
                  </v:shape>
                  <v:shape id="Text Box 57" o:spid="_x0000_s1038" type="#_x0000_t202" style="position:absolute;left:22098;top:22555;width:15240;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" fillcolor="window" strokeweight=".5pt">
                    <v:textbox>
                      <w:txbxContent>
                        <w:p w14:paraId="6A88F60C" w14:textId="77777777" w:rsidR="00C53AA5" w:rsidRDefault="00C53AA5" w:rsidP="00C61E7C">
                          <w:pPr>
                            <w:jc w:val="center"/>
                          </w:pPr>
                          <w:r>
                            <w:t>Consultation</w:t>
                          </w:r>
                        </w:p>
                      </w:txbxContent>
                    </v:textbox>
                  </v:shape>
                  <v:shape id="Text Box 58" o:spid="_x0000_s1039" type="#_x0000_t202" style="position:absolute;left:22021;top:34518;width:15240;height:62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" fillcolor="window" strokeweight=".5pt">
                    <v:textbox>
                      <w:txbxContent>
                        <w:p w14:paraId="6D9017E4" w14:textId="77777777" w:rsidR="00C53AA5" w:rsidRDefault="00C53AA5" w:rsidP="00C61E7C">
                          <w:pPr>
                            <w:jc w:val="center"/>
                          </w:pPr>
                          <w:r>
                            <w:t>Consideration of further mitigation</w:t>
                          </w:r>
                        </w:p>
                      </w:txbxContent>
                    </v:textbox>
                  </v:shape>
                  <v:shapetype id="_x0000_t32" coordsize="21600,21600" o:spt="32" o:oned="t" path="m,l21600,21600e" filled="f">
                    <v:path arrowok="t" fillok="f" o:connecttype="none"/>
                    <o:lock v:ext="edit" shapetype="t"/>
                  </v:shapetype>
                  <v:shape id="Straight Arrow Connector 59" o:spid="_x0000_s1040" type="#_x0000_t32" style="position:absolute;left:15316;top:15544;width:67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" strokecolor="windowText" strokeweight="1pt">
                    <v:stroke endarrow="block" joinstyle="miter"/>
                  </v:shape>
                  <v:shape id="Straight Arrow Connector 60" o:spid="_x0000_s1041" type="#_x0000_t32" style="position:absolute;left:15316;top:24688;width:67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" strokecolor="windowText" strokeweight="1pt">
                    <v:stroke endarrow="block" joinstyle="miter"/>
                  </v:shape>
                  <v:line id="Straight Connector 61" o:spid="_x0000_s1042" style="position:absolute;flip:y;visibility:visible;mso-wrap-style:square" from="15240,45796" to="29908,4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" strokecolor="windowText" strokeweight="1pt">
                    <v:stroke joinstyle="miter"/>
                  </v:line>
                  <v:shape id="Straight Arrow Connector 62" o:spid="_x0000_s1043" type="#_x0000_t32" style="position:absolute;left:29794;top:40690;width:0;height:5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" strokecolor="windowText" strokeweight="1pt">
                    <v:stroke endarrow="block" joinstyle="miter"/>
                  </v:shape>
                  <v:shape id="Text Box 63" o:spid="_x0000_s1044" type="#_x0000_t202" style="position:absolute;left:43662;top:26289;width:1739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" fillcolor="window" stroked="f" strokeweight=".5pt">
                    <v:textbox>
                      <w:txbxContent>
                        <w:p w14:paraId="071807A0" w14:textId="77777777" w:rsidR="00C53AA5" w:rsidRPr="00BF2DDB" w:rsidRDefault="00C53AA5" w:rsidP="00C61E7C">
                          <w:pPr>
                            <w:jc w:val="center"/>
                            <w:rPr>
                              <w:b/>
                            </w:rPr>
                          </w:pPr>
                          <w:r>
                            <w:rPr>
                              <w:b/>
                            </w:rPr>
                            <w:t xml:space="preserve">Subproject-specific environmental and social assessment </w:t>
                          </w:r>
                        </w:p>
                      </w:txbxContent>
                    </v:textbox>
                  </v:shape>
                  <v:shape id="Text Box 64" o:spid="_x0000_s1045" type="#_x0000_t202" style="position:absolute;left:43281;top:9601;width:1739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" fillcolor="window" stroked="f" strokeweight=".5pt">
                    <v:textbox>
                      <w:txbxContent>
                        <w:p w14:paraId="72D3CA9A" w14:textId="77777777" w:rsidR="00C53AA5" w:rsidRPr="00BF2DDB" w:rsidRDefault="00C53AA5" w:rsidP="00C61E7C">
                          <w:pPr>
                            <w:jc w:val="center"/>
                            <w:rPr>
                              <w:b/>
                            </w:rPr>
                          </w:pPr>
                          <w:r>
                            <w:rPr>
                              <w:b/>
                            </w:rPr>
                            <w:t>Subproject-specific screening and scoping</w:t>
                          </w:r>
                        </w:p>
                      </w:txbxContent>
                    </v:textbox>
                  </v:shape>
                  <v:shape id="Text Box 65" o:spid="_x0000_s1046" type="#_x0000_t202" style="position:absolute;left:43891;top:53263;width:1739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" fillcolor="window" stroked="f" strokeweight=".5pt">
                    <v:textbox>
                      <w:txbxContent>
                        <w:p w14:paraId="0DB3B46B" w14:textId="77777777" w:rsidR="00C53AA5" w:rsidRPr="00BF2DDB" w:rsidRDefault="00C53AA5" w:rsidP="00C61E7C">
                          <w:pPr>
                            <w:jc w:val="center"/>
                            <w:rPr>
                              <w:b/>
                            </w:rPr>
                          </w:pPr>
                          <w:r>
                            <w:rPr>
                              <w:b/>
                            </w:rPr>
                            <w:t>Subproject-specific ESMP</w:t>
                          </w:r>
                        </w:p>
                      </w:txbxContent>
                    </v:textbox>
                  </v:shape>
                  <v:group id="Group 66" o:spid="_x0000_s1047" style="position:absolute;width:22402;height:60820" coordsize="22402,6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67" o:spid="_x0000_s1048" type="#_x0000_t202" style="position:absolute;top:52882;width:15240;height:7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" fillcolor="window" strokeweight=".5pt">
                      <v:textbox>
                        <w:txbxContent>
                          <w:p w14:paraId="733ADED2" w14:textId="77777777" w:rsidR="00C53AA5" w:rsidRPr="004750B8" w:rsidRDefault="00C53AA5" w:rsidP="00C61E7C">
                            <w:pPr>
                              <w:jc w:val="center"/>
                              <w:rPr>
                                <w:sz w:val="20"/>
                                <w:szCs w:val="20"/>
                              </w:rPr>
                            </w:pPr>
                            <w:r w:rsidRPr="004750B8">
                              <w:rPr>
                                <w:sz w:val="20"/>
                                <w:szCs w:val="20"/>
                              </w:rPr>
                              <w:t>Subproject-specific Environmental and Social Management Plan (ESMP)</w:t>
                            </w:r>
                          </w:p>
                        </w:txbxContent>
                      </v:textbox>
                    </v:shape>
                    <v:shape id="Text Box 68" o:spid="_x0000_s1049" type="#_x0000_t202" style="position:absolute;top:43205;width:15240;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" fillcolor="window" strokeweight=".5pt">
                      <v:textbox>
                        <w:txbxContent>
                          <w:p w14:paraId="2189A3BD" w14:textId="77777777" w:rsidR="00C53AA5" w:rsidRPr="004750B8" w:rsidRDefault="00C53AA5" w:rsidP="00C61E7C">
                            <w:pPr>
                              <w:jc w:val="center"/>
                              <w:rPr>
                                <w:sz w:val="20"/>
                                <w:szCs w:val="20"/>
                              </w:rPr>
                            </w:pPr>
                            <w:r w:rsidRPr="004750B8">
                              <w:rPr>
                                <w:sz w:val="20"/>
                                <w:szCs w:val="20"/>
                              </w:rPr>
                              <w:t>Mitigation</w:t>
                            </w:r>
                          </w:p>
                        </w:txbxContent>
                      </v:textbox>
                    </v:shape>
                    <v:shape id="Text Box 69" o:spid="_x0000_s1050" type="#_x0000_t202" style="position:absolute;top:31927;width:15240;height:62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" fillcolor="window" strokeweight=".5pt">
                      <v:textbox>
                        <w:txbxContent>
                          <w:p w14:paraId="1FEED1C2" w14:textId="77777777" w:rsidR="00C53AA5" w:rsidRDefault="00C53AA5" w:rsidP="00C61E7C">
                            <w:pPr>
                              <w:jc w:val="center"/>
                            </w:pPr>
                            <w:r>
                              <w:t>Impact prediction and evaluation</w:t>
                            </w:r>
                          </w:p>
                        </w:txbxContent>
                      </v:textbox>
                    </v:shape>
                    <v:shape id="Text Box 70" o:spid="_x0000_s1051" type="#_x0000_t202" style="position:absolute;top:22555;width:15240;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" fillcolor="window" strokeweight=".5pt">
                      <v:textbox>
                        <w:txbxContent>
                          <w:p w14:paraId="02284140" w14:textId="77777777" w:rsidR="00C53AA5" w:rsidRDefault="00C53AA5" w:rsidP="00C61E7C">
                            <w:pPr>
                              <w:jc w:val="center"/>
                            </w:pPr>
                            <w:r>
                              <w:t>Baseline Studies</w:t>
                            </w:r>
                          </w:p>
                        </w:txbxContent>
                      </v:textbox>
                    </v:shape>
                    <v:shape id="Text Box 71" o:spid="_x0000_s1052" type="#_x0000_t202" style="position:absolute;top:13792;width:15240;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" fillcolor="window" strokeweight=".5pt">
                      <v:textbox>
                        <w:txbxContent>
                          <w:p w14:paraId="2B14ADE4" w14:textId="77777777" w:rsidR="00C53AA5" w:rsidRDefault="00C53AA5" w:rsidP="00C61E7C">
                            <w:pPr>
                              <w:jc w:val="center"/>
                            </w:pPr>
                            <w:r>
                              <w:t>Scoping</w:t>
                            </w:r>
                          </w:p>
                        </w:txbxContent>
                      </v:textbox>
                    </v:shape>
                    <v:shape id="Text Box 72" o:spid="_x0000_s1053" type="#_x0000_t202" style="position:absolute;top:2209;width:15240;height:4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" fillcolor="window" strokeweight=".5pt">
                      <v:textbox>
                        <w:txbxContent>
                          <w:p w14:paraId="1DD9510A" w14:textId="77777777" w:rsidR="00C53AA5" w:rsidRPr="008B54F1" w:rsidRDefault="00C53AA5" w:rsidP="00C61E7C">
                            <w:pPr>
                              <w:jc w:val="center"/>
                              <w:rPr>
                                <w:sz w:val="20"/>
                              </w:rPr>
                            </w:pPr>
                            <w:r w:rsidRPr="008B54F1">
                              <w:rPr>
                                <w:sz w:val="20"/>
                              </w:rPr>
                              <w:t>Screening</w:t>
                            </w:r>
                          </w:p>
                        </w:txbxContent>
                      </v:textbox>
                    </v:shape>
                    <v:shape id="Straight Arrow Connector 73" o:spid="_x0000_s1054" type="#_x0000_t32" style="position:absolute;left:15316;top:5029;width:67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" strokecolor="windowText" strokeweight="1pt">
                      <v:stroke endarrow="block" joinstyle="miter"/>
                    </v:shape>
                    <v:shape id="Straight Arrow Connector 74" o:spid="_x0000_s1055" type="#_x0000_t32" style="position:absolute;left:7772;top:7010;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" strokecolor="windowText" strokeweight="1pt">
                      <v:stroke endarrow="block" joinstyle="miter"/>
                    </v:shape>
                    <v:shape id="Straight Arrow Connector 75" o:spid="_x0000_s1056" type="#_x0000_t32" style="position:absolute;left:7696;top:17602;width:0;height:4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" strokecolor="windowText" strokeweight="1pt">
                      <v:stroke endarrow="block" joinstyle="miter"/>
                    </v:shape>
                    <v:shape id="Text Box 76" o:spid="_x0000_s1057" type="#_x0000_t202" style="position:absolute;left:8458;top:8382;width:76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" fillcolor="window" stroked="f" strokeweight=".5pt">
                      <v:textbox>
                        <w:txbxContent>
                          <w:p w14:paraId="5CE54510" w14:textId="77777777" w:rsidR="00C53AA5" w:rsidRPr="00BF2DDB" w:rsidRDefault="00C53AA5" w:rsidP="00C61E7C">
                            <w:pPr>
                              <w:rPr>
                                <w:sz w:val="16"/>
                              </w:rPr>
                            </w:pPr>
                            <w:r>
                              <w:rPr>
                                <w:sz w:val="16"/>
                              </w:rPr>
                              <w:t>Category B - Impacts likely</w:t>
                            </w:r>
                          </w:p>
                        </w:txbxContent>
                      </v:textbox>
                    </v:shape>
                    <v:shape id="Text Box 77" o:spid="_x0000_s1058" type="#_x0000_t202" style="position:absolute;left:14782;width:762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646ACC67" w14:textId="77777777" w:rsidR="00C53AA5" w:rsidRPr="00BF2DDB" w:rsidRDefault="00C53AA5" w:rsidP="00C61E7C">
                            <w:pPr>
                              <w:rPr>
                                <w:sz w:val="16"/>
                              </w:rPr>
                            </w:pPr>
                            <w:r>
                              <w:rPr>
                                <w:sz w:val="16"/>
                              </w:rPr>
                              <w:t>Category C - No significant impacts likely</w:t>
                            </w:r>
                          </w:p>
                        </w:txbxContent>
                      </v:textbox>
                    </v:shape>
                    <v:shape id="Straight Arrow Connector 78" o:spid="_x0000_s1059" type="#_x0000_t32" style="position:absolute;left:7620;top:26974;width:0;height:4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" strokecolor="windowText" strokeweight="1pt">
                      <v:stroke endarrow="block" joinstyle="miter"/>
                    </v:shape>
                    <v:shape id="Straight Arrow Connector 79" o:spid="_x0000_s1060" type="#_x0000_t32" style="position:absolute;left:7543;top:38252;width:0;height:4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" strokecolor="windowText" strokeweight="1pt">
                      <v:stroke endarrow="block" joinstyle="miter"/>
                    </v:shape>
                    <v:shape id="Straight Arrow Connector 80" o:spid="_x0000_s1061" type="#_x0000_t32" style="position:absolute;left:7620;top:47929;width:0;height:4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" strokecolor="windowText" strokeweight="1pt">
                      <v:stroke endarrow="block" joinstyle="miter"/>
                    </v:shape>
                  </v:group>
                </v:group>
              </v:group>
            </w:pict>
          </mc:Fallback>
        </mc:AlternateContent>
      </w:r>
    </w:p>
    <w:p w14:paraId="2E12D42B" w14:textId="77777777" w:rsidR="00C61E7C" w:rsidRPr="006C06AD" w:rsidRDefault="00C61E7C">
      <w:pPr>
        <w:spacing w:line="276" w:lineRule="auto"/>
        <w:jc w:val="both"/>
        <w:rPr>
          <w:sz w:val="20"/>
          <w:szCs w:val="20"/>
        </w:rPr>
      </w:pPr>
    </w:p>
    <w:p w14:paraId="236240A0" w14:textId="77777777" w:rsidR="00C61E7C" w:rsidRPr="006C06AD" w:rsidRDefault="00C61E7C">
      <w:pPr>
        <w:spacing w:line="276" w:lineRule="auto"/>
        <w:jc w:val="both"/>
        <w:rPr>
          <w:sz w:val="20"/>
          <w:szCs w:val="20"/>
        </w:rPr>
      </w:pPr>
    </w:p>
    <w:p w14:paraId="0B560D26" w14:textId="77777777" w:rsidR="00C61E7C" w:rsidRPr="006C06AD" w:rsidRDefault="00C61E7C">
      <w:pPr>
        <w:spacing w:line="276" w:lineRule="auto"/>
        <w:jc w:val="both"/>
        <w:rPr>
          <w:sz w:val="20"/>
          <w:szCs w:val="20"/>
        </w:rPr>
      </w:pPr>
    </w:p>
    <w:p w14:paraId="7F43282B" w14:textId="77777777" w:rsidR="00C61E7C" w:rsidRPr="006C06AD" w:rsidRDefault="00C61E7C">
      <w:pPr>
        <w:spacing w:line="276" w:lineRule="auto"/>
        <w:jc w:val="both"/>
        <w:rPr>
          <w:sz w:val="20"/>
          <w:szCs w:val="20"/>
        </w:rPr>
      </w:pPr>
    </w:p>
    <w:p w14:paraId="4E68F0C2" w14:textId="77777777" w:rsidR="00C61E7C" w:rsidRPr="006C06AD" w:rsidRDefault="00C61E7C">
      <w:pPr>
        <w:spacing w:line="276" w:lineRule="auto"/>
        <w:jc w:val="both"/>
        <w:rPr>
          <w:sz w:val="20"/>
          <w:szCs w:val="20"/>
        </w:rPr>
      </w:pPr>
    </w:p>
    <w:p w14:paraId="2AE91520" w14:textId="77777777" w:rsidR="00C61E7C" w:rsidRPr="006C06AD" w:rsidRDefault="00C61E7C">
      <w:pPr>
        <w:spacing w:line="276" w:lineRule="auto"/>
        <w:jc w:val="both"/>
        <w:rPr>
          <w:sz w:val="20"/>
          <w:szCs w:val="20"/>
        </w:rPr>
      </w:pPr>
    </w:p>
    <w:p w14:paraId="4ADC2D83" w14:textId="77777777" w:rsidR="00C61E7C" w:rsidRPr="006C06AD" w:rsidRDefault="00C61E7C">
      <w:pPr>
        <w:spacing w:line="276" w:lineRule="auto"/>
        <w:jc w:val="both"/>
        <w:rPr>
          <w:sz w:val="20"/>
          <w:szCs w:val="20"/>
        </w:rPr>
      </w:pPr>
    </w:p>
    <w:p w14:paraId="7BCADFF7" w14:textId="77777777" w:rsidR="00C61E7C" w:rsidRPr="006C06AD" w:rsidRDefault="00C61E7C">
      <w:pPr>
        <w:spacing w:line="276" w:lineRule="auto"/>
        <w:jc w:val="both"/>
        <w:rPr>
          <w:sz w:val="20"/>
          <w:szCs w:val="20"/>
        </w:rPr>
      </w:pPr>
    </w:p>
    <w:p w14:paraId="30FEFDB8" w14:textId="77777777" w:rsidR="00C61E7C" w:rsidRPr="006C06AD" w:rsidRDefault="00C61E7C">
      <w:pPr>
        <w:spacing w:line="276" w:lineRule="auto"/>
        <w:jc w:val="both"/>
        <w:rPr>
          <w:sz w:val="20"/>
          <w:szCs w:val="20"/>
        </w:rPr>
      </w:pPr>
    </w:p>
    <w:p w14:paraId="41584067" w14:textId="77777777" w:rsidR="00C61E7C" w:rsidRPr="006C06AD" w:rsidRDefault="00C61E7C">
      <w:pPr>
        <w:spacing w:line="276" w:lineRule="auto"/>
        <w:jc w:val="both"/>
        <w:rPr>
          <w:sz w:val="20"/>
          <w:szCs w:val="20"/>
        </w:rPr>
      </w:pPr>
    </w:p>
    <w:p w14:paraId="71AB90F9" w14:textId="77777777" w:rsidR="00C61E7C" w:rsidRPr="006C06AD" w:rsidRDefault="00C61E7C">
      <w:pPr>
        <w:spacing w:line="276" w:lineRule="auto"/>
        <w:jc w:val="both"/>
        <w:rPr>
          <w:sz w:val="20"/>
          <w:szCs w:val="20"/>
        </w:rPr>
      </w:pPr>
    </w:p>
    <w:p w14:paraId="5DE58D54" w14:textId="77777777" w:rsidR="00C61E7C" w:rsidRPr="006C06AD" w:rsidRDefault="00C61E7C">
      <w:pPr>
        <w:spacing w:line="276" w:lineRule="auto"/>
        <w:jc w:val="both"/>
        <w:rPr>
          <w:sz w:val="20"/>
          <w:szCs w:val="20"/>
        </w:rPr>
      </w:pPr>
    </w:p>
    <w:p w14:paraId="4A6BA682" w14:textId="77777777" w:rsidR="00C61E7C" w:rsidRPr="006C06AD" w:rsidRDefault="00C61E7C">
      <w:pPr>
        <w:spacing w:line="276" w:lineRule="auto"/>
        <w:jc w:val="both"/>
        <w:rPr>
          <w:sz w:val="20"/>
          <w:szCs w:val="20"/>
        </w:rPr>
      </w:pPr>
    </w:p>
    <w:p w14:paraId="1EDF9EA6" w14:textId="77777777" w:rsidR="00C61E7C" w:rsidRPr="006C06AD" w:rsidRDefault="00C61E7C">
      <w:pPr>
        <w:spacing w:line="276" w:lineRule="auto"/>
        <w:jc w:val="both"/>
        <w:rPr>
          <w:sz w:val="20"/>
          <w:szCs w:val="20"/>
        </w:rPr>
      </w:pPr>
    </w:p>
    <w:p w14:paraId="03D5FC7B" w14:textId="77777777" w:rsidR="00C61E7C" w:rsidRPr="006C06AD" w:rsidRDefault="00C61E7C">
      <w:pPr>
        <w:spacing w:line="276" w:lineRule="auto"/>
        <w:jc w:val="both"/>
        <w:rPr>
          <w:sz w:val="20"/>
          <w:szCs w:val="20"/>
        </w:rPr>
      </w:pPr>
    </w:p>
    <w:p w14:paraId="4343BAAC" w14:textId="77777777" w:rsidR="00C61E7C" w:rsidRPr="006C06AD" w:rsidRDefault="00C61E7C">
      <w:pPr>
        <w:spacing w:line="276" w:lineRule="auto"/>
        <w:jc w:val="both"/>
        <w:rPr>
          <w:sz w:val="20"/>
          <w:szCs w:val="20"/>
        </w:rPr>
      </w:pPr>
    </w:p>
    <w:p w14:paraId="185D36F9" w14:textId="77777777" w:rsidR="00C61E7C" w:rsidRPr="006C06AD" w:rsidRDefault="00C61E7C">
      <w:pPr>
        <w:spacing w:line="276" w:lineRule="auto"/>
        <w:jc w:val="both"/>
        <w:rPr>
          <w:sz w:val="20"/>
          <w:szCs w:val="20"/>
        </w:rPr>
      </w:pPr>
    </w:p>
    <w:p w14:paraId="4B12A3CE" w14:textId="77777777" w:rsidR="00C61E7C" w:rsidRPr="006C06AD" w:rsidRDefault="00C61E7C">
      <w:pPr>
        <w:spacing w:line="276" w:lineRule="auto"/>
        <w:jc w:val="both"/>
        <w:rPr>
          <w:sz w:val="20"/>
          <w:szCs w:val="20"/>
        </w:rPr>
      </w:pPr>
    </w:p>
    <w:p w14:paraId="2522FC44" w14:textId="77777777" w:rsidR="00C61E7C" w:rsidRPr="006C06AD" w:rsidRDefault="00C61E7C">
      <w:pPr>
        <w:spacing w:line="276" w:lineRule="auto"/>
        <w:jc w:val="both"/>
        <w:rPr>
          <w:sz w:val="20"/>
          <w:szCs w:val="20"/>
        </w:rPr>
      </w:pPr>
    </w:p>
    <w:p w14:paraId="4A347BCB" w14:textId="77777777" w:rsidR="00C61E7C" w:rsidRPr="006C06AD" w:rsidRDefault="00C61E7C">
      <w:pPr>
        <w:spacing w:line="276" w:lineRule="auto"/>
        <w:jc w:val="both"/>
        <w:rPr>
          <w:sz w:val="20"/>
          <w:szCs w:val="20"/>
        </w:rPr>
      </w:pPr>
    </w:p>
    <w:p w14:paraId="5A7DF256" w14:textId="77777777" w:rsidR="00C61E7C" w:rsidRPr="006C06AD" w:rsidRDefault="00C61E7C">
      <w:pPr>
        <w:spacing w:line="276" w:lineRule="auto"/>
        <w:jc w:val="both"/>
        <w:rPr>
          <w:sz w:val="20"/>
          <w:szCs w:val="20"/>
        </w:rPr>
      </w:pPr>
    </w:p>
    <w:p w14:paraId="2CC6B40C" w14:textId="77777777" w:rsidR="00C61E7C" w:rsidRPr="006C06AD" w:rsidRDefault="00C61E7C">
      <w:pPr>
        <w:spacing w:line="276" w:lineRule="auto"/>
        <w:jc w:val="both"/>
        <w:rPr>
          <w:sz w:val="20"/>
          <w:szCs w:val="20"/>
        </w:rPr>
      </w:pPr>
    </w:p>
    <w:p w14:paraId="5DF5EBED" w14:textId="77777777" w:rsidR="00C61E7C" w:rsidRPr="006C06AD" w:rsidRDefault="00C61E7C">
      <w:pPr>
        <w:spacing w:line="276" w:lineRule="auto"/>
        <w:jc w:val="both"/>
        <w:rPr>
          <w:sz w:val="20"/>
          <w:szCs w:val="20"/>
        </w:rPr>
      </w:pPr>
    </w:p>
    <w:p w14:paraId="3E68CC72" w14:textId="77777777" w:rsidR="00C61E7C" w:rsidRPr="006C06AD" w:rsidRDefault="00C61E7C">
      <w:pPr>
        <w:spacing w:line="276" w:lineRule="auto"/>
        <w:jc w:val="both"/>
        <w:rPr>
          <w:sz w:val="20"/>
          <w:szCs w:val="20"/>
        </w:rPr>
      </w:pPr>
    </w:p>
    <w:p w14:paraId="55781A17" w14:textId="77777777" w:rsidR="00C61E7C" w:rsidRPr="006C06AD" w:rsidRDefault="00C61E7C">
      <w:pPr>
        <w:spacing w:line="276" w:lineRule="auto"/>
        <w:jc w:val="both"/>
        <w:rPr>
          <w:sz w:val="20"/>
          <w:szCs w:val="20"/>
        </w:rPr>
      </w:pPr>
    </w:p>
    <w:p w14:paraId="7B8DB4AD" w14:textId="77777777" w:rsidR="005E3320" w:rsidRPr="006C06AD" w:rsidRDefault="005E3320">
      <w:pPr>
        <w:pStyle w:val="Heading2"/>
        <w:numPr>
          <w:ilvl w:val="0"/>
          <w:numId w:val="39"/>
        </w:numPr>
        <w:spacing w:before="240" w:after="240" w:line="276" w:lineRule="auto"/>
        <w:jc w:val="both"/>
        <w:rPr>
          <w:rFonts w:asciiTheme="minorHAnsi" w:hAnsiTheme="minorHAnsi"/>
          <w:sz w:val="20"/>
          <w:szCs w:val="20"/>
        </w:rPr>
      </w:pPr>
      <w:r w:rsidRPr="006C06AD">
        <w:rPr>
          <w:rFonts w:asciiTheme="minorHAnsi" w:hAnsiTheme="minorHAnsi"/>
          <w:sz w:val="20"/>
          <w:szCs w:val="20"/>
        </w:rPr>
        <w:t xml:space="preserve">Stakeholder engagement </w:t>
      </w:r>
    </w:p>
    <w:p w14:paraId="06594644" w14:textId="77777777" w:rsidR="00CA7EDF" w:rsidRPr="006C06AD" w:rsidRDefault="00CA7EDF">
      <w:pPr>
        <w:spacing w:line="276" w:lineRule="auto"/>
        <w:jc w:val="both"/>
        <w:rPr>
          <w:sz w:val="20"/>
          <w:szCs w:val="20"/>
        </w:rPr>
      </w:pPr>
      <w:r w:rsidRPr="006C06AD">
        <w:rPr>
          <w:sz w:val="20"/>
          <w:szCs w:val="20"/>
        </w:rPr>
        <w:t xml:space="preserve">Stakeholder engagement forms a key component of the environmental and social due diligence process for the Project. Stakeholders are persons or groups who are directly and/or indirectly affected by a </w:t>
      </w:r>
      <w:r w:rsidR="0028758B">
        <w:rPr>
          <w:sz w:val="20"/>
          <w:szCs w:val="20"/>
        </w:rPr>
        <w:t>sub-</w:t>
      </w:r>
      <w:r w:rsidRPr="006C06AD">
        <w:rPr>
          <w:sz w:val="20"/>
          <w:szCs w:val="20"/>
        </w:rPr>
        <w:t xml:space="preserve">project, as well as those who may have interests in a </w:t>
      </w:r>
      <w:r w:rsidR="0028758B">
        <w:rPr>
          <w:sz w:val="20"/>
          <w:szCs w:val="20"/>
        </w:rPr>
        <w:t>sub-</w:t>
      </w:r>
      <w:r w:rsidRPr="006C06AD">
        <w:rPr>
          <w:sz w:val="20"/>
          <w:szCs w:val="20"/>
        </w:rPr>
        <w:t xml:space="preserve">project and/or the ability to influence its outcome, either positively or negatively. Stakeholders may include locally affected communities or individuals and their formal and informal representatives, national or local government authorities, civil society organizations and private sector organizations. Stakeholder engagement will be an iterative process undertaken throughout the lifecycle of the </w:t>
      </w:r>
      <w:r w:rsidR="0028758B">
        <w:rPr>
          <w:sz w:val="20"/>
          <w:szCs w:val="20"/>
        </w:rPr>
        <w:t>sub-projects</w:t>
      </w:r>
      <w:r w:rsidRPr="006C06AD">
        <w:rPr>
          <w:sz w:val="20"/>
          <w:szCs w:val="20"/>
        </w:rPr>
        <w:t xml:space="preserve"> and will involve informed consultation and participation. The purpose of the stakeholder engagement is to ensure that all key stakeholders are involved early in the design of the </w:t>
      </w:r>
      <w:r w:rsidR="0028758B">
        <w:rPr>
          <w:sz w:val="20"/>
          <w:szCs w:val="20"/>
        </w:rPr>
        <w:t>sub-projects</w:t>
      </w:r>
      <w:r w:rsidRPr="006C06AD">
        <w:rPr>
          <w:sz w:val="20"/>
          <w:szCs w:val="20"/>
        </w:rPr>
        <w:t xml:space="preserve"> and remain involved throughout the implementation of the </w:t>
      </w:r>
      <w:r w:rsidR="0028758B">
        <w:rPr>
          <w:sz w:val="20"/>
          <w:szCs w:val="20"/>
        </w:rPr>
        <w:t>sub-projects</w:t>
      </w:r>
      <w:r w:rsidRPr="006C06AD">
        <w:rPr>
          <w:sz w:val="20"/>
          <w:szCs w:val="20"/>
        </w:rPr>
        <w:t>.  Stakeholder engagement is a mechanism to capture the views and concerns of the stakeholders including government, civil society, communities and vulnerable population. The stakeholder engagement process aims to build and maintain constructive and collaborative relationships with stakeholders throughout the duration of the</w:t>
      </w:r>
      <w:r w:rsidR="0028758B">
        <w:rPr>
          <w:sz w:val="20"/>
          <w:szCs w:val="20"/>
        </w:rPr>
        <w:t xml:space="preserve"> sub-project</w:t>
      </w:r>
      <w:r w:rsidRPr="006C06AD">
        <w:rPr>
          <w:sz w:val="20"/>
          <w:szCs w:val="20"/>
        </w:rPr>
        <w:t xml:space="preserve"> and ensuring that stakeholders are engaged in a culturally appropriate manner and that relevant and understandable information is provided in a timely manner.</w:t>
      </w:r>
    </w:p>
    <w:p w14:paraId="29E94418" w14:textId="3B8074DB" w:rsidR="00CA7EDF" w:rsidRPr="006C06AD" w:rsidRDefault="00A34BAF">
      <w:pPr>
        <w:spacing w:line="276" w:lineRule="auto"/>
        <w:jc w:val="both"/>
        <w:rPr>
          <w:sz w:val="20"/>
          <w:szCs w:val="20"/>
        </w:rPr>
      </w:pPr>
      <w:r w:rsidRPr="00672C33">
        <w:rPr>
          <w:b/>
          <w:sz w:val="20"/>
          <w:szCs w:val="20"/>
        </w:rPr>
        <w:t xml:space="preserve">Figure </w:t>
      </w:r>
      <w:r w:rsidR="00672C33" w:rsidRPr="00672C33">
        <w:rPr>
          <w:b/>
          <w:sz w:val="20"/>
          <w:szCs w:val="20"/>
        </w:rPr>
        <w:t>3</w:t>
      </w:r>
      <w:r w:rsidRPr="00672C33">
        <w:rPr>
          <w:b/>
          <w:sz w:val="20"/>
          <w:szCs w:val="20"/>
        </w:rPr>
        <w:t>:</w:t>
      </w:r>
      <w:r w:rsidRPr="00672C33">
        <w:rPr>
          <w:sz w:val="20"/>
          <w:szCs w:val="20"/>
        </w:rPr>
        <w:t xml:space="preserve"> O</w:t>
      </w:r>
      <w:r w:rsidR="00CA7EDF" w:rsidRPr="00672C33">
        <w:rPr>
          <w:sz w:val="20"/>
          <w:szCs w:val="20"/>
        </w:rPr>
        <w:t>utline of a stakeholder engagement process</w:t>
      </w:r>
      <w:r w:rsidR="00DC7B58">
        <w:rPr>
          <w:sz w:val="20"/>
          <w:szCs w:val="20"/>
        </w:rPr>
        <w:t xml:space="preserve"> (SEP) </w:t>
      </w:r>
      <w:r w:rsidR="00CA7EDF" w:rsidRPr="00672C33">
        <w:rPr>
          <w:sz w:val="20"/>
          <w:szCs w:val="20"/>
        </w:rPr>
        <w:t>for the P</w:t>
      </w:r>
      <w:r w:rsidRPr="00672C33">
        <w:rPr>
          <w:sz w:val="20"/>
          <w:szCs w:val="20"/>
        </w:rPr>
        <w:t xml:space="preserve">roject </w:t>
      </w:r>
      <w:r w:rsidR="00CA7EDF" w:rsidRPr="00672C33">
        <w:rPr>
          <w:sz w:val="20"/>
          <w:szCs w:val="20"/>
        </w:rPr>
        <w:t>is presented</w:t>
      </w:r>
      <w:r w:rsidRPr="00672C33">
        <w:rPr>
          <w:sz w:val="20"/>
          <w:szCs w:val="20"/>
        </w:rPr>
        <w:t xml:space="preserve"> in the flowchart below.</w:t>
      </w:r>
      <w:r w:rsidR="00CA7EDF" w:rsidRPr="00672C33">
        <w:rPr>
          <w:sz w:val="20"/>
          <w:szCs w:val="20"/>
        </w:rPr>
        <w:t xml:space="preserve"> </w:t>
      </w:r>
    </w:p>
    <w:p w14:paraId="74E618B1" w14:textId="77777777" w:rsidR="00A34BAF" w:rsidRPr="006C06AD" w:rsidRDefault="00A34BAF">
      <w:pPr>
        <w:spacing w:line="276" w:lineRule="auto"/>
        <w:jc w:val="both"/>
        <w:rPr>
          <w:sz w:val="20"/>
          <w:szCs w:val="20"/>
        </w:rPr>
      </w:pPr>
      <w:r w:rsidRPr="006C06AD">
        <w:rPr>
          <w:noProof/>
          <w:sz w:val="20"/>
          <w:szCs w:val="20"/>
        </w:rPr>
        <mc:AlternateContent>
          <mc:Choice Requires="wpg">
            <w:drawing>
              <wp:anchor distT="0" distB="0" distL="114300" distR="114300" simplePos="0" relativeHeight="251661312" behindDoc="0" locked="0" layoutInCell="1" allowOverlap="1" wp14:anchorId="02525548" wp14:editId="2B9E5F75">
                <wp:simplePos x="0" y="0"/>
                <wp:positionH relativeFrom="margin">
                  <wp:align>center</wp:align>
                </wp:positionH>
                <wp:positionV relativeFrom="paragraph">
                  <wp:posOffset>1905</wp:posOffset>
                </wp:positionV>
                <wp:extent cx="6515100" cy="3215640"/>
                <wp:effectExtent l="0" t="0" r="19050" b="22860"/>
                <wp:wrapNone/>
                <wp:docPr id="3" name="Group 3"/>
                <wp:cNvGraphicFramePr/>
                <a:graphic xmlns:a="http://schemas.openxmlformats.org/drawingml/2006/main">
                  <a:graphicData uri="http://schemas.microsoft.com/office/word/2010/wordprocessingGroup">
                    <wpg:wgp>
                      <wpg:cNvGrpSpPr/>
                      <wpg:grpSpPr>
                        <a:xfrm>
                          <a:off x="0" y="0"/>
                          <a:ext cx="6515100" cy="3215640"/>
                          <a:chOff x="0" y="0"/>
                          <a:chExt cx="6937375" cy="3695700"/>
                        </a:xfrm>
                      </wpg:grpSpPr>
                      <wps:wsp>
                        <wps:cNvPr id="7" name="Straight Arrow Connector 7"/>
                        <wps:cNvCnPr/>
                        <wps:spPr>
                          <a:xfrm>
                            <a:off x="3215640" y="220980"/>
                            <a:ext cx="464234" cy="0"/>
                          </a:xfrm>
                          <a:prstGeom prst="straightConnector1">
                            <a:avLst/>
                          </a:prstGeom>
                          <a:noFill/>
                          <a:ln w="12700" cap="flat" cmpd="sng" algn="ctr">
                            <a:solidFill>
                              <a:sysClr val="windowText" lastClr="000000"/>
                            </a:solidFill>
                            <a:prstDash val="solid"/>
                            <a:miter lim="800000"/>
                            <a:tailEnd type="triangle"/>
                          </a:ln>
                          <a:effectLst/>
                        </wps:spPr>
                        <wps:bodyPr/>
                      </wps:wsp>
                      <wps:wsp>
                        <wps:cNvPr id="11" name="Text Box 11"/>
                        <wps:cNvSpPr txBox="1"/>
                        <wps:spPr>
                          <a:xfrm>
                            <a:off x="1706880" y="38100"/>
                            <a:ext cx="1511935" cy="403860"/>
                          </a:xfrm>
                          <a:prstGeom prst="rect">
                            <a:avLst/>
                          </a:prstGeom>
                          <a:solidFill>
                            <a:sysClr val="window" lastClr="FFFFFF"/>
                          </a:solidFill>
                          <a:ln w="6350">
                            <a:solidFill>
                              <a:prstClr val="black"/>
                            </a:solidFill>
                          </a:ln>
                          <a:effectLst/>
                        </wps:spPr>
                        <wps:txbx>
                          <w:txbxContent>
                            <w:p w14:paraId="102CF2AA" w14:textId="77777777" w:rsidR="00C53AA5" w:rsidRPr="00BD25D5" w:rsidRDefault="00C53AA5" w:rsidP="00A34BAF">
                              <w:pPr>
                                <w:jc w:val="center"/>
                                <w:rPr>
                                  <w:sz w:val="20"/>
                                </w:rPr>
                              </w:pPr>
                              <w:r w:rsidRPr="00BD25D5">
                                <w:rPr>
                                  <w:sz w:val="20"/>
                                </w:rPr>
                                <w:t>Review and update SEP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3703320" y="0"/>
                            <a:ext cx="1511935" cy="449580"/>
                          </a:xfrm>
                          <a:prstGeom prst="rect">
                            <a:avLst/>
                          </a:prstGeom>
                          <a:solidFill>
                            <a:sysClr val="window" lastClr="FFFFFF"/>
                          </a:solidFill>
                          <a:ln w="6350">
                            <a:solidFill>
                              <a:prstClr val="black"/>
                            </a:solidFill>
                          </a:ln>
                          <a:effectLst/>
                        </wps:spPr>
                        <wps:txbx>
                          <w:txbxContent>
                            <w:p w14:paraId="1176B768" w14:textId="77777777" w:rsidR="00C53AA5" w:rsidRPr="00A66E99" w:rsidRDefault="00C53AA5" w:rsidP="00A34BAF">
                              <w:pPr>
                                <w:jc w:val="center"/>
                                <w:rPr>
                                  <w:sz w:val="20"/>
                                </w:rPr>
                              </w:pPr>
                              <w:r w:rsidRPr="00A66E99">
                                <w:rPr>
                                  <w:sz w:val="20"/>
                                </w:rPr>
                                <w:t>Set engagement objectives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1" name="Text Box 31"/>
                        <wps:cNvSpPr txBox="1"/>
                        <wps:spPr>
                          <a:xfrm>
                            <a:off x="0" y="914400"/>
                            <a:ext cx="1511935" cy="495300"/>
                          </a:xfrm>
                          <a:prstGeom prst="rect">
                            <a:avLst/>
                          </a:prstGeom>
                          <a:solidFill>
                            <a:sysClr val="window" lastClr="FFFFFF"/>
                          </a:solidFill>
                          <a:ln w="6350">
                            <a:solidFill>
                              <a:prstClr val="black"/>
                            </a:solidFill>
                          </a:ln>
                          <a:effectLst/>
                        </wps:spPr>
                        <wps:txbx>
                          <w:txbxContent>
                            <w:p w14:paraId="09F73B80" w14:textId="77777777" w:rsidR="00C53AA5" w:rsidRPr="007B16B2" w:rsidRDefault="00C53AA5" w:rsidP="00A34BAF">
                              <w:pPr>
                                <w:jc w:val="center"/>
                                <w:rPr>
                                  <w:sz w:val="20"/>
                                </w:rPr>
                              </w:pPr>
                              <w:r w:rsidRPr="007B16B2">
                                <w:rPr>
                                  <w:sz w:val="20"/>
                                </w:rPr>
                                <w:t>Measure and report progress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2" name="Text Box 32"/>
                        <wps:cNvSpPr txBox="1"/>
                        <wps:spPr>
                          <a:xfrm>
                            <a:off x="2567940" y="1501140"/>
                            <a:ext cx="1927860" cy="487680"/>
                          </a:xfrm>
                          <a:prstGeom prst="rect">
                            <a:avLst/>
                          </a:prstGeom>
                          <a:solidFill>
                            <a:sysClr val="window" lastClr="FFFFFF"/>
                          </a:solidFill>
                          <a:ln w="6350">
                            <a:solidFill>
                              <a:prstClr val="black"/>
                            </a:solidFill>
                          </a:ln>
                          <a:effectLst/>
                        </wps:spPr>
                        <wps:txbx>
                          <w:txbxContent>
                            <w:p w14:paraId="0EC564E9" w14:textId="77777777" w:rsidR="00C53AA5" w:rsidRPr="007B16B2" w:rsidRDefault="00C53AA5" w:rsidP="00A34BAF">
                              <w:pPr>
                                <w:jc w:val="center"/>
                                <w:rPr>
                                  <w:b/>
                                </w:rPr>
                              </w:pPr>
                              <w:r>
                                <w:rPr>
                                  <w:b/>
                                </w:rPr>
                                <w:t>Stakeholder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5196840" y="205740"/>
                            <a:ext cx="970671" cy="0"/>
                          </a:xfrm>
                          <a:prstGeom prst="line">
                            <a:avLst/>
                          </a:prstGeom>
                          <a:noFill/>
                          <a:ln w="12700" cap="flat" cmpd="sng" algn="ctr">
                            <a:solidFill>
                              <a:sysClr val="windowText" lastClr="000000"/>
                            </a:solidFill>
                            <a:prstDash val="solid"/>
                            <a:miter lim="800000"/>
                          </a:ln>
                          <a:effectLst/>
                        </wps:spPr>
                        <wps:bodyPr/>
                      </wps:wsp>
                      <wps:wsp>
                        <wps:cNvPr id="34" name="Straight Arrow Connector 34"/>
                        <wps:cNvCnPr/>
                        <wps:spPr>
                          <a:xfrm>
                            <a:off x="6172200" y="1402080"/>
                            <a:ext cx="0" cy="660400"/>
                          </a:xfrm>
                          <a:prstGeom prst="straightConnector1">
                            <a:avLst/>
                          </a:prstGeom>
                          <a:noFill/>
                          <a:ln w="12700" cap="flat" cmpd="sng" algn="ctr">
                            <a:solidFill>
                              <a:sysClr val="windowText" lastClr="000000"/>
                            </a:solidFill>
                            <a:prstDash val="solid"/>
                            <a:miter lim="800000"/>
                            <a:tailEnd type="triangle"/>
                          </a:ln>
                          <a:effectLst/>
                        </wps:spPr>
                        <wps:bodyPr/>
                      </wps:wsp>
                      <wps:wsp>
                        <wps:cNvPr id="35" name="Straight Arrow Connector 35"/>
                        <wps:cNvCnPr/>
                        <wps:spPr>
                          <a:xfrm>
                            <a:off x="6172200" y="2522220"/>
                            <a:ext cx="0" cy="660400"/>
                          </a:xfrm>
                          <a:prstGeom prst="straightConnector1">
                            <a:avLst/>
                          </a:prstGeom>
                          <a:noFill/>
                          <a:ln w="12700" cap="flat" cmpd="sng" algn="ctr">
                            <a:solidFill>
                              <a:sysClr val="windowText" lastClr="000000"/>
                            </a:solidFill>
                            <a:prstDash val="solid"/>
                            <a:miter lim="800000"/>
                            <a:tailEnd type="triangle"/>
                          </a:ln>
                          <a:effectLst/>
                        </wps:spPr>
                        <wps:bodyPr/>
                      </wps:wsp>
                      <wps:wsp>
                        <wps:cNvPr id="36" name="Text Box 36"/>
                        <wps:cNvSpPr txBox="1"/>
                        <wps:spPr>
                          <a:xfrm>
                            <a:off x="5402580" y="944880"/>
                            <a:ext cx="1511935" cy="570230"/>
                          </a:xfrm>
                          <a:prstGeom prst="rect">
                            <a:avLst/>
                          </a:prstGeom>
                          <a:solidFill>
                            <a:sysClr val="window" lastClr="FFFFFF"/>
                          </a:solidFill>
                          <a:ln w="6350">
                            <a:solidFill>
                              <a:prstClr val="black"/>
                            </a:solidFill>
                          </a:ln>
                          <a:effectLst/>
                        </wps:spPr>
                        <wps:txbx>
                          <w:txbxContent>
                            <w:p w14:paraId="7E61CCC1" w14:textId="77777777" w:rsidR="00C53AA5" w:rsidRPr="00A66E99" w:rsidRDefault="00C53AA5" w:rsidP="00A34BAF">
                              <w:pPr>
                                <w:jc w:val="center"/>
                                <w:rPr>
                                  <w:sz w:val="20"/>
                                </w:rPr>
                              </w:pPr>
                              <w:r w:rsidRPr="00A66E99">
                                <w:rPr>
                                  <w:sz w:val="20"/>
                                </w:rPr>
                                <w:t>Identify and assess stakeholders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7" name="Text Box 37"/>
                        <wps:cNvSpPr txBox="1"/>
                        <wps:spPr>
                          <a:xfrm>
                            <a:off x="5425440" y="2049780"/>
                            <a:ext cx="1511935" cy="449580"/>
                          </a:xfrm>
                          <a:prstGeom prst="rect">
                            <a:avLst/>
                          </a:prstGeom>
                          <a:solidFill>
                            <a:sysClr val="window" lastClr="FFFFFF"/>
                          </a:solidFill>
                          <a:ln w="6350">
                            <a:solidFill>
                              <a:prstClr val="black"/>
                            </a:solidFill>
                          </a:ln>
                          <a:effectLst/>
                        </wps:spPr>
                        <wps:txbx>
                          <w:txbxContent>
                            <w:p w14:paraId="56140DE9" w14:textId="77777777" w:rsidR="00C53AA5" w:rsidRPr="00A66E99" w:rsidRDefault="00C53AA5" w:rsidP="00A34BAF">
                              <w:pPr>
                                <w:jc w:val="center"/>
                                <w:rPr>
                                  <w:sz w:val="20"/>
                                </w:rPr>
                              </w:pPr>
                              <w:r w:rsidRPr="00A66E99">
                                <w:rPr>
                                  <w:sz w:val="20"/>
                                </w:rPr>
                                <w:t>Develop SEP and associated documents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8" name="Text Box 38"/>
                        <wps:cNvSpPr txBox="1"/>
                        <wps:spPr>
                          <a:xfrm>
                            <a:off x="5402580" y="3169920"/>
                            <a:ext cx="1511935" cy="502920"/>
                          </a:xfrm>
                          <a:prstGeom prst="rect">
                            <a:avLst/>
                          </a:prstGeom>
                          <a:solidFill>
                            <a:sysClr val="window" lastClr="FFFFFF"/>
                          </a:solidFill>
                          <a:ln w="6350">
                            <a:solidFill>
                              <a:prstClr val="black"/>
                            </a:solidFill>
                          </a:ln>
                          <a:effectLst/>
                        </wps:spPr>
                        <wps:txbx>
                          <w:txbxContent>
                            <w:p w14:paraId="2BC00F00" w14:textId="77777777" w:rsidR="00C53AA5" w:rsidRPr="007B16B2" w:rsidRDefault="00C53AA5" w:rsidP="00A34BAF">
                              <w:pPr>
                                <w:jc w:val="center"/>
                                <w:rPr>
                                  <w:sz w:val="20"/>
                                </w:rPr>
                              </w:pPr>
                              <w:r w:rsidRPr="007B16B2">
                                <w:rPr>
                                  <w:sz w:val="20"/>
                                </w:rPr>
                                <w:t>Implement SEP</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9" name="Straight Arrow Connector 39"/>
                        <wps:cNvCnPr/>
                        <wps:spPr>
                          <a:xfrm flipH="1">
                            <a:off x="1508760" y="3497580"/>
                            <a:ext cx="3891915" cy="0"/>
                          </a:xfrm>
                          <a:prstGeom prst="straightConnector1">
                            <a:avLst/>
                          </a:prstGeom>
                          <a:noFill/>
                          <a:ln w="12700" cap="flat" cmpd="sng" algn="ctr">
                            <a:solidFill>
                              <a:sysClr val="windowText" lastClr="000000"/>
                            </a:solidFill>
                            <a:prstDash val="solid"/>
                            <a:miter lim="800000"/>
                            <a:tailEnd type="triangle"/>
                          </a:ln>
                          <a:effectLst/>
                        </wps:spPr>
                        <wps:bodyPr/>
                      </wps:wsp>
                      <wps:wsp>
                        <wps:cNvPr id="40" name="Text Box 40"/>
                        <wps:cNvSpPr txBox="1"/>
                        <wps:spPr>
                          <a:xfrm>
                            <a:off x="7620" y="3162300"/>
                            <a:ext cx="1511935" cy="533400"/>
                          </a:xfrm>
                          <a:prstGeom prst="rect">
                            <a:avLst/>
                          </a:prstGeom>
                          <a:solidFill>
                            <a:sysClr val="window" lastClr="FFFFFF"/>
                          </a:solidFill>
                          <a:ln w="6350">
                            <a:solidFill>
                              <a:prstClr val="black"/>
                            </a:solidFill>
                          </a:ln>
                          <a:effectLst/>
                        </wps:spPr>
                        <wps:txbx>
                          <w:txbxContent>
                            <w:p w14:paraId="2BD5D253" w14:textId="77777777" w:rsidR="00C53AA5" w:rsidRPr="007B16B2" w:rsidRDefault="00C53AA5" w:rsidP="00A34BAF">
                              <w:pPr>
                                <w:jc w:val="center"/>
                                <w:rPr>
                                  <w:sz w:val="20"/>
                                </w:rPr>
                              </w:pPr>
                              <w:r w:rsidRPr="007B16B2">
                                <w:rPr>
                                  <w:sz w:val="20"/>
                                </w:rPr>
                                <w:t>Assess the SEP</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1" name="Straight Connector 41"/>
                        <wps:cNvCnPr/>
                        <wps:spPr>
                          <a:xfrm flipV="1">
                            <a:off x="723900" y="243840"/>
                            <a:ext cx="0" cy="666750"/>
                          </a:xfrm>
                          <a:prstGeom prst="line">
                            <a:avLst/>
                          </a:prstGeom>
                          <a:noFill/>
                          <a:ln w="12700" cap="flat" cmpd="sng" algn="ctr">
                            <a:solidFill>
                              <a:sysClr val="windowText" lastClr="000000"/>
                            </a:solidFill>
                            <a:prstDash val="solid"/>
                            <a:miter lim="800000"/>
                          </a:ln>
                          <a:effectLst/>
                        </wps:spPr>
                        <wps:bodyPr/>
                      </wps:wsp>
                      <wps:wsp>
                        <wps:cNvPr id="42" name="Straight Arrow Connector 42"/>
                        <wps:cNvCnPr/>
                        <wps:spPr>
                          <a:xfrm>
                            <a:off x="723900" y="243840"/>
                            <a:ext cx="965200" cy="0"/>
                          </a:xfrm>
                          <a:prstGeom prst="straightConnector1">
                            <a:avLst/>
                          </a:prstGeom>
                          <a:noFill/>
                          <a:ln w="12700" cap="flat" cmpd="sng" algn="ctr">
                            <a:solidFill>
                              <a:sysClr val="windowText" lastClr="000000"/>
                            </a:solidFill>
                            <a:prstDash val="solid"/>
                            <a:miter lim="800000"/>
                            <a:tailEnd type="triangle"/>
                          </a:ln>
                          <a:effectLst/>
                        </wps:spPr>
                        <wps:bodyPr/>
                      </wps:wsp>
                      <wps:wsp>
                        <wps:cNvPr id="43" name="Straight Arrow Connector 43"/>
                        <wps:cNvCnPr/>
                        <wps:spPr>
                          <a:xfrm flipV="1">
                            <a:off x="723900" y="1402080"/>
                            <a:ext cx="15240" cy="1767840"/>
                          </a:xfrm>
                          <a:prstGeom prst="straightConnector1">
                            <a:avLst/>
                          </a:prstGeom>
                          <a:noFill/>
                          <a:ln w="6350" cap="flat" cmpd="sng" algn="ctr">
                            <a:solidFill>
                              <a:sysClr val="windowText" lastClr="000000"/>
                            </a:solidFill>
                            <a:prstDash val="solid"/>
                            <a:miter lim="800000"/>
                            <a:tailEnd type="triangle"/>
                          </a:ln>
                          <a:effectLst/>
                        </wps:spPr>
                        <wps:bodyPr/>
                      </wps:wsp>
                      <wps:wsp>
                        <wps:cNvPr id="44" name="Straight Arrow Connector 44"/>
                        <wps:cNvCnPr/>
                        <wps:spPr>
                          <a:xfrm flipH="1">
                            <a:off x="6141720" y="205740"/>
                            <a:ext cx="15240" cy="7239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2525548" id="Group 3" o:spid="_x0000_s1062" style="position:absolute;left:0;text-align:left;margin-left:0;margin-top:.15pt;width:513pt;height:253.2pt;z-index:251661312;mso-position-horizontal:center;mso-position-horizontal-relative:margin;mso-width-relative:margin;mso-height-relative:margin" coordsize="69373,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">
                <v:shape id="Straight Arrow Connector 7" o:spid="_x0000_s1063" type="#_x0000_t32" style="position:absolute;left:32156;top:2209;width:46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" strokecolor="windowText" strokeweight="1pt">
                  <v:stroke endarrow="block" joinstyle="miter"/>
                </v:shape>
                <v:shape id="Text Box 11" o:spid="_x0000_s1064" type="#_x0000_t202" style="position:absolute;left:17068;top:381;width:15120;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" fillcolor="window" strokeweight=".5pt">
                  <v:textbox>
                    <w:txbxContent>
                      <w:p w14:paraId="102CF2AA" w14:textId="77777777" w:rsidR="00C53AA5" w:rsidRPr="00BD25D5" w:rsidRDefault="00C53AA5" w:rsidP="00A34BAF">
                        <w:pPr>
                          <w:jc w:val="center"/>
                          <w:rPr>
                            <w:sz w:val="20"/>
                          </w:rPr>
                        </w:pPr>
                        <w:r w:rsidRPr="00BD25D5">
                          <w:rPr>
                            <w:sz w:val="20"/>
                          </w:rPr>
                          <w:t>Review and update SEP</w:t>
                        </w:r>
                      </w:p>
                    </w:txbxContent>
                  </v:textbox>
                </v:shape>
                <v:shape id="Text Box 30" o:spid="_x0000_s1065" type="#_x0000_t202" style="position:absolute;left:37033;width:15119;height:449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" fillcolor="window" strokeweight=".5pt">
                  <v:textbox>
                    <w:txbxContent>
                      <w:p w14:paraId="1176B768" w14:textId="77777777" w:rsidR="00C53AA5" w:rsidRPr="00A66E99" w:rsidRDefault="00C53AA5" w:rsidP="00A34BAF">
                        <w:pPr>
                          <w:jc w:val="center"/>
                          <w:rPr>
                            <w:sz w:val="20"/>
                          </w:rPr>
                        </w:pPr>
                        <w:r w:rsidRPr="00A66E99">
                          <w:rPr>
                            <w:sz w:val="20"/>
                          </w:rPr>
                          <w:t>Set engagement objectives</w:t>
                        </w:r>
                      </w:p>
                    </w:txbxContent>
                  </v:textbox>
                </v:shape>
                <v:shape id="Text Box 31" o:spid="_x0000_s1066" type="#_x0000_t202" style="position:absolute;top:9144;width:15119;height:49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" fillcolor="window" strokeweight=".5pt">
                  <v:textbox>
                    <w:txbxContent>
                      <w:p w14:paraId="09F73B80" w14:textId="77777777" w:rsidR="00C53AA5" w:rsidRPr="007B16B2" w:rsidRDefault="00C53AA5" w:rsidP="00A34BAF">
                        <w:pPr>
                          <w:jc w:val="center"/>
                          <w:rPr>
                            <w:sz w:val="20"/>
                          </w:rPr>
                        </w:pPr>
                        <w:r w:rsidRPr="007B16B2">
                          <w:rPr>
                            <w:sz w:val="20"/>
                          </w:rPr>
                          <w:t>Measure and report progress</w:t>
                        </w:r>
                      </w:p>
                    </w:txbxContent>
                  </v:textbox>
                </v:shape>
                <v:shape id="Text Box 32" o:spid="_x0000_s1067" type="#_x0000_t202" style="position:absolute;left:25679;top:15011;width:19279;height:4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" fillcolor="window" strokeweight=".5pt">
                  <v:textbox>
                    <w:txbxContent>
                      <w:p w14:paraId="0EC564E9" w14:textId="77777777" w:rsidR="00C53AA5" w:rsidRPr="007B16B2" w:rsidRDefault="00C53AA5" w:rsidP="00A34BAF">
                        <w:pPr>
                          <w:jc w:val="center"/>
                          <w:rPr>
                            <w:b/>
                          </w:rPr>
                        </w:pPr>
                        <w:r>
                          <w:rPr>
                            <w:b/>
                          </w:rPr>
                          <w:t>Stakeholder Engagement</w:t>
                        </w:r>
                      </w:p>
                    </w:txbxContent>
                  </v:textbox>
                </v:shape>
                <v:line id="Straight Connector 33" o:spid="_x0000_s1068" style="position:absolute;visibility:visible;mso-wrap-style:square" from="51968,2057" to="61675,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" strokecolor="windowText" strokeweight="1pt">
                  <v:stroke joinstyle="miter"/>
                </v:line>
                <v:shape id="Straight Arrow Connector 34" o:spid="_x0000_s1069" type="#_x0000_t32" style="position:absolute;left:61722;top:14020;width:0;height:6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" strokecolor="windowText" strokeweight="1pt">
                  <v:stroke endarrow="block" joinstyle="miter"/>
                </v:shape>
                <v:shape id="Straight Arrow Connector 35" o:spid="_x0000_s1070" type="#_x0000_t32" style="position:absolute;left:61722;top:25222;width:0;height:6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" strokecolor="windowText" strokeweight="1pt">
                  <v:stroke endarrow="block" joinstyle="miter"/>
                </v:shape>
                <v:shape id="Text Box 36" o:spid="_x0000_s1071" type="#_x0000_t202" style="position:absolute;left:54025;top:9448;width:15120;height:57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" fillcolor="window" strokeweight=".5pt">
                  <v:textbox>
                    <w:txbxContent>
                      <w:p w14:paraId="7E61CCC1" w14:textId="77777777" w:rsidR="00C53AA5" w:rsidRPr="00A66E99" w:rsidRDefault="00C53AA5" w:rsidP="00A34BAF">
                        <w:pPr>
                          <w:jc w:val="center"/>
                          <w:rPr>
                            <w:sz w:val="20"/>
                          </w:rPr>
                        </w:pPr>
                        <w:r w:rsidRPr="00A66E99">
                          <w:rPr>
                            <w:sz w:val="20"/>
                          </w:rPr>
                          <w:t>Identify and assess stakeholders</w:t>
                        </w:r>
                      </w:p>
                    </w:txbxContent>
                  </v:textbox>
                </v:shape>
                <v:shape id="Text Box 37" o:spid="_x0000_s1072" type="#_x0000_t202" style="position:absolute;left:54254;top:20497;width:15119;height:44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" fillcolor="window" strokeweight=".5pt">
                  <v:textbox>
                    <w:txbxContent>
                      <w:p w14:paraId="56140DE9" w14:textId="77777777" w:rsidR="00C53AA5" w:rsidRPr="00A66E99" w:rsidRDefault="00C53AA5" w:rsidP="00A34BAF">
                        <w:pPr>
                          <w:jc w:val="center"/>
                          <w:rPr>
                            <w:sz w:val="20"/>
                          </w:rPr>
                        </w:pPr>
                        <w:r w:rsidRPr="00A66E99">
                          <w:rPr>
                            <w:sz w:val="20"/>
                          </w:rPr>
                          <w:t>Develop SEP and associated documents</w:t>
                        </w:r>
                      </w:p>
                    </w:txbxContent>
                  </v:textbox>
                </v:shape>
                <v:shape id="Text Box 38" o:spid="_x0000_s1073" type="#_x0000_t202" style="position:absolute;left:54025;top:31699;width:15120;height:50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" fillcolor="window" strokeweight=".5pt">
                  <v:textbox>
                    <w:txbxContent>
                      <w:p w14:paraId="2BC00F00" w14:textId="77777777" w:rsidR="00C53AA5" w:rsidRPr="007B16B2" w:rsidRDefault="00C53AA5" w:rsidP="00A34BAF">
                        <w:pPr>
                          <w:jc w:val="center"/>
                          <w:rPr>
                            <w:sz w:val="20"/>
                          </w:rPr>
                        </w:pPr>
                        <w:r w:rsidRPr="007B16B2">
                          <w:rPr>
                            <w:sz w:val="20"/>
                          </w:rPr>
                          <w:t>Implement SEP</w:t>
                        </w:r>
                      </w:p>
                    </w:txbxContent>
                  </v:textbox>
                </v:shape>
                <v:shape id="Straight Arrow Connector 39" o:spid="_x0000_s1074" type="#_x0000_t32" style="position:absolute;left:15087;top:34975;width:389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" strokecolor="windowText" strokeweight="1pt">
                  <v:stroke endarrow="block" joinstyle="miter"/>
                </v:shape>
                <v:shape id="Text Box 40" o:spid="_x0000_s1075" type="#_x0000_t202" style="position:absolute;left:76;top:31623;width:15119;height:5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" fillcolor="window" strokeweight=".5pt">
                  <v:textbox>
                    <w:txbxContent>
                      <w:p w14:paraId="2BD5D253" w14:textId="77777777" w:rsidR="00C53AA5" w:rsidRPr="007B16B2" w:rsidRDefault="00C53AA5" w:rsidP="00A34BAF">
                        <w:pPr>
                          <w:jc w:val="center"/>
                          <w:rPr>
                            <w:sz w:val="20"/>
                          </w:rPr>
                        </w:pPr>
                        <w:r w:rsidRPr="007B16B2">
                          <w:rPr>
                            <w:sz w:val="20"/>
                          </w:rPr>
                          <w:t>Assess the SEP</w:t>
                        </w:r>
                      </w:p>
                    </w:txbxContent>
                  </v:textbox>
                </v:shape>
                <v:line id="Straight Connector 41" o:spid="_x0000_s1076" style="position:absolute;flip:y;visibility:visible;mso-wrap-style:square" from="7239,2438" to="7239,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" strokecolor="windowText" strokeweight="1pt">
                  <v:stroke joinstyle="miter"/>
                </v:line>
                <v:shape id="Straight Arrow Connector 42" o:spid="_x0000_s1077" type="#_x0000_t32" style="position:absolute;left:7239;top:2438;width:96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" strokecolor="windowText" strokeweight="1pt">
                  <v:stroke endarrow="block" joinstyle="miter"/>
                </v:shape>
                <v:shape id="Straight Arrow Connector 43" o:spid="_x0000_s1078" type="#_x0000_t32" style="position:absolute;left:7239;top:14020;width:152;height:17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" strokecolor="windowText" strokeweight=".5pt">
                  <v:stroke endarrow="block" joinstyle="miter"/>
                </v:shape>
                <v:shape id="Straight Arrow Connector 44" o:spid="_x0000_s1079" type="#_x0000_t32" style="position:absolute;left:61417;top:2057;width:152;height:7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" strokecolor="windowText" strokeweight=".5pt">
                  <v:stroke endarrow="block" joinstyle="miter"/>
                </v:shape>
                <w10:wrap anchorx="margin"/>
              </v:group>
            </w:pict>
          </mc:Fallback>
        </mc:AlternateContent>
      </w:r>
    </w:p>
    <w:p w14:paraId="3A4E458C" w14:textId="77777777" w:rsidR="00A34BAF" w:rsidRPr="006C06AD" w:rsidRDefault="00A34BAF">
      <w:pPr>
        <w:spacing w:line="276" w:lineRule="auto"/>
        <w:jc w:val="both"/>
        <w:rPr>
          <w:sz w:val="20"/>
          <w:szCs w:val="20"/>
        </w:rPr>
      </w:pPr>
    </w:p>
    <w:p w14:paraId="67CEE074" w14:textId="77777777" w:rsidR="00A34BAF" w:rsidRPr="006C06AD" w:rsidRDefault="00A34BAF">
      <w:pPr>
        <w:spacing w:line="276" w:lineRule="auto"/>
        <w:jc w:val="both"/>
        <w:rPr>
          <w:sz w:val="20"/>
          <w:szCs w:val="20"/>
        </w:rPr>
      </w:pPr>
    </w:p>
    <w:p w14:paraId="06859EC1" w14:textId="77777777" w:rsidR="00A34BAF" w:rsidRPr="006C06AD" w:rsidRDefault="00A34BAF">
      <w:pPr>
        <w:spacing w:line="276" w:lineRule="auto"/>
        <w:jc w:val="both"/>
        <w:rPr>
          <w:sz w:val="20"/>
          <w:szCs w:val="20"/>
        </w:rPr>
      </w:pPr>
    </w:p>
    <w:p w14:paraId="4F281912" w14:textId="77777777" w:rsidR="00A34BAF" w:rsidRPr="006C06AD" w:rsidRDefault="00A34BAF">
      <w:pPr>
        <w:spacing w:line="276" w:lineRule="auto"/>
        <w:jc w:val="both"/>
        <w:rPr>
          <w:sz w:val="20"/>
          <w:szCs w:val="20"/>
        </w:rPr>
      </w:pPr>
    </w:p>
    <w:p w14:paraId="5056A1E7" w14:textId="77777777" w:rsidR="00A34BAF" w:rsidRPr="006C06AD" w:rsidRDefault="00A34BAF">
      <w:pPr>
        <w:spacing w:line="276" w:lineRule="auto"/>
        <w:jc w:val="both"/>
        <w:rPr>
          <w:sz w:val="20"/>
          <w:szCs w:val="20"/>
        </w:rPr>
      </w:pPr>
    </w:p>
    <w:p w14:paraId="268DF702" w14:textId="77777777" w:rsidR="00A34BAF" w:rsidRPr="006C06AD" w:rsidRDefault="00A34BAF">
      <w:pPr>
        <w:spacing w:line="276" w:lineRule="auto"/>
        <w:jc w:val="both"/>
        <w:rPr>
          <w:sz w:val="20"/>
          <w:szCs w:val="20"/>
        </w:rPr>
      </w:pPr>
    </w:p>
    <w:p w14:paraId="2F49C445" w14:textId="77777777" w:rsidR="00A34BAF" w:rsidRPr="006C06AD" w:rsidRDefault="00A34BAF">
      <w:pPr>
        <w:spacing w:line="276" w:lineRule="auto"/>
        <w:jc w:val="both"/>
        <w:rPr>
          <w:sz w:val="20"/>
          <w:szCs w:val="20"/>
        </w:rPr>
      </w:pPr>
    </w:p>
    <w:p w14:paraId="3BFB5BEA" w14:textId="77777777" w:rsidR="00A34BAF" w:rsidRPr="006C06AD" w:rsidRDefault="00A34BAF">
      <w:pPr>
        <w:spacing w:line="276" w:lineRule="auto"/>
        <w:jc w:val="both"/>
        <w:rPr>
          <w:sz w:val="20"/>
          <w:szCs w:val="20"/>
        </w:rPr>
      </w:pPr>
    </w:p>
    <w:p w14:paraId="3501F979" w14:textId="77777777" w:rsidR="00A34BAF" w:rsidRPr="006C06AD" w:rsidRDefault="00A34BAF">
      <w:pPr>
        <w:spacing w:line="276" w:lineRule="auto"/>
        <w:jc w:val="both"/>
        <w:rPr>
          <w:sz w:val="20"/>
          <w:szCs w:val="20"/>
        </w:rPr>
      </w:pPr>
    </w:p>
    <w:p w14:paraId="27CC6C27" w14:textId="77777777" w:rsidR="00A34BAF" w:rsidRPr="006C06AD" w:rsidRDefault="00A34BAF">
      <w:pPr>
        <w:spacing w:line="276" w:lineRule="auto"/>
        <w:jc w:val="both"/>
        <w:rPr>
          <w:sz w:val="20"/>
          <w:szCs w:val="20"/>
        </w:rPr>
      </w:pPr>
    </w:p>
    <w:p w14:paraId="685DDBCC" w14:textId="77777777" w:rsidR="00A34BAF" w:rsidRPr="006C06AD" w:rsidRDefault="00A34BAF">
      <w:pPr>
        <w:spacing w:line="276" w:lineRule="auto"/>
        <w:jc w:val="both"/>
        <w:rPr>
          <w:sz w:val="20"/>
          <w:szCs w:val="20"/>
        </w:rPr>
      </w:pPr>
    </w:p>
    <w:p w14:paraId="73C613D2" w14:textId="77777777" w:rsidR="00A34BAF" w:rsidRPr="006C06AD" w:rsidRDefault="00A34BAF">
      <w:pPr>
        <w:spacing w:line="276" w:lineRule="auto"/>
        <w:jc w:val="both"/>
        <w:rPr>
          <w:sz w:val="20"/>
          <w:szCs w:val="20"/>
        </w:rPr>
      </w:pPr>
    </w:p>
    <w:p w14:paraId="10F36304" w14:textId="77777777" w:rsidR="00CA7EDF" w:rsidRPr="006C06AD" w:rsidRDefault="00CA7EDF">
      <w:pPr>
        <w:spacing w:line="276" w:lineRule="auto"/>
        <w:jc w:val="both"/>
        <w:rPr>
          <w:sz w:val="20"/>
          <w:szCs w:val="20"/>
        </w:rPr>
      </w:pPr>
      <w:r w:rsidRPr="006C06AD">
        <w:rPr>
          <w:sz w:val="20"/>
          <w:szCs w:val="20"/>
        </w:rPr>
        <w:t>Project-level stakeholder engagement was undertaken between BICE and the relevant government authorities and stakeholders. During the screening and scoping as well as assessment stages, each</w:t>
      </w:r>
      <w:r w:rsidR="0028758B">
        <w:rPr>
          <w:sz w:val="20"/>
          <w:szCs w:val="20"/>
        </w:rPr>
        <w:t xml:space="preserve"> </w:t>
      </w:r>
      <w:r w:rsidR="001D7FE0" w:rsidRPr="0057708E">
        <w:rPr>
          <w:sz w:val="20"/>
          <w:szCs w:val="20"/>
        </w:rPr>
        <w:t>Category B.</w:t>
      </w:r>
      <w:r w:rsidR="001D7FE0">
        <w:rPr>
          <w:sz w:val="20"/>
          <w:szCs w:val="20"/>
        </w:rPr>
        <w:t xml:space="preserve"> </w:t>
      </w:r>
      <w:r w:rsidR="0028758B">
        <w:rPr>
          <w:sz w:val="20"/>
          <w:szCs w:val="20"/>
        </w:rPr>
        <w:t>sub-project</w:t>
      </w:r>
      <w:r w:rsidRPr="006C06AD">
        <w:rPr>
          <w:sz w:val="20"/>
          <w:szCs w:val="20"/>
        </w:rPr>
        <w:t xml:space="preserve"> will identify further activities to engage the communities and stakeholders to inform</w:t>
      </w:r>
      <w:r w:rsidR="0028758B">
        <w:rPr>
          <w:sz w:val="20"/>
          <w:szCs w:val="20"/>
        </w:rPr>
        <w:t xml:space="preserve"> sub-project</w:t>
      </w:r>
      <w:r w:rsidRPr="006C06AD">
        <w:rPr>
          <w:sz w:val="20"/>
          <w:szCs w:val="20"/>
        </w:rPr>
        <w:t xml:space="preserve"> design and as part of measures to mitigate for potential impacts on th</w:t>
      </w:r>
      <w:r w:rsidR="00C61E7C" w:rsidRPr="006C06AD">
        <w:rPr>
          <w:sz w:val="20"/>
          <w:szCs w:val="20"/>
        </w:rPr>
        <w:t>e local communities</w:t>
      </w:r>
      <w:r w:rsidRPr="006C06AD">
        <w:rPr>
          <w:sz w:val="20"/>
          <w:szCs w:val="20"/>
        </w:rPr>
        <w:t>.</w:t>
      </w:r>
    </w:p>
    <w:p w14:paraId="642A5084" w14:textId="77777777" w:rsidR="00CA7EDF" w:rsidRPr="006C06AD" w:rsidRDefault="00CA7EDF">
      <w:pPr>
        <w:spacing w:line="276" w:lineRule="auto"/>
        <w:jc w:val="both"/>
        <w:rPr>
          <w:sz w:val="20"/>
          <w:szCs w:val="20"/>
        </w:rPr>
      </w:pPr>
      <w:r w:rsidRPr="006C06AD">
        <w:rPr>
          <w:sz w:val="20"/>
          <w:szCs w:val="20"/>
        </w:rPr>
        <w:t xml:space="preserve">Stakeholder identification will be an important step in the stakeholder engagement to determine the parties who should be engaged. Stakeholders may hold varying levels of interest and influence on the Project that can change </w:t>
      </w:r>
      <w:r w:rsidRPr="006C06AD">
        <w:rPr>
          <w:sz w:val="20"/>
          <w:szCs w:val="20"/>
        </w:rPr>
        <w:lastRenderedPageBreak/>
        <w:t xml:space="preserve">depending on the issue, the process of engagement and the impacts. Potentially vulnerable groups will be identified through consultation and investigations during screening and scoping; and where such groups are identified, measures will be developed to ensure they are appropriately engaged and their interests considered as part of the </w:t>
      </w:r>
      <w:r w:rsidR="0028758B">
        <w:rPr>
          <w:sz w:val="20"/>
          <w:szCs w:val="20"/>
        </w:rPr>
        <w:t>P</w:t>
      </w:r>
      <w:r w:rsidRPr="006C06AD">
        <w:rPr>
          <w:sz w:val="20"/>
          <w:szCs w:val="20"/>
        </w:rPr>
        <w:t>roject. The measures will be reflected in</w:t>
      </w:r>
      <w:r w:rsidR="0028758B">
        <w:rPr>
          <w:sz w:val="20"/>
          <w:szCs w:val="20"/>
        </w:rPr>
        <w:t xml:space="preserve"> sub-project</w:t>
      </w:r>
      <w:r w:rsidRPr="006C06AD">
        <w:rPr>
          <w:sz w:val="20"/>
          <w:szCs w:val="20"/>
        </w:rPr>
        <w:t xml:space="preserve"> stakeholder engagement plan (SEP). The SEP outlines the process for engaging stakeholders and communities potentially affected by a</w:t>
      </w:r>
      <w:r w:rsidR="0028758B">
        <w:rPr>
          <w:sz w:val="20"/>
          <w:szCs w:val="20"/>
        </w:rPr>
        <w:t xml:space="preserve"> sub-project</w:t>
      </w:r>
      <w:r w:rsidRPr="006C06AD">
        <w:rPr>
          <w:sz w:val="20"/>
          <w:szCs w:val="20"/>
        </w:rPr>
        <w:t xml:space="preserve">. The SEP relates to managing and implementing consultations which occurs initially during the scoping, baseline investigations and the assessments, and with stakeholders and affected communities to elicit their views and issues on the </w:t>
      </w:r>
      <w:r w:rsidR="0028758B">
        <w:rPr>
          <w:sz w:val="20"/>
          <w:szCs w:val="20"/>
        </w:rPr>
        <w:t>sub-projects</w:t>
      </w:r>
      <w:r w:rsidRPr="006C06AD">
        <w:rPr>
          <w:sz w:val="20"/>
          <w:szCs w:val="20"/>
        </w:rPr>
        <w:t xml:space="preserve">. </w:t>
      </w:r>
    </w:p>
    <w:p w14:paraId="465FBD68" w14:textId="77777777" w:rsidR="00CA7EDF" w:rsidRPr="006C06AD" w:rsidRDefault="00CA7EDF">
      <w:pPr>
        <w:spacing w:line="276" w:lineRule="auto"/>
        <w:jc w:val="both"/>
        <w:rPr>
          <w:sz w:val="20"/>
          <w:szCs w:val="20"/>
        </w:rPr>
      </w:pPr>
      <w:r w:rsidRPr="006C06AD">
        <w:rPr>
          <w:sz w:val="20"/>
          <w:szCs w:val="20"/>
        </w:rPr>
        <w:t xml:space="preserve">The objectives of the SEP are to: </w:t>
      </w:r>
    </w:p>
    <w:p w14:paraId="61F2165F" w14:textId="77777777" w:rsidR="00CA7EDF" w:rsidRPr="006C06AD" w:rsidRDefault="00CA7EDF">
      <w:pPr>
        <w:pStyle w:val="ListParagraph"/>
        <w:numPr>
          <w:ilvl w:val="0"/>
          <w:numId w:val="56"/>
        </w:numPr>
        <w:ind w:left="360"/>
        <w:jc w:val="both"/>
        <w:rPr>
          <w:sz w:val="20"/>
          <w:szCs w:val="20"/>
        </w:rPr>
      </w:pPr>
      <w:r w:rsidRPr="006C06AD">
        <w:rPr>
          <w:sz w:val="20"/>
          <w:szCs w:val="20"/>
        </w:rPr>
        <w:t>provide timely and relevant information about the</w:t>
      </w:r>
      <w:r w:rsidR="0028758B">
        <w:rPr>
          <w:sz w:val="20"/>
          <w:szCs w:val="20"/>
        </w:rPr>
        <w:t xml:space="preserve"> sub-project</w:t>
      </w:r>
      <w:r w:rsidRPr="006C06AD">
        <w:rPr>
          <w:sz w:val="20"/>
          <w:szCs w:val="20"/>
        </w:rPr>
        <w:t xml:space="preserve">, process for any further assessments, development of mitigation measures, criteria and decision-making, and implementation of the </w:t>
      </w:r>
      <w:r w:rsidR="0028758B">
        <w:rPr>
          <w:sz w:val="20"/>
          <w:szCs w:val="20"/>
        </w:rPr>
        <w:t>sub-projects</w:t>
      </w:r>
      <w:r w:rsidRPr="006C06AD">
        <w:rPr>
          <w:sz w:val="20"/>
          <w:szCs w:val="20"/>
        </w:rPr>
        <w:t xml:space="preserve">; </w:t>
      </w:r>
    </w:p>
    <w:p w14:paraId="1F512151" w14:textId="77777777" w:rsidR="00CA7EDF" w:rsidRPr="006C06AD" w:rsidRDefault="00CA7EDF">
      <w:pPr>
        <w:pStyle w:val="ListParagraph"/>
        <w:numPr>
          <w:ilvl w:val="0"/>
          <w:numId w:val="56"/>
        </w:numPr>
        <w:ind w:left="360"/>
        <w:jc w:val="both"/>
        <w:rPr>
          <w:sz w:val="20"/>
          <w:szCs w:val="20"/>
        </w:rPr>
      </w:pPr>
      <w:r w:rsidRPr="006C06AD">
        <w:rPr>
          <w:sz w:val="20"/>
          <w:szCs w:val="20"/>
        </w:rPr>
        <w:t>provide opportunities for feedback from a broad range of stakeholders, particularly those most likely to be affected by</w:t>
      </w:r>
      <w:r w:rsidR="0028758B">
        <w:rPr>
          <w:sz w:val="20"/>
          <w:szCs w:val="20"/>
        </w:rPr>
        <w:t xml:space="preserve"> sub-project</w:t>
      </w:r>
      <w:r w:rsidRPr="006C06AD">
        <w:rPr>
          <w:sz w:val="20"/>
          <w:szCs w:val="20"/>
        </w:rPr>
        <w:t xml:space="preserve"> activities; and</w:t>
      </w:r>
    </w:p>
    <w:p w14:paraId="0677DBFF" w14:textId="77777777" w:rsidR="00CA7EDF" w:rsidRPr="006C06AD" w:rsidRDefault="00CA7EDF">
      <w:pPr>
        <w:pStyle w:val="ListParagraph"/>
        <w:numPr>
          <w:ilvl w:val="0"/>
          <w:numId w:val="56"/>
        </w:numPr>
        <w:ind w:left="360"/>
        <w:jc w:val="both"/>
        <w:rPr>
          <w:sz w:val="20"/>
          <w:szCs w:val="20"/>
        </w:rPr>
      </w:pPr>
      <w:r w:rsidRPr="006C06AD">
        <w:rPr>
          <w:sz w:val="20"/>
          <w:szCs w:val="20"/>
        </w:rPr>
        <w:t>ensure early identification of potential environmental and social issues including implementation of mitigation measures to inform the</w:t>
      </w:r>
      <w:r w:rsidR="0028758B">
        <w:rPr>
          <w:sz w:val="20"/>
          <w:szCs w:val="20"/>
        </w:rPr>
        <w:t xml:space="preserve"> sub-project</w:t>
      </w:r>
      <w:r w:rsidRPr="006C06AD">
        <w:rPr>
          <w:sz w:val="20"/>
          <w:szCs w:val="20"/>
        </w:rPr>
        <w:t xml:space="preserve"> design and implementation. </w:t>
      </w:r>
    </w:p>
    <w:p w14:paraId="3F3F889F" w14:textId="77777777" w:rsidR="00CA7EDF" w:rsidRPr="006C06AD" w:rsidRDefault="00CA7EDF">
      <w:pPr>
        <w:spacing w:line="276" w:lineRule="auto"/>
        <w:jc w:val="both"/>
        <w:rPr>
          <w:sz w:val="20"/>
          <w:szCs w:val="20"/>
        </w:rPr>
      </w:pPr>
      <w:r w:rsidRPr="00672C33">
        <w:rPr>
          <w:sz w:val="20"/>
          <w:szCs w:val="20"/>
        </w:rPr>
        <w:t xml:space="preserve">Stakeholders will be assessed according to their levels of interest and influence to the </w:t>
      </w:r>
      <w:r w:rsidR="0028758B">
        <w:rPr>
          <w:sz w:val="20"/>
          <w:szCs w:val="20"/>
        </w:rPr>
        <w:t>P</w:t>
      </w:r>
      <w:r w:rsidRPr="00672C33">
        <w:rPr>
          <w:sz w:val="20"/>
          <w:szCs w:val="20"/>
        </w:rPr>
        <w:t xml:space="preserve">roject, as shown in Figure </w:t>
      </w:r>
      <w:r w:rsidR="00672C33" w:rsidRPr="00672C33">
        <w:rPr>
          <w:sz w:val="20"/>
          <w:szCs w:val="20"/>
        </w:rPr>
        <w:t>3.</w:t>
      </w:r>
    </w:p>
    <w:p w14:paraId="03692471" w14:textId="77777777" w:rsidR="005E3320" w:rsidRPr="006C06AD" w:rsidRDefault="005E3320">
      <w:pPr>
        <w:spacing w:after="0" w:line="276" w:lineRule="auto"/>
        <w:jc w:val="both"/>
        <w:rPr>
          <w:sz w:val="20"/>
          <w:szCs w:val="20"/>
        </w:rPr>
      </w:pPr>
      <w:r w:rsidRPr="006C06AD">
        <w:rPr>
          <w:sz w:val="20"/>
          <w:szCs w:val="20"/>
        </w:rPr>
        <w:t xml:space="preserve">At the </w:t>
      </w:r>
      <w:r w:rsidR="00CA7EDF" w:rsidRPr="006C06AD">
        <w:rPr>
          <w:sz w:val="20"/>
          <w:szCs w:val="20"/>
        </w:rPr>
        <w:t xml:space="preserve">Project </w:t>
      </w:r>
      <w:r w:rsidRPr="006C06AD">
        <w:rPr>
          <w:sz w:val="20"/>
          <w:szCs w:val="20"/>
        </w:rPr>
        <w:t xml:space="preserve">level, consultations have been held throughout 2017 with government officers, executing agency (BICE), commercial banks and technology providers to understand investment and financing challenges, in order to define the relevance of seeking GCF support and the relevant financial instruments and technical cooperation activities and to fine-tune the </w:t>
      </w:r>
      <w:r w:rsidR="00123F65" w:rsidRPr="006C06AD">
        <w:rPr>
          <w:sz w:val="20"/>
          <w:szCs w:val="20"/>
        </w:rPr>
        <w:t>Project</w:t>
      </w:r>
      <w:r w:rsidRPr="006C06AD">
        <w:rPr>
          <w:sz w:val="20"/>
          <w:szCs w:val="20"/>
        </w:rPr>
        <w:t xml:space="preserve"> design (see list in Appendix III.). </w:t>
      </w:r>
    </w:p>
    <w:p w14:paraId="73A7AD02" w14:textId="77777777" w:rsidR="005E3320" w:rsidRPr="006C06AD" w:rsidRDefault="007961D0" w:rsidP="00C17775">
      <w:pPr>
        <w:spacing w:line="276" w:lineRule="auto"/>
        <w:jc w:val="both"/>
        <w:rPr>
          <w:sz w:val="20"/>
          <w:szCs w:val="20"/>
        </w:rPr>
      </w:pPr>
      <w:r w:rsidRPr="006C06AD">
        <w:rPr>
          <w:sz w:val="20"/>
          <w:szCs w:val="20"/>
        </w:rPr>
        <w:t>The</w:t>
      </w:r>
      <w:r w:rsidR="00771986" w:rsidRPr="006C06AD">
        <w:rPr>
          <w:sz w:val="20"/>
          <w:szCs w:val="20"/>
        </w:rPr>
        <w:t xml:space="preserve"> IDB </w:t>
      </w:r>
      <w:r w:rsidR="00F249E4" w:rsidRPr="006C06AD">
        <w:rPr>
          <w:sz w:val="20"/>
          <w:szCs w:val="20"/>
        </w:rPr>
        <w:t xml:space="preserve">itself </w:t>
      </w:r>
      <w:r w:rsidR="00771986" w:rsidRPr="006C06AD">
        <w:rPr>
          <w:sz w:val="20"/>
          <w:szCs w:val="20"/>
        </w:rPr>
        <w:t xml:space="preserve">has a general site where information requests can be made: </w:t>
      </w:r>
      <w:hyperlink r:id="rId10" w:history="1">
        <w:r w:rsidR="00771986" w:rsidRPr="006C06AD">
          <w:rPr>
            <w:rStyle w:val="Hyperlink"/>
            <w:sz w:val="20"/>
            <w:szCs w:val="20"/>
          </w:rPr>
          <w:t>http://www.iadb.org/en/information-request,18885.html</w:t>
        </w:r>
      </w:hyperlink>
      <w:r w:rsidR="008B3FEF" w:rsidRPr="006C06AD">
        <w:rPr>
          <w:sz w:val="20"/>
          <w:szCs w:val="20"/>
        </w:rPr>
        <w:t>. Upon reception of queries, a ticket will be opened, and the questions internally directed to the relevant department at IDB</w:t>
      </w:r>
      <w:r w:rsidR="00DB6F81" w:rsidRPr="006C06AD">
        <w:rPr>
          <w:sz w:val="20"/>
          <w:szCs w:val="20"/>
        </w:rPr>
        <w:t xml:space="preserve">. An indication will be given to the person submitting the query on the timeframe needed to provide a response. </w:t>
      </w:r>
    </w:p>
    <w:p w14:paraId="02A51B25" w14:textId="52A82B8C" w:rsidR="005E3320" w:rsidRDefault="005E3320" w:rsidP="00C17775">
      <w:pPr>
        <w:spacing w:line="276" w:lineRule="auto"/>
        <w:jc w:val="both"/>
        <w:rPr>
          <w:sz w:val="20"/>
          <w:szCs w:val="20"/>
        </w:rPr>
      </w:pPr>
      <w:r w:rsidRPr="006C06AD">
        <w:rPr>
          <w:sz w:val="20"/>
          <w:szCs w:val="20"/>
        </w:rPr>
        <w:t xml:space="preserve">BICE has a similar information request system: </w:t>
      </w:r>
      <w:hyperlink r:id="rId11" w:history="1">
        <w:r w:rsidR="00195ED1" w:rsidRPr="006C06AD">
          <w:rPr>
            <w:rStyle w:val="Hyperlink"/>
            <w:sz w:val="20"/>
            <w:szCs w:val="20"/>
          </w:rPr>
          <w:t>https://www.bice.com.ar/es/contacto/</w:t>
        </w:r>
      </w:hyperlink>
      <w:r w:rsidR="00195ED1" w:rsidRPr="006C06AD">
        <w:rPr>
          <w:sz w:val="20"/>
          <w:szCs w:val="20"/>
        </w:rPr>
        <w:t xml:space="preserve"> </w:t>
      </w:r>
      <w:r w:rsidRPr="006C06AD">
        <w:rPr>
          <w:sz w:val="20"/>
          <w:szCs w:val="20"/>
        </w:rPr>
        <w:t>. It will also implement a grievance mechanism at the Project level.</w:t>
      </w:r>
    </w:p>
    <w:p w14:paraId="189B7FC4" w14:textId="78791695" w:rsidR="003D4B9D" w:rsidRPr="006C06AD" w:rsidRDefault="003D4B9D" w:rsidP="00C17775">
      <w:pPr>
        <w:spacing w:line="276" w:lineRule="auto"/>
        <w:jc w:val="both"/>
        <w:rPr>
          <w:sz w:val="20"/>
          <w:szCs w:val="20"/>
        </w:rPr>
      </w:pPr>
      <w:r>
        <w:rPr>
          <w:sz w:val="20"/>
          <w:szCs w:val="20"/>
        </w:rPr>
        <w:t>At</w:t>
      </w:r>
      <w:r w:rsidRPr="001D46BA">
        <w:rPr>
          <w:sz w:val="20"/>
          <w:szCs w:val="20"/>
        </w:rPr>
        <w:t xml:space="preserve"> the pipeline development stage, during Project execution, there will be another project-adequate stakeholder engagement to inform and train actors (LFIs and sub-project proponents in particular) on the ESMF and its main features (disposal protocol, categorization tool etc.)</w:t>
      </w:r>
    </w:p>
    <w:p w14:paraId="130EFFD5" w14:textId="77777777" w:rsidR="00CA7EDF" w:rsidRPr="006C06AD" w:rsidRDefault="00CA7EDF">
      <w:pPr>
        <w:pStyle w:val="Heading2"/>
        <w:numPr>
          <w:ilvl w:val="0"/>
          <w:numId w:val="39"/>
        </w:numPr>
        <w:spacing w:before="240" w:after="240" w:line="276" w:lineRule="auto"/>
        <w:jc w:val="both"/>
        <w:rPr>
          <w:rFonts w:asciiTheme="minorHAnsi" w:hAnsiTheme="minorHAnsi"/>
          <w:sz w:val="20"/>
          <w:szCs w:val="20"/>
        </w:rPr>
      </w:pPr>
      <w:r w:rsidRPr="006C06AD">
        <w:rPr>
          <w:rFonts w:asciiTheme="minorHAnsi" w:hAnsiTheme="minorHAnsi"/>
          <w:sz w:val="20"/>
          <w:szCs w:val="20"/>
        </w:rPr>
        <w:t xml:space="preserve">Grievance Mechanism </w:t>
      </w:r>
    </w:p>
    <w:p w14:paraId="41795A5C" w14:textId="77777777" w:rsidR="00CA7EDF" w:rsidRPr="006C06AD" w:rsidRDefault="00CA7EDF" w:rsidP="00C17775">
      <w:pPr>
        <w:spacing w:line="276" w:lineRule="auto"/>
        <w:jc w:val="both"/>
        <w:rPr>
          <w:sz w:val="20"/>
          <w:szCs w:val="20"/>
        </w:rPr>
      </w:pPr>
      <w:r w:rsidRPr="006C06AD">
        <w:rPr>
          <w:sz w:val="20"/>
          <w:szCs w:val="20"/>
        </w:rPr>
        <w:t xml:space="preserve">A mechanism for affected communities and stakeholders to lodge their grievance or complaints about the Project and the </w:t>
      </w:r>
      <w:r w:rsidR="0028758B">
        <w:rPr>
          <w:sz w:val="20"/>
          <w:szCs w:val="20"/>
        </w:rPr>
        <w:t>sub-projects</w:t>
      </w:r>
      <w:r w:rsidRPr="006C06AD">
        <w:rPr>
          <w:sz w:val="20"/>
          <w:szCs w:val="20"/>
        </w:rPr>
        <w:t xml:space="preserve"> as well as provided with resolution and redress will be established consistent with the requirements of the GCF ESS standards particularly in relation to assessment and management of environmental and social risks and impacts and labor and working conditions. The grievance mechanism will be designed to receive and facilitate resolution of issues, concerns and complaints about the Project and in particular on the environmental and social risks and impacts and how these are mitigated and managed in the </w:t>
      </w:r>
      <w:r w:rsidR="0028758B">
        <w:rPr>
          <w:sz w:val="20"/>
          <w:szCs w:val="20"/>
        </w:rPr>
        <w:t>sub-projects</w:t>
      </w:r>
      <w:r w:rsidRPr="006C06AD">
        <w:rPr>
          <w:sz w:val="20"/>
          <w:szCs w:val="20"/>
        </w:rPr>
        <w:t>. The design of the mechanism will be scaled to the level of risks and impacts of the</w:t>
      </w:r>
      <w:r w:rsidR="0028758B">
        <w:rPr>
          <w:sz w:val="20"/>
          <w:szCs w:val="20"/>
        </w:rPr>
        <w:t xml:space="preserve"> sub-project</w:t>
      </w:r>
      <w:r w:rsidRPr="006C06AD">
        <w:rPr>
          <w:sz w:val="20"/>
          <w:szCs w:val="20"/>
        </w:rPr>
        <w:t xml:space="preserve"> and will aim seek to resolve concerns promptly, using an understandable and transparent consultative process that is culturally appropriate, readily accessible, at no cost, and without retribution to the party that originated the issue or concern. The mechanism will not also impede access to judicial or administrative remedies and will be complemented by the accredited entity’s own grievance redress mechanism. The</w:t>
      </w:r>
      <w:r w:rsidR="0028758B">
        <w:rPr>
          <w:sz w:val="20"/>
          <w:szCs w:val="20"/>
        </w:rPr>
        <w:t xml:space="preserve"> sub-project</w:t>
      </w:r>
      <w:r w:rsidRPr="006C06AD">
        <w:rPr>
          <w:sz w:val="20"/>
          <w:szCs w:val="20"/>
        </w:rPr>
        <w:t xml:space="preserve"> proponents</w:t>
      </w:r>
      <w:r w:rsidR="001D7FE0">
        <w:rPr>
          <w:sz w:val="20"/>
          <w:szCs w:val="20"/>
        </w:rPr>
        <w:t xml:space="preserve"> of Category B sub-projects</w:t>
      </w:r>
      <w:r w:rsidRPr="006C06AD">
        <w:rPr>
          <w:sz w:val="20"/>
          <w:szCs w:val="20"/>
        </w:rPr>
        <w:t xml:space="preserve">, the LFIs, BICE and the </w:t>
      </w:r>
      <w:r w:rsidRPr="006C06AD">
        <w:rPr>
          <w:sz w:val="20"/>
          <w:szCs w:val="20"/>
        </w:rPr>
        <w:lastRenderedPageBreak/>
        <w:t xml:space="preserve">accredited entity will ensure that the affected communities are informed about such mechanism in the course of the stakeholder engagement process. </w:t>
      </w:r>
    </w:p>
    <w:p w14:paraId="678C4CF1" w14:textId="77777777" w:rsidR="00CA7EDF" w:rsidRPr="00672C33" w:rsidRDefault="00CA7EDF" w:rsidP="00C17775">
      <w:pPr>
        <w:spacing w:line="276" w:lineRule="auto"/>
        <w:jc w:val="both"/>
        <w:rPr>
          <w:b/>
          <w:sz w:val="20"/>
          <w:szCs w:val="20"/>
        </w:rPr>
      </w:pPr>
      <w:r w:rsidRPr="00672C33">
        <w:rPr>
          <w:b/>
          <w:sz w:val="20"/>
          <w:szCs w:val="20"/>
        </w:rPr>
        <w:t xml:space="preserve">Proposed Grievance Mechanism </w:t>
      </w:r>
    </w:p>
    <w:p w14:paraId="7A54267B" w14:textId="77777777" w:rsidR="003D4B9D" w:rsidRDefault="003D4B9D" w:rsidP="003D4B9D">
      <w:pPr>
        <w:spacing w:line="276" w:lineRule="auto"/>
        <w:jc w:val="both"/>
        <w:rPr>
          <w:sz w:val="20"/>
          <w:szCs w:val="20"/>
        </w:rPr>
      </w:pPr>
      <w:r>
        <w:rPr>
          <w:sz w:val="20"/>
          <w:szCs w:val="20"/>
        </w:rPr>
        <w:t>It is important to note that the proposed grievance mechanism will be at two levels:</w:t>
      </w:r>
    </w:p>
    <w:p w14:paraId="09553DB7" w14:textId="77777777" w:rsidR="003D4B9D" w:rsidRDefault="003D4B9D" w:rsidP="003D4B9D">
      <w:pPr>
        <w:pStyle w:val="ListParagraph"/>
        <w:numPr>
          <w:ilvl w:val="0"/>
          <w:numId w:val="43"/>
        </w:numPr>
        <w:jc w:val="both"/>
        <w:rPr>
          <w:sz w:val="20"/>
          <w:szCs w:val="20"/>
        </w:rPr>
      </w:pPr>
      <w:r>
        <w:rPr>
          <w:sz w:val="20"/>
          <w:szCs w:val="20"/>
        </w:rPr>
        <w:t xml:space="preserve">BICE and participating LFIs will have a grievance mechanism covering all </w:t>
      </w:r>
      <w:r w:rsidRPr="007E5B0E">
        <w:rPr>
          <w:sz w:val="20"/>
          <w:szCs w:val="20"/>
        </w:rPr>
        <w:t xml:space="preserve">sub-projects financed with resources from the </w:t>
      </w:r>
      <w:r>
        <w:rPr>
          <w:sz w:val="20"/>
          <w:szCs w:val="20"/>
        </w:rPr>
        <w:t>P</w:t>
      </w:r>
      <w:r w:rsidRPr="007E5B0E">
        <w:rPr>
          <w:sz w:val="20"/>
          <w:szCs w:val="20"/>
        </w:rPr>
        <w:t>roject.</w:t>
      </w:r>
    </w:p>
    <w:p w14:paraId="1A59BA53" w14:textId="77777777" w:rsidR="003D4B9D" w:rsidRDefault="003D4B9D" w:rsidP="003D4B9D">
      <w:pPr>
        <w:spacing w:line="276" w:lineRule="auto"/>
        <w:jc w:val="both"/>
        <w:rPr>
          <w:sz w:val="20"/>
          <w:szCs w:val="20"/>
        </w:rPr>
      </w:pPr>
      <w:r>
        <w:rPr>
          <w:sz w:val="20"/>
          <w:szCs w:val="20"/>
        </w:rPr>
        <w:t xml:space="preserve">Sub-project proponents will have to implement a sub-project related grievance mechanism only for Category B sub-projects. </w:t>
      </w:r>
    </w:p>
    <w:p w14:paraId="0C70AB5F" w14:textId="6304066A" w:rsidR="00CA7EDF" w:rsidRPr="006C06AD" w:rsidRDefault="003D4B9D" w:rsidP="003D4B9D">
      <w:pPr>
        <w:spacing w:line="276" w:lineRule="auto"/>
        <w:jc w:val="both"/>
        <w:rPr>
          <w:sz w:val="20"/>
          <w:szCs w:val="20"/>
        </w:rPr>
      </w:pPr>
      <w:r>
        <w:rPr>
          <w:sz w:val="20"/>
          <w:szCs w:val="20"/>
        </w:rPr>
        <w:t>At the sub-project level, t</w:t>
      </w:r>
      <w:r w:rsidR="00CA7EDF" w:rsidRPr="006C06AD">
        <w:rPr>
          <w:sz w:val="20"/>
          <w:szCs w:val="20"/>
        </w:rPr>
        <w:t xml:space="preserve">he proposed grievance redress mechanism will cover the various </w:t>
      </w:r>
      <w:r w:rsidR="001D7FE0">
        <w:rPr>
          <w:sz w:val="20"/>
          <w:szCs w:val="20"/>
        </w:rPr>
        <w:t>phases</w:t>
      </w:r>
      <w:r w:rsidR="001D7FE0" w:rsidRPr="006C06AD">
        <w:rPr>
          <w:sz w:val="20"/>
          <w:szCs w:val="20"/>
        </w:rPr>
        <w:t xml:space="preserve"> </w:t>
      </w:r>
      <w:r w:rsidR="00CA7EDF" w:rsidRPr="006C06AD">
        <w:rPr>
          <w:sz w:val="20"/>
          <w:szCs w:val="20"/>
        </w:rPr>
        <w:t>of each</w:t>
      </w:r>
      <w:r w:rsidR="0028758B">
        <w:rPr>
          <w:sz w:val="20"/>
          <w:szCs w:val="20"/>
        </w:rPr>
        <w:t xml:space="preserve"> </w:t>
      </w:r>
      <w:r w:rsidR="001D7FE0">
        <w:rPr>
          <w:sz w:val="20"/>
          <w:szCs w:val="20"/>
        </w:rPr>
        <w:t xml:space="preserve">Category B. </w:t>
      </w:r>
      <w:r w:rsidR="0028758B">
        <w:rPr>
          <w:sz w:val="20"/>
          <w:szCs w:val="20"/>
        </w:rPr>
        <w:t>sub-project</w:t>
      </w:r>
      <w:r w:rsidR="00CA7EDF" w:rsidRPr="006C06AD">
        <w:rPr>
          <w:sz w:val="20"/>
          <w:szCs w:val="20"/>
        </w:rPr>
        <w:t xml:space="preserve">, including the planning, construction or installation, and operation. As </w:t>
      </w:r>
      <w:r w:rsidR="0028758B">
        <w:rPr>
          <w:sz w:val="20"/>
          <w:szCs w:val="20"/>
        </w:rPr>
        <w:t>sub-projects</w:t>
      </w:r>
      <w:r w:rsidR="00CA7EDF" w:rsidRPr="006C06AD">
        <w:rPr>
          <w:sz w:val="20"/>
          <w:szCs w:val="20"/>
        </w:rPr>
        <w:t xml:space="preserve"> that will lead to involuntary resettlement will not be eligible under this Project, grievance redress related to resettlement process is not envisaged. Similarly, as the </w:t>
      </w:r>
      <w:r w:rsidR="0028758B">
        <w:rPr>
          <w:sz w:val="20"/>
          <w:szCs w:val="20"/>
        </w:rPr>
        <w:t>sub-projects</w:t>
      </w:r>
      <w:r w:rsidR="00CA7EDF" w:rsidRPr="006C06AD">
        <w:rPr>
          <w:sz w:val="20"/>
          <w:szCs w:val="20"/>
        </w:rPr>
        <w:t xml:space="preserve"> are not likely to have adverse impacts on indigenous peoples nor located in indigenous peoples territories, grievance redress related to indigenous peoples and communities requirements is not planned.</w:t>
      </w:r>
    </w:p>
    <w:p w14:paraId="596B0B9D" w14:textId="77777777" w:rsidR="00CA7EDF" w:rsidRPr="006C06AD" w:rsidRDefault="00CA7EDF" w:rsidP="00C17775">
      <w:pPr>
        <w:spacing w:line="276" w:lineRule="auto"/>
        <w:jc w:val="both"/>
        <w:rPr>
          <w:sz w:val="20"/>
          <w:szCs w:val="20"/>
        </w:rPr>
      </w:pPr>
      <w:r w:rsidRPr="006C06AD">
        <w:rPr>
          <w:sz w:val="20"/>
          <w:szCs w:val="20"/>
        </w:rPr>
        <w:t>Complaints and disputes arise mainly from misunderstandings or lack of information regarding the</w:t>
      </w:r>
      <w:r w:rsidR="0028758B">
        <w:rPr>
          <w:sz w:val="20"/>
          <w:szCs w:val="20"/>
        </w:rPr>
        <w:t xml:space="preserve"> sub-project</w:t>
      </w:r>
      <w:r w:rsidRPr="006C06AD">
        <w:rPr>
          <w:sz w:val="20"/>
          <w:szCs w:val="20"/>
        </w:rPr>
        <w:t xml:space="preserve"> itself, the perceived risks and impacts, mitigation, management and compensation, or general social tension and dynamics within the communities. Most of these issues can often be resolved by good faith discussion, arbitration, or mediation by local authorities. Therefore, many disputes can be resolved through purposive communication; </w:t>
      </w:r>
      <w:r w:rsidR="00BC4E16" w:rsidRPr="006C06AD">
        <w:rPr>
          <w:sz w:val="20"/>
          <w:szCs w:val="20"/>
        </w:rPr>
        <w:t>and through</w:t>
      </w:r>
      <w:r w:rsidRPr="006C06AD">
        <w:rPr>
          <w:sz w:val="20"/>
          <w:szCs w:val="20"/>
        </w:rPr>
        <w:t xml:space="preserve"> arbitration, appealing to local authorities. </w:t>
      </w:r>
    </w:p>
    <w:p w14:paraId="7AA97766" w14:textId="77777777" w:rsidR="00CA7EDF" w:rsidRPr="006C06AD" w:rsidRDefault="00CA7EDF" w:rsidP="00C17775">
      <w:pPr>
        <w:spacing w:line="276" w:lineRule="auto"/>
        <w:jc w:val="both"/>
        <w:rPr>
          <w:sz w:val="20"/>
          <w:szCs w:val="20"/>
        </w:rPr>
      </w:pPr>
      <w:r w:rsidRPr="006C06AD">
        <w:rPr>
          <w:sz w:val="20"/>
          <w:szCs w:val="20"/>
        </w:rPr>
        <w:t>Each affected persons or groups of persons will be free to register grievances to</w:t>
      </w:r>
      <w:r w:rsidR="0028758B">
        <w:rPr>
          <w:sz w:val="20"/>
          <w:szCs w:val="20"/>
        </w:rPr>
        <w:t xml:space="preserve"> sub-project</w:t>
      </w:r>
      <w:r w:rsidRPr="006C06AD">
        <w:rPr>
          <w:sz w:val="20"/>
          <w:szCs w:val="20"/>
        </w:rPr>
        <w:t xml:space="preserve"> proponents, LFIs, BICE or the accredited entity as outlined in the procedure presented below. This mechanism will </w:t>
      </w:r>
      <w:r w:rsidR="00BC4E16" w:rsidRPr="006C06AD">
        <w:rPr>
          <w:sz w:val="20"/>
          <w:szCs w:val="20"/>
        </w:rPr>
        <w:t>include</w:t>
      </w:r>
      <w:r w:rsidRPr="006C06AD">
        <w:rPr>
          <w:sz w:val="20"/>
          <w:szCs w:val="20"/>
        </w:rPr>
        <w:t xml:space="preserve"> three main steps: </w:t>
      </w:r>
    </w:p>
    <w:p w14:paraId="52567D70" w14:textId="77777777" w:rsidR="00CA7EDF" w:rsidRPr="006C06AD" w:rsidRDefault="00672C33" w:rsidP="00C17775">
      <w:pPr>
        <w:pStyle w:val="ListParagraph"/>
        <w:numPr>
          <w:ilvl w:val="0"/>
          <w:numId w:val="58"/>
        </w:numPr>
        <w:ind w:left="360"/>
        <w:jc w:val="both"/>
        <w:rPr>
          <w:sz w:val="20"/>
          <w:szCs w:val="20"/>
        </w:rPr>
      </w:pPr>
      <w:r>
        <w:rPr>
          <w:sz w:val="20"/>
          <w:szCs w:val="20"/>
        </w:rPr>
        <w:t>T</w:t>
      </w:r>
      <w:r w:rsidR="00CA7EDF" w:rsidRPr="006C06AD">
        <w:rPr>
          <w:sz w:val="20"/>
          <w:szCs w:val="20"/>
        </w:rPr>
        <w:t xml:space="preserve">he registration of the complaint or dispute; </w:t>
      </w:r>
    </w:p>
    <w:p w14:paraId="5B17156A" w14:textId="77777777" w:rsidR="00CA7EDF" w:rsidRPr="006C06AD" w:rsidRDefault="00672C33" w:rsidP="00C17775">
      <w:pPr>
        <w:pStyle w:val="ListParagraph"/>
        <w:numPr>
          <w:ilvl w:val="0"/>
          <w:numId w:val="58"/>
        </w:numPr>
        <w:ind w:left="360"/>
        <w:jc w:val="both"/>
        <w:rPr>
          <w:sz w:val="20"/>
          <w:szCs w:val="20"/>
        </w:rPr>
      </w:pPr>
      <w:r>
        <w:rPr>
          <w:sz w:val="20"/>
          <w:szCs w:val="20"/>
        </w:rPr>
        <w:t>T</w:t>
      </w:r>
      <w:r w:rsidR="00CA7EDF" w:rsidRPr="006C06AD">
        <w:rPr>
          <w:sz w:val="20"/>
          <w:szCs w:val="20"/>
        </w:rPr>
        <w:t xml:space="preserve">he amicable resolution of the complaint; and </w:t>
      </w:r>
    </w:p>
    <w:p w14:paraId="1F9D7AA5" w14:textId="77777777" w:rsidR="00CA7EDF" w:rsidRPr="00724602" w:rsidRDefault="00672C33" w:rsidP="00C17775">
      <w:pPr>
        <w:pStyle w:val="ListParagraph"/>
        <w:numPr>
          <w:ilvl w:val="0"/>
          <w:numId w:val="58"/>
        </w:numPr>
        <w:ind w:left="360"/>
        <w:jc w:val="both"/>
        <w:rPr>
          <w:sz w:val="20"/>
          <w:szCs w:val="20"/>
        </w:rPr>
      </w:pPr>
      <w:r>
        <w:rPr>
          <w:sz w:val="20"/>
          <w:szCs w:val="20"/>
        </w:rPr>
        <w:t>U</w:t>
      </w:r>
      <w:r w:rsidR="00CA7EDF" w:rsidRPr="006C06AD">
        <w:rPr>
          <w:sz w:val="20"/>
          <w:szCs w:val="20"/>
        </w:rPr>
        <w:t xml:space="preserve">se of mediation if necessary. </w:t>
      </w:r>
      <w:r w:rsidR="00724602">
        <w:rPr>
          <w:sz w:val="20"/>
          <w:szCs w:val="20"/>
        </w:rPr>
        <w:t xml:space="preserve"> </w:t>
      </w:r>
      <w:r w:rsidR="00CA7EDF" w:rsidRPr="00724602">
        <w:rPr>
          <w:sz w:val="20"/>
          <w:szCs w:val="20"/>
        </w:rPr>
        <w:t xml:space="preserve">However, some issues may only be able to be resolved through a formal legal process. </w:t>
      </w:r>
    </w:p>
    <w:p w14:paraId="7776DE6F" w14:textId="77777777" w:rsidR="00CA7EDF" w:rsidRPr="00672C33" w:rsidRDefault="00CA7EDF" w:rsidP="00C17775">
      <w:pPr>
        <w:spacing w:line="276" w:lineRule="auto"/>
        <w:jc w:val="both"/>
        <w:rPr>
          <w:b/>
          <w:sz w:val="20"/>
          <w:szCs w:val="20"/>
        </w:rPr>
      </w:pPr>
      <w:r w:rsidRPr="00672C33">
        <w:rPr>
          <w:b/>
          <w:sz w:val="20"/>
          <w:szCs w:val="20"/>
        </w:rPr>
        <w:t xml:space="preserve">Recording of grievances </w:t>
      </w:r>
    </w:p>
    <w:p w14:paraId="26404801" w14:textId="77777777" w:rsidR="00CA7EDF" w:rsidRPr="006C06AD" w:rsidRDefault="00CA7EDF" w:rsidP="00C17775">
      <w:pPr>
        <w:spacing w:line="276" w:lineRule="auto"/>
        <w:jc w:val="both"/>
        <w:rPr>
          <w:sz w:val="20"/>
          <w:szCs w:val="20"/>
        </w:rPr>
      </w:pPr>
      <w:r w:rsidRPr="006C06AD">
        <w:rPr>
          <w:sz w:val="20"/>
          <w:szCs w:val="20"/>
        </w:rPr>
        <w:t>The</w:t>
      </w:r>
      <w:r w:rsidR="0028758B">
        <w:rPr>
          <w:sz w:val="20"/>
          <w:szCs w:val="20"/>
        </w:rPr>
        <w:t xml:space="preserve"> </w:t>
      </w:r>
      <w:r w:rsidR="001D7FE0">
        <w:rPr>
          <w:sz w:val="20"/>
          <w:szCs w:val="20"/>
        </w:rPr>
        <w:t xml:space="preserve">Category B. </w:t>
      </w:r>
      <w:r w:rsidR="0028758B">
        <w:rPr>
          <w:sz w:val="20"/>
          <w:szCs w:val="20"/>
        </w:rPr>
        <w:t>sub-project</w:t>
      </w:r>
      <w:r w:rsidRPr="006C06AD">
        <w:rPr>
          <w:sz w:val="20"/>
          <w:szCs w:val="20"/>
        </w:rPr>
        <w:t xml:space="preserve"> proponents, LFIs and BICE will have the responsibility to record complaints arising from the </w:t>
      </w:r>
      <w:r w:rsidR="0028758B">
        <w:rPr>
          <w:sz w:val="20"/>
          <w:szCs w:val="20"/>
        </w:rPr>
        <w:t>sub-projects</w:t>
      </w:r>
      <w:r w:rsidRPr="006C06AD">
        <w:rPr>
          <w:sz w:val="20"/>
          <w:szCs w:val="20"/>
        </w:rPr>
        <w:t xml:space="preserve"> and will use the following means to receive and register grievances: </w:t>
      </w:r>
    </w:p>
    <w:p w14:paraId="0B1715A0" w14:textId="77777777" w:rsidR="00CA7EDF" w:rsidRPr="006C06AD" w:rsidRDefault="00672C33" w:rsidP="00C17775">
      <w:pPr>
        <w:pStyle w:val="ListParagraph"/>
        <w:numPr>
          <w:ilvl w:val="0"/>
          <w:numId w:val="59"/>
        </w:numPr>
        <w:ind w:left="360"/>
        <w:jc w:val="both"/>
        <w:rPr>
          <w:sz w:val="20"/>
          <w:szCs w:val="20"/>
        </w:rPr>
      </w:pPr>
      <w:r>
        <w:rPr>
          <w:sz w:val="20"/>
          <w:szCs w:val="20"/>
        </w:rPr>
        <w:t>P</w:t>
      </w:r>
      <w:r w:rsidR="00CA7EDF" w:rsidRPr="006C06AD">
        <w:rPr>
          <w:sz w:val="20"/>
          <w:szCs w:val="20"/>
        </w:rPr>
        <w:t xml:space="preserve">rovision of a dedicated phone number to receive complaints, issues and concerns on the </w:t>
      </w:r>
      <w:r w:rsidR="0028758B">
        <w:rPr>
          <w:sz w:val="20"/>
          <w:szCs w:val="20"/>
        </w:rPr>
        <w:t>sub-projects</w:t>
      </w:r>
      <w:r w:rsidR="00CA7EDF" w:rsidRPr="006C06AD">
        <w:rPr>
          <w:sz w:val="20"/>
          <w:szCs w:val="20"/>
        </w:rPr>
        <w:t xml:space="preserve"> and the Project; </w:t>
      </w:r>
    </w:p>
    <w:p w14:paraId="0FA544A3" w14:textId="77777777" w:rsidR="00CA7EDF" w:rsidRPr="006C06AD" w:rsidRDefault="00672C33" w:rsidP="00C17775">
      <w:pPr>
        <w:pStyle w:val="ListParagraph"/>
        <w:numPr>
          <w:ilvl w:val="0"/>
          <w:numId w:val="59"/>
        </w:numPr>
        <w:ind w:left="360"/>
        <w:jc w:val="both"/>
        <w:rPr>
          <w:sz w:val="20"/>
          <w:szCs w:val="20"/>
        </w:rPr>
      </w:pPr>
      <w:r>
        <w:rPr>
          <w:sz w:val="20"/>
          <w:szCs w:val="20"/>
        </w:rPr>
        <w:t>P</w:t>
      </w:r>
      <w:r w:rsidR="00CA7EDF" w:rsidRPr="006C06AD">
        <w:rPr>
          <w:sz w:val="20"/>
          <w:szCs w:val="20"/>
        </w:rPr>
        <w:t>rovision of a comment box / complaints register at the</w:t>
      </w:r>
      <w:r w:rsidR="0028758B">
        <w:rPr>
          <w:sz w:val="20"/>
          <w:szCs w:val="20"/>
        </w:rPr>
        <w:t xml:space="preserve"> sub-project</w:t>
      </w:r>
      <w:r w:rsidR="00CA7EDF" w:rsidRPr="006C06AD">
        <w:rPr>
          <w:sz w:val="20"/>
          <w:szCs w:val="20"/>
        </w:rPr>
        <w:t xml:space="preserve"> area once the installation or construction have started; </w:t>
      </w:r>
    </w:p>
    <w:p w14:paraId="5246ECD1" w14:textId="77777777" w:rsidR="00CA7EDF" w:rsidRPr="006C06AD" w:rsidRDefault="00672C33" w:rsidP="00C17775">
      <w:pPr>
        <w:pStyle w:val="ListParagraph"/>
        <w:numPr>
          <w:ilvl w:val="0"/>
          <w:numId w:val="59"/>
        </w:numPr>
        <w:ind w:left="360"/>
        <w:jc w:val="both"/>
        <w:rPr>
          <w:sz w:val="20"/>
          <w:szCs w:val="20"/>
        </w:rPr>
      </w:pPr>
      <w:r>
        <w:rPr>
          <w:sz w:val="20"/>
          <w:szCs w:val="20"/>
        </w:rPr>
        <w:t>V</w:t>
      </w:r>
      <w:r w:rsidR="00CA7EDF" w:rsidRPr="006C06AD">
        <w:rPr>
          <w:sz w:val="20"/>
          <w:szCs w:val="20"/>
        </w:rPr>
        <w:t>erified oral complaints given to the representatives of the</w:t>
      </w:r>
      <w:r w:rsidR="0028758B">
        <w:rPr>
          <w:sz w:val="20"/>
          <w:szCs w:val="20"/>
        </w:rPr>
        <w:t xml:space="preserve"> sub-project</w:t>
      </w:r>
      <w:r w:rsidR="00CA7EDF" w:rsidRPr="006C06AD">
        <w:rPr>
          <w:sz w:val="20"/>
          <w:szCs w:val="20"/>
        </w:rPr>
        <w:t xml:space="preserve"> proponents, LFIs, or BICE will also be used to receive complaints  </w:t>
      </w:r>
    </w:p>
    <w:p w14:paraId="05F7F255" w14:textId="77777777" w:rsidR="00CA7EDF" w:rsidRPr="006C06AD" w:rsidRDefault="00CA7EDF" w:rsidP="00C17775">
      <w:pPr>
        <w:spacing w:line="276" w:lineRule="auto"/>
        <w:jc w:val="both"/>
        <w:rPr>
          <w:sz w:val="20"/>
          <w:szCs w:val="20"/>
        </w:rPr>
      </w:pPr>
      <w:r w:rsidRPr="006C06AD">
        <w:rPr>
          <w:sz w:val="20"/>
          <w:szCs w:val="20"/>
        </w:rPr>
        <w:t>External complaints relating to the environmental and social impact of the Project received will be recorded by BICE and the summary of the grievances received and when they were settled will be part of the report to the accredited entity and to the GCF covering the relevant monitoring period. Such information will be used to improve the ESMF and the process for stakeholder engagement by the</w:t>
      </w:r>
      <w:r w:rsidR="0028758B">
        <w:rPr>
          <w:sz w:val="20"/>
          <w:szCs w:val="20"/>
        </w:rPr>
        <w:t xml:space="preserve"> sub-project</w:t>
      </w:r>
      <w:r w:rsidRPr="006C06AD">
        <w:rPr>
          <w:sz w:val="20"/>
          <w:szCs w:val="20"/>
        </w:rPr>
        <w:t xml:space="preserve"> proponent, LFIs, BICE and the accredited entity. </w:t>
      </w:r>
    </w:p>
    <w:p w14:paraId="141869A5" w14:textId="77777777" w:rsidR="00BF3F3C" w:rsidRPr="006C06AD" w:rsidRDefault="004070F0">
      <w:pPr>
        <w:pStyle w:val="Heading1"/>
        <w:spacing w:before="0" w:after="240" w:line="276" w:lineRule="auto"/>
        <w:jc w:val="both"/>
        <w:rPr>
          <w:rFonts w:asciiTheme="minorHAnsi" w:hAnsiTheme="minorHAnsi"/>
          <w:sz w:val="20"/>
          <w:szCs w:val="20"/>
        </w:rPr>
      </w:pPr>
      <w:r w:rsidRPr="006C06AD">
        <w:rPr>
          <w:rFonts w:asciiTheme="minorHAnsi" w:hAnsiTheme="minorHAnsi"/>
          <w:sz w:val="20"/>
          <w:szCs w:val="20"/>
        </w:rPr>
        <w:lastRenderedPageBreak/>
        <w:t>Appendices</w:t>
      </w:r>
    </w:p>
    <w:p w14:paraId="07998C5A" w14:textId="77777777" w:rsidR="004070F0" w:rsidRPr="006C06AD" w:rsidRDefault="004070F0">
      <w:pPr>
        <w:spacing w:line="276" w:lineRule="auto"/>
        <w:jc w:val="both"/>
        <w:rPr>
          <w:sz w:val="20"/>
          <w:szCs w:val="20"/>
        </w:rPr>
      </w:pPr>
      <w:r w:rsidRPr="006C06AD">
        <w:rPr>
          <w:sz w:val="20"/>
          <w:szCs w:val="20"/>
        </w:rPr>
        <w:t xml:space="preserve">Appendix I. Excluded Activities List </w:t>
      </w:r>
    </w:p>
    <w:p w14:paraId="28AA0F05" w14:textId="77777777" w:rsidR="00B02E7F" w:rsidRPr="006C06AD" w:rsidRDefault="00B02E7F">
      <w:pPr>
        <w:spacing w:line="276" w:lineRule="auto"/>
        <w:jc w:val="both"/>
        <w:rPr>
          <w:sz w:val="20"/>
          <w:szCs w:val="20"/>
        </w:rPr>
      </w:pPr>
      <w:r w:rsidRPr="006C06AD">
        <w:rPr>
          <w:sz w:val="20"/>
          <w:szCs w:val="20"/>
        </w:rPr>
        <w:t>Appendix II. List of IDB Policies</w:t>
      </w:r>
    </w:p>
    <w:p w14:paraId="1F0F00BF" w14:textId="77777777" w:rsidR="00195ED1" w:rsidRPr="006C06AD" w:rsidRDefault="00195ED1">
      <w:pPr>
        <w:spacing w:line="276" w:lineRule="auto"/>
        <w:jc w:val="both"/>
        <w:rPr>
          <w:sz w:val="20"/>
          <w:szCs w:val="20"/>
        </w:rPr>
      </w:pPr>
      <w:r w:rsidRPr="006C06AD">
        <w:rPr>
          <w:sz w:val="20"/>
          <w:szCs w:val="20"/>
        </w:rPr>
        <w:t xml:space="preserve">Appendix III. List of stakeholders involved in the </w:t>
      </w:r>
      <w:r w:rsidR="0028758B">
        <w:rPr>
          <w:sz w:val="20"/>
          <w:szCs w:val="20"/>
        </w:rPr>
        <w:t>P</w:t>
      </w:r>
      <w:r w:rsidRPr="006C06AD">
        <w:rPr>
          <w:sz w:val="20"/>
          <w:szCs w:val="20"/>
        </w:rPr>
        <w:t>roject preparation phase- stakeholder engagement</w:t>
      </w:r>
    </w:p>
    <w:p w14:paraId="1D9C4F45" w14:textId="77777777" w:rsidR="00714A62" w:rsidRPr="006C06AD" w:rsidRDefault="00714A62">
      <w:pPr>
        <w:spacing w:line="276" w:lineRule="auto"/>
        <w:jc w:val="both"/>
        <w:rPr>
          <w:sz w:val="20"/>
          <w:szCs w:val="20"/>
        </w:rPr>
      </w:pPr>
      <w:r w:rsidRPr="006C06AD">
        <w:rPr>
          <w:sz w:val="20"/>
          <w:szCs w:val="20"/>
        </w:rPr>
        <w:t>Appendix IV. Roles and responsibilities (in progress)</w:t>
      </w:r>
    </w:p>
    <w:p w14:paraId="1099C02B" w14:textId="77777777" w:rsidR="00714A62" w:rsidRPr="006C06AD" w:rsidRDefault="00714A62">
      <w:pPr>
        <w:spacing w:line="276" w:lineRule="auto"/>
        <w:jc w:val="both"/>
        <w:rPr>
          <w:sz w:val="20"/>
          <w:szCs w:val="20"/>
        </w:rPr>
      </w:pPr>
    </w:p>
    <w:p w14:paraId="756DEAA3" w14:textId="77777777" w:rsidR="00B02E7F" w:rsidRPr="006C06AD" w:rsidRDefault="00B02E7F" w:rsidP="004B3E99">
      <w:pPr>
        <w:spacing w:line="276" w:lineRule="auto"/>
        <w:jc w:val="both"/>
        <w:rPr>
          <w:sz w:val="20"/>
          <w:szCs w:val="20"/>
        </w:rPr>
      </w:pPr>
      <w:r w:rsidRPr="006C06AD">
        <w:rPr>
          <w:sz w:val="20"/>
          <w:szCs w:val="20"/>
        </w:rPr>
        <w:br w:type="page"/>
      </w:r>
    </w:p>
    <w:p w14:paraId="14CF7830" w14:textId="77777777" w:rsidR="00B02E7F" w:rsidRPr="006C06AD" w:rsidRDefault="00B02E7F" w:rsidP="004B3E99">
      <w:pPr>
        <w:pStyle w:val="Heading1"/>
        <w:spacing w:before="0" w:after="240" w:line="276" w:lineRule="auto"/>
        <w:jc w:val="both"/>
        <w:rPr>
          <w:rFonts w:asciiTheme="minorHAnsi" w:hAnsiTheme="minorHAnsi"/>
          <w:b/>
          <w:sz w:val="20"/>
          <w:szCs w:val="20"/>
        </w:rPr>
      </w:pPr>
      <w:r w:rsidRPr="006C06AD">
        <w:rPr>
          <w:rFonts w:asciiTheme="minorHAnsi" w:hAnsiTheme="minorHAnsi"/>
          <w:b/>
          <w:sz w:val="20"/>
          <w:szCs w:val="20"/>
        </w:rPr>
        <w:lastRenderedPageBreak/>
        <w:t>Appendix I. Excluded Activities List</w:t>
      </w:r>
    </w:p>
    <w:p w14:paraId="76427E69" w14:textId="77777777" w:rsidR="003F3B40" w:rsidRPr="006C06AD" w:rsidRDefault="00B02E7F" w:rsidP="004B3E99">
      <w:pPr>
        <w:autoSpaceDE w:val="0"/>
        <w:autoSpaceDN w:val="0"/>
        <w:adjustRightInd w:val="0"/>
        <w:spacing w:after="0" w:line="276" w:lineRule="auto"/>
        <w:jc w:val="both"/>
        <w:rPr>
          <w:rFonts w:cs="Arial"/>
          <w:color w:val="000000"/>
          <w:sz w:val="20"/>
          <w:szCs w:val="20"/>
        </w:rPr>
      </w:pPr>
      <w:r w:rsidRPr="006C06AD">
        <w:rPr>
          <w:rFonts w:cs="Arial"/>
          <w:color w:val="000000"/>
          <w:sz w:val="20"/>
          <w:szCs w:val="20"/>
        </w:rPr>
        <w:t>The IDB does not finance projects or companies involved in the production, trade, or use of the products, substanc</w:t>
      </w:r>
      <w:r w:rsidR="0021677D" w:rsidRPr="006C06AD">
        <w:rPr>
          <w:rFonts w:cs="Arial"/>
          <w:color w:val="000000"/>
          <w:sz w:val="20"/>
          <w:szCs w:val="20"/>
        </w:rPr>
        <w:t xml:space="preserve">es or activities listed below. </w:t>
      </w:r>
    </w:p>
    <w:p w14:paraId="6FF86C17" w14:textId="77777777" w:rsidR="0021677D" w:rsidRPr="006C06AD" w:rsidRDefault="0021677D" w:rsidP="004B3E99">
      <w:pPr>
        <w:autoSpaceDE w:val="0"/>
        <w:autoSpaceDN w:val="0"/>
        <w:adjustRightInd w:val="0"/>
        <w:spacing w:after="0" w:line="276" w:lineRule="auto"/>
        <w:jc w:val="both"/>
        <w:rPr>
          <w:rFonts w:cs="Arial"/>
          <w:color w:val="000000"/>
          <w:sz w:val="20"/>
          <w:szCs w:val="20"/>
        </w:rPr>
      </w:pPr>
    </w:p>
    <w:p w14:paraId="2857A891" w14:textId="77777777" w:rsidR="00B02E7F" w:rsidRPr="006C06AD" w:rsidRDefault="00B02E7F"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Those that are illegal under host country laws, regulations or ratifie</w:t>
      </w:r>
      <w:r w:rsidR="0021677D" w:rsidRPr="006C06AD">
        <w:rPr>
          <w:rFonts w:cs="Arial"/>
          <w:color w:val="000000"/>
          <w:sz w:val="20"/>
          <w:szCs w:val="20"/>
        </w:rPr>
        <w:t xml:space="preserve">d international conventions and </w:t>
      </w:r>
      <w:r w:rsidRPr="006C06AD">
        <w:rPr>
          <w:rFonts w:cs="Arial"/>
          <w:color w:val="000000"/>
          <w:sz w:val="20"/>
          <w:szCs w:val="20"/>
        </w:rPr>
        <w:t xml:space="preserve">agreements </w:t>
      </w:r>
    </w:p>
    <w:p w14:paraId="45EA800B" w14:textId="77777777" w:rsidR="00B02E7F" w:rsidRPr="006C06AD" w:rsidRDefault="00B02E7F"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 xml:space="preserve">Weapons and ammunitions </w:t>
      </w:r>
    </w:p>
    <w:p w14:paraId="503EF6C5" w14:textId="77777777" w:rsidR="00B02E7F" w:rsidRPr="006C06AD" w:rsidRDefault="00B02E7F"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Tobacco</w:t>
      </w:r>
      <w:r w:rsidRPr="006C06AD">
        <w:rPr>
          <w:rStyle w:val="FootnoteReference"/>
          <w:rFonts w:cs="Arial"/>
          <w:color w:val="000000"/>
          <w:sz w:val="20"/>
          <w:szCs w:val="20"/>
        </w:rPr>
        <w:footnoteReference w:id="6"/>
      </w:r>
      <w:r w:rsidRPr="006C06AD">
        <w:rPr>
          <w:rFonts w:cs="Arial"/>
          <w:color w:val="000000"/>
          <w:sz w:val="20"/>
          <w:szCs w:val="20"/>
        </w:rPr>
        <w:t xml:space="preserve"> </w:t>
      </w:r>
    </w:p>
    <w:p w14:paraId="1A8DB611" w14:textId="77777777" w:rsidR="00B02E7F" w:rsidRPr="006C06AD" w:rsidRDefault="00B02E7F"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Gambling, casinos and equivalent enterprises</w:t>
      </w:r>
      <w:r w:rsidRPr="006C06AD">
        <w:rPr>
          <w:rStyle w:val="FootnoteReference"/>
          <w:rFonts w:cs="Arial"/>
          <w:color w:val="000000"/>
          <w:sz w:val="20"/>
          <w:szCs w:val="20"/>
        </w:rPr>
        <w:footnoteReference w:id="7"/>
      </w:r>
    </w:p>
    <w:p w14:paraId="498E5D20" w14:textId="77777777" w:rsidR="00B02E7F" w:rsidRPr="006C06AD" w:rsidRDefault="00B02E7F"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Wildlife or wildlife products regulated under Convention on International Trade in Endangered Species of Wild Fauna and Flora (CITES)</w:t>
      </w:r>
      <w:r w:rsidRPr="006C06AD">
        <w:rPr>
          <w:rStyle w:val="FootnoteReference"/>
          <w:rFonts w:cs="Arial"/>
          <w:color w:val="000000"/>
          <w:sz w:val="20"/>
          <w:szCs w:val="20"/>
        </w:rPr>
        <w:footnoteReference w:id="8"/>
      </w:r>
    </w:p>
    <w:p w14:paraId="7597823E" w14:textId="77777777" w:rsidR="00B02E7F" w:rsidRPr="006C06AD" w:rsidRDefault="00B02E7F"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Radioactive materials</w:t>
      </w:r>
      <w:r w:rsidRPr="006C06AD">
        <w:rPr>
          <w:rStyle w:val="FootnoteReference"/>
          <w:rFonts w:cs="Arial"/>
          <w:color w:val="000000"/>
          <w:sz w:val="20"/>
          <w:szCs w:val="20"/>
        </w:rPr>
        <w:footnoteReference w:id="9"/>
      </w:r>
    </w:p>
    <w:p w14:paraId="506C7AC2" w14:textId="77777777" w:rsidR="00B02E7F" w:rsidRPr="006C06AD" w:rsidRDefault="00B02E7F"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Unbonded asbestos fibers</w:t>
      </w:r>
      <w:r w:rsidRPr="006C06AD">
        <w:rPr>
          <w:rStyle w:val="FootnoteReference"/>
          <w:rFonts w:cs="Arial"/>
          <w:color w:val="000000"/>
          <w:sz w:val="20"/>
          <w:szCs w:val="20"/>
        </w:rPr>
        <w:footnoteReference w:id="10"/>
      </w:r>
    </w:p>
    <w:p w14:paraId="6CAE5697" w14:textId="77777777" w:rsidR="00B02E7F" w:rsidRPr="006C06AD" w:rsidRDefault="00B02E7F"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Forestry projects or operations that are not consistent with the Bank’s Environment and Safeguards Compliance Policy</w:t>
      </w:r>
      <w:r w:rsidRPr="006C06AD">
        <w:rPr>
          <w:rStyle w:val="FootnoteReference"/>
          <w:rFonts w:cs="Arial"/>
          <w:color w:val="000000"/>
          <w:sz w:val="20"/>
          <w:szCs w:val="20"/>
        </w:rPr>
        <w:footnoteReference w:id="11"/>
      </w:r>
    </w:p>
    <w:p w14:paraId="773CD131" w14:textId="77777777" w:rsidR="00B02E7F" w:rsidRPr="006C06AD" w:rsidRDefault="00B02E7F"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 xml:space="preserve">Polychlorinated biphenyl compounds (PCBs) </w:t>
      </w:r>
    </w:p>
    <w:p w14:paraId="73324C32" w14:textId="77777777" w:rsidR="00B02E7F" w:rsidRPr="006C06AD" w:rsidRDefault="00B02E7F"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Pharmaceuticals subject to international phase outs or bans</w:t>
      </w:r>
      <w:r w:rsidR="00610BF4" w:rsidRPr="006C06AD">
        <w:rPr>
          <w:rStyle w:val="FootnoteReference"/>
          <w:rFonts w:cs="Arial"/>
          <w:color w:val="000000"/>
          <w:sz w:val="20"/>
          <w:szCs w:val="20"/>
        </w:rPr>
        <w:footnoteReference w:id="12"/>
      </w:r>
    </w:p>
    <w:p w14:paraId="6BA1FCB1" w14:textId="77777777" w:rsidR="00B02E7F" w:rsidRPr="006C06AD" w:rsidRDefault="00B02E7F"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Pesticides/herbicides subject to international phase outs or bans</w:t>
      </w:r>
      <w:r w:rsidR="00610BF4" w:rsidRPr="006C06AD">
        <w:rPr>
          <w:rStyle w:val="FootnoteReference"/>
          <w:rFonts w:cs="Arial"/>
          <w:color w:val="000000"/>
          <w:sz w:val="20"/>
          <w:szCs w:val="20"/>
        </w:rPr>
        <w:footnoteReference w:id="13"/>
      </w:r>
    </w:p>
    <w:p w14:paraId="40680D1C" w14:textId="77777777" w:rsidR="00B02E7F" w:rsidRPr="006C06AD" w:rsidRDefault="00B02E7F"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Ozone depleting substances subject to international phase out</w:t>
      </w:r>
      <w:r w:rsidR="00610BF4" w:rsidRPr="006C06AD">
        <w:rPr>
          <w:rStyle w:val="FootnoteReference"/>
          <w:rFonts w:cs="Arial"/>
          <w:color w:val="000000"/>
          <w:sz w:val="20"/>
          <w:szCs w:val="20"/>
        </w:rPr>
        <w:footnoteReference w:id="14"/>
      </w:r>
    </w:p>
    <w:p w14:paraId="72CBB9EB" w14:textId="77777777" w:rsidR="00B02E7F" w:rsidRPr="006C06AD" w:rsidRDefault="00B02E7F"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 xml:space="preserve">Drift net fishing in the marine environment using nets in excess of 2.5 km. in length </w:t>
      </w:r>
    </w:p>
    <w:p w14:paraId="0CA868E8" w14:textId="77777777" w:rsidR="00B02E7F" w:rsidRPr="006C06AD" w:rsidRDefault="00B02E7F"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Transboundary trade in waste or waste products</w:t>
      </w:r>
      <w:r w:rsidR="00610BF4" w:rsidRPr="006C06AD">
        <w:rPr>
          <w:rStyle w:val="FootnoteReference"/>
          <w:rFonts w:cs="Arial"/>
          <w:color w:val="000000"/>
          <w:sz w:val="20"/>
          <w:szCs w:val="20"/>
        </w:rPr>
        <w:footnoteReference w:id="15"/>
      </w:r>
      <w:r w:rsidRPr="006C06AD">
        <w:rPr>
          <w:rFonts w:cs="Arial"/>
          <w:color w:val="000000"/>
          <w:sz w:val="20"/>
          <w:szCs w:val="20"/>
        </w:rPr>
        <w:t xml:space="preserve">, except for non-hazardous waste destined for recycling </w:t>
      </w:r>
    </w:p>
    <w:p w14:paraId="33CD3B90" w14:textId="77777777" w:rsidR="00B02E7F" w:rsidRPr="006C06AD" w:rsidRDefault="00B02E7F"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Persistent Organic Pollutants (POPs)</w:t>
      </w:r>
      <w:r w:rsidR="00610BF4" w:rsidRPr="006C06AD">
        <w:rPr>
          <w:rStyle w:val="FootnoteReference"/>
          <w:rFonts w:cs="Arial"/>
          <w:color w:val="000000"/>
          <w:sz w:val="20"/>
          <w:szCs w:val="20"/>
        </w:rPr>
        <w:footnoteReference w:id="16"/>
      </w:r>
      <w:r w:rsidRPr="006C06AD">
        <w:rPr>
          <w:rFonts w:cs="Arial"/>
          <w:color w:val="000000"/>
          <w:sz w:val="20"/>
          <w:szCs w:val="20"/>
        </w:rPr>
        <w:t xml:space="preserve"> </w:t>
      </w:r>
    </w:p>
    <w:p w14:paraId="6372CE64" w14:textId="77777777" w:rsidR="008A04EC" w:rsidRPr="006C06AD" w:rsidRDefault="00B02E7F" w:rsidP="004B3E99">
      <w:pPr>
        <w:pStyle w:val="ListParagraph"/>
        <w:numPr>
          <w:ilvl w:val="0"/>
          <w:numId w:val="41"/>
        </w:numPr>
        <w:autoSpaceDE w:val="0"/>
        <w:autoSpaceDN w:val="0"/>
        <w:adjustRightInd w:val="0"/>
        <w:spacing w:after="0"/>
        <w:jc w:val="both"/>
        <w:rPr>
          <w:rFonts w:eastAsiaTheme="majorEastAsia" w:cstheme="majorBidi"/>
          <w:color w:val="2E74B5" w:themeColor="accent1" w:themeShade="BF"/>
          <w:sz w:val="20"/>
          <w:szCs w:val="20"/>
        </w:rPr>
      </w:pPr>
      <w:r w:rsidRPr="006C06AD">
        <w:rPr>
          <w:rFonts w:cs="Arial"/>
          <w:color w:val="000000"/>
          <w:sz w:val="20"/>
          <w:szCs w:val="20"/>
        </w:rPr>
        <w:t>Non-compliance with workers fundamental</w:t>
      </w:r>
      <w:r w:rsidR="00610BF4" w:rsidRPr="006C06AD">
        <w:rPr>
          <w:rFonts w:cs="Arial"/>
          <w:color w:val="000000"/>
          <w:sz w:val="20"/>
          <w:szCs w:val="20"/>
        </w:rPr>
        <w:t xml:space="preserve"> principles and rights at work</w:t>
      </w:r>
      <w:r w:rsidR="00610BF4" w:rsidRPr="006C06AD">
        <w:rPr>
          <w:rStyle w:val="FootnoteReference"/>
          <w:rFonts w:cs="Arial"/>
          <w:color w:val="000000"/>
          <w:sz w:val="20"/>
          <w:szCs w:val="20"/>
        </w:rPr>
        <w:footnoteReference w:id="17"/>
      </w:r>
    </w:p>
    <w:p w14:paraId="4664AC51" w14:textId="77777777" w:rsidR="003F3B40" w:rsidRPr="006C06AD" w:rsidRDefault="003F3B40" w:rsidP="004B3E99">
      <w:pPr>
        <w:spacing w:line="276" w:lineRule="auto"/>
        <w:jc w:val="both"/>
        <w:rPr>
          <w:rFonts w:cs="Arial"/>
          <w:color w:val="000000"/>
          <w:sz w:val="20"/>
          <w:szCs w:val="20"/>
        </w:rPr>
      </w:pPr>
    </w:p>
    <w:p w14:paraId="1F337F09" w14:textId="77777777" w:rsidR="008A04EC" w:rsidRPr="006C06AD" w:rsidRDefault="008A04EC" w:rsidP="004B3E99">
      <w:pPr>
        <w:spacing w:line="276" w:lineRule="auto"/>
        <w:jc w:val="both"/>
        <w:rPr>
          <w:rFonts w:cs="Arial"/>
          <w:color w:val="000000"/>
          <w:sz w:val="20"/>
          <w:szCs w:val="20"/>
        </w:rPr>
      </w:pPr>
      <w:r w:rsidRPr="006C06AD">
        <w:rPr>
          <w:rFonts w:cs="Arial"/>
          <w:color w:val="000000"/>
          <w:sz w:val="20"/>
          <w:szCs w:val="20"/>
        </w:rPr>
        <w:lastRenderedPageBreak/>
        <w:t xml:space="preserve">The </w:t>
      </w:r>
      <w:r w:rsidR="00123F65" w:rsidRPr="006C06AD">
        <w:rPr>
          <w:rFonts w:cs="Arial"/>
          <w:color w:val="000000"/>
          <w:sz w:val="20"/>
          <w:szCs w:val="20"/>
        </w:rPr>
        <w:t>Project</w:t>
      </w:r>
      <w:r w:rsidRPr="006C06AD">
        <w:rPr>
          <w:rFonts w:cs="Arial"/>
          <w:color w:val="000000"/>
          <w:sz w:val="20"/>
          <w:szCs w:val="20"/>
        </w:rPr>
        <w:t xml:space="preserve"> will also exclude activities that: </w:t>
      </w:r>
    </w:p>
    <w:p w14:paraId="159D4D6B" w14:textId="77777777" w:rsidR="00642226" w:rsidRPr="006C06AD" w:rsidRDefault="00642226"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projects that could have significant adverse environmental and social impacts (Category A.)</w:t>
      </w:r>
    </w:p>
    <w:p w14:paraId="4EAFD0D8" w14:textId="77777777" w:rsidR="008A04EC" w:rsidRPr="006C06AD" w:rsidRDefault="008A04EC"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involve involuntary resettlement of people</w:t>
      </w:r>
    </w:p>
    <w:p w14:paraId="49EBD98A" w14:textId="77777777" w:rsidR="008A04EC" w:rsidRPr="006C06AD" w:rsidRDefault="008A04EC"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have a potentially adverse social impact on communities</w:t>
      </w:r>
      <w:r w:rsidR="00AB64E3" w:rsidRPr="006C06AD">
        <w:rPr>
          <w:rFonts w:cs="Arial"/>
          <w:color w:val="000000"/>
          <w:sz w:val="20"/>
          <w:szCs w:val="20"/>
        </w:rPr>
        <w:t xml:space="preserve"> and/or indigenous people</w:t>
      </w:r>
    </w:p>
    <w:p w14:paraId="7805729F" w14:textId="77777777" w:rsidR="008A04EC" w:rsidRPr="006C06AD" w:rsidRDefault="008A04EC" w:rsidP="004B3E99">
      <w:pPr>
        <w:pStyle w:val="ListParagraph"/>
        <w:numPr>
          <w:ilvl w:val="0"/>
          <w:numId w:val="41"/>
        </w:numPr>
        <w:autoSpaceDE w:val="0"/>
        <w:autoSpaceDN w:val="0"/>
        <w:adjustRightInd w:val="0"/>
        <w:spacing w:after="0"/>
        <w:jc w:val="both"/>
        <w:rPr>
          <w:rFonts w:cs="Arial"/>
          <w:color w:val="000000"/>
          <w:sz w:val="20"/>
          <w:szCs w:val="20"/>
        </w:rPr>
      </w:pPr>
      <w:r w:rsidRPr="006C06AD">
        <w:rPr>
          <w:rFonts w:cs="Arial"/>
          <w:color w:val="000000"/>
          <w:sz w:val="20"/>
          <w:szCs w:val="20"/>
        </w:rPr>
        <w:t xml:space="preserve">involve conversion or degradation of critical natural habitats or cultural sites </w:t>
      </w:r>
    </w:p>
    <w:p w14:paraId="040B48C2" w14:textId="77777777" w:rsidR="00846CED" w:rsidRPr="006C06AD" w:rsidRDefault="00AB64E3" w:rsidP="004B3E99">
      <w:pPr>
        <w:pStyle w:val="ListParagraph"/>
        <w:numPr>
          <w:ilvl w:val="0"/>
          <w:numId w:val="41"/>
        </w:numPr>
        <w:autoSpaceDE w:val="0"/>
        <w:autoSpaceDN w:val="0"/>
        <w:adjustRightInd w:val="0"/>
        <w:spacing w:after="0"/>
        <w:jc w:val="both"/>
        <w:rPr>
          <w:rFonts w:eastAsiaTheme="majorEastAsia" w:cstheme="majorBidi"/>
          <w:color w:val="2E74B5" w:themeColor="accent1" w:themeShade="BF"/>
          <w:sz w:val="20"/>
          <w:szCs w:val="20"/>
        </w:rPr>
        <w:sectPr w:rsidR="00846CED" w:rsidRPr="006C06AD">
          <w:footerReference w:type="default" r:id="rId12"/>
          <w:pgSz w:w="12240" w:h="15840"/>
          <w:pgMar w:top="1440" w:right="1440" w:bottom="1440" w:left="1440" w:header="720" w:footer="720" w:gutter="0"/>
          <w:cols w:space="720"/>
          <w:docGrid w:linePitch="360"/>
        </w:sectPr>
      </w:pPr>
      <w:r w:rsidRPr="006C06AD">
        <w:rPr>
          <w:rFonts w:cs="Arial"/>
          <w:color w:val="000000"/>
          <w:sz w:val="20"/>
          <w:szCs w:val="20"/>
        </w:rPr>
        <w:t>have potentially adverse transboundary impacts</w:t>
      </w:r>
    </w:p>
    <w:p w14:paraId="3FF2EBDB" w14:textId="77777777" w:rsidR="0080236E" w:rsidRPr="006C06AD" w:rsidRDefault="0080236E" w:rsidP="004B3E99">
      <w:pPr>
        <w:spacing w:line="276" w:lineRule="auto"/>
        <w:jc w:val="both"/>
        <w:rPr>
          <w:rFonts w:eastAsiaTheme="majorEastAsia" w:cstheme="majorBidi"/>
          <w:b/>
          <w:color w:val="2E74B5" w:themeColor="accent1" w:themeShade="BF"/>
          <w:sz w:val="20"/>
          <w:szCs w:val="20"/>
        </w:rPr>
      </w:pPr>
      <w:bookmarkStart w:id="4" w:name="_Hlk497862009"/>
      <w:r w:rsidRPr="006C06AD">
        <w:rPr>
          <w:rFonts w:eastAsiaTheme="majorEastAsia" w:cstheme="majorBidi"/>
          <w:b/>
          <w:color w:val="2E74B5" w:themeColor="accent1" w:themeShade="BF"/>
          <w:sz w:val="20"/>
          <w:szCs w:val="20"/>
        </w:rPr>
        <w:lastRenderedPageBreak/>
        <w:t xml:space="preserve">Appendix II. List of IDB </w:t>
      </w:r>
      <w:r w:rsidR="00F16FF5" w:rsidRPr="006C06AD">
        <w:rPr>
          <w:rFonts w:eastAsiaTheme="majorEastAsia" w:cstheme="majorBidi"/>
          <w:b/>
          <w:color w:val="2E74B5" w:themeColor="accent1" w:themeShade="BF"/>
          <w:sz w:val="20"/>
          <w:szCs w:val="20"/>
        </w:rPr>
        <w:t xml:space="preserve">Safeguards </w:t>
      </w:r>
      <w:r w:rsidRPr="006C06AD">
        <w:rPr>
          <w:rFonts w:eastAsiaTheme="majorEastAsia" w:cstheme="majorBidi"/>
          <w:b/>
          <w:color w:val="2E74B5" w:themeColor="accent1" w:themeShade="BF"/>
          <w:sz w:val="20"/>
          <w:szCs w:val="20"/>
        </w:rPr>
        <w:t>Policies</w:t>
      </w:r>
    </w:p>
    <w:bookmarkEnd w:id="4"/>
    <w:p w14:paraId="654EFEEE" w14:textId="77777777" w:rsidR="00BC4A6E" w:rsidRPr="006C06AD" w:rsidRDefault="00BC4A6E" w:rsidP="004B3E99">
      <w:pPr>
        <w:spacing w:before="100" w:beforeAutospacing="1" w:after="100" w:afterAutospacing="1" w:line="276" w:lineRule="auto"/>
        <w:jc w:val="both"/>
        <w:rPr>
          <w:rFonts w:cs="Arial"/>
          <w:color w:val="000000"/>
          <w:sz w:val="20"/>
          <w:szCs w:val="20"/>
        </w:rPr>
      </w:pPr>
      <w:r w:rsidRPr="006C06AD">
        <w:rPr>
          <w:rFonts w:cs="Arial"/>
          <w:color w:val="000000"/>
          <w:sz w:val="20"/>
          <w:szCs w:val="20"/>
        </w:rPr>
        <w:t>IDB’s Safeguard Policies are publicly available on IDB’s website located at:</w:t>
      </w:r>
    </w:p>
    <w:p w14:paraId="2296F084" w14:textId="77777777" w:rsidR="00BC4A6E" w:rsidRPr="006C06AD" w:rsidRDefault="00123F65" w:rsidP="004B3E99">
      <w:pPr>
        <w:spacing w:before="100" w:beforeAutospacing="1" w:after="100" w:afterAutospacing="1" w:line="276" w:lineRule="auto"/>
        <w:jc w:val="both"/>
        <w:rPr>
          <w:rFonts w:cs="Arial"/>
          <w:color w:val="000000"/>
          <w:sz w:val="20"/>
          <w:szCs w:val="20"/>
        </w:rPr>
      </w:pPr>
      <w:hyperlink r:id="rId13" w:history="1">
        <w:r w:rsidR="00BC4A6E" w:rsidRPr="006C06AD">
          <w:rPr>
            <w:rStyle w:val="Hyperlink"/>
            <w:rFonts w:cs="Arial"/>
            <w:sz w:val="20"/>
            <w:szCs w:val="20"/>
          </w:rPr>
          <w:t>http://www.iadb.org/en/topics/sustainability/about-us,19563.html</w:t>
        </w:r>
      </w:hyperlink>
      <w:r w:rsidR="00BC4A6E" w:rsidRPr="006C06AD">
        <w:rPr>
          <w:rFonts w:cs="Arial"/>
          <w:color w:val="000000"/>
          <w:sz w:val="20"/>
          <w:szCs w:val="20"/>
        </w:rPr>
        <w:t xml:space="preserve"> </w:t>
      </w:r>
    </w:p>
    <w:p w14:paraId="1395BBB1" w14:textId="77777777" w:rsidR="00BC4A6E" w:rsidRPr="006C06AD" w:rsidRDefault="00BC4A6E" w:rsidP="004B3E99">
      <w:pPr>
        <w:spacing w:before="100" w:beforeAutospacing="1" w:after="100" w:afterAutospacing="1" w:line="276" w:lineRule="auto"/>
        <w:jc w:val="both"/>
        <w:rPr>
          <w:rFonts w:cs="Arial"/>
          <w:color w:val="000000"/>
          <w:sz w:val="20"/>
          <w:szCs w:val="20"/>
        </w:rPr>
      </w:pPr>
      <w:r w:rsidRPr="006C06AD">
        <w:rPr>
          <w:rFonts w:cs="Arial"/>
          <w:color w:val="000000"/>
          <w:sz w:val="20"/>
          <w:szCs w:val="20"/>
        </w:rPr>
        <w:t>The following safeguards are available:</w:t>
      </w:r>
    </w:p>
    <w:p w14:paraId="724E3091" w14:textId="77777777" w:rsidR="00BC4A6E" w:rsidRPr="006C06AD" w:rsidRDefault="00123F65" w:rsidP="004B3E99">
      <w:pPr>
        <w:numPr>
          <w:ilvl w:val="0"/>
          <w:numId w:val="24"/>
        </w:numPr>
        <w:spacing w:before="100" w:beforeAutospacing="1" w:after="100" w:afterAutospacing="1" w:line="276" w:lineRule="auto"/>
        <w:jc w:val="both"/>
        <w:rPr>
          <w:rFonts w:cs="Arial"/>
          <w:color w:val="000000"/>
          <w:sz w:val="20"/>
          <w:szCs w:val="20"/>
        </w:rPr>
      </w:pPr>
      <w:hyperlink r:id="rId14" w:history="1">
        <w:r w:rsidR="00BC4A6E" w:rsidRPr="006C06AD">
          <w:rPr>
            <w:rFonts w:cs="Arial"/>
            <w:color w:val="000000"/>
            <w:sz w:val="20"/>
            <w:szCs w:val="20"/>
          </w:rPr>
          <w:t>Environment and Safeguards Compliance Policy</w:t>
        </w:r>
      </w:hyperlink>
      <w:r w:rsidR="00BC4A6E" w:rsidRPr="006C06AD">
        <w:rPr>
          <w:rFonts w:cs="Arial"/>
          <w:color w:val="000000"/>
          <w:sz w:val="20"/>
          <w:szCs w:val="20"/>
        </w:rPr>
        <w:t xml:space="preserve"> and </w:t>
      </w:r>
      <w:hyperlink r:id="rId15" w:history="1">
        <w:r w:rsidR="00BC4A6E" w:rsidRPr="006C06AD">
          <w:rPr>
            <w:rFonts w:cs="Arial"/>
            <w:color w:val="000000"/>
            <w:sz w:val="20"/>
            <w:szCs w:val="20"/>
          </w:rPr>
          <w:t>Guidelines</w:t>
        </w:r>
      </w:hyperlink>
    </w:p>
    <w:p w14:paraId="3CAA1E84" w14:textId="77777777" w:rsidR="00BC4A6E" w:rsidRPr="006C06AD" w:rsidRDefault="00123F65" w:rsidP="004B3E99">
      <w:pPr>
        <w:numPr>
          <w:ilvl w:val="0"/>
          <w:numId w:val="24"/>
        </w:numPr>
        <w:spacing w:before="100" w:beforeAutospacing="1" w:after="100" w:afterAutospacing="1" w:line="276" w:lineRule="auto"/>
        <w:jc w:val="both"/>
        <w:rPr>
          <w:rFonts w:cs="Arial"/>
          <w:color w:val="000000"/>
          <w:sz w:val="20"/>
          <w:szCs w:val="20"/>
        </w:rPr>
      </w:pPr>
      <w:hyperlink r:id="rId16" w:history="1">
        <w:r w:rsidR="00BC4A6E" w:rsidRPr="006C06AD">
          <w:rPr>
            <w:rFonts w:cs="Arial"/>
            <w:color w:val="000000"/>
            <w:sz w:val="20"/>
            <w:szCs w:val="20"/>
          </w:rPr>
          <w:t>Natural Disaster Risk Management</w:t>
        </w:r>
      </w:hyperlink>
      <w:r w:rsidR="00BC4A6E" w:rsidRPr="006C06AD">
        <w:rPr>
          <w:rFonts w:cs="Arial"/>
          <w:color w:val="000000"/>
          <w:sz w:val="20"/>
          <w:szCs w:val="20"/>
        </w:rPr>
        <w:t xml:space="preserve"> and </w:t>
      </w:r>
      <w:hyperlink r:id="rId17" w:history="1">
        <w:r w:rsidR="00BC4A6E" w:rsidRPr="006C06AD">
          <w:rPr>
            <w:rFonts w:cs="Arial"/>
            <w:color w:val="000000"/>
            <w:sz w:val="20"/>
            <w:szCs w:val="20"/>
          </w:rPr>
          <w:t>Guidelines</w:t>
        </w:r>
      </w:hyperlink>
    </w:p>
    <w:p w14:paraId="656180E6" w14:textId="77777777" w:rsidR="00BC4A6E" w:rsidRPr="006C06AD" w:rsidRDefault="00123F65" w:rsidP="004B3E99">
      <w:pPr>
        <w:numPr>
          <w:ilvl w:val="0"/>
          <w:numId w:val="24"/>
        </w:numPr>
        <w:spacing w:before="100" w:beforeAutospacing="1" w:after="100" w:afterAutospacing="1" w:line="276" w:lineRule="auto"/>
        <w:jc w:val="both"/>
        <w:rPr>
          <w:rFonts w:cs="Arial"/>
          <w:color w:val="000000"/>
          <w:sz w:val="20"/>
          <w:szCs w:val="20"/>
        </w:rPr>
      </w:pPr>
      <w:hyperlink r:id="rId18" w:history="1">
        <w:r w:rsidR="00BC4A6E" w:rsidRPr="006C06AD">
          <w:rPr>
            <w:rFonts w:cs="Arial"/>
            <w:color w:val="000000"/>
            <w:sz w:val="20"/>
            <w:szCs w:val="20"/>
          </w:rPr>
          <w:t>Involuntary Resettlement</w:t>
        </w:r>
      </w:hyperlink>
      <w:r w:rsidR="00BC4A6E" w:rsidRPr="006C06AD">
        <w:rPr>
          <w:rFonts w:cs="Arial"/>
          <w:color w:val="000000"/>
          <w:sz w:val="20"/>
          <w:szCs w:val="20"/>
        </w:rPr>
        <w:t xml:space="preserve"> and </w:t>
      </w:r>
      <w:hyperlink r:id="rId19" w:history="1">
        <w:r w:rsidR="00BC4A6E" w:rsidRPr="006C06AD">
          <w:rPr>
            <w:rFonts w:cs="Arial"/>
            <w:color w:val="000000"/>
            <w:sz w:val="20"/>
            <w:szCs w:val="20"/>
          </w:rPr>
          <w:t>Guidelines</w:t>
        </w:r>
      </w:hyperlink>
    </w:p>
    <w:p w14:paraId="689AD450" w14:textId="77777777" w:rsidR="00BC4A6E" w:rsidRPr="006C06AD" w:rsidRDefault="00123F65" w:rsidP="004B3E99">
      <w:pPr>
        <w:numPr>
          <w:ilvl w:val="0"/>
          <w:numId w:val="24"/>
        </w:numPr>
        <w:spacing w:before="100" w:beforeAutospacing="1" w:after="100" w:afterAutospacing="1" w:line="276" w:lineRule="auto"/>
        <w:jc w:val="both"/>
        <w:rPr>
          <w:rFonts w:cs="Arial"/>
          <w:color w:val="000000"/>
          <w:sz w:val="20"/>
          <w:szCs w:val="20"/>
        </w:rPr>
      </w:pPr>
      <w:hyperlink r:id="rId20" w:history="1">
        <w:r w:rsidR="00BC4A6E" w:rsidRPr="006C06AD">
          <w:rPr>
            <w:rFonts w:cs="Arial"/>
            <w:color w:val="000000"/>
            <w:sz w:val="20"/>
            <w:szCs w:val="20"/>
          </w:rPr>
          <w:t>Indigenous Peoples</w:t>
        </w:r>
      </w:hyperlink>
      <w:r w:rsidR="00BC4A6E" w:rsidRPr="006C06AD">
        <w:rPr>
          <w:rFonts w:cs="Arial"/>
          <w:color w:val="000000"/>
          <w:sz w:val="20"/>
          <w:szCs w:val="20"/>
        </w:rPr>
        <w:t xml:space="preserve"> and </w:t>
      </w:r>
      <w:hyperlink r:id="rId21" w:history="1">
        <w:r w:rsidR="00BC4A6E" w:rsidRPr="006C06AD">
          <w:rPr>
            <w:rFonts w:cs="Arial"/>
            <w:color w:val="000000"/>
            <w:sz w:val="20"/>
            <w:szCs w:val="20"/>
          </w:rPr>
          <w:t>Guidelines</w:t>
        </w:r>
      </w:hyperlink>
    </w:p>
    <w:p w14:paraId="16CFFC53" w14:textId="77777777" w:rsidR="00BC4A6E" w:rsidRPr="006C06AD" w:rsidRDefault="00123F65" w:rsidP="004B3E99">
      <w:pPr>
        <w:numPr>
          <w:ilvl w:val="0"/>
          <w:numId w:val="24"/>
        </w:numPr>
        <w:spacing w:before="100" w:beforeAutospacing="1" w:after="100" w:afterAutospacing="1" w:line="276" w:lineRule="auto"/>
        <w:jc w:val="both"/>
        <w:rPr>
          <w:rFonts w:cs="Arial"/>
          <w:color w:val="000000"/>
          <w:sz w:val="20"/>
          <w:szCs w:val="20"/>
        </w:rPr>
      </w:pPr>
      <w:hyperlink r:id="rId22" w:history="1">
        <w:r w:rsidR="00BC4A6E" w:rsidRPr="006C06AD">
          <w:rPr>
            <w:rFonts w:cs="Arial"/>
            <w:color w:val="000000"/>
            <w:sz w:val="20"/>
            <w:szCs w:val="20"/>
          </w:rPr>
          <w:t>Gender Equality in Development</w:t>
        </w:r>
      </w:hyperlink>
      <w:r w:rsidR="00BC4A6E" w:rsidRPr="006C06AD">
        <w:rPr>
          <w:rFonts w:cs="Arial"/>
          <w:color w:val="000000"/>
          <w:sz w:val="20"/>
          <w:szCs w:val="20"/>
        </w:rPr>
        <w:t xml:space="preserve"> and </w:t>
      </w:r>
      <w:hyperlink r:id="rId23" w:history="1">
        <w:r w:rsidR="00BC4A6E" w:rsidRPr="006C06AD">
          <w:rPr>
            <w:rFonts w:cs="Arial"/>
            <w:color w:val="000000"/>
            <w:sz w:val="20"/>
            <w:szCs w:val="20"/>
          </w:rPr>
          <w:t>Guidelines</w:t>
        </w:r>
      </w:hyperlink>
    </w:p>
    <w:p w14:paraId="440FA7E9" w14:textId="77777777" w:rsidR="004F379B" w:rsidRPr="006C06AD" w:rsidRDefault="00123F65" w:rsidP="004B3E99">
      <w:pPr>
        <w:numPr>
          <w:ilvl w:val="0"/>
          <w:numId w:val="24"/>
        </w:numPr>
        <w:spacing w:before="100" w:beforeAutospacing="1" w:after="100" w:afterAutospacing="1" w:line="276" w:lineRule="auto"/>
        <w:jc w:val="both"/>
        <w:rPr>
          <w:rFonts w:cs="Arial"/>
          <w:color w:val="000000"/>
          <w:sz w:val="20"/>
          <w:szCs w:val="20"/>
        </w:rPr>
      </w:pPr>
      <w:hyperlink r:id="rId24" w:history="1">
        <w:r w:rsidR="00BC4A6E" w:rsidRPr="006C06AD">
          <w:rPr>
            <w:rFonts w:cs="Arial"/>
            <w:color w:val="000000"/>
            <w:sz w:val="20"/>
            <w:szCs w:val="20"/>
          </w:rPr>
          <w:t>Access to information Policy</w:t>
        </w:r>
      </w:hyperlink>
      <w:r w:rsidR="00BC4A6E" w:rsidRPr="006C06AD">
        <w:rPr>
          <w:rFonts w:cs="Arial"/>
          <w:color w:val="000000"/>
          <w:sz w:val="20"/>
          <w:szCs w:val="20"/>
        </w:rPr>
        <w:t xml:space="preserve"> and </w:t>
      </w:r>
      <w:hyperlink r:id="rId25" w:history="1">
        <w:r w:rsidR="00BC4A6E" w:rsidRPr="006C06AD">
          <w:rPr>
            <w:rFonts w:cs="Arial"/>
            <w:color w:val="000000"/>
            <w:sz w:val="20"/>
            <w:szCs w:val="20"/>
          </w:rPr>
          <w:t>Guidelines</w:t>
        </w:r>
      </w:hyperlink>
    </w:p>
    <w:p w14:paraId="27A9727C" w14:textId="77777777" w:rsidR="004F379B" w:rsidRPr="006C06AD" w:rsidRDefault="004F379B" w:rsidP="004B3E99">
      <w:pPr>
        <w:spacing w:line="276" w:lineRule="auto"/>
        <w:jc w:val="both"/>
        <w:rPr>
          <w:rFonts w:cs="Arial"/>
          <w:color w:val="000000"/>
          <w:sz w:val="20"/>
          <w:szCs w:val="20"/>
        </w:rPr>
      </w:pPr>
      <w:r w:rsidRPr="006C06AD">
        <w:rPr>
          <w:rFonts w:cs="Arial"/>
          <w:color w:val="000000"/>
          <w:sz w:val="20"/>
          <w:szCs w:val="20"/>
        </w:rPr>
        <w:br w:type="page"/>
      </w:r>
    </w:p>
    <w:p w14:paraId="2A99B48C" w14:textId="77777777" w:rsidR="004F379B" w:rsidRPr="006C06AD" w:rsidRDefault="004F379B" w:rsidP="004B3E99">
      <w:pPr>
        <w:spacing w:line="276" w:lineRule="auto"/>
        <w:jc w:val="both"/>
        <w:rPr>
          <w:rFonts w:eastAsiaTheme="majorEastAsia" w:cstheme="majorBidi"/>
          <w:b/>
          <w:color w:val="2E74B5" w:themeColor="accent1" w:themeShade="BF"/>
          <w:sz w:val="20"/>
          <w:szCs w:val="20"/>
        </w:rPr>
      </w:pPr>
      <w:r w:rsidRPr="006C06AD">
        <w:rPr>
          <w:rFonts w:eastAsiaTheme="majorEastAsia" w:cstheme="majorBidi"/>
          <w:b/>
          <w:color w:val="2E74B5" w:themeColor="accent1" w:themeShade="BF"/>
          <w:sz w:val="20"/>
          <w:szCs w:val="20"/>
        </w:rPr>
        <w:lastRenderedPageBreak/>
        <w:t xml:space="preserve"> Appendix III. List of stakeholders involved in the </w:t>
      </w:r>
      <w:r w:rsidR="0028758B">
        <w:rPr>
          <w:rFonts w:eastAsiaTheme="majorEastAsia" w:cstheme="majorBidi"/>
          <w:b/>
          <w:color w:val="2E74B5" w:themeColor="accent1" w:themeShade="BF"/>
          <w:sz w:val="20"/>
          <w:szCs w:val="20"/>
        </w:rPr>
        <w:t>P</w:t>
      </w:r>
      <w:r w:rsidRPr="006C06AD">
        <w:rPr>
          <w:rFonts w:eastAsiaTheme="majorEastAsia" w:cstheme="majorBidi"/>
          <w:b/>
          <w:color w:val="2E74B5" w:themeColor="accent1" w:themeShade="BF"/>
          <w:sz w:val="20"/>
          <w:szCs w:val="20"/>
        </w:rPr>
        <w:t>roject preparation phase- stakeholder engagement</w:t>
      </w:r>
    </w:p>
    <w:p w14:paraId="65B02CDC" w14:textId="77777777" w:rsidR="004F379B" w:rsidRPr="006C06AD" w:rsidRDefault="004F379B" w:rsidP="004B3E99">
      <w:pPr>
        <w:spacing w:line="276" w:lineRule="auto"/>
        <w:jc w:val="both"/>
        <w:rPr>
          <w:sz w:val="20"/>
          <w:szCs w:val="20"/>
          <w:u w:val="single"/>
        </w:rPr>
      </w:pPr>
      <w:r w:rsidRPr="006C06AD">
        <w:rPr>
          <w:sz w:val="20"/>
          <w:szCs w:val="20"/>
          <w:u w:val="single"/>
        </w:rPr>
        <w:t>Ministries/Public agencies</w:t>
      </w:r>
    </w:p>
    <w:p w14:paraId="32B5D122" w14:textId="77777777" w:rsidR="004F379B" w:rsidRPr="006C06AD" w:rsidRDefault="004F379B">
      <w:pPr>
        <w:pStyle w:val="ListParagraph"/>
        <w:numPr>
          <w:ilvl w:val="0"/>
          <w:numId w:val="42"/>
        </w:numPr>
        <w:spacing w:before="120" w:after="120"/>
        <w:ind w:left="426"/>
        <w:jc w:val="both"/>
        <w:rPr>
          <w:sz w:val="20"/>
          <w:szCs w:val="20"/>
        </w:rPr>
      </w:pPr>
      <w:r w:rsidRPr="006C06AD">
        <w:rPr>
          <w:sz w:val="20"/>
          <w:szCs w:val="20"/>
        </w:rPr>
        <w:t>Ministry of the Environment and Sustainable Development - Lic Prem D. Zalzman, Director of New Technologies for Sustainable Development</w:t>
      </w:r>
    </w:p>
    <w:p w14:paraId="0424DDB2" w14:textId="77777777" w:rsidR="004F379B" w:rsidRPr="006C06AD" w:rsidRDefault="004F379B">
      <w:pPr>
        <w:pStyle w:val="ListParagraph"/>
        <w:numPr>
          <w:ilvl w:val="0"/>
          <w:numId w:val="42"/>
        </w:numPr>
        <w:spacing w:before="120" w:after="120"/>
        <w:ind w:left="426"/>
        <w:jc w:val="both"/>
        <w:rPr>
          <w:sz w:val="20"/>
          <w:szCs w:val="20"/>
        </w:rPr>
      </w:pPr>
      <w:r w:rsidRPr="006C06AD">
        <w:rPr>
          <w:sz w:val="20"/>
          <w:szCs w:val="20"/>
        </w:rPr>
        <w:t xml:space="preserve">Undersecretariat of ER/ Probiomasa; Sebastian Kind, Maximiliano Morrone, Mauro Soares - </w:t>
      </w:r>
    </w:p>
    <w:p w14:paraId="1559AF10" w14:textId="77777777" w:rsidR="004F379B" w:rsidRPr="006C06AD" w:rsidRDefault="004F379B">
      <w:pPr>
        <w:pStyle w:val="ListParagraph"/>
        <w:numPr>
          <w:ilvl w:val="0"/>
          <w:numId w:val="42"/>
        </w:numPr>
        <w:spacing w:before="120" w:after="120"/>
        <w:ind w:left="426"/>
        <w:jc w:val="both"/>
        <w:rPr>
          <w:sz w:val="20"/>
          <w:szCs w:val="20"/>
        </w:rPr>
      </w:pPr>
      <w:r w:rsidRPr="006C06AD">
        <w:rPr>
          <w:sz w:val="20"/>
          <w:szCs w:val="20"/>
        </w:rPr>
        <w:t>Undersecretariat of EE; Marco Bergel, Andrea Heins (telephone)</w:t>
      </w:r>
    </w:p>
    <w:p w14:paraId="2C9DB189" w14:textId="77777777" w:rsidR="004F379B" w:rsidRPr="006C06AD" w:rsidRDefault="004F379B">
      <w:pPr>
        <w:pStyle w:val="ListParagraph"/>
        <w:numPr>
          <w:ilvl w:val="0"/>
          <w:numId w:val="42"/>
        </w:numPr>
        <w:spacing w:before="120" w:after="120"/>
        <w:ind w:left="426"/>
        <w:jc w:val="both"/>
        <w:rPr>
          <w:sz w:val="20"/>
          <w:szCs w:val="20"/>
        </w:rPr>
      </w:pPr>
      <w:r w:rsidRPr="006C06AD">
        <w:rPr>
          <w:sz w:val="20"/>
          <w:szCs w:val="20"/>
        </w:rPr>
        <w:t>Undersecretary of Bioindustry, Secretary of Added Value Ministry of Agroindustry; Mariano Lechardoy (telephone)</w:t>
      </w:r>
    </w:p>
    <w:p w14:paraId="38B09B81" w14:textId="77777777" w:rsidR="004F379B" w:rsidRPr="006C06AD" w:rsidRDefault="004F379B" w:rsidP="00C17775">
      <w:pPr>
        <w:spacing w:line="276" w:lineRule="auto"/>
        <w:jc w:val="both"/>
        <w:rPr>
          <w:sz w:val="20"/>
          <w:szCs w:val="20"/>
          <w:u w:val="single"/>
        </w:rPr>
      </w:pPr>
      <w:r w:rsidRPr="006C06AD">
        <w:rPr>
          <w:sz w:val="20"/>
          <w:szCs w:val="20"/>
          <w:u w:val="single"/>
        </w:rPr>
        <w:t xml:space="preserve">Financial Institutions </w:t>
      </w:r>
    </w:p>
    <w:p w14:paraId="6A4A6952" w14:textId="77777777" w:rsidR="004F379B" w:rsidRPr="006C06AD" w:rsidRDefault="004F379B">
      <w:pPr>
        <w:pStyle w:val="ListParagraph"/>
        <w:numPr>
          <w:ilvl w:val="0"/>
          <w:numId w:val="42"/>
        </w:numPr>
        <w:spacing w:before="120" w:after="120"/>
        <w:ind w:left="426"/>
        <w:jc w:val="both"/>
        <w:rPr>
          <w:sz w:val="20"/>
          <w:szCs w:val="20"/>
          <w:lang w:val="it-IT"/>
        </w:rPr>
      </w:pPr>
      <w:r w:rsidRPr="006C06AD">
        <w:rPr>
          <w:sz w:val="20"/>
          <w:szCs w:val="20"/>
          <w:lang w:val="it-IT"/>
        </w:rPr>
        <w:t>BICE – Patricia Castro, Rodrigo Mignone, Ricardo Bebczuk, Rodolfo Alba, Francisco Vila, Vanina Messere, Rafael Robles, Fernando Devoto</w:t>
      </w:r>
    </w:p>
    <w:p w14:paraId="43B7573D" w14:textId="77777777" w:rsidR="004F379B" w:rsidRPr="006C06AD" w:rsidRDefault="004F379B">
      <w:pPr>
        <w:pStyle w:val="ListParagraph"/>
        <w:numPr>
          <w:ilvl w:val="0"/>
          <w:numId w:val="42"/>
        </w:numPr>
        <w:spacing w:before="120" w:after="120"/>
        <w:ind w:left="426"/>
        <w:jc w:val="both"/>
        <w:rPr>
          <w:sz w:val="20"/>
          <w:szCs w:val="20"/>
        </w:rPr>
      </w:pPr>
      <w:r w:rsidRPr="006C06AD">
        <w:rPr>
          <w:sz w:val="20"/>
          <w:szCs w:val="20"/>
        </w:rPr>
        <w:t>Banco Galicia – Ignacio Badaloni; Corporate Banking</w:t>
      </w:r>
    </w:p>
    <w:p w14:paraId="6B9AA0F0" w14:textId="77777777" w:rsidR="004F379B" w:rsidRPr="006C06AD" w:rsidRDefault="004F379B">
      <w:pPr>
        <w:pStyle w:val="ListParagraph"/>
        <w:numPr>
          <w:ilvl w:val="0"/>
          <w:numId w:val="42"/>
        </w:numPr>
        <w:spacing w:before="120" w:after="120"/>
        <w:ind w:left="426"/>
        <w:jc w:val="both"/>
        <w:rPr>
          <w:sz w:val="20"/>
          <w:szCs w:val="20"/>
        </w:rPr>
      </w:pPr>
      <w:r w:rsidRPr="006C06AD">
        <w:rPr>
          <w:sz w:val="20"/>
          <w:szCs w:val="20"/>
        </w:rPr>
        <w:t>Banco BBVA – Augusto Buda; Investment Banking.</w:t>
      </w:r>
    </w:p>
    <w:p w14:paraId="261D18F7" w14:textId="77777777" w:rsidR="004F379B" w:rsidRPr="006C06AD" w:rsidRDefault="004F379B" w:rsidP="00C17775">
      <w:pPr>
        <w:spacing w:line="276" w:lineRule="auto"/>
        <w:jc w:val="both"/>
        <w:rPr>
          <w:sz w:val="20"/>
          <w:szCs w:val="20"/>
          <w:u w:val="single"/>
        </w:rPr>
      </w:pPr>
      <w:r w:rsidRPr="006C06AD">
        <w:rPr>
          <w:sz w:val="20"/>
          <w:szCs w:val="20"/>
          <w:u w:val="single"/>
        </w:rPr>
        <w:t>Project Developers and Technology Suppliers</w:t>
      </w:r>
    </w:p>
    <w:p w14:paraId="45538649" w14:textId="77777777" w:rsidR="004F379B" w:rsidRPr="006C06AD" w:rsidRDefault="004F379B">
      <w:pPr>
        <w:pStyle w:val="ListParagraph"/>
        <w:numPr>
          <w:ilvl w:val="0"/>
          <w:numId w:val="42"/>
        </w:numPr>
        <w:spacing w:before="120" w:after="120"/>
        <w:ind w:left="426"/>
        <w:jc w:val="both"/>
        <w:rPr>
          <w:sz w:val="20"/>
          <w:szCs w:val="20"/>
        </w:rPr>
      </w:pPr>
      <w:r w:rsidRPr="006C06AD">
        <w:rPr>
          <w:sz w:val="20"/>
          <w:szCs w:val="20"/>
        </w:rPr>
        <w:t> Isla Power (Photovoltaic), Antonio Antonopoulos</w:t>
      </w:r>
    </w:p>
    <w:p w14:paraId="30536E18" w14:textId="77777777" w:rsidR="004F379B" w:rsidRPr="006C06AD" w:rsidRDefault="004F379B">
      <w:pPr>
        <w:pStyle w:val="ListParagraph"/>
        <w:numPr>
          <w:ilvl w:val="0"/>
          <w:numId w:val="42"/>
        </w:numPr>
        <w:spacing w:before="120" w:after="120"/>
        <w:ind w:left="426"/>
        <w:jc w:val="both"/>
        <w:rPr>
          <w:sz w:val="20"/>
          <w:szCs w:val="20"/>
          <w:lang w:val="es-AR"/>
        </w:rPr>
      </w:pPr>
      <w:r w:rsidRPr="006C06AD">
        <w:rPr>
          <w:sz w:val="20"/>
          <w:szCs w:val="20"/>
          <w:lang w:val="es-AR"/>
        </w:rPr>
        <w:t> El Sol ingeniera – Luis Scholand (Consultants)</w:t>
      </w:r>
    </w:p>
    <w:p w14:paraId="0BB364D1" w14:textId="77777777" w:rsidR="004F379B" w:rsidRPr="006C06AD" w:rsidRDefault="004F379B">
      <w:pPr>
        <w:pStyle w:val="ListParagraph"/>
        <w:numPr>
          <w:ilvl w:val="0"/>
          <w:numId w:val="42"/>
        </w:numPr>
        <w:spacing w:before="120" w:after="120"/>
        <w:ind w:left="426"/>
        <w:jc w:val="both"/>
        <w:rPr>
          <w:sz w:val="20"/>
          <w:szCs w:val="20"/>
          <w:lang w:val="pt-BR"/>
        </w:rPr>
      </w:pPr>
      <w:r w:rsidRPr="006C06AD">
        <w:rPr>
          <w:sz w:val="20"/>
          <w:szCs w:val="20"/>
          <w:lang w:val="pt-BR"/>
        </w:rPr>
        <w:t> Turbomaquinarias – Eng. Carlos D. Weihmüller (president), José M. Menica / Edgardo Vescovo (Capstone)</w:t>
      </w:r>
    </w:p>
    <w:p w14:paraId="7C2F4E16" w14:textId="77777777" w:rsidR="004F379B" w:rsidRPr="006C06AD" w:rsidRDefault="004F379B">
      <w:pPr>
        <w:pStyle w:val="ListParagraph"/>
        <w:numPr>
          <w:ilvl w:val="0"/>
          <w:numId w:val="42"/>
        </w:numPr>
        <w:spacing w:before="120" w:after="120"/>
        <w:ind w:left="426"/>
        <w:jc w:val="both"/>
        <w:rPr>
          <w:sz w:val="20"/>
          <w:szCs w:val="20"/>
        </w:rPr>
      </w:pPr>
      <w:r w:rsidRPr="006C06AD">
        <w:rPr>
          <w:sz w:val="20"/>
          <w:szCs w:val="20"/>
          <w:lang w:val="pt-BR"/>
        </w:rPr>
        <w:t> </w:t>
      </w:r>
      <w:r w:rsidRPr="006C06AD">
        <w:rPr>
          <w:sz w:val="20"/>
          <w:szCs w:val="20"/>
        </w:rPr>
        <w:t>Solartec S.A. – Fernando J. Salgado; Suppliers of FV systems and solar water heaters.</w:t>
      </w:r>
    </w:p>
    <w:p w14:paraId="3DD3899E" w14:textId="77777777" w:rsidR="004F379B" w:rsidRPr="006C06AD" w:rsidRDefault="004F379B">
      <w:pPr>
        <w:pStyle w:val="ListParagraph"/>
        <w:numPr>
          <w:ilvl w:val="0"/>
          <w:numId w:val="42"/>
        </w:numPr>
        <w:spacing w:before="120" w:after="120"/>
        <w:ind w:left="426"/>
        <w:jc w:val="both"/>
        <w:rPr>
          <w:sz w:val="20"/>
          <w:szCs w:val="20"/>
        </w:rPr>
      </w:pPr>
      <w:r w:rsidRPr="006C06AD">
        <w:rPr>
          <w:sz w:val="20"/>
          <w:szCs w:val="20"/>
        </w:rPr>
        <w:t> MAN Diesel &amp; Turbo – Diego Biancotti; Suppliers of cogeneration equipment</w:t>
      </w:r>
    </w:p>
    <w:p w14:paraId="77535454" w14:textId="77777777" w:rsidR="004F379B" w:rsidRPr="006C06AD" w:rsidRDefault="004F379B">
      <w:pPr>
        <w:pStyle w:val="ListParagraph"/>
        <w:numPr>
          <w:ilvl w:val="0"/>
          <w:numId w:val="42"/>
        </w:numPr>
        <w:spacing w:before="120" w:after="120"/>
        <w:ind w:left="426"/>
        <w:jc w:val="both"/>
        <w:rPr>
          <w:sz w:val="20"/>
          <w:szCs w:val="20"/>
        </w:rPr>
      </w:pPr>
      <w:r w:rsidRPr="006C06AD">
        <w:rPr>
          <w:sz w:val="20"/>
          <w:szCs w:val="20"/>
        </w:rPr>
        <w:t> </w:t>
      </w:r>
      <w:r w:rsidRPr="006C06AD">
        <w:rPr>
          <w:sz w:val="20"/>
          <w:szCs w:val="20"/>
          <w:lang w:val="es-MX"/>
        </w:rPr>
        <w:t xml:space="preserve">Ifbio –Juan Pablo Corbella, Eng. </w:t>
      </w:r>
      <w:r w:rsidRPr="006C06AD">
        <w:rPr>
          <w:sz w:val="20"/>
          <w:szCs w:val="20"/>
        </w:rPr>
        <w:t>Mauro Barberis - Biogas Plants</w:t>
      </w:r>
    </w:p>
    <w:p w14:paraId="52D703DD" w14:textId="77777777" w:rsidR="004F379B" w:rsidRPr="006C06AD" w:rsidRDefault="004F379B">
      <w:pPr>
        <w:pStyle w:val="ListParagraph"/>
        <w:numPr>
          <w:ilvl w:val="0"/>
          <w:numId w:val="42"/>
        </w:numPr>
        <w:spacing w:before="120" w:after="120"/>
        <w:ind w:left="426"/>
        <w:jc w:val="both"/>
        <w:rPr>
          <w:sz w:val="20"/>
          <w:szCs w:val="20"/>
          <w:lang w:val="it-IT"/>
        </w:rPr>
      </w:pPr>
      <w:r w:rsidRPr="006C06AD">
        <w:rPr>
          <w:sz w:val="20"/>
          <w:szCs w:val="20"/>
          <w:lang w:val="it-IT"/>
        </w:rPr>
        <w:t> Fiasa; Daniel Lisei, Daniel Sanz, (Thermosolar Suppliers)</w:t>
      </w:r>
    </w:p>
    <w:p w14:paraId="1DBC1E1D" w14:textId="77777777" w:rsidR="004F379B" w:rsidRPr="006C06AD" w:rsidRDefault="004F379B">
      <w:pPr>
        <w:pStyle w:val="ListParagraph"/>
        <w:numPr>
          <w:ilvl w:val="0"/>
          <w:numId w:val="42"/>
        </w:numPr>
        <w:spacing w:before="120" w:after="120"/>
        <w:ind w:left="426"/>
        <w:jc w:val="both"/>
        <w:rPr>
          <w:sz w:val="20"/>
          <w:szCs w:val="20"/>
        </w:rPr>
      </w:pPr>
      <w:r w:rsidRPr="006C06AD">
        <w:rPr>
          <w:sz w:val="20"/>
          <w:szCs w:val="20"/>
          <w:lang w:val="it-IT"/>
        </w:rPr>
        <w:t> </w:t>
      </w:r>
      <w:r w:rsidRPr="006C06AD">
        <w:rPr>
          <w:sz w:val="20"/>
          <w:szCs w:val="20"/>
        </w:rPr>
        <w:t>AGVE – Juan Benassi, Developer of biomass plants</w:t>
      </w:r>
    </w:p>
    <w:p w14:paraId="54DBF66E" w14:textId="77777777" w:rsidR="004F379B" w:rsidRPr="006C06AD" w:rsidRDefault="004F379B">
      <w:pPr>
        <w:pStyle w:val="ListParagraph"/>
        <w:numPr>
          <w:ilvl w:val="0"/>
          <w:numId w:val="42"/>
        </w:numPr>
        <w:spacing w:before="120" w:after="120"/>
        <w:ind w:left="426"/>
        <w:jc w:val="both"/>
        <w:rPr>
          <w:sz w:val="20"/>
          <w:szCs w:val="20"/>
          <w:lang w:val="es-MX"/>
        </w:rPr>
      </w:pPr>
      <w:r w:rsidRPr="006C06AD">
        <w:rPr>
          <w:sz w:val="20"/>
          <w:szCs w:val="20"/>
        </w:rPr>
        <w:t> </w:t>
      </w:r>
      <w:r w:rsidRPr="006C06AD">
        <w:rPr>
          <w:sz w:val="20"/>
          <w:szCs w:val="20"/>
          <w:lang w:val="es-MX"/>
        </w:rPr>
        <w:t>Tecnored - Eng. Horacio Germán Pinasco, Biomass Plants</w:t>
      </w:r>
    </w:p>
    <w:p w14:paraId="1589C722" w14:textId="77777777" w:rsidR="004F379B" w:rsidRPr="006C06AD" w:rsidRDefault="004F379B" w:rsidP="00C17775">
      <w:pPr>
        <w:spacing w:line="276" w:lineRule="auto"/>
        <w:jc w:val="both"/>
        <w:rPr>
          <w:sz w:val="20"/>
          <w:szCs w:val="20"/>
          <w:u w:val="single"/>
        </w:rPr>
      </w:pPr>
      <w:r w:rsidRPr="006C06AD">
        <w:rPr>
          <w:sz w:val="20"/>
          <w:szCs w:val="20"/>
          <w:u w:val="single"/>
        </w:rPr>
        <w:t>Other</w:t>
      </w:r>
    </w:p>
    <w:p w14:paraId="61A92FC7" w14:textId="77777777" w:rsidR="004F379B" w:rsidRPr="006C06AD" w:rsidRDefault="004F379B">
      <w:pPr>
        <w:pStyle w:val="ListParagraph"/>
        <w:numPr>
          <w:ilvl w:val="0"/>
          <w:numId w:val="42"/>
        </w:numPr>
        <w:spacing w:before="120" w:after="120"/>
        <w:ind w:left="426"/>
        <w:jc w:val="both"/>
        <w:rPr>
          <w:sz w:val="20"/>
          <w:szCs w:val="20"/>
        </w:rPr>
      </w:pPr>
      <w:r w:rsidRPr="006C06AD">
        <w:rPr>
          <w:sz w:val="20"/>
          <w:szCs w:val="20"/>
        </w:rPr>
        <w:t> National Securities Commission – Daniel Ibañez</w:t>
      </w:r>
    </w:p>
    <w:p w14:paraId="329AC9A0" w14:textId="77777777" w:rsidR="004F379B" w:rsidRPr="006C06AD" w:rsidRDefault="004F379B">
      <w:pPr>
        <w:pStyle w:val="ListParagraph"/>
        <w:numPr>
          <w:ilvl w:val="0"/>
          <w:numId w:val="42"/>
        </w:numPr>
        <w:spacing w:before="120" w:after="120"/>
        <w:ind w:left="426"/>
        <w:jc w:val="both"/>
        <w:rPr>
          <w:sz w:val="20"/>
          <w:szCs w:val="20"/>
        </w:rPr>
      </w:pPr>
      <w:r w:rsidRPr="006C06AD">
        <w:rPr>
          <w:sz w:val="20"/>
          <w:szCs w:val="20"/>
        </w:rPr>
        <w:t> CAME (Adviser)/ Jinko Solar (BD) – Luz María Barbero</w:t>
      </w:r>
    </w:p>
    <w:p w14:paraId="7735BAEA" w14:textId="77777777" w:rsidR="004F379B" w:rsidRPr="006C06AD" w:rsidRDefault="004F379B">
      <w:pPr>
        <w:pStyle w:val="ListParagraph"/>
        <w:numPr>
          <w:ilvl w:val="0"/>
          <w:numId w:val="42"/>
        </w:numPr>
        <w:spacing w:before="120" w:after="120"/>
        <w:ind w:left="426"/>
        <w:jc w:val="both"/>
        <w:rPr>
          <w:sz w:val="20"/>
          <w:szCs w:val="20"/>
        </w:rPr>
      </w:pPr>
      <w:r w:rsidRPr="006C06AD">
        <w:rPr>
          <w:sz w:val="20"/>
          <w:szCs w:val="20"/>
        </w:rPr>
        <w:t> Alejandro Motta – Investor and consultant; green entrepreneurship in Rosario</w:t>
      </w:r>
    </w:p>
    <w:p w14:paraId="03F6A917" w14:textId="77777777" w:rsidR="003D4B9D" w:rsidRDefault="003D4B9D" w:rsidP="003D4B9D">
      <w:pPr>
        <w:spacing w:before="120" w:after="120"/>
        <w:jc w:val="both"/>
        <w:rPr>
          <w:rFonts w:cs="Arial"/>
          <w:sz w:val="20"/>
          <w:szCs w:val="20"/>
        </w:rPr>
      </w:pPr>
    </w:p>
    <w:p w14:paraId="3AD1CCC3" w14:textId="761E502C" w:rsidR="003D4B9D" w:rsidRPr="007E5B0E" w:rsidRDefault="003D4B9D" w:rsidP="003D4B9D">
      <w:pPr>
        <w:spacing w:before="120" w:after="120"/>
        <w:jc w:val="both"/>
        <w:rPr>
          <w:rFonts w:eastAsia="SimSun" w:cs="Arial"/>
          <w:sz w:val="20"/>
          <w:szCs w:val="20"/>
        </w:rPr>
      </w:pPr>
      <w:r w:rsidRPr="007E5B0E">
        <w:rPr>
          <w:rFonts w:cs="Arial"/>
          <w:sz w:val="20"/>
          <w:szCs w:val="20"/>
        </w:rPr>
        <w:t xml:space="preserve">The Project preparation </w:t>
      </w:r>
      <w:r w:rsidRPr="00DE6A95">
        <w:rPr>
          <w:rFonts w:cs="Arial"/>
          <w:sz w:val="20"/>
          <w:szCs w:val="20"/>
        </w:rPr>
        <w:t>considered</w:t>
      </w:r>
      <w:r w:rsidRPr="007E5B0E">
        <w:rPr>
          <w:rFonts w:cs="Arial"/>
          <w:sz w:val="20"/>
          <w:szCs w:val="20"/>
        </w:rPr>
        <w:t xml:space="preserve"> existing BICE environmental and social practice and included consultation of BICE accredited financial institutions on environmental and social safeguards, among other things to ensure that sub-project proponents and LFIs would be comfortable with the Project ESMF requirements.  Further down the preparation process, the ESMF was presented to BICE for revision and their comments and suggestions were integrated into this document. BICE in its revision confirmed to have processes for consultations and grievance and that the role and responsibilities requested from LFIs in this ESMF were in line with the type of relation and agreement they have already with LFIs. </w:t>
      </w:r>
    </w:p>
    <w:p w14:paraId="18A4F928" w14:textId="1DA91E32" w:rsidR="003D4B9D" w:rsidRPr="006C06AD" w:rsidRDefault="003D4B9D" w:rsidP="003D4B9D">
      <w:pPr>
        <w:spacing w:line="276" w:lineRule="auto"/>
        <w:jc w:val="both"/>
        <w:rPr>
          <w:rFonts w:cs="Arial"/>
          <w:color w:val="000000"/>
          <w:sz w:val="20"/>
          <w:szCs w:val="20"/>
        </w:rPr>
      </w:pPr>
      <w:r w:rsidRPr="007E5B0E">
        <w:rPr>
          <w:rFonts w:cs="Arial"/>
          <w:sz w:val="20"/>
          <w:szCs w:val="20"/>
        </w:rPr>
        <w:t xml:space="preserve">The pipeline of sub-projects to be financed with resources from the Project will only be identified during Project execution phase but the market assessment has been a way to consult </w:t>
      </w:r>
      <w:r w:rsidRPr="007E5B0E">
        <w:rPr>
          <w:rFonts w:cs="Arial"/>
          <w:b/>
          <w:bCs/>
          <w:sz w:val="20"/>
          <w:szCs w:val="20"/>
        </w:rPr>
        <w:t>potential</w:t>
      </w:r>
      <w:r w:rsidRPr="007E5B0E">
        <w:rPr>
          <w:rFonts w:cs="Arial"/>
          <w:sz w:val="20"/>
          <w:szCs w:val="20"/>
        </w:rPr>
        <w:t xml:space="preserve"> sub-project proponents. Main features of the ESMF were mentioned during the assessment of market demand with potential clients and stakeholders (including for instance specific requirements to appropriately dispose of the replaced equipment), and no issues were identified at this level. As stated above in the document, at the pipeline development stage, during Project execution, there will be another project-adequate stakeholder engagement to inform and train actors (LFIs </w:t>
      </w:r>
      <w:r w:rsidRPr="007E5B0E">
        <w:rPr>
          <w:rFonts w:cs="Arial"/>
          <w:sz w:val="20"/>
          <w:szCs w:val="20"/>
        </w:rPr>
        <w:lastRenderedPageBreak/>
        <w:t xml:space="preserve">and sub-project proponents in particular) on the ESMF and its main features (disposal protocol, categorization tool etc.) </w:t>
      </w:r>
      <w:r w:rsidR="00195ED1" w:rsidRPr="006C06AD">
        <w:rPr>
          <w:rFonts w:cs="Arial"/>
          <w:color w:val="000000"/>
          <w:sz w:val="20"/>
          <w:szCs w:val="20"/>
        </w:rPr>
        <w:br w:type="page"/>
      </w:r>
    </w:p>
    <w:p w14:paraId="274763BA" w14:textId="77777777" w:rsidR="00195ED1" w:rsidRPr="006C06AD" w:rsidRDefault="00195ED1" w:rsidP="00C17775">
      <w:pPr>
        <w:spacing w:line="276" w:lineRule="auto"/>
        <w:jc w:val="both"/>
        <w:rPr>
          <w:rFonts w:eastAsiaTheme="majorEastAsia" w:cstheme="majorBidi"/>
          <w:color w:val="2E74B5" w:themeColor="accent1" w:themeShade="BF"/>
          <w:sz w:val="20"/>
          <w:szCs w:val="20"/>
        </w:rPr>
      </w:pPr>
      <w:r w:rsidRPr="006C06AD">
        <w:rPr>
          <w:rFonts w:eastAsiaTheme="majorEastAsia" w:cstheme="majorBidi"/>
          <w:color w:val="2E74B5" w:themeColor="accent1" w:themeShade="BF"/>
          <w:sz w:val="20"/>
          <w:szCs w:val="20"/>
        </w:rPr>
        <w:lastRenderedPageBreak/>
        <w:t xml:space="preserve">Appendix IV. Roles and responsibilities </w:t>
      </w:r>
    </w:p>
    <w:p w14:paraId="78C9AEFC" w14:textId="77777777" w:rsidR="00195ED1" w:rsidRPr="006C06AD" w:rsidRDefault="00195ED1" w:rsidP="00C17775">
      <w:pPr>
        <w:spacing w:line="276" w:lineRule="auto"/>
        <w:jc w:val="both"/>
        <w:rPr>
          <w:rFonts w:eastAsiaTheme="majorEastAsia" w:cstheme="majorBidi"/>
          <w:sz w:val="20"/>
          <w:szCs w:val="20"/>
        </w:rPr>
      </w:pPr>
      <w:r w:rsidRPr="006C06AD">
        <w:rPr>
          <w:rFonts w:eastAsiaTheme="majorEastAsia" w:cstheme="majorBidi"/>
          <w:sz w:val="20"/>
          <w:szCs w:val="20"/>
        </w:rPr>
        <w:t>This table is a summary of the ESMF. It will be finalized with the validation and implementation of the Project operating manual.</w:t>
      </w:r>
    </w:p>
    <w:tbl>
      <w:tblPr>
        <w:tblStyle w:val="TableGrid"/>
        <w:tblW w:w="0" w:type="auto"/>
        <w:tblLook w:val="04A0" w:firstRow="1" w:lastRow="0" w:firstColumn="1" w:lastColumn="0" w:noHBand="0" w:noVBand="1"/>
      </w:tblPr>
      <w:tblGrid>
        <w:gridCol w:w="1870"/>
        <w:gridCol w:w="1870"/>
        <w:gridCol w:w="1870"/>
        <w:gridCol w:w="1870"/>
        <w:gridCol w:w="1870"/>
      </w:tblGrid>
      <w:tr w:rsidR="00195ED1" w:rsidRPr="006C06AD" w14:paraId="10CA7737" w14:textId="77777777" w:rsidTr="00DB02FE">
        <w:tc>
          <w:tcPr>
            <w:tcW w:w="1870" w:type="dxa"/>
            <w:shd w:val="clear" w:color="auto" w:fill="BFBFBF" w:themeFill="background1" w:themeFillShade="BF"/>
          </w:tcPr>
          <w:p w14:paraId="6C4AE045" w14:textId="77777777" w:rsidR="00195ED1" w:rsidRPr="006C06AD" w:rsidRDefault="00195ED1" w:rsidP="00C17775">
            <w:pPr>
              <w:jc w:val="both"/>
              <w:rPr>
                <w:b/>
                <w:sz w:val="20"/>
                <w:szCs w:val="20"/>
              </w:rPr>
            </w:pPr>
          </w:p>
        </w:tc>
        <w:tc>
          <w:tcPr>
            <w:tcW w:w="1870" w:type="dxa"/>
            <w:shd w:val="clear" w:color="auto" w:fill="BFBFBF" w:themeFill="background1" w:themeFillShade="BF"/>
          </w:tcPr>
          <w:p w14:paraId="0F8AB879" w14:textId="77777777" w:rsidR="00195ED1" w:rsidRPr="006C06AD" w:rsidRDefault="00195ED1" w:rsidP="00C17775">
            <w:pPr>
              <w:jc w:val="both"/>
              <w:rPr>
                <w:b/>
                <w:sz w:val="20"/>
                <w:szCs w:val="20"/>
              </w:rPr>
            </w:pPr>
            <w:r w:rsidRPr="006C06AD">
              <w:rPr>
                <w:b/>
                <w:sz w:val="20"/>
                <w:szCs w:val="20"/>
              </w:rPr>
              <w:t>IDB</w:t>
            </w:r>
          </w:p>
        </w:tc>
        <w:tc>
          <w:tcPr>
            <w:tcW w:w="1870" w:type="dxa"/>
            <w:shd w:val="clear" w:color="auto" w:fill="BFBFBF" w:themeFill="background1" w:themeFillShade="BF"/>
          </w:tcPr>
          <w:p w14:paraId="57D3A1BE" w14:textId="77777777" w:rsidR="00195ED1" w:rsidRPr="006C06AD" w:rsidRDefault="00195ED1" w:rsidP="00C17775">
            <w:pPr>
              <w:jc w:val="both"/>
              <w:rPr>
                <w:b/>
                <w:sz w:val="20"/>
                <w:szCs w:val="20"/>
              </w:rPr>
            </w:pPr>
            <w:r w:rsidRPr="006C06AD">
              <w:rPr>
                <w:b/>
                <w:sz w:val="20"/>
                <w:szCs w:val="20"/>
              </w:rPr>
              <w:t>BICE</w:t>
            </w:r>
          </w:p>
        </w:tc>
        <w:tc>
          <w:tcPr>
            <w:tcW w:w="1870" w:type="dxa"/>
            <w:shd w:val="clear" w:color="auto" w:fill="BFBFBF" w:themeFill="background1" w:themeFillShade="BF"/>
          </w:tcPr>
          <w:p w14:paraId="6CF0E12B" w14:textId="77777777" w:rsidR="00195ED1" w:rsidRPr="006C06AD" w:rsidRDefault="001D7FE0" w:rsidP="00C17775">
            <w:pPr>
              <w:jc w:val="both"/>
              <w:rPr>
                <w:b/>
                <w:sz w:val="20"/>
                <w:szCs w:val="20"/>
              </w:rPr>
            </w:pPr>
            <w:r>
              <w:rPr>
                <w:b/>
                <w:sz w:val="20"/>
                <w:szCs w:val="20"/>
              </w:rPr>
              <w:t>L</w:t>
            </w:r>
            <w:r w:rsidR="00195ED1" w:rsidRPr="006C06AD">
              <w:rPr>
                <w:b/>
                <w:sz w:val="20"/>
                <w:szCs w:val="20"/>
              </w:rPr>
              <w:t>FI</w:t>
            </w:r>
          </w:p>
        </w:tc>
        <w:tc>
          <w:tcPr>
            <w:tcW w:w="1870" w:type="dxa"/>
            <w:shd w:val="clear" w:color="auto" w:fill="BFBFBF" w:themeFill="background1" w:themeFillShade="BF"/>
          </w:tcPr>
          <w:p w14:paraId="6FFB2515" w14:textId="2FF2BC24" w:rsidR="00195ED1" w:rsidRPr="006C06AD" w:rsidRDefault="00195ED1" w:rsidP="00C17775">
            <w:pPr>
              <w:jc w:val="both"/>
              <w:rPr>
                <w:b/>
                <w:sz w:val="20"/>
                <w:szCs w:val="20"/>
              </w:rPr>
            </w:pPr>
            <w:r w:rsidRPr="006C06AD">
              <w:rPr>
                <w:b/>
                <w:sz w:val="20"/>
                <w:szCs w:val="20"/>
              </w:rPr>
              <w:t>Sub-</w:t>
            </w:r>
            <w:r w:rsidR="001D7FE0">
              <w:rPr>
                <w:b/>
                <w:sz w:val="20"/>
                <w:szCs w:val="20"/>
              </w:rPr>
              <w:t>project proponent</w:t>
            </w:r>
          </w:p>
        </w:tc>
      </w:tr>
      <w:tr w:rsidR="00195ED1" w:rsidRPr="006C06AD" w14:paraId="692B3BF0" w14:textId="77777777" w:rsidTr="00DB02FE">
        <w:tc>
          <w:tcPr>
            <w:tcW w:w="1870" w:type="dxa"/>
          </w:tcPr>
          <w:p w14:paraId="424C31B4" w14:textId="77777777" w:rsidR="00195ED1" w:rsidRPr="006C06AD" w:rsidRDefault="00195ED1" w:rsidP="00C17775">
            <w:pPr>
              <w:jc w:val="both"/>
              <w:rPr>
                <w:sz w:val="20"/>
                <w:szCs w:val="20"/>
              </w:rPr>
            </w:pPr>
            <w:r w:rsidRPr="006C06AD">
              <w:rPr>
                <w:sz w:val="20"/>
                <w:szCs w:val="20"/>
              </w:rPr>
              <w:t>Compliance with Argentinian law</w:t>
            </w:r>
          </w:p>
        </w:tc>
        <w:tc>
          <w:tcPr>
            <w:tcW w:w="1870" w:type="dxa"/>
          </w:tcPr>
          <w:p w14:paraId="001B8D21" w14:textId="77777777" w:rsidR="00195ED1" w:rsidRPr="006C06AD" w:rsidRDefault="00195ED1" w:rsidP="00C17775">
            <w:pPr>
              <w:jc w:val="both"/>
              <w:rPr>
                <w:sz w:val="20"/>
                <w:szCs w:val="20"/>
              </w:rPr>
            </w:pPr>
          </w:p>
        </w:tc>
        <w:tc>
          <w:tcPr>
            <w:tcW w:w="1870" w:type="dxa"/>
            <w:shd w:val="clear" w:color="auto" w:fill="538135" w:themeFill="accent6" w:themeFillShade="BF"/>
          </w:tcPr>
          <w:p w14:paraId="3C01CA16" w14:textId="77777777" w:rsidR="00195ED1" w:rsidRPr="006C06AD" w:rsidRDefault="00195ED1">
            <w:pPr>
              <w:jc w:val="center"/>
              <w:rPr>
                <w:sz w:val="20"/>
                <w:szCs w:val="20"/>
              </w:rPr>
            </w:pPr>
            <w:r w:rsidRPr="006C06AD">
              <w:rPr>
                <w:sz w:val="20"/>
                <w:szCs w:val="20"/>
              </w:rPr>
              <w:t>x</w:t>
            </w:r>
          </w:p>
        </w:tc>
        <w:tc>
          <w:tcPr>
            <w:tcW w:w="1870" w:type="dxa"/>
            <w:shd w:val="clear" w:color="auto" w:fill="538135" w:themeFill="accent6" w:themeFillShade="BF"/>
          </w:tcPr>
          <w:p w14:paraId="2BB27015" w14:textId="77777777" w:rsidR="00195ED1" w:rsidRPr="006C06AD" w:rsidRDefault="00195ED1" w:rsidP="00C17775">
            <w:pPr>
              <w:jc w:val="both"/>
              <w:rPr>
                <w:sz w:val="20"/>
                <w:szCs w:val="20"/>
              </w:rPr>
            </w:pPr>
            <w:r w:rsidRPr="006C06AD">
              <w:rPr>
                <w:sz w:val="20"/>
                <w:szCs w:val="20"/>
              </w:rPr>
              <w:t>x</w:t>
            </w:r>
          </w:p>
        </w:tc>
        <w:tc>
          <w:tcPr>
            <w:tcW w:w="1870" w:type="dxa"/>
            <w:shd w:val="clear" w:color="auto" w:fill="538135" w:themeFill="accent6" w:themeFillShade="BF"/>
          </w:tcPr>
          <w:p w14:paraId="77829F6E" w14:textId="77777777" w:rsidR="00195ED1" w:rsidRPr="006C06AD" w:rsidRDefault="00195ED1" w:rsidP="00C17775">
            <w:pPr>
              <w:jc w:val="both"/>
              <w:rPr>
                <w:sz w:val="20"/>
                <w:szCs w:val="20"/>
              </w:rPr>
            </w:pPr>
            <w:r w:rsidRPr="006C06AD">
              <w:rPr>
                <w:sz w:val="20"/>
                <w:szCs w:val="20"/>
              </w:rPr>
              <w:t>x</w:t>
            </w:r>
          </w:p>
        </w:tc>
      </w:tr>
      <w:tr w:rsidR="00195ED1" w:rsidRPr="006C06AD" w14:paraId="30B40CB5" w14:textId="77777777" w:rsidTr="00DB02FE">
        <w:tc>
          <w:tcPr>
            <w:tcW w:w="1870" w:type="dxa"/>
          </w:tcPr>
          <w:p w14:paraId="3AA7657E" w14:textId="77777777" w:rsidR="00195ED1" w:rsidRPr="006C06AD" w:rsidRDefault="00195ED1" w:rsidP="00C17775">
            <w:pPr>
              <w:jc w:val="both"/>
              <w:rPr>
                <w:sz w:val="20"/>
                <w:szCs w:val="20"/>
              </w:rPr>
            </w:pPr>
            <w:r w:rsidRPr="006C06AD">
              <w:rPr>
                <w:sz w:val="20"/>
                <w:szCs w:val="20"/>
              </w:rPr>
              <w:t>Appoint an Environmental and Social Coordinator for the duration of the Project</w:t>
            </w:r>
          </w:p>
        </w:tc>
        <w:tc>
          <w:tcPr>
            <w:tcW w:w="1870" w:type="dxa"/>
          </w:tcPr>
          <w:p w14:paraId="42ED5D8D" w14:textId="77777777" w:rsidR="00195ED1" w:rsidRPr="006C06AD" w:rsidRDefault="00195ED1" w:rsidP="00C17775">
            <w:pPr>
              <w:jc w:val="both"/>
              <w:rPr>
                <w:sz w:val="20"/>
                <w:szCs w:val="20"/>
              </w:rPr>
            </w:pPr>
          </w:p>
        </w:tc>
        <w:tc>
          <w:tcPr>
            <w:tcW w:w="1870" w:type="dxa"/>
            <w:shd w:val="clear" w:color="auto" w:fill="538135" w:themeFill="accent6" w:themeFillShade="BF"/>
          </w:tcPr>
          <w:p w14:paraId="272ACEB4" w14:textId="77777777" w:rsidR="00195ED1" w:rsidRPr="006C06AD" w:rsidRDefault="00195ED1">
            <w:pPr>
              <w:jc w:val="center"/>
              <w:rPr>
                <w:sz w:val="20"/>
                <w:szCs w:val="20"/>
              </w:rPr>
            </w:pPr>
            <w:r w:rsidRPr="006C06AD">
              <w:rPr>
                <w:sz w:val="20"/>
                <w:szCs w:val="20"/>
              </w:rPr>
              <w:t>x</w:t>
            </w:r>
          </w:p>
        </w:tc>
        <w:tc>
          <w:tcPr>
            <w:tcW w:w="1870" w:type="dxa"/>
          </w:tcPr>
          <w:p w14:paraId="3048991F" w14:textId="77777777" w:rsidR="00195ED1" w:rsidRPr="006C06AD" w:rsidRDefault="00195ED1" w:rsidP="00C17775">
            <w:pPr>
              <w:jc w:val="both"/>
              <w:rPr>
                <w:sz w:val="20"/>
                <w:szCs w:val="20"/>
              </w:rPr>
            </w:pPr>
          </w:p>
        </w:tc>
        <w:tc>
          <w:tcPr>
            <w:tcW w:w="1870" w:type="dxa"/>
          </w:tcPr>
          <w:p w14:paraId="6C2709E8" w14:textId="77777777" w:rsidR="00195ED1" w:rsidRPr="006C06AD" w:rsidRDefault="00195ED1" w:rsidP="00C17775">
            <w:pPr>
              <w:jc w:val="both"/>
              <w:rPr>
                <w:sz w:val="20"/>
                <w:szCs w:val="20"/>
              </w:rPr>
            </w:pPr>
          </w:p>
        </w:tc>
      </w:tr>
      <w:tr w:rsidR="00195ED1" w:rsidRPr="006C06AD" w14:paraId="2FD181D0" w14:textId="77777777" w:rsidTr="00DB02FE">
        <w:tc>
          <w:tcPr>
            <w:tcW w:w="1870" w:type="dxa"/>
          </w:tcPr>
          <w:p w14:paraId="06584650" w14:textId="77777777" w:rsidR="00195ED1" w:rsidRPr="006C06AD" w:rsidRDefault="00195ED1" w:rsidP="00C17775">
            <w:pPr>
              <w:jc w:val="both"/>
              <w:rPr>
                <w:sz w:val="20"/>
                <w:szCs w:val="20"/>
              </w:rPr>
            </w:pPr>
            <w:r w:rsidRPr="006C06AD">
              <w:rPr>
                <w:sz w:val="20"/>
                <w:szCs w:val="20"/>
              </w:rPr>
              <w:t>Integrate the IDB exclusions list in the loan approval process</w:t>
            </w:r>
          </w:p>
        </w:tc>
        <w:tc>
          <w:tcPr>
            <w:tcW w:w="1870" w:type="dxa"/>
          </w:tcPr>
          <w:p w14:paraId="038E1447" w14:textId="77777777" w:rsidR="00195ED1" w:rsidRPr="006C06AD" w:rsidRDefault="00195ED1" w:rsidP="00C17775">
            <w:pPr>
              <w:jc w:val="both"/>
              <w:rPr>
                <w:sz w:val="20"/>
                <w:szCs w:val="20"/>
              </w:rPr>
            </w:pPr>
          </w:p>
        </w:tc>
        <w:tc>
          <w:tcPr>
            <w:tcW w:w="1870" w:type="dxa"/>
            <w:shd w:val="clear" w:color="auto" w:fill="538135" w:themeFill="accent6" w:themeFillShade="BF"/>
          </w:tcPr>
          <w:p w14:paraId="7CAC9785" w14:textId="77777777" w:rsidR="00195ED1" w:rsidRPr="006C06AD" w:rsidRDefault="00195ED1">
            <w:pPr>
              <w:jc w:val="center"/>
              <w:rPr>
                <w:sz w:val="20"/>
                <w:szCs w:val="20"/>
              </w:rPr>
            </w:pPr>
            <w:r w:rsidRPr="006C06AD">
              <w:rPr>
                <w:sz w:val="20"/>
                <w:szCs w:val="20"/>
              </w:rPr>
              <w:t>x</w:t>
            </w:r>
          </w:p>
        </w:tc>
        <w:tc>
          <w:tcPr>
            <w:tcW w:w="1870" w:type="dxa"/>
          </w:tcPr>
          <w:p w14:paraId="043DBE35" w14:textId="77777777" w:rsidR="00195ED1" w:rsidRPr="006C06AD" w:rsidRDefault="00195ED1" w:rsidP="00C17775">
            <w:pPr>
              <w:jc w:val="both"/>
              <w:rPr>
                <w:sz w:val="20"/>
                <w:szCs w:val="20"/>
              </w:rPr>
            </w:pPr>
          </w:p>
        </w:tc>
        <w:tc>
          <w:tcPr>
            <w:tcW w:w="1870" w:type="dxa"/>
          </w:tcPr>
          <w:p w14:paraId="4FB6B884" w14:textId="77777777" w:rsidR="00195ED1" w:rsidRPr="006C06AD" w:rsidRDefault="00195ED1" w:rsidP="00C17775">
            <w:pPr>
              <w:jc w:val="both"/>
              <w:rPr>
                <w:sz w:val="20"/>
                <w:szCs w:val="20"/>
              </w:rPr>
            </w:pPr>
          </w:p>
        </w:tc>
      </w:tr>
      <w:tr w:rsidR="00195ED1" w:rsidRPr="006C06AD" w14:paraId="74A6977C" w14:textId="77777777" w:rsidTr="00DB02FE">
        <w:tc>
          <w:tcPr>
            <w:tcW w:w="1870" w:type="dxa"/>
          </w:tcPr>
          <w:p w14:paraId="136DC495" w14:textId="77777777" w:rsidR="00195ED1" w:rsidRPr="006C06AD" w:rsidRDefault="00195ED1" w:rsidP="00C17775">
            <w:pPr>
              <w:jc w:val="both"/>
              <w:rPr>
                <w:sz w:val="20"/>
                <w:szCs w:val="20"/>
              </w:rPr>
            </w:pPr>
            <w:r w:rsidRPr="006C06AD">
              <w:rPr>
                <w:sz w:val="20"/>
                <w:szCs w:val="20"/>
              </w:rPr>
              <w:t>Development of Decommissioning and Disposal Protocol</w:t>
            </w:r>
          </w:p>
        </w:tc>
        <w:tc>
          <w:tcPr>
            <w:tcW w:w="1870" w:type="dxa"/>
          </w:tcPr>
          <w:p w14:paraId="751B4E8F" w14:textId="77777777" w:rsidR="00195ED1" w:rsidRPr="006C06AD" w:rsidRDefault="00195ED1" w:rsidP="00C17775">
            <w:pPr>
              <w:jc w:val="both"/>
              <w:rPr>
                <w:sz w:val="20"/>
                <w:szCs w:val="20"/>
              </w:rPr>
            </w:pPr>
          </w:p>
        </w:tc>
        <w:tc>
          <w:tcPr>
            <w:tcW w:w="1870" w:type="dxa"/>
            <w:shd w:val="clear" w:color="auto" w:fill="538135" w:themeFill="accent6" w:themeFillShade="BF"/>
          </w:tcPr>
          <w:p w14:paraId="33A1BA43" w14:textId="77777777" w:rsidR="00195ED1" w:rsidRPr="006C06AD" w:rsidRDefault="0057708E">
            <w:pPr>
              <w:jc w:val="center"/>
              <w:rPr>
                <w:sz w:val="20"/>
                <w:szCs w:val="20"/>
              </w:rPr>
            </w:pPr>
            <w:r>
              <w:rPr>
                <w:sz w:val="20"/>
                <w:szCs w:val="20"/>
              </w:rPr>
              <w:t xml:space="preserve">x (with </w:t>
            </w:r>
            <w:r w:rsidR="003429AE">
              <w:rPr>
                <w:sz w:val="20"/>
                <w:szCs w:val="20"/>
              </w:rPr>
              <w:t xml:space="preserve">the support of the </w:t>
            </w:r>
            <w:r>
              <w:rPr>
                <w:sz w:val="20"/>
                <w:szCs w:val="20"/>
              </w:rPr>
              <w:t>IDB and</w:t>
            </w:r>
            <w:r w:rsidR="003429AE">
              <w:rPr>
                <w:sz w:val="20"/>
                <w:szCs w:val="20"/>
              </w:rPr>
              <w:t xml:space="preserve">/or an external consultant contracted with resources from the Project) </w:t>
            </w:r>
          </w:p>
        </w:tc>
        <w:tc>
          <w:tcPr>
            <w:tcW w:w="1870" w:type="dxa"/>
          </w:tcPr>
          <w:p w14:paraId="5E736EFC" w14:textId="77777777" w:rsidR="00195ED1" w:rsidRPr="006C06AD" w:rsidRDefault="00195ED1" w:rsidP="00C17775">
            <w:pPr>
              <w:jc w:val="both"/>
              <w:rPr>
                <w:sz w:val="20"/>
                <w:szCs w:val="20"/>
              </w:rPr>
            </w:pPr>
          </w:p>
        </w:tc>
        <w:tc>
          <w:tcPr>
            <w:tcW w:w="1870" w:type="dxa"/>
          </w:tcPr>
          <w:p w14:paraId="0D75A0CD" w14:textId="77777777" w:rsidR="00195ED1" w:rsidRPr="006C06AD" w:rsidRDefault="00195ED1" w:rsidP="00C17775">
            <w:pPr>
              <w:jc w:val="both"/>
              <w:rPr>
                <w:sz w:val="20"/>
                <w:szCs w:val="20"/>
              </w:rPr>
            </w:pPr>
          </w:p>
        </w:tc>
      </w:tr>
      <w:tr w:rsidR="00195ED1" w:rsidRPr="006C06AD" w14:paraId="45899AA2" w14:textId="77777777" w:rsidTr="00DB02FE">
        <w:tc>
          <w:tcPr>
            <w:tcW w:w="1870" w:type="dxa"/>
          </w:tcPr>
          <w:p w14:paraId="360E6709" w14:textId="77777777" w:rsidR="00195ED1" w:rsidRPr="006C06AD" w:rsidRDefault="00195ED1" w:rsidP="00C17775">
            <w:pPr>
              <w:jc w:val="both"/>
              <w:rPr>
                <w:sz w:val="20"/>
                <w:szCs w:val="20"/>
              </w:rPr>
            </w:pPr>
            <w:r w:rsidRPr="006C06AD">
              <w:rPr>
                <w:sz w:val="20"/>
                <w:szCs w:val="20"/>
              </w:rPr>
              <w:t>Validation of Decommissioning and Disposal Protocol</w:t>
            </w:r>
          </w:p>
        </w:tc>
        <w:tc>
          <w:tcPr>
            <w:tcW w:w="1870" w:type="dxa"/>
            <w:shd w:val="clear" w:color="auto" w:fill="538135" w:themeFill="accent6" w:themeFillShade="BF"/>
          </w:tcPr>
          <w:p w14:paraId="619388D4" w14:textId="77777777" w:rsidR="00195ED1" w:rsidRPr="006C06AD" w:rsidRDefault="00195ED1" w:rsidP="00C17775">
            <w:pPr>
              <w:jc w:val="both"/>
              <w:rPr>
                <w:sz w:val="20"/>
                <w:szCs w:val="20"/>
              </w:rPr>
            </w:pPr>
            <w:r w:rsidRPr="006C06AD">
              <w:rPr>
                <w:sz w:val="20"/>
                <w:szCs w:val="20"/>
              </w:rPr>
              <w:t>x</w:t>
            </w:r>
          </w:p>
        </w:tc>
        <w:tc>
          <w:tcPr>
            <w:tcW w:w="1870" w:type="dxa"/>
          </w:tcPr>
          <w:p w14:paraId="73F50E92" w14:textId="77777777" w:rsidR="00195ED1" w:rsidRPr="006C06AD" w:rsidRDefault="00195ED1" w:rsidP="00C17775">
            <w:pPr>
              <w:jc w:val="both"/>
              <w:rPr>
                <w:sz w:val="20"/>
                <w:szCs w:val="20"/>
              </w:rPr>
            </w:pPr>
          </w:p>
        </w:tc>
        <w:tc>
          <w:tcPr>
            <w:tcW w:w="1870" w:type="dxa"/>
          </w:tcPr>
          <w:p w14:paraId="1B3CE3EA" w14:textId="77777777" w:rsidR="00195ED1" w:rsidRPr="006C06AD" w:rsidRDefault="00195ED1" w:rsidP="00C17775">
            <w:pPr>
              <w:jc w:val="both"/>
              <w:rPr>
                <w:sz w:val="20"/>
                <w:szCs w:val="20"/>
              </w:rPr>
            </w:pPr>
          </w:p>
        </w:tc>
        <w:tc>
          <w:tcPr>
            <w:tcW w:w="1870" w:type="dxa"/>
          </w:tcPr>
          <w:p w14:paraId="0A0038A4" w14:textId="77777777" w:rsidR="00195ED1" w:rsidRPr="006C06AD" w:rsidRDefault="00195ED1" w:rsidP="00C17775">
            <w:pPr>
              <w:jc w:val="both"/>
              <w:rPr>
                <w:sz w:val="20"/>
                <w:szCs w:val="20"/>
              </w:rPr>
            </w:pPr>
          </w:p>
        </w:tc>
      </w:tr>
      <w:tr w:rsidR="00195ED1" w:rsidRPr="006C06AD" w14:paraId="765C285B" w14:textId="77777777" w:rsidTr="00DB02FE">
        <w:tc>
          <w:tcPr>
            <w:tcW w:w="1870" w:type="dxa"/>
          </w:tcPr>
          <w:p w14:paraId="4AFE1563" w14:textId="77777777" w:rsidR="00195ED1" w:rsidRPr="006C06AD" w:rsidRDefault="00195ED1" w:rsidP="00C17775">
            <w:pPr>
              <w:jc w:val="both"/>
              <w:rPr>
                <w:sz w:val="20"/>
                <w:szCs w:val="20"/>
              </w:rPr>
            </w:pPr>
            <w:r w:rsidRPr="006C06AD">
              <w:rPr>
                <w:sz w:val="20"/>
                <w:szCs w:val="20"/>
              </w:rPr>
              <w:t>Application of Protocol</w:t>
            </w:r>
          </w:p>
        </w:tc>
        <w:tc>
          <w:tcPr>
            <w:tcW w:w="1870" w:type="dxa"/>
          </w:tcPr>
          <w:p w14:paraId="10875D52" w14:textId="77777777" w:rsidR="00195ED1" w:rsidRPr="006C06AD" w:rsidRDefault="00195ED1" w:rsidP="00C17775">
            <w:pPr>
              <w:jc w:val="both"/>
              <w:rPr>
                <w:sz w:val="20"/>
                <w:szCs w:val="20"/>
              </w:rPr>
            </w:pPr>
          </w:p>
        </w:tc>
        <w:tc>
          <w:tcPr>
            <w:tcW w:w="5610" w:type="dxa"/>
            <w:gridSpan w:val="3"/>
          </w:tcPr>
          <w:p w14:paraId="3413CAE9" w14:textId="77777777" w:rsidR="00195ED1" w:rsidRPr="006C06AD" w:rsidRDefault="00195ED1" w:rsidP="00C17775">
            <w:pPr>
              <w:jc w:val="both"/>
              <w:rPr>
                <w:sz w:val="20"/>
                <w:szCs w:val="20"/>
              </w:rPr>
            </w:pPr>
            <w:r w:rsidRPr="006C06AD">
              <w:rPr>
                <w:sz w:val="20"/>
                <w:szCs w:val="20"/>
              </w:rPr>
              <w:t>To be determined</w:t>
            </w:r>
          </w:p>
        </w:tc>
      </w:tr>
      <w:tr w:rsidR="00195ED1" w:rsidRPr="006C06AD" w14:paraId="742E0574" w14:textId="77777777" w:rsidTr="00DB02FE">
        <w:tc>
          <w:tcPr>
            <w:tcW w:w="1870" w:type="dxa"/>
          </w:tcPr>
          <w:p w14:paraId="4885117C" w14:textId="77777777" w:rsidR="00195ED1" w:rsidRPr="006C06AD" w:rsidRDefault="00195ED1" w:rsidP="00C17775">
            <w:pPr>
              <w:jc w:val="both"/>
              <w:rPr>
                <w:sz w:val="20"/>
                <w:szCs w:val="20"/>
              </w:rPr>
            </w:pPr>
            <w:r w:rsidRPr="006C06AD">
              <w:rPr>
                <w:sz w:val="20"/>
                <w:szCs w:val="20"/>
              </w:rPr>
              <w:t>Screening of sub project vs. exclusion list</w:t>
            </w:r>
          </w:p>
        </w:tc>
        <w:tc>
          <w:tcPr>
            <w:tcW w:w="1870" w:type="dxa"/>
          </w:tcPr>
          <w:p w14:paraId="33FCA793" w14:textId="77777777" w:rsidR="00195ED1" w:rsidRPr="006C06AD" w:rsidRDefault="00195ED1" w:rsidP="00C17775">
            <w:pPr>
              <w:jc w:val="both"/>
              <w:rPr>
                <w:sz w:val="20"/>
                <w:szCs w:val="20"/>
              </w:rPr>
            </w:pPr>
          </w:p>
        </w:tc>
        <w:tc>
          <w:tcPr>
            <w:tcW w:w="1870" w:type="dxa"/>
          </w:tcPr>
          <w:p w14:paraId="7EB590F5" w14:textId="77777777" w:rsidR="00195ED1" w:rsidRPr="006C06AD" w:rsidRDefault="00195ED1" w:rsidP="00C17775">
            <w:pPr>
              <w:jc w:val="both"/>
              <w:rPr>
                <w:sz w:val="20"/>
                <w:szCs w:val="20"/>
              </w:rPr>
            </w:pPr>
          </w:p>
        </w:tc>
        <w:tc>
          <w:tcPr>
            <w:tcW w:w="1870" w:type="dxa"/>
            <w:shd w:val="clear" w:color="auto" w:fill="538135" w:themeFill="accent6" w:themeFillShade="BF"/>
          </w:tcPr>
          <w:p w14:paraId="1687100D" w14:textId="77777777" w:rsidR="00195ED1" w:rsidRPr="006C06AD" w:rsidRDefault="00195ED1" w:rsidP="00C17775">
            <w:pPr>
              <w:jc w:val="both"/>
              <w:rPr>
                <w:sz w:val="20"/>
                <w:szCs w:val="20"/>
              </w:rPr>
            </w:pPr>
            <w:r w:rsidRPr="006C06AD">
              <w:rPr>
                <w:sz w:val="20"/>
                <w:szCs w:val="20"/>
              </w:rPr>
              <w:t>x</w:t>
            </w:r>
          </w:p>
        </w:tc>
        <w:tc>
          <w:tcPr>
            <w:tcW w:w="1870" w:type="dxa"/>
          </w:tcPr>
          <w:p w14:paraId="567F7EBD" w14:textId="77777777" w:rsidR="00195ED1" w:rsidRPr="006C06AD" w:rsidRDefault="00195ED1" w:rsidP="00C17775">
            <w:pPr>
              <w:jc w:val="both"/>
              <w:rPr>
                <w:sz w:val="20"/>
                <w:szCs w:val="20"/>
              </w:rPr>
            </w:pPr>
          </w:p>
        </w:tc>
      </w:tr>
      <w:tr w:rsidR="00195ED1" w:rsidRPr="006C06AD" w14:paraId="7FFA7531" w14:textId="77777777" w:rsidTr="00DB02FE">
        <w:tc>
          <w:tcPr>
            <w:tcW w:w="1870" w:type="dxa"/>
          </w:tcPr>
          <w:p w14:paraId="24942974" w14:textId="77777777" w:rsidR="00195ED1" w:rsidRPr="006C06AD" w:rsidRDefault="00195ED1" w:rsidP="00C17775">
            <w:pPr>
              <w:jc w:val="both"/>
              <w:rPr>
                <w:sz w:val="20"/>
                <w:szCs w:val="20"/>
              </w:rPr>
            </w:pPr>
            <w:r w:rsidRPr="006C06AD">
              <w:rPr>
                <w:sz w:val="20"/>
                <w:szCs w:val="20"/>
              </w:rPr>
              <w:t>Screening of sub-projects versus eligibility criteria</w:t>
            </w:r>
          </w:p>
        </w:tc>
        <w:tc>
          <w:tcPr>
            <w:tcW w:w="1870" w:type="dxa"/>
          </w:tcPr>
          <w:p w14:paraId="630719C9" w14:textId="77777777" w:rsidR="00195ED1" w:rsidRPr="006C06AD" w:rsidRDefault="00195ED1" w:rsidP="00C17775">
            <w:pPr>
              <w:jc w:val="both"/>
              <w:rPr>
                <w:sz w:val="20"/>
                <w:szCs w:val="20"/>
              </w:rPr>
            </w:pPr>
          </w:p>
        </w:tc>
        <w:tc>
          <w:tcPr>
            <w:tcW w:w="1870" w:type="dxa"/>
          </w:tcPr>
          <w:p w14:paraId="22751B46" w14:textId="77777777" w:rsidR="00195ED1" w:rsidRPr="006C06AD" w:rsidRDefault="00195ED1" w:rsidP="00C17775">
            <w:pPr>
              <w:jc w:val="both"/>
              <w:rPr>
                <w:sz w:val="20"/>
                <w:szCs w:val="20"/>
              </w:rPr>
            </w:pPr>
          </w:p>
        </w:tc>
        <w:tc>
          <w:tcPr>
            <w:tcW w:w="1870" w:type="dxa"/>
            <w:shd w:val="clear" w:color="auto" w:fill="538135" w:themeFill="accent6" w:themeFillShade="BF"/>
          </w:tcPr>
          <w:p w14:paraId="01A40B73" w14:textId="77777777" w:rsidR="00195ED1" w:rsidRPr="006C06AD" w:rsidRDefault="00195ED1" w:rsidP="00C17775">
            <w:pPr>
              <w:jc w:val="both"/>
              <w:rPr>
                <w:sz w:val="20"/>
                <w:szCs w:val="20"/>
              </w:rPr>
            </w:pPr>
            <w:r w:rsidRPr="006C06AD">
              <w:rPr>
                <w:sz w:val="20"/>
                <w:szCs w:val="20"/>
              </w:rPr>
              <w:t>x</w:t>
            </w:r>
          </w:p>
        </w:tc>
        <w:tc>
          <w:tcPr>
            <w:tcW w:w="1870" w:type="dxa"/>
          </w:tcPr>
          <w:p w14:paraId="0D57E50A" w14:textId="77777777" w:rsidR="00195ED1" w:rsidRPr="006C06AD" w:rsidRDefault="00195ED1" w:rsidP="00C17775">
            <w:pPr>
              <w:jc w:val="both"/>
              <w:rPr>
                <w:sz w:val="20"/>
                <w:szCs w:val="20"/>
              </w:rPr>
            </w:pPr>
          </w:p>
        </w:tc>
      </w:tr>
      <w:tr w:rsidR="003429AE" w:rsidRPr="006C06AD" w14:paraId="7A463C04" w14:textId="77777777" w:rsidTr="00DB02FE">
        <w:tc>
          <w:tcPr>
            <w:tcW w:w="1870" w:type="dxa"/>
          </w:tcPr>
          <w:p w14:paraId="466EC5DC" w14:textId="77777777" w:rsidR="003429AE" w:rsidRPr="006C06AD" w:rsidRDefault="003429AE" w:rsidP="00C17775">
            <w:pPr>
              <w:jc w:val="both"/>
              <w:rPr>
                <w:sz w:val="20"/>
                <w:szCs w:val="20"/>
              </w:rPr>
            </w:pPr>
            <w:r w:rsidRPr="006C06AD">
              <w:rPr>
                <w:sz w:val="20"/>
                <w:szCs w:val="20"/>
              </w:rPr>
              <w:t xml:space="preserve">Development of classification tool for co-generation projects </w:t>
            </w:r>
          </w:p>
        </w:tc>
        <w:tc>
          <w:tcPr>
            <w:tcW w:w="1870" w:type="dxa"/>
          </w:tcPr>
          <w:p w14:paraId="22A95E1E" w14:textId="77777777" w:rsidR="003429AE" w:rsidRPr="006C06AD" w:rsidRDefault="003429AE" w:rsidP="00C17775">
            <w:pPr>
              <w:jc w:val="both"/>
              <w:rPr>
                <w:sz w:val="20"/>
                <w:szCs w:val="20"/>
              </w:rPr>
            </w:pPr>
          </w:p>
        </w:tc>
        <w:tc>
          <w:tcPr>
            <w:tcW w:w="1870" w:type="dxa"/>
            <w:shd w:val="clear" w:color="auto" w:fill="538135" w:themeFill="accent6" w:themeFillShade="BF"/>
          </w:tcPr>
          <w:p w14:paraId="568C6C87" w14:textId="77777777" w:rsidR="003429AE" w:rsidRPr="006C06AD" w:rsidRDefault="003429AE" w:rsidP="00C17775">
            <w:pPr>
              <w:jc w:val="both"/>
              <w:rPr>
                <w:sz w:val="20"/>
                <w:szCs w:val="20"/>
              </w:rPr>
            </w:pPr>
            <w:r>
              <w:rPr>
                <w:sz w:val="20"/>
                <w:szCs w:val="20"/>
              </w:rPr>
              <w:t xml:space="preserve">x (with the support of the IDB and/or an external consultant contracted with resources from the Project) </w:t>
            </w:r>
          </w:p>
        </w:tc>
        <w:tc>
          <w:tcPr>
            <w:tcW w:w="1870" w:type="dxa"/>
          </w:tcPr>
          <w:p w14:paraId="642C69C2" w14:textId="77777777" w:rsidR="003429AE" w:rsidRPr="006C06AD" w:rsidRDefault="003429AE" w:rsidP="00C17775">
            <w:pPr>
              <w:jc w:val="both"/>
              <w:rPr>
                <w:sz w:val="20"/>
                <w:szCs w:val="20"/>
              </w:rPr>
            </w:pPr>
          </w:p>
        </w:tc>
        <w:tc>
          <w:tcPr>
            <w:tcW w:w="1870" w:type="dxa"/>
          </w:tcPr>
          <w:p w14:paraId="16E214D7" w14:textId="77777777" w:rsidR="003429AE" w:rsidRPr="006C06AD" w:rsidRDefault="003429AE" w:rsidP="00C17775">
            <w:pPr>
              <w:jc w:val="both"/>
              <w:rPr>
                <w:sz w:val="20"/>
                <w:szCs w:val="20"/>
              </w:rPr>
            </w:pPr>
          </w:p>
        </w:tc>
      </w:tr>
      <w:tr w:rsidR="003429AE" w:rsidRPr="006C06AD" w14:paraId="6A80A7A3" w14:textId="77777777" w:rsidTr="00DB02FE">
        <w:tc>
          <w:tcPr>
            <w:tcW w:w="1870" w:type="dxa"/>
          </w:tcPr>
          <w:p w14:paraId="73796354" w14:textId="77777777" w:rsidR="003429AE" w:rsidRPr="006C06AD" w:rsidRDefault="003429AE" w:rsidP="00C17775">
            <w:pPr>
              <w:jc w:val="both"/>
              <w:rPr>
                <w:sz w:val="20"/>
                <w:szCs w:val="20"/>
              </w:rPr>
            </w:pPr>
            <w:r w:rsidRPr="006C06AD">
              <w:rPr>
                <w:sz w:val="20"/>
                <w:szCs w:val="20"/>
              </w:rPr>
              <w:t>Validation of classification tool for co-generation projects</w:t>
            </w:r>
          </w:p>
        </w:tc>
        <w:tc>
          <w:tcPr>
            <w:tcW w:w="1870" w:type="dxa"/>
            <w:shd w:val="clear" w:color="auto" w:fill="538135" w:themeFill="accent6" w:themeFillShade="BF"/>
          </w:tcPr>
          <w:p w14:paraId="12E493B7" w14:textId="77777777" w:rsidR="003429AE" w:rsidRPr="006C06AD" w:rsidRDefault="003429AE" w:rsidP="00C17775">
            <w:pPr>
              <w:jc w:val="both"/>
              <w:rPr>
                <w:sz w:val="20"/>
                <w:szCs w:val="20"/>
              </w:rPr>
            </w:pPr>
            <w:r w:rsidRPr="006C06AD">
              <w:rPr>
                <w:sz w:val="20"/>
                <w:szCs w:val="20"/>
              </w:rPr>
              <w:t>x</w:t>
            </w:r>
          </w:p>
        </w:tc>
        <w:tc>
          <w:tcPr>
            <w:tcW w:w="1870" w:type="dxa"/>
          </w:tcPr>
          <w:p w14:paraId="6603933E" w14:textId="77777777" w:rsidR="003429AE" w:rsidRPr="006C06AD" w:rsidRDefault="003429AE" w:rsidP="00C17775">
            <w:pPr>
              <w:jc w:val="both"/>
              <w:rPr>
                <w:sz w:val="20"/>
                <w:szCs w:val="20"/>
              </w:rPr>
            </w:pPr>
          </w:p>
        </w:tc>
        <w:tc>
          <w:tcPr>
            <w:tcW w:w="1870" w:type="dxa"/>
          </w:tcPr>
          <w:p w14:paraId="3234A178" w14:textId="77777777" w:rsidR="003429AE" w:rsidRPr="006C06AD" w:rsidRDefault="003429AE" w:rsidP="00C17775">
            <w:pPr>
              <w:jc w:val="both"/>
              <w:rPr>
                <w:sz w:val="20"/>
                <w:szCs w:val="20"/>
              </w:rPr>
            </w:pPr>
          </w:p>
        </w:tc>
        <w:tc>
          <w:tcPr>
            <w:tcW w:w="1870" w:type="dxa"/>
          </w:tcPr>
          <w:p w14:paraId="28233A4F" w14:textId="77777777" w:rsidR="003429AE" w:rsidRPr="006C06AD" w:rsidRDefault="003429AE" w:rsidP="00C17775">
            <w:pPr>
              <w:jc w:val="both"/>
              <w:rPr>
                <w:sz w:val="20"/>
                <w:szCs w:val="20"/>
              </w:rPr>
            </w:pPr>
          </w:p>
        </w:tc>
      </w:tr>
      <w:tr w:rsidR="003429AE" w:rsidRPr="006C06AD" w14:paraId="200EB046" w14:textId="77777777" w:rsidTr="00DB02FE">
        <w:tc>
          <w:tcPr>
            <w:tcW w:w="1870" w:type="dxa"/>
          </w:tcPr>
          <w:p w14:paraId="64AC083B" w14:textId="77777777" w:rsidR="003429AE" w:rsidRPr="006C06AD" w:rsidRDefault="003429AE" w:rsidP="00C17775">
            <w:pPr>
              <w:jc w:val="both"/>
              <w:rPr>
                <w:sz w:val="20"/>
                <w:szCs w:val="20"/>
              </w:rPr>
            </w:pPr>
            <w:r w:rsidRPr="006C06AD">
              <w:rPr>
                <w:sz w:val="20"/>
                <w:szCs w:val="20"/>
              </w:rPr>
              <w:t>Application of classification tool for co-generation projects</w:t>
            </w:r>
          </w:p>
        </w:tc>
        <w:tc>
          <w:tcPr>
            <w:tcW w:w="1870" w:type="dxa"/>
          </w:tcPr>
          <w:p w14:paraId="36C4AE7A" w14:textId="77777777" w:rsidR="003429AE" w:rsidRPr="006C06AD" w:rsidRDefault="003429AE" w:rsidP="00C17775">
            <w:pPr>
              <w:jc w:val="both"/>
              <w:rPr>
                <w:sz w:val="20"/>
                <w:szCs w:val="20"/>
              </w:rPr>
            </w:pPr>
          </w:p>
        </w:tc>
        <w:tc>
          <w:tcPr>
            <w:tcW w:w="1870" w:type="dxa"/>
            <w:shd w:val="clear" w:color="auto" w:fill="538135" w:themeFill="accent6" w:themeFillShade="BF"/>
          </w:tcPr>
          <w:p w14:paraId="32665F81" w14:textId="77777777" w:rsidR="003429AE" w:rsidRPr="006C06AD" w:rsidRDefault="003429AE" w:rsidP="00C17775">
            <w:pPr>
              <w:jc w:val="both"/>
              <w:rPr>
                <w:sz w:val="20"/>
                <w:szCs w:val="20"/>
              </w:rPr>
            </w:pPr>
            <w:r w:rsidRPr="006C06AD">
              <w:rPr>
                <w:sz w:val="20"/>
                <w:szCs w:val="20"/>
              </w:rPr>
              <w:t>X</w:t>
            </w:r>
          </w:p>
        </w:tc>
        <w:tc>
          <w:tcPr>
            <w:tcW w:w="1870" w:type="dxa"/>
          </w:tcPr>
          <w:p w14:paraId="1C6AA1E5" w14:textId="77777777" w:rsidR="003429AE" w:rsidRPr="006C06AD" w:rsidRDefault="003429AE" w:rsidP="00C17775">
            <w:pPr>
              <w:jc w:val="both"/>
              <w:rPr>
                <w:sz w:val="20"/>
                <w:szCs w:val="20"/>
              </w:rPr>
            </w:pPr>
          </w:p>
        </w:tc>
        <w:tc>
          <w:tcPr>
            <w:tcW w:w="1870" w:type="dxa"/>
          </w:tcPr>
          <w:p w14:paraId="41D1935A" w14:textId="77777777" w:rsidR="003429AE" w:rsidRPr="006C06AD" w:rsidRDefault="003429AE" w:rsidP="00C17775">
            <w:pPr>
              <w:jc w:val="both"/>
              <w:rPr>
                <w:sz w:val="20"/>
                <w:szCs w:val="20"/>
              </w:rPr>
            </w:pPr>
          </w:p>
        </w:tc>
      </w:tr>
      <w:tr w:rsidR="003429AE" w:rsidRPr="006C06AD" w14:paraId="5216FF5C" w14:textId="77777777" w:rsidTr="00DB02FE">
        <w:tc>
          <w:tcPr>
            <w:tcW w:w="1870" w:type="dxa"/>
          </w:tcPr>
          <w:p w14:paraId="6E8D3954" w14:textId="77777777" w:rsidR="003429AE" w:rsidRPr="006C06AD" w:rsidRDefault="003429AE" w:rsidP="00C17775">
            <w:pPr>
              <w:jc w:val="both"/>
              <w:rPr>
                <w:sz w:val="20"/>
                <w:szCs w:val="20"/>
              </w:rPr>
            </w:pPr>
            <w:r w:rsidRPr="006C06AD">
              <w:rPr>
                <w:sz w:val="20"/>
                <w:szCs w:val="20"/>
              </w:rPr>
              <w:lastRenderedPageBreak/>
              <w:t>B category cogeneration projects assessment and management</w:t>
            </w:r>
          </w:p>
        </w:tc>
        <w:tc>
          <w:tcPr>
            <w:tcW w:w="1870" w:type="dxa"/>
            <w:shd w:val="clear" w:color="auto" w:fill="538135" w:themeFill="accent6" w:themeFillShade="BF"/>
          </w:tcPr>
          <w:p w14:paraId="3ADD4BCB" w14:textId="77777777" w:rsidR="003429AE" w:rsidRPr="006C06AD" w:rsidRDefault="003429AE" w:rsidP="00C17775">
            <w:pPr>
              <w:jc w:val="both"/>
              <w:rPr>
                <w:sz w:val="20"/>
                <w:szCs w:val="20"/>
              </w:rPr>
            </w:pPr>
            <w:r w:rsidRPr="006C06AD">
              <w:rPr>
                <w:sz w:val="20"/>
                <w:szCs w:val="20"/>
              </w:rPr>
              <w:t>Non-objection for first 3</w:t>
            </w:r>
          </w:p>
        </w:tc>
        <w:tc>
          <w:tcPr>
            <w:tcW w:w="1870" w:type="dxa"/>
            <w:shd w:val="clear" w:color="auto" w:fill="538135" w:themeFill="accent6" w:themeFillShade="BF"/>
          </w:tcPr>
          <w:p w14:paraId="56B18363" w14:textId="77777777" w:rsidR="003429AE" w:rsidRPr="006C06AD" w:rsidRDefault="003429AE" w:rsidP="00C17775">
            <w:pPr>
              <w:jc w:val="both"/>
              <w:rPr>
                <w:sz w:val="20"/>
                <w:szCs w:val="20"/>
              </w:rPr>
            </w:pPr>
            <w:r w:rsidRPr="006C06AD">
              <w:rPr>
                <w:sz w:val="20"/>
                <w:szCs w:val="20"/>
              </w:rPr>
              <w:t>(with the help of an external consultant contracted with resources from Component 1.)</w:t>
            </w:r>
          </w:p>
        </w:tc>
        <w:tc>
          <w:tcPr>
            <w:tcW w:w="1870" w:type="dxa"/>
          </w:tcPr>
          <w:p w14:paraId="730A423B" w14:textId="77777777" w:rsidR="003429AE" w:rsidRPr="006C06AD" w:rsidRDefault="003429AE" w:rsidP="00C17775">
            <w:pPr>
              <w:jc w:val="both"/>
              <w:rPr>
                <w:sz w:val="20"/>
                <w:szCs w:val="20"/>
              </w:rPr>
            </w:pPr>
          </w:p>
        </w:tc>
        <w:tc>
          <w:tcPr>
            <w:tcW w:w="1870" w:type="dxa"/>
          </w:tcPr>
          <w:p w14:paraId="6B9BC665" w14:textId="77777777" w:rsidR="003429AE" w:rsidRPr="006C06AD" w:rsidRDefault="003429AE" w:rsidP="00C17775">
            <w:pPr>
              <w:jc w:val="both"/>
              <w:rPr>
                <w:sz w:val="20"/>
                <w:szCs w:val="20"/>
              </w:rPr>
            </w:pPr>
          </w:p>
        </w:tc>
      </w:tr>
      <w:tr w:rsidR="003429AE" w:rsidRPr="006C06AD" w14:paraId="6735C86A" w14:textId="77777777" w:rsidTr="00DB02FE">
        <w:tc>
          <w:tcPr>
            <w:tcW w:w="1870" w:type="dxa"/>
          </w:tcPr>
          <w:p w14:paraId="574F5133" w14:textId="77777777" w:rsidR="003429AE" w:rsidRPr="006C06AD" w:rsidRDefault="003429AE" w:rsidP="00C17775">
            <w:pPr>
              <w:jc w:val="both"/>
              <w:rPr>
                <w:sz w:val="20"/>
                <w:szCs w:val="20"/>
              </w:rPr>
            </w:pPr>
            <w:r w:rsidRPr="006C06AD">
              <w:rPr>
                <w:sz w:val="20"/>
                <w:szCs w:val="20"/>
              </w:rPr>
              <w:t xml:space="preserve">Supervision </w:t>
            </w:r>
          </w:p>
        </w:tc>
        <w:tc>
          <w:tcPr>
            <w:tcW w:w="1870" w:type="dxa"/>
            <w:shd w:val="clear" w:color="auto" w:fill="538135" w:themeFill="accent6" w:themeFillShade="BF"/>
          </w:tcPr>
          <w:p w14:paraId="18EAF722" w14:textId="77777777" w:rsidR="003429AE" w:rsidRPr="006C06AD" w:rsidRDefault="003429AE" w:rsidP="00C17775">
            <w:pPr>
              <w:jc w:val="both"/>
              <w:rPr>
                <w:sz w:val="20"/>
                <w:szCs w:val="20"/>
              </w:rPr>
            </w:pPr>
          </w:p>
          <w:p w14:paraId="09179285" w14:textId="77777777" w:rsidR="003429AE" w:rsidRPr="006C06AD" w:rsidRDefault="003429AE" w:rsidP="00C17775">
            <w:pPr>
              <w:jc w:val="both"/>
              <w:rPr>
                <w:sz w:val="20"/>
                <w:szCs w:val="20"/>
              </w:rPr>
            </w:pPr>
            <w:r w:rsidRPr="006C06AD">
              <w:rPr>
                <w:sz w:val="20"/>
                <w:szCs w:val="20"/>
              </w:rPr>
              <w:t>Supervision of executing agency as per IDB safeguards and processes</w:t>
            </w:r>
          </w:p>
        </w:tc>
        <w:tc>
          <w:tcPr>
            <w:tcW w:w="1870" w:type="dxa"/>
            <w:shd w:val="clear" w:color="auto" w:fill="538135" w:themeFill="accent6" w:themeFillShade="BF"/>
          </w:tcPr>
          <w:p w14:paraId="685CB083" w14:textId="77777777" w:rsidR="003429AE" w:rsidRPr="006C06AD" w:rsidRDefault="003429AE" w:rsidP="00C17775">
            <w:pPr>
              <w:jc w:val="both"/>
              <w:rPr>
                <w:sz w:val="20"/>
                <w:szCs w:val="20"/>
              </w:rPr>
            </w:pPr>
          </w:p>
          <w:p w14:paraId="46EC7445" w14:textId="77777777" w:rsidR="003429AE" w:rsidRPr="006C06AD" w:rsidRDefault="003429AE" w:rsidP="00C17775">
            <w:pPr>
              <w:jc w:val="both"/>
              <w:rPr>
                <w:sz w:val="20"/>
                <w:szCs w:val="20"/>
              </w:rPr>
            </w:pPr>
            <w:r w:rsidRPr="006C06AD">
              <w:rPr>
                <w:sz w:val="20"/>
                <w:szCs w:val="20"/>
              </w:rPr>
              <w:t>On-site visits for sub-projects above USD 1m</w:t>
            </w:r>
          </w:p>
          <w:p w14:paraId="78355D5F" w14:textId="77777777" w:rsidR="003429AE" w:rsidRPr="006C06AD" w:rsidRDefault="003429AE" w:rsidP="00C17775">
            <w:pPr>
              <w:jc w:val="both"/>
              <w:rPr>
                <w:sz w:val="20"/>
                <w:szCs w:val="20"/>
              </w:rPr>
            </w:pPr>
            <w:r w:rsidRPr="006C06AD">
              <w:rPr>
                <w:sz w:val="20"/>
                <w:szCs w:val="20"/>
              </w:rPr>
              <w:t xml:space="preserve">Supervision of </w:t>
            </w:r>
            <w:r>
              <w:rPr>
                <w:sz w:val="20"/>
                <w:szCs w:val="20"/>
              </w:rPr>
              <w:t>L</w:t>
            </w:r>
            <w:r w:rsidRPr="006C06AD">
              <w:rPr>
                <w:sz w:val="20"/>
                <w:szCs w:val="20"/>
              </w:rPr>
              <w:t xml:space="preserve">FIs as per </w:t>
            </w:r>
            <w:r>
              <w:rPr>
                <w:sz w:val="20"/>
                <w:szCs w:val="20"/>
              </w:rPr>
              <w:t>BICE</w:t>
            </w:r>
            <w:r w:rsidRPr="006C06AD">
              <w:rPr>
                <w:sz w:val="20"/>
                <w:szCs w:val="20"/>
              </w:rPr>
              <w:t xml:space="preserve"> own policies and processes</w:t>
            </w:r>
          </w:p>
          <w:p w14:paraId="324BEB57" w14:textId="77777777" w:rsidR="003429AE" w:rsidRPr="006C06AD" w:rsidRDefault="003429AE" w:rsidP="00C17775">
            <w:pPr>
              <w:jc w:val="both"/>
              <w:rPr>
                <w:sz w:val="20"/>
                <w:szCs w:val="20"/>
              </w:rPr>
            </w:pPr>
            <w:r w:rsidRPr="006C06AD">
              <w:rPr>
                <w:sz w:val="20"/>
                <w:szCs w:val="20"/>
              </w:rPr>
              <w:t>environmental and social reporting to IDB</w:t>
            </w:r>
          </w:p>
        </w:tc>
        <w:tc>
          <w:tcPr>
            <w:tcW w:w="1870" w:type="dxa"/>
            <w:shd w:val="clear" w:color="auto" w:fill="538135" w:themeFill="accent6" w:themeFillShade="BF"/>
          </w:tcPr>
          <w:p w14:paraId="25903CC0" w14:textId="77777777" w:rsidR="003429AE" w:rsidRPr="006C06AD" w:rsidRDefault="003429AE" w:rsidP="00C17775">
            <w:pPr>
              <w:jc w:val="both"/>
              <w:rPr>
                <w:sz w:val="20"/>
                <w:szCs w:val="20"/>
              </w:rPr>
            </w:pPr>
          </w:p>
          <w:p w14:paraId="29776AEB" w14:textId="77777777" w:rsidR="003429AE" w:rsidRPr="006C06AD" w:rsidRDefault="003429AE" w:rsidP="00C17775">
            <w:pPr>
              <w:jc w:val="both"/>
              <w:rPr>
                <w:sz w:val="20"/>
                <w:szCs w:val="20"/>
              </w:rPr>
            </w:pPr>
            <w:r w:rsidRPr="006C06AD">
              <w:rPr>
                <w:sz w:val="20"/>
                <w:szCs w:val="20"/>
              </w:rPr>
              <w:t>Supervision of sub-borrowers as per FI own policies and processes</w:t>
            </w:r>
          </w:p>
        </w:tc>
        <w:tc>
          <w:tcPr>
            <w:tcW w:w="1870" w:type="dxa"/>
          </w:tcPr>
          <w:p w14:paraId="654D72B0" w14:textId="77777777" w:rsidR="003429AE" w:rsidRPr="006C06AD" w:rsidRDefault="003429AE" w:rsidP="00C17775">
            <w:pPr>
              <w:jc w:val="both"/>
              <w:rPr>
                <w:sz w:val="20"/>
                <w:szCs w:val="20"/>
              </w:rPr>
            </w:pPr>
          </w:p>
        </w:tc>
      </w:tr>
    </w:tbl>
    <w:p w14:paraId="15567BBA" w14:textId="77777777" w:rsidR="00195ED1" w:rsidRPr="006C06AD" w:rsidRDefault="00195ED1" w:rsidP="00C17775">
      <w:pPr>
        <w:spacing w:line="276" w:lineRule="auto"/>
        <w:jc w:val="both"/>
        <w:rPr>
          <w:rFonts w:eastAsiaTheme="majorEastAsia" w:cstheme="majorBidi"/>
          <w:color w:val="2E74B5" w:themeColor="accent1" w:themeShade="BF"/>
          <w:sz w:val="20"/>
          <w:szCs w:val="20"/>
        </w:rPr>
      </w:pPr>
    </w:p>
    <w:p w14:paraId="31D553A8" w14:textId="77777777" w:rsidR="004F379B" w:rsidRPr="006C06AD" w:rsidRDefault="004F379B" w:rsidP="00C17775">
      <w:pPr>
        <w:spacing w:before="100" w:beforeAutospacing="1" w:after="100" w:afterAutospacing="1" w:line="276" w:lineRule="auto"/>
        <w:ind w:left="360"/>
        <w:jc w:val="both"/>
        <w:rPr>
          <w:rFonts w:cs="Arial"/>
          <w:color w:val="000000"/>
          <w:sz w:val="20"/>
          <w:szCs w:val="20"/>
        </w:rPr>
      </w:pPr>
    </w:p>
    <w:sectPr w:rsidR="004F379B" w:rsidRPr="006C0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3E70" w14:textId="77777777" w:rsidR="005C3E79" w:rsidRDefault="005C3E79" w:rsidP="001D5124">
      <w:pPr>
        <w:spacing w:after="0" w:line="240" w:lineRule="auto"/>
      </w:pPr>
      <w:r>
        <w:separator/>
      </w:r>
    </w:p>
  </w:endnote>
  <w:endnote w:type="continuationSeparator" w:id="0">
    <w:p w14:paraId="3ACCB8FC" w14:textId="77777777" w:rsidR="005C3E79" w:rsidRDefault="005C3E79" w:rsidP="001D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227664"/>
      <w:docPartObj>
        <w:docPartGallery w:val="Page Numbers (Bottom of Page)"/>
        <w:docPartUnique/>
      </w:docPartObj>
    </w:sdtPr>
    <w:sdtEndPr>
      <w:rPr>
        <w:noProof/>
      </w:rPr>
    </w:sdtEndPr>
    <w:sdtContent>
      <w:p w14:paraId="59A9BBD4" w14:textId="697FB3B2" w:rsidR="00C53AA5" w:rsidRDefault="00C53AA5">
        <w:pPr>
          <w:pStyle w:val="Footer"/>
          <w:jc w:val="right"/>
        </w:pPr>
        <w:r>
          <w:fldChar w:fldCharType="begin"/>
        </w:r>
        <w:r>
          <w:instrText xml:space="preserve"> PAGE   \* MERGEFORMAT </w:instrText>
        </w:r>
        <w:r>
          <w:fldChar w:fldCharType="separate"/>
        </w:r>
        <w:r w:rsidR="004B3E99">
          <w:rPr>
            <w:noProof/>
          </w:rPr>
          <w:t>9</w:t>
        </w:r>
        <w:r>
          <w:rPr>
            <w:noProof/>
          </w:rPr>
          <w:fldChar w:fldCharType="end"/>
        </w:r>
      </w:p>
    </w:sdtContent>
  </w:sdt>
  <w:p w14:paraId="5F979FFC" w14:textId="77777777" w:rsidR="00C53AA5" w:rsidRDefault="00C53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BAC47" w14:textId="77777777" w:rsidR="005C3E79" w:rsidRDefault="005C3E79" w:rsidP="001D5124">
      <w:pPr>
        <w:spacing w:after="0" w:line="240" w:lineRule="auto"/>
      </w:pPr>
      <w:r>
        <w:separator/>
      </w:r>
    </w:p>
  </w:footnote>
  <w:footnote w:type="continuationSeparator" w:id="0">
    <w:p w14:paraId="4F6D1768" w14:textId="77777777" w:rsidR="005C3E79" w:rsidRDefault="005C3E79" w:rsidP="001D5124">
      <w:pPr>
        <w:spacing w:after="0" w:line="240" w:lineRule="auto"/>
      </w:pPr>
      <w:r>
        <w:continuationSeparator/>
      </w:r>
    </w:p>
  </w:footnote>
  <w:footnote w:id="1">
    <w:p w14:paraId="689AE9F2" w14:textId="77777777" w:rsidR="00C53AA5" w:rsidRDefault="00C53AA5">
      <w:pPr>
        <w:pStyle w:val="FootnoteText"/>
      </w:pPr>
      <w:r>
        <w:rPr>
          <w:rStyle w:val="FootnoteReference"/>
        </w:rPr>
        <w:footnoteRef/>
      </w:r>
      <w:r>
        <w:t xml:space="preserve"> Sub-projects proponents are the final beneficiaries of the Project, the final borrowers, those SMEs looking for financing through LFIs</w:t>
      </w:r>
    </w:p>
  </w:footnote>
  <w:footnote w:id="2">
    <w:p w14:paraId="1A0DD2CA" w14:textId="77777777" w:rsidR="00C53AA5" w:rsidRPr="005D20C6" w:rsidRDefault="00C53AA5">
      <w:pPr>
        <w:pStyle w:val="FootnoteText"/>
        <w:rPr>
          <w:sz w:val="16"/>
          <w:szCs w:val="16"/>
        </w:rPr>
      </w:pPr>
      <w:r w:rsidRPr="005D20C6">
        <w:rPr>
          <w:rStyle w:val="FootnoteReference"/>
          <w:sz w:val="16"/>
          <w:szCs w:val="16"/>
        </w:rPr>
        <w:footnoteRef/>
      </w:r>
      <w:r w:rsidRPr="005D20C6">
        <w:rPr>
          <w:sz w:val="16"/>
          <w:szCs w:val="16"/>
        </w:rPr>
        <w:t xml:space="preserve"> Please also see Annex 2 for detail.</w:t>
      </w:r>
    </w:p>
  </w:footnote>
  <w:footnote w:id="3">
    <w:p w14:paraId="1F5C5C1D" w14:textId="77777777" w:rsidR="00C53AA5" w:rsidRPr="005D20C6" w:rsidRDefault="00C53AA5" w:rsidP="006C06AD">
      <w:pPr>
        <w:pStyle w:val="FootnoteText"/>
        <w:rPr>
          <w:sz w:val="16"/>
          <w:szCs w:val="16"/>
        </w:rPr>
      </w:pPr>
      <w:r w:rsidRPr="005D20C6">
        <w:rPr>
          <w:rStyle w:val="FootnoteReference"/>
          <w:sz w:val="16"/>
          <w:szCs w:val="16"/>
        </w:rPr>
        <w:footnoteRef/>
      </w:r>
      <w:r w:rsidRPr="005D20C6">
        <w:rPr>
          <w:sz w:val="16"/>
          <w:szCs w:val="16"/>
        </w:rPr>
        <w:t xml:space="preserve"> For the purpose of this Project, the definition of SME will follow Argentine’s government classification of SMEs, as per Resolución General 103-E/2017 of the Secretaría de Emprendedores y de la Pequeña y Mediana Empresa, under the Ministry of Production. Under this resolution, firms are classified by size based on their level of sales, with distinctions by economic activity. SMEs are firms with sales of up to $760 million Pesos or $250 million Pesos for the industrial and services sectors, respectively. Within this range, small firms constitute those with sales up to $64 million Pesos or $21 million Pesos, for the industrial and services sectors, respectively.</w:t>
      </w:r>
    </w:p>
  </w:footnote>
  <w:footnote w:id="4">
    <w:p w14:paraId="35467803" w14:textId="77777777" w:rsidR="00C53AA5" w:rsidRPr="005D20C6" w:rsidRDefault="00C53AA5" w:rsidP="005D20C6">
      <w:pPr>
        <w:pStyle w:val="FootnoteText"/>
        <w:rPr>
          <w:sz w:val="16"/>
          <w:szCs w:val="16"/>
        </w:rPr>
      </w:pPr>
      <w:r w:rsidRPr="005D20C6">
        <w:rPr>
          <w:rStyle w:val="FootnoteReference"/>
          <w:sz w:val="16"/>
          <w:szCs w:val="16"/>
        </w:rPr>
        <w:footnoteRef/>
      </w:r>
      <w:r w:rsidRPr="005D20C6">
        <w:rPr>
          <w:sz w:val="16"/>
          <w:szCs w:val="16"/>
        </w:rPr>
        <w:t xml:space="preserve"> Please also see section IV Environmental and Social Risks for the disposal protocol to mitigate environmental risks. </w:t>
      </w:r>
    </w:p>
  </w:footnote>
  <w:footnote w:id="5">
    <w:p w14:paraId="6B76DCC2" w14:textId="77777777" w:rsidR="00C53AA5" w:rsidRDefault="00C53AA5">
      <w:pPr>
        <w:pStyle w:val="FootnoteText"/>
      </w:pPr>
      <w:r>
        <w:rPr>
          <w:rStyle w:val="FootnoteReference"/>
        </w:rPr>
        <w:footnoteRef/>
      </w:r>
      <w:r>
        <w:t xml:space="preserve"> This table is indicative for potential market demand. Actual uptake of the financing line depends on several factors including creditworthiness of projects and SMEs.</w:t>
      </w:r>
    </w:p>
  </w:footnote>
  <w:footnote w:id="6">
    <w:p w14:paraId="49FFFE3B" w14:textId="77777777" w:rsidR="00C53AA5" w:rsidRPr="005D20C6" w:rsidRDefault="00C53AA5" w:rsidP="00B02E7F">
      <w:pPr>
        <w:pStyle w:val="Default"/>
        <w:rPr>
          <w:rFonts w:asciiTheme="minorHAnsi" w:hAnsiTheme="minorHAnsi"/>
          <w:sz w:val="16"/>
          <w:szCs w:val="16"/>
        </w:rPr>
      </w:pPr>
      <w:r w:rsidRPr="005D20C6">
        <w:rPr>
          <w:rStyle w:val="FootnoteReference"/>
          <w:rFonts w:asciiTheme="minorHAnsi" w:hAnsiTheme="minorHAnsi"/>
          <w:sz w:val="16"/>
          <w:szCs w:val="16"/>
        </w:rPr>
        <w:footnoteRef/>
      </w:r>
      <w:r w:rsidRPr="005D20C6">
        <w:rPr>
          <w:rFonts w:asciiTheme="minorHAnsi" w:hAnsiTheme="minorHAnsi"/>
          <w:sz w:val="16"/>
          <w:szCs w:val="16"/>
        </w:rPr>
        <w:t xml:space="preserve"> </w:t>
      </w:r>
      <w:r w:rsidRPr="005D20C6">
        <w:rPr>
          <w:rFonts w:asciiTheme="minorHAnsi" w:hAnsiTheme="minorHAnsi" w:cs="Arial"/>
          <w:sz w:val="16"/>
          <w:szCs w:val="16"/>
        </w:rPr>
        <w:t xml:space="preserve">This does not apply to project sponsors who are not substantially involved in these activities. “Not substantially involved” means that the activity concerned is ancillary to a project sponsor’s primary operations.  </w:t>
      </w:r>
    </w:p>
  </w:footnote>
  <w:footnote w:id="7">
    <w:p w14:paraId="7CC8EBBB" w14:textId="77777777" w:rsidR="00C53AA5" w:rsidRPr="005D20C6" w:rsidRDefault="00C53AA5" w:rsidP="00B02E7F">
      <w:pPr>
        <w:pStyle w:val="Default"/>
        <w:rPr>
          <w:rFonts w:asciiTheme="minorHAnsi" w:hAnsiTheme="minorHAnsi"/>
          <w:sz w:val="16"/>
          <w:szCs w:val="16"/>
        </w:rPr>
      </w:pPr>
      <w:r w:rsidRPr="005D20C6">
        <w:rPr>
          <w:rStyle w:val="FootnoteReference"/>
          <w:rFonts w:asciiTheme="minorHAnsi" w:hAnsiTheme="minorHAnsi"/>
          <w:sz w:val="16"/>
          <w:szCs w:val="16"/>
        </w:rPr>
        <w:footnoteRef/>
      </w:r>
      <w:r w:rsidRPr="005D20C6">
        <w:rPr>
          <w:rFonts w:asciiTheme="minorHAnsi" w:hAnsiTheme="minorHAnsi"/>
          <w:sz w:val="16"/>
          <w:szCs w:val="16"/>
        </w:rPr>
        <w:t xml:space="preserve"> </w:t>
      </w:r>
      <w:r w:rsidRPr="005D20C6">
        <w:rPr>
          <w:rFonts w:asciiTheme="minorHAnsi" w:hAnsiTheme="minorHAnsi" w:cs="Arial"/>
          <w:sz w:val="16"/>
          <w:szCs w:val="16"/>
        </w:rPr>
        <w:t xml:space="preserve">This does not apply to project sponsors who are not substantially involved in these activities. “Not substantially involved” means that the activity concerned is ancillary to a project sponsor’s primary operations.  </w:t>
      </w:r>
    </w:p>
  </w:footnote>
  <w:footnote w:id="8">
    <w:p w14:paraId="43085E05" w14:textId="77777777" w:rsidR="00C53AA5" w:rsidRPr="005D20C6" w:rsidRDefault="00C53AA5">
      <w:pPr>
        <w:pStyle w:val="FootnoteText"/>
        <w:rPr>
          <w:sz w:val="16"/>
          <w:szCs w:val="16"/>
        </w:rPr>
      </w:pPr>
      <w:r w:rsidRPr="005D20C6">
        <w:rPr>
          <w:rStyle w:val="FootnoteReference"/>
          <w:sz w:val="16"/>
          <w:szCs w:val="16"/>
        </w:rPr>
        <w:footnoteRef/>
      </w:r>
      <w:r w:rsidRPr="005D20C6">
        <w:rPr>
          <w:sz w:val="16"/>
          <w:szCs w:val="16"/>
        </w:rPr>
        <w:t xml:space="preserve"> </w:t>
      </w:r>
      <w:hyperlink r:id="rId1" w:history="1">
        <w:r w:rsidRPr="005D20C6">
          <w:rPr>
            <w:rStyle w:val="Hyperlink"/>
            <w:sz w:val="16"/>
            <w:szCs w:val="16"/>
          </w:rPr>
          <w:t>www.cites.org</w:t>
        </w:r>
      </w:hyperlink>
      <w:r w:rsidRPr="005D20C6">
        <w:rPr>
          <w:sz w:val="16"/>
          <w:szCs w:val="16"/>
        </w:rPr>
        <w:t xml:space="preserve"> </w:t>
      </w:r>
    </w:p>
  </w:footnote>
  <w:footnote w:id="9">
    <w:p w14:paraId="330BADAC" w14:textId="77777777" w:rsidR="00C53AA5" w:rsidRPr="005D20C6" w:rsidRDefault="00C53AA5" w:rsidP="00B02E7F">
      <w:pPr>
        <w:pStyle w:val="Default"/>
        <w:rPr>
          <w:rFonts w:asciiTheme="minorHAnsi" w:hAnsiTheme="minorHAnsi"/>
          <w:sz w:val="16"/>
          <w:szCs w:val="16"/>
        </w:rPr>
      </w:pPr>
      <w:r w:rsidRPr="005D20C6">
        <w:rPr>
          <w:rStyle w:val="FootnoteReference"/>
          <w:rFonts w:asciiTheme="minorHAnsi" w:hAnsiTheme="minorHAnsi"/>
          <w:sz w:val="16"/>
          <w:szCs w:val="16"/>
        </w:rPr>
        <w:footnoteRef/>
      </w:r>
      <w:r w:rsidRPr="005D20C6">
        <w:rPr>
          <w:rFonts w:asciiTheme="minorHAnsi" w:hAnsiTheme="minorHAnsi"/>
          <w:sz w:val="16"/>
          <w:szCs w:val="16"/>
        </w:rPr>
        <w:t xml:space="preserve"> </w:t>
      </w:r>
      <w:r w:rsidRPr="005D20C6">
        <w:rPr>
          <w:rFonts w:asciiTheme="minorHAnsi" w:hAnsiTheme="minorHAnsi" w:cs="Arial"/>
          <w:sz w:val="16"/>
          <w:szCs w:val="16"/>
        </w:rPr>
        <w:t>This does not apply to the purchase of medical equipment, quality control (measurement) equipment and any equipment where it can be demonstrated that the radioactive source is to be trivial and/or adequately shielded.</w:t>
      </w:r>
      <w:r w:rsidRPr="005D20C6">
        <w:rPr>
          <w:rFonts w:asciiTheme="minorHAnsi" w:hAnsiTheme="minorHAnsi"/>
          <w:sz w:val="16"/>
          <w:szCs w:val="16"/>
        </w:rPr>
        <w:t xml:space="preserve">  </w:t>
      </w:r>
    </w:p>
  </w:footnote>
  <w:footnote w:id="10">
    <w:p w14:paraId="621280BD" w14:textId="77777777" w:rsidR="00C53AA5" w:rsidRPr="005D20C6" w:rsidRDefault="00C53AA5" w:rsidP="00B02E7F">
      <w:pPr>
        <w:pStyle w:val="Default"/>
        <w:rPr>
          <w:rFonts w:asciiTheme="minorHAnsi" w:hAnsiTheme="minorHAnsi"/>
          <w:sz w:val="16"/>
          <w:szCs w:val="16"/>
        </w:rPr>
      </w:pPr>
      <w:r w:rsidRPr="005D20C6">
        <w:rPr>
          <w:rStyle w:val="FootnoteReference"/>
          <w:rFonts w:asciiTheme="minorHAnsi" w:hAnsiTheme="minorHAnsi"/>
          <w:sz w:val="16"/>
          <w:szCs w:val="16"/>
        </w:rPr>
        <w:footnoteRef/>
      </w:r>
      <w:r w:rsidRPr="005D20C6">
        <w:rPr>
          <w:rFonts w:asciiTheme="minorHAnsi" w:hAnsiTheme="minorHAnsi"/>
          <w:sz w:val="16"/>
          <w:szCs w:val="16"/>
        </w:rPr>
        <w:t xml:space="preserve"> </w:t>
      </w:r>
      <w:r w:rsidRPr="005D20C6">
        <w:rPr>
          <w:rFonts w:asciiTheme="minorHAnsi" w:hAnsiTheme="minorHAnsi" w:cs="Arial"/>
          <w:sz w:val="16"/>
          <w:szCs w:val="16"/>
        </w:rPr>
        <w:t>This does not apply to the purchase and use of bonded asbestos cement sheeting where the asbestos content is&lt;20%.</w:t>
      </w:r>
      <w:r w:rsidRPr="005D20C6">
        <w:rPr>
          <w:rFonts w:asciiTheme="minorHAnsi" w:hAnsiTheme="minorHAnsi"/>
          <w:sz w:val="16"/>
          <w:szCs w:val="16"/>
        </w:rPr>
        <w:t xml:space="preserve">  </w:t>
      </w:r>
    </w:p>
  </w:footnote>
  <w:footnote w:id="11">
    <w:p w14:paraId="7AE1CA05" w14:textId="77777777" w:rsidR="00C53AA5" w:rsidRPr="005D20C6" w:rsidRDefault="00C53AA5" w:rsidP="00B02E7F">
      <w:pPr>
        <w:pStyle w:val="Default"/>
        <w:rPr>
          <w:rFonts w:asciiTheme="minorHAnsi" w:hAnsiTheme="minorHAnsi"/>
          <w:sz w:val="16"/>
          <w:szCs w:val="16"/>
        </w:rPr>
      </w:pPr>
      <w:r w:rsidRPr="005D20C6">
        <w:rPr>
          <w:rStyle w:val="FootnoteReference"/>
          <w:rFonts w:asciiTheme="minorHAnsi" w:hAnsiTheme="minorHAnsi"/>
          <w:sz w:val="16"/>
          <w:szCs w:val="16"/>
        </w:rPr>
        <w:footnoteRef/>
      </w:r>
      <w:r w:rsidRPr="005D20C6">
        <w:rPr>
          <w:rFonts w:asciiTheme="minorHAnsi" w:hAnsiTheme="minorHAnsi"/>
          <w:sz w:val="16"/>
          <w:szCs w:val="16"/>
        </w:rPr>
        <w:t xml:space="preserve"> </w:t>
      </w:r>
      <w:r w:rsidRPr="005D20C6">
        <w:rPr>
          <w:rFonts w:asciiTheme="minorHAnsi" w:hAnsiTheme="minorHAnsi" w:cs="Arial"/>
          <w:sz w:val="16"/>
          <w:szCs w:val="16"/>
        </w:rPr>
        <w:t xml:space="preserve">GN-2208-20, Environmental and Safeguards Compliance Policy, dated 19 January 2006, approved by the Board of Executive Directors on 19 January 2006.  </w:t>
      </w:r>
    </w:p>
  </w:footnote>
  <w:footnote w:id="12">
    <w:p w14:paraId="43100938" w14:textId="77777777" w:rsidR="00C53AA5" w:rsidRPr="005D20C6" w:rsidRDefault="00C53AA5" w:rsidP="00610BF4">
      <w:pPr>
        <w:pStyle w:val="Default"/>
        <w:rPr>
          <w:rFonts w:asciiTheme="minorHAnsi" w:hAnsiTheme="minorHAnsi"/>
          <w:sz w:val="16"/>
          <w:szCs w:val="16"/>
        </w:rPr>
      </w:pPr>
      <w:r w:rsidRPr="005D20C6">
        <w:rPr>
          <w:rStyle w:val="FootnoteReference"/>
          <w:rFonts w:asciiTheme="minorHAnsi" w:hAnsiTheme="minorHAnsi"/>
          <w:sz w:val="16"/>
          <w:szCs w:val="16"/>
        </w:rPr>
        <w:footnoteRef/>
      </w:r>
      <w:r w:rsidRPr="005D20C6">
        <w:rPr>
          <w:rFonts w:asciiTheme="minorHAnsi" w:hAnsiTheme="minorHAnsi"/>
          <w:sz w:val="16"/>
          <w:szCs w:val="16"/>
        </w:rPr>
        <w:t xml:space="preserve"> </w:t>
      </w:r>
      <w:r w:rsidRPr="005D20C6">
        <w:rPr>
          <w:rFonts w:asciiTheme="minorHAnsi" w:hAnsiTheme="minorHAnsi" w:cs="Arial"/>
          <w:sz w:val="16"/>
          <w:szCs w:val="16"/>
        </w:rPr>
        <w:t xml:space="preserve">Pharmaceutical products subject to phase outs or bans in United Nations, Banned Products: Consolidated List of Products Whose Consumption and/or Sale Have Been Banned, Withdrawn, Severely Restricted or not Approved by Governments. (Last version 2001, www.who.int/medicines/library/qsm/edm-qsm-2001-3/edm-qsm-2001_3.pdf)  </w:t>
      </w:r>
    </w:p>
  </w:footnote>
  <w:footnote w:id="13">
    <w:p w14:paraId="593E764B" w14:textId="77777777" w:rsidR="00C53AA5" w:rsidRPr="005D20C6" w:rsidRDefault="00C53AA5" w:rsidP="00610BF4">
      <w:pPr>
        <w:pStyle w:val="Default"/>
        <w:rPr>
          <w:rFonts w:asciiTheme="minorHAnsi" w:hAnsiTheme="minorHAnsi"/>
          <w:sz w:val="16"/>
          <w:szCs w:val="16"/>
        </w:rPr>
      </w:pPr>
      <w:r w:rsidRPr="005D20C6">
        <w:rPr>
          <w:rStyle w:val="FootnoteReference"/>
          <w:rFonts w:asciiTheme="minorHAnsi" w:hAnsiTheme="minorHAnsi"/>
          <w:sz w:val="16"/>
          <w:szCs w:val="16"/>
        </w:rPr>
        <w:footnoteRef/>
      </w:r>
      <w:r w:rsidRPr="005D20C6">
        <w:rPr>
          <w:rFonts w:asciiTheme="minorHAnsi" w:hAnsiTheme="minorHAnsi"/>
          <w:sz w:val="16"/>
          <w:szCs w:val="16"/>
        </w:rPr>
        <w:t xml:space="preserve"> </w:t>
      </w:r>
      <w:r w:rsidRPr="005D20C6">
        <w:rPr>
          <w:rFonts w:asciiTheme="minorHAnsi" w:hAnsiTheme="minorHAnsi" w:cs="Arial"/>
          <w:sz w:val="16"/>
          <w:szCs w:val="16"/>
        </w:rPr>
        <w:t xml:space="preserve">Pesticides and herbicides subject to phase outs or bans included in both the Rotterdam Convention (www.pic.int) and the Stockholm Convention (www.pops.int).  </w:t>
      </w:r>
    </w:p>
  </w:footnote>
  <w:footnote w:id="14">
    <w:p w14:paraId="4C4D09FD" w14:textId="77777777" w:rsidR="00C53AA5" w:rsidRPr="005D20C6" w:rsidRDefault="00C53AA5" w:rsidP="00610BF4">
      <w:pPr>
        <w:pStyle w:val="Default"/>
        <w:rPr>
          <w:rFonts w:asciiTheme="minorHAnsi" w:hAnsiTheme="minorHAnsi"/>
          <w:sz w:val="16"/>
          <w:szCs w:val="16"/>
        </w:rPr>
      </w:pPr>
      <w:r w:rsidRPr="005D20C6">
        <w:rPr>
          <w:rStyle w:val="FootnoteReference"/>
          <w:rFonts w:asciiTheme="minorHAnsi" w:hAnsiTheme="minorHAnsi"/>
          <w:sz w:val="16"/>
          <w:szCs w:val="16"/>
        </w:rPr>
        <w:footnoteRef/>
      </w:r>
      <w:r w:rsidRPr="005D20C6">
        <w:rPr>
          <w:rFonts w:asciiTheme="minorHAnsi" w:hAnsiTheme="minorHAnsi"/>
          <w:sz w:val="16"/>
          <w:szCs w:val="16"/>
        </w:rPr>
        <w:t xml:space="preserve"> </w:t>
      </w:r>
      <w:r w:rsidRPr="005D20C6">
        <w:rPr>
          <w:rFonts w:asciiTheme="minorHAnsi" w:hAnsiTheme="minorHAnsi" w:cs="Arial"/>
          <w:sz w:val="16"/>
          <w:szCs w:val="16"/>
        </w:rPr>
        <w:t xml:space="preserve">Ozone Depleting Substances (ODSs) are chemical compounds which react with and deplete stratospheric ozone, resulting in the widely publicized ‘ozone holes’. The Montreal Protocol lists ODSs and their target reduction and phase out dates. The chemical compounds regulated by the Montreal Protocol include aerosols, refrigerants, foam blowing agents, solvents, and fire protection agents. (www.unep.org/ozone/montreal.shtml).  </w:t>
      </w:r>
    </w:p>
  </w:footnote>
  <w:footnote w:id="15">
    <w:p w14:paraId="42851A95" w14:textId="77777777" w:rsidR="00C53AA5" w:rsidRPr="005D20C6" w:rsidRDefault="00C53AA5">
      <w:pPr>
        <w:pStyle w:val="FootnoteText"/>
        <w:rPr>
          <w:sz w:val="16"/>
          <w:szCs w:val="16"/>
        </w:rPr>
      </w:pPr>
      <w:r w:rsidRPr="005D20C6">
        <w:rPr>
          <w:rStyle w:val="FootnoteReference"/>
          <w:sz w:val="16"/>
          <w:szCs w:val="16"/>
        </w:rPr>
        <w:footnoteRef/>
      </w:r>
      <w:r w:rsidRPr="005D20C6">
        <w:rPr>
          <w:sz w:val="16"/>
          <w:szCs w:val="16"/>
        </w:rPr>
        <w:t xml:space="preserve"> </w:t>
      </w:r>
      <w:r w:rsidRPr="005D20C6">
        <w:rPr>
          <w:rFonts w:cs="Arial"/>
          <w:color w:val="000000"/>
          <w:sz w:val="16"/>
          <w:szCs w:val="16"/>
        </w:rPr>
        <w:t>Defined by the Basel Convention (www.basel.int).</w:t>
      </w:r>
      <w:r w:rsidRPr="005D20C6">
        <w:rPr>
          <w:sz w:val="16"/>
          <w:szCs w:val="16"/>
        </w:rPr>
        <w:t xml:space="preserve">  </w:t>
      </w:r>
    </w:p>
  </w:footnote>
  <w:footnote w:id="16">
    <w:p w14:paraId="0759A0A5" w14:textId="77777777" w:rsidR="00C53AA5" w:rsidRPr="005D20C6" w:rsidRDefault="00C53AA5">
      <w:pPr>
        <w:pStyle w:val="FootnoteText"/>
        <w:rPr>
          <w:sz w:val="16"/>
          <w:szCs w:val="16"/>
        </w:rPr>
      </w:pPr>
      <w:r w:rsidRPr="005D20C6">
        <w:rPr>
          <w:rStyle w:val="FootnoteReference"/>
          <w:sz w:val="16"/>
          <w:szCs w:val="16"/>
        </w:rPr>
        <w:footnoteRef/>
      </w:r>
      <w:r w:rsidRPr="005D20C6">
        <w:rPr>
          <w:sz w:val="16"/>
          <w:szCs w:val="16"/>
        </w:rPr>
        <w:t xml:space="preserve"> </w:t>
      </w:r>
      <w:r w:rsidRPr="005D20C6">
        <w:rPr>
          <w:rFonts w:cs="Arial"/>
          <w:color w:val="000000"/>
          <w:sz w:val="16"/>
          <w:szCs w:val="16"/>
        </w:rPr>
        <w:t>Defined by the International Convention on the reduction and elimination of persistent organic pollutants (POPs) (September 1999) and presently include the pesticides aldrin, chlordane, dieldrin, endrin, heptachlor, mirex, and toxaphene, as well as the industrial chemical chlorobenzene (www.pops.int).</w:t>
      </w:r>
      <w:r w:rsidRPr="005D20C6">
        <w:rPr>
          <w:sz w:val="16"/>
          <w:szCs w:val="16"/>
        </w:rPr>
        <w:t xml:space="preserve">  </w:t>
      </w:r>
    </w:p>
  </w:footnote>
  <w:footnote w:id="17">
    <w:p w14:paraId="14749D9B" w14:textId="77777777" w:rsidR="00C53AA5" w:rsidRPr="005D20C6" w:rsidRDefault="00C53AA5">
      <w:pPr>
        <w:pStyle w:val="FootnoteText"/>
        <w:rPr>
          <w:rFonts w:cs="Arial"/>
          <w:color w:val="000000"/>
          <w:sz w:val="16"/>
          <w:szCs w:val="16"/>
        </w:rPr>
      </w:pPr>
      <w:r w:rsidRPr="005D20C6">
        <w:rPr>
          <w:rStyle w:val="FootnoteReference"/>
          <w:sz w:val="16"/>
          <w:szCs w:val="16"/>
        </w:rPr>
        <w:footnoteRef/>
      </w:r>
      <w:r w:rsidRPr="005D20C6">
        <w:rPr>
          <w:sz w:val="16"/>
          <w:szCs w:val="16"/>
        </w:rPr>
        <w:t xml:space="preserve"> </w:t>
      </w:r>
      <w:r w:rsidRPr="005D20C6">
        <w:rPr>
          <w:rFonts w:cs="Arial"/>
          <w:color w:val="000000"/>
          <w:sz w:val="16"/>
          <w:szCs w:val="16"/>
        </w:rPr>
        <w:t xml:space="preserve">Fundamental Principles and Rights at Work means (i) freedom of association and the effective recognition of the right to collective bargaining; (ii) prohibition of all forms of forced or compulsory labor; (iii) prohibition of child labor, including without limitation the prohibition of persons under 18 from working in hazardous conditions (which includes construction activities), persons under 18 from working at night, and that persons under 18 be found fit to work via medical examination; (iv) elimination of discrimination in respect of employment and occupation, where discrimination is defined as any distinction, exclusion or preference based on race, color, sex, religion, political opinion, national extraction, or social origin. (International Labor Organization: www.ilo.org)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F6D"/>
    <w:multiLevelType w:val="hybridMultilevel"/>
    <w:tmpl w:val="E204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467"/>
    <w:multiLevelType w:val="hybridMultilevel"/>
    <w:tmpl w:val="3A1EE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16C7E"/>
    <w:multiLevelType w:val="hybridMultilevel"/>
    <w:tmpl w:val="163A00C6"/>
    <w:lvl w:ilvl="0" w:tplc="3022DDA2">
      <w:start w:val="7"/>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F12E8"/>
    <w:multiLevelType w:val="hybridMultilevel"/>
    <w:tmpl w:val="1CF07C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A2B35"/>
    <w:multiLevelType w:val="multilevel"/>
    <w:tmpl w:val="B59EF8BC"/>
    <w:lvl w:ilvl="0">
      <w:start w:val="1"/>
      <w:numFmt w:val="upperRoman"/>
      <w:lvlRestart w:val="0"/>
      <w:lvlText w:val="%1."/>
      <w:lvlJc w:val="center"/>
      <w:pPr>
        <w:tabs>
          <w:tab w:val="num" w:pos="1800"/>
        </w:tabs>
        <w:ind w:left="1152" w:firstLine="288"/>
      </w:pPr>
      <w:rPr>
        <w:rFonts w:hint="default"/>
        <w:b/>
        <w:i w:val="0"/>
      </w:rPr>
    </w:lvl>
    <w:lvl w:ilvl="1">
      <w:start w:val="1"/>
      <w:numFmt w:val="decimal"/>
      <w:isLgl/>
      <w:lvlText w:val="%1.%2"/>
      <w:lvlJc w:val="left"/>
      <w:pPr>
        <w:tabs>
          <w:tab w:val="num" w:pos="1296"/>
        </w:tabs>
        <w:ind w:left="1296" w:hanging="1296"/>
      </w:pPr>
      <w:rPr>
        <w:rFonts w:ascii="Arial" w:hAnsi="Arial" w:cs="Arial" w:hint="default"/>
        <w:b w:val="0"/>
        <w:sz w:val="22"/>
      </w:rPr>
    </w:lvl>
    <w:lvl w:ilvl="2">
      <w:start w:val="1"/>
      <w:numFmt w:val="lowerLetter"/>
      <w:lvlText w:val="%3."/>
      <w:lvlJc w:val="left"/>
      <w:pPr>
        <w:tabs>
          <w:tab w:val="num" w:pos="2304"/>
        </w:tabs>
        <w:ind w:left="2304" w:hanging="432"/>
      </w:pPr>
      <w:rPr>
        <w:rFonts w:hint="default"/>
      </w:rPr>
    </w:lvl>
    <w:lvl w:ilvl="3">
      <w:start w:val="1"/>
      <w:numFmt w:val="lowerRoman"/>
      <w:lvlText w:val="%4."/>
      <w:lvlJc w:val="right"/>
      <w:pPr>
        <w:tabs>
          <w:tab w:val="num" w:pos="2736"/>
        </w:tabs>
        <w:ind w:left="2736" w:hanging="288"/>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5" w15:restartNumberingAfterBreak="0">
    <w:nsid w:val="0D7C7C6B"/>
    <w:multiLevelType w:val="hybridMultilevel"/>
    <w:tmpl w:val="E3FA966C"/>
    <w:lvl w:ilvl="0" w:tplc="02804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1564D"/>
    <w:multiLevelType w:val="hybridMultilevel"/>
    <w:tmpl w:val="0D221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161712"/>
    <w:multiLevelType w:val="hybridMultilevel"/>
    <w:tmpl w:val="17F8FB80"/>
    <w:lvl w:ilvl="0" w:tplc="1EC4CE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C7D5C"/>
    <w:multiLevelType w:val="hybridMultilevel"/>
    <w:tmpl w:val="206ACA98"/>
    <w:lvl w:ilvl="0" w:tplc="93A2360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220C7"/>
    <w:multiLevelType w:val="multilevel"/>
    <w:tmpl w:val="3BA44F1A"/>
    <w:styleLink w:val="SKMBulletList13"/>
    <w:lvl w:ilvl="0">
      <w:start w:val="1"/>
      <w:numFmt w:val="bullet"/>
      <w:lvlText w:val=""/>
      <w:lvlJc w:val="left"/>
      <w:pPr>
        <w:ind w:left="284" w:hanging="284"/>
      </w:pPr>
      <w:rPr>
        <w:rFonts w:ascii="Symbol" w:hAnsi="Symbol" w:hint="default"/>
        <w:color w:val="auto"/>
      </w:rPr>
    </w:lvl>
    <w:lvl w:ilvl="1">
      <w:start w:val="1"/>
      <w:numFmt w:val="none"/>
      <w:lvlText w:val=""/>
      <w:lvlJc w:val="left"/>
      <w:pPr>
        <w:ind w:left="284" w:hanging="284"/>
      </w:pPr>
    </w:lvl>
    <w:lvl w:ilvl="2">
      <w:start w:val="1"/>
      <w:numFmt w:val="none"/>
      <w:lvlRestart w:val="1"/>
      <w:lvlText w:val=""/>
      <w:lvlJc w:val="left"/>
      <w:pPr>
        <w:ind w:left="284" w:hanging="284"/>
      </w:pPr>
    </w:lvl>
    <w:lvl w:ilvl="3">
      <w:start w:val="1"/>
      <w:numFmt w:val="none"/>
      <w:lvlRestart w:val="1"/>
      <w:lvlText w:val=""/>
      <w:lvlJc w:val="left"/>
      <w:pPr>
        <w:ind w:left="284" w:hanging="284"/>
      </w:pPr>
    </w:lvl>
    <w:lvl w:ilvl="4">
      <w:start w:val="1"/>
      <w:numFmt w:val="none"/>
      <w:lvlRestart w:val="1"/>
      <w:lvlText w:val=""/>
      <w:lvlJc w:val="left"/>
      <w:pPr>
        <w:ind w:left="284" w:hanging="284"/>
      </w:pPr>
    </w:lvl>
    <w:lvl w:ilvl="5">
      <w:start w:val="1"/>
      <w:numFmt w:val="none"/>
      <w:lvlRestart w:val="1"/>
      <w:lvlText w:val=""/>
      <w:lvlJc w:val="left"/>
      <w:pPr>
        <w:ind w:left="284" w:hanging="284"/>
      </w:pPr>
    </w:lvl>
    <w:lvl w:ilvl="6">
      <w:start w:val="1"/>
      <w:numFmt w:val="none"/>
      <w:lvlRestart w:val="1"/>
      <w:lvlText w:val=""/>
      <w:lvlJc w:val="left"/>
      <w:pPr>
        <w:ind w:left="284" w:hanging="284"/>
      </w:pPr>
    </w:lvl>
    <w:lvl w:ilvl="7">
      <w:start w:val="1"/>
      <w:numFmt w:val="none"/>
      <w:lvlRestart w:val="1"/>
      <w:lvlText w:val=""/>
      <w:lvlJc w:val="left"/>
      <w:pPr>
        <w:ind w:left="284" w:hanging="284"/>
      </w:pPr>
    </w:lvl>
    <w:lvl w:ilvl="8">
      <w:start w:val="1"/>
      <w:numFmt w:val="none"/>
      <w:lvlRestart w:val="1"/>
      <w:lvlText w:val=""/>
      <w:lvlJc w:val="left"/>
      <w:pPr>
        <w:ind w:left="284" w:hanging="284"/>
      </w:pPr>
    </w:lvl>
  </w:abstractNum>
  <w:abstractNum w:abstractNumId="10" w15:restartNumberingAfterBreak="0">
    <w:nsid w:val="1920195D"/>
    <w:multiLevelType w:val="multilevel"/>
    <w:tmpl w:val="682E13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EB3173"/>
    <w:multiLevelType w:val="hybridMultilevel"/>
    <w:tmpl w:val="65D2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B6C18"/>
    <w:multiLevelType w:val="hybridMultilevel"/>
    <w:tmpl w:val="5C5CC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C392A"/>
    <w:multiLevelType w:val="hybridMultilevel"/>
    <w:tmpl w:val="5B22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DD65CE"/>
    <w:multiLevelType w:val="hybridMultilevel"/>
    <w:tmpl w:val="A03805DC"/>
    <w:lvl w:ilvl="0" w:tplc="60D41FF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8780D"/>
    <w:multiLevelType w:val="hybridMultilevel"/>
    <w:tmpl w:val="A5B6B3DC"/>
    <w:lvl w:ilvl="0" w:tplc="7CD6AA24">
      <w:start w:val="1"/>
      <w:numFmt w:val="bullet"/>
      <w:lvlText w:val="–"/>
      <w:lvlJc w:val="left"/>
      <w:pPr>
        <w:ind w:left="72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89E7920"/>
    <w:multiLevelType w:val="hybridMultilevel"/>
    <w:tmpl w:val="5F746A4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9915881"/>
    <w:multiLevelType w:val="hybridMultilevel"/>
    <w:tmpl w:val="2148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759A2"/>
    <w:multiLevelType w:val="hybridMultilevel"/>
    <w:tmpl w:val="E2BE3218"/>
    <w:lvl w:ilvl="0" w:tplc="09C08AF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200719"/>
    <w:multiLevelType w:val="hybridMultilevel"/>
    <w:tmpl w:val="E676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16AF4"/>
    <w:multiLevelType w:val="hybridMultilevel"/>
    <w:tmpl w:val="05026CB2"/>
    <w:lvl w:ilvl="0" w:tplc="B7421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37F20"/>
    <w:multiLevelType w:val="hybridMultilevel"/>
    <w:tmpl w:val="76C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161E1"/>
    <w:multiLevelType w:val="hybridMultilevel"/>
    <w:tmpl w:val="88A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30331"/>
    <w:multiLevelType w:val="hybridMultilevel"/>
    <w:tmpl w:val="CCC8D414"/>
    <w:lvl w:ilvl="0" w:tplc="8FDC957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00AA5"/>
    <w:multiLevelType w:val="hybridMultilevel"/>
    <w:tmpl w:val="095C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4E1867"/>
    <w:multiLevelType w:val="hybridMultilevel"/>
    <w:tmpl w:val="95E6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82059"/>
    <w:multiLevelType w:val="hybridMultilevel"/>
    <w:tmpl w:val="61D0DACA"/>
    <w:lvl w:ilvl="0" w:tplc="CB94A1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45545A"/>
    <w:multiLevelType w:val="hybridMultilevel"/>
    <w:tmpl w:val="84AA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B76527"/>
    <w:multiLevelType w:val="hybridMultilevel"/>
    <w:tmpl w:val="5F9E8CCC"/>
    <w:lvl w:ilvl="0" w:tplc="746CAF2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0601D5"/>
    <w:multiLevelType w:val="hybridMultilevel"/>
    <w:tmpl w:val="CD2A641C"/>
    <w:lvl w:ilvl="0" w:tplc="7CD6AA24">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6F48D3"/>
    <w:multiLevelType w:val="hybridMultilevel"/>
    <w:tmpl w:val="19F8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822101"/>
    <w:multiLevelType w:val="hybridMultilevel"/>
    <w:tmpl w:val="B90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553E0"/>
    <w:multiLevelType w:val="hybridMultilevel"/>
    <w:tmpl w:val="1C9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535B0C"/>
    <w:multiLevelType w:val="hybridMultilevel"/>
    <w:tmpl w:val="46C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D31AF1"/>
    <w:multiLevelType w:val="hybridMultilevel"/>
    <w:tmpl w:val="207ED640"/>
    <w:lvl w:ilvl="0" w:tplc="F31AEF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4C6241"/>
    <w:multiLevelType w:val="hybridMultilevel"/>
    <w:tmpl w:val="5AE4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EA4CD6"/>
    <w:multiLevelType w:val="hybridMultilevel"/>
    <w:tmpl w:val="D690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36376"/>
    <w:multiLevelType w:val="hybridMultilevel"/>
    <w:tmpl w:val="D6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465FD4"/>
    <w:multiLevelType w:val="hybridMultilevel"/>
    <w:tmpl w:val="4730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AD3FB3"/>
    <w:multiLevelType w:val="hybridMultilevel"/>
    <w:tmpl w:val="EC7C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F81438"/>
    <w:multiLevelType w:val="hybridMultilevel"/>
    <w:tmpl w:val="CAB2C874"/>
    <w:lvl w:ilvl="0" w:tplc="3022DDA2">
      <w:start w:val="7"/>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752C66"/>
    <w:multiLevelType w:val="hybridMultilevel"/>
    <w:tmpl w:val="1578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D33E28"/>
    <w:multiLevelType w:val="hybridMultilevel"/>
    <w:tmpl w:val="92DED844"/>
    <w:lvl w:ilvl="0" w:tplc="746CAF2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9F3A1B"/>
    <w:multiLevelType w:val="hybridMultilevel"/>
    <w:tmpl w:val="9522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EB0C0E"/>
    <w:multiLevelType w:val="hybridMultilevel"/>
    <w:tmpl w:val="6714C7AA"/>
    <w:lvl w:ilvl="0" w:tplc="02804F5C">
      <w:start w:val="1"/>
      <w:numFmt w:val="bullet"/>
      <w:lvlText w:val=""/>
      <w:lvlJc w:val="left"/>
      <w:pPr>
        <w:ind w:left="720" w:hanging="360"/>
      </w:pPr>
      <w:rPr>
        <w:rFonts w:ascii="Symbol" w:hAnsi="Symbol" w:hint="default"/>
        <w:color w:val="auto"/>
      </w:rPr>
    </w:lvl>
    <w:lvl w:ilvl="1" w:tplc="73A031E4">
      <w:numFmt w:val="bullet"/>
      <w:lvlText w:val="•"/>
      <w:lvlJc w:val="left"/>
      <w:pPr>
        <w:ind w:left="1800" w:hanging="720"/>
      </w:pPr>
      <w:rPr>
        <w:rFonts w:ascii="Calibri" w:eastAsiaTheme="minorHAnsi" w:hAnsi="Calibri"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19A0A39"/>
    <w:multiLevelType w:val="hybridMultilevel"/>
    <w:tmpl w:val="B2AC0A18"/>
    <w:lvl w:ilvl="0" w:tplc="2B3273B8">
      <w:start w:val="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586DB7"/>
    <w:multiLevelType w:val="hybridMultilevel"/>
    <w:tmpl w:val="C0DC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775A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5A418D2"/>
    <w:multiLevelType w:val="hybridMultilevel"/>
    <w:tmpl w:val="C5B8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577BC1"/>
    <w:multiLevelType w:val="multilevel"/>
    <w:tmpl w:val="CD468766"/>
    <w:lvl w:ilvl="0">
      <w:start w:val="1"/>
      <w:numFmt w:val="upperRoman"/>
      <w:lvlText w:val="%1."/>
      <w:lvlJc w:val="right"/>
      <w:pPr>
        <w:ind w:left="900" w:hanging="360"/>
      </w:pPr>
    </w:lvl>
    <w:lvl w:ilvl="1">
      <w:start w:val="1"/>
      <w:numFmt w:val="decimal"/>
      <w:isLgl/>
      <w:lvlText w:val="%1.%2"/>
      <w:lvlJc w:val="left"/>
      <w:pPr>
        <w:ind w:left="900" w:hanging="360"/>
      </w:pPr>
      <w:rPr>
        <w:rFonts w:hint="default"/>
      </w:rPr>
    </w:lvl>
    <w:lvl w:ilvl="2">
      <w:start w:val="1"/>
      <w:numFmt w:val="lowerRoman"/>
      <w:lvlText w:val="%3."/>
      <w:lvlJc w:val="righ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0" w15:restartNumberingAfterBreak="0">
    <w:nsid w:val="6DA221EF"/>
    <w:multiLevelType w:val="hybridMultilevel"/>
    <w:tmpl w:val="2490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5E642D"/>
    <w:multiLevelType w:val="hybridMultilevel"/>
    <w:tmpl w:val="B5006DC8"/>
    <w:lvl w:ilvl="0" w:tplc="CB94A1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EB90C59"/>
    <w:multiLevelType w:val="hybridMultilevel"/>
    <w:tmpl w:val="E6ACD0DC"/>
    <w:lvl w:ilvl="0" w:tplc="746CAF2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D35DBC"/>
    <w:multiLevelType w:val="hybridMultilevel"/>
    <w:tmpl w:val="8B4C4F4C"/>
    <w:lvl w:ilvl="0" w:tplc="746CAF2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99079E"/>
    <w:multiLevelType w:val="hybridMultilevel"/>
    <w:tmpl w:val="E25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4C575D"/>
    <w:multiLevelType w:val="hybridMultilevel"/>
    <w:tmpl w:val="8D5E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223B4"/>
    <w:multiLevelType w:val="multilevel"/>
    <w:tmpl w:val="B588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5D12061"/>
    <w:multiLevelType w:val="multilevel"/>
    <w:tmpl w:val="CD468766"/>
    <w:lvl w:ilvl="0">
      <w:start w:val="1"/>
      <w:numFmt w:val="upperRoman"/>
      <w:lvlText w:val="%1."/>
      <w:lvlJc w:val="right"/>
      <w:pPr>
        <w:ind w:left="900" w:hanging="360"/>
      </w:pPr>
    </w:lvl>
    <w:lvl w:ilvl="1">
      <w:start w:val="1"/>
      <w:numFmt w:val="decimal"/>
      <w:isLgl/>
      <w:lvlText w:val="%1.%2"/>
      <w:lvlJc w:val="left"/>
      <w:pPr>
        <w:ind w:left="900" w:hanging="360"/>
      </w:pPr>
      <w:rPr>
        <w:rFonts w:hint="default"/>
      </w:rPr>
    </w:lvl>
    <w:lvl w:ilvl="2">
      <w:start w:val="1"/>
      <w:numFmt w:val="lowerRoman"/>
      <w:lvlText w:val="%3."/>
      <w:lvlJc w:val="righ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8" w15:restartNumberingAfterBreak="0">
    <w:nsid w:val="7D5330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DB85976"/>
    <w:multiLevelType w:val="hybridMultilevel"/>
    <w:tmpl w:val="A6A44C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7546848C">
      <w:numFmt w:val="bullet"/>
      <w:lvlText w:val="•"/>
      <w:lvlJc w:val="left"/>
      <w:pPr>
        <w:ind w:left="2340" w:hanging="72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3"/>
  </w:num>
  <w:num w:numId="3">
    <w:abstractNumId w:val="49"/>
  </w:num>
  <w:num w:numId="4">
    <w:abstractNumId w:val="57"/>
  </w:num>
  <w:num w:numId="5">
    <w:abstractNumId w:val="50"/>
  </w:num>
  <w:num w:numId="6">
    <w:abstractNumId w:val="3"/>
  </w:num>
  <w:num w:numId="7">
    <w:abstractNumId w:val="46"/>
  </w:num>
  <w:num w:numId="8">
    <w:abstractNumId w:val="2"/>
  </w:num>
  <w:num w:numId="9">
    <w:abstractNumId w:val="40"/>
  </w:num>
  <w:num w:numId="10">
    <w:abstractNumId w:val="30"/>
  </w:num>
  <w:num w:numId="11">
    <w:abstractNumId w:val="33"/>
  </w:num>
  <w:num w:numId="12">
    <w:abstractNumId w:val="39"/>
  </w:num>
  <w:num w:numId="13">
    <w:abstractNumId w:val="48"/>
  </w:num>
  <w:num w:numId="14">
    <w:abstractNumId w:val="37"/>
  </w:num>
  <w:num w:numId="15">
    <w:abstractNumId w:val="31"/>
  </w:num>
  <w:num w:numId="16">
    <w:abstractNumId w:val="21"/>
  </w:num>
  <w:num w:numId="17">
    <w:abstractNumId w:val="19"/>
  </w:num>
  <w:num w:numId="18">
    <w:abstractNumId w:val="43"/>
  </w:num>
  <w:num w:numId="19">
    <w:abstractNumId w:val="28"/>
  </w:num>
  <w:num w:numId="20">
    <w:abstractNumId w:val="52"/>
  </w:num>
  <w:num w:numId="21">
    <w:abstractNumId w:val="42"/>
  </w:num>
  <w:num w:numId="22">
    <w:abstractNumId w:val="53"/>
  </w:num>
  <w:num w:numId="23">
    <w:abstractNumId w:val="13"/>
  </w:num>
  <w:num w:numId="24">
    <w:abstractNumId w:val="56"/>
  </w:num>
  <w:num w:numId="25">
    <w:abstractNumId w:val="22"/>
  </w:num>
  <w:num w:numId="26">
    <w:abstractNumId w:val="59"/>
  </w:num>
  <w:num w:numId="27">
    <w:abstractNumId w:val="1"/>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41"/>
  </w:num>
  <w:num w:numId="31">
    <w:abstractNumId w:val="54"/>
  </w:num>
  <w:num w:numId="32">
    <w:abstractNumId w:val="4"/>
  </w:num>
  <w:num w:numId="33">
    <w:abstractNumId w:val="51"/>
  </w:num>
  <w:num w:numId="34">
    <w:abstractNumId w:val="12"/>
  </w:num>
  <w:num w:numId="35">
    <w:abstractNumId w:val="58"/>
  </w:num>
  <w:num w:numId="36">
    <w:abstractNumId w:val="34"/>
  </w:num>
  <w:num w:numId="37">
    <w:abstractNumId w:val="14"/>
  </w:num>
  <w:num w:numId="38">
    <w:abstractNumId w:val="10"/>
  </w:num>
  <w:num w:numId="39">
    <w:abstractNumId w:val="18"/>
  </w:num>
  <w:num w:numId="40">
    <w:abstractNumId w:val="47"/>
  </w:num>
  <w:num w:numId="41">
    <w:abstractNumId w:val="26"/>
  </w:num>
  <w:num w:numId="42">
    <w:abstractNumId w:val="15"/>
  </w:num>
  <w:num w:numId="43">
    <w:abstractNumId w:val="45"/>
  </w:num>
  <w:num w:numId="44">
    <w:abstractNumId w:val="8"/>
  </w:num>
  <w:num w:numId="45">
    <w:abstractNumId w:val="7"/>
  </w:num>
  <w:num w:numId="46">
    <w:abstractNumId w:val="6"/>
  </w:num>
  <w:num w:numId="47">
    <w:abstractNumId w:val="55"/>
  </w:num>
  <w:num w:numId="48">
    <w:abstractNumId w:val="44"/>
  </w:num>
  <w:num w:numId="49">
    <w:abstractNumId w:val="35"/>
  </w:num>
  <w:num w:numId="50">
    <w:abstractNumId w:val="9"/>
  </w:num>
  <w:num w:numId="5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25"/>
  </w:num>
  <w:num w:numId="54">
    <w:abstractNumId w:val="17"/>
  </w:num>
  <w:num w:numId="55">
    <w:abstractNumId w:val="32"/>
  </w:num>
  <w:num w:numId="56">
    <w:abstractNumId w:val="38"/>
  </w:num>
  <w:num w:numId="57">
    <w:abstractNumId w:val="5"/>
  </w:num>
  <w:num w:numId="58">
    <w:abstractNumId w:val="0"/>
  </w:num>
  <w:num w:numId="59">
    <w:abstractNumId w:val="36"/>
  </w:num>
  <w:num w:numId="6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yMDSysDAwMzGxtDRQ0lEKTi0uzszPAykwqgUAcvaO0ywAAAA="/>
  </w:docVars>
  <w:rsids>
    <w:rsidRoot w:val="006D28EE"/>
    <w:rsid w:val="00000D8F"/>
    <w:rsid w:val="00012145"/>
    <w:rsid w:val="00015884"/>
    <w:rsid w:val="00021F59"/>
    <w:rsid w:val="000261B0"/>
    <w:rsid w:val="000310F5"/>
    <w:rsid w:val="0005125F"/>
    <w:rsid w:val="000612E3"/>
    <w:rsid w:val="0006245B"/>
    <w:rsid w:val="00062AA9"/>
    <w:rsid w:val="00080C2A"/>
    <w:rsid w:val="00086316"/>
    <w:rsid w:val="00095613"/>
    <w:rsid w:val="000A0F21"/>
    <w:rsid w:val="000B2893"/>
    <w:rsid w:val="000C7A83"/>
    <w:rsid w:val="000C7D0F"/>
    <w:rsid w:val="000C7F7B"/>
    <w:rsid w:val="000D2506"/>
    <w:rsid w:val="000F13E5"/>
    <w:rsid w:val="000F74D0"/>
    <w:rsid w:val="00102D9A"/>
    <w:rsid w:val="001050DA"/>
    <w:rsid w:val="00110FAC"/>
    <w:rsid w:val="00121BE0"/>
    <w:rsid w:val="00123F65"/>
    <w:rsid w:val="00130A6C"/>
    <w:rsid w:val="00131F3E"/>
    <w:rsid w:val="001353B3"/>
    <w:rsid w:val="00136422"/>
    <w:rsid w:val="00153246"/>
    <w:rsid w:val="00155F0F"/>
    <w:rsid w:val="0015606A"/>
    <w:rsid w:val="001640C6"/>
    <w:rsid w:val="001654CD"/>
    <w:rsid w:val="00165E97"/>
    <w:rsid w:val="0017237B"/>
    <w:rsid w:val="00172581"/>
    <w:rsid w:val="00174F7E"/>
    <w:rsid w:val="00175E29"/>
    <w:rsid w:val="001767C0"/>
    <w:rsid w:val="00180F24"/>
    <w:rsid w:val="001949F4"/>
    <w:rsid w:val="00195ED1"/>
    <w:rsid w:val="001A4F0A"/>
    <w:rsid w:val="001A6948"/>
    <w:rsid w:val="001C098E"/>
    <w:rsid w:val="001C26FA"/>
    <w:rsid w:val="001C38F0"/>
    <w:rsid w:val="001C3AF3"/>
    <w:rsid w:val="001C4E14"/>
    <w:rsid w:val="001C7ED0"/>
    <w:rsid w:val="001D10C1"/>
    <w:rsid w:val="001D347F"/>
    <w:rsid w:val="001D5124"/>
    <w:rsid w:val="001D7FE0"/>
    <w:rsid w:val="001F06DE"/>
    <w:rsid w:val="002004F5"/>
    <w:rsid w:val="002021B5"/>
    <w:rsid w:val="002035F9"/>
    <w:rsid w:val="00206D8D"/>
    <w:rsid w:val="0021677D"/>
    <w:rsid w:val="0022011A"/>
    <w:rsid w:val="002230B9"/>
    <w:rsid w:val="0022352B"/>
    <w:rsid w:val="0022755E"/>
    <w:rsid w:val="0023170E"/>
    <w:rsid w:val="00237A0E"/>
    <w:rsid w:val="002464A4"/>
    <w:rsid w:val="00265B53"/>
    <w:rsid w:val="00271678"/>
    <w:rsid w:val="00275984"/>
    <w:rsid w:val="0028052D"/>
    <w:rsid w:val="00285C6E"/>
    <w:rsid w:val="0028758B"/>
    <w:rsid w:val="002902F9"/>
    <w:rsid w:val="00291559"/>
    <w:rsid w:val="00291CFE"/>
    <w:rsid w:val="00297880"/>
    <w:rsid w:val="002A0532"/>
    <w:rsid w:val="002A0626"/>
    <w:rsid w:val="002A2B08"/>
    <w:rsid w:val="002A525D"/>
    <w:rsid w:val="002B0543"/>
    <w:rsid w:val="002B3F70"/>
    <w:rsid w:val="002B4D95"/>
    <w:rsid w:val="002C0699"/>
    <w:rsid w:val="002C50F1"/>
    <w:rsid w:val="002E060D"/>
    <w:rsid w:val="002E1FC9"/>
    <w:rsid w:val="002E31DE"/>
    <w:rsid w:val="002E379D"/>
    <w:rsid w:val="00321C38"/>
    <w:rsid w:val="0032258B"/>
    <w:rsid w:val="003226C2"/>
    <w:rsid w:val="00322E6B"/>
    <w:rsid w:val="00331DEA"/>
    <w:rsid w:val="00341249"/>
    <w:rsid w:val="003429AE"/>
    <w:rsid w:val="0034336C"/>
    <w:rsid w:val="00343CD2"/>
    <w:rsid w:val="003564F7"/>
    <w:rsid w:val="00356E00"/>
    <w:rsid w:val="00363620"/>
    <w:rsid w:val="00372E33"/>
    <w:rsid w:val="00374EFA"/>
    <w:rsid w:val="00385658"/>
    <w:rsid w:val="00386525"/>
    <w:rsid w:val="0039028B"/>
    <w:rsid w:val="00391211"/>
    <w:rsid w:val="00391519"/>
    <w:rsid w:val="0039230F"/>
    <w:rsid w:val="003A6C95"/>
    <w:rsid w:val="003A7CEE"/>
    <w:rsid w:val="003B02A9"/>
    <w:rsid w:val="003B07BB"/>
    <w:rsid w:val="003B285C"/>
    <w:rsid w:val="003B5C82"/>
    <w:rsid w:val="003D2A71"/>
    <w:rsid w:val="003D4B9D"/>
    <w:rsid w:val="003E0374"/>
    <w:rsid w:val="003E3763"/>
    <w:rsid w:val="003F0D1E"/>
    <w:rsid w:val="003F3B40"/>
    <w:rsid w:val="004049EE"/>
    <w:rsid w:val="00406749"/>
    <w:rsid w:val="004070F0"/>
    <w:rsid w:val="00412636"/>
    <w:rsid w:val="00412D60"/>
    <w:rsid w:val="00415422"/>
    <w:rsid w:val="004173B4"/>
    <w:rsid w:val="00423957"/>
    <w:rsid w:val="0044452A"/>
    <w:rsid w:val="00463354"/>
    <w:rsid w:val="00467D25"/>
    <w:rsid w:val="00470155"/>
    <w:rsid w:val="00484649"/>
    <w:rsid w:val="004850B4"/>
    <w:rsid w:val="00490864"/>
    <w:rsid w:val="004946EF"/>
    <w:rsid w:val="004949A0"/>
    <w:rsid w:val="004A3686"/>
    <w:rsid w:val="004A55D2"/>
    <w:rsid w:val="004B0BD7"/>
    <w:rsid w:val="004B36C2"/>
    <w:rsid w:val="004B3E99"/>
    <w:rsid w:val="004B5C8B"/>
    <w:rsid w:val="004C6A40"/>
    <w:rsid w:val="004C7A36"/>
    <w:rsid w:val="004D1FBC"/>
    <w:rsid w:val="004D7E05"/>
    <w:rsid w:val="004E2614"/>
    <w:rsid w:val="004F1621"/>
    <w:rsid w:val="004F379B"/>
    <w:rsid w:val="00510B21"/>
    <w:rsid w:val="00516DFA"/>
    <w:rsid w:val="00525CF1"/>
    <w:rsid w:val="0052686A"/>
    <w:rsid w:val="00533AD7"/>
    <w:rsid w:val="005453C9"/>
    <w:rsid w:val="00547576"/>
    <w:rsid w:val="005534B9"/>
    <w:rsid w:val="0055489D"/>
    <w:rsid w:val="00557D5B"/>
    <w:rsid w:val="00571B83"/>
    <w:rsid w:val="0057274F"/>
    <w:rsid w:val="0057708E"/>
    <w:rsid w:val="005857C3"/>
    <w:rsid w:val="00585DA3"/>
    <w:rsid w:val="00596BA0"/>
    <w:rsid w:val="005A0522"/>
    <w:rsid w:val="005A23E5"/>
    <w:rsid w:val="005A62C0"/>
    <w:rsid w:val="005B6780"/>
    <w:rsid w:val="005C0A09"/>
    <w:rsid w:val="005C3E79"/>
    <w:rsid w:val="005C3F77"/>
    <w:rsid w:val="005D16F4"/>
    <w:rsid w:val="005D20C6"/>
    <w:rsid w:val="005D6E7E"/>
    <w:rsid w:val="005E3320"/>
    <w:rsid w:val="005E784B"/>
    <w:rsid w:val="005F20B4"/>
    <w:rsid w:val="005F4B72"/>
    <w:rsid w:val="005F5803"/>
    <w:rsid w:val="006107CE"/>
    <w:rsid w:val="00610BF4"/>
    <w:rsid w:val="00613DF1"/>
    <w:rsid w:val="006261E5"/>
    <w:rsid w:val="0062724D"/>
    <w:rsid w:val="00631201"/>
    <w:rsid w:val="00637770"/>
    <w:rsid w:val="00642226"/>
    <w:rsid w:val="0064294F"/>
    <w:rsid w:val="00653DE0"/>
    <w:rsid w:val="006564FC"/>
    <w:rsid w:val="00660B61"/>
    <w:rsid w:val="006622B7"/>
    <w:rsid w:val="00663A4D"/>
    <w:rsid w:val="0067146F"/>
    <w:rsid w:val="006716B4"/>
    <w:rsid w:val="00672C33"/>
    <w:rsid w:val="00673F76"/>
    <w:rsid w:val="006774F2"/>
    <w:rsid w:val="006844A7"/>
    <w:rsid w:val="00692DEC"/>
    <w:rsid w:val="006A091F"/>
    <w:rsid w:val="006B0DF8"/>
    <w:rsid w:val="006B5C95"/>
    <w:rsid w:val="006B6C44"/>
    <w:rsid w:val="006C06AD"/>
    <w:rsid w:val="006C3B18"/>
    <w:rsid w:val="006C7CDE"/>
    <w:rsid w:val="006D28EE"/>
    <w:rsid w:val="006E0B05"/>
    <w:rsid w:val="006E6440"/>
    <w:rsid w:val="007024FE"/>
    <w:rsid w:val="0070505A"/>
    <w:rsid w:val="007106E1"/>
    <w:rsid w:val="00712402"/>
    <w:rsid w:val="00714A62"/>
    <w:rsid w:val="00723AF0"/>
    <w:rsid w:val="00724602"/>
    <w:rsid w:val="007249DB"/>
    <w:rsid w:val="0072662F"/>
    <w:rsid w:val="00735919"/>
    <w:rsid w:val="007414C4"/>
    <w:rsid w:val="00744946"/>
    <w:rsid w:val="00745128"/>
    <w:rsid w:val="0074697C"/>
    <w:rsid w:val="007529EB"/>
    <w:rsid w:val="00752CC1"/>
    <w:rsid w:val="007573BC"/>
    <w:rsid w:val="00757508"/>
    <w:rsid w:val="007665A9"/>
    <w:rsid w:val="0076684A"/>
    <w:rsid w:val="00771986"/>
    <w:rsid w:val="00771DB8"/>
    <w:rsid w:val="00773C0B"/>
    <w:rsid w:val="007952EF"/>
    <w:rsid w:val="007961D0"/>
    <w:rsid w:val="007A05EA"/>
    <w:rsid w:val="007A4901"/>
    <w:rsid w:val="007A7AC4"/>
    <w:rsid w:val="007B29FC"/>
    <w:rsid w:val="007B5604"/>
    <w:rsid w:val="007C3390"/>
    <w:rsid w:val="007C635E"/>
    <w:rsid w:val="007D0C28"/>
    <w:rsid w:val="007E1EF9"/>
    <w:rsid w:val="007E1F78"/>
    <w:rsid w:val="007E76FF"/>
    <w:rsid w:val="007F2D4E"/>
    <w:rsid w:val="008021DB"/>
    <w:rsid w:val="0080236E"/>
    <w:rsid w:val="00802457"/>
    <w:rsid w:val="008041CC"/>
    <w:rsid w:val="00820586"/>
    <w:rsid w:val="00824EB6"/>
    <w:rsid w:val="00827B88"/>
    <w:rsid w:val="00833E83"/>
    <w:rsid w:val="0083491A"/>
    <w:rsid w:val="00836E4C"/>
    <w:rsid w:val="00841ADB"/>
    <w:rsid w:val="00843E98"/>
    <w:rsid w:val="00846115"/>
    <w:rsid w:val="00846CED"/>
    <w:rsid w:val="008534FD"/>
    <w:rsid w:val="00856C26"/>
    <w:rsid w:val="00865849"/>
    <w:rsid w:val="00865908"/>
    <w:rsid w:val="008766BD"/>
    <w:rsid w:val="008767F2"/>
    <w:rsid w:val="008768D2"/>
    <w:rsid w:val="0088622E"/>
    <w:rsid w:val="00891BAF"/>
    <w:rsid w:val="008A04EC"/>
    <w:rsid w:val="008A4FBF"/>
    <w:rsid w:val="008B0993"/>
    <w:rsid w:val="008B3FEF"/>
    <w:rsid w:val="008C23F5"/>
    <w:rsid w:val="008D1EDF"/>
    <w:rsid w:val="008D4F7D"/>
    <w:rsid w:val="008D5CF6"/>
    <w:rsid w:val="008E7106"/>
    <w:rsid w:val="008F377A"/>
    <w:rsid w:val="00917E83"/>
    <w:rsid w:val="009226C5"/>
    <w:rsid w:val="009229C1"/>
    <w:rsid w:val="00922F40"/>
    <w:rsid w:val="00926AC0"/>
    <w:rsid w:val="0093096F"/>
    <w:rsid w:val="00937C73"/>
    <w:rsid w:val="0094587C"/>
    <w:rsid w:val="00945B88"/>
    <w:rsid w:val="0095292E"/>
    <w:rsid w:val="0095460D"/>
    <w:rsid w:val="009574C2"/>
    <w:rsid w:val="00962C85"/>
    <w:rsid w:val="00972226"/>
    <w:rsid w:val="00972B07"/>
    <w:rsid w:val="00975856"/>
    <w:rsid w:val="00983134"/>
    <w:rsid w:val="00994F87"/>
    <w:rsid w:val="009964A1"/>
    <w:rsid w:val="009A2B88"/>
    <w:rsid w:val="009A308E"/>
    <w:rsid w:val="009A3EB5"/>
    <w:rsid w:val="009A54F1"/>
    <w:rsid w:val="009C3866"/>
    <w:rsid w:val="009E7516"/>
    <w:rsid w:val="009F1963"/>
    <w:rsid w:val="009F3C08"/>
    <w:rsid w:val="009F6A51"/>
    <w:rsid w:val="009F7084"/>
    <w:rsid w:val="009F71B4"/>
    <w:rsid w:val="00A038B4"/>
    <w:rsid w:val="00A0406E"/>
    <w:rsid w:val="00A05075"/>
    <w:rsid w:val="00A15D34"/>
    <w:rsid w:val="00A308DF"/>
    <w:rsid w:val="00A34BAF"/>
    <w:rsid w:val="00A35003"/>
    <w:rsid w:val="00A3508D"/>
    <w:rsid w:val="00A54C82"/>
    <w:rsid w:val="00A54CC3"/>
    <w:rsid w:val="00A5553A"/>
    <w:rsid w:val="00A71930"/>
    <w:rsid w:val="00A75F11"/>
    <w:rsid w:val="00A81FD0"/>
    <w:rsid w:val="00A85941"/>
    <w:rsid w:val="00A93646"/>
    <w:rsid w:val="00A976B1"/>
    <w:rsid w:val="00AA21EB"/>
    <w:rsid w:val="00AB4148"/>
    <w:rsid w:val="00AB64E3"/>
    <w:rsid w:val="00AC3F3B"/>
    <w:rsid w:val="00AC6898"/>
    <w:rsid w:val="00AD03C8"/>
    <w:rsid w:val="00AD6BD8"/>
    <w:rsid w:val="00AE0063"/>
    <w:rsid w:val="00AE2669"/>
    <w:rsid w:val="00AE70B2"/>
    <w:rsid w:val="00B02DAF"/>
    <w:rsid w:val="00B02E7F"/>
    <w:rsid w:val="00B049C0"/>
    <w:rsid w:val="00B06796"/>
    <w:rsid w:val="00B06A46"/>
    <w:rsid w:val="00B10219"/>
    <w:rsid w:val="00B17CB9"/>
    <w:rsid w:val="00B20D83"/>
    <w:rsid w:val="00B2304C"/>
    <w:rsid w:val="00B2576D"/>
    <w:rsid w:val="00B31392"/>
    <w:rsid w:val="00B423EC"/>
    <w:rsid w:val="00B42B35"/>
    <w:rsid w:val="00B51941"/>
    <w:rsid w:val="00B57D40"/>
    <w:rsid w:val="00B6464E"/>
    <w:rsid w:val="00B6594C"/>
    <w:rsid w:val="00B65ED8"/>
    <w:rsid w:val="00B75483"/>
    <w:rsid w:val="00B76CB1"/>
    <w:rsid w:val="00B773FC"/>
    <w:rsid w:val="00B81188"/>
    <w:rsid w:val="00B824C4"/>
    <w:rsid w:val="00B90099"/>
    <w:rsid w:val="00B928B3"/>
    <w:rsid w:val="00B968F9"/>
    <w:rsid w:val="00BB76BD"/>
    <w:rsid w:val="00BC4A6E"/>
    <w:rsid w:val="00BC4E16"/>
    <w:rsid w:val="00BC74DA"/>
    <w:rsid w:val="00BD12A0"/>
    <w:rsid w:val="00BD4C52"/>
    <w:rsid w:val="00BF3399"/>
    <w:rsid w:val="00BF3F3C"/>
    <w:rsid w:val="00BF6B91"/>
    <w:rsid w:val="00C0006B"/>
    <w:rsid w:val="00C04C05"/>
    <w:rsid w:val="00C1153F"/>
    <w:rsid w:val="00C13740"/>
    <w:rsid w:val="00C15340"/>
    <w:rsid w:val="00C1561A"/>
    <w:rsid w:val="00C17775"/>
    <w:rsid w:val="00C2563F"/>
    <w:rsid w:val="00C32DC3"/>
    <w:rsid w:val="00C4751A"/>
    <w:rsid w:val="00C53AA5"/>
    <w:rsid w:val="00C61E7C"/>
    <w:rsid w:val="00C7149C"/>
    <w:rsid w:val="00C71BC8"/>
    <w:rsid w:val="00C738A3"/>
    <w:rsid w:val="00C87CEF"/>
    <w:rsid w:val="00CA10C2"/>
    <w:rsid w:val="00CA4024"/>
    <w:rsid w:val="00CA5996"/>
    <w:rsid w:val="00CA6EF2"/>
    <w:rsid w:val="00CA7EDF"/>
    <w:rsid w:val="00CB2A1C"/>
    <w:rsid w:val="00CC2617"/>
    <w:rsid w:val="00CC29B3"/>
    <w:rsid w:val="00CC4371"/>
    <w:rsid w:val="00CC53F3"/>
    <w:rsid w:val="00CC70DF"/>
    <w:rsid w:val="00CD1023"/>
    <w:rsid w:val="00CD585D"/>
    <w:rsid w:val="00CE1CED"/>
    <w:rsid w:val="00CE667F"/>
    <w:rsid w:val="00CF2617"/>
    <w:rsid w:val="00CF4B49"/>
    <w:rsid w:val="00D063FE"/>
    <w:rsid w:val="00D1782A"/>
    <w:rsid w:val="00D23332"/>
    <w:rsid w:val="00D36D4F"/>
    <w:rsid w:val="00D42886"/>
    <w:rsid w:val="00D42F77"/>
    <w:rsid w:val="00D463C7"/>
    <w:rsid w:val="00D556A7"/>
    <w:rsid w:val="00D70710"/>
    <w:rsid w:val="00D74736"/>
    <w:rsid w:val="00D74A66"/>
    <w:rsid w:val="00D8171A"/>
    <w:rsid w:val="00D8265C"/>
    <w:rsid w:val="00D87ECF"/>
    <w:rsid w:val="00D93732"/>
    <w:rsid w:val="00D967C0"/>
    <w:rsid w:val="00DA6860"/>
    <w:rsid w:val="00DA77AB"/>
    <w:rsid w:val="00DB02FE"/>
    <w:rsid w:val="00DB5863"/>
    <w:rsid w:val="00DB6F81"/>
    <w:rsid w:val="00DB772A"/>
    <w:rsid w:val="00DB7758"/>
    <w:rsid w:val="00DC025F"/>
    <w:rsid w:val="00DC7B58"/>
    <w:rsid w:val="00DF4FA1"/>
    <w:rsid w:val="00DF79D2"/>
    <w:rsid w:val="00E02CBD"/>
    <w:rsid w:val="00E11AFD"/>
    <w:rsid w:val="00E13C20"/>
    <w:rsid w:val="00E150CB"/>
    <w:rsid w:val="00E16C04"/>
    <w:rsid w:val="00E20AE6"/>
    <w:rsid w:val="00E20DEC"/>
    <w:rsid w:val="00E40C68"/>
    <w:rsid w:val="00E44450"/>
    <w:rsid w:val="00E534E2"/>
    <w:rsid w:val="00E57C28"/>
    <w:rsid w:val="00E614EC"/>
    <w:rsid w:val="00E67A70"/>
    <w:rsid w:val="00E77E61"/>
    <w:rsid w:val="00E81D50"/>
    <w:rsid w:val="00E905ED"/>
    <w:rsid w:val="00E90B09"/>
    <w:rsid w:val="00E93CB6"/>
    <w:rsid w:val="00E94046"/>
    <w:rsid w:val="00E95850"/>
    <w:rsid w:val="00EA5BEA"/>
    <w:rsid w:val="00EB3C2D"/>
    <w:rsid w:val="00EC04F2"/>
    <w:rsid w:val="00EC1907"/>
    <w:rsid w:val="00EC4502"/>
    <w:rsid w:val="00EC54A4"/>
    <w:rsid w:val="00ED7F7E"/>
    <w:rsid w:val="00EE229A"/>
    <w:rsid w:val="00EE691C"/>
    <w:rsid w:val="00EF3A7A"/>
    <w:rsid w:val="00F0211F"/>
    <w:rsid w:val="00F04491"/>
    <w:rsid w:val="00F156A7"/>
    <w:rsid w:val="00F1588A"/>
    <w:rsid w:val="00F16FF5"/>
    <w:rsid w:val="00F249E4"/>
    <w:rsid w:val="00F27A56"/>
    <w:rsid w:val="00F61838"/>
    <w:rsid w:val="00F61B94"/>
    <w:rsid w:val="00F715A0"/>
    <w:rsid w:val="00F73320"/>
    <w:rsid w:val="00F740E6"/>
    <w:rsid w:val="00F741A5"/>
    <w:rsid w:val="00F877B3"/>
    <w:rsid w:val="00F908AC"/>
    <w:rsid w:val="00F91DC6"/>
    <w:rsid w:val="00F934EB"/>
    <w:rsid w:val="00F96D06"/>
    <w:rsid w:val="00F974AC"/>
    <w:rsid w:val="00FA2DFC"/>
    <w:rsid w:val="00FA64AF"/>
    <w:rsid w:val="00FB157D"/>
    <w:rsid w:val="00FB2570"/>
    <w:rsid w:val="00FB5D26"/>
    <w:rsid w:val="00FB67D8"/>
    <w:rsid w:val="00FD1B24"/>
    <w:rsid w:val="00FE2E53"/>
    <w:rsid w:val="00FF1F29"/>
    <w:rsid w:val="00FF6544"/>
    <w:rsid w:val="00FF7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A94DC"/>
  <w15:docId w15:val="{498881A2-122A-48D1-A178-E2697639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F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F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124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n,Fußnotentextf,Fußnote,footnote,Footnote Text Char1 Char,Footnote Text Char Char Char,Footnote Text Char Char Char Char Char Char,ADB,Footnote Text Char Char Char Char Char Char Char,Footnote Text Char Char Char Char Char,single space,f"/>
    <w:basedOn w:val="Normal"/>
    <w:link w:val="FootnoteTextChar"/>
    <w:uiPriority w:val="99"/>
    <w:unhideWhenUsed/>
    <w:rsid w:val="001D5124"/>
    <w:pPr>
      <w:spacing w:after="0" w:line="240" w:lineRule="auto"/>
    </w:pPr>
    <w:rPr>
      <w:sz w:val="20"/>
      <w:szCs w:val="20"/>
    </w:rPr>
  </w:style>
  <w:style w:type="character" w:customStyle="1" w:styleId="FootnoteTextChar">
    <w:name w:val="Footnote Text Char"/>
    <w:aliases w:val="fn Char,Fußnotentextf Char,Fußnote Char,footnote Char,Footnote Text Char1 Char Char,Footnote Text Char Char Char Char,Footnote Text Char Char Char Char Char Char Char1,ADB Char,Footnote Text Char Char Char Char Char Char Char Char"/>
    <w:basedOn w:val="DefaultParagraphFont"/>
    <w:link w:val="FootnoteText"/>
    <w:uiPriority w:val="99"/>
    <w:rsid w:val="001D5124"/>
    <w:rPr>
      <w:sz w:val="20"/>
      <w:szCs w:val="20"/>
    </w:rPr>
  </w:style>
  <w:style w:type="character" w:styleId="FootnoteReference">
    <w:name w:val="footnote reference"/>
    <w:aliases w:val="ftref,(NECG) Footnote Reference,Ref,de nota al pie,Style 24,16 Point,Superscript 6 Point,Fußnotenzeichen DISS,referencia nota al pie,Nota de pie,Ref. de nota al pie2,Massilia Footnote Reference,Nota al pie info 1,Footnote,titulo 2,FC"/>
    <w:basedOn w:val="DefaultParagraphFont"/>
    <w:uiPriority w:val="99"/>
    <w:unhideWhenUsed/>
    <w:rsid w:val="001D5124"/>
    <w:rPr>
      <w:vertAlign w:val="superscript"/>
    </w:rPr>
  </w:style>
  <w:style w:type="character" w:customStyle="1" w:styleId="Heading1Char">
    <w:name w:val="Heading 1 Char"/>
    <w:basedOn w:val="DefaultParagraphFont"/>
    <w:link w:val="Heading1"/>
    <w:uiPriority w:val="9"/>
    <w:rsid w:val="00673F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F76"/>
    <w:rPr>
      <w:rFonts w:asciiTheme="majorHAnsi" w:eastAsiaTheme="majorEastAsia" w:hAnsiTheme="majorHAnsi" w:cstheme="majorBidi"/>
      <w:color w:val="2E74B5" w:themeColor="accent1" w:themeShade="BF"/>
      <w:sz w:val="26"/>
      <w:szCs w:val="26"/>
    </w:rPr>
  </w:style>
  <w:style w:type="paragraph" w:styleId="ListParagraph">
    <w:name w:val="List Paragraph"/>
    <w:aliases w:val="Table/Figure Heading,En tête 1,List Paragraph1,IFCL - List Paragraph"/>
    <w:basedOn w:val="Normal"/>
    <w:link w:val="ListParagraphChar"/>
    <w:uiPriority w:val="34"/>
    <w:qFormat/>
    <w:rsid w:val="00673F76"/>
    <w:pPr>
      <w:spacing w:after="200" w:line="276" w:lineRule="auto"/>
      <w:ind w:left="720"/>
      <w:contextualSpacing/>
    </w:pPr>
  </w:style>
  <w:style w:type="character" w:styleId="CommentReference">
    <w:name w:val="annotation reference"/>
    <w:basedOn w:val="DefaultParagraphFont"/>
    <w:uiPriority w:val="99"/>
    <w:semiHidden/>
    <w:unhideWhenUsed/>
    <w:rsid w:val="00673F76"/>
    <w:rPr>
      <w:sz w:val="16"/>
      <w:szCs w:val="16"/>
    </w:rPr>
  </w:style>
  <w:style w:type="paragraph" w:styleId="CommentText">
    <w:name w:val="annotation text"/>
    <w:basedOn w:val="Normal"/>
    <w:link w:val="CommentTextChar"/>
    <w:uiPriority w:val="99"/>
    <w:unhideWhenUsed/>
    <w:rsid w:val="00673F76"/>
    <w:pPr>
      <w:spacing w:line="240" w:lineRule="auto"/>
    </w:pPr>
    <w:rPr>
      <w:sz w:val="20"/>
      <w:szCs w:val="20"/>
    </w:rPr>
  </w:style>
  <w:style w:type="character" w:customStyle="1" w:styleId="CommentTextChar">
    <w:name w:val="Comment Text Char"/>
    <w:basedOn w:val="DefaultParagraphFont"/>
    <w:link w:val="CommentText"/>
    <w:uiPriority w:val="99"/>
    <w:rsid w:val="00673F76"/>
    <w:rPr>
      <w:sz w:val="20"/>
      <w:szCs w:val="20"/>
    </w:rPr>
  </w:style>
  <w:style w:type="paragraph" w:styleId="CommentSubject">
    <w:name w:val="annotation subject"/>
    <w:basedOn w:val="CommentText"/>
    <w:next w:val="CommentText"/>
    <w:link w:val="CommentSubjectChar"/>
    <w:uiPriority w:val="99"/>
    <w:semiHidden/>
    <w:unhideWhenUsed/>
    <w:rsid w:val="00673F76"/>
    <w:rPr>
      <w:b/>
      <w:bCs/>
    </w:rPr>
  </w:style>
  <w:style w:type="character" w:customStyle="1" w:styleId="CommentSubjectChar">
    <w:name w:val="Comment Subject Char"/>
    <w:basedOn w:val="CommentTextChar"/>
    <w:link w:val="CommentSubject"/>
    <w:uiPriority w:val="99"/>
    <w:semiHidden/>
    <w:rsid w:val="00673F76"/>
    <w:rPr>
      <w:b/>
      <w:bCs/>
      <w:sz w:val="20"/>
      <w:szCs w:val="20"/>
    </w:rPr>
  </w:style>
  <w:style w:type="paragraph" w:styleId="BalloonText">
    <w:name w:val="Balloon Text"/>
    <w:basedOn w:val="Normal"/>
    <w:link w:val="BalloonTextChar"/>
    <w:uiPriority w:val="99"/>
    <w:semiHidden/>
    <w:unhideWhenUsed/>
    <w:rsid w:val="0067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F76"/>
    <w:rPr>
      <w:rFonts w:ascii="Segoe UI" w:hAnsi="Segoe UI" w:cs="Segoe UI"/>
      <w:sz w:val="18"/>
      <w:szCs w:val="18"/>
    </w:rPr>
  </w:style>
  <w:style w:type="paragraph" w:customStyle="1" w:styleId="Paragraph">
    <w:name w:val="Paragraph"/>
    <w:aliases w:val="paragraph,p,PARAGRAPH,PG,pa,at"/>
    <w:basedOn w:val="BodyTextIndent"/>
    <w:link w:val="ParagraphChar"/>
    <w:qFormat/>
    <w:rsid w:val="00B2304C"/>
    <w:pPr>
      <w:tabs>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character" w:customStyle="1" w:styleId="ParagraphChar">
    <w:name w:val="Paragraph Char"/>
    <w:link w:val="Paragraph"/>
    <w:locked/>
    <w:rsid w:val="00B2304C"/>
    <w:rPr>
      <w:rFonts w:ascii="Times New Roman" w:eastAsia="Times New Roman" w:hAnsi="Times New Roman" w:cs="Times New Roman"/>
      <w:sz w:val="24"/>
      <w:szCs w:val="20"/>
      <w:lang w:val="es-ES_tradnl"/>
    </w:rPr>
  </w:style>
  <w:style w:type="paragraph" w:styleId="BodyTextIndent">
    <w:name w:val="Body Text Indent"/>
    <w:basedOn w:val="Normal"/>
    <w:link w:val="BodyTextIndentChar"/>
    <w:uiPriority w:val="99"/>
    <w:semiHidden/>
    <w:unhideWhenUsed/>
    <w:rsid w:val="00B2304C"/>
    <w:pPr>
      <w:spacing w:after="120"/>
      <w:ind w:left="360"/>
    </w:pPr>
  </w:style>
  <w:style w:type="character" w:customStyle="1" w:styleId="BodyTextIndentChar">
    <w:name w:val="Body Text Indent Char"/>
    <w:basedOn w:val="DefaultParagraphFont"/>
    <w:link w:val="BodyTextIndent"/>
    <w:uiPriority w:val="99"/>
    <w:semiHidden/>
    <w:rsid w:val="00B2304C"/>
  </w:style>
  <w:style w:type="character" w:styleId="Hyperlink">
    <w:name w:val="Hyperlink"/>
    <w:basedOn w:val="DefaultParagraphFont"/>
    <w:uiPriority w:val="99"/>
    <w:unhideWhenUsed/>
    <w:rsid w:val="009574C2"/>
    <w:rPr>
      <w:color w:val="0563C1" w:themeColor="hyperlink"/>
      <w:u w:val="single"/>
    </w:rPr>
  </w:style>
  <w:style w:type="character" w:customStyle="1" w:styleId="ListParagraphChar">
    <w:name w:val="List Paragraph Char"/>
    <w:aliases w:val="Table/Figure Heading Char,En tête 1 Char,List Paragraph1 Char,IFCL - List Paragraph Char"/>
    <w:basedOn w:val="DefaultParagraphFont"/>
    <w:link w:val="ListParagraph"/>
    <w:uiPriority w:val="34"/>
    <w:locked/>
    <w:rsid w:val="00547576"/>
  </w:style>
  <w:style w:type="paragraph" w:styleId="Header">
    <w:name w:val="header"/>
    <w:basedOn w:val="Normal"/>
    <w:link w:val="HeaderChar"/>
    <w:uiPriority w:val="99"/>
    <w:unhideWhenUsed/>
    <w:rsid w:val="00086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316"/>
  </w:style>
  <w:style w:type="paragraph" w:styleId="Footer">
    <w:name w:val="footer"/>
    <w:basedOn w:val="Normal"/>
    <w:link w:val="FooterChar"/>
    <w:uiPriority w:val="99"/>
    <w:unhideWhenUsed/>
    <w:rsid w:val="00086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316"/>
  </w:style>
  <w:style w:type="character" w:styleId="Strong">
    <w:name w:val="Strong"/>
    <w:basedOn w:val="DefaultParagraphFont"/>
    <w:uiPriority w:val="22"/>
    <w:qFormat/>
    <w:rsid w:val="002230B9"/>
    <w:rPr>
      <w:b/>
      <w:bCs/>
    </w:rPr>
  </w:style>
  <w:style w:type="paragraph" w:styleId="NormalWeb">
    <w:name w:val="Normal (Web)"/>
    <w:basedOn w:val="Normal"/>
    <w:uiPriority w:val="99"/>
    <w:semiHidden/>
    <w:unhideWhenUsed/>
    <w:rsid w:val="002230B9"/>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802457"/>
    <w:pPr>
      <w:spacing w:after="0" w:line="240" w:lineRule="auto"/>
    </w:pPr>
  </w:style>
  <w:style w:type="table" w:customStyle="1" w:styleId="PlainTable11">
    <w:name w:val="Plain Table 11"/>
    <w:basedOn w:val="TableNormal"/>
    <w:uiPriority w:val="99"/>
    <w:rsid w:val="009F7084"/>
    <w:pPr>
      <w:spacing w:after="0" w:line="240" w:lineRule="auto"/>
    </w:pPr>
    <w:rPr>
      <w:rFonts w:eastAsiaTheme="minorEastAsia"/>
      <w:sz w:val="24"/>
      <w:szCs w:val="24"/>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par">
    <w:name w:val="subpar"/>
    <w:basedOn w:val="BodyTextIndent3"/>
    <w:uiPriority w:val="99"/>
    <w:rsid w:val="009A2B88"/>
    <w:pPr>
      <w:spacing w:before="120" w:line="240" w:lineRule="auto"/>
      <w:ind w:left="2160" w:hanging="36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uiPriority w:val="99"/>
    <w:rsid w:val="009A2B88"/>
    <w:pPr>
      <w:tabs>
        <w:tab w:val="left" w:pos="0"/>
      </w:tabs>
      <w:ind w:left="2880"/>
    </w:pPr>
  </w:style>
  <w:style w:type="paragraph" w:styleId="BodyTextIndent3">
    <w:name w:val="Body Text Indent 3"/>
    <w:basedOn w:val="Normal"/>
    <w:link w:val="BodyTextIndent3Char"/>
    <w:uiPriority w:val="99"/>
    <w:semiHidden/>
    <w:unhideWhenUsed/>
    <w:rsid w:val="009A2B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B88"/>
    <w:rPr>
      <w:sz w:val="16"/>
      <w:szCs w:val="16"/>
    </w:rPr>
  </w:style>
  <w:style w:type="table" w:styleId="TableGrid">
    <w:name w:val="Table Grid"/>
    <w:basedOn w:val="TableNormal"/>
    <w:uiPriority w:val="39"/>
    <w:rsid w:val="008534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7758"/>
    <w:rPr>
      <w:color w:val="808080"/>
      <w:shd w:val="clear" w:color="auto" w:fill="E6E6E6"/>
    </w:rPr>
  </w:style>
  <w:style w:type="character" w:customStyle="1" w:styleId="UnresolvedMention2">
    <w:name w:val="Unresolved Mention2"/>
    <w:basedOn w:val="DefaultParagraphFont"/>
    <w:uiPriority w:val="99"/>
    <w:semiHidden/>
    <w:unhideWhenUsed/>
    <w:rsid w:val="00195ED1"/>
    <w:rPr>
      <w:color w:val="808080"/>
      <w:shd w:val="clear" w:color="auto" w:fill="E6E6E6"/>
    </w:rPr>
  </w:style>
  <w:style w:type="paragraph" w:customStyle="1" w:styleId="Tablesmalltext">
    <w:name w:val="Table small text"/>
    <w:basedOn w:val="Normal"/>
    <w:uiPriority w:val="15"/>
    <w:qFormat/>
    <w:rsid w:val="00B773FC"/>
    <w:pPr>
      <w:spacing w:before="40" w:after="40" w:line="240" w:lineRule="atLeast"/>
    </w:pPr>
    <w:rPr>
      <w:rFonts w:ascii="Arial" w:eastAsiaTheme="minorEastAsia" w:hAnsi="Arial"/>
      <w:sz w:val="16"/>
      <w:szCs w:val="24"/>
      <w:lang w:val="en-GB"/>
    </w:rPr>
  </w:style>
  <w:style w:type="paragraph" w:customStyle="1" w:styleId="Tablesmallheading">
    <w:name w:val="Table small heading"/>
    <w:basedOn w:val="Normal"/>
    <w:uiPriority w:val="15"/>
    <w:qFormat/>
    <w:rsid w:val="00B773FC"/>
    <w:pPr>
      <w:keepNext/>
      <w:spacing w:before="60" w:after="60" w:line="240" w:lineRule="atLeast"/>
    </w:pPr>
    <w:rPr>
      <w:rFonts w:ascii="Arial" w:eastAsiaTheme="minorEastAsia" w:hAnsi="Arial"/>
      <w:b/>
      <w:sz w:val="16"/>
      <w:szCs w:val="24"/>
      <w:lang w:val="en-GB"/>
    </w:rPr>
  </w:style>
  <w:style w:type="numbering" w:customStyle="1" w:styleId="SKMBulletList13">
    <w:name w:val="SKM Bullet List 13"/>
    <w:uiPriority w:val="99"/>
    <w:rsid w:val="00B773FC"/>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4818">
      <w:bodyDiv w:val="1"/>
      <w:marLeft w:val="0"/>
      <w:marRight w:val="0"/>
      <w:marTop w:val="0"/>
      <w:marBottom w:val="0"/>
      <w:divBdr>
        <w:top w:val="none" w:sz="0" w:space="0" w:color="auto"/>
        <w:left w:val="none" w:sz="0" w:space="0" w:color="auto"/>
        <w:bottom w:val="none" w:sz="0" w:space="0" w:color="auto"/>
        <w:right w:val="none" w:sz="0" w:space="0" w:color="auto"/>
      </w:divBdr>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268977842">
      <w:bodyDiv w:val="1"/>
      <w:marLeft w:val="0"/>
      <w:marRight w:val="0"/>
      <w:marTop w:val="0"/>
      <w:marBottom w:val="0"/>
      <w:divBdr>
        <w:top w:val="none" w:sz="0" w:space="0" w:color="auto"/>
        <w:left w:val="none" w:sz="0" w:space="0" w:color="auto"/>
        <w:bottom w:val="none" w:sz="0" w:space="0" w:color="auto"/>
        <w:right w:val="none" w:sz="0" w:space="0" w:color="auto"/>
      </w:divBdr>
    </w:div>
    <w:div w:id="371076473">
      <w:bodyDiv w:val="1"/>
      <w:marLeft w:val="0"/>
      <w:marRight w:val="0"/>
      <w:marTop w:val="0"/>
      <w:marBottom w:val="0"/>
      <w:divBdr>
        <w:top w:val="none" w:sz="0" w:space="0" w:color="auto"/>
        <w:left w:val="none" w:sz="0" w:space="0" w:color="auto"/>
        <w:bottom w:val="none" w:sz="0" w:space="0" w:color="auto"/>
        <w:right w:val="none" w:sz="0" w:space="0" w:color="auto"/>
      </w:divBdr>
    </w:div>
    <w:div w:id="470681622">
      <w:bodyDiv w:val="1"/>
      <w:marLeft w:val="0"/>
      <w:marRight w:val="0"/>
      <w:marTop w:val="0"/>
      <w:marBottom w:val="0"/>
      <w:divBdr>
        <w:top w:val="none" w:sz="0" w:space="0" w:color="auto"/>
        <w:left w:val="none" w:sz="0" w:space="0" w:color="auto"/>
        <w:bottom w:val="none" w:sz="0" w:space="0" w:color="auto"/>
        <w:right w:val="none" w:sz="0" w:space="0" w:color="auto"/>
      </w:divBdr>
      <w:divsChild>
        <w:div w:id="1569995981">
          <w:marLeft w:val="0"/>
          <w:marRight w:val="0"/>
          <w:marTop w:val="0"/>
          <w:marBottom w:val="0"/>
          <w:divBdr>
            <w:top w:val="none" w:sz="0" w:space="0" w:color="auto"/>
            <w:left w:val="none" w:sz="0" w:space="0" w:color="auto"/>
            <w:bottom w:val="none" w:sz="0" w:space="0" w:color="auto"/>
            <w:right w:val="none" w:sz="0" w:space="0" w:color="auto"/>
          </w:divBdr>
          <w:divsChild>
            <w:div w:id="2140951016">
              <w:marLeft w:val="0"/>
              <w:marRight w:val="0"/>
              <w:marTop w:val="0"/>
              <w:marBottom w:val="0"/>
              <w:divBdr>
                <w:top w:val="none" w:sz="0" w:space="0" w:color="auto"/>
                <w:left w:val="none" w:sz="0" w:space="0" w:color="auto"/>
                <w:bottom w:val="none" w:sz="0" w:space="0" w:color="auto"/>
                <w:right w:val="none" w:sz="0" w:space="0" w:color="auto"/>
              </w:divBdr>
              <w:divsChild>
                <w:div w:id="163060014">
                  <w:marLeft w:val="0"/>
                  <w:marRight w:val="0"/>
                  <w:marTop w:val="0"/>
                  <w:marBottom w:val="0"/>
                  <w:divBdr>
                    <w:top w:val="none" w:sz="0" w:space="0" w:color="auto"/>
                    <w:left w:val="none" w:sz="0" w:space="0" w:color="auto"/>
                    <w:bottom w:val="none" w:sz="0" w:space="0" w:color="auto"/>
                    <w:right w:val="none" w:sz="0" w:space="0" w:color="auto"/>
                  </w:divBdr>
                  <w:divsChild>
                    <w:div w:id="187332687">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972751397">
                              <w:marLeft w:val="0"/>
                              <w:marRight w:val="0"/>
                              <w:marTop w:val="0"/>
                              <w:marBottom w:val="0"/>
                              <w:divBdr>
                                <w:top w:val="none" w:sz="0" w:space="0" w:color="auto"/>
                                <w:left w:val="none" w:sz="0" w:space="0" w:color="auto"/>
                                <w:bottom w:val="none" w:sz="0" w:space="0" w:color="auto"/>
                                <w:right w:val="none" w:sz="0" w:space="0" w:color="auto"/>
                              </w:divBdr>
                              <w:divsChild>
                                <w:div w:id="17499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939978">
      <w:bodyDiv w:val="1"/>
      <w:marLeft w:val="0"/>
      <w:marRight w:val="0"/>
      <w:marTop w:val="0"/>
      <w:marBottom w:val="0"/>
      <w:divBdr>
        <w:top w:val="none" w:sz="0" w:space="0" w:color="auto"/>
        <w:left w:val="none" w:sz="0" w:space="0" w:color="auto"/>
        <w:bottom w:val="none" w:sz="0" w:space="0" w:color="auto"/>
        <w:right w:val="none" w:sz="0" w:space="0" w:color="auto"/>
      </w:divBdr>
    </w:div>
    <w:div w:id="595944513">
      <w:bodyDiv w:val="1"/>
      <w:marLeft w:val="0"/>
      <w:marRight w:val="0"/>
      <w:marTop w:val="0"/>
      <w:marBottom w:val="0"/>
      <w:divBdr>
        <w:top w:val="none" w:sz="0" w:space="0" w:color="auto"/>
        <w:left w:val="none" w:sz="0" w:space="0" w:color="auto"/>
        <w:bottom w:val="none" w:sz="0" w:space="0" w:color="auto"/>
        <w:right w:val="none" w:sz="0" w:space="0" w:color="auto"/>
      </w:divBdr>
    </w:div>
    <w:div w:id="651835361">
      <w:bodyDiv w:val="1"/>
      <w:marLeft w:val="0"/>
      <w:marRight w:val="0"/>
      <w:marTop w:val="0"/>
      <w:marBottom w:val="0"/>
      <w:divBdr>
        <w:top w:val="none" w:sz="0" w:space="0" w:color="auto"/>
        <w:left w:val="none" w:sz="0" w:space="0" w:color="auto"/>
        <w:bottom w:val="none" w:sz="0" w:space="0" w:color="auto"/>
        <w:right w:val="none" w:sz="0" w:space="0" w:color="auto"/>
      </w:divBdr>
    </w:div>
    <w:div w:id="820342766">
      <w:bodyDiv w:val="1"/>
      <w:marLeft w:val="0"/>
      <w:marRight w:val="0"/>
      <w:marTop w:val="0"/>
      <w:marBottom w:val="0"/>
      <w:divBdr>
        <w:top w:val="none" w:sz="0" w:space="0" w:color="auto"/>
        <w:left w:val="none" w:sz="0" w:space="0" w:color="auto"/>
        <w:bottom w:val="none" w:sz="0" w:space="0" w:color="auto"/>
        <w:right w:val="none" w:sz="0" w:space="0" w:color="auto"/>
      </w:divBdr>
    </w:div>
    <w:div w:id="1184056747">
      <w:bodyDiv w:val="1"/>
      <w:marLeft w:val="0"/>
      <w:marRight w:val="0"/>
      <w:marTop w:val="0"/>
      <w:marBottom w:val="0"/>
      <w:divBdr>
        <w:top w:val="none" w:sz="0" w:space="0" w:color="auto"/>
        <w:left w:val="none" w:sz="0" w:space="0" w:color="auto"/>
        <w:bottom w:val="none" w:sz="0" w:space="0" w:color="auto"/>
        <w:right w:val="none" w:sz="0" w:space="0" w:color="auto"/>
      </w:divBdr>
    </w:div>
    <w:div w:id="1334063540">
      <w:bodyDiv w:val="1"/>
      <w:marLeft w:val="0"/>
      <w:marRight w:val="0"/>
      <w:marTop w:val="0"/>
      <w:marBottom w:val="0"/>
      <w:divBdr>
        <w:top w:val="none" w:sz="0" w:space="0" w:color="auto"/>
        <w:left w:val="none" w:sz="0" w:space="0" w:color="auto"/>
        <w:bottom w:val="none" w:sz="0" w:space="0" w:color="auto"/>
        <w:right w:val="none" w:sz="0" w:space="0" w:color="auto"/>
      </w:divBdr>
      <w:divsChild>
        <w:div w:id="2129660741">
          <w:marLeft w:val="0"/>
          <w:marRight w:val="0"/>
          <w:marTop w:val="0"/>
          <w:marBottom w:val="0"/>
          <w:divBdr>
            <w:top w:val="none" w:sz="0" w:space="0" w:color="auto"/>
            <w:left w:val="none" w:sz="0" w:space="0" w:color="auto"/>
            <w:bottom w:val="none" w:sz="0" w:space="0" w:color="auto"/>
            <w:right w:val="none" w:sz="0" w:space="0" w:color="auto"/>
          </w:divBdr>
          <w:divsChild>
            <w:div w:id="766539274">
              <w:marLeft w:val="0"/>
              <w:marRight w:val="0"/>
              <w:marTop w:val="0"/>
              <w:marBottom w:val="0"/>
              <w:divBdr>
                <w:top w:val="none" w:sz="0" w:space="0" w:color="auto"/>
                <w:left w:val="none" w:sz="0" w:space="0" w:color="auto"/>
                <w:bottom w:val="none" w:sz="0" w:space="0" w:color="auto"/>
                <w:right w:val="none" w:sz="0" w:space="0" w:color="auto"/>
              </w:divBdr>
              <w:divsChild>
                <w:div w:id="1426806815">
                  <w:marLeft w:val="0"/>
                  <w:marRight w:val="0"/>
                  <w:marTop w:val="0"/>
                  <w:marBottom w:val="0"/>
                  <w:divBdr>
                    <w:top w:val="none" w:sz="0" w:space="0" w:color="auto"/>
                    <w:left w:val="none" w:sz="0" w:space="0" w:color="auto"/>
                    <w:bottom w:val="none" w:sz="0" w:space="0" w:color="auto"/>
                    <w:right w:val="none" w:sz="0" w:space="0" w:color="auto"/>
                  </w:divBdr>
                  <w:divsChild>
                    <w:div w:id="1775401718">
                      <w:marLeft w:val="0"/>
                      <w:marRight w:val="0"/>
                      <w:marTop w:val="0"/>
                      <w:marBottom w:val="0"/>
                      <w:divBdr>
                        <w:top w:val="none" w:sz="0" w:space="0" w:color="auto"/>
                        <w:left w:val="none" w:sz="0" w:space="0" w:color="auto"/>
                        <w:bottom w:val="none" w:sz="0" w:space="0" w:color="auto"/>
                        <w:right w:val="none" w:sz="0" w:space="0" w:color="auto"/>
                      </w:divBdr>
                      <w:divsChild>
                        <w:div w:id="2135058268">
                          <w:marLeft w:val="0"/>
                          <w:marRight w:val="0"/>
                          <w:marTop w:val="0"/>
                          <w:marBottom w:val="0"/>
                          <w:divBdr>
                            <w:top w:val="none" w:sz="0" w:space="0" w:color="auto"/>
                            <w:left w:val="none" w:sz="0" w:space="0" w:color="auto"/>
                            <w:bottom w:val="none" w:sz="0" w:space="0" w:color="auto"/>
                            <w:right w:val="none" w:sz="0" w:space="0" w:color="auto"/>
                          </w:divBdr>
                          <w:divsChild>
                            <w:div w:id="196312386">
                              <w:marLeft w:val="0"/>
                              <w:marRight w:val="0"/>
                              <w:marTop w:val="0"/>
                              <w:marBottom w:val="0"/>
                              <w:divBdr>
                                <w:top w:val="none" w:sz="0" w:space="0" w:color="auto"/>
                                <w:left w:val="none" w:sz="0" w:space="0" w:color="auto"/>
                                <w:bottom w:val="none" w:sz="0" w:space="0" w:color="auto"/>
                                <w:right w:val="none" w:sz="0" w:space="0" w:color="auto"/>
                              </w:divBdr>
                              <w:divsChild>
                                <w:div w:id="116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406121">
      <w:bodyDiv w:val="1"/>
      <w:marLeft w:val="0"/>
      <w:marRight w:val="0"/>
      <w:marTop w:val="0"/>
      <w:marBottom w:val="0"/>
      <w:divBdr>
        <w:top w:val="none" w:sz="0" w:space="0" w:color="auto"/>
        <w:left w:val="none" w:sz="0" w:space="0" w:color="auto"/>
        <w:bottom w:val="none" w:sz="0" w:space="0" w:color="auto"/>
        <w:right w:val="none" w:sz="0" w:space="0" w:color="auto"/>
      </w:divBdr>
    </w:div>
    <w:div w:id="1637645085">
      <w:bodyDiv w:val="1"/>
      <w:marLeft w:val="0"/>
      <w:marRight w:val="0"/>
      <w:marTop w:val="0"/>
      <w:marBottom w:val="0"/>
      <w:divBdr>
        <w:top w:val="none" w:sz="0" w:space="0" w:color="auto"/>
        <w:left w:val="none" w:sz="0" w:space="0" w:color="auto"/>
        <w:bottom w:val="none" w:sz="0" w:space="0" w:color="auto"/>
        <w:right w:val="none" w:sz="0" w:space="0" w:color="auto"/>
      </w:divBdr>
    </w:div>
    <w:div w:id="1840147497">
      <w:bodyDiv w:val="1"/>
      <w:marLeft w:val="0"/>
      <w:marRight w:val="0"/>
      <w:marTop w:val="0"/>
      <w:marBottom w:val="0"/>
      <w:divBdr>
        <w:top w:val="none" w:sz="0" w:space="0" w:color="auto"/>
        <w:left w:val="none" w:sz="0" w:space="0" w:color="auto"/>
        <w:bottom w:val="none" w:sz="0" w:space="0" w:color="auto"/>
        <w:right w:val="none" w:sz="0" w:space="0" w:color="auto"/>
      </w:divBdr>
    </w:div>
    <w:div w:id="1940942334">
      <w:bodyDiv w:val="1"/>
      <w:marLeft w:val="0"/>
      <w:marRight w:val="0"/>
      <w:marTop w:val="0"/>
      <w:marBottom w:val="0"/>
      <w:divBdr>
        <w:top w:val="none" w:sz="0" w:space="0" w:color="auto"/>
        <w:left w:val="none" w:sz="0" w:space="0" w:color="auto"/>
        <w:bottom w:val="none" w:sz="0" w:space="0" w:color="auto"/>
        <w:right w:val="none" w:sz="0" w:space="0" w:color="auto"/>
      </w:divBdr>
    </w:div>
    <w:div w:id="199637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db.org/en/topics/sustainability/about-us,19563.html" TargetMode="External"/><Relationship Id="rId18" Type="http://schemas.openxmlformats.org/officeDocument/2006/relationships/hyperlink" Target="http://www.iadb.org/en/about-us/involuntary-resettlement,6660.html" TargetMode="External"/><Relationship Id="rId26"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iadb.org/document.cfm?id=144230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adb.org/document.cfm?id=360026" TargetMode="External"/><Relationship Id="rId25" Type="http://schemas.openxmlformats.org/officeDocument/2006/relationships/hyperlink" Target="http://www.iadb.org/document.cfm?id=37532979" TargetMode="External"/><Relationship Id="rId33"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hyperlink" Target="http://www.iadb.org/document.cfm?id=35004515" TargetMode="External"/><Relationship Id="rId20" Type="http://schemas.openxmlformats.org/officeDocument/2006/relationships/hyperlink" Target="http://www.iadb.org/document.cfm?id=2032081"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ce.com.ar/es/contacto/" TargetMode="External"/><Relationship Id="rId24" Type="http://schemas.openxmlformats.org/officeDocument/2006/relationships/hyperlink" Target="http://www.iadb.org/document.cfm?id=35167427" TargetMode="Externa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www.iadb.org/document.cfm?id=35597106" TargetMode="External"/><Relationship Id="rId23" Type="http://schemas.openxmlformats.org/officeDocument/2006/relationships/hyperlink" Target="http://www.iadb.org/document.cfm?id=38154638" TargetMode="External"/><Relationship Id="rId10" Type="http://schemas.openxmlformats.org/officeDocument/2006/relationships/hyperlink" Target="http://www.iadb.org/en/information-request,18885.html" TargetMode="External"/><Relationship Id="rId19" Type="http://schemas.openxmlformats.org/officeDocument/2006/relationships/hyperlink" Target="http://www.iadb.org/document.cfm?id=362003"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bice.com.ar/es/banco-mundial/" TargetMode="External"/><Relationship Id="rId14" Type="http://schemas.openxmlformats.org/officeDocument/2006/relationships/hyperlink" Target="http://www.iadb.org/document.cfm?id=665902" TargetMode="External"/><Relationship Id="rId22" Type="http://schemas.openxmlformats.org/officeDocument/2006/relationships/hyperlink" Target="http://www.iadb.org/document.cfm?id=35428399"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ci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z-Corporate" ma:contentTypeID="0x0101000308A27134084F4AA40781B2DCA498A5003ACD1AB1F4959344B1A6FBED362214AD" ma:contentTypeVersion="7" ma:contentTypeDescription="The corporate content type from which other content types in the corporate content type track inherit their information." ma:contentTypeScope="" ma:versionID="cf54ee8f5bd28e1adab665a6c6b5d240">
  <xsd:schema xmlns:xsd="http://www.w3.org/2001/XMLSchema" xmlns:xs="http://www.w3.org/2001/XMLSchema" xmlns:p="http://schemas.microsoft.com/office/2006/metadata/properties" xmlns:ns2="cdc7663a-08f0-4737-9e8c-148ce897a09c" targetNamespace="http://schemas.microsoft.com/office/2006/metadata/properties" ma:root="true" ma:fieldsID="b7df264c2e0925b86a60da74d8b0c7d3" ns2:_="">
    <xsd:import namespace="cdc7663a-08f0-4737-9e8c-148ce897a09c"/>
    <xsd:element name="properties">
      <xsd:complexType>
        <xsd:sequence>
          <xsd:element name="documentManagement">
            <xsd:complexType>
              <xsd:all>
                <xsd:element ref="ns2:Access_x0020_to_x0020_Information_x00a0_Policy"/>
                <xsd:element ref="ns2:Document_x0020_Author" minOccurs="0"/>
                <xsd:element ref="ns2:Other_x0020_Author" minOccurs="0"/>
                <xsd:element ref="ns2:Division_x0020_or_x0020_Unit" minOccurs="0"/>
                <xsd:element ref="ns2:Document_x0020_Language_x0020_IDB" minOccurs="0"/>
                <xsd:element ref="ns2:From_x003a_" minOccurs="0"/>
                <xsd:element ref="ns2:To_x003a_" minOccurs="0"/>
                <xsd:element ref="ns2:Identifier" minOccurs="0"/>
                <xsd:element ref="ns2:IDBDocs_x0020_Number" minOccurs="0"/>
                <xsd:element ref="ns2:Migration_x0020_Info" minOccurs="0"/>
                <xsd:element ref="ns2:ic46d7e087fd4a108fb86518ca413cc6" minOccurs="0"/>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j65ec2e3a7e44c39a1acebfd2a19200a" minOccurs="0"/>
                <xsd:element ref="ns2:SISCOR_x0020_Number" minOccurs="0"/>
                <xsd:element ref="ns2:Fiscal_x0020_Year_x0020_IDB"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Access_x0020_to_x0020_Information_x00a0_Policy" ma:index="2"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5" nillable="true" ma:displayName="Document Author" ma:internalName="Document_x0020_Author">
      <xsd:simpleType>
        <xsd:restriction base="dms:Text">
          <xsd:maxLength value="255"/>
        </xsd:restriction>
      </xsd:simpleType>
    </xsd:element>
    <xsd:element name="Other_x0020_Author" ma:index="6" nillable="true" ma:displayName="Other Author" ma:internalName="Other_x0020_Author">
      <xsd:simpleType>
        <xsd:restriction base="dms:Text">
          <xsd:maxLength value="255"/>
        </xsd:restriction>
      </xsd:simpleType>
    </xsd:element>
    <xsd:element name="Division_x0020_or_x0020_Unit" ma:index="8" nillable="true" ma:displayName="Division or Unit" ma:internalName="Division_x0020_or_x0020_Unit">
      <xsd:simpleType>
        <xsd:restriction base="dms:Text">
          <xsd:maxLength value="255"/>
        </xsd:restriction>
      </xsd:simpleType>
    </xsd:element>
    <xsd:element name="Document_x0020_Language_x0020_IDB" ma:index="9"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10" nillable="true" ma:displayName="From:" ma:description="Sender name from email message" ma:internalName="From_x003A_">
      <xsd:simpleType>
        <xsd:restriction base="dms:Text">
          <xsd:maxLength value="255"/>
        </xsd:restriction>
      </xsd:simpleType>
    </xsd:element>
    <xsd:element name="To_x003a_" ma:index="11" nillable="true" ma:displayName="To:" ma:description="Addressee names from email message&#10;" ma:internalName="To_x003A_">
      <xsd:simpleType>
        <xsd:restriction base="dms:Text">
          <xsd:maxLength value="255"/>
        </xsd:restriction>
      </xsd:simpleType>
    </xsd:element>
    <xsd:element name="Identifier" ma:index="12" nillable="true" ma:displayName="Identifier" ma:internalName="Identifier">
      <xsd:simpleType>
        <xsd:restriction base="dms:Text">
          <xsd:maxLength value="255"/>
        </xsd:restriction>
      </xsd:simpleType>
    </xsd:element>
    <xsd:element name="IDBDocs_x0020_Number" ma:index="13" nillable="true" ma:displayName="IDBDocs Number" ma:internalName="IDBDocs_x0020_Number" ma:readOnly="false">
      <xsd:simpleType>
        <xsd:restriction base="dms:Text">
          <xsd:maxLength value="255"/>
        </xsd:restriction>
      </xsd:simpleType>
    </xsd:element>
    <xsd:element name="Migration_x0020_Info" ma:index="14" nillable="true" ma:displayName="Migration Info" ma:internalName="Migration_x0020_Info" ma:readOnly="false">
      <xsd:simpleType>
        <xsd:restriction base="dms:Note"/>
      </xsd:simpleType>
    </xsd:element>
    <xsd:element name="ic46d7e087fd4a108fb86518ca413cc6" ma:index="1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cf0f1ca6d90e4583ad80995bcde0e58a" ma:index="23"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900e8227-0d55-4e05-a6d7-b2199c6842a9}" ma:internalName="TaxCatchAll" ma:showField="CatchAllData" ma:web="0da3c2c3-7849-4db0-866c-d5c6829aa306">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900e8227-0d55-4e05-a6d7-b2199c6842a9}" ma:internalName="TaxCatchAllLabel" ma:readOnly="true" ma:showField="CatchAllDataLabel" ma:web="0da3c2c3-7849-4db0-866c-d5c6829aa306">
      <xsd:complexType>
        <xsd:complexContent>
          <xsd:extension base="dms:MultiChoiceLookup">
            <xsd:sequence>
              <xsd:element name="Value" type="dms:Lookup" maxOccurs="unbounded" minOccurs="0" nillable="true"/>
            </xsd:sequence>
          </xsd:extension>
        </xsd:complexContent>
      </xsd:complexType>
    </xsd:element>
    <xsd:element name="j65ec2e3a7e44c39a1acebfd2a19200a" ma:index="27"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SISCOR_x0020_Number" ma:index="29" nillable="true" ma:displayName="SISCOR Number" ma:internalName="SISCOR_x0020_Number" ma:readOnly="false">
      <xsd:simpleType>
        <xsd:restriction base="dms:Text">
          <xsd:maxLength value="255"/>
        </xsd:restriction>
      </xsd:simpleType>
    </xsd:element>
    <xsd:element name="Fiscal_x0020_Year_x0020_IDB" ma:index="30" nillable="true" ma:displayName="Fiscal Year IDB" ma:internalName="Fiscal_x0020_Year_x0020_IDB" ma:readOnly="false">
      <xsd:simpleType>
        <xsd:restriction base="dms:Text">
          <xsd:maxLength value="255"/>
        </xsd:restriction>
      </xsd:simpleType>
    </xsd:element>
    <xsd:element name="Record_x0020_Number" ma:index="31" nillable="true" ma:displayName="Record Number" ma:internalName="Record_x0020_Number">
      <xsd:simpleType>
        <xsd:restriction base="dms:Text">
          <xsd:maxLength value="255"/>
        </xsd:restriction>
      </xsd:simpleType>
    </xsd:element>
    <xsd:element name="Related_x0020_SisCor_x0020_Number" ma:index="32"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A09294AD5D9F9C4A8DCD21BEAA45A283" ma:contentTypeVersion="7" ma:contentTypeDescription="A content type to manage public (corporate) IDB documents" ma:contentTypeScope="" ma:versionID="789ecdd6fa971b0b5227d663b68f6ca2">
  <xsd:schema xmlns:xsd="http://www.w3.org/2001/XMLSchema" xmlns:xs="http://www.w3.org/2001/XMLSchema" xmlns:p="http://schemas.microsoft.com/office/2006/metadata/properties" xmlns:ns2="cdc7663a-08f0-4737-9e8c-148ce897a09c" targetNamespace="http://schemas.microsoft.com/office/2006/metadata/properties" ma:root="true" ma:fieldsID="1b6130a88c4144ccab478876ee157cb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0e8227-0d55-4e05-a6d7-b2199c6842a9}" ma:internalName="TaxCatchAll" ma:showField="CatchAllData" ma:web="0da3c2c3-7849-4db0-866c-d5c6829aa3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0e8227-0d55-4e05-a6d7-b2199c6842a9}" ma:internalName="TaxCatchAllLabel" ma:readOnly="true" ma:showField="CatchAllDataLabel" ma:web="0da3c2c3-7849-4db0-866c-d5c6829aa306">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ic46d7e087fd4a108fb86518ca413cc6>
    <Division_x0020_or_x0020_Unit xmlns="cdc7663a-08f0-4737-9e8c-148ce897a09c">EXR/CMG</Division_x0020_or_x0020_Unit>
    <Fiscal_x0020_Year_x0020_IDB xmlns="cdc7663a-08f0-4737-9e8c-148ce897a09c">2018</Fiscal_x0020_Year_x0020_IDB>
    <Other_x0020_Author xmlns="cdc7663a-08f0-4737-9e8c-148ce897a09c" xsi:nil="true"/>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PUB-06.5 News Media Coverage - Social Media Presence</TermName>
          <TermId xmlns="http://schemas.microsoft.com/office/infopath/2007/PartnerControls">a4557346-9cfb-4ecf-a79b-e352d0dcabab</TermId>
        </TermInfo>
      </Terms>
    </j65ec2e3a7e44c39a1acebfd2a19200a>
    <Document_x0020_Author xmlns="cdc7663a-08f0-4737-9e8c-148ce897a09c">Ferriter, John P.</Document_x0020_Author>
    <Document_x0020_Language_x0020_IDB xmlns="cdc7663a-08f0-4737-9e8c-148ce897a09c">English</Document_x0020_Language_x0020_IDB>
    <Related_x0020_SisCor_x0020_Number xmlns="cdc7663a-08f0-4737-9e8c-148ce897a09c" xsi:nil="true"/>
    <TaxCatchAll xmlns="cdc7663a-08f0-4737-9e8c-148ce897a09c">
      <Value>23</Value>
      <Value>7</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7 Public Relations</TermName>
          <TermId xmlns="http://schemas.microsoft.com/office/infopath/2007/PartnerControls">d23e511c-fa8c-4069-b074-dbe83e1cd122</TermId>
        </TermInfo>
      </Terms>
    </cf0f1ca6d90e4583ad80995bcde0e58a>
    <_dlc_DocId xmlns="cdc7663a-08f0-4737-9e8c-148ce897a09c">EZSHARE-1748706463-16</_dlc_DocId>
    <_dlc_DocIdUrl xmlns="cdc7663a-08f0-4737-9e8c-148ce897a09c">
      <Url>https://idbg.sharepoint.com/teams/ez-EXR/CMG/_layouts/15/DocIdRedir.aspx?ID=EZSHARE-1748706463-16</Url>
      <Description>EZSHARE-1748706463-16</Description>
    </_dlc_DocIdUrl>
    <Disclosure_x0020_Activity xmlns="cdc7663a-08f0-4737-9e8c-148ce897a09c">NON-APPLICABLE</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F750CF9C-F77C-46E3-AF4C-98FCA56C983E}">
  <ds:schemaRefs>
    <ds:schemaRef ds:uri="http://schemas.openxmlformats.org/officeDocument/2006/bibliography"/>
  </ds:schemaRefs>
</ds:datastoreItem>
</file>

<file path=customXml/itemProps2.xml><?xml version="1.0" encoding="utf-8"?>
<ds:datastoreItem xmlns:ds="http://schemas.openxmlformats.org/officeDocument/2006/customXml" ds:itemID="{2731934C-B307-425B-ABCF-9CD74A9344B4}"/>
</file>

<file path=customXml/itemProps3.xml><?xml version="1.0" encoding="utf-8"?>
<ds:datastoreItem xmlns:ds="http://schemas.openxmlformats.org/officeDocument/2006/customXml" ds:itemID="{52795E0A-3849-467E-B6F9-4E09F31EECF8}"/>
</file>

<file path=customXml/itemProps4.xml><?xml version="1.0" encoding="utf-8"?>
<ds:datastoreItem xmlns:ds="http://schemas.openxmlformats.org/officeDocument/2006/customXml" ds:itemID="{70320E00-3059-487D-9BC3-3882210F1FE2}"/>
</file>

<file path=customXml/itemProps5.xml><?xml version="1.0" encoding="utf-8"?>
<ds:datastoreItem xmlns:ds="http://schemas.openxmlformats.org/officeDocument/2006/customXml" ds:itemID="{E8C13EEA-91E0-4F8C-B301-A9BCCB8E019A}"/>
</file>

<file path=customXml/itemProps6.xml><?xml version="1.0" encoding="utf-8"?>
<ds:datastoreItem xmlns:ds="http://schemas.openxmlformats.org/officeDocument/2006/customXml" ds:itemID="{9094C74C-692E-4227-ADCF-106B7B144A4E}"/>
</file>

<file path=customXml/itemProps7.xml><?xml version="1.0" encoding="utf-8"?>
<ds:datastoreItem xmlns:ds="http://schemas.openxmlformats.org/officeDocument/2006/customXml" ds:itemID="{064E52D9-D0EA-4918-9863-5E6204635F72}"/>
</file>

<file path=docProps/app.xml><?xml version="1.0" encoding="utf-8"?>
<Properties xmlns="http://schemas.openxmlformats.org/officeDocument/2006/extended-properties" xmlns:vt="http://schemas.openxmlformats.org/officeDocument/2006/docPropsVTypes">
  <Template>Normal.dotm</Template>
  <TotalTime>2</TotalTime>
  <Pages>29</Pages>
  <Words>10460</Words>
  <Characters>59623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Aramburu Munoz-Najar,Romina Monica</dc:creator>
  <cp:keywords/>
  <cp:lastModifiedBy>Filippo Berardi</cp:lastModifiedBy>
  <cp:revision>3</cp:revision>
  <cp:lastPrinted>2018-01-03T13:43:00Z</cp:lastPrinted>
  <dcterms:created xsi:type="dcterms:W3CDTF">2018-01-12T22:29:00Z</dcterms:created>
  <dcterms:modified xsi:type="dcterms:W3CDTF">2018-01-16T16:27:00Z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23;#PUB-06.5 News Media Coverage - Social Media Presence|a4557346-9cfb-4ecf-a79b-e352d0dcabab</vt:lpwstr>
  </property>
  <property fmtid="{D5CDD505-2E9C-101B-9397-08002B2CF9AE}" pid="5" name="Function Corporate IDB">
    <vt:lpwstr>7;#7 Public Relations|d23e511c-fa8c-4069-b074-dbe83e1cd122</vt:lpwstr>
  </property>
  <property fmtid="{D5CDD505-2E9C-101B-9397-08002B2CF9AE}" pid="6" name="TaxKeywordTaxHTField">
    <vt:lpwstr/>
  </property>
  <property fmtid="{D5CDD505-2E9C-101B-9397-08002B2CF9AE}" pid="7" name="Country">
    <vt:lpwstr/>
  </property>
  <property fmtid="{D5CDD505-2E9C-101B-9397-08002B2CF9AE}" pid="8" name="_dlc_DocIdItemGuid">
    <vt:lpwstr>797bf092-cacd-4c89-808b-3969de97d61e</vt:lpwstr>
  </property>
  <property fmtid="{D5CDD505-2E9C-101B-9397-08002B2CF9AE}" pid="10" name="ContentTypeId">
    <vt:lpwstr>0x01010066B06E59AB175241BBFB297522263BEB00A09294AD5D9F9C4A8DCD21BEAA45A283</vt:lpwstr>
  </property>
</Properties>
</file>