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F8" w:rsidRDefault="002615F8" w:rsidP="002615F8">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REQUEST FOR EXPRESSIONS OF INTEREST</w:t>
      </w:r>
    </w:p>
    <w:p w:rsidR="002615F8" w:rsidRPr="00637BD8" w:rsidRDefault="002615F8" w:rsidP="002615F8">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 xml:space="preserve">CONSULTING SERVICES </w:t>
      </w:r>
    </w:p>
    <w:p w:rsidR="002615F8" w:rsidRPr="006C3B20" w:rsidRDefault="002615F8" w:rsidP="002615F8">
      <w:pPr>
        <w:jc w:val="both"/>
        <w:rPr>
          <w:rFonts w:asciiTheme="minorHAnsi" w:hAnsiTheme="minorHAnsi" w:cs="Times New Roman"/>
          <w:color w:val="auto"/>
        </w:rPr>
      </w:pPr>
    </w:p>
    <w:p w:rsidR="002615F8" w:rsidRPr="00834FF1" w:rsidRDefault="002615F8" w:rsidP="002615F8">
      <w:pPr>
        <w:suppressAutoHyphens/>
        <w:rPr>
          <w:rFonts w:asciiTheme="minorHAnsi" w:hAnsiTheme="minorHAnsi" w:cstheme="minorBidi"/>
          <w:color w:val="auto"/>
        </w:rPr>
      </w:pPr>
      <w:r>
        <w:rPr>
          <w:rFonts w:asciiTheme="minorHAnsi" w:hAnsiTheme="minorHAnsi" w:cstheme="minorBidi"/>
          <w:color w:val="auto"/>
        </w:rPr>
        <w:t>Selection #: DR</w:t>
      </w:r>
      <w:r w:rsidRPr="00834FF1">
        <w:rPr>
          <w:rFonts w:asciiTheme="minorHAnsi" w:hAnsiTheme="minorHAnsi" w:cstheme="minorBidi"/>
          <w:color w:val="auto"/>
        </w:rPr>
        <w:t>-T</w:t>
      </w:r>
      <w:r>
        <w:rPr>
          <w:rFonts w:asciiTheme="minorHAnsi" w:hAnsiTheme="minorHAnsi" w:cstheme="minorBidi"/>
          <w:color w:val="auto"/>
        </w:rPr>
        <w:t>1183</w:t>
      </w:r>
      <w:r w:rsidRPr="00834FF1">
        <w:rPr>
          <w:rFonts w:asciiTheme="minorHAnsi" w:hAnsiTheme="minorHAnsi" w:cstheme="minorBidi"/>
          <w:color w:val="auto"/>
        </w:rPr>
        <w:t>-P00</w:t>
      </w:r>
      <w:r>
        <w:rPr>
          <w:rFonts w:asciiTheme="minorHAnsi" w:hAnsiTheme="minorHAnsi" w:cstheme="minorBidi"/>
          <w:color w:val="auto"/>
        </w:rPr>
        <w:t>1</w:t>
      </w:r>
    </w:p>
    <w:p w:rsidR="002615F8" w:rsidRPr="00834FF1" w:rsidRDefault="002615F8" w:rsidP="002615F8">
      <w:pPr>
        <w:rPr>
          <w:rFonts w:asciiTheme="minorHAnsi" w:hAnsiTheme="minorHAnsi" w:cstheme="minorBidi"/>
          <w:color w:val="auto"/>
        </w:rPr>
      </w:pPr>
      <w:r>
        <w:rPr>
          <w:rFonts w:asciiTheme="minorHAnsi" w:hAnsiTheme="minorHAnsi" w:cstheme="minorBidi"/>
          <w:color w:val="auto"/>
        </w:rPr>
        <w:t>Selection Method: Full competitive</w:t>
      </w:r>
    </w:p>
    <w:p w:rsidR="002615F8" w:rsidRPr="00834FF1" w:rsidRDefault="002615F8" w:rsidP="002615F8">
      <w:pPr>
        <w:suppressAutoHyphens/>
        <w:rPr>
          <w:rFonts w:asciiTheme="minorHAnsi" w:hAnsiTheme="minorHAnsi" w:cstheme="minorBidi"/>
          <w:color w:val="auto"/>
        </w:rPr>
      </w:pPr>
      <w:r w:rsidRPr="00834FF1">
        <w:rPr>
          <w:rFonts w:asciiTheme="minorHAnsi" w:hAnsiTheme="minorHAnsi" w:cstheme="minorBidi"/>
          <w:color w:val="auto"/>
        </w:rPr>
        <w:t xml:space="preserve">Country: </w:t>
      </w:r>
      <w:r>
        <w:rPr>
          <w:rFonts w:asciiTheme="minorHAnsi" w:hAnsiTheme="minorHAnsi" w:cstheme="minorBidi"/>
          <w:color w:val="auto"/>
        </w:rPr>
        <w:t>Dominican Republic</w:t>
      </w:r>
    </w:p>
    <w:p w:rsidR="002615F8" w:rsidRPr="00834FF1" w:rsidRDefault="002615F8" w:rsidP="002615F8">
      <w:pPr>
        <w:suppressAutoHyphens/>
        <w:rPr>
          <w:rFonts w:asciiTheme="minorHAnsi" w:hAnsiTheme="minorHAnsi" w:cstheme="minorBidi"/>
          <w:color w:val="auto"/>
        </w:rPr>
      </w:pPr>
      <w:r w:rsidRPr="00834FF1">
        <w:rPr>
          <w:rFonts w:asciiTheme="minorHAnsi" w:hAnsiTheme="minorHAnsi" w:cstheme="minorBidi"/>
          <w:color w:val="auto"/>
        </w:rPr>
        <w:t>Sector: IFD/CMF</w:t>
      </w:r>
    </w:p>
    <w:p w:rsidR="002615F8" w:rsidRPr="0024224B" w:rsidRDefault="002615F8" w:rsidP="002615F8">
      <w:pPr>
        <w:suppressAutoHyphens/>
        <w:rPr>
          <w:rFonts w:asciiTheme="minorHAnsi" w:hAnsiTheme="minorHAnsi" w:cstheme="minorBidi"/>
          <w:color w:val="auto"/>
        </w:rPr>
      </w:pPr>
      <w:r w:rsidRPr="00834FF1">
        <w:rPr>
          <w:rFonts w:asciiTheme="minorHAnsi" w:hAnsiTheme="minorHAnsi" w:cstheme="minorBidi"/>
          <w:color w:val="auto"/>
        </w:rPr>
        <w:t>Funding – TC #:</w:t>
      </w:r>
      <w:r>
        <w:rPr>
          <w:rFonts w:asciiTheme="minorHAnsi" w:hAnsiTheme="minorHAnsi" w:cstheme="minorBidi"/>
          <w:color w:val="auto"/>
        </w:rPr>
        <w:t xml:space="preserve"> </w:t>
      </w:r>
      <w:r w:rsidRPr="00860077">
        <w:rPr>
          <w:rFonts w:asciiTheme="minorHAnsi" w:hAnsiTheme="minorHAnsi" w:cstheme="minorBidi"/>
          <w:color w:val="auto"/>
        </w:rPr>
        <w:t>ATN/KK-17297-DR</w:t>
      </w:r>
      <w:r>
        <w:t>                         </w:t>
      </w:r>
      <w:r>
        <w:rPr>
          <w:rFonts w:eastAsia="Times New Roman"/>
        </w:rPr>
        <w:t>                        </w:t>
      </w:r>
    </w:p>
    <w:p w:rsidR="002615F8" w:rsidRPr="002A56CD" w:rsidRDefault="002615F8" w:rsidP="002615F8">
      <w:pPr>
        <w:pStyle w:val="BodyText"/>
        <w:rPr>
          <w:rFonts w:asciiTheme="minorHAnsi" w:eastAsiaTheme="minorEastAsia" w:hAnsiTheme="minorHAnsi" w:cstheme="minorBidi"/>
          <w:spacing w:val="0"/>
          <w:szCs w:val="24"/>
          <w:lang w:eastAsia="es-AR"/>
        </w:rPr>
      </w:pPr>
      <w:r w:rsidRPr="002A56CD">
        <w:rPr>
          <w:rFonts w:asciiTheme="minorHAnsi" w:eastAsiaTheme="minorEastAsia" w:hAnsiTheme="minorHAnsi" w:cstheme="minorBidi"/>
          <w:spacing w:val="0"/>
          <w:szCs w:val="24"/>
          <w:lang w:eastAsia="es-AR"/>
        </w:rPr>
        <w:t xml:space="preserve">Project #: </w:t>
      </w:r>
      <w:r>
        <w:rPr>
          <w:rFonts w:asciiTheme="minorHAnsi" w:eastAsiaTheme="minorEastAsia" w:hAnsiTheme="minorHAnsi" w:cstheme="minorBidi"/>
          <w:spacing w:val="0"/>
          <w:szCs w:val="24"/>
          <w:lang w:eastAsia="es-AR"/>
        </w:rPr>
        <w:t>DR</w:t>
      </w:r>
      <w:r w:rsidRPr="002A56CD">
        <w:rPr>
          <w:rFonts w:asciiTheme="minorHAnsi" w:eastAsiaTheme="minorEastAsia" w:hAnsiTheme="minorHAnsi" w:cstheme="minorBidi"/>
          <w:spacing w:val="0"/>
          <w:szCs w:val="24"/>
          <w:lang w:eastAsia="es-AR"/>
        </w:rPr>
        <w:t>-T</w:t>
      </w:r>
      <w:r>
        <w:rPr>
          <w:rFonts w:asciiTheme="minorHAnsi" w:eastAsiaTheme="minorEastAsia" w:hAnsiTheme="minorHAnsi" w:cstheme="minorBidi"/>
          <w:spacing w:val="0"/>
          <w:szCs w:val="24"/>
          <w:lang w:eastAsia="es-AR"/>
        </w:rPr>
        <w:t>1183</w:t>
      </w:r>
    </w:p>
    <w:p w:rsidR="002615F8" w:rsidRPr="00834FF1" w:rsidRDefault="002615F8" w:rsidP="002615F8">
      <w:pPr>
        <w:pStyle w:val="BodyText"/>
        <w:tabs>
          <w:tab w:val="left" w:pos="6645"/>
        </w:tabs>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 xml:space="preserve">TC name: </w:t>
      </w:r>
      <w:r w:rsidRPr="00860077">
        <w:rPr>
          <w:rFonts w:asciiTheme="minorHAnsi" w:eastAsiaTheme="minorEastAsia" w:hAnsiTheme="minorHAnsi" w:cstheme="minorBidi"/>
          <w:spacing w:val="0"/>
          <w:szCs w:val="24"/>
          <w:lang w:eastAsia="es-AR"/>
        </w:rPr>
        <w:t>Support to Digitalization in the Dominican Republic</w:t>
      </w:r>
    </w:p>
    <w:p w:rsidR="002615F8" w:rsidRDefault="002615F8" w:rsidP="002615F8">
      <w:pPr>
        <w:spacing w:line="320" w:lineRule="atLeast"/>
        <w:jc w:val="both"/>
        <w:rPr>
          <w:rFonts w:asciiTheme="minorHAnsi" w:hAnsiTheme="minorHAnsi" w:cstheme="minorBidi"/>
          <w:color w:val="auto"/>
        </w:rPr>
      </w:pPr>
    </w:p>
    <w:p w:rsidR="002615F8" w:rsidRPr="00860077" w:rsidRDefault="002615F8" w:rsidP="002615F8">
      <w:pPr>
        <w:pStyle w:val="Paragraph"/>
        <w:numPr>
          <w:ilvl w:val="0"/>
          <w:numId w:val="0"/>
        </w:numPr>
        <w:rPr>
          <w:rFonts w:asciiTheme="minorHAnsi" w:hAnsiTheme="minorHAnsi" w:cstheme="minorBidi"/>
          <w:lang w:val="en-US"/>
        </w:rPr>
      </w:pPr>
      <w:r w:rsidRPr="00860077">
        <w:rPr>
          <w:rFonts w:asciiTheme="minorHAnsi" w:hAnsiTheme="minorHAnsi" w:cstheme="minorBidi"/>
          <w:lang w:val="en-US"/>
        </w:rPr>
        <w:t xml:space="preserve">Description of Services: The general objective of this consultancy is to support the comprehensive digitalization of the Dominican Republic by </w:t>
      </w:r>
      <w:r>
        <w:rPr>
          <w:rFonts w:asciiTheme="minorHAnsi" w:hAnsiTheme="minorHAnsi" w:cstheme="minorBidi"/>
          <w:lang w:val="en-US"/>
        </w:rPr>
        <w:t>defining a roadmap for the implementation of the analogue witch off in the country and support the universality of digital services in Dominican Republic.</w:t>
      </w:r>
      <w:r w:rsidRPr="00860077">
        <w:rPr>
          <w:rFonts w:asciiTheme="minorHAnsi" w:hAnsiTheme="minorHAnsi" w:cstheme="minorBidi"/>
          <w:lang w:val="en-US"/>
        </w:rPr>
        <w:t xml:space="preserve"> </w:t>
      </w:r>
    </w:p>
    <w:p w:rsidR="002615F8" w:rsidRPr="00834FF1" w:rsidRDefault="002615F8" w:rsidP="002615F8">
      <w:pPr>
        <w:pStyle w:val="BodyText"/>
        <w:rPr>
          <w:rFonts w:asciiTheme="minorHAnsi" w:eastAsiaTheme="minorEastAsia" w:hAnsiTheme="minorHAnsi" w:cstheme="minorBidi"/>
          <w:spacing w:val="0"/>
          <w:szCs w:val="24"/>
          <w:lang w:eastAsia="es-AR"/>
        </w:rPr>
      </w:pPr>
      <w:r>
        <w:rPr>
          <w:rFonts w:asciiTheme="minorHAnsi" w:eastAsiaTheme="minorEastAsia" w:hAnsiTheme="minorHAnsi" w:cstheme="minorBidi"/>
          <w:spacing w:val="0"/>
          <w:szCs w:val="24"/>
          <w:lang w:eastAsia="es-AR"/>
        </w:rPr>
        <w:t xml:space="preserve">Link to TC Document: </w:t>
      </w:r>
      <w:sdt>
        <w:sdtPr>
          <w:rPr>
            <w:rFonts w:asciiTheme="minorHAnsi" w:eastAsiaTheme="minorEastAsia" w:hAnsiTheme="minorHAnsi" w:cstheme="minorBidi"/>
            <w:spacing w:val="0"/>
            <w:szCs w:val="24"/>
            <w:lang w:eastAsia="es-AR"/>
          </w:rPr>
          <w:id w:val="-823123152"/>
          <w:placeholder>
            <w:docPart w:val="2DCF77FD445C48D9ADA8465AD19E676A"/>
          </w:placeholder>
          <w:text/>
        </w:sdtPr>
        <w:sdtContent>
          <w:r w:rsidRPr="00B61EB2">
            <w:rPr>
              <w:rFonts w:asciiTheme="minorHAnsi" w:eastAsiaTheme="minorEastAsia" w:hAnsiTheme="minorHAnsi" w:cstheme="minorBidi"/>
              <w:spacing w:val="0"/>
              <w:szCs w:val="24"/>
              <w:lang w:eastAsia="es-AR"/>
            </w:rPr>
            <w:t>https://www.iadb.org/en/project/</w:t>
          </w:r>
          <w:r>
            <w:rPr>
              <w:rFonts w:asciiTheme="minorHAnsi" w:eastAsiaTheme="minorEastAsia" w:hAnsiTheme="minorHAnsi" w:cstheme="minorBidi"/>
              <w:spacing w:val="0"/>
              <w:szCs w:val="24"/>
              <w:lang w:eastAsia="es-AR"/>
            </w:rPr>
            <w:t>DR</w:t>
          </w:r>
          <w:r w:rsidRPr="00B61EB2">
            <w:rPr>
              <w:rFonts w:asciiTheme="minorHAnsi" w:eastAsiaTheme="minorEastAsia" w:hAnsiTheme="minorHAnsi" w:cstheme="minorBidi"/>
              <w:spacing w:val="0"/>
              <w:szCs w:val="24"/>
              <w:lang w:eastAsia="es-AR"/>
            </w:rPr>
            <w:t>-T</w:t>
          </w:r>
          <w:r>
            <w:rPr>
              <w:rFonts w:asciiTheme="minorHAnsi" w:eastAsiaTheme="minorEastAsia" w:hAnsiTheme="minorHAnsi" w:cstheme="minorBidi"/>
              <w:spacing w:val="0"/>
              <w:szCs w:val="24"/>
              <w:lang w:eastAsia="es-AR"/>
            </w:rPr>
            <w:t>1183</w:t>
          </w:r>
        </w:sdtContent>
      </w:sdt>
    </w:p>
    <w:p w:rsidR="002615F8" w:rsidRDefault="002615F8" w:rsidP="002615F8">
      <w:pPr>
        <w:pStyle w:val="BodyText"/>
        <w:rPr>
          <w:rFonts w:asciiTheme="minorHAnsi" w:hAnsiTheme="minorHAnsi" w:cstheme="minorHAnsi"/>
          <w:i/>
          <w:color w:val="0070C0"/>
          <w:szCs w:val="24"/>
        </w:rPr>
      </w:pPr>
    </w:p>
    <w:p w:rsidR="002615F8" w:rsidRPr="00AE7268" w:rsidRDefault="002615F8" w:rsidP="002615F8">
      <w:pPr>
        <w:spacing w:line="320" w:lineRule="atLeast"/>
        <w:jc w:val="both"/>
        <w:rPr>
          <w:rFonts w:asciiTheme="minorHAnsi" w:hAnsiTheme="minorHAnsi" w:cstheme="minorBidi"/>
        </w:rPr>
      </w:pPr>
      <w:r w:rsidRPr="2CDD2216">
        <w:rPr>
          <w:rFonts w:asciiTheme="minorHAnsi" w:hAnsiTheme="minorHAnsi" w:cstheme="minorBidi"/>
          <w:color w:val="auto"/>
        </w:rPr>
        <w:t xml:space="preserve">The Inter-American Development Bank (IDB) is executing the </w:t>
      </w:r>
      <w:proofErr w:type="gramStart"/>
      <w:r w:rsidRPr="2CDD2216">
        <w:rPr>
          <w:rFonts w:asciiTheme="minorHAnsi" w:hAnsiTheme="minorHAnsi" w:cstheme="minorBidi"/>
          <w:color w:val="auto"/>
        </w:rPr>
        <w:t>above mentioned</w:t>
      </w:r>
      <w:proofErr w:type="gramEnd"/>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p>
    <w:p w:rsidR="002615F8" w:rsidRPr="00AE7268" w:rsidRDefault="002615F8" w:rsidP="002615F8">
      <w:pPr>
        <w:spacing w:line="320" w:lineRule="atLeast"/>
        <w:jc w:val="both"/>
        <w:rPr>
          <w:rFonts w:asciiTheme="minorHAnsi" w:hAnsiTheme="minorHAnsi" w:cstheme="minorHAnsi"/>
          <w:spacing w:val="-2"/>
        </w:rPr>
      </w:pPr>
    </w:p>
    <w:p w:rsidR="002615F8" w:rsidRPr="00D44A11" w:rsidRDefault="002615F8" w:rsidP="002615F8">
      <w:pPr>
        <w:spacing w:line="320" w:lineRule="atLeast"/>
        <w:jc w:val="both"/>
        <w:rPr>
          <w:rFonts w:asciiTheme="minorHAnsi" w:hAnsiTheme="minorHAnsi" w:cstheme="minorBidi"/>
          <w:color w:val="auto"/>
        </w:rPr>
      </w:pPr>
      <w:r w:rsidRPr="00D44A11">
        <w:rPr>
          <w:rFonts w:asciiTheme="minorHAnsi" w:hAnsiTheme="minorHAnsi" w:cstheme="minorBidi"/>
          <w:color w:val="auto"/>
        </w:rPr>
        <w:t>The consulting services (“the Services”) include</w:t>
      </w:r>
    </w:p>
    <w:p w:rsidR="002615F8" w:rsidRPr="00D44A11" w:rsidRDefault="002615F8" w:rsidP="002615F8">
      <w:pPr>
        <w:suppressAutoHyphens/>
        <w:jc w:val="both"/>
        <w:rPr>
          <w:rFonts w:asciiTheme="minorHAnsi" w:hAnsiTheme="minorHAnsi" w:cstheme="minorHAnsi"/>
          <w:spacing w:val="-2"/>
          <w:sz w:val="28"/>
          <w:highlight w:val="green"/>
        </w:rPr>
      </w:pPr>
    </w:p>
    <w:p w:rsidR="002615F8" w:rsidRDefault="002615F8" w:rsidP="002615F8">
      <w:pPr>
        <w:pStyle w:val="ListParagraph"/>
        <w:widowControl/>
        <w:numPr>
          <w:ilvl w:val="0"/>
          <w:numId w:val="2"/>
        </w:numPr>
        <w:autoSpaceDE/>
        <w:autoSpaceDN/>
        <w:adjustRightInd/>
        <w:contextualSpacing w:val="0"/>
        <w:jc w:val="both"/>
        <w:rPr>
          <w:b/>
          <w:i/>
          <w:sz w:val="22"/>
          <w:szCs w:val="22"/>
        </w:rPr>
      </w:pPr>
      <w:r w:rsidRPr="00860077">
        <w:rPr>
          <w:b/>
          <w:i/>
          <w:sz w:val="22"/>
          <w:szCs w:val="22"/>
        </w:rPr>
        <w:t xml:space="preserve">Component 1: Institutional framework. </w:t>
      </w:r>
    </w:p>
    <w:p w:rsidR="002615F8" w:rsidRPr="00860077" w:rsidRDefault="002615F8" w:rsidP="002615F8">
      <w:pPr>
        <w:pStyle w:val="ListParagraph"/>
        <w:widowControl/>
        <w:autoSpaceDE/>
        <w:autoSpaceDN/>
        <w:adjustRightInd/>
        <w:contextualSpacing w:val="0"/>
        <w:jc w:val="both"/>
        <w:rPr>
          <w:b/>
          <w:i/>
          <w:sz w:val="22"/>
          <w:szCs w:val="22"/>
        </w:rPr>
      </w:pPr>
    </w:p>
    <w:p w:rsidR="002615F8" w:rsidRDefault="002615F8" w:rsidP="002615F8">
      <w:pPr>
        <w:spacing w:line="320" w:lineRule="atLeast"/>
        <w:jc w:val="both"/>
        <w:rPr>
          <w:rFonts w:asciiTheme="minorHAnsi" w:hAnsiTheme="minorHAnsi" w:cstheme="minorBidi"/>
          <w:color w:val="auto"/>
        </w:rPr>
      </w:pPr>
      <w:r w:rsidRPr="00860077">
        <w:rPr>
          <w:rFonts w:asciiTheme="minorHAnsi" w:hAnsiTheme="minorHAnsi" w:cstheme="minorBidi"/>
          <w:color w:val="auto"/>
        </w:rPr>
        <w:t>The objective of this component is to review and propose updates to, the IT institutional, legal and regulatory frameworks to advance the adoption and use of broadband services and cloud computing. This component is particularly relevant as the decision of investing by the government and private sector requires a stable and predictable regulatory framework that creates the conditions to facilitate investments, as well as a coordinated government investment policy and administrative arrangements. This component includes the following activities:</w:t>
      </w:r>
    </w:p>
    <w:p w:rsidR="002615F8" w:rsidRDefault="002615F8" w:rsidP="002615F8">
      <w:pPr>
        <w:spacing w:line="320" w:lineRule="atLeast"/>
        <w:jc w:val="both"/>
        <w:rPr>
          <w:rFonts w:asciiTheme="minorHAnsi" w:hAnsiTheme="minorHAnsi" w:cstheme="minorBidi"/>
          <w:color w:val="auto"/>
        </w:rPr>
      </w:pPr>
    </w:p>
    <w:p w:rsidR="002615F8" w:rsidRPr="00400E3E" w:rsidRDefault="002615F8" w:rsidP="002615F8">
      <w:pPr>
        <w:pStyle w:val="Paragraph"/>
        <w:numPr>
          <w:ilvl w:val="0"/>
          <w:numId w:val="3"/>
        </w:numPr>
        <w:spacing w:before="0" w:after="0" w:line="320" w:lineRule="atLeast"/>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Activity 1 Review of the administrative, regulatory and legal frameworks</w:t>
      </w:r>
      <w:r>
        <w:rPr>
          <w:rFonts w:ascii="Arial" w:eastAsia="Calibri" w:hAnsi="Arial" w:cs="Arial"/>
          <w:b/>
          <w:bCs/>
          <w:sz w:val="22"/>
          <w:szCs w:val="22"/>
          <w:lang w:val="en-US" w:eastAsia="es-MX"/>
        </w:rPr>
        <w:t xml:space="preserve"> related to digital infrastructure</w:t>
      </w:r>
      <w:r w:rsidRPr="00400E3E">
        <w:rPr>
          <w:rFonts w:ascii="Arial" w:eastAsia="Calibri" w:hAnsi="Arial" w:cs="Arial"/>
          <w:b/>
          <w:bCs/>
          <w:i/>
          <w:sz w:val="22"/>
          <w:szCs w:val="22"/>
          <w:lang w:val="en-US" w:eastAsia="es-MX"/>
        </w:rPr>
        <w:t xml:space="preserve">. </w:t>
      </w:r>
    </w:p>
    <w:p w:rsidR="002615F8" w:rsidRDefault="002615F8" w:rsidP="002615F8">
      <w:pPr>
        <w:pStyle w:val="Paragraph"/>
        <w:numPr>
          <w:ilvl w:val="0"/>
          <w:numId w:val="3"/>
        </w:numPr>
        <w:spacing w:before="0" w:after="0" w:line="320" w:lineRule="atLeast"/>
        <w:rPr>
          <w:rFonts w:ascii="Arial" w:eastAsia="Calibri" w:hAnsi="Arial" w:cs="Arial"/>
          <w:bCs/>
          <w:sz w:val="22"/>
          <w:szCs w:val="22"/>
          <w:lang w:val="en-US" w:eastAsia="es-MX"/>
        </w:rPr>
      </w:pPr>
      <w:r w:rsidRPr="00400E3E">
        <w:rPr>
          <w:rFonts w:ascii="Arial" w:eastAsia="Calibri" w:hAnsi="Arial" w:cs="Arial"/>
          <w:b/>
          <w:bCs/>
          <w:sz w:val="22"/>
          <w:szCs w:val="22"/>
          <w:lang w:val="en-US" w:eastAsia="es-MX"/>
        </w:rPr>
        <w:t xml:space="preserve">Activity </w:t>
      </w:r>
      <w:r>
        <w:rPr>
          <w:rFonts w:ascii="Arial" w:eastAsia="Calibri" w:hAnsi="Arial" w:cs="Arial"/>
          <w:b/>
          <w:bCs/>
          <w:sz w:val="22"/>
          <w:szCs w:val="22"/>
          <w:lang w:val="en-US" w:eastAsia="es-MX"/>
        </w:rPr>
        <w:t>2</w:t>
      </w:r>
      <w:r w:rsidRPr="00400E3E">
        <w:rPr>
          <w:rFonts w:ascii="Arial" w:eastAsia="Calibri" w:hAnsi="Arial" w:cs="Arial"/>
          <w:b/>
          <w:bCs/>
          <w:sz w:val="22"/>
          <w:szCs w:val="22"/>
          <w:lang w:val="en-US" w:eastAsia="es-MX"/>
        </w:rPr>
        <w:t xml:space="preserve"> </w:t>
      </w:r>
      <w:r>
        <w:rPr>
          <w:rFonts w:ascii="Arial" w:eastAsia="Calibri" w:hAnsi="Arial" w:cs="Arial"/>
          <w:b/>
          <w:bCs/>
          <w:sz w:val="22"/>
          <w:szCs w:val="22"/>
          <w:lang w:val="en-US" w:eastAsia="es-MX"/>
        </w:rPr>
        <w:t>Public policies</w:t>
      </w:r>
      <w:r w:rsidRPr="00400E3E">
        <w:rPr>
          <w:rFonts w:ascii="Arial" w:eastAsia="Calibri" w:hAnsi="Arial" w:cs="Arial"/>
          <w:b/>
          <w:bCs/>
          <w:sz w:val="22"/>
          <w:szCs w:val="22"/>
          <w:lang w:val="en-US" w:eastAsia="es-MX"/>
        </w:rPr>
        <w:t>.</w:t>
      </w:r>
      <w:r w:rsidRPr="00400E3E">
        <w:rPr>
          <w:rFonts w:ascii="Arial" w:eastAsia="Calibri" w:hAnsi="Arial" w:cs="Arial"/>
          <w:b/>
          <w:bCs/>
          <w:i/>
          <w:sz w:val="22"/>
          <w:szCs w:val="22"/>
          <w:lang w:val="en-US" w:eastAsia="es-MX"/>
        </w:rPr>
        <w:t xml:space="preserve"> </w:t>
      </w:r>
      <w:r>
        <w:rPr>
          <w:rFonts w:ascii="Arial" w:eastAsia="Calibri" w:hAnsi="Arial" w:cs="Arial"/>
          <w:bCs/>
          <w:sz w:val="22"/>
          <w:szCs w:val="22"/>
          <w:lang w:val="en-US" w:eastAsia="es-MX"/>
        </w:rPr>
        <w:t>Development of a set of public policies to foster the growth of the digital ecosystem in Dominican Republic</w:t>
      </w:r>
      <w:r w:rsidRPr="00400E3E">
        <w:rPr>
          <w:rFonts w:ascii="Arial" w:eastAsia="Calibri" w:hAnsi="Arial" w:cs="Arial"/>
          <w:bCs/>
          <w:sz w:val="22"/>
          <w:szCs w:val="22"/>
          <w:lang w:val="en-US" w:eastAsia="es-MX"/>
        </w:rPr>
        <w:t>.</w:t>
      </w:r>
      <w:r>
        <w:rPr>
          <w:rFonts w:ascii="Arial" w:eastAsia="Calibri" w:hAnsi="Arial" w:cs="Arial"/>
          <w:bCs/>
          <w:sz w:val="22"/>
          <w:szCs w:val="22"/>
          <w:lang w:val="en-US" w:eastAsia="es-MX"/>
        </w:rPr>
        <w:t xml:space="preserve"> </w:t>
      </w:r>
    </w:p>
    <w:p w:rsidR="002615F8" w:rsidRPr="00400E3E" w:rsidRDefault="002615F8" w:rsidP="002615F8">
      <w:pPr>
        <w:pStyle w:val="Paragraph"/>
        <w:numPr>
          <w:ilvl w:val="0"/>
          <w:numId w:val="0"/>
        </w:numPr>
        <w:spacing w:before="0" w:after="0" w:line="320" w:lineRule="atLeast"/>
        <w:ind w:left="720"/>
        <w:rPr>
          <w:rFonts w:ascii="Arial" w:eastAsia="Calibri" w:hAnsi="Arial" w:cs="Arial"/>
          <w:bCs/>
          <w:sz w:val="22"/>
          <w:szCs w:val="22"/>
          <w:lang w:val="en-US" w:eastAsia="es-MX"/>
        </w:rPr>
      </w:pPr>
    </w:p>
    <w:p w:rsidR="002615F8" w:rsidRPr="00860077" w:rsidRDefault="002615F8" w:rsidP="002615F8">
      <w:pPr>
        <w:pStyle w:val="ListParagraph"/>
        <w:widowControl/>
        <w:numPr>
          <w:ilvl w:val="0"/>
          <w:numId w:val="2"/>
        </w:numPr>
        <w:autoSpaceDE/>
        <w:autoSpaceDN/>
        <w:adjustRightInd/>
        <w:contextualSpacing w:val="0"/>
        <w:jc w:val="both"/>
        <w:rPr>
          <w:b/>
          <w:i/>
          <w:sz w:val="22"/>
          <w:szCs w:val="22"/>
        </w:rPr>
      </w:pPr>
      <w:r w:rsidRPr="00860077">
        <w:rPr>
          <w:b/>
          <w:i/>
          <w:sz w:val="22"/>
          <w:szCs w:val="22"/>
        </w:rPr>
        <w:t>Component 2: Roadmap for digital broadcasting</w:t>
      </w:r>
    </w:p>
    <w:p w:rsidR="002615F8" w:rsidRDefault="002615F8" w:rsidP="002615F8">
      <w:pPr>
        <w:spacing w:line="320" w:lineRule="atLeast"/>
        <w:jc w:val="both"/>
        <w:rPr>
          <w:rFonts w:asciiTheme="minorHAnsi" w:hAnsiTheme="minorHAnsi" w:cstheme="minorBidi"/>
          <w:color w:val="auto"/>
        </w:rPr>
      </w:pPr>
    </w:p>
    <w:p w:rsidR="002615F8" w:rsidRPr="00860077" w:rsidRDefault="002615F8" w:rsidP="002615F8">
      <w:pPr>
        <w:spacing w:line="320" w:lineRule="atLeast"/>
        <w:jc w:val="both"/>
        <w:rPr>
          <w:rFonts w:asciiTheme="minorHAnsi" w:hAnsiTheme="minorHAnsi" w:cstheme="minorBidi"/>
          <w:color w:val="auto"/>
        </w:rPr>
      </w:pPr>
      <w:r w:rsidRPr="00860077">
        <w:rPr>
          <w:rFonts w:asciiTheme="minorHAnsi" w:hAnsiTheme="minorHAnsi" w:cstheme="minorBidi"/>
          <w:color w:val="auto"/>
        </w:rPr>
        <w:t xml:space="preserve">The objective of this component is to support the Dominican Republic in the transition from analogue to digital, proposing specific actions for the implementation of the analogue switch off </w:t>
      </w:r>
      <w:r w:rsidRPr="00860077">
        <w:rPr>
          <w:rFonts w:asciiTheme="minorHAnsi" w:hAnsiTheme="minorHAnsi" w:cstheme="minorBidi"/>
          <w:color w:val="auto"/>
        </w:rPr>
        <w:lastRenderedPageBreak/>
        <w:t xml:space="preserve">and the implications on the national connectivity plan. </w:t>
      </w:r>
    </w:p>
    <w:p w:rsidR="002615F8" w:rsidRDefault="002615F8" w:rsidP="002615F8">
      <w:pPr>
        <w:spacing w:line="320" w:lineRule="atLeast"/>
        <w:jc w:val="both"/>
        <w:rPr>
          <w:rFonts w:asciiTheme="minorHAnsi" w:hAnsiTheme="minorHAnsi" w:cstheme="minorBidi"/>
          <w:color w:val="auto"/>
        </w:rPr>
      </w:pPr>
      <w:r w:rsidRPr="00860077">
        <w:rPr>
          <w:rFonts w:asciiTheme="minorHAnsi" w:hAnsiTheme="minorHAnsi" w:cstheme="minorBidi"/>
          <w:color w:val="auto"/>
        </w:rPr>
        <w:t>The consulting firm will conduct the following activities:</w:t>
      </w:r>
    </w:p>
    <w:p w:rsidR="002615F8" w:rsidRPr="00860077" w:rsidRDefault="002615F8" w:rsidP="002615F8">
      <w:pPr>
        <w:spacing w:line="320" w:lineRule="atLeast"/>
        <w:jc w:val="both"/>
        <w:rPr>
          <w:rFonts w:asciiTheme="minorHAnsi" w:hAnsiTheme="minorHAnsi" w:cstheme="minorBidi"/>
          <w:color w:val="auto"/>
        </w:rPr>
      </w:pP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Best practices on technical, regulatory and economic aspects related to the analogue switch off and the implementation of a national connectivity plan</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Analysis of the market structure and future needs of Spectrum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Review of the regulatory framework and propose specific recommendations to update the frameworks in terms of spectrum</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Development of a roadmap for the switchover.</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Evaluation of the current technology choices;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An assessment of the spectrum efficiency relative to the technologies and techniques in use and those that could possibly be implemented;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Evaluation of current DTTB networks;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Development of the National Frequency Allocation Table (NFAT) for each country; and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Spectrum evaluation for </w:t>
      </w:r>
      <w:r>
        <w:rPr>
          <w:rFonts w:ascii="Arial" w:hAnsi="Arial" w:cs="Arial"/>
          <w:sz w:val="22"/>
          <w:szCs w:val="22"/>
          <w:lang w:val="en-US" w:eastAsia="ko-KR"/>
        </w:rPr>
        <w:t>Dominican Republic</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Development of a Regional Frequency Allocation Table (RFAT) for the Central American countries Region.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Main principles of the implementation of digital transition: universal access and equitable provision of services;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Regulatory matters: assessment of the current regulatory framework and the changes necessary to promote the analogue switch-off;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Institutional framework: assessment of the current institutional framework and recommendations for possible changes; </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Licensing models: assessment of current licensing model and recommendation for possible changes;</w:t>
      </w:r>
    </w:p>
    <w:p w:rsidR="002615F8" w:rsidRPr="00984EBD"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 xml:space="preserve">Technical issues: Technology and standard application, design principles and network architecture; network planning, infrastructure and spectrum compatibility; </w:t>
      </w:r>
    </w:p>
    <w:p w:rsidR="002615F8" w:rsidRDefault="002615F8" w:rsidP="002615F8">
      <w:pPr>
        <w:pStyle w:val="subpar"/>
        <w:numPr>
          <w:ilvl w:val="0"/>
          <w:numId w:val="4"/>
        </w:numPr>
        <w:spacing w:after="0"/>
        <w:rPr>
          <w:rFonts w:ascii="Arial" w:hAnsi="Arial" w:cs="Arial"/>
          <w:sz w:val="22"/>
          <w:szCs w:val="22"/>
          <w:lang w:val="en-US" w:eastAsia="ko-KR"/>
        </w:rPr>
      </w:pPr>
      <w:r w:rsidRPr="00984EBD">
        <w:rPr>
          <w:rFonts w:ascii="Arial" w:hAnsi="Arial" w:cs="Arial"/>
          <w:sz w:val="22"/>
          <w:szCs w:val="22"/>
          <w:lang w:val="en-US" w:eastAsia="ko-KR"/>
        </w:rPr>
        <w:t>Digital dividend: recommendations for the allocation of frequencies.</w:t>
      </w:r>
    </w:p>
    <w:p w:rsidR="002615F8" w:rsidRPr="00984EBD" w:rsidRDefault="002615F8" w:rsidP="002615F8">
      <w:pPr>
        <w:pStyle w:val="subpar"/>
        <w:numPr>
          <w:ilvl w:val="0"/>
          <w:numId w:val="4"/>
        </w:numPr>
        <w:spacing w:after="0"/>
        <w:rPr>
          <w:rFonts w:ascii="Arial" w:hAnsi="Arial" w:cs="Arial"/>
          <w:sz w:val="22"/>
          <w:szCs w:val="22"/>
          <w:lang w:val="en-US" w:eastAsia="ko-KR"/>
        </w:rPr>
      </w:pPr>
      <w:bookmarkStart w:id="0" w:name="_Hlk19088171"/>
      <w:r>
        <w:rPr>
          <w:rFonts w:ascii="Arial" w:hAnsi="Arial" w:cs="Arial"/>
          <w:sz w:val="22"/>
          <w:szCs w:val="22"/>
          <w:lang w:val="en-US" w:eastAsia="ko-KR"/>
        </w:rPr>
        <w:t>Evaluation of different frequency blocks.</w:t>
      </w:r>
    </w:p>
    <w:bookmarkEnd w:id="0"/>
    <w:p w:rsidR="002615F8" w:rsidRPr="00860077" w:rsidRDefault="002615F8" w:rsidP="002615F8">
      <w:pPr>
        <w:widowControl/>
        <w:autoSpaceDE/>
        <w:autoSpaceDN/>
        <w:adjustRightInd/>
        <w:jc w:val="both"/>
        <w:rPr>
          <w:b/>
          <w:sz w:val="22"/>
          <w:szCs w:val="22"/>
        </w:rPr>
      </w:pPr>
    </w:p>
    <w:p w:rsidR="002615F8" w:rsidRPr="00AE7268" w:rsidRDefault="002615F8" w:rsidP="002615F8">
      <w:pPr>
        <w:suppressAutoHyphens/>
        <w:jc w:val="both"/>
        <w:rPr>
          <w:rFonts w:asciiTheme="minorHAnsi" w:hAnsiTheme="minorHAnsi" w:cstheme="minorBidi"/>
          <w:i/>
          <w:iCs/>
          <w:color w:val="0070C0"/>
        </w:rPr>
      </w:pPr>
      <w:r>
        <w:rPr>
          <w:rFonts w:asciiTheme="minorHAnsi" w:hAnsiTheme="minorHAnsi" w:cstheme="minorBidi"/>
          <w:spacing w:val="-2"/>
        </w:rPr>
        <w:t>The estimated timeframe for completion is 12 months.</w:t>
      </w:r>
    </w:p>
    <w:p w:rsidR="002615F8" w:rsidRPr="00AE7268" w:rsidRDefault="002615F8" w:rsidP="002615F8">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rsidR="002615F8"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5">
        <w:r w:rsidRPr="2CDD2216">
          <w:rPr>
            <w:rStyle w:val="Hyperlink"/>
            <w:rFonts w:asciiTheme="minorHAnsi" w:hAnsiTheme="minorHAnsi" w:cstheme="minorBidi"/>
            <w:i/>
            <w:iCs/>
          </w:rPr>
          <w:t>Policy for the Selection and Contracting of Consulting firms for Bank-executed Operational Work</w:t>
        </w:r>
      </w:hyperlink>
      <w:r w:rsidRPr="2CDD2216">
        <w:rPr>
          <w:rFonts w:asciiTheme="minorHAnsi" w:hAnsiTheme="minorHAnsi" w:cstheme="minorBidi"/>
          <w:color w:val="auto"/>
        </w:rPr>
        <w:t xml:space="preserve"> - GN-2765-1.  All eligible consulting firms, as defined in the Policy may express an interest. </w:t>
      </w:r>
    </w:p>
    <w:p w:rsidR="002615F8" w:rsidRDefault="002615F8" w:rsidP="002615F8">
      <w:pPr>
        <w:spacing w:line="320" w:lineRule="atLeast"/>
        <w:jc w:val="both"/>
        <w:rPr>
          <w:rFonts w:asciiTheme="minorHAnsi" w:hAnsiTheme="minorHAnsi" w:cs="Times New Roman"/>
          <w:color w:val="auto"/>
        </w:rPr>
      </w:pPr>
    </w:p>
    <w:p w:rsidR="002615F8" w:rsidRPr="00AE7268"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The IDB now invites eligible consulting firms to indicate their interest in providing the services. </w:t>
      </w:r>
      <w:r w:rsidRPr="2CDD2216">
        <w:rPr>
          <w:rFonts w:asciiTheme="minorHAnsi" w:hAnsiTheme="minorHAnsi" w:cstheme="minorBidi"/>
          <w:color w:val="auto"/>
        </w:rPr>
        <w:lastRenderedPageBreak/>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rsidR="002615F8" w:rsidRPr="005D749D" w:rsidRDefault="002615F8" w:rsidP="002615F8">
      <w:pPr>
        <w:spacing w:line="320" w:lineRule="atLeast"/>
        <w:jc w:val="both"/>
        <w:rPr>
          <w:rFonts w:asciiTheme="minorHAnsi" w:hAnsiTheme="minorHAnsi" w:cs="Times New Roman"/>
          <w:smallCaps/>
          <w:color w:val="4472C4" w:themeColor="accent1"/>
        </w:rPr>
      </w:pPr>
    </w:p>
    <w:p w:rsidR="002615F8" w:rsidRPr="0078460F"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Interested eligible consulting firms may obtain further information during office hours, 09:00 AM to 05:00 PM, (Washington D.C. Time) by sending an email to:</w:t>
      </w:r>
      <w:r>
        <w:rPr>
          <w:rFonts w:asciiTheme="minorHAnsi" w:hAnsiTheme="minorHAnsi" w:cstheme="minorBidi"/>
          <w:color w:val="auto"/>
        </w:rPr>
        <w:t xml:space="preserve"> Antonio Garcia Zaballos (</w:t>
      </w:r>
      <w:hyperlink r:id="rId6" w:history="1">
        <w:r w:rsidRPr="00034424">
          <w:rPr>
            <w:rStyle w:val="Hyperlink"/>
            <w:rFonts w:asciiTheme="minorHAnsi" w:hAnsiTheme="minorHAnsi" w:cstheme="minorBidi"/>
          </w:rPr>
          <w:t>antoniogar@iadb.org</w:t>
        </w:r>
      </w:hyperlink>
      <w:r>
        <w:rPr>
          <w:rFonts w:asciiTheme="minorHAnsi" w:hAnsiTheme="minorHAnsi" w:cstheme="minorBidi"/>
          <w:color w:val="auto"/>
        </w:rPr>
        <w:t>) and Enrique Iglesias Rodriguez (enriqueig@iadb.org)</w:t>
      </w:r>
    </w:p>
    <w:p w:rsidR="002615F8" w:rsidRPr="00AE7268" w:rsidRDefault="002615F8" w:rsidP="002615F8">
      <w:pPr>
        <w:spacing w:line="320" w:lineRule="atLeast"/>
        <w:jc w:val="both"/>
        <w:rPr>
          <w:rFonts w:asciiTheme="minorHAnsi" w:hAnsiTheme="minorHAnsi" w:cs="Times New Roman"/>
          <w:color w:val="auto"/>
        </w:rPr>
      </w:pPr>
    </w:p>
    <w:p w:rsidR="002615F8" w:rsidRPr="00AE7268" w:rsidRDefault="002615F8" w:rsidP="002615F8">
      <w:pPr>
        <w:spacing w:line="320" w:lineRule="atLeast"/>
        <w:jc w:val="both"/>
        <w:rPr>
          <w:rFonts w:asciiTheme="minorHAnsi" w:hAnsiTheme="minorHAnsi" w:cstheme="minorBidi"/>
          <w:color w:val="auto"/>
        </w:rPr>
      </w:pPr>
      <w:r w:rsidRPr="00D44A11">
        <w:rPr>
          <w:rFonts w:asciiTheme="minorHAnsi" w:hAnsiTheme="minorHAnsi" w:cstheme="minorBidi"/>
          <w:color w:val="auto"/>
        </w:rPr>
        <w:t xml:space="preserve">Expressions of interest must be delivered by </w:t>
      </w:r>
      <w:r>
        <w:rPr>
          <w:rFonts w:asciiTheme="minorHAnsi" w:hAnsiTheme="minorHAnsi" w:cstheme="minorBidi"/>
          <w:color w:val="auto"/>
        </w:rPr>
        <w:t>October</w:t>
      </w:r>
      <w:r w:rsidRPr="00D44A11">
        <w:rPr>
          <w:rFonts w:asciiTheme="minorHAnsi" w:hAnsiTheme="minorHAnsi" w:cstheme="minorBidi"/>
          <w:color w:val="auto"/>
        </w:rPr>
        <w:t>, 1</w:t>
      </w:r>
      <w:r>
        <w:rPr>
          <w:rFonts w:asciiTheme="minorHAnsi" w:hAnsiTheme="minorHAnsi" w:cstheme="minorBidi"/>
          <w:color w:val="auto"/>
        </w:rPr>
        <w:t>8th</w:t>
      </w:r>
      <w:r w:rsidRPr="00D44A11">
        <w:rPr>
          <w:rFonts w:asciiTheme="minorHAnsi" w:hAnsiTheme="minorHAnsi" w:cstheme="minorBidi"/>
          <w:color w:val="auto"/>
        </w:rPr>
        <w:t>, 201</w:t>
      </w:r>
      <w:r>
        <w:rPr>
          <w:rFonts w:asciiTheme="minorHAnsi" w:hAnsiTheme="minorHAnsi" w:cstheme="minorBidi"/>
          <w:color w:val="auto"/>
        </w:rPr>
        <w:t>9</w:t>
      </w:r>
      <w:r w:rsidRPr="00D44A11">
        <w:rPr>
          <w:rFonts w:asciiTheme="minorHAnsi" w:hAnsiTheme="minorHAnsi" w:cstheme="minorBidi"/>
          <w:color w:val="auto"/>
        </w:rPr>
        <w:t xml:space="preserve"> 5pm</w:t>
      </w:r>
      <w:r w:rsidRPr="6D59273E">
        <w:rPr>
          <w:rFonts w:asciiTheme="minorHAnsi" w:hAnsiTheme="minorHAnsi" w:cstheme="minorBidi"/>
          <w:color w:val="auto"/>
        </w:rPr>
        <w:t xml:space="preserve"> (Washington D.C. Time) using the IDB Portal for Bank Executed Operations (</w:t>
      </w:r>
      <w:r w:rsidRPr="6D59273E">
        <w:t xml:space="preserve"> </w:t>
      </w:r>
      <w:hyperlink r:id="rId7"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xml:space="preserve">) </w:t>
      </w:r>
    </w:p>
    <w:p w:rsidR="002615F8" w:rsidRPr="00AE7268" w:rsidRDefault="002615F8" w:rsidP="002615F8">
      <w:pPr>
        <w:spacing w:line="320" w:lineRule="atLeast"/>
        <w:jc w:val="both"/>
        <w:rPr>
          <w:rFonts w:asciiTheme="minorHAnsi" w:hAnsiTheme="minorHAnsi" w:cs="Times New Roman"/>
          <w:color w:val="auto"/>
        </w:rPr>
      </w:pPr>
    </w:p>
    <w:p w:rsidR="002615F8" w:rsidRPr="00AE7268"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rsidR="002615F8" w:rsidRPr="004311FF"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Division: </w:t>
      </w:r>
      <w:r w:rsidRPr="004311FF">
        <w:rPr>
          <w:rFonts w:asciiTheme="minorHAnsi" w:hAnsiTheme="minorHAnsi" w:cstheme="minorBidi"/>
          <w:color w:val="auto"/>
        </w:rPr>
        <w:t>Connectivity, Markets and Finance (IFD/CMF)</w:t>
      </w:r>
    </w:p>
    <w:p w:rsidR="002615F8" w:rsidRPr="00F345FA" w:rsidRDefault="002615F8" w:rsidP="002615F8">
      <w:pPr>
        <w:spacing w:line="320" w:lineRule="atLeast"/>
        <w:jc w:val="both"/>
        <w:rPr>
          <w:rFonts w:asciiTheme="minorHAnsi" w:hAnsiTheme="minorHAnsi" w:cstheme="minorBidi"/>
          <w:color w:val="auto"/>
          <w:lang w:val="es-ES_tradnl"/>
        </w:rPr>
      </w:pPr>
      <w:proofErr w:type="spellStart"/>
      <w:r w:rsidRPr="00F345FA">
        <w:rPr>
          <w:rFonts w:asciiTheme="minorHAnsi" w:hAnsiTheme="minorHAnsi" w:cstheme="minorBidi"/>
          <w:color w:val="auto"/>
          <w:lang w:val="es-ES_tradnl"/>
        </w:rPr>
        <w:t>Attn</w:t>
      </w:r>
      <w:proofErr w:type="spellEnd"/>
      <w:r w:rsidRPr="00F345FA">
        <w:rPr>
          <w:rFonts w:asciiTheme="minorHAnsi" w:hAnsiTheme="minorHAnsi" w:cstheme="minorBidi"/>
          <w:color w:val="auto"/>
          <w:lang w:val="es-ES_tradnl"/>
        </w:rPr>
        <w:t>: Antonio Garcia Zaballos (</w:t>
      </w:r>
      <w:r>
        <w:rPr>
          <w:rFonts w:asciiTheme="minorHAnsi" w:hAnsiTheme="minorHAnsi" w:cstheme="minorBidi"/>
          <w:color w:val="auto"/>
          <w:lang w:val="es-ES_tradnl"/>
        </w:rPr>
        <w:t>antoniogar</w:t>
      </w:r>
      <w:r w:rsidRPr="00F345FA">
        <w:rPr>
          <w:rFonts w:asciiTheme="minorHAnsi" w:hAnsiTheme="minorHAnsi" w:cstheme="minorBidi"/>
          <w:color w:val="auto"/>
          <w:lang w:val="es-ES_tradnl"/>
        </w:rPr>
        <w:t>@iadb.org)</w:t>
      </w:r>
    </w:p>
    <w:p w:rsidR="002615F8" w:rsidRPr="00F345FA" w:rsidRDefault="002615F8" w:rsidP="002615F8">
      <w:pPr>
        <w:spacing w:line="320" w:lineRule="atLeast"/>
        <w:jc w:val="both"/>
        <w:rPr>
          <w:rFonts w:asciiTheme="minorHAnsi" w:hAnsiTheme="minorHAnsi" w:cs="Times New Roman"/>
          <w:color w:val="auto"/>
          <w:lang w:val="es-ES_tradnl"/>
        </w:rPr>
      </w:pPr>
    </w:p>
    <w:p w:rsidR="002615F8" w:rsidRPr="00AE7268" w:rsidRDefault="002615F8" w:rsidP="002615F8">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rsidR="002615F8" w:rsidRPr="00F345FA" w:rsidRDefault="002615F8" w:rsidP="002615F8">
      <w:pPr>
        <w:suppressAutoHyphens/>
        <w:jc w:val="both"/>
        <w:rPr>
          <w:rFonts w:asciiTheme="minorHAnsi" w:hAnsiTheme="minorHAnsi" w:cstheme="minorBidi"/>
          <w:color w:val="0070C0"/>
          <w:lang w:val="pt-BR"/>
        </w:rPr>
      </w:pPr>
      <w:r w:rsidRPr="00F345FA">
        <w:rPr>
          <w:rFonts w:asciiTheme="minorHAnsi" w:hAnsiTheme="minorHAnsi" w:cstheme="minorBidi"/>
          <w:spacing w:val="-2"/>
          <w:lang w:val="pt-BR"/>
        </w:rPr>
        <w:t xml:space="preserve">E-mail: </w:t>
      </w:r>
      <w:r w:rsidRPr="00F345FA">
        <w:rPr>
          <w:rFonts w:asciiTheme="minorHAnsi" w:hAnsiTheme="minorHAnsi" w:cstheme="minorBidi"/>
          <w:color w:val="auto"/>
          <w:lang w:val="pt-BR"/>
        </w:rPr>
        <w:t>antoniogar@iadb.org</w:t>
      </w:r>
    </w:p>
    <w:p w:rsidR="002615F8" w:rsidRPr="00315EEC" w:rsidRDefault="002615F8" w:rsidP="002615F8">
      <w:pPr>
        <w:spacing w:line="320" w:lineRule="atLeast"/>
        <w:jc w:val="both"/>
        <w:rPr>
          <w:rFonts w:asciiTheme="minorHAnsi" w:hAnsiTheme="minorHAnsi" w:cstheme="minorBidi"/>
          <w:color w:val="auto"/>
          <w:lang w:val="pt-BR"/>
        </w:rPr>
      </w:pPr>
      <w:r w:rsidRPr="00315EEC">
        <w:rPr>
          <w:rFonts w:asciiTheme="minorHAnsi" w:hAnsiTheme="minorHAnsi" w:cstheme="minorBidi"/>
          <w:color w:val="auto"/>
          <w:lang w:val="pt-BR"/>
        </w:rPr>
        <w:t xml:space="preserve">Web site: </w:t>
      </w:r>
      <w:hyperlink r:id="rId8">
        <w:r w:rsidRPr="00315EEC">
          <w:rPr>
            <w:rStyle w:val="Hyperlink"/>
            <w:rFonts w:asciiTheme="minorHAnsi" w:hAnsiTheme="minorHAnsi" w:cstheme="minorBidi"/>
            <w:lang w:val="pt-BR"/>
          </w:rPr>
          <w:t>www.iadb.org</w:t>
        </w:r>
      </w:hyperlink>
      <w:r w:rsidRPr="00315EEC">
        <w:rPr>
          <w:rFonts w:asciiTheme="minorHAnsi" w:hAnsiTheme="minorHAnsi" w:cstheme="minorBidi"/>
          <w:color w:val="auto"/>
          <w:lang w:val="pt-BR"/>
        </w:rPr>
        <w:t xml:space="preserve"> </w:t>
      </w:r>
    </w:p>
    <w:p w:rsidR="002615F8" w:rsidRPr="00315EEC" w:rsidRDefault="002615F8" w:rsidP="002615F8">
      <w:pPr>
        <w:spacing w:line="320" w:lineRule="atLeast"/>
        <w:jc w:val="both"/>
        <w:rPr>
          <w:rFonts w:asciiTheme="minorHAnsi" w:hAnsiTheme="minorHAnsi" w:cstheme="minorBidi"/>
          <w:color w:val="auto"/>
          <w:lang w:val="pt-BR"/>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jc w:val="both"/>
        <w:rPr>
          <w:rFonts w:eastAsia="Times New Roman"/>
          <w:b/>
          <w:color w:val="auto"/>
          <w:sz w:val="22"/>
          <w:szCs w:val="22"/>
          <w:u w:val="single"/>
          <w:lang w:val="pt-BR" w:eastAsia="en-US"/>
        </w:rPr>
      </w:pPr>
    </w:p>
    <w:p w:rsidR="002615F8" w:rsidRPr="00315EEC" w:rsidRDefault="002615F8" w:rsidP="002615F8">
      <w:pPr>
        <w:widowControl/>
        <w:autoSpaceDE/>
        <w:autoSpaceDN/>
        <w:adjustRightInd/>
        <w:spacing w:after="200" w:line="276" w:lineRule="auto"/>
        <w:rPr>
          <w:rFonts w:eastAsia="Times New Roman"/>
          <w:b/>
          <w:color w:val="auto"/>
          <w:sz w:val="22"/>
          <w:szCs w:val="22"/>
          <w:u w:val="single"/>
          <w:lang w:val="pt-BR" w:eastAsia="en-US"/>
        </w:rPr>
      </w:pPr>
      <w:r w:rsidRPr="00315EEC">
        <w:rPr>
          <w:rFonts w:eastAsia="Times New Roman"/>
          <w:b/>
          <w:color w:val="auto"/>
          <w:sz w:val="22"/>
          <w:szCs w:val="22"/>
          <w:u w:val="single"/>
          <w:lang w:val="pt-BR" w:eastAsia="en-US"/>
        </w:rPr>
        <w:br w:type="page"/>
      </w:r>
    </w:p>
    <w:p w:rsidR="00B074FE" w:rsidRPr="002615F8" w:rsidRDefault="002615F8">
      <w:pPr>
        <w:rPr>
          <w:lang w:val="pt-BR"/>
        </w:rPr>
      </w:pPr>
      <w:bookmarkStart w:id="1" w:name="_GoBack"/>
      <w:bookmarkEnd w:id="1"/>
    </w:p>
    <w:sectPr w:rsidR="00B074FE" w:rsidRPr="0026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EDA69E5"/>
    <w:multiLevelType w:val="hybridMultilevel"/>
    <w:tmpl w:val="5A9A5834"/>
    <w:lvl w:ilvl="0" w:tplc="2FE6FA00">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4F66"/>
    <w:multiLevelType w:val="hybridMultilevel"/>
    <w:tmpl w:val="A9EAF09C"/>
    <w:lvl w:ilvl="0" w:tplc="0409001B">
      <w:start w:val="1"/>
      <w:numFmt w:val="lowerRoman"/>
      <w:lvlText w:val="%1."/>
      <w:lvlJc w:val="righ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3" w15:restartNumberingAfterBreak="0">
    <w:nsid w:val="43CE0ADF"/>
    <w:multiLevelType w:val="hybridMultilevel"/>
    <w:tmpl w:val="948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8"/>
    <w:rsid w:val="002615F8"/>
    <w:rsid w:val="004E6AB3"/>
    <w:rsid w:val="00F9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282E-3362-4A18-AA16-3AFF753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615F8"/>
    <w:pPr>
      <w:widowControl w:val="0"/>
      <w:autoSpaceDE w:val="0"/>
      <w:autoSpaceDN w:val="0"/>
      <w:adjustRightInd w:val="0"/>
      <w:spacing w:after="0" w:line="240" w:lineRule="auto"/>
    </w:pPr>
    <w:rPr>
      <w:rFonts w:ascii="Arial" w:eastAsiaTheme="minorEastAsia" w:hAnsi="Arial" w:cs="Arial"/>
      <w:color w:val="000000"/>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F8"/>
    <w:rPr>
      <w:color w:val="0563C1" w:themeColor="hyperlink"/>
      <w:u w:val="single"/>
    </w:rPr>
  </w:style>
  <w:style w:type="paragraph" w:customStyle="1" w:styleId="Heading1a">
    <w:name w:val="Heading 1a"/>
    <w:rsid w:val="002615F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2615F8"/>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2615F8"/>
    <w:rPr>
      <w:rFonts w:ascii="CG Times" w:eastAsia="Times New Roman" w:hAnsi="CG Times" w:cs="Times New Roman"/>
      <w:spacing w:val="-2"/>
      <w:sz w:val="24"/>
      <w:szCs w:val="20"/>
    </w:rPr>
  </w:style>
  <w:style w:type="paragraph" w:customStyle="1" w:styleId="Chapter">
    <w:name w:val="Chapter"/>
    <w:basedOn w:val="Normal"/>
    <w:next w:val="Normal"/>
    <w:rsid w:val="002615F8"/>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 w:val="20"/>
      <w:szCs w:val="20"/>
      <w:lang w:val="es-ES" w:eastAsia="en-US"/>
    </w:rPr>
  </w:style>
  <w:style w:type="paragraph" w:customStyle="1" w:styleId="Paragraph">
    <w:name w:val="Paragraph"/>
    <w:aliases w:val="paragraph,p,PARAGRAPH,PG,pa,at"/>
    <w:basedOn w:val="BodyTextIndent"/>
    <w:link w:val="ParagraphChar"/>
    <w:rsid w:val="002615F8"/>
    <w:pPr>
      <w:widowControl/>
      <w:numPr>
        <w:ilvl w:val="1"/>
        <w:numId w:val="1"/>
      </w:numPr>
      <w:autoSpaceDE/>
      <w:autoSpaceDN/>
      <w:adjustRightInd/>
      <w:spacing w:before="120"/>
      <w:jc w:val="both"/>
      <w:outlineLvl w:val="1"/>
    </w:pPr>
    <w:rPr>
      <w:rFonts w:ascii="Times New Roman" w:eastAsia="Times New Roman" w:hAnsi="Times New Roman" w:cs="Times New Roman"/>
      <w:color w:val="auto"/>
      <w:szCs w:val="20"/>
      <w:lang w:val="es-ES" w:eastAsia="en-US"/>
    </w:rPr>
  </w:style>
  <w:style w:type="paragraph" w:customStyle="1" w:styleId="subpar">
    <w:name w:val="subpar"/>
    <w:basedOn w:val="BodyTextIndent3"/>
    <w:link w:val="subparChar"/>
    <w:rsid w:val="002615F8"/>
    <w:pPr>
      <w:widowControl/>
      <w:numPr>
        <w:ilvl w:val="2"/>
        <w:numId w:val="1"/>
      </w:numPr>
      <w:autoSpaceDE/>
      <w:autoSpaceDN/>
      <w:adjustRightInd/>
      <w:spacing w:before="120"/>
      <w:jc w:val="both"/>
      <w:outlineLvl w:val="2"/>
    </w:pPr>
    <w:rPr>
      <w:rFonts w:ascii="Times New Roman" w:eastAsia="Times New Roman" w:hAnsi="Times New Roman" w:cs="Times New Roman"/>
      <w:color w:val="auto"/>
      <w:sz w:val="24"/>
      <w:szCs w:val="20"/>
      <w:lang w:val="es-ES_tradnl" w:eastAsia="en-US"/>
    </w:rPr>
  </w:style>
  <w:style w:type="paragraph" w:customStyle="1" w:styleId="SubSubPar">
    <w:name w:val="SubSubPar"/>
    <w:basedOn w:val="subpar"/>
    <w:rsid w:val="002615F8"/>
    <w:pPr>
      <w:numPr>
        <w:ilvl w:val="3"/>
      </w:numPr>
      <w:tabs>
        <w:tab w:val="clear" w:pos="1458"/>
        <w:tab w:val="left" w:pos="0"/>
        <w:tab w:val="num" w:pos="360"/>
      </w:tabs>
    </w:pPr>
  </w:style>
  <w:style w:type="character" w:customStyle="1" w:styleId="subparChar">
    <w:name w:val="subpar Char"/>
    <w:link w:val="subpar"/>
    <w:rsid w:val="002615F8"/>
    <w:rPr>
      <w:rFonts w:ascii="Times New Roman" w:eastAsia="Times New Roman" w:hAnsi="Times New Roman" w:cs="Times New Roman"/>
      <w:sz w:val="24"/>
      <w:szCs w:val="20"/>
      <w:lang w:val="es-ES_tradnl"/>
    </w:rPr>
  </w:style>
  <w:style w:type="character" w:customStyle="1" w:styleId="ParagraphChar">
    <w:name w:val="Paragraph Char"/>
    <w:basedOn w:val="DefaultParagraphFont"/>
    <w:link w:val="Paragraph"/>
    <w:rsid w:val="002615F8"/>
    <w:rPr>
      <w:rFonts w:ascii="Times New Roman" w:eastAsia="Times New Roman" w:hAnsi="Times New Roman" w:cs="Times New Roman"/>
      <w:sz w:val="24"/>
      <w:szCs w:val="20"/>
      <w:lang w:val="es-ES"/>
    </w:rPr>
  </w:style>
  <w:style w:type="paragraph" w:styleId="ListParagraph">
    <w:name w:val="List Paragraph"/>
    <w:aliases w:val="Numbered List Paragraph,Bullets"/>
    <w:basedOn w:val="Normal"/>
    <w:link w:val="ListParagraphChar"/>
    <w:uiPriority w:val="34"/>
    <w:qFormat/>
    <w:rsid w:val="002615F8"/>
    <w:pPr>
      <w:ind w:left="720"/>
      <w:contextualSpacing/>
    </w:pPr>
  </w:style>
  <w:style w:type="character" w:customStyle="1" w:styleId="ListParagraphChar">
    <w:name w:val="List Paragraph Char"/>
    <w:aliases w:val="Numbered List Paragraph Char,Bullets Char"/>
    <w:link w:val="ListParagraph"/>
    <w:uiPriority w:val="34"/>
    <w:locked/>
    <w:rsid w:val="002615F8"/>
    <w:rPr>
      <w:rFonts w:ascii="Arial" w:eastAsiaTheme="minorEastAsia" w:hAnsi="Arial" w:cs="Arial"/>
      <w:color w:val="000000"/>
      <w:sz w:val="24"/>
      <w:szCs w:val="24"/>
      <w:lang w:eastAsia="es-AR"/>
    </w:rPr>
  </w:style>
  <w:style w:type="paragraph" w:styleId="BodyTextIndent">
    <w:name w:val="Body Text Indent"/>
    <w:basedOn w:val="Normal"/>
    <w:link w:val="BodyTextIndentChar"/>
    <w:uiPriority w:val="99"/>
    <w:semiHidden/>
    <w:unhideWhenUsed/>
    <w:rsid w:val="002615F8"/>
    <w:pPr>
      <w:spacing w:after="120"/>
      <w:ind w:left="360"/>
    </w:pPr>
  </w:style>
  <w:style w:type="character" w:customStyle="1" w:styleId="BodyTextIndentChar">
    <w:name w:val="Body Text Indent Char"/>
    <w:basedOn w:val="DefaultParagraphFont"/>
    <w:link w:val="BodyTextIndent"/>
    <w:uiPriority w:val="99"/>
    <w:semiHidden/>
    <w:rsid w:val="002615F8"/>
    <w:rPr>
      <w:rFonts w:ascii="Arial" w:eastAsiaTheme="minorEastAsia" w:hAnsi="Arial" w:cs="Arial"/>
      <w:color w:val="000000"/>
      <w:sz w:val="24"/>
      <w:szCs w:val="24"/>
      <w:lang w:eastAsia="es-AR"/>
    </w:rPr>
  </w:style>
  <w:style w:type="paragraph" w:styleId="BodyTextIndent3">
    <w:name w:val="Body Text Indent 3"/>
    <w:basedOn w:val="Normal"/>
    <w:link w:val="BodyTextIndent3Char"/>
    <w:uiPriority w:val="99"/>
    <w:semiHidden/>
    <w:unhideWhenUsed/>
    <w:rsid w:val="002615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15F8"/>
    <w:rPr>
      <w:rFonts w:ascii="Arial" w:eastAsiaTheme="minorEastAsia" w:hAnsi="Arial" w:cs="Arial"/>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eo-procurement.iadb.org/home"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gar@iadb.org" TargetMode="External"/><Relationship Id="rId11" Type="http://schemas.openxmlformats.org/officeDocument/2006/relationships/theme" Target="theme/theme1.xml"/><Relationship Id="rId5" Type="http://schemas.openxmlformats.org/officeDocument/2006/relationships/hyperlink" Target="http://idbdocs.iadb.org/wsdocs/getdocument.aspx?DOCNUM=38988574" TargetMode="Externa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CF77FD445C48D9ADA8465AD19E676A"/>
        <w:category>
          <w:name w:val="General"/>
          <w:gallery w:val="placeholder"/>
        </w:category>
        <w:types>
          <w:type w:val="bbPlcHdr"/>
        </w:types>
        <w:behaviors>
          <w:behavior w:val="content"/>
        </w:behaviors>
        <w:guid w:val="{227BE300-16D7-4F1A-9D57-BDEE97071B70}"/>
      </w:docPartPr>
      <w:docPartBody>
        <w:p w:rsidR="00000000" w:rsidRDefault="00D0048D" w:rsidP="00D0048D">
          <w:pPr>
            <w:pStyle w:val="2DCF77FD445C48D9ADA8465AD19E676A"/>
          </w:pPr>
          <w:r w:rsidRPr="002D2602">
            <w:rPr>
              <w:rFonts w:cstheme="minorHAnsi"/>
              <w:iCs/>
              <w:spacing w:val="-2"/>
            </w:rPr>
            <w:t>insert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8D"/>
    <w:rsid w:val="000E7496"/>
    <w:rsid w:val="00D0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CF77FD445C48D9ADA8465AD19E676A">
    <w:name w:val="2DCF77FD445C48D9ADA8465AD19E676A"/>
    <w:rsid w:val="00D00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DBE60004A5AF04290FF9216531B005C" ma:contentTypeVersion="2433" ma:contentTypeDescription="A content type to manage public (operations) IDB documents" ma:contentTypeScope="" ma:versionID="97ae36e7808352cdde73a5d1c7437b2b">
  <xsd:schema xmlns:xsd="http://www.w3.org/2001/XMLSchema" xmlns:xs="http://www.w3.org/2001/XMLSchema" xmlns:p="http://schemas.microsoft.com/office/2006/metadata/properties" xmlns:ns2="cdc7663a-08f0-4737-9e8c-148ce897a09c" targetNamespace="http://schemas.microsoft.com/office/2006/metadata/properties" ma:root="true" ma:fieldsID="98d3f192dc84e10be47f8670cd97539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T118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ATN/KK-17297-DR;</Approval_x0020_Number>
    <Phase xmlns="cdc7663a-08f0-4737-9e8c-148ce897a09c" xsi:nil="true"/>
    <Document_x0020_Author xmlns="cdc7663a-08f0-4737-9e8c-148ce897a09c">Cardozo, Silvana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TaxCatchAll xmlns="cdc7663a-08f0-4737-9e8c-148ce897a09c">
      <Value>293</Value>
      <Value>11</Value>
      <Value>73</Value>
      <Value>29</Value>
      <Value>294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DR-T1183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_dlc_DocId xmlns="cdc7663a-08f0-4737-9e8c-148ce897a09c">EZSHARE-1301072002-6</_dlc_DocId>
    <_dlc_DocIdUrl xmlns="cdc7663a-08f0-4737-9e8c-148ce897a09c">
      <Url>https://idbg.sharepoint.com/teams/EZ-DR-TCP/DR-T1183/_layouts/15/DocIdRedir.aspx?ID=EZSHARE-1301072002-6</Url>
      <Description>EZSHARE-1301072002-6</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36543205-ADB9-4DF2-855D-8103268CB65F}"/>
</file>

<file path=customXml/itemProps2.xml><?xml version="1.0" encoding="utf-8"?>
<ds:datastoreItem xmlns:ds="http://schemas.openxmlformats.org/officeDocument/2006/customXml" ds:itemID="{93B76675-0517-4B7D-9CBC-A9E62B389C18}"/>
</file>

<file path=customXml/itemProps3.xml><?xml version="1.0" encoding="utf-8"?>
<ds:datastoreItem xmlns:ds="http://schemas.openxmlformats.org/officeDocument/2006/customXml" ds:itemID="{7EE6FF7E-8816-4F76-84C1-E571461FB9DF}"/>
</file>

<file path=customXml/itemProps4.xml><?xml version="1.0" encoding="utf-8"?>
<ds:datastoreItem xmlns:ds="http://schemas.openxmlformats.org/officeDocument/2006/customXml" ds:itemID="{128D743A-0D5A-4170-923C-60ADDC2D5C40}"/>
</file>

<file path=customXml/itemProps5.xml><?xml version="1.0" encoding="utf-8"?>
<ds:datastoreItem xmlns:ds="http://schemas.openxmlformats.org/officeDocument/2006/customXml" ds:itemID="{38A9FD21-4C27-466A-86BA-5DA6AAE4BB11}"/>
</file>

<file path=customXml/itemProps6.xml><?xml version="1.0" encoding="utf-8"?>
<ds:datastoreItem xmlns:ds="http://schemas.openxmlformats.org/officeDocument/2006/customXml" ds:itemID="{30C91EAD-7E74-42FF-BD75-D46F768ADEEF}"/>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Cardozo, Silvana</dc:creator>
  <cp:keywords/>
  <dc:description/>
  <cp:lastModifiedBy>Cardozo, Silvana</cp:lastModifiedBy>
  <cp:revision>1</cp:revision>
  <dcterms:created xsi:type="dcterms:W3CDTF">2019-09-16T17:39:00Z</dcterms:created>
  <dcterms:modified xsi:type="dcterms:W3CDTF">2019-09-16T17:39:00Z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294;#TELECOMMUNICATIONS INFRASTRUCTURE|aefa06f2-9334-47b4-baa8-b6fd58d1b6b7</vt:lpwstr>
  </property>
  <property fmtid="{D5CDD505-2E9C-101B-9397-08002B2CF9AE}" pid="7" name="Fund IDB">
    <vt:lpwstr>293;#KPK|5e9b0b4b-552d-41e7-8443-d0767d768acd</vt:lpwstr>
  </property>
  <property fmtid="{D5CDD505-2E9C-101B-9397-08002B2CF9AE}" pid="8" name="Country">
    <vt:lpwstr>29;#Dominican Republic|19e8fe34-75bb-4d09-b676-0e9a3c6f1862</vt:lpwstr>
  </property>
  <property fmtid="{D5CDD505-2E9C-101B-9397-08002B2CF9AE}" pid="9" name="Disclosed">
    <vt:bool>false</vt:bool>
  </property>
  <property fmtid="{D5CDD505-2E9C-101B-9397-08002B2CF9AE}" pid="10" name="Sector IDB">
    <vt:lpwstr>73;#SCIENCE AND TECHNOLOGY|0cc5734e-64eb-4bef-9520-748f3938df0e</vt:lpwstr>
  </property>
  <property fmtid="{D5CDD505-2E9C-101B-9397-08002B2CF9AE}" pid="11" name="Function Operations IDB">
    <vt:lpwstr>11;#Goods and Services|5bfebf1b-9f1f-4411-b1dd-4c19b807b799</vt:lpwstr>
  </property>
  <property fmtid="{D5CDD505-2E9C-101B-9397-08002B2CF9AE}" pid="12" name="_dlc_DocIdItemGuid">
    <vt:lpwstr>caa8cb7e-eb96-4918-a826-489d93516fc1</vt:lpwstr>
  </property>
  <property fmtid="{D5CDD505-2E9C-101B-9397-08002B2CF9AE}" pid="13" name="ContentTypeId">
    <vt:lpwstr>0x0101001A458A224826124E8B45B1D613300CFC006DBE60004A5AF04290FF9216531B005C</vt:lpwstr>
  </property>
</Properties>
</file>