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E924" w14:textId="77777777" w:rsidR="00DD3811" w:rsidRPr="00BB743D" w:rsidRDefault="00DD3811" w:rsidP="00DD3811">
      <w:pPr>
        <w:jc w:val="center"/>
        <w:rPr>
          <w:b/>
          <w:sz w:val="44"/>
          <w:lang w:val="es-ES"/>
        </w:rPr>
      </w:pPr>
      <w:bookmarkStart w:id="0" w:name="_Toc109554906"/>
      <w:bookmarkStart w:id="1" w:name="_Toc112839680"/>
      <w:bookmarkStart w:id="2" w:name="_Toc438266930"/>
      <w:bookmarkStart w:id="3" w:name="_Toc438267904"/>
      <w:bookmarkStart w:id="4" w:name="_Toc438366671"/>
      <w:r w:rsidRPr="00BB743D">
        <w:rPr>
          <w:b/>
          <w:sz w:val="40"/>
          <w:lang w:val="es-ES"/>
        </w:rPr>
        <w:t>DOCUMENTOS ESTÁNDAR DE LICITACIÓN</w:t>
      </w:r>
      <w:bookmarkEnd w:id="0"/>
      <w:bookmarkEnd w:id="1"/>
    </w:p>
    <w:p w14:paraId="4751E1AB" w14:textId="77777777" w:rsidR="00DD3811" w:rsidRPr="00BB743D" w:rsidRDefault="00DD3811" w:rsidP="00DD3811">
      <w:pPr>
        <w:jc w:val="center"/>
        <w:rPr>
          <w:b/>
          <w:sz w:val="52"/>
          <w:lang w:val="es-ES"/>
        </w:rPr>
      </w:pPr>
    </w:p>
    <w:p w14:paraId="22E58E58" w14:textId="24F10ACB" w:rsidR="003E7B02" w:rsidRPr="00BB743D" w:rsidRDefault="003E7B02" w:rsidP="00DD3811">
      <w:pPr>
        <w:jc w:val="center"/>
        <w:rPr>
          <w:b/>
          <w:sz w:val="52"/>
          <w:lang w:val="es-ES"/>
        </w:rPr>
      </w:pPr>
    </w:p>
    <w:p w14:paraId="4E37E244" w14:textId="77777777" w:rsidR="00E3478C" w:rsidRPr="00BB743D" w:rsidRDefault="00E3478C" w:rsidP="00DD3811">
      <w:pPr>
        <w:jc w:val="center"/>
        <w:rPr>
          <w:b/>
          <w:sz w:val="52"/>
          <w:lang w:val="es-ES"/>
        </w:rPr>
      </w:pPr>
    </w:p>
    <w:p w14:paraId="5B9284AF" w14:textId="77777777" w:rsidR="003E7B02" w:rsidRPr="00BB743D" w:rsidRDefault="003E7B02" w:rsidP="000E2FEB">
      <w:pPr>
        <w:jc w:val="center"/>
        <w:rPr>
          <w:b/>
          <w:smallCaps/>
          <w:sz w:val="56"/>
          <w:szCs w:val="56"/>
          <w:lang w:val="es-ES"/>
        </w:rPr>
      </w:pPr>
      <w:bookmarkStart w:id="5" w:name="_Toc101931217"/>
      <w:bookmarkStart w:id="6" w:name="_GoBack"/>
      <w:bookmarkEnd w:id="6"/>
    </w:p>
    <w:p w14:paraId="1EF908B0" w14:textId="77777777" w:rsidR="003E7B02" w:rsidRPr="00BB743D" w:rsidRDefault="003E7B02" w:rsidP="000E2FEB">
      <w:pPr>
        <w:jc w:val="center"/>
        <w:rPr>
          <w:b/>
          <w:smallCaps/>
          <w:sz w:val="56"/>
          <w:szCs w:val="56"/>
          <w:lang w:val="es-ES"/>
        </w:rPr>
      </w:pPr>
    </w:p>
    <w:p w14:paraId="38B4E7AC" w14:textId="77777777" w:rsidR="009138BD" w:rsidRPr="00BB743D" w:rsidRDefault="009138BD" w:rsidP="000E2FEB">
      <w:pPr>
        <w:jc w:val="center"/>
        <w:rPr>
          <w:b/>
          <w:smallCaps/>
          <w:sz w:val="56"/>
          <w:szCs w:val="56"/>
          <w:lang w:val="es-ES"/>
        </w:rPr>
      </w:pPr>
      <w:r w:rsidRPr="00BB743D">
        <w:rPr>
          <w:b/>
          <w:smallCaps/>
          <w:sz w:val="56"/>
          <w:szCs w:val="56"/>
          <w:lang w:val="es-ES"/>
        </w:rPr>
        <w:t>Guía del Usuario</w:t>
      </w:r>
      <w:bookmarkEnd w:id="5"/>
    </w:p>
    <w:p w14:paraId="0F288CE6" w14:textId="77777777" w:rsidR="009138BD" w:rsidRPr="00BB743D" w:rsidRDefault="009138BD">
      <w:pPr>
        <w:jc w:val="center"/>
        <w:rPr>
          <w:b/>
          <w:smallCaps/>
          <w:sz w:val="56"/>
          <w:szCs w:val="56"/>
          <w:lang w:val="es-ES"/>
        </w:rPr>
      </w:pPr>
      <w:r w:rsidRPr="00BB743D">
        <w:rPr>
          <w:b/>
          <w:smallCaps/>
          <w:sz w:val="56"/>
          <w:szCs w:val="56"/>
          <w:lang w:val="es-ES"/>
        </w:rPr>
        <w:t>para</w:t>
      </w:r>
    </w:p>
    <w:p w14:paraId="21B21E1C" w14:textId="271850D8" w:rsidR="009138BD" w:rsidRPr="00BB743D" w:rsidRDefault="009138BD">
      <w:pPr>
        <w:jc w:val="center"/>
        <w:rPr>
          <w:b/>
          <w:sz w:val="56"/>
          <w:lang w:val="es-ES"/>
        </w:rPr>
      </w:pPr>
      <w:r w:rsidRPr="00BB743D">
        <w:rPr>
          <w:b/>
          <w:smallCaps/>
          <w:sz w:val="56"/>
          <w:szCs w:val="56"/>
          <w:lang w:val="es-ES"/>
        </w:rPr>
        <w:t xml:space="preserve">la Contratación de </w:t>
      </w:r>
      <w:r w:rsidR="00AC6C37" w:rsidRPr="00BB743D">
        <w:rPr>
          <w:b/>
          <w:smallCaps/>
          <w:sz w:val="56"/>
          <w:szCs w:val="56"/>
          <w:lang w:val="es-ES"/>
        </w:rPr>
        <w:t>Menores</w:t>
      </w:r>
      <w:r w:rsidR="003841B3" w:rsidRPr="00BB743D">
        <w:rPr>
          <w:b/>
          <w:smallCaps/>
          <w:sz w:val="56"/>
          <w:szCs w:val="56"/>
          <w:lang w:val="es-ES"/>
        </w:rPr>
        <w:t xml:space="preserve"> mediante </w:t>
      </w:r>
      <w:r w:rsidR="009E266A" w:rsidRPr="00BB743D">
        <w:rPr>
          <w:b/>
          <w:smallCaps/>
          <w:sz w:val="56"/>
          <w:szCs w:val="56"/>
          <w:lang w:val="es-ES"/>
        </w:rPr>
        <w:t>Contrato</w:t>
      </w:r>
      <w:r w:rsidR="003841B3" w:rsidRPr="00BB743D">
        <w:rPr>
          <w:b/>
          <w:smallCaps/>
          <w:sz w:val="56"/>
          <w:szCs w:val="56"/>
          <w:lang w:val="es-ES"/>
        </w:rPr>
        <w:t xml:space="preserve"> de Diseño y Construcción</w:t>
      </w:r>
      <w:r w:rsidR="00FA59F2" w:rsidRPr="00BB743D">
        <w:rPr>
          <w:b/>
          <w:smallCaps/>
          <w:sz w:val="56"/>
          <w:szCs w:val="56"/>
          <w:lang w:val="es-ES"/>
        </w:rPr>
        <w:t xml:space="preserve"> </w:t>
      </w:r>
    </w:p>
    <w:p w14:paraId="4939E7BF" w14:textId="50F02058" w:rsidR="009138BD" w:rsidRPr="00BB743D" w:rsidRDefault="009138BD">
      <w:pPr>
        <w:jc w:val="center"/>
        <w:rPr>
          <w:b/>
          <w:sz w:val="56"/>
          <w:lang w:val="es-ES"/>
        </w:rPr>
      </w:pPr>
    </w:p>
    <w:p w14:paraId="2715C169" w14:textId="77777777" w:rsidR="00E3478C" w:rsidRPr="00BB743D" w:rsidRDefault="00E3478C">
      <w:pPr>
        <w:jc w:val="center"/>
        <w:rPr>
          <w:b/>
          <w:sz w:val="56"/>
          <w:lang w:val="es-ES"/>
        </w:rPr>
      </w:pPr>
    </w:p>
    <w:p w14:paraId="4D7C607B" w14:textId="7AD7F4A4" w:rsidR="009138BD" w:rsidRPr="00BB743D" w:rsidRDefault="00DA7F0A" w:rsidP="00DD3811">
      <w:pPr>
        <w:shd w:val="clear" w:color="auto" w:fill="4F81BD" w:themeFill="accent1"/>
        <w:jc w:val="center"/>
        <w:rPr>
          <w:b/>
          <w:color w:val="FFFFFF" w:themeColor="background1"/>
          <w:sz w:val="48"/>
          <w:szCs w:val="48"/>
          <w:lang w:val="es-ES"/>
        </w:rPr>
      </w:pPr>
      <w:r w:rsidRPr="00BB743D">
        <w:rPr>
          <w:b/>
          <w:color w:val="FFFFFF" w:themeColor="background1"/>
          <w:sz w:val="48"/>
          <w:szCs w:val="48"/>
          <w:lang w:val="es-ES"/>
        </w:rPr>
        <w:t>PERÍODO DE PRUEBA</w:t>
      </w:r>
    </w:p>
    <w:p w14:paraId="380B679A" w14:textId="77777777" w:rsidR="009138BD" w:rsidRPr="00BB743D" w:rsidRDefault="009138BD">
      <w:pPr>
        <w:jc w:val="center"/>
        <w:rPr>
          <w:b/>
          <w:color w:val="00FF00"/>
          <w:sz w:val="52"/>
          <w:lang w:val="es-ES"/>
        </w:rPr>
      </w:pPr>
    </w:p>
    <w:p w14:paraId="28924561" w14:textId="77777777" w:rsidR="009138BD" w:rsidRPr="00BB743D" w:rsidRDefault="009138BD">
      <w:pPr>
        <w:jc w:val="center"/>
        <w:rPr>
          <w:b/>
          <w:color w:val="00FF00"/>
          <w:sz w:val="52"/>
          <w:lang w:val="es-ES"/>
        </w:rPr>
      </w:pPr>
    </w:p>
    <w:p w14:paraId="0E7C6A31" w14:textId="2F37F813" w:rsidR="009138BD" w:rsidRPr="00BB743D" w:rsidRDefault="009138BD">
      <w:pPr>
        <w:jc w:val="center"/>
        <w:rPr>
          <w:b/>
          <w:color w:val="00FF00"/>
          <w:sz w:val="44"/>
          <w:lang w:val="es-ES"/>
        </w:rPr>
      </w:pPr>
      <w:r w:rsidRPr="00BB743D">
        <w:rPr>
          <w:b/>
          <w:sz w:val="48"/>
          <w:szCs w:val="48"/>
          <w:lang w:val="es-ES"/>
        </w:rPr>
        <w:t>Banco Interamericano de Desarrollo</w:t>
      </w:r>
      <w:r w:rsidRPr="00BB743D">
        <w:rPr>
          <w:b/>
          <w:sz w:val="48"/>
          <w:szCs w:val="48"/>
          <w:lang w:val="es-ES"/>
        </w:rPr>
        <w:br/>
      </w:r>
      <w:r w:rsidR="00A42760" w:rsidRPr="00BB743D">
        <w:rPr>
          <w:b/>
          <w:sz w:val="48"/>
          <w:szCs w:val="48"/>
          <w:lang w:val="es-ES"/>
        </w:rPr>
        <w:t>5 marzo 2018</w:t>
      </w:r>
    </w:p>
    <w:p w14:paraId="56028602" w14:textId="77777777" w:rsidR="009138BD" w:rsidRPr="00BB743D" w:rsidRDefault="009138BD">
      <w:pPr>
        <w:pStyle w:val="SectionXHeader3"/>
        <w:rPr>
          <w:color w:val="00FF00"/>
          <w:lang w:val="es-ES"/>
        </w:rPr>
      </w:pPr>
    </w:p>
    <w:p w14:paraId="39DBDB03" w14:textId="77777777" w:rsidR="009138BD" w:rsidRPr="00BB743D" w:rsidRDefault="009138BD">
      <w:pPr>
        <w:pStyle w:val="explanatorynotes"/>
        <w:spacing w:after="0"/>
        <w:jc w:val="left"/>
        <w:rPr>
          <w:rFonts w:ascii="Times New Roman" w:hAnsi="Times New Roman"/>
          <w:b/>
          <w:lang w:val="es-ES"/>
        </w:rPr>
      </w:pPr>
    </w:p>
    <w:p w14:paraId="426DC53A" w14:textId="77777777" w:rsidR="009138BD" w:rsidRPr="00BB743D" w:rsidRDefault="00072AC0" w:rsidP="000E2FEB">
      <w:pPr>
        <w:jc w:val="center"/>
        <w:rPr>
          <w:b/>
          <w:sz w:val="36"/>
          <w:lang w:val="es-ES"/>
        </w:rPr>
      </w:pPr>
      <w:r w:rsidRPr="00BB743D">
        <w:rPr>
          <w:lang w:val="es-ES"/>
        </w:rPr>
        <w:br w:type="page"/>
      </w:r>
      <w:r w:rsidR="000E2FEB" w:rsidRPr="00BB743D">
        <w:rPr>
          <w:b/>
          <w:sz w:val="36"/>
          <w:lang w:val="es-ES"/>
        </w:rPr>
        <w:lastRenderedPageBreak/>
        <w:t>Índice de Contenido</w:t>
      </w:r>
    </w:p>
    <w:p w14:paraId="08341252" w14:textId="77777777" w:rsidR="00BC280F" w:rsidRPr="00BB743D" w:rsidRDefault="00BC280F" w:rsidP="000E2FEB">
      <w:pPr>
        <w:jc w:val="center"/>
        <w:rPr>
          <w:b/>
          <w:sz w:val="36"/>
          <w:lang w:val="es-ES"/>
        </w:rPr>
      </w:pPr>
    </w:p>
    <w:p w14:paraId="50AF9BDF" w14:textId="77777777" w:rsidR="00BC280F" w:rsidRPr="00BB743D" w:rsidRDefault="00BC280F" w:rsidP="000E2FEB">
      <w:pPr>
        <w:jc w:val="center"/>
        <w:rPr>
          <w:lang w:val="es-ES"/>
        </w:rPr>
      </w:pPr>
    </w:p>
    <w:p w14:paraId="0D7FE624" w14:textId="77777777" w:rsidR="003E7B02" w:rsidRPr="00BB743D" w:rsidRDefault="00072AC0">
      <w:pPr>
        <w:pStyle w:val="TOC2"/>
        <w:tabs>
          <w:tab w:val="right" w:leader="dot" w:pos="8947"/>
        </w:tabs>
        <w:rPr>
          <w:rFonts w:asciiTheme="minorHAnsi" w:eastAsiaTheme="minorEastAsia" w:hAnsiTheme="minorHAnsi" w:cstheme="minorBidi"/>
          <w:b w:val="0"/>
          <w:noProof/>
          <w:sz w:val="24"/>
          <w:szCs w:val="24"/>
          <w:lang w:val="es-ES"/>
        </w:rPr>
      </w:pPr>
      <w:r w:rsidRPr="00BB743D">
        <w:rPr>
          <w:lang w:val="es-ES"/>
        </w:rPr>
        <w:fldChar w:fldCharType="begin"/>
      </w:r>
      <w:r w:rsidRPr="00BB743D">
        <w:rPr>
          <w:lang w:val="es-ES"/>
        </w:rPr>
        <w:instrText xml:space="preserve"> TOC \o "1-3" </w:instrText>
      </w:r>
      <w:r w:rsidRPr="00BB743D">
        <w:rPr>
          <w:lang w:val="es-ES"/>
        </w:rPr>
        <w:fldChar w:fldCharType="separate"/>
      </w:r>
      <w:r w:rsidR="003E7B02" w:rsidRPr="00BB743D">
        <w:rPr>
          <w:noProof/>
          <w:lang w:val="es-ES"/>
        </w:rPr>
        <w:t>Prefacio</w:t>
      </w:r>
      <w:r w:rsidR="003E7B02" w:rsidRPr="00BB743D">
        <w:rPr>
          <w:noProof/>
          <w:lang w:val="es-ES"/>
        </w:rPr>
        <w:tab/>
      </w:r>
      <w:r w:rsidR="003E7B02" w:rsidRPr="00BB743D">
        <w:rPr>
          <w:noProof/>
          <w:lang w:val="es-ES"/>
        </w:rPr>
        <w:fldChar w:fldCharType="begin"/>
      </w:r>
      <w:r w:rsidR="003E7B02" w:rsidRPr="00BB743D">
        <w:rPr>
          <w:noProof/>
          <w:lang w:val="es-ES"/>
        </w:rPr>
        <w:instrText xml:space="preserve"> PAGEREF _Toc503248440 \h </w:instrText>
      </w:r>
      <w:r w:rsidR="003E7B02" w:rsidRPr="00BB743D">
        <w:rPr>
          <w:noProof/>
          <w:lang w:val="es-ES"/>
        </w:rPr>
      </w:r>
      <w:r w:rsidR="003E7B02" w:rsidRPr="00BB743D">
        <w:rPr>
          <w:noProof/>
          <w:lang w:val="es-ES"/>
        </w:rPr>
        <w:fldChar w:fldCharType="separate"/>
      </w:r>
      <w:r w:rsidR="003E7B02" w:rsidRPr="00BB743D">
        <w:rPr>
          <w:noProof/>
          <w:lang w:val="es-ES"/>
        </w:rPr>
        <w:t>3</w:t>
      </w:r>
      <w:r w:rsidR="003E7B02" w:rsidRPr="00BB743D">
        <w:rPr>
          <w:noProof/>
          <w:lang w:val="es-ES"/>
        </w:rPr>
        <w:fldChar w:fldCharType="end"/>
      </w:r>
    </w:p>
    <w:p w14:paraId="7EACA93F"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A.</w:t>
      </w:r>
      <w:r w:rsidRPr="00BB743D">
        <w:rPr>
          <w:rFonts w:asciiTheme="minorHAnsi" w:eastAsiaTheme="minorEastAsia" w:hAnsiTheme="minorHAnsi" w:cstheme="minorBidi"/>
          <w:b w:val="0"/>
          <w:noProof/>
          <w:sz w:val="24"/>
          <w:szCs w:val="24"/>
          <w:lang w:val="es-ES"/>
        </w:rPr>
        <w:tab/>
      </w:r>
      <w:r w:rsidRPr="00BB743D">
        <w:rPr>
          <w:noProof/>
          <w:lang w:val="es-ES"/>
        </w:rPr>
        <w:t>Preámbulo</w:t>
      </w:r>
      <w:r w:rsidRPr="00BB743D">
        <w:rPr>
          <w:noProof/>
          <w:lang w:val="es-ES"/>
        </w:rPr>
        <w:tab/>
      </w:r>
      <w:r w:rsidRPr="00BB743D">
        <w:rPr>
          <w:noProof/>
          <w:lang w:val="es-ES"/>
        </w:rPr>
        <w:fldChar w:fldCharType="begin"/>
      </w:r>
      <w:r w:rsidRPr="00BB743D">
        <w:rPr>
          <w:noProof/>
          <w:lang w:val="es-ES"/>
        </w:rPr>
        <w:instrText xml:space="preserve"> PAGEREF _Toc503248441 \h </w:instrText>
      </w:r>
      <w:r w:rsidRPr="00BB743D">
        <w:rPr>
          <w:noProof/>
          <w:lang w:val="es-ES"/>
        </w:rPr>
      </w:r>
      <w:r w:rsidRPr="00BB743D">
        <w:rPr>
          <w:noProof/>
          <w:lang w:val="es-ES"/>
        </w:rPr>
        <w:fldChar w:fldCharType="separate"/>
      </w:r>
      <w:r w:rsidRPr="00BB743D">
        <w:rPr>
          <w:noProof/>
          <w:lang w:val="es-ES"/>
        </w:rPr>
        <w:t>5</w:t>
      </w:r>
      <w:r w:rsidRPr="00BB743D">
        <w:rPr>
          <w:noProof/>
          <w:lang w:val="es-ES"/>
        </w:rPr>
        <w:fldChar w:fldCharType="end"/>
      </w:r>
    </w:p>
    <w:p w14:paraId="40E5E29A"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B.</w:t>
      </w:r>
      <w:r w:rsidRPr="00BB743D">
        <w:rPr>
          <w:rFonts w:asciiTheme="minorHAnsi" w:eastAsiaTheme="minorEastAsia" w:hAnsiTheme="minorHAnsi" w:cstheme="minorBidi"/>
          <w:b w:val="0"/>
          <w:noProof/>
          <w:sz w:val="24"/>
          <w:szCs w:val="24"/>
          <w:lang w:val="es-ES"/>
        </w:rPr>
        <w:tab/>
      </w:r>
      <w:r w:rsidRPr="00BB743D">
        <w:rPr>
          <w:noProof/>
          <w:lang w:val="es-ES"/>
        </w:rPr>
        <w:t>Sección I. Instrucciones a los Oferentes (IAO)</w:t>
      </w:r>
      <w:r w:rsidRPr="00BB743D">
        <w:rPr>
          <w:noProof/>
          <w:lang w:val="es-ES"/>
        </w:rPr>
        <w:tab/>
      </w:r>
      <w:r w:rsidRPr="00BB743D">
        <w:rPr>
          <w:noProof/>
          <w:lang w:val="es-ES"/>
        </w:rPr>
        <w:fldChar w:fldCharType="begin"/>
      </w:r>
      <w:r w:rsidRPr="00BB743D">
        <w:rPr>
          <w:noProof/>
          <w:lang w:val="es-ES"/>
        </w:rPr>
        <w:instrText xml:space="preserve"> PAGEREF _Toc503248442 \h </w:instrText>
      </w:r>
      <w:r w:rsidRPr="00BB743D">
        <w:rPr>
          <w:noProof/>
          <w:lang w:val="es-ES"/>
        </w:rPr>
      </w:r>
      <w:r w:rsidRPr="00BB743D">
        <w:rPr>
          <w:noProof/>
          <w:lang w:val="es-ES"/>
        </w:rPr>
        <w:fldChar w:fldCharType="separate"/>
      </w:r>
      <w:r w:rsidRPr="00BB743D">
        <w:rPr>
          <w:noProof/>
          <w:lang w:val="es-ES"/>
        </w:rPr>
        <w:t>8</w:t>
      </w:r>
      <w:r w:rsidRPr="00BB743D">
        <w:rPr>
          <w:noProof/>
          <w:lang w:val="es-ES"/>
        </w:rPr>
        <w:fldChar w:fldCharType="end"/>
      </w:r>
    </w:p>
    <w:p w14:paraId="4E330C94"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C.</w:t>
      </w:r>
      <w:r w:rsidRPr="00BB743D">
        <w:rPr>
          <w:rFonts w:asciiTheme="minorHAnsi" w:eastAsiaTheme="minorEastAsia" w:hAnsiTheme="minorHAnsi" w:cstheme="minorBidi"/>
          <w:b w:val="0"/>
          <w:noProof/>
          <w:sz w:val="24"/>
          <w:szCs w:val="24"/>
          <w:lang w:val="es-ES"/>
        </w:rPr>
        <w:tab/>
      </w:r>
      <w:r w:rsidRPr="00BB743D">
        <w:rPr>
          <w:noProof/>
          <w:lang w:val="es-ES"/>
        </w:rPr>
        <w:t>Sección II. Datos de la Licitación (DDL)</w:t>
      </w:r>
      <w:r w:rsidRPr="00BB743D">
        <w:rPr>
          <w:noProof/>
          <w:lang w:val="es-ES"/>
        </w:rPr>
        <w:tab/>
      </w:r>
      <w:r w:rsidRPr="00BB743D">
        <w:rPr>
          <w:noProof/>
          <w:lang w:val="es-ES"/>
        </w:rPr>
        <w:fldChar w:fldCharType="begin"/>
      </w:r>
      <w:r w:rsidRPr="00BB743D">
        <w:rPr>
          <w:noProof/>
          <w:lang w:val="es-ES"/>
        </w:rPr>
        <w:instrText xml:space="preserve"> PAGEREF _Toc503248443 \h </w:instrText>
      </w:r>
      <w:r w:rsidRPr="00BB743D">
        <w:rPr>
          <w:noProof/>
          <w:lang w:val="es-ES"/>
        </w:rPr>
      </w:r>
      <w:r w:rsidRPr="00BB743D">
        <w:rPr>
          <w:noProof/>
          <w:lang w:val="es-ES"/>
        </w:rPr>
        <w:fldChar w:fldCharType="separate"/>
      </w:r>
      <w:r w:rsidRPr="00BB743D">
        <w:rPr>
          <w:noProof/>
          <w:lang w:val="es-ES"/>
        </w:rPr>
        <w:t>10</w:t>
      </w:r>
      <w:r w:rsidRPr="00BB743D">
        <w:rPr>
          <w:noProof/>
          <w:lang w:val="es-ES"/>
        </w:rPr>
        <w:fldChar w:fldCharType="end"/>
      </w:r>
    </w:p>
    <w:p w14:paraId="1776736B"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D.</w:t>
      </w:r>
      <w:r w:rsidRPr="00BB743D">
        <w:rPr>
          <w:rFonts w:asciiTheme="minorHAnsi" w:eastAsiaTheme="minorEastAsia" w:hAnsiTheme="minorHAnsi" w:cstheme="minorBidi"/>
          <w:b w:val="0"/>
          <w:noProof/>
          <w:sz w:val="24"/>
          <w:szCs w:val="24"/>
          <w:lang w:val="es-ES"/>
        </w:rPr>
        <w:tab/>
      </w:r>
      <w:r w:rsidRPr="00BB743D">
        <w:rPr>
          <w:noProof/>
          <w:lang w:val="es-ES"/>
        </w:rPr>
        <w:t>Sección III. Países Elegibles</w:t>
      </w:r>
      <w:r w:rsidRPr="00BB743D">
        <w:rPr>
          <w:noProof/>
          <w:lang w:val="es-ES"/>
        </w:rPr>
        <w:tab/>
      </w:r>
      <w:r w:rsidRPr="00BB743D">
        <w:rPr>
          <w:noProof/>
          <w:lang w:val="es-ES"/>
        </w:rPr>
        <w:fldChar w:fldCharType="begin"/>
      </w:r>
      <w:r w:rsidRPr="00BB743D">
        <w:rPr>
          <w:noProof/>
          <w:lang w:val="es-ES"/>
        </w:rPr>
        <w:instrText xml:space="preserve"> PAGEREF _Toc503248444 \h </w:instrText>
      </w:r>
      <w:r w:rsidRPr="00BB743D">
        <w:rPr>
          <w:noProof/>
          <w:lang w:val="es-ES"/>
        </w:rPr>
      </w:r>
      <w:r w:rsidRPr="00BB743D">
        <w:rPr>
          <w:noProof/>
          <w:lang w:val="es-ES"/>
        </w:rPr>
        <w:fldChar w:fldCharType="separate"/>
      </w:r>
      <w:r w:rsidRPr="00BB743D">
        <w:rPr>
          <w:noProof/>
          <w:lang w:val="es-ES"/>
        </w:rPr>
        <w:t>14</w:t>
      </w:r>
      <w:r w:rsidRPr="00BB743D">
        <w:rPr>
          <w:noProof/>
          <w:lang w:val="es-ES"/>
        </w:rPr>
        <w:fldChar w:fldCharType="end"/>
      </w:r>
    </w:p>
    <w:p w14:paraId="363687B2"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E.</w:t>
      </w:r>
      <w:r w:rsidRPr="00BB743D">
        <w:rPr>
          <w:rFonts w:asciiTheme="minorHAnsi" w:eastAsiaTheme="minorEastAsia" w:hAnsiTheme="minorHAnsi" w:cstheme="minorBidi"/>
          <w:b w:val="0"/>
          <w:noProof/>
          <w:sz w:val="24"/>
          <w:szCs w:val="24"/>
          <w:lang w:val="es-ES"/>
        </w:rPr>
        <w:tab/>
      </w:r>
      <w:r w:rsidRPr="00BB743D">
        <w:rPr>
          <w:noProof/>
          <w:lang w:val="es-ES"/>
        </w:rPr>
        <w:t>Sección IV. Formularios de la Oferta</w:t>
      </w:r>
      <w:r w:rsidRPr="00BB743D">
        <w:rPr>
          <w:noProof/>
          <w:lang w:val="es-ES"/>
        </w:rPr>
        <w:tab/>
      </w:r>
      <w:r w:rsidRPr="00BB743D">
        <w:rPr>
          <w:noProof/>
          <w:lang w:val="es-ES"/>
        </w:rPr>
        <w:fldChar w:fldCharType="begin"/>
      </w:r>
      <w:r w:rsidRPr="00BB743D">
        <w:rPr>
          <w:noProof/>
          <w:lang w:val="es-ES"/>
        </w:rPr>
        <w:instrText xml:space="preserve"> PAGEREF _Toc503248445 \h </w:instrText>
      </w:r>
      <w:r w:rsidRPr="00BB743D">
        <w:rPr>
          <w:noProof/>
          <w:lang w:val="es-ES"/>
        </w:rPr>
      </w:r>
      <w:r w:rsidRPr="00BB743D">
        <w:rPr>
          <w:noProof/>
          <w:lang w:val="es-ES"/>
        </w:rPr>
        <w:fldChar w:fldCharType="separate"/>
      </w:r>
      <w:r w:rsidRPr="00BB743D">
        <w:rPr>
          <w:noProof/>
          <w:lang w:val="es-ES"/>
        </w:rPr>
        <w:t>15</w:t>
      </w:r>
      <w:r w:rsidRPr="00BB743D">
        <w:rPr>
          <w:noProof/>
          <w:lang w:val="es-ES"/>
        </w:rPr>
        <w:fldChar w:fldCharType="end"/>
      </w:r>
    </w:p>
    <w:p w14:paraId="65007780"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F.</w:t>
      </w:r>
      <w:r w:rsidRPr="00BB743D">
        <w:rPr>
          <w:rFonts w:asciiTheme="minorHAnsi" w:eastAsiaTheme="minorEastAsia" w:hAnsiTheme="minorHAnsi" w:cstheme="minorBidi"/>
          <w:b w:val="0"/>
          <w:noProof/>
          <w:sz w:val="24"/>
          <w:szCs w:val="24"/>
          <w:lang w:val="es-ES"/>
        </w:rPr>
        <w:tab/>
      </w:r>
      <w:r w:rsidRPr="00BB743D">
        <w:rPr>
          <w:noProof/>
          <w:lang w:val="es-ES"/>
        </w:rPr>
        <w:t>Sección V. Condiciones Generales de Contrato</w:t>
      </w:r>
      <w:r w:rsidRPr="00BB743D">
        <w:rPr>
          <w:noProof/>
          <w:lang w:val="es-ES"/>
        </w:rPr>
        <w:tab/>
      </w:r>
      <w:r w:rsidRPr="00BB743D">
        <w:rPr>
          <w:noProof/>
          <w:lang w:val="es-ES"/>
        </w:rPr>
        <w:fldChar w:fldCharType="begin"/>
      </w:r>
      <w:r w:rsidRPr="00BB743D">
        <w:rPr>
          <w:noProof/>
          <w:lang w:val="es-ES"/>
        </w:rPr>
        <w:instrText xml:space="preserve"> PAGEREF _Toc503248446 \h </w:instrText>
      </w:r>
      <w:r w:rsidRPr="00BB743D">
        <w:rPr>
          <w:noProof/>
          <w:lang w:val="es-ES"/>
        </w:rPr>
      </w:r>
      <w:r w:rsidRPr="00BB743D">
        <w:rPr>
          <w:noProof/>
          <w:lang w:val="es-ES"/>
        </w:rPr>
        <w:fldChar w:fldCharType="separate"/>
      </w:r>
      <w:r w:rsidRPr="00BB743D">
        <w:rPr>
          <w:noProof/>
          <w:lang w:val="es-ES"/>
        </w:rPr>
        <w:t>18</w:t>
      </w:r>
      <w:r w:rsidRPr="00BB743D">
        <w:rPr>
          <w:noProof/>
          <w:lang w:val="es-ES"/>
        </w:rPr>
        <w:fldChar w:fldCharType="end"/>
      </w:r>
    </w:p>
    <w:p w14:paraId="5DF56069"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G.</w:t>
      </w:r>
      <w:r w:rsidRPr="00BB743D">
        <w:rPr>
          <w:rFonts w:asciiTheme="minorHAnsi" w:eastAsiaTheme="minorEastAsia" w:hAnsiTheme="minorHAnsi" w:cstheme="minorBidi"/>
          <w:b w:val="0"/>
          <w:noProof/>
          <w:sz w:val="24"/>
          <w:szCs w:val="24"/>
          <w:lang w:val="es-ES"/>
        </w:rPr>
        <w:tab/>
      </w:r>
      <w:r w:rsidRPr="00BB743D">
        <w:rPr>
          <w:noProof/>
          <w:lang w:val="es-ES"/>
        </w:rPr>
        <w:t>Sección VI. Condiciones Particulares de Contrato</w:t>
      </w:r>
      <w:r w:rsidRPr="00BB743D">
        <w:rPr>
          <w:noProof/>
          <w:lang w:val="es-ES"/>
        </w:rPr>
        <w:tab/>
      </w:r>
      <w:r w:rsidRPr="00BB743D">
        <w:rPr>
          <w:noProof/>
          <w:lang w:val="es-ES"/>
        </w:rPr>
        <w:fldChar w:fldCharType="begin"/>
      </w:r>
      <w:r w:rsidRPr="00BB743D">
        <w:rPr>
          <w:noProof/>
          <w:lang w:val="es-ES"/>
        </w:rPr>
        <w:instrText xml:space="preserve"> PAGEREF _Toc503248447 \h </w:instrText>
      </w:r>
      <w:r w:rsidRPr="00BB743D">
        <w:rPr>
          <w:noProof/>
          <w:lang w:val="es-ES"/>
        </w:rPr>
      </w:r>
      <w:r w:rsidRPr="00BB743D">
        <w:rPr>
          <w:noProof/>
          <w:lang w:val="es-ES"/>
        </w:rPr>
        <w:fldChar w:fldCharType="separate"/>
      </w:r>
      <w:r w:rsidRPr="00BB743D">
        <w:rPr>
          <w:noProof/>
          <w:lang w:val="es-ES"/>
        </w:rPr>
        <w:t>19</w:t>
      </w:r>
      <w:r w:rsidRPr="00BB743D">
        <w:rPr>
          <w:noProof/>
          <w:lang w:val="es-ES"/>
        </w:rPr>
        <w:fldChar w:fldCharType="end"/>
      </w:r>
    </w:p>
    <w:p w14:paraId="2980801A"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H.</w:t>
      </w:r>
      <w:r w:rsidRPr="00BB743D">
        <w:rPr>
          <w:rFonts w:asciiTheme="minorHAnsi" w:eastAsiaTheme="minorEastAsia" w:hAnsiTheme="minorHAnsi" w:cstheme="minorBidi"/>
          <w:b w:val="0"/>
          <w:noProof/>
          <w:sz w:val="24"/>
          <w:szCs w:val="24"/>
          <w:lang w:val="es-ES"/>
        </w:rPr>
        <w:tab/>
      </w:r>
      <w:r w:rsidRPr="00BB743D">
        <w:rPr>
          <w:noProof/>
          <w:lang w:val="es-ES"/>
        </w:rPr>
        <w:t>Sección VIII. Planos</w:t>
      </w:r>
      <w:r w:rsidRPr="00BB743D">
        <w:rPr>
          <w:noProof/>
          <w:lang w:val="es-ES"/>
        </w:rPr>
        <w:tab/>
      </w:r>
      <w:r w:rsidRPr="00BB743D">
        <w:rPr>
          <w:noProof/>
          <w:lang w:val="es-ES"/>
        </w:rPr>
        <w:fldChar w:fldCharType="begin"/>
      </w:r>
      <w:r w:rsidRPr="00BB743D">
        <w:rPr>
          <w:noProof/>
          <w:lang w:val="es-ES"/>
        </w:rPr>
        <w:instrText xml:space="preserve"> PAGEREF _Toc503248448 \h </w:instrText>
      </w:r>
      <w:r w:rsidRPr="00BB743D">
        <w:rPr>
          <w:noProof/>
          <w:lang w:val="es-ES"/>
        </w:rPr>
      </w:r>
      <w:r w:rsidRPr="00BB743D">
        <w:rPr>
          <w:noProof/>
          <w:lang w:val="es-ES"/>
        </w:rPr>
        <w:fldChar w:fldCharType="separate"/>
      </w:r>
      <w:r w:rsidRPr="00BB743D">
        <w:rPr>
          <w:noProof/>
          <w:lang w:val="es-ES"/>
        </w:rPr>
        <w:t>20</w:t>
      </w:r>
      <w:r w:rsidRPr="00BB743D">
        <w:rPr>
          <w:noProof/>
          <w:lang w:val="es-ES"/>
        </w:rPr>
        <w:fldChar w:fldCharType="end"/>
      </w:r>
    </w:p>
    <w:p w14:paraId="41BF24C3"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I.</w:t>
      </w:r>
      <w:r w:rsidRPr="00BB743D">
        <w:rPr>
          <w:rFonts w:asciiTheme="minorHAnsi" w:eastAsiaTheme="minorEastAsia" w:hAnsiTheme="minorHAnsi" w:cstheme="minorBidi"/>
          <w:b w:val="0"/>
          <w:noProof/>
          <w:sz w:val="24"/>
          <w:szCs w:val="24"/>
          <w:lang w:val="es-ES"/>
        </w:rPr>
        <w:tab/>
      </w:r>
      <w:r w:rsidRPr="00BB743D">
        <w:rPr>
          <w:noProof/>
          <w:lang w:val="es-ES"/>
        </w:rPr>
        <w:t>Sección IX. Lista de Actividades</w:t>
      </w:r>
      <w:r w:rsidRPr="00BB743D">
        <w:rPr>
          <w:noProof/>
          <w:lang w:val="es-ES"/>
        </w:rPr>
        <w:tab/>
      </w:r>
      <w:r w:rsidRPr="00BB743D">
        <w:rPr>
          <w:noProof/>
          <w:lang w:val="es-ES"/>
        </w:rPr>
        <w:fldChar w:fldCharType="begin"/>
      </w:r>
      <w:r w:rsidRPr="00BB743D">
        <w:rPr>
          <w:noProof/>
          <w:lang w:val="es-ES"/>
        </w:rPr>
        <w:instrText xml:space="preserve"> PAGEREF _Toc503248449 \h </w:instrText>
      </w:r>
      <w:r w:rsidRPr="00BB743D">
        <w:rPr>
          <w:noProof/>
          <w:lang w:val="es-ES"/>
        </w:rPr>
      </w:r>
      <w:r w:rsidRPr="00BB743D">
        <w:rPr>
          <w:noProof/>
          <w:lang w:val="es-ES"/>
        </w:rPr>
        <w:fldChar w:fldCharType="separate"/>
      </w:r>
      <w:r w:rsidRPr="00BB743D">
        <w:rPr>
          <w:noProof/>
          <w:lang w:val="es-ES"/>
        </w:rPr>
        <w:t>21</w:t>
      </w:r>
      <w:r w:rsidRPr="00BB743D">
        <w:rPr>
          <w:noProof/>
          <w:lang w:val="es-ES"/>
        </w:rPr>
        <w:fldChar w:fldCharType="end"/>
      </w:r>
    </w:p>
    <w:p w14:paraId="5CF212F9" w14:textId="77777777" w:rsidR="003E7B02" w:rsidRPr="00BB743D" w:rsidRDefault="003E7B02">
      <w:pPr>
        <w:pStyle w:val="TOC2"/>
        <w:tabs>
          <w:tab w:val="left" w:pos="720"/>
          <w:tab w:val="right" w:leader="dot" w:pos="8947"/>
        </w:tabs>
        <w:rPr>
          <w:rFonts w:asciiTheme="minorHAnsi" w:eastAsiaTheme="minorEastAsia" w:hAnsiTheme="minorHAnsi" w:cstheme="minorBidi"/>
          <w:b w:val="0"/>
          <w:noProof/>
          <w:sz w:val="24"/>
          <w:szCs w:val="24"/>
          <w:lang w:val="es-ES"/>
        </w:rPr>
      </w:pPr>
      <w:r w:rsidRPr="00BB743D">
        <w:rPr>
          <w:noProof/>
          <w:lang w:val="es-ES"/>
        </w:rPr>
        <w:t>J.</w:t>
      </w:r>
      <w:r w:rsidRPr="00BB743D">
        <w:rPr>
          <w:rFonts w:asciiTheme="minorHAnsi" w:eastAsiaTheme="minorEastAsia" w:hAnsiTheme="minorHAnsi" w:cstheme="minorBidi"/>
          <w:b w:val="0"/>
          <w:noProof/>
          <w:sz w:val="24"/>
          <w:szCs w:val="24"/>
          <w:lang w:val="es-ES"/>
        </w:rPr>
        <w:tab/>
      </w:r>
      <w:r w:rsidRPr="00BB743D">
        <w:rPr>
          <w:noProof/>
          <w:lang w:val="es-ES"/>
        </w:rPr>
        <w:t>Sección X. Formularios de Garantía</w:t>
      </w:r>
      <w:r w:rsidRPr="00BB743D">
        <w:rPr>
          <w:noProof/>
          <w:lang w:val="es-ES"/>
        </w:rPr>
        <w:tab/>
      </w:r>
      <w:r w:rsidRPr="00BB743D">
        <w:rPr>
          <w:noProof/>
          <w:lang w:val="es-ES"/>
        </w:rPr>
        <w:fldChar w:fldCharType="begin"/>
      </w:r>
      <w:r w:rsidRPr="00BB743D">
        <w:rPr>
          <w:noProof/>
          <w:lang w:val="es-ES"/>
        </w:rPr>
        <w:instrText xml:space="preserve"> PAGEREF _Toc503248450 \h </w:instrText>
      </w:r>
      <w:r w:rsidRPr="00BB743D">
        <w:rPr>
          <w:noProof/>
          <w:lang w:val="es-ES"/>
        </w:rPr>
      </w:r>
      <w:r w:rsidRPr="00BB743D">
        <w:rPr>
          <w:noProof/>
          <w:lang w:val="es-ES"/>
        </w:rPr>
        <w:fldChar w:fldCharType="separate"/>
      </w:r>
      <w:r w:rsidRPr="00BB743D">
        <w:rPr>
          <w:noProof/>
          <w:lang w:val="es-ES"/>
        </w:rPr>
        <w:t>22</w:t>
      </w:r>
      <w:r w:rsidRPr="00BB743D">
        <w:rPr>
          <w:noProof/>
          <w:lang w:val="es-ES"/>
        </w:rPr>
        <w:fldChar w:fldCharType="end"/>
      </w:r>
    </w:p>
    <w:p w14:paraId="6BDA5068" w14:textId="77777777" w:rsidR="00821D7A" w:rsidRPr="00BB743D" w:rsidRDefault="00072AC0" w:rsidP="00821D7A">
      <w:pPr>
        <w:pStyle w:val="Heading2"/>
        <w:ind w:left="180" w:firstLine="0"/>
      </w:pPr>
      <w:r w:rsidRPr="00BB743D">
        <w:fldChar w:fldCharType="end"/>
      </w:r>
    </w:p>
    <w:p w14:paraId="3BCA21B6" w14:textId="77777777" w:rsidR="00821D7A" w:rsidRPr="00BB743D" w:rsidRDefault="00821D7A">
      <w:pPr>
        <w:jc w:val="left"/>
        <w:rPr>
          <w:b/>
          <w:sz w:val="40"/>
          <w:lang w:val="es-ES"/>
        </w:rPr>
      </w:pPr>
      <w:r w:rsidRPr="00BB743D">
        <w:rPr>
          <w:lang w:val="es-ES"/>
        </w:rPr>
        <w:br w:type="page"/>
      </w:r>
    </w:p>
    <w:p w14:paraId="4F4D4D3E" w14:textId="3B2DD710" w:rsidR="00343E96" w:rsidRPr="00BB743D" w:rsidRDefault="00072AC0" w:rsidP="00DD3811">
      <w:pPr>
        <w:pStyle w:val="Heading2"/>
        <w:ind w:left="180" w:firstLine="0"/>
      </w:pPr>
      <w:bookmarkStart w:id="7" w:name="_Toc503248440"/>
      <w:r w:rsidRPr="00BB743D">
        <w:lastRenderedPageBreak/>
        <w:t>P</w:t>
      </w:r>
      <w:r w:rsidR="00343E96" w:rsidRPr="00BB743D">
        <w:t>refacio</w:t>
      </w:r>
      <w:bookmarkEnd w:id="7"/>
    </w:p>
    <w:p w14:paraId="10A4E75B" w14:textId="77777777" w:rsidR="00DA7F0A" w:rsidRPr="00BB743D" w:rsidRDefault="00DA7F0A" w:rsidP="00343E96">
      <w:pPr>
        <w:rPr>
          <w:lang w:val="es-ES"/>
        </w:rPr>
      </w:pPr>
    </w:p>
    <w:p w14:paraId="3AB65D66" w14:textId="01BB6164" w:rsidR="00DA7F0A" w:rsidRPr="00BB743D" w:rsidRDefault="00BC280F" w:rsidP="00343E96">
      <w:pPr>
        <w:rPr>
          <w:lang w:val="es-ES"/>
        </w:rPr>
      </w:pPr>
      <w:r w:rsidRPr="00BB743D">
        <w:rPr>
          <w:lang w:val="es-ES"/>
        </w:rPr>
        <w:t xml:space="preserve">Esta Guía de Usuario ha sido preparada para asistir en </w:t>
      </w:r>
      <w:r w:rsidR="00AC6C37" w:rsidRPr="00BB743D">
        <w:rPr>
          <w:lang w:val="es-ES"/>
        </w:rPr>
        <w:t>la preparación</w:t>
      </w:r>
      <w:r w:rsidRPr="00BB743D">
        <w:rPr>
          <w:lang w:val="es-ES"/>
        </w:rPr>
        <w:t xml:space="preserve"> del Documento de Licitación</w:t>
      </w:r>
      <w:r w:rsidR="00343E96" w:rsidRPr="00BB743D">
        <w:rPr>
          <w:lang w:val="es-ES"/>
        </w:rPr>
        <w:t xml:space="preserve"> para la contratación de </w:t>
      </w:r>
      <w:r w:rsidR="000700F5" w:rsidRPr="00BB743D">
        <w:rPr>
          <w:lang w:val="es-ES"/>
        </w:rPr>
        <w:t>obras menores</w:t>
      </w:r>
      <w:r w:rsidR="00343E96" w:rsidRPr="00BB743D">
        <w:rPr>
          <w:lang w:val="es-ES"/>
        </w:rPr>
        <w:t xml:space="preserve"> mediante contratos de diseño y construcción </w:t>
      </w:r>
      <w:r w:rsidRPr="00BB743D">
        <w:rPr>
          <w:lang w:val="es-ES"/>
        </w:rPr>
        <w:t>a través de</w:t>
      </w:r>
      <w:r w:rsidR="00343E96" w:rsidRPr="00BB743D">
        <w:rPr>
          <w:lang w:val="es-ES"/>
        </w:rPr>
        <w:t xml:space="preserve"> licitación pública internacional, en un proceso </w:t>
      </w:r>
      <w:r w:rsidR="000700F5" w:rsidRPr="00BB743D">
        <w:rPr>
          <w:lang w:val="es-ES"/>
        </w:rPr>
        <w:t>de un solo sobre</w:t>
      </w:r>
      <w:r w:rsidRPr="00BB743D">
        <w:rPr>
          <w:lang w:val="es-ES"/>
        </w:rPr>
        <w:t>,</w:t>
      </w:r>
      <w:r w:rsidR="00343E96" w:rsidRPr="00BB743D">
        <w:rPr>
          <w:lang w:val="es-ES"/>
        </w:rPr>
        <w:t xml:space="preserve"> generalmente sin precalificación previa, para proyectos de inversión financiados total o parcialmente por el BID</w:t>
      </w:r>
      <w:r w:rsidR="00DA7F0A" w:rsidRPr="00BB743D">
        <w:rPr>
          <w:lang w:val="es-ES"/>
        </w:rPr>
        <w:t>.</w:t>
      </w:r>
    </w:p>
    <w:p w14:paraId="3D8E216B" w14:textId="77777777" w:rsidR="00DA7F0A" w:rsidRPr="00BB743D" w:rsidRDefault="00DA7F0A" w:rsidP="00343E96">
      <w:pPr>
        <w:rPr>
          <w:lang w:val="es-ES"/>
        </w:rPr>
      </w:pPr>
    </w:p>
    <w:p w14:paraId="6399150B" w14:textId="710CF293" w:rsidR="00343E96" w:rsidRPr="00BB743D" w:rsidRDefault="005A35D5" w:rsidP="00343E96">
      <w:pPr>
        <w:rPr>
          <w:lang w:val="es-ES"/>
        </w:rPr>
      </w:pPr>
      <w:r w:rsidRPr="00BB743D">
        <w:rPr>
          <w:lang w:val="es-ES"/>
        </w:rPr>
        <w:t xml:space="preserve">El documento </w:t>
      </w:r>
      <w:r w:rsidR="000700F5" w:rsidRPr="00BB743D">
        <w:rPr>
          <w:lang w:val="es-ES"/>
        </w:rPr>
        <w:t>requiere adjudicar a</w:t>
      </w:r>
      <w:r w:rsidRPr="00BB743D">
        <w:rPr>
          <w:lang w:val="es-ES"/>
        </w:rPr>
        <w:t xml:space="preserve"> la Oferta Evaluada Más Baja entre aquellas que cumplen </w:t>
      </w:r>
      <w:r w:rsidR="00FF2C26" w:rsidRPr="00BB743D">
        <w:rPr>
          <w:lang w:val="es-ES"/>
        </w:rPr>
        <w:t>con los requisitos del Contratante</w:t>
      </w:r>
      <w:r w:rsidRPr="00BB743D">
        <w:rPr>
          <w:lang w:val="es-ES"/>
        </w:rPr>
        <w:t xml:space="preserve">. </w:t>
      </w:r>
    </w:p>
    <w:p w14:paraId="02C938D1" w14:textId="77777777" w:rsidR="0019146F" w:rsidRPr="00BB743D" w:rsidRDefault="0019146F" w:rsidP="00343E96">
      <w:pPr>
        <w:rPr>
          <w:lang w:val="es-ES"/>
        </w:rPr>
      </w:pPr>
    </w:p>
    <w:p w14:paraId="7C955A07" w14:textId="27BC3609" w:rsidR="0019146F" w:rsidRDefault="00BC280F" w:rsidP="00343E96">
      <w:pPr>
        <w:rPr>
          <w:lang w:val="es-ES"/>
        </w:rPr>
      </w:pPr>
      <w:r w:rsidRPr="00BB743D">
        <w:rPr>
          <w:lang w:val="es-ES"/>
        </w:rPr>
        <w:t>El Documento Estándar de Licitación (DEL) para el cual se prepara esta Guía del Usurario</w:t>
      </w:r>
      <w:r w:rsidR="0019146F" w:rsidRPr="00BB743D">
        <w:rPr>
          <w:lang w:val="es-ES"/>
        </w:rPr>
        <w:t xml:space="preserve"> </w:t>
      </w:r>
      <w:r w:rsidRPr="00BB743D">
        <w:rPr>
          <w:lang w:val="es-ES"/>
        </w:rPr>
        <w:t xml:space="preserve">y la Guía </w:t>
      </w:r>
      <w:r w:rsidR="0019146F" w:rsidRPr="00BB743D">
        <w:rPr>
          <w:lang w:val="es-ES"/>
        </w:rPr>
        <w:t>está</w:t>
      </w:r>
      <w:r w:rsidRPr="00BB743D">
        <w:rPr>
          <w:lang w:val="es-ES"/>
        </w:rPr>
        <w:t>n</w:t>
      </w:r>
      <w:r w:rsidR="0019146F" w:rsidRPr="00BB743D">
        <w:rPr>
          <w:lang w:val="es-ES"/>
        </w:rPr>
        <w:t xml:space="preserve"> en período de prueba a efecto de recibir comentarios y observaciones de los Usuarios, funcionarios, la industria y sus asociaciones durante un período inicialmente estimado de dos años o hasta cuando los bancos de desarrollo multilateral armonicen un docu</w:t>
      </w:r>
      <w:r w:rsidR="00FF2C26" w:rsidRPr="00BB743D">
        <w:rPr>
          <w:lang w:val="es-ES"/>
        </w:rPr>
        <w:t>mento sustitutivo de diseño y construcción de obras menores.</w:t>
      </w:r>
    </w:p>
    <w:p w14:paraId="7A71D048" w14:textId="178CEAFD" w:rsidR="009A3A6A" w:rsidRPr="00BB743D" w:rsidRDefault="009A3A6A" w:rsidP="00343E96">
      <w:pPr>
        <w:rPr>
          <w:lang w:val="es-ES"/>
        </w:rPr>
      </w:pPr>
      <w:r>
        <w:rPr>
          <w:lang w:val="es-ES"/>
        </w:rPr>
        <w:br/>
        <w:t>El Departamento de Infraestructura del Banco (INE) ha preparado una Guía sobre el Diseño de Obras cuyas recomendaciones complementan esta Guía en materia del contenido y nivel de diseño esperado del Contratista</w:t>
      </w:r>
      <w:r>
        <w:rPr>
          <w:rStyle w:val="FootnoteReference"/>
          <w:lang w:val="es-ES"/>
        </w:rPr>
        <w:footnoteReference w:id="1"/>
      </w:r>
      <w:r>
        <w:rPr>
          <w:lang w:val="es-ES"/>
        </w:rPr>
        <w:t>.</w:t>
      </w:r>
    </w:p>
    <w:p w14:paraId="08ABAFEA" w14:textId="77777777" w:rsidR="00343E96" w:rsidRPr="00BB743D" w:rsidRDefault="00343E96" w:rsidP="00343E96">
      <w:pPr>
        <w:rPr>
          <w:lang w:val="es-ES"/>
        </w:rPr>
      </w:pPr>
    </w:p>
    <w:p w14:paraId="3D8867AB" w14:textId="77A9A977" w:rsidR="00343E96" w:rsidRPr="00BB743D" w:rsidRDefault="005A35D5" w:rsidP="00343E96">
      <w:pPr>
        <w:rPr>
          <w:iCs/>
          <w:lang w:val="es-ES"/>
        </w:rPr>
      </w:pPr>
      <w:r w:rsidRPr="00BB743D">
        <w:rPr>
          <w:lang w:val="es-ES"/>
        </w:rPr>
        <w:t xml:space="preserve">El Banco también dispone de </w:t>
      </w:r>
      <w:r w:rsidR="0019146F" w:rsidRPr="00BB743D">
        <w:rPr>
          <w:lang w:val="es-ES"/>
        </w:rPr>
        <w:t xml:space="preserve">otros </w:t>
      </w:r>
      <w:r w:rsidR="00343E96" w:rsidRPr="00BB743D">
        <w:rPr>
          <w:lang w:val="es-ES"/>
        </w:rPr>
        <w:t xml:space="preserve">documentos </w:t>
      </w:r>
      <w:r w:rsidR="0019146F" w:rsidRPr="00BB743D">
        <w:rPr>
          <w:lang w:val="es-ES"/>
        </w:rPr>
        <w:t xml:space="preserve">de licitación para </w:t>
      </w:r>
      <w:r w:rsidR="000700F5" w:rsidRPr="00BB743D">
        <w:rPr>
          <w:lang w:val="es-ES"/>
        </w:rPr>
        <w:t>Obras Civiles</w:t>
      </w:r>
      <w:r w:rsidR="0019146F" w:rsidRPr="00BB743D">
        <w:rPr>
          <w:lang w:val="es-ES"/>
        </w:rPr>
        <w:t xml:space="preserve"> </w:t>
      </w:r>
      <w:r w:rsidR="00AC6C37" w:rsidRPr="00BB743D">
        <w:rPr>
          <w:lang w:val="es-ES"/>
        </w:rPr>
        <w:t xml:space="preserve">de mayor envergadura o complejidad </w:t>
      </w:r>
      <w:r w:rsidR="0019146F" w:rsidRPr="00BB743D">
        <w:rPr>
          <w:lang w:val="es-ES"/>
        </w:rPr>
        <w:t>mediante contratación del</w:t>
      </w:r>
      <w:r w:rsidR="00343E96" w:rsidRPr="00BB743D">
        <w:rPr>
          <w:lang w:val="es-ES"/>
        </w:rPr>
        <w:t xml:space="preserve"> diseño </w:t>
      </w:r>
      <w:r w:rsidR="00BC280F" w:rsidRPr="00BB743D">
        <w:rPr>
          <w:lang w:val="es-ES"/>
        </w:rPr>
        <w:t>y la</w:t>
      </w:r>
      <w:r w:rsidR="00343E96" w:rsidRPr="00BB743D">
        <w:rPr>
          <w:lang w:val="es-ES"/>
        </w:rPr>
        <w:t xml:space="preserve"> </w:t>
      </w:r>
      <w:r w:rsidR="00821D7A" w:rsidRPr="00BB743D">
        <w:rPr>
          <w:lang w:val="es-ES"/>
        </w:rPr>
        <w:t>construcción, en</w:t>
      </w:r>
      <w:r w:rsidR="00343E96" w:rsidRPr="00BB743D">
        <w:rPr>
          <w:iCs/>
          <w:lang w:val="es-ES"/>
        </w:rPr>
        <w:t xml:space="preserve"> l</w:t>
      </w:r>
      <w:r w:rsidR="0019146F" w:rsidRPr="00BB743D">
        <w:rPr>
          <w:iCs/>
          <w:lang w:val="es-ES"/>
        </w:rPr>
        <w:t>o</w:t>
      </w:r>
      <w:r w:rsidR="00343E96" w:rsidRPr="00BB743D">
        <w:rPr>
          <w:iCs/>
          <w:lang w:val="es-ES"/>
        </w:rPr>
        <w:t xml:space="preserve">s que se utiliza un proceso </w:t>
      </w:r>
      <w:r w:rsidR="000700F5" w:rsidRPr="00BB743D">
        <w:rPr>
          <w:iCs/>
          <w:lang w:val="es-ES"/>
        </w:rPr>
        <w:t>de dos sobres</w:t>
      </w:r>
      <w:r w:rsidR="00343E96" w:rsidRPr="00BB743D">
        <w:rPr>
          <w:lang w:val="es-ES"/>
        </w:rPr>
        <w:t xml:space="preserve"> </w:t>
      </w:r>
      <w:r w:rsidR="00AC6C37" w:rsidRPr="00BB743D">
        <w:rPr>
          <w:lang w:val="es-ES"/>
        </w:rPr>
        <w:t>con o s</w:t>
      </w:r>
      <w:r w:rsidR="000700F5" w:rsidRPr="00BB743D">
        <w:rPr>
          <w:lang w:val="es-ES"/>
        </w:rPr>
        <w:t>in precalificación previa</w:t>
      </w:r>
      <w:r w:rsidRPr="00BB743D">
        <w:rPr>
          <w:lang w:val="es-ES"/>
        </w:rPr>
        <w:t>.</w:t>
      </w:r>
      <w:r w:rsidR="00343E96" w:rsidRPr="00BB743D">
        <w:rPr>
          <w:lang w:val="es-ES"/>
        </w:rPr>
        <w:t xml:space="preserve"> </w:t>
      </w:r>
    </w:p>
    <w:p w14:paraId="34FDE5C9" w14:textId="77777777" w:rsidR="00343E96" w:rsidRPr="00BB743D" w:rsidRDefault="00343E96" w:rsidP="00343E96">
      <w:pPr>
        <w:pStyle w:val="plane"/>
        <w:rPr>
          <w:lang w:val="es-ES"/>
        </w:rPr>
      </w:pPr>
    </w:p>
    <w:p w14:paraId="51881397" w14:textId="179FDBBF" w:rsidR="00DA7F0A" w:rsidRPr="00BB743D" w:rsidRDefault="00343E96" w:rsidP="00343E96">
      <w:pPr>
        <w:pStyle w:val="plane"/>
        <w:rPr>
          <w:rFonts w:ascii="Times New Roman" w:hAnsi="Times New Roman"/>
          <w:lang w:val="es-ES"/>
        </w:rPr>
      </w:pPr>
      <w:r w:rsidRPr="00BB743D">
        <w:rPr>
          <w:rFonts w:ascii="Times New Roman" w:hAnsi="Times New Roman"/>
          <w:lang w:val="es-ES"/>
        </w:rPr>
        <w:t>Este documento incluye un contrato de suma global</w:t>
      </w:r>
      <w:r w:rsidR="00A42760" w:rsidRPr="00BB743D">
        <w:rPr>
          <w:rFonts w:ascii="Times New Roman" w:hAnsi="Times New Roman"/>
          <w:lang w:val="es-ES"/>
        </w:rPr>
        <w:t xml:space="preserve"> de responsabilidad única del Contratista</w:t>
      </w:r>
      <w:r w:rsidRPr="00BB743D">
        <w:rPr>
          <w:rFonts w:ascii="Times New Roman" w:hAnsi="Times New Roman"/>
          <w:lang w:val="es-ES"/>
        </w:rPr>
        <w:t xml:space="preserve">. Los contratos de suma global se usan sobre todo en la construcción de edificios y otros tipos de obras bien definidas que tengan pocas probabilidades de experimentar cambios en las cantidades o en las especificaciones, o en las que sea improbable encontrar condiciones difíciles o imprevistas en el Sitio de las Obras (por ejemplo, problemas ocultos de cimientos). </w:t>
      </w:r>
      <w:r w:rsidR="00A42760" w:rsidRPr="00BB743D">
        <w:rPr>
          <w:rFonts w:ascii="Times New Roman" w:hAnsi="Times New Roman"/>
          <w:lang w:val="es-ES"/>
        </w:rPr>
        <w:t>El gerente de Obras debe ejercer su función de supervisor y administrador del contrato cuidando no interferir o socavar la responsabilidad única del Contratista.</w:t>
      </w:r>
    </w:p>
    <w:p w14:paraId="640D03ED" w14:textId="77777777" w:rsidR="00DA7F0A" w:rsidRPr="00BB743D" w:rsidRDefault="00DA7F0A" w:rsidP="00343E96">
      <w:pPr>
        <w:pStyle w:val="plane"/>
        <w:rPr>
          <w:rFonts w:ascii="Times New Roman" w:hAnsi="Times New Roman"/>
          <w:lang w:val="es-ES"/>
        </w:rPr>
      </w:pPr>
    </w:p>
    <w:p w14:paraId="629156CD" w14:textId="2C04B4C5" w:rsidR="00FF2C26" w:rsidRPr="00BB743D" w:rsidRDefault="00FF2C26" w:rsidP="00343E96">
      <w:pPr>
        <w:pStyle w:val="plane"/>
        <w:rPr>
          <w:rFonts w:ascii="Times New Roman" w:hAnsi="Times New Roman"/>
          <w:lang w:val="es-ES"/>
        </w:rPr>
      </w:pPr>
      <w:r w:rsidRPr="00BB743D">
        <w:rPr>
          <w:rFonts w:ascii="Times New Roman" w:hAnsi="Times New Roman"/>
          <w:lang w:val="es-ES"/>
        </w:rPr>
        <w:t xml:space="preserve">Si el Contratante identifica esas partes en la Sección VII. "Especificaciones y Condiciones de Cumplimiento", el </w:t>
      </w:r>
      <w:r w:rsidR="00DA7F0A" w:rsidRPr="00BB743D">
        <w:rPr>
          <w:rFonts w:ascii="Times New Roman" w:hAnsi="Times New Roman"/>
          <w:lang w:val="es-ES"/>
        </w:rPr>
        <w:t xml:space="preserve">documento permite pagar algunas partes de las obras (deseablemente </w:t>
      </w:r>
      <w:r w:rsidRPr="00BB743D">
        <w:rPr>
          <w:rFonts w:ascii="Times New Roman" w:hAnsi="Times New Roman"/>
          <w:lang w:val="es-ES"/>
        </w:rPr>
        <w:t>poco significativas</w:t>
      </w:r>
      <w:r w:rsidR="00DA7F0A" w:rsidRPr="00BB743D">
        <w:rPr>
          <w:rFonts w:ascii="Times New Roman" w:hAnsi="Times New Roman"/>
          <w:lang w:val="es-ES"/>
        </w:rPr>
        <w:t xml:space="preserve">) </w:t>
      </w:r>
      <w:r w:rsidRPr="00BB743D">
        <w:rPr>
          <w:rFonts w:ascii="Times New Roman" w:hAnsi="Times New Roman"/>
          <w:lang w:val="es-ES"/>
        </w:rPr>
        <w:t xml:space="preserve">mediante </w:t>
      </w:r>
      <w:r w:rsidR="00DA7F0A" w:rsidRPr="00BB743D">
        <w:rPr>
          <w:rFonts w:ascii="Times New Roman" w:hAnsi="Times New Roman"/>
          <w:i/>
          <w:lang w:val="es-ES"/>
        </w:rPr>
        <w:t>mediciones</w:t>
      </w:r>
      <w:r w:rsidR="00DA7F0A" w:rsidRPr="00BB743D">
        <w:rPr>
          <w:rFonts w:ascii="Times New Roman" w:hAnsi="Times New Roman"/>
          <w:lang w:val="es-ES"/>
        </w:rPr>
        <w:t xml:space="preserve"> o </w:t>
      </w:r>
      <w:r w:rsidR="00FC41C6" w:rsidRPr="00BB743D">
        <w:rPr>
          <w:rFonts w:ascii="Times New Roman" w:hAnsi="Times New Roman"/>
          <w:lang w:val="es-ES"/>
        </w:rPr>
        <w:t xml:space="preserve">mediante </w:t>
      </w:r>
      <w:r w:rsidR="00DA7F0A" w:rsidRPr="00BB743D">
        <w:rPr>
          <w:rFonts w:ascii="Times New Roman" w:hAnsi="Times New Roman"/>
          <w:i/>
          <w:lang w:val="es-ES"/>
        </w:rPr>
        <w:t xml:space="preserve">Trabajos por </w:t>
      </w:r>
      <w:r w:rsidRPr="00BB743D">
        <w:rPr>
          <w:rFonts w:ascii="Times New Roman" w:hAnsi="Times New Roman"/>
          <w:i/>
          <w:lang w:val="es-ES"/>
        </w:rPr>
        <w:t>día</w:t>
      </w:r>
      <w:r w:rsidRPr="00BB743D">
        <w:rPr>
          <w:rFonts w:ascii="Times New Roman" w:hAnsi="Times New Roman"/>
          <w:lang w:val="es-ES"/>
        </w:rPr>
        <w:t xml:space="preserve">, cuando el Contratante </w:t>
      </w:r>
      <w:r w:rsidR="00DA7F0A" w:rsidRPr="00BB743D">
        <w:rPr>
          <w:rFonts w:ascii="Times New Roman" w:hAnsi="Times New Roman"/>
          <w:lang w:val="es-ES"/>
        </w:rPr>
        <w:t xml:space="preserve">solicita cotizaciones </w:t>
      </w:r>
      <w:r w:rsidR="00FC41C6" w:rsidRPr="00BB743D">
        <w:rPr>
          <w:rFonts w:ascii="Times New Roman" w:hAnsi="Times New Roman"/>
          <w:lang w:val="es-ES"/>
        </w:rPr>
        <w:t xml:space="preserve">separadas </w:t>
      </w:r>
      <w:r w:rsidR="00DA7F0A" w:rsidRPr="00BB743D">
        <w:rPr>
          <w:rFonts w:ascii="Times New Roman" w:hAnsi="Times New Roman"/>
          <w:lang w:val="es-ES"/>
        </w:rPr>
        <w:t xml:space="preserve">para esos rubros, con la intención de ofrecer una mejor distribución de riesgos entre las Partes. </w:t>
      </w:r>
    </w:p>
    <w:p w14:paraId="4C449DF5" w14:textId="77777777" w:rsidR="00FF2C26" w:rsidRPr="00BB743D" w:rsidRDefault="00FF2C26" w:rsidP="00343E96">
      <w:pPr>
        <w:pStyle w:val="plane"/>
        <w:rPr>
          <w:rFonts w:ascii="Times New Roman" w:hAnsi="Times New Roman"/>
          <w:lang w:val="es-ES"/>
        </w:rPr>
      </w:pPr>
    </w:p>
    <w:p w14:paraId="79F6E9BE" w14:textId="4DCEB4E5" w:rsidR="00DA7F0A" w:rsidRPr="00BB743D" w:rsidRDefault="00FF2C26" w:rsidP="00343E96">
      <w:pPr>
        <w:pStyle w:val="plane"/>
        <w:rPr>
          <w:rFonts w:ascii="Times New Roman" w:hAnsi="Times New Roman"/>
          <w:lang w:val="es-ES"/>
        </w:rPr>
      </w:pPr>
      <w:r w:rsidRPr="00BB743D">
        <w:rPr>
          <w:rFonts w:ascii="Times New Roman" w:hAnsi="Times New Roman"/>
          <w:lang w:val="es-ES"/>
        </w:rPr>
        <w:t>En tales casos, se aconsej</w:t>
      </w:r>
      <w:r w:rsidR="003E7B02" w:rsidRPr="00BB743D">
        <w:rPr>
          <w:rFonts w:ascii="Times New Roman" w:hAnsi="Times New Roman"/>
          <w:lang w:val="es-ES"/>
        </w:rPr>
        <w:t>a</w:t>
      </w:r>
      <w:r w:rsidRPr="00BB743D">
        <w:rPr>
          <w:rFonts w:ascii="Times New Roman" w:hAnsi="Times New Roman"/>
          <w:lang w:val="es-ES"/>
        </w:rPr>
        <w:t xml:space="preserve"> que la Sección VII. "Especificaciones y Condiciones de Cumplimiento" establezca</w:t>
      </w:r>
      <w:r w:rsidR="00DA7F0A" w:rsidRPr="00BB743D">
        <w:rPr>
          <w:rFonts w:ascii="Times New Roman" w:hAnsi="Times New Roman"/>
          <w:lang w:val="es-ES"/>
        </w:rPr>
        <w:t xml:space="preserve"> niveles de pago diferenciados para distintos niveles de cantidades mayores de obras por encima de las cantidades </w:t>
      </w:r>
      <w:r w:rsidR="00FC41C6" w:rsidRPr="00BB743D">
        <w:rPr>
          <w:rFonts w:ascii="Times New Roman" w:hAnsi="Times New Roman"/>
          <w:lang w:val="es-ES"/>
        </w:rPr>
        <w:t>establecidas en el diseño final que ejecuta el Contratista a efecto de distribuir el riesgo inherente a esas partes de las obras equitativamente.</w:t>
      </w:r>
    </w:p>
    <w:p w14:paraId="04660FC0" w14:textId="77777777" w:rsidR="00DA7F0A" w:rsidRPr="00BB743D" w:rsidRDefault="00DA7F0A" w:rsidP="00343E96">
      <w:pPr>
        <w:pStyle w:val="plane"/>
        <w:rPr>
          <w:rFonts w:ascii="Times New Roman" w:hAnsi="Times New Roman"/>
          <w:lang w:val="es-ES"/>
        </w:rPr>
      </w:pPr>
    </w:p>
    <w:p w14:paraId="214C5910" w14:textId="1134C221" w:rsidR="00DA7F0A" w:rsidRPr="00BB743D" w:rsidRDefault="00343E96" w:rsidP="00343E96">
      <w:pPr>
        <w:pStyle w:val="plane"/>
        <w:rPr>
          <w:rFonts w:ascii="Times New Roman" w:hAnsi="Times New Roman"/>
          <w:lang w:val="es-ES"/>
        </w:rPr>
      </w:pPr>
      <w:r w:rsidRPr="00BB743D">
        <w:rPr>
          <w:rFonts w:ascii="Times New Roman" w:hAnsi="Times New Roman"/>
          <w:lang w:val="es-ES"/>
        </w:rPr>
        <w:t>Los contratos de suma global deben utilizarse para obras cuyas características físicas y de calidad puedan definirse en su totalidad antes de solicitar propuestas o para aquellas en las que el riesgo de que se efectúen variaciones significativas de diseño sea mínimo</w:t>
      </w:r>
      <w:r w:rsidR="00A42760" w:rsidRPr="00BB743D">
        <w:rPr>
          <w:rFonts w:ascii="Times New Roman" w:hAnsi="Times New Roman"/>
          <w:lang w:val="es-ES"/>
        </w:rPr>
        <w:t>.</w:t>
      </w:r>
      <w:r w:rsidRPr="00BB743D">
        <w:rPr>
          <w:rFonts w:ascii="Times New Roman" w:hAnsi="Times New Roman"/>
          <w:lang w:val="es-ES"/>
        </w:rPr>
        <w:t xml:space="preserve"> </w:t>
      </w:r>
    </w:p>
    <w:p w14:paraId="1BAB081C" w14:textId="77777777" w:rsidR="00DA7F0A" w:rsidRPr="00BB743D" w:rsidRDefault="00DA7F0A" w:rsidP="00343E96">
      <w:pPr>
        <w:pStyle w:val="plane"/>
        <w:rPr>
          <w:rFonts w:ascii="Times New Roman" w:hAnsi="Times New Roman"/>
          <w:lang w:val="es-ES"/>
        </w:rPr>
      </w:pPr>
    </w:p>
    <w:p w14:paraId="0B65219F" w14:textId="09018DD6" w:rsidR="00343E96" w:rsidRPr="00BB743D" w:rsidRDefault="00343E96" w:rsidP="00343E96">
      <w:pPr>
        <w:pStyle w:val="plane"/>
        <w:rPr>
          <w:rFonts w:ascii="Times New Roman" w:hAnsi="Times New Roman"/>
          <w:lang w:val="es-ES"/>
        </w:rPr>
      </w:pPr>
      <w:r w:rsidRPr="00BB743D">
        <w:rPr>
          <w:rFonts w:ascii="Times New Roman" w:hAnsi="Times New Roman"/>
          <w:lang w:val="es-ES"/>
        </w:rPr>
        <w:t>En los contratos de suma global se ha introducido el concepto de “p</w:t>
      </w:r>
      <w:r w:rsidRPr="00BB743D">
        <w:rPr>
          <w:lang w:val="es-ES"/>
        </w:rPr>
        <w:t xml:space="preserve">rogramas </w:t>
      </w:r>
      <w:r w:rsidR="00796F80" w:rsidRPr="00BB743D">
        <w:rPr>
          <w:lang w:val="es-ES"/>
        </w:rPr>
        <w:t xml:space="preserve">o listas </w:t>
      </w:r>
      <w:r w:rsidRPr="00BB743D">
        <w:rPr>
          <w:rFonts w:ascii="Times New Roman" w:hAnsi="Times New Roman"/>
          <w:lang w:val="es-ES"/>
        </w:rPr>
        <w:t>de actividades</w:t>
      </w:r>
      <w:r w:rsidR="00796F80" w:rsidRPr="00BB743D">
        <w:rPr>
          <w:rFonts w:ascii="Times New Roman" w:hAnsi="Times New Roman"/>
          <w:lang w:val="es-ES"/>
        </w:rPr>
        <w:t xml:space="preserve"> y sub-actividades</w:t>
      </w:r>
      <w:r w:rsidRPr="00BB743D">
        <w:rPr>
          <w:rFonts w:ascii="Times New Roman" w:hAnsi="Times New Roman"/>
          <w:lang w:val="es-ES"/>
        </w:rPr>
        <w:t>” con estipulación de precios, para permitir que se efectúen pagos por los porcentajes completados de cada actividad.</w:t>
      </w:r>
    </w:p>
    <w:p w14:paraId="41C77CD2" w14:textId="77777777" w:rsidR="00343E96" w:rsidRPr="00BB743D" w:rsidRDefault="00343E96" w:rsidP="00343E96">
      <w:pPr>
        <w:pStyle w:val="plane"/>
        <w:rPr>
          <w:rFonts w:ascii="Times New Roman" w:hAnsi="Times New Roman"/>
          <w:lang w:val="es-ES"/>
        </w:rPr>
      </w:pPr>
    </w:p>
    <w:p w14:paraId="1D0C56A3" w14:textId="512F9770" w:rsidR="00BC280F" w:rsidRDefault="00BC280F" w:rsidP="00BC280F">
      <w:pPr>
        <w:rPr>
          <w:lang w:val="es-ES"/>
        </w:rPr>
      </w:pPr>
      <w:r w:rsidRPr="00BB743D">
        <w:rPr>
          <w:lang w:val="es-ES"/>
        </w:rPr>
        <w:t xml:space="preserve">Durante el período de prueba del Documento de Licitación y </w:t>
      </w:r>
      <w:r w:rsidR="00DA7F0A" w:rsidRPr="00BB743D">
        <w:rPr>
          <w:lang w:val="es-ES"/>
        </w:rPr>
        <w:t xml:space="preserve">de </w:t>
      </w:r>
      <w:r w:rsidRPr="00BB743D">
        <w:rPr>
          <w:lang w:val="es-ES"/>
        </w:rPr>
        <w:t>la Guía, el Banco agradecerá comentarios y observaciones para hacer estos documentos más efectivos. Para estos efectos, favor dirigirse a:</w:t>
      </w:r>
    </w:p>
    <w:p w14:paraId="29D17C7B" w14:textId="77777777" w:rsidR="00CE6FE2" w:rsidRPr="00BB743D" w:rsidRDefault="00CE6FE2" w:rsidP="00BC280F">
      <w:pPr>
        <w:rPr>
          <w:lang w:val="es-ES"/>
        </w:rPr>
      </w:pPr>
    </w:p>
    <w:p w14:paraId="7D39CB50" w14:textId="77777777" w:rsidR="00CE6FE2" w:rsidRDefault="00CE6FE2" w:rsidP="00CE6FE2">
      <w:pPr>
        <w:jc w:val="center"/>
        <w:rPr>
          <w:lang w:val="es-ES"/>
        </w:rPr>
      </w:pPr>
      <w:r>
        <w:rPr>
          <w:lang w:val="es-ES"/>
        </w:rPr>
        <w:t>Oficina de Gestión Financiera y Adquisiciones</w:t>
      </w:r>
    </w:p>
    <w:p w14:paraId="2D39A82F" w14:textId="77777777" w:rsidR="00CE6FE2" w:rsidRDefault="00CE6FE2" w:rsidP="00CE6FE2">
      <w:pPr>
        <w:jc w:val="center"/>
        <w:rPr>
          <w:lang w:val="es-ES"/>
        </w:rPr>
      </w:pPr>
      <w:r>
        <w:rPr>
          <w:lang w:val="es-ES"/>
        </w:rPr>
        <w:t>Banco Interamericano de Desarrollo</w:t>
      </w:r>
    </w:p>
    <w:p w14:paraId="17F5F11D" w14:textId="77777777" w:rsidR="00CE6FE2" w:rsidRPr="00CE6FE2" w:rsidRDefault="00CE6FE2" w:rsidP="00CE6FE2">
      <w:pPr>
        <w:jc w:val="center"/>
      </w:pPr>
      <w:r w:rsidRPr="00CE6FE2">
        <w:t>1300 New York Avenue, N.W. Washington, D.C. 20577, USA</w:t>
      </w:r>
      <w:r w:rsidRPr="00CE6FE2">
        <w:br/>
        <w:t>E-mail:</w:t>
      </w:r>
      <w:hyperlink r:id="rId14" w:history="1">
        <w:r w:rsidRPr="00CE6FE2">
          <w:rPr>
            <w:color w:val="0000FF"/>
            <w:u w:val="single"/>
          </w:rPr>
          <w:br/>
        </w:r>
        <w:r w:rsidRPr="00CE6FE2">
          <w:rPr>
            <w:rStyle w:val="Hyperlink"/>
          </w:rPr>
          <w:t>procurement@iadb.org</w:t>
        </w:r>
      </w:hyperlink>
    </w:p>
    <w:p w14:paraId="2021F419" w14:textId="519E1C7A" w:rsidR="00E613DB" w:rsidRPr="00BB743D" w:rsidRDefault="00E613DB">
      <w:pPr>
        <w:jc w:val="left"/>
        <w:rPr>
          <w:lang w:val="es-ES"/>
        </w:rPr>
      </w:pPr>
      <w:r w:rsidRPr="00BB743D">
        <w:rPr>
          <w:lang w:val="es-ES"/>
        </w:rPr>
        <w:br w:type="page"/>
      </w:r>
    </w:p>
    <w:p w14:paraId="2B6FC367" w14:textId="77777777" w:rsidR="00BC280F" w:rsidRPr="00BB743D" w:rsidRDefault="00BC280F" w:rsidP="00BB743D">
      <w:pPr>
        <w:pStyle w:val="Heading2"/>
        <w:numPr>
          <w:ilvl w:val="0"/>
          <w:numId w:val="10"/>
        </w:numPr>
        <w:ind w:left="567" w:hanging="567"/>
      </w:pPr>
      <w:bookmarkStart w:id="8" w:name="_Toc503248441"/>
      <w:r w:rsidRPr="00BB743D">
        <w:lastRenderedPageBreak/>
        <w:t>Preámbulo</w:t>
      </w:r>
      <w:bookmarkEnd w:id="8"/>
    </w:p>
    <w:p w14:paraId="79A821AD" w14:textId="77777777" w:rsidR="00BC280F" w:rsidRPr="00BB743D" w:rsidRDefault="00BC280F" w:rsidP="00BC280F">
      <w:pPr>
        <w:pStyle w:val="Heading2"/>
        <w:ind w:left="180" w:firstLine="0"/>
        <w:jc w:val="both"/>
        <w:rPr>
          <w:b w:val="0"/>
          <w:sz w:val="24"/>
        </w:rPr>
      </w:pPr>
    </w:p>
    <w:p w14:paraId="2A60148F" w14:textId="77777777" w:rsidR="00865024" w:rsidRPr="00BB743D" w:rsidRDefault="00865024" w:rsidP="007D16D4">
      <w:pPr>
        <w:rPr>
          <w:lang w:val="es-ES"/>
        </w:rPr>
      </w:pPr>
    </w:p>
    <w:tbl>
      <w:tblPr>
        <w:tblStyle w:val="TableGrid"/>
        <w:tblW w:w="0" w:type="auto"/>
        <w:tblLook w:val="04A0" w:firstRow="1" w:lastRow="0" w:firstColumn="1" w:lastColumn="0" w:noHBand="0" w:noVBand="1"/>
      </w:tblPr>
      <w:tblGrid>
        <w:gridCol w:w="8947"/>
      </w:tblGrid>
      <w:tr w:rsidR="00865024" w:rsidRPr="00BB743D" w14:paraId="55EF33DF" w14:textId="77777777" w:rsidTr="00865024">
        <w:tc>
          <w:tcPr>
            <w:tcW w:w="9173" w:type="dxa"/>
            <w:shd w:val="clear" w:color="auto" w:fill="F2F2F2" w:themeFill="background1" w:themeFillShade="F2"/>
          </w:tcPr>
          <w:p w14:paraId="0DFE9840" w14:textId="77777777" w:rsidR="003E7B02" w:rsidRPr="00BB743D" w:rsidRDefault="003E7B02" w:rsidP="00865024">
            <w:pPr>
              <w:rPr>
                <w:lang w:val="es-ES"/>
              </w:rPr>
            </w:pPr>
          </w:p>
          <w:p w14:paraId="5C657705" w14:textId="421670A1" w:rsidR="00865024" w:rsidRPr="00BB743D" w:rsidRDefault="00865024" w:rsidP="00865024">
            <w:pPr>
              <w:rPr>
                <w:lang w:val="es-ES"/>
              </w:rPr>
            </w:pPr>
            <w:r w:rsidRPr="00BB743D">
              <w:rPr>
                <w:lang w:val="es-ES"/>
              </w:rPr>
              <w:t xml:space="preserve">Este preámbulo explica las modificaciones principales que se realizaron en el documento de licitación para la construcción de </w:t>
            </w:r>
            <w:r w:rsidR="00A42760" w:rsidRPr="00BB743D">
              <w:rPr>
                <w:lang w:val="es-ES"/>
              </w:rPr>
              <w:t xml:space="preserve">Obras Menores </w:t>
            </w:r>
            <w:r w:rsidRPr="00BB743D">
              <w:rPr>
                <w:lang w:val="es-ES"/>
              </w:rPr>
              <w:t>para transformarlo en un documento para la contratación del diseño y la construcción de obras. Los Usuarios de este documento deben observar atentamente la evolución y cambios que con certeza serán introducidos al documento conforme otros Usuarios ganan experiencia en el uso del documento y propician cambios que serán reflejados en nuevas ediciones del documento y de la Guía en los años venideros.</w:t>
            </w:r>
          </w:p>
          <w:p w14:paraId="2AECB52C" w14:textId="77777777" w:rsidR="00865024" w:rsidRPr="00BB743D" w:rsidRDefault="00865024" w:rsidP="007D16D4">
            <w:pPr>
              <w:rPr>
                <w:lang w:val="es-ES"/>
              </w:rPr>
            </w:pPr>
          </w:p>
        </w:tc>
      </w:tr>
    </w:tbl>
    <w:p w14:paraId="20C981BA" w14:textId="77777777" w:rsidR="00280A6C" w:rsidRPr="00BB743D" w:rsidRDefault="00280A6C" w:rsidP="007D16D4">
      <w:pPr>
        <w:rPr>
          <w:u w:val="single"/>
          <w:lang w:val="es-ES"/>
        </w:rPr>
      </w:pPr>
    </w:p>
    <w:p w14:paraId="59CCFEFC" w14:textId="77777777" w:rsidR="00FC41C6" w:rsidRPr="00BB743D" w:rsidRDefault="00FC41C6" w:rsidP="00FF2C26">
      <w:pPr>
        <w:rPr>
          <w:u w:val="single"/>
          <w:lang w:val="es-ES"/>
        </w:rPr>
      </w:pPr>
      <w:r w:rsidRPr="00BB743D">
        <w:rPr>
          <w:u w:val="single"/>
          <w:lang w:val="es-ES"/>
        </w:rPr>
        <w:t>Estructura de la Guía</w:t>
      </w:r>
    </w:p>
    <w:p w14:paraId="6854EBCE" w14:textId="77777777" w:rsidR="003E7B02" w:rsidRPr="00BB743D" w:rsidRDefault="003E7B02" w:rsidP="00FF2C26">
      <w:pPr>
        <w:rPr>
          <w:u w:val="single"/>
          <w:lang w:val="es-ES"/>
        </w:rPr>
      </w:pPr>
    </w:p>
    <w:p w14:paraId="4220F331" w14:textId="285EF85E" w:rsidR="00BC280F" w:rsidRPr="00BB743D" w:rsidRDefault="00BC280F" w:rsidP="00BB743D">
      <w:pPr>
        <w:pStyle w:val="ListParagraph"/>
        <w:numPr>
          <w:ilvl w:val="0"/>
          <w:numId w:val="19"/>
        </w:numPr>
        <w:ind w:left="567" w:hanging="567"/>
        <w:rPr>
          <w:lang w:val="es-ES"/>
        </w:rPr>
      </w:pPr>
      <w:r w:rsidRPr="00BB743D">
        <w:rPr>
          <w:lang w:val="es-ES"/>
        </w:rPr>
        <w:t xml:space="preserve">Esta Guía sigue las partes y secciones en el mismo orden del Documento Estándar de Licitación </w:t>
      </w:r>
      <w:r w:rsidR="00796F80" w:rsidRPr="00BB743D">
        <w:rPr>
          <w:lang w:val="es-ES"/>
        </w:rPr>
        <w:t xml:space="preserve">(DEL) </w:t>
      </w:r>
      <w:r w:rsidRPr="00BB743D">
        <w:rPr>
          <w:lang w:val="es-ES"/>
        </w:rPr>
        <w:t>para el cual fue elaborada.</w:t>
      </w:r>
      <w:r w:rsidR="00FC41C6" w:rsidRPr="00BB743D">
        <w:rPr>
          <w:lang w:val="es-ES"/>
        </w:rPr>
        <w:t xml:space="preserve"> </w:t>
      </w:r>
    </w:p>
    <w:p w14:paraId="051E76B2" w14:textId="77777777" w:rsidR="00BC280F" w:rsidRPr="00BB743D" w:rsidRDefault="00BC280F" w:rsidP="00FF2C26">
      <w:pPr>
        <w:rPr>
          <w:lang w:val="es-ES"/>
        </w:rPr>
      </w:pPr>
    </w:p>
    <w:p w14:paraId="758CAD25" w14:textId="63D4A38B" w:rsidR="00FC41C6" w:rsidRPr="00BB743D" w:rsidRDefault="00FC41C6" w:rsidP="00FF2C26">
      <w:pPr>
        <w:jc w:val="center"/>
        <w:rPr>
          <w:lang w:val="es-ES"/>
        </w:rPr>
      </w:pPr>
      <w:r w:rsidRPr="00BB743D">
        <w:rPr>
          <w:noProof/>
          <w:lang w:val="es-ES"/>
        </w:rPr>
        <w:drawing>
          <wp:inline distT="0" distB="0" distL="0" distR="0" wp14:anchorId="4A9FC99A" wp14:editId="59DD3CBB">
            <wp:extent cx="4991735" cy="4572000"/>
            <wp:effectExtent l="0" t="0" r="0" b="0"/>
            <wp:docPr id="1" name="Picture 1" descr="/Users/administrador/Desktop/Screen Shot 2018-01-05 at 8.42.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istrador/Desktop/Screen Shot 2018-01-05 at 8.42.41 AM.pn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28022" cy="4605236"/>
                    </a:xfrm>
                    <a:prstGeom prst="rect">
                      <a:avLst/>
                    </a:prstGeom>
                    <a:noFill/>
                    <a:ln>
                      <a:noFill/>
                    </a:ln>
                  </pic:spPr>
                </pic:pic>
              </a:graphicData>
            </a:graphic>
          </wp:inline>
        </w:drawing>
      </w:r>
    </w:p>
    <w:p w14:paraId="5E6B05E3" w14:textId="77777777" w:rsidR="00FC41C6" w:rsidRPr="00BB743D" w:rsidRDefault="00FC41C6" w:rsidP="00FF2C26">
      <w:pPr>
        <w:rPr>
          <w:u w:val="single"/>
          <w:lang w:val="es-ES"/>
        </w:rPr>
      </w:pPr>
    </w:p>
    <w:p w14:paraId="1F275A36" w14:textId="77777777" w:rsidR="00FC41C6" w:rsidRPr="00BB743D" w:rsidRDefault="00FC41C6" w:rsidP="00FF2C26">
      <w:pPr>
        <w:rPr>
          <w:u w:val="single"/>
          <w:lang w:val="es-ES"/>
        </w:rPr>
      </w:pPr>
      <w:r w:rsidRPr="00BB743D">
        <w:rPr>
          <w:u w:val="single"/>
          <w:lang w:val="es-ES"/>
        </w:rPr>
        <w:lastRenderedPageBreak/>
        <w:t>Contenido de la Guía</w:t>
      </w:r>
    </w:p>
    <w:p w14:paraId="1CE73174" w14:textId="77777777" w:rsidR="003E7B02" w:rsidRPr="00BB743D" w:rsidRDefault="003E7B02" w:rsidP="00FF2C26">
      <w:pPr>
        <w:rPr>
          <w:u w:val="single"/>
          <w:lang w:val="es-ES"/>
        </w:rPr>
      </w:pPr>
    </w:p>
    <w:p w14:paraId="28823DB7" w14:textId="767F8661" w:rsidR="00A42760" w:rsidRPr="00BB743D" w:rsidRDefault="00FC41C6" w:rsidP="00BB743D">
      <w:pPr>
        <w:pStyle w:val="ListParagraph"/>
        <w:numPr>
          <w:ilvl w:val="0"/>
          <w:numId w:val="19"/>
        </w:numPr>
        <w:ind w:left="567" w:hanging="567"/>
        <w:jc w:val="both"/>
        <w:rPr>
          <w:lang w:val="es-ES"/>
        </w:rPr>
      </w:pPr>
      <w:r w:rsidRPr="00BB743D">
        <w:rPr>
          <w:lang w:val="es-ES"/>
        </w:rPr>
        <w:t xml:space="preserve">Esta Guía solamente trata los aspectos principales o novedosos del Documento de Licitación de </w:t>
      </w:r>
      <w:r w:rsidR="00A42760" w:rsidRPr="00BB743D">
        <w:rPr>
          <w:lang w:val="es-ES"/>
        </w:rPr>
        <w:t xml:space="preserve">Diseño </w:t>
      </w:r>
      <w:r w:rsidRPr="00BB743D">
        <w:rPr>
          <w:lang w:val="es-ES"/>
        </w:rPr>
        <w:t xml:space="preserve">y </w:t>
      </w:r>
      <w:r w:rsidR="00A42760" w:rsidRPr="00BB743D">
        <w:rPr>
          <w:lang w:val="es-ES"/>
        </w:rPr>
        <w:t>Construcción</w:t>
      </w:r>
      <w:r w:rsidRPr="00BB743D">
        <w:rPr>
          <w:lang w:val="es-ES"/>
        </w:rPr>
        <w:t xml:space="preserve">. El Documento de Licitación </w:t>
      </w:r>
      <w:r w:rsidR="00B5099C" w:rsidRPr="00BB743D">
        <w:rPr>
          <w:lang w:val="es-ES"/>
        </w:rPr>
        <w:t xml:space="preserve">precursor </w:t>
      </w:r>
      <w:r w:rsidRPr="00BB743D">
        <w:rPr>
          <w:lang w:val="es-ES"/>
        </w:rPr>
        <w:t>fue diseñado para pequeñas obras diseñadas por el Contratante</w:t>
      </w:r>
      <w:r w:rsidR="00B5099C" w:rsidRPr="00BB743D">
        <w:rPr>
          <w:lang w:val="es-ES"/>
        </w:rPr>
        <w:t xml:space="preserve"> a ser construidas por el Contratista bajo la supervisión del Gerente de Obras</w:t>
      </w:r>
      <w:r w:rsidRPr="00BB743D">
        <w:rPr>
          <w:lang w:val="es-ES"/>
        </w:rPr>
        <w:t xml:space="preserve">. </w:t>
      </w:r>
      <w:r w:rsidR="00B5099C" w:rsidRPr="00BB743D">
        <w:rPr>
          <w:lang w:val="es-ES"/>
        </w:rPr>
        <w:t xml:space="preserve"> </w:t>
      </w:r>
      <w:r w:rsidRPr="00BB743D">
        <w:rPr>
          <w:lang w:val="es-ES"/>
        </w:rPr>
        <w:t xml:space="preserve">Al documento existente de construcción de obras se le agregaron artículos y disposiciones para tratar </w:t>
      </w:r>
      <w:r w:rsidR="00A42760" w:rsidRPr="00BB743D">
        <w:rPr>
          <w:lang w:val="es-ES"/>
        </w:rPr>
        <w:t>la aprobación d</w:t>
      </w:r>
      <w:r w:rsidRPr="00BB743D">
        <w:rPr>
          <w:lang w:val="es-ES"/>
        </w:rPr>
        <w:t>el diseño de las obras en la forma que se explica</w:t>
      </w:r>
      <w:r w:rsidR="00B5099C" w:rsidRPr="00BB743D">
        <w:rPr>
          <w:lang w:val="es-ES"/>
        </w:rPr>
        <w:t xml:space="preserve"> seguidamente, pero no se modificaron las </w:t>
      </w:r>
      <w:r w:rsidR="00A42760" w:rsidRPr="00BB743D">
        <w:rPr>
          <w:lang w:val="es-ES"/>
        </w:rPr>
        <w:t xml:space="preserve">otras </w:t>
      </w:r>
      <w:r w:rsidR="00B5099C" w:rsidRPr="00BB743D">
        <w:rPr>
          <w:lang w:val="es-ES"/>
        </w:rPr>
        <w:t xml:space="preserve">funciones del Gerente de Obras. </w:t>
      </w:r>
    </w:p>
    <w:p w14:paraId="683BF30F" w14:textId="77777777" w:rsidR="00A42760" w:rsidRPr="00BB743D" w:rsidRDefault="00A42760" w:rsidP="00E3478C">
      <w:pPr>
        <w:rPr>
          <w:lang w:val="es-ES"/>
        </w:rPr>
      </w:pPr>
    </w:p>
    <w:p w14:paraId="02CBC77B" w14:textId="6C4B5582" w:rsidR="00FC41C6" w:rsidRPr="00BB743D" w:rsidRDefault="00A42760" w:rsidP="00BB743D">
      <w:pPr>
        <w:pStyle w:val="ListParagraph"/>
        <w:numPr>
          <w:ilvl w:val="0"/>
          <w:numId w:val="19"/>
        </w:numPr>
        <w:ind w:left="567" w:hanging="567"/>
        <w:jc w:val="both"/>
        <w:rPr>
          <w:lang w:val="es-ES"/>
        </w:rPr>
      </w:pPr>
      <w:r w:rsidRPr="00BB743D">
        <w:rPr>
          <w:lang w:val="es-ES"/>
        </w:rPr>
        <w:t xml:space="preserve">Entonces, los Contratantes deben </w:t>
      </w:r>
      <w:r w:rsidR="00BB743D" w:rsidRPr="00BB743D">
        <w:rPr>
          <w:lang w:val="es-ES"/>
        </w:rPr>
        <w:t>contar</w:t>
      </w:r>
      <w:r w:rsidRPr="00BB743D">
        <w:rPr>
          <w:lang w:val="es-ES"/>
        </w:rPr>
        <w:t xml:space="preserve"> con un Gerente de Obras con la experiencia y las calificaciones adecuadas para evitar que, mediante órdenes y modificaciones, el gerente de Obras interfiera con la responsabilidad única del Contratista. </w:t>
      </w:r>
    </w:p>
    <w:p w14:paraId="542DD38E" w14:textId="77777777" w:rsidR="00B5099C" w:rsidRPr="00BB743D" w:rsidRDefault="00B5099C" w:rsidP="00E3478C">
      <w:pPr>
        <w:rPr>
          <w:lang w:val="es-ES"/>
        </w:rPr>
      </w:pPr>
    </w:p>
    <w:p w14:paraId="00718C53" w14:textId="2E789735" w:rsidR="00FC41C6" w:rsidRPr="00BB743D" w:rsidRDefault="00FC41C6" w:rsidP="00E3478C">
      <w:pPr>
        <w:rPr>
          <w:u w:val="single"/>
          <w:lang w:val="es-ES"/>
        </w:rPr>
      </w:pPr>
      <w:r w:rsidRPr="00BB743D">
        <w:rPr>
          <w:u w:val="single"/>
          <w:lang w:val="es-ES"/>
        </w:rPr>
        <w:t>Instrucciones de los Oferentes</w:t>
      </w:r>
    </w:p>
    <w:p w14:paraId="6C60ED07" w14:textId="77777777" w:rsidR="003E7B02" w:rsidRPr="00BB743D" w:rsidRDefault="003E7B02" w:rsidP="00E3478C">
      <w:pPr>
        <w:rPr>
          <w:u w:val="single"/>
          <w:lang w:val="es-ES"/>
        </w:rPr>
      </w:pPr>
    </w:p>
    <w:p w14:paraId="4729342B" w14:textId="0DAFDB31" w:rsidR="00FC41C6" w:rsidRPr="00BB743D" w:rsidRDefault="00FC41C6" w:rsidP="00BB743D">
      <w:pPr>
        <w:pStyle w:val="ListParagraph"/>
        <w:numPr>
          <w:ilvl w:val="0"/>
          <w:numId w:val="19"/>
        </w:numPr>
        <w:ind w:left="567" w:hanging="567"/>
        <w:jc w:val="both"/>
        <w:rPr>
          <w:lang w:val="es-ES"/>
        </w:rPr>
      </w:pPr>
      <w:r w:rsidRPr="00BB743D">
        <w:rPr>
          <w:lang w:val="es-ES"/>
        </w:rPr>
        <w:t>Diecisiete instrucciones a los Oferentes del documento original de construcción fueron modificadas para establecer que el Oferente deberá tener experiencia en diseño y deberá presentar planes, esbozos y estrategias relacionados con el diseño de las obras. La Hoja de Datos no fue objeto de cambios o ajustes significativos.</w:t>
      </w:r>
    </w:p>
    <w:p w14:paraId="1A261477" w14:textId="77777777" w:rsidR="00FC41C6" w:rsidRPr="00BB743D" w:rsidRDefault="00FC41C6" w:rsidP="00E3478C">
      <w:pPr>
        <w:rPr>
          <w:u w:val="single"/>
          <w:lang w:val="es-ES"/>
        </w:rPr>
      </w:pPr>
    </w:p>
    <w:p w14:paraId="3789C297" w14:textId="7F529FCD" w:rsidR="005B1B7A" w:rsidRPr="00BB743D" w:rsidRDefault="005B1B7A" w:rsidP="00E3478C">
      <w:pPr>
        <w:rPr>
          <w:u w:val="single"/>
          <w:lang w:val="es-ES"/>
        </w:rPr>
      </w:pPr>
      <w:r w:rsidRPr="00BB743D">
        <w:rPr>
          <w:u w:val="single"/>
          <w:lang w:val="es-ES"/>
        </w:rPr>
        <w:t>Formularios</w:t>
      </w:r>
      <w:r w:rsidR="003E7B02" w:rsidRPr="00BB743D">
        <w:rPr>
          <w:u w:val="single"/>
          <w:lang w:val="es-ES"/>
        </w:rPr>
        <w:t xml:space="preserve"> de la Oferta</w:t>
      </w:r>
    </w:p>
    <w:p w14:paraId="5D722718" w14:textId="77777777" w:rsidR="003E7B02" w:rsidRPr="00BB743D" w:rsidRDefault="003E7B02" w:rsidP="00E3478C">
      <w:pPr>
        <w:rPr>
          <w:u w:val="single"/>
          <w:lang w:val="es-ES"/>
        </w:rPr>
      </w:pPr>
    </w:p>
    <w:p w14:paraId="3AFAE02A" w14:textId="4BFA805C" w:rsidR="005B1B7A" w:rsidRPr="00BB743D" w:rsidRDefault="005B1B7A" w:rsidP="00BB743D">
      <w:pPr>
        <w:pStyle w:val="ListParagraph"/>
        <w:numPr>
          <w:ilvl w:val="0"/>
          <w:numId w:val="19"/>
        </w:numPr>
        <w:ind w:left="567" w:hanging="567"/>
        <w:jc w:val="both"/>
        <w:rPr>
          <w:lang w:val="es-ES"/>
        </w:rPr>
      </w:pPr>
      <w:r w:rsidRPr="00BB743D">
        <w:rPr>
          <w:lang w:val="es-ES"/>
        </w:rPr>
        <w:t>Doce ajustes fueron introducidos a los formularios de Oferta del documento de construcción, incluyendo ocho nuevos formularios a ser completados por los Oferentes, para guiar a los Oferentes en la preparación de sus Ofertas y para facilitar la evaluación de las Ofertas.</w:t>
      </w:r>
    </w:p>
    <w:p w14:paraId="7D19D635" w14:textId="77777777" w:rsidR="00B5099C" w:rsidRPr="00BB743D" w:rsidRDefault="00B5099C" w:rsidP="00E3478C">
      <w:pPr>
        <w:rPr>
          <w:u w:val="single"/>
          <w:lang w:val="es-ES"/>
        </w:rPr>
      </w:pPr>
    </w:p>
    <w:p w14:paraId="641B31F2" w14:textId="1C88738A" w:rsidR="005B1B7A" w:rsidRPr="00BB743D" w:rsidRDefault="005B1B7A" w:rsidP="00E3478C">
      <w:pPr>
        <w:rPr>
          <w:u w:val="single"/>
          <w:lang w:val="es-ES"/>
        </w:rPr>
      </w:pPr>
      <w:r w:rsidRPr="00BB743D">
        <w:rPr>
          <w:u w:val="single"/>
          <w:lang w:val="es-ES"/>
        </w:rPr>
        <w:t>Condiciones contractuales</w:t>
      </w:r>
    </w:p>
    <w:p w14:paraId="1FC984BE" w14:textId="77777777" w:rsidR="003E7B02" w:rsidRPr="00BB743D" w:rsidRDefault="003E7B02" w:rsidP="00E3478C">
      <w:pPr>
        <w:rPr>
          <w:u w:val="single"/>
          <w:lang w:val="es-ES"/>
        </w:rPr>
      </w:pPr>
    </w:p>
    <w:p w14:paraId="38E7ABA7" w14:textId="0943B843" w:rsidR="005B1B7A" w:rsidRPr="00BB743D" w:rsidRDefault="005B1B7A" w:rsidP="00BB743D">
      <w:pPr>
        <w:pStyle w:val="ListParagraph"/>
        <w:numPr>
          <w:ilvl w:val="0"/>
          <w:numId w:val="19"/>
        </w:numPr>
        <w:ind w:left="567" w:hanging="567"/>
        <w:jc w:val="both"/>
        <w:rPr>
          <w:lang w:val="es-ES"/>
        </w:rPr>
      </w:pPr>
      <w:r w:rsidRPr="00BB743D">
        <w:rPr>
          <w:lang w:val="es-ES"/>
        </w:rPr>
        <w:t>Veintiocho cláusulas de las condiciones contractuales del documento de construcción fueron alteradas o agregadas</w:t>
      </w:r>
      <w:r w:rsidR="00CC2CF2" w:rsidRPr="00BB743D">
        <w:rPr>
          <w:lang w:val="es-ES"/>
        </w:rPr>
        <w:t xml:space="preserve"> para establecer las obligaciones de las Partes en relación con el diseño y la forma de supervisión del contrato de diseño y construcción de obras.</w:t>
      </w:r>
      <w:r w:rsidR="00B5099C" w:rsidRPr="00BB743D">
        <w:rPr>
          <w:lang w:val="es-ES"/>
        </w:rPr>
        <w:t xml:space="preserve"> Las cláusulas relacionadas con las funciones del Gerente de Obras del documento precursor no se modificaron, por lo que el funcionario que desempeñe el papel del Gerente de Obras debe tener cautela en el ejercicio de sus funciones para no menoscabar la responsabilidad única del Contratista que diseña y construye. </w:t>
      </w:r>
    </w:p>
    <w:p w14:paraId="50FCE593" w14:textId="77777777" w:rsidR="005B1B7A" w:rsidRPr="00BB743D" w:rsidRDefault="005B1B7A" w:rsidP="00E3478C">
      <w:pPr>
        <w:rPr>
          <w:u w:val="single"/>
          <w:lang w:val="es-ES"/>
        </w:rPr>
      </w:pPr>
    </w:p>
    <w:p w14:paraId="12C33DC6" w14:textId="5EC84CDF" w:rsidR="00FC41C6" w:rsidRPr="00BB743D" w:rsidRDefault="00FC41C6" w:rsidP="00E3478C">
      <w:pPr>
        <w:rPr>
          <w:u w:val="single"/>
          <w:lang w:val="es-ES"/>
        </w:rPr>
      </w:pPr>
      <w:r w:rsidRPr="00BB743D">
        <w:rPr>
          <w:u w:val="single"/>
          <w:lang w:val="es-ES"/>
        </w:rPr>
        <w:t xml:space="preserve">Responsabilidad única </w:t>
      </w:r>
      <w:r w:rsidR="00B5099C" w:rsidRPr="00BB743D">
        <w:rPr>
          <w:u w:val="single"/>
          <w:lang w:val="es-ES"/>
        </w:rPr>
        <w:t xml:space="preserve">del contratista </w:t>
      </w:r>
      <w:r w:rsidRPr="00BB743D">
        <w:rPr>
          <w:u w:val="single"/>
          <w:lang w:val="es-ES"/>
        </w:rPr>
        <w:t>y papel del Gerente de Obras</w:t>
      </w:r>
    </w:p>
    <w:p w14:paraId="10F63DE0" w14:textId="77777777" w:rsidR="003E7B02" w:rsidRPr="00BB743D" w:rsidRDefault="003E7B02" w:rsidP="00E3478C">
      <w:pPr>
        <w:rPr>
          <w:u w:val="single"/>
          <w:lang w:val="es-ES"/>
        </w:rPr>
      </w:pPr>
    </w:p>
    <w:p w14:paraId="23CCBB79" w14:textId="77777777" w:rsidR="00B5099C" w:rsidRPr="00BB743D" w:rsidRDefault="00AC6C37" w:rsidP="00BB743D">
      <w:pPr>
        <w:pStyle w:val="ListParagraph"/>
        <w:numPr>
          <w:ilvl w:val="0"/>
          <w:numId w:val="19"/>
        </w:numPr>
        <w:ind w:left="567" w:hanging="567"/>
        <w:jc w:val="both"/>
        <w:rPr>
          <w:lang w:val="es-ES"/>
        </w:rPr>
      </w:pPr>
      <w:r w:rsidRPr="00BB743D">
        <w:rPr>
          <w:lang w:val="es-ES"/>
        </w:rPr>
        <w:t xml:space="preserve">Las condiciones contractuales </w:t>
      </w:r>
      <w:r w:rsidR="00FC41C6" w:rsidRPr="00BB743D">
        <w:rPr>
          <w:lang w:val="es-ES"/>
        </w:rPr>
        <w:t xml:space="preserve">de este Documento </w:t>
      </w:r>
      <w:r w:rsidRPr="00BB743D">
        <w:rPr>
          <w:lang w:val="es-ES"/>
        </w:rPr>
        <w:t xml:space="preserve">no tienen </w:t>
      </w:r>
      <w:r w:rsidR="00FC41C6" w:rsidRPr="00BB743D">
        <w:rPr>
          <w:lang w:val="es-ES"/>
        </w:rPr>
        <w:t xml:space="preserve">la figura ejecutiva del </w:t>
      </w:r>
      <w:r w:rsidRPr="00BB743D">
        <w:rPr>
          <w:lang w:val="es-ES"/>
        </w:rPr>
        <w:t xml:space="preserve">"Ingeniero" tipo "FIDIC", por lo que </w:t>
      </w:r>
      <w:r w:rsidR="00B5099C" w:rsidRPr="00BB743D">
        <w:rPr>
          <w:lang w:val="es-ES"/>
        </w:rPr>
        <w:t>corresponde al</w:t>
      </w:r>
      <w:r w:rsidRPr="00BB743D">
        <w:rPr>
          <w:lang w:val="es-ES"/>
        </w:rPr>
        <w:t xml:space="preserve"> Gerente de Proyecto resguardar la "responsabilidad única" del Contratista que diseña y ejecuta las obras evitando dar instrucciones directas que enmienden los diseños o la ejecución de las Obras</w:t>
      </w:r>
      <w:r w:rsidR="00FC41C6" w:rsidRPr="00BB743D">
        <w:rPr>
          <w:lang w:val="es-ES"/>
        </w:rPr>
        <w:t xml:space="preserve"> en una forma que disminuya, altere o menoscabe la responsabilidad única del </w:t>
      </w:r>
      <w:r w:rsidR="00B5099C" w:rsidRPr="00BB743D">
        <w:rPr>
          <w:lang w:val="es-ES"/>
        </w:rPr>
        <w:t>C</w:t>
      </w:r>
      <w:r w:rsidR="00FC41C6" w:rsidRPr="00BB743D">
        <w:rPr>
          <w:lang w:val="es-ES"/>
        </w:rPr>
        <w:t>ontratista que diseña y ejecuta las obras</w:t>
      </w:r>
      <w:r w:rsidRPr="00BB743D">
        <w:rPr>
          <w:lang w:val="es-ES"/>
        </w:rPr>
        <w:t xml:space="preserve">. </w:t>
      </w:r>
    </w:p>
    <w:p w14:paraId="5423754D" w14:textId="77777777" w:rsidR="00B5099C" w:rsidRPr="00BB743D" w:rsidRDefault="00B5099C" w:rsidP="00E3478C">
      <w:pPr>
        <w:rPr>
          <w:lang w:val="es-ES"/>
        </w:rPr>
      </w:pPr>
    </w:p>
    <w:p w14:paraId="6F57E02A" w14:textId="77777777" w:rsidR="00B5099C" w:rsidRPr="00BB743D" w:rsidRDefault="00AC6C37" w:rsidP="00BB743D">
      <w:pPr>
        <w:pStyle w:val="ListParagraph"/>
        <w:numPr>
          <w:ilvl w:val="0"/>
          <w:numId w:val="19"/>
        </w:numPr>
        <w:ind w:left="567" w:hanging="567"/>
        <w:jc w:val="both"/>
        <w:rPr>
          <w:lang w:val="es-ES"/>
        </w:rPr>
      </w:pPr>
      <w:r w:rsidRPr="00BB743D">
        <w:rPr>
          <w:lang w:val="es-ES"/>
        </w:rPr>
        <w:t>Las discrepancias del Gerente de Proyecto respecto al diseño o las ejecuciones de las obras deben ser llevadas a las reuniones con el Contratista y si las discrepancias no son resueltas en esas reuniones deben ser r</w:t>
      </w:r>
      <w:r w:rsidR="00FC41C6" w:rsidRPr="00BB743D">
        <w:rPr>
          <w:lang w:val="es-ES"/>
        </w:rPr>
        <w:t>eferidas al Conciliador Técnico.</w:t>
      </w:r>
    </w:p>
    <w:p w14:paraId="2D348510" w14:textId="3A0F0623" w:rsidR="00E613DB" w:rsidRPr="00BB743D" w:rsidRDefault="00E613DB" w:rsidP="00E3478C">
      <w:pPr>
        <w:rPr>
          <w:lang w:val="es-ES"/>
        </w:rPr>
      </w:pPr>
    </w:p>
    <w:p w14:paraId="5DBA666E" w14:textId="168B885A" w:rsidR="00FC41C6" w:rsidRPr="00BB743D" w:rsidRDefault="00FC41C6" w:rsidP="00E3478C">
      <w:pPr>
        <w:rPr>
          <w:u w:val="single"/>
          <w:lang w:val="es-ES"/>
        </w:rPr>
      </w:pPr>
      <w:r w:rsidRPr="00BB743D">
        <w:rPr>
          <w:u w:val="single"/>
          <w:lang w:val="es-ES"/>
        </w:rPr>
        <w:t>Medidas ambientales, sociales, seguridad y salud en el trabajo (ASSS)</w:t>
      </w:r>
    </w:p>
    <w:p w14:paraId="51B06D7A" w14:textId="77777777" w:rsidR="003E7B02" w:rsidRPr="00BB743D" w:rsidRDefault="003E7B02" w:rsidP="00E3478C">
      <w:pPr>
        <w:rPr>
          <w:u w:val="single"/>
          <w:lang w:val="es-ES"/>
        </w:rPr>
      </w:pPr>
    </w:p>
    <w:p w14:paraId="5D07987B" w14:textId="26F05BA1" w:rsidR="00EF1505" w:rsidRPr="00BB743D" w:rsidRDefault="00EF1505" w:rsidP="00BB743D">
      <w:pPr>
        <w:pStyle w:val="ListParagraph"/>
        <w:numPr>
          <w:ilvl w:val="0"/>
          <w:numId w:val="19"/>
        </w:numPr>
        <w:ind w:left="567" w:hanging="567"/>
        <w:jc w:val="both"/>
        <w:rPr>
          <w:lang w:val="es-ES"/>
        </w:rPr>
      </w:pPr>
      <w:r w:rsidRPr="00BB743D">
        <w:rPr>
          <w:lang w:val="es-ES"/>
        </w:rPr>
        <w:t xml:space="preserve">El DEL incluye </w:t>
      </w:r>
      <w:r w:rsidR="00FC41C6" w:rsidRPr="00BB743D">
        <w:rPr>
          <w:lang w:val="es-ES"/>
        </w:rPr>
        <w:t>nuevas</w:t>
      </w:r>
      <w:r w:rsidRPr="00BB743D">
        <w:rPr>
          <w:lang w:val="es-ES"/>
        </w:rPr>
        <w:t xml:space="preserve"> disposiciones que refuerzan las obligaciones en materia ambiental, social y de seguridad y salud en el trabajo que se vuelven mucho más relevantes en un contrato tipo diseño y construcción de responsabilidad única del Contratista. Esas obligaciones son las derivadas de las leyes y reglamentos de cada país, y s</w:t>
      </w:r>
      <w:r w:rsidR="00312544" w:rsidRPr="00BB743D">
        <w:rPr>
          <w:lang w:val="es-ES"/>
        </w:rPr>
        <w:t>i no</w:t>
      </w:r>
      <w:r w:rsidRPr="00BB743D">
        <w:rPr>
          <w:lang w:val="es-ES"/>
        </w:rPr>
        <w:t xml:space="preserve"> existen</w:t>
      </w:r>
      <w:r w:rsidR="00312544" w:rsidRPr="00BB743D">
        <w:rPr>
          <w:lang w:val="es-ES"/>
        </w:rPr>
        <w:t xml:space="preserve"> o son insuficientes</w:t>
      </w:r>
      <w:r w:rsidRPr="00BB743D">
        <w:rPr>
          <w:lang w:val="es-ES"/>
        </w:rPr>
        <w:t xml:space="preserve">, las que se detallan en los </w:t>
      </w:r>
      <w:r w:rsidR="00D87AE6" w:rsidRPr="00BB743D">
        <w:rPr>
          <w:lang w:val="es-ES"/>
        </w:rPr>
        <w:t>Requisitos del Contratante</w:t>
      </w:r>
      <w:r w:rsidRPr="00BB743D">
        <w:rPr>
          <w:lang w:val="es-ES"/>
        </w:rPr>
        <w:t xml:space="preserve">. Colectivamente esas medidas se designan ASSS (medidas </w:t>
      </w:r>
      <w:r w:rsidR="00796F80" w:rsidRPr="00BB743D">
        <w:rPr>
          <w:lang w:val="es-ES"/>
        </w:rPr>
        <w:t>"</w:t>
      </w:r>
      <w:r w:rsidRPr="00BB743D">
        <w:rPr>
          <w:lang w:val="es-ES"/>
        </w:rPr>
        <w:t>ambientales, sociales y de seguridad y salud en el trabajo</w:t>
      </w:r>
      <w:r w:rsidR="00796F80" w:rsidRPr="00BB743D">
        <w:rPr>
          <w:lang w:val="es-ES"/>
        </w:rPr>
        <w:t>"</w:t>
      </w:r>
      <w:r w:rsidRPr="00BB743D">
        <w:rPr>
          <w:lang w:val="es-ES"/>
        </w:rPr>
        <w:t>).</w:t>
      </w:r>
    </w:p>
    <w:p w14:paraId="3285B328" w14:textId="77777777" w:rsidR="00F75089" w:rsidRPr="00BB743D" w:rsidRDefault="00F75089" w:rsidP="00E3478C">
      <w:pPr>
        <w:rPr>
          <w:lang w:val="es-ES"/>
        </w:rPr>
      </w:pPr>
    </w:p>
    <w:p w14:paraId="6DF7FE4F" w14:textId="07FF76EE" w:rsidR="00FC41C6" w:rsidRPr="00BB743D" w:rsidRDefault="00FC41C6" w:rsidP="00E3478C">
      <w:pPr>
        <w:rPr>
          <w:u w:val="single"/>
          <w:lang w:val="es-ES"/>
        </w:rPr>
      </w:pPr>
      <w:r w:rsidRPr="00BB743D">
        <w:rPr>
          <w:u w:val="single"/>
          <w:lang w:val="es-ES"/>
        </w:rPr>
        <w:t>Terminología</w:t>
      </w:r>
    </w:p>
    <w:p w14:paraId="7864B683" w14:textId="77777777" w:rsidR="003E7B02" w:rsidRPr="00BB743D" w:rsidRDefault="003E7B02" w:rsidP="00E3478C">
      <w:pPr>
        <w:rPr>
          <w:u w:val="single"/>
          <w:lang w:val="es-ES"/>
        </w:rPr>
      </w:pPr>
    </w:p>
    <w:p w14:paraId="4E36DC73" w14:textId="4E1E5157" w:rsidR="00F75089" w:rsidRPr="00BB743D" w:rsidRDefault="00F75089" w:rsidP="00BB743D">
      <w:pPr>
        <w:pStyle w:val="ListParagraph"/>
        <w:numPr>
          <w:ilvl w:val="0"/>
          <w:numId w:val="19"/>
        </w:numPr>
        <w:ind w:left="567" w:hanging="567"/>
        <w:jc w:val="both"/>
        <w:rPr>
          <w:lang w:val="es-ES"/>
        </w:rPr>
      </w:pPr>
      <w:r w:rsidRPr="00BB743D">
        <w:rPr>
          <w:lang w:val="es-ES"/>
        </w:rPr>
        <w:t xml:space="preserve">En este documento estándar el término “Oferentes” se refiere a los licitantes, oferentes, Consorcios, APCA, personas jurídicas que presentan </w:t>
      </w:r>
      <w:r w:rsidR="00AC6C37" w:rsidRPr="00BB743D">
        <w:rPr>
          <w:lang w:val="es-ES"/>
        </w:rPr>
        <w:t>Ofertas</w:t>
      </w:r>
      <w:r w:rsidR="00312544" w:rsidRPr="00BB743D">
        <w:rPr>
          <w:lang w:val="es-ES"/>
        </w:rPr>
        <w:t>.  Las “Condiciones Particulares - CPC” complementan o modifican las Condiciones Generales de C</w:t>
      </w:r>
      <w:r w:rsidR="004A4F9B" w:rsidRPr="00BB743D">
        <w:rPr>
          <w:lang w:val="es-ES"/>
        </w:rPr>
        <w:t>ontrato</w:t>
      </w:r>
      <w:r w:rsidR="004250DE" w:rsidRPr="00BB743D">
        <w:rPr>
          <w:lang w:val="es-ES"/>
        </w:rPr>
        <w:t>.</w:t>
      </w:r>
      <w:r w:rsidR="00AB1E4E" w:rsidRPr="00BB743D">
        <w:rPr>
          <w:lang w:val="es-ES"/>
        </w:rPr>
        <w:t xml:space="preserve"> </w:t>
      </w:r>
    </w:p>
    <w:p w14:paraId="52BDB276" w14:textId="77777777" w:rsidR="00E613DB" w:rsidRPr="00BB743D" w:rsidRDefault="00E613DB" w:rsidP="00E3478C">
      <w:pPr>
        <w:rPr>
          <w:lang w:val="es-ES"/>
        </w:rPr>
      </w:pPr>
    </w:p>
    <w:p w14:paraId="4A249E54" w14:textId="21C0D29C" w:rsidR="00FC41C6" w:rsidRPr="00BB743D" w:rsidRDefault="00FC41C6" w:rsidP="00E3478C">
      <w:pPr>
        <w:rPr>
          <w:u w:val="single"/>
          <w:lang w:val="es-ES"/>
        </w:rPr>
      </w:pPr>
      <w:r w:rsidRPr="00BB743D">
        <w:rPr>
          <w:u w:val="single"/>
          <w:lang w:val="es-ES"/>
        </w:rPr>
        <w:t>Tipo de contrato es por suma alzada, pero permite que ciertas partes de las obras sean cotizadas por precios unitarios o gastos reales</w:t>
      </w:r>
    </w:p>
    <w:p w14:paraId="4ABAAD96" w14:textId="77777777" w:rsidR="003E7B02" w:rsidRPr="00BB743D" w:rsidRDefault="003E7B02" w:rsidP="00E3478C">
      <w:pPr>
        <w:rPr>
          <w:u w:val="single"/>
          <w:lang w:val="es-ES"/>
        </w:rPr>
      </w:pPr>
    </w:p>
    <w:p w14:paraId="50CF8425" w14:textId="5D203B71" w:rsidR="00E613DB" w:rsidRPr="00BB743D" w:rsidRDefault="00E613DB" w:rsidP="00BB743D">
      <w:pPr>
        <w:pStyle w:val="ListParagraph"/>
        <w:numPr>
          <w:ilvl w:val="0"/>
          <w:numId w:val="19"/>
        </w:numPr>
        <w:ind w:left="567" w:hanging="567"/>
        <w:jc w:val="both"/>
        <w:rPr>
          <w:lang w:val="es-ES"/>
        </w:rPr>
      </w:pPr>
      <w:r w:rsidRPr="00BB743D">
        <w:rPr>
          <w:lang w:val="es-ES"/>
        </w:rPr>
        <w:t xml:space="preserve">La contratación del diseño y construcción es por suma alzada, pero se </w:t>
      </w:r>
      <w:r w:rsidR="00A42760" w:rsidRPr="00BB743D">
        <w:rPr>
          <w:lang w:val="es-ES"/>
        </w:rPr>
        <w:t>conservado disposiciones del documento de Obras Menores</w:t>
      </w:r>
      <w:r w:rsidRPr="00BB743D">
        <w:rPr>
          <w:lang w:val="es-ES"/>
        </w:rPr>
        <w:t xml:space="preserve">  que </w:t>
      </w:r>
      <w:r w:rsidR="00BB743D" w:rsidRPr="00BB743D">
        <w:rPr>
          <w:lang w:val="es-ES"/>
        </w:rPr>
        <w:t>permitirían</w:t>
      </w:r>
      <w:r w:rsidR="00A42760" w:rsidRPr="00BB743D">
        <w:rPr>
          <w:lang w:val="es-ES"/>
        </w:rPr>
        <w:t xml:space="preserve"> </w:t>
      </w:r>
      <w:r w:rsidRPr="00BB743D">
        <w:rPr>
          <w:lang w:val="es-ES"/>
        </w:rPr>
        <w:t xml:space="preserve">cotizar algunas partes de obras o elementos </w:t>
      </w:r>
      <w:r w:rsidR="00A42760" w:rsidRPr="00BB743D">
        <w:rPr>
          <w:lang w:val="es-ES"/>
        </w:rPr>
        <w:t xml:space="preserve">(deseablemente menores y poco </w:t>
      </w:r>
      <w:r w:rsidR="00BB743D" w:rsidRPr="00BB743D">
        <w:rPr>
          <w:lang w:val="es-ES"/>
        </w:rPr>
        <w:t>significativos</w:t>
      </w:r>
      <w:r w:rsidR="00A42760" w:rsidRPr="00BB743D">
        <w:rPr>
          <w:lang w:val="es-ES"/>
        </w:rPr>
        <w:t xml:space="preserve">) </w:t>
      </w:r>
      <w:r w:rsidRPr="00BB743D">
        <w:rPr>
          <w:lang w:val="es-ES"/>
        </w:rPr>
        <w:t xml:space="preserve">mediante “medición de cantidades” (ad-measurement) y “precios unitarios” o mediante “trabajos por día” cotizados competitivamente por los Oferentes contra cantidades de obra nominales, si tales partes se identifican claramente en los Requisitos del Contratante y se agregan los formularios de Licitación correspondientes. </w:t>
      </w:r>
    </w:p>
    <w:p w14:paraId="00B8EC9D" w14:textId="5159EBDF" w:rsidR="00A42760" w:rsidRPr="00BB743D" w:rsidRDefault="00A42760" w:rsidP="00E3478C">
      <w:pPr>
        <w:rPr>
          <w:lang w:val="es-ES"/>
        </w:rPr>
      </w:pPr>
    </w:p>
    <w:p w14:paraId="01BAA3A2" w14:textId="04A69315" w:rsidR="00A42760" w:rsidRPr="00BB743D" w:rsidRDefault="00A42760" w:rsidP="00BB743D">
      <w:pPr>
        <w:pStyle w:val="ListParagraph"/>
        <w:numPr>
          <w:ilvl w:val="0"/>
          <w:numId w:val="19"/>
        </w:numPr>
        <w:ind w:left="567" w:hanging="567"/>
        <w:jc w:val="both"/>
        <w:rPr>
          <w:lang w:val="es-ES"/>
        </w:rPr>
      </w:pPr>
      <w:r w:rsidRPr="00BB743D">
        <w:rPr>
          <w:lang w:val="es-ES"/>
        </w:rPr>
        <w:t xml:space="preserve">Al especificar y utilizar trabajos por día o pequeñas partes de las obras que se cotizan por precios unitarios y mediciones, el Contratante no debe altear la característica principal del contrato de diseño y construcción que es por suma alzada y que no está sujeta a cambios o ajustes respecto a los diseños aprobados. </w:t>
      </w:r>
    </w:p>
    <w:p w14:paraId="52744031" w14:textId="77777777" w:rsidR="00E613DB" w:rsidRPr="00BB743D" w:rsidRDefault="00E613DB" w:rsidP="007D16D4">
      <w:pPr>
        <w:rPr>
          <w:lang w:val="es-ES"/>
        </w:rPr>
      </w:pPr>
    </w:p>
    <w:p w14:paraId="29B3F63B" w14:textId="77777777" w:rsidR="009138BD" w:rsidRPr="00BB743D" w:rsidRDefault="00343E96" w:rsidP="00BB743D">
      <w:pPr>
        <w:pStyle w:val="Heading2"/>
        <w:numPr>
          <w:ilvl w:val="0"/>
          <w:numId w:val="10"/>
        </w:numPr>
      </w:pPr>
      <w:r w:rsidRPr="00BB743D">
        <w:br w:type="page"/>
      </w:r>
      <w:bookmarkStart w:id="9" w:name="_Toc503248442"/>
      <w:r w:rsidR="009138BD" w:rsidRPr="00BB743D">
        <w:lastRenderedPageBreak/>
        <w:t xml:space="preserve">Sección I. Instrucciones a los </w:t>
      </w:r>
      <w:r w:rsidR="005A7C0B" w:rsidRPr="00BB743D">
        <w:t>O</w:t>
      </w:r>
      <w:r w:rsidR="009138BD" w:rsidRPr="00BB743D">
        <w:t>ferentes (IA</w:t>
      </w:r>
      <w:r w:rsidR="005A7C0B" w:rsidRPr="00BB743D">
        <w:t>O</w:t>
      </w:r>
      <w:r w:rsidR="009138BD" w:rsidRPr="00BB743D">
        <w:t>)</w:t>
      </w:r>
      <w:bookmarkEnd w:id="9"/>
    </w:p>
    <w:p w14:paraId="77F9EFBA" w14:textId="77777777" w:rsidR="009138BD" w:rsidRPr="00BB743D" w:rsidRDefault="009138BD">
      <w:pPr>
        <w:rPr>
          <w:b/>
          <w:bCs/>
          <w:sz w:val="28"/>
          <w:lang w:val="es-ES"/>
        </w:rPr>
      </w:pPr>
    </w:p>
    <w:p w14:paraId="4A6E988C" w14:textId="0D8D8AEF" w:rsidR="00343E96" w:rsidRPr="00BB743D" w:rsidRDefault="00343E96" w:rsidP="00BB743D">
      <w:pPr>
        <w:numPr>
          <w:ilvl w:val="0"/>
          <w:numId w:val="9"/>
        </w:numPr>
        <w:ind w:left="426" w:hanging="579"/>
        <w:rPr>
          <w:bCs/>
          <w:szCs w:val="24"/>
          <w:lang w:val="es-ES"/>
        </w:rPr>
      </w:pPr>
      <w:r w:rsidRPr="00BB743D">
        <w:rPr>
          <w:bCs/>
          <w:szCs w:val="24"/>
          <w:lang w:val="es-ES"/>
        </w:rPr>
        <w:t xml:space="preserve">La Sección I, Instrucciones a los Oferentes (IAO), contiene la información necesaria para que los Oferentes preparen ofertas que cumplan con los </w:t>
      </w:r>
      <w:r w:rsidR="00EE079D" w:rsidRPr="00BB743D">
        <w:rPr>
          <w:bCs/>
          <w:szCs w:val="24"/>
          <w:lang w:val="es-ES"/>
        </w:rPr>
        <w:t>R</w:t>
      </w:r>
      <w:r w:rsidRPr="00BB743D">
        <w:rPr>
          <w:bCs/>
          <w:szCs w:val="24"/>
          <w:lang w:val="es-ES"/>
        </w:rPr>
        <w:t xml:space="preserve">equisitos del Contratante. Asimismo, recoge información acerca de la presentación, apertura y evaluación de las ofertas, así como de la adjudicación del contrato. </w:t>
      </w:r>
    </w:p>
    <w:p w14:paraId="0FDF14F2" w14:textId="77777777" w:rsidR="00343E96" w:rsidRPr="00BB743D" w:rsidRDefault="00343E96" w:rsidP="00BB743D">
      <w:pPr>
        <w:ind w:left="426" w:hanging="579"/>
        <w:rPr>
          <w:bCs/>
          <w:szCs w:val="24"/>
          <w:lang w:val="es-ES"/>
        </w:rPr>
      </w:pPr>
    </w:p>
    <w:p w14:paraId="7C333278" w14:textId="77777777" w:rsidR="00343E96" w:rsidRPr="00BB743D" w:rsidRDefault="00343E96" w:rsidP="00BB743D">
      <w:pPr>
        <w:numPr>
          <w:ilvl w:val="0"/>
          <w:numId w:val="9"/>
        </w:numPr>
        <w:ind w:left="426" w:hanging="579"/>
        <w:rPr>
          <w:bCs/>
          <w:szCs w:val="24"/>
          <w:lang w:val="es-ES"/>
        </w:rPr>
      </w:pPr>
      <w:r w:rsidRPr="00BB743D">
        <w:rPr>
          <w:bCs/>
          <w:szCs w:val="24"/>
          <w:lang w:val="es-ES"/>
        </w:rPr>
        <w:t>La Sección I contiene disposiciones que deben usarse sin modificación alguna. La Sección II, Datos de la Licitación (DDL), comprende disposiciones que complementan, enmiendan o especifican información o cambios a la Sección I que son específicos para cada licitación. Cuando en las IAO se destaca en negrilla las palabras “</w:t>
      </w:r>
      <w:r w:rsidRPr="00BB743D">
        <w:rPr>
          <w:b/>
          <w:bCs/>
          <w:szCs w:val="24"/>
          <w:lang w:val="es-ES"/>
        </w:rPr>
        <w:t>en los DDL</w:t>
      </w:r>
      <w:r w:rsidRPr="00BB743D">
        <w:rPr>
          <w:bCs/>
          <w:szCs w:val="24"/>
          <w:lang w:val="es-ES"/>
        </w:rPr>
        <w:t xml:space="preserve">” significa que el Contratante deben ingresar algún dato en la Sección II. </w:t>
      </w:r>
    </w:p>
    <w:p w14:paraId="53242C64" w14:textId="77777777" w:rsidR="00343E96" w:rsidRPr="00BB743D" w:rsidRDefault="00343E96" w:rsidP="00BB743D">
      <w:pPr>
        <w:ind w:left="426" w:hanging="579"/>
        <w:rPr>
          <w:bCs/>
          <w:szCs w:val="24"/>
          <w:lang w:val="es-ES"/>
        </w:rPr>
      </w:pPr>
    </w:p>
    <w:p w14:paraId="64891C4B" w14:textId="7A13699F" w:rsidR="00343E96" w:rsidRPr="00BB743D" w:rsidRDefault="00343E96" w:rsidP="00BB743D">
      <w:pPr>
        <w:numPr>
          <w:ilvl w:val="0"/>
          <w:numId w:val="9"/>
        </w:numPr>
        <w:ind w:left="426" w:hanging="579"/>
        <w:rPr>
          <w:bCs/>
          <w:szCs w:val="24"/>
          <w:lang w:val="es-ES"/>
        </w:rPr>
      </w:pPr>
      <w:r w:rsidRPr="00BB743D">
        <w:rPr>
          <w:bCs/>
          <w:szCs w:val="24"/>
          <w:lang w:val="es-ES"/>
        </w:rPr>
        <w:t>Las disposiciones que rigen el cumplimiento del Contrato por parte del Contratista, los pagos contemplados en el Contrato o los temas que incidan en los riesgos, derechos y obligaciones de las partes contratantes no se incluyen en esta</w:t>
      </w:r>
      <w:r w:rsidR="00AC6C37" w:rsidRPr="00BB743D">
        <w:rPr>
          <w:bCs/>
          <w:szCs w:val="24"/>
          <w:lang w:val="es-ES"/>
        </w:rPr>
        <w:t xml:space="preserve"> Sección, sino en la Sección V</w:t>
      </w:r>
      <w:r w:rsidRPr="00BB743D">
        <w:rPr>
          <w:bCs/>
          <w:szCs w:val="24"/>
          <w:lang w:val="es-ES"/>
        </w:rPr>
        <w:t>, Condic</w:t>
      </w:r>
      <w:r w:rsidR="00AC6C37" w:rsidRPr="00BB743D">
        <w:rPr>
          <w:bCs/>
          <w:szCs w:val="24"/>
          <w:lang w:val="es-ES"/>
        </w:rPr>
        <w:t>iones Generales, y en la Sección VI</w:t>
      </w:r>
      <w:r w:rsidRPr="00BB743D">
        <w:rPr>
          <w:bCs/>
          <w:szCs w:val="24"/>
          <w:lang w:val="es-ES"/>
        </w:rPr>
        <w:t>, Condiciones Particulares</w:t>
      </w:r>
      <w:r w:rsidR="00AC6C37" w:rsidRPr="00BB743D">
        <w:rPr>
          <w:bCs/>
          <w:szCs w:val="24"/>
          <w:lang w:val="es-ES"/>
        </w:rPr>
        <w:t>.</w:t>
      </w:r>
    </w:p>
    <w:p w14:paraId="55C7F032" w14:textId="77777777" w:rsidR="00AC6C37" w:rsidRPr="00BB743D" w:rsidRDefault="00AC6C37" w:rsidP="00BB743D">
      <w:pPr>
        <w:ind w:left="426" w:hanging="579"/>
        <w:rPr>
          <w:bCs/>
          <w:szCs w:val="24"/>
          <w:lang w:val="es-ES"/>
        </w:rPr>
      </w:pPr>
    </w:p>
    <w:p w14:paraId="3A9554EE" w14:textId="7825C667" w:rsidR="006206A8" w:rsidRPr="00BB743D" w:rsidRDefault="00343E96" w:rsidP="00BB743D">
      <w:pPr>
        <w:numPr>
          <w:ilvl w:val="0"/>
          <w:numId w:val="9"/>
        </w:numPr>
        <w:ind w:left="426" w:hanging="579"/>
        <w:rPr>
          <w:bCs/>
          <w:szCs w:val="24"/>
          <w:lang w:val="es-ES"/>
        </w:rPr>
      </w:pPr>
      <w:r w:rsidRPr="00BB743D">
        <w:rPr>
          <w:bCs/>
          <w:szCs w:val="24"/>
          <w:lang w:val="es-ES"/>
        </w:rPr>
        <w:t xml:space="preserve">En caso de que sea inevitable abordar el mismo tema en diferentes secciones del documento, el Contratante deberá cuidar de evitar contradicciones o contrasentidos entre las cláusulas o instrucciones o formularios referidas a un mismo tema. </w:t>
      </w:r>
    </w:p>
    <w:p w14:paraId="00E9B17D" w14:textId="77777777" w:rsidR="00DD3811" w:rsidRPr="00BB743D" w:rsidRDefault="00DD3811" w:rsidP="006206A8">
      <w:pPr>
        <w:rPr>
          <w:bCs/>
          <w:szCs w:val="24"/>
          <w:u w:val="single"/>
          <w:lang w:val="es-ES"/>
        </w:rPr>
      </w:pPr>
    </w:p>
    <w:p w14:paraId="204ABDE0" w14:textId="77777777" w:rsidR="00DD3811" w:rsidRPr="00BB743D" w:rsidRDefault="00DD3811" w:rsidP="006206A8">
      <w:pPr>
        <w:rPr>
          <w:bCs/>
          <w:szCs w:val="24"/>
          <w:u w:val="single"/>
          <w:lang w:val="es-ES"/>
        </w:rPr>
      </w:pPr>
    </w:p>
    <w:p w14:paraId="0B5A7982" w14:textId="74D3186E" w:rsidR="00B669C6" w:rsidRPr="00BB743D" w:rsidRDefault="00B669C6" w:rsidP="006206A8">
      <w:pPr>
        <w:rPr>
          <w:bCs/>
          <w:szCs w:val="24"/>
          <w:u w:val="single"/>
          <w:lang w:val="es-ES"/>
        </w:rPr>
      </w:pPr>
      <w:r w:rsidRPr="00BB743D">
        <w:rPr>
          <w:bCs/>
          <w:szCs w:val="24"/>
          <w:u w:val="single"/>
          <w:lang w:val="es-ES"/>
        </w:rPr>
        <w:t xml:space="preserve">Prácticas </w:t>
      </w:r>
      <w:r w:rsidR="004027B4" w:rsidRPr="00BB743D">
        <w:rPr>
          <w:bCs/>
          <w:szCs w:val="24"/>
          <w:u w:val="single"/>
          <w:lang w:val="es-ES"/>
        </w:rPr>
        <w:t>P</w:t>
      </w:r>
      <w:r w:rsidRPr="00BB743D">
        <w:rPr>
          <w:bCs/>
          <w:szCs w:val="24"/>
          <w:u w:val="single"/>
          <w:lang w:val="es-ES"/>
        </w:rPr>
        <w:t>rohibidas</w:t>
      </w:r>
    </w:p>
    <w:p w14:paraId="76A21FD7" w14:textId="77777777" w:rsidR="003E7B02" w:rsidRPr="00BB743D" w:rsidRDefault="003E7B02" w:rsidP="006206A8">
      <w:pPr>
        <w:rPr>
          <w:bCs/>
          <w:szCs w:val="24"/>
          <w:u w:val="single"/>
          <w:lang w:val="es-ES"/>
        </w:rPr>
      </w:pPr>
    </w:p>
    <w:p w14:paraId="0DE7F8CB" w14:textId="3A01EA5E" w:rsidR="006206A8" w:rsidRPr="00BB743D" w:rsidRDefault="006206A8" w:rsidP="00BB743D">
      <w:pPr>
        <w:numPr>
          <w:ilvl w:val="0"/>
          <w:numId w:val="9"/>
        </w:numPr>
        <w:ind w:left="426" w:hanging="579"/>
        <w:rPr>
          <w:bCs/>
          <w:szCs w:val="24"/>
          <w:lang w:val="es-ES"/>
        </w:rPr>
      </w:pPr>
      <w:r w:rsidRPr="00BB743D">
        <w:rPr>
          <w:bCs/>
          <w:szCs w:val="24"/>
          <w:lang w:val="es-ES"/>
        </w:rPr>
        <w:t xml:space="preserve">Las Prácticas Prohibidas que se estipulan en este Documento corresponden a las operaciones del Banco cubiertas por las Políticas para la Adquisición de Bienes y Obras financiadas por el Banco Interamericano de Desarrollo GN-2349-9 </w:t>
      </w:r>
      <w:r w:rsidR="000F3207" w:rsidRPr="00BB743D">
        <w:rPr>
          <w:bCs/>
          <w:szCs w:val="24"/>
          <w:lang w:val="es-ES"/>
        </w:rPr>
        <w:t>marzo</w:t>
      </w:r>
      <w:r w:rsidRPr="00BB743D">
        <w:rPr>
          <w:bCs/>
          <w:szCs w:val="24"/>
          <w:lang w:val="es-ES"/>
        </w:rPr>
        <w:t xml:space="preserve"> 2011. Para operaciones anteriores que hacen uso de este Documento de Licitación, los DDL y las Condiciones Especiales deben reproducir la Política correspondiente</w:t>
      </w:r>
      <w:r w:rsidR="00A42760" w:rsidRPr="00BB743D">
        <w:rPr>
          <w:bCs/>
          <w:szCs w:val="24"/>
          <w:lang w:val="es-ES"/>
        </w:rPr>
        <w:t xml:space="preserve"> mediante sustitución de las partes correspondientes.</w:t>
      </w:r>
    </w:p>
    <w:p w14:paraId="4B1CCD9D" w14:textId="77777777" w:rsidR="004027B4" w:rsidRPr="00BB743D" w:rsidRDefault="004027B4" w:rsidP="004027B4">
      <w:pPr>
        <w:ind w:left="-153"/>
        <w:rPr>
          <w:bCs/>
          <w:szCs w:val="24"/>
          <w:lang w:val="es-ES"/>
        </w:rPr>
      </w:pPr>
    </w:p>
    <w:p w14:paraId="7566B8DC" w14:textId="615D2B05" w:rsidR="004027B4" w:rsidRPr="00BB743D" w:rsidRDefault="004027B4" w:rsidP="006206A8">
      <w:pPr>
        <w:rPr>
          <w:bCs/>
          <w:szCs w:val="24"/>
          <w:u w:val="single"/>
          <w:lang w:val="es-ES"/>
        </w:rPr>
      </w:pPr>
      <w:r w:rsidRPr="00BB743D">
        <w:rPr>
          <w:bCs/>
          <w:szCs w:val="24"/>
          <w:u w:val="single"/>
          <w:lang w:val="es-ES"/>
        </w:rPr>
        <w:t>Visita al Sitio de las Obras</w:t>
      </w:r>
    </w:p>
    <w:p w14:paraId="44AC7ED4" w14:textId="77777777" w:rsidR="003E7B02" w:rsidRPr="00BB743D" w:rsidRDefault="003E7B02" w:rsidP="006206A8">
      <w:pPr>
        <w:rPr>
          <w:bCs/>
          <w:szCs w:val="24"/>
          <w:u w:val="single"/>
          <w:lang w:val="es-ES"/>
        </w:rPr>
      </w:pPr>
    </w:p>
    <w:p w14:paraId="4F5DD18C" w14:textId="5D3CCCA3" w:rsidR="00A42760" w:rsidRPr="00BB743D" w:rsidRDefault="004027B4" w:rsidP="00BB743D">
      <w:pPr>
        <w:numPr>
          <w:ilvl w:val="0"/>
          <w:numId w:val="9"/>
        </w:numPr>
        <w:ind w:left="426" w:hanging="579"/>
        <w:rPr>
          <w:bCs/>
          <w:szCs w:val="24"/>
          <w:lang w:val="es-ES"/>
        </w:rPr>
      </w:pPr>
      <w:r w:rsidRPr="00BB743D">
        <w:rPr>
          <w:bCs/>
          <w:szCs w:val="24"/>
          <w:lang w:val="es-ES"/>
        </w:rPr>
        <w:t xml:space="preserve">Este </w:t>
      </w:r>
      <w:r w:rsidR="009A0DFA" w:rsidRPr="00BB743D">
        <w:rPr>
          <w:bCs/>
          <w:szCs w:val="24"/>
          <w:lang w:val="es-ES"/>
        </w:rPr>
        <w:t xml:space="preserve">documento </w:t>
      </w:r>
      <w:r w:rsidR="008E399A" w:rsidRPr="00BB743D">
        <w:rPr>
          <w:bCs/>
          <w:szCs w:val="24"/>
          <w:lang w:val="es-ES"/>
        </w:rPr>
        <w:t xml:space="preserve">trata </w:t>
      </w:r>
      <w:r w:rsidRPr="00BB743D">
        <w:rPr>
          <w:bCs/>
          <w:szCs w:val="24"/>
          <w:lang w:val="es-ES"/>
        </w:rPr>
        <w:t xml:space="preserve">la visita de los Oferentes al </w:t>
      </w:r>
      <w:r w:rsidR="009A0DFA" w:rsidRPr="00BB743D">
        <w:rPr>
          <w:bCs/>
          <w:szCs w:val="24"/>
          <w:lang w:val="es-ES"/>
        </w:rPr>
        <w:t>S</w:t>
      </w:r>
      <w:r w:rsidRPr="00BB743D">
        <w:rPr>
          <w:bCs/>
          <w:szCs w:val="24"/>
          <w:lang w:val="es-ES"/>
        </w:rPr>
        <w:t xml:space="preserve">itio de las Obras </w:t>
      </w:r>
      <w:r w:rsidR="009A0DFA" w:rsidRPr="00BB743D">
        <w:rPr>
          <w:bCs/>
          <w:szCs w:val="24"/>
          <w:lang w:val="es-ES"/>
        </w:rPr>
        <w:t>como una</w:t>
      </w:r>
      <w:r w:rsidRPr="00BB743D">
        <w:rPr>
          <w:bCs/>
          <w:szCs w:val="24"/>
          <w:lang w:val="es-ES"/>
        </w:rPr>
        <w:t xml:space="preserve"> recomendación</w:t>
      </w:r>
      <w:r w:rsidR="008E399A" w:rsidRPr="00BB743D">
        <w:rPr>
          <w:bCs/>
          <w:szCs w:val="24"/>
          <w:lang w:val="es-ES"/>
        </w:rPr>
        <w:t xml:space="preserve"> del Contratante</w:t>
      </w:r>
      <w:r w:rsidR="00E613DB" w:rsidRPr="00BB743D">
        <w:rPr>
          <w:bCs/>
          <w:szCs w:val="24"/>
          <w:lang w:val="es-ES"/>
        </w:rPr>
        <w:t>,</w:t>
      </w:r>
      <w:r w:rsidR="009A0DFA" w:rsidRPr="00BB743D">
        <w:rPr>
          <w:bCs/>
          <w:szCs w:val="24"/>
          <w:lang w:val="es-ES"/>
        </w:rPr>
        <w:t xml:space="preserve"> </w:t>
      </w:r>
      <w:r w:rsidR="008E399A" w:rsidRPr="00BB743D">
        <w:rPr>
          <w:bCs/>
          <w:szCs w:val="24"/>
          <w:lang w:val="es-ES"/>
        </w:rPr>
        <w:t xml:space="preserve">que es una disposición </w:t>
      </w:r>
      <w:r w:rsidR="009A0DFA" w:rsidRPr="00BB743D">
        <w:rPr>
          <w:bCs/>
          <w:szCs w:val="24"/>
          <w:lang w:val="es-ES"/>
        </w:rPr>
        <w:t xml:space="preserve">típica de los documentos de licitación de obras y no como una exigencia. </w:t>
      </w:r>
    </w:p>
    <w:p w14:paraId="00836ED2" w14:textId="77777777" w:rsidR="00A42760" w:rsidRPr="00BB743D" w:rsidRDefault="00A42760" w:rsidP="00BB743D">
      <w:pPr>
        <w:ind w:left="426" w:hanging="579"/>
        <w:rPr>
          <w:bCs/>
          <w:szCs w:val="24"/>
          <w:lang w:val="es-ES"/>
        </w:rPr>
      </w:pPr>
    </w:p>
    <w:p w14:paraId="00CEC20B" w14:textId="51A7588F" w:rsidR="004027B4" w:rsidRPr="00BB743D" w:rsidRDefault="009A0DFA" w:rsidP="00BB743D">
      <w:pPr>
        <w:numPr>
          <w:ilvl w:val="0"/>
          <w:numId w:val="9"/>
        </w:numPr>
        <w:ind w:left="426" w:hanging="579"/>
        <w:rPr>
          <w:bCs/>
          <w:szCs w:val="24"/>
          <w:lang w:val="es-ES"/>
        </w:rPr>
      </w:pPr>
      <w:r w:rsidRPr="00BB743D">
        <w:rPr>
          <w:bCs/>
          <w:szCs w:val="24"/>
          <w:lang w:val="es-ES"/>
        </w:rPr>
        <w:t xml:space="preserve">Desde luego, en contratos de diseño y construcción de obras civiles es inconcebible que el Oferente no visite el Sitio de las Obras durante la preparación de su Oferta.  No obstante, el costo para el </w:t>
      </w:r>
      <w:r w:rsidR="00E613DB" w:rsidRPr="00BB743D">
        <w:rPr>
          <w:bCs/>
          <w:szCs w:val="24"/>
          <w:lang w:val="es-ES"/>
        </w:rPr>
        <w:t>C</w:t>
      </w:r>
      <w:r w:rsidRPr="00BB743D">
        <w:rPr>
          <w:bCs/>
          <w:szCs w:val="24"/>
          <w:lang w:val="es-ES"/>
        </w:rPr>
        <w:t xml:space="preserve">ontratante de controlar, certificar y luego verificar si el Oferente visitó o no el </w:t>
      </w:r>
      <w:r w:rsidR="00E613DB" w:rsidRPr="00BB743D">
        <w:rPr>
          <w:bCs/>
          <w:szCs w:val="24"/>
          <w:lang w:val="es-ES"/>
        </w:rPr>
        <w:t>S</w:t>
      </w:r>
      <w:r w:rsidRPr="00BB743D">
        <w:rPr>
          <w:bCs/>
          <w:szCs w:val="24"/>
          <w:lang w:val="es-ES"/>
        </w:rPr>
        <w:t xml:space="preserve">itio de las </w:t>
      </w:r>
      <w:r w:rsidR="00E613DB" w:rsidRPr="00BB743D">
        <w:rPr>
          <w:bCs/>
          <w:szCs w:val="24"/>
          <w:lang w:val="es-ES"/>
        </w:rPr>
        <w:t>Obras,</w:t>
      </w:r>
      <w:r w:rsidRPr="00BB743D">
        <w:rPr>
          <w:bCs/>
          <w:szCs w:val="24"/>
          <w:lang w:val="es-ES"/>
        </w:rPr>
        <w:t xml:space="preserve"> </w:t>
      </w:r>
      <w:r w:rsidR="00E613DB" w:rsidRPr="00BB743D">
        <w:rPr>
          <w:bCs/>
          <w:szCs w:val="24"/>
          <w:lang w:val="es-ES"/>
        </w:rPr>
        <w:t>así como</w:t>
      </w:r>
      <w:r w:rsidRPr="00BB743D">
        <w:rPr>
          <w:bCs/>
          <w:szCs w:val="24"/>
          <w:lang w:val="es-ES"/>
        </w:rPr>
        <w:t xml:space="preserve"> las consecuencias de la determinación sobre si el Oferente visitó o no el Sitio de las Obras si esta fuese obligatoria, excede los beneficios </w:t>
      </w:r>
      <w:r w:rsidRPr="00BB743D">
        <w:rPr>
          <w:bCs/>
          <w:szCs w:val="24"/>
          <w:lang w:val="es-ES"/>
        </w:rPr>
        <w:lastRenderedPageBreak/>
        <w:t xml:space="preserve">de mantener la visita al Sitio </w:t>
      </w:r>
      <w:r w:rsidR="00A42760" w:rsidRPr="00BB743D">
        <w:rPr>
          <w:bCs/>
          <w:szCs w:val="24"/>
          <w:lang w:val="es-ES"/>
        </w:rPr>
        <w:t xml:space="preserve">simplemente </w:t>
      </w:r>
      <w:r w:rsidRPr="00BB743D">
        <w:rPr>
          <w:bCs/>
          <w:szCs w:val="24"/>
          <w:lang w:val="es-ES"/>
        </w:rPr>
        <w:t>como una recomendación desde el punto de vista del proceso de licitación.</w:t>
      </w:r>
    </w:p>
    <w:p w14:paraId="1BFD3FCA" w14:textId="47734A8C" w:rsidR="00A42760" w:rsidRPr="00BB743D" w:rsidRDefault="00A42760" w:rsidP="00A42760">
      <w:pPr>
        <w:ind w:left="-153"/>
        <w:rPr>
          <w:bCs/>
          <w:szCs w:val="24"/>
          <w:lang w:val="es-ES"/>
        </w:rPr>
      </w:pPr>
    </w:p>
    <w:p w14:paraId="7968C48E" w14:textId="275B6360" w:rsidR="00A42760" w:rsidRDefault="00A42760" w:rsidP="00BB743D">
      <w:pPr>
        <w:numPr>
          <w:ilvl w:val="0"/>
          <w:numId w:val="9"/>
        </w:numPr>
        <w:ind w:left="426" w:hanging="579"/>
        <w:rPr>
          <w:bCs/>
          <w:szCs w:val="24"/>
          <w:lang w:val="es-ES"/>
        </w:rPr>
      </w:pPr>
      <w:r w:rsidRPr="00BB743D">
        <w:rPr>
          <w:bCs/>
          <w:szCs w:val="24"/>
          <w:lang w:val="es-ES"/>
        </w:rPr>
        <w:t xml:space="preserve">En los casos que el Contratante imponga a los Oferentes una visita obligatoria, deberá usar la Hoja de Datos para especificar el requisito, los procedimientos y las sanciones si los Oferentes no demuestran haber visitado la obra, tomando en cuenta los riesgos de disminuir la competencia o la eliminación de propuestas que Oferentes calificados que podrían haber sido interesantes y convenientes. </w:t>
      </w:r>
    </w:p>
    <w:p w14:paraId="78002553" w14:textId="77777777" w:rsidR="00600350" w:rsidRDefault="00600350" w:rsidP="00600350">
      <w:pPr>
        <w:ind w:left="-153"/>
        <w:rPr>
          <w:bCs/>
          <w:szCs w:val="24"/>
          <w:lang w:val="es-ES"/>
        </w:rPr>
      </w:pPr>
    </w:p>
    <w:p w14:paraId="0CADC259" w14:textId="65AF0A3C" w:rsidR="00600350" w:rsidRPr="00BB743D" w:rsidRDefault="00600350" w:rsidP="00BB743D">
      <w:pPr>
        <w:numPr>
          <w:ilvl w:val="0"/>
          <w:numId w:val="9"/>
        </w:numPr>
        <w:ind w:left="426" w:hanging="579"/>
        <w:rPr>
          <w:bCs/>
          <w:szCs w:val="24"/>
          <w:lang w:val="es-ES"/>
        </w:rPr>
      </w:pPr>
      <w:r>
        <w:rPr>
          <w:bCs/>
          <w:szCs w:val="24"/>
          <w:lang w:val="es-ES"/>
        </w:rPr>
        <w:t>En otras jurisdicciones, se acostumbra solicitar una declaración jurada al Oferente de que visitó el sitio de las Obras. Tal requisito se puede especificar en los DDL.</w:t>
      </w:r>
    </w:p>
    <w:p w14:paraId="1A326E8F" w14:textId="77777777" w:rsidR="004027B4" w:rsidRPr="00BB743D" w:rsidRDefault="004027B4" w:rsidP="003B2945">
      <w:pPr>
        <w:rPr>
          <w:bCs/>
          <w:szCs w:val="24"/>
          <w:u w:val="single"/>
          <w:lang w:val="es-ES"/>
        </w:rPr>
      </w:pPr>
    </w:p>
    <w:p w14:paraId="0BB1E170" w14:textId="424831A5" w:rsidR="00D072A0" w:rsidRPr="00BB743D" w:rsidRDefault="00D072A0" w:rsidP="006206A8">
      <w:pPr>
        <w:rPr>
          <w:bCs/>
          <w:szCs w:val="24"/>
          <w:u w:val="single"/>
          <w:lang w:val="es-ES"/>
        </w:rPr>
      </w:pPr>
      <w:r w:rsidRPr="00BB743D">
        <w:rPr>
          <w:bCs/>
          <w:szCs w:val="24"/>
          <w:u w:val="single"/>
          <w:lang w:val="es-ES"/>
        </w:rPr>
        <w:t>Contenido de la Oferta</w:t>
      </w:r>
    </w:p>
    <w:p w14:paraId="66A551CB" w14:textId="77777777" w:rsidR="00A42760" w:rsidRPr="00BB743D" w:rsidRDefault="00A42760" w:rsidP="006206A8">
      <w:pPr>
        <w:rPr>
          <w:bCs/>
          <w:szCs w:val="24"/>
          <w:u w:val="single"/>
          <w:lang w:val="es-ES"/>
        </w:rPr>
      </w:pPr>
    </w:p>
    <w:p w14:paraId="16A74AF7" w14:textId="4ACDF22E" w:rsidR="006206A8" w:rsidRPr="00BB743D" w:rsidRDefault="00AC6C37" w:rsidP="00BB743D">
      <w:pPr>
        <w:numPr>
          <w:ilvl w:val="0"/>
          <w:numId w:val="9"/>
        </w:numPr>
        <w:ind w:left="567" w:hanging="720"/>
        <w:rPr>
          <w:bCs/>
          <w:szCs w:val="24"/>
          <w:lang w:val="es-ES"/>
        </w:rPr>
      </w:pPr>
      <w:r w:rsidRPr="00BB743D">
        <w:rPr>
          <w:bCs/>
          <w:szCs w:val="24"/>
          <w:lang w:val="es-ES"/>
        </w:rPr>
        <w:t>La</w:t>
      </w:r>
      <w:r w:rsidR="006206A8" w:rsidRPr="00BB743D">
        <w:rPr>
          <w:bCs/>
          <w:szCs w:val="24"/>
          <w:lang w:val="es-ES"/>
        </w:rPr>
        <w:t xml:space="preserve"> IAO </w:t>
      </w:r>
      <w:r w:rsidRPr="00BB743D">
        <w:rPr>
          <w:bCs/>
          <w:szCs w:val="24"/>
          <w:lang w:val="es-ES"/>
        </w:rPr>
        <w:t>13.1</w:t>
      </w:r>
      <w:r w:rsidR="006206A8" w:rsidRPr="00BB743D">
        <w:rPr>
          <w:bCs/>
          <w:szCs w:val="24"/>
          <w:lang w:val="es-ES"/>
        </w:rPr>
        <w:t xml:space="preserve"> describe el contenido </w:t>
      </w:r>
      <w:r w:rsidRPr="00BB743D">
        <w:rPr>
          <w:bCs/>
          <w:szCs w:val="24"/>
          <w:lang w:val="es-ES"/>
        </w:rPr>
        <w:t xml:space="preserve">de la Oferta así: </w:t>
      </w:r>
    </w:p>
    <w:p w14:paraId="2AF3B322" w14:textId="77777777" w:rsidR="006206A8" w:rsidRPr="00BB743D" w:rsidRDefault="006206A8" w:rsidP="006206A8">
      <w:pPr>
        <w:rPr>
          <w:bCs/>
          <w:szCs w:val="24"/>
          <w:lang w:val="es-ES"/>
        </w:rPr>
      </w:pPr>
    </w:p>
    <w:p w14:paraId="34DD1F18" w14:textId="77777777" w:rsidR="00AC6C37" w:rsidRPr="00BB743D" w:rsidRDefault="00AC6C37" w:rsidP="00BB743D">
      <w:pPr>
        <w:pStyle w:val="Outline"/>
        <w:numPr>
          <w:ilvl w:val="0"/>
          <w:numId w:val="13"/>
        </w:numPr>
        <w:suppressAutoHyphens/>
        <w:spacing w:before="0" w:after="160"/>
        <w:jc w:val="both"/>
        <w:rPr>
          <w:kern w:val="0"/>
          <w:szCs w:val="24"/>
          <w:lang w:val="es-ES"/>
        </w:rPr>
      </w:pPr>
      <w:r w:rsidRPr="00BB743D">
        <w:rPr>
          <w:kern w:val="0"/>
          <w:szCs w:val="24"/>
          <w:lang w:val="es-ES"/>
        </w:rPr>
        <w:t>La Carta de Oferta (en el formulario indicado en la Sección IV);</w:t>
      </w:r>
    </w:p>
    <w:p w14:paraId="21FEB08A" w14:textId="77777777" w:rsidR="00AC6C37" w:rsidRPr="00BB743D" w:rsidRDefault="00AC6C37" w:rsidP="00BB743D">
      <w:pPr>
        <w:numPr>
          <w:ilvl w:val="0"/>
          <w:numId w:val="13"/>
        </w:numPr>
        <w:spacing w:after="160"/>
        <w:rPr>
          <w:lang w:val="es-ES"/>
        </w:rPr>
      </w:pPr>
      <w:r w:rsidRPr="00BB743D">
        <w:rPr>
          <w:lang w:val="es-ES"/>
        </w:rPr>
        <w:t>La Garantía de Mantenimiento de la Oferta, o la Declaración de Mantenimiento de la Oferta, si de conformidad con la IAO 17 así se requiere;</w:t>
      </w:r>
    </w:p>
    <w:p w14:paraId="42C76949" w14:textId="77777777" w:rsidR="00AC6C37" w:rsidRPr="00BB743D" w:rsidRDefault="00AC6C37" w:rsidP="00BB743D">
      <w:pPr>
        <w:numPr>
          <w:ilvl w:val="0"/>
          <w:numId w:val="13"/>
        </w:numPr>
        <w:spacing w:after="160"/>
        <w:rPr>
          <w:lang w:val="es-ES"/>
        </w:rPr>
      </w:pPr>
      <w:r w:rsidRPr="00BB743D">
        <w:rPr>
          <w:lang w:val="es-ES"/>
        </w:rPr>
        <w:t>La Lista de Actividades valoradas (es decir, con indicación de precios);</w:t>
      </w:r>
    </w:p>
    <w:p w14:paraId="771EF679" w14:textId="77777777" w:rsidR="00AC6C37" w:rsidRPr="00BB743D" w:rsidRDefault="00AC6C37" w:rsidP="00BB743D">
      <w:pPr>
        <w:numPr>
          <w:ilvl w:val="0"/>
          <w:numId w:val="13"/>
        </w:numPr>
        <w:spacing w:after="160"/>
        <w:rPr>
          <w:lang w:val="es-ES"/>
        </w:rPr>
      </w:pPr>
      <w:r w:rsidRPr="00BB743D">
        <w:rPr>
          <w:lang w:val="es-ES"/>
        </w:rPr>
        <w:t>El formulario y los documentos de Información para la Calificación;</w:t>
      </w:r>
    </w:p>
    <w:p w14:paraId="79E281CE" w14:textId="77777777" w:rsidR="00AC6C37" w:rsidRPr="00BB743D" w:rsidRDefault="00AC6C37" w:rsidP="00BB743D">
      <w:pPr>
        <w:numPr>
          <w:ilvl w:val="0"/>
          <w:numId w:val="13"/>
        </w:numPr>
        <w:spacing w:after="160"/>
        <w:rPr>
          <w:lang w:val="es-ES"/>
        </w:rPr>
      </w:pPr>
      <w:r w:rsidRPr="00BB743D">
        <w:rPr>
          <w:lang w:val="es-ES"/>
        </w:rPr>
        <w:t>Las Ofertas alternativas, de haberse solicitado; y</w:t>
      </w:r>
    </w:p>
    <w:p w14:paraId="233FCCF6" w14:textId="7969E68F" w:rsidR="0022187F" w:rsidRPr="00BB743D" w:rsidRDefault="00AC6C37" w:rsidP="00BB743D">
      <w:pPr>
        <w:pStyle w:val="P3Header1-Clauses"/>
        <w:numPr>
          <w:ilvl w:val="0"/>
          <w:numId w:val="13"/>
        </w:numPr>
        <w:spacing w:after="200"/>
        <w:jc w:val="both"/>
        <w:rPr>
          <w:bCs/>
          <w:szCs w:val="24"/>
          <w:lang w:val="es-ES"/>
        </w:rPr>
      </w:pPr>
      <w:r w:rsidRPr="00BB743D">
        <w:rPr>
          <w:b w:val="0"/>
          <w:lang w:val="es-ES"/>
        </w:rPr>
        <w:t>cualquier otro material que se solicite a los Oferentes completar y presentar, según se especifique en los DDL.</w:t>
      </w:r>
      <w:r w:rsidRPr="00BB743D">
        <w:rPr>
          <w:bCs/>
          <w:szCs w:val="24"/>
          <w:lang w:val="es-ES"/>
        </w:rPr>
        <w:t xml:space="preserve"> </w:t>
      </w:r>
    </w:p>
    <w:p w14:paraId="38B75C7F" w14:textId="474FED0F" w:rsidR="00D072A0" w:rsidRPr="00BB743D" w:rsidRDefault="00D072A0" w:rsidP="00D072A0">
      <w:pPr>
        <w:rPr>
          <w:bCs/>
          <w:szCs w:val="24"/>
          <w:u w:val="single"/>
          <w:lang w:val="es-ES"/>
        </w:rPr>
      </w:pPr>
      <w:r w:rsidRPr="00BB743D">
        <w:rPr>
          <w:bCs/>
          <w:szCs w:val="24"/>
          <w:u w:val="single"/>
          <w:lang w:val="es-ES"/>
        </w:rPr>
        <w:t>Ofertas alternativas</w:t>
      </w:r>
    </w:p>
    <w:p w14:paraId="288A7172" w14:textId="77777777" w:rsidR="003E7B02" w:rsidRPr="00BB743D" w:rsidRDefault="003E7B02" w:rsidP="00D072A0">
      <w:pPr>
        <w:rPr>
          <w:bCs/>
          <w:szCs w:val="24"/>
          <w:u w:val="single"/>
          <w:lang w:val="es-ES"/>
        </w:rPr>
      </w:pPr>
    </w:p>
    <w:p w14:paraId="37A9B48F" w14:textId="6EBEFF39" w:rsidR="006206A8" w:rsidRPr="00BB743D" w:rsidRDefault="00C055A5" w:rsidP="00BB743D">
      <w:pPr>
        <w:numPr>
          <w:ilvl w:val="0"/>
          <w:numId w:val="9"/>
        </w:numPr>
        <w:ind w:left="426" w:hanging="579"/>
        <w:rPr>
          <w:bCs/>
          <w:szCs w:val="24"/>
          <w:lang w:val="es-ES"/>
        </w:rPr>
      </w:pPr>
      <w:r w:rsidRPr="00BB743D">
        <w:rPr>
          <w:bCs/>
          <w:szCs w:val="24"/>
          <w:lang w:val="es-ES"/>
        </w:rPr>
        <w:t xml:space="preserve">La presentación de Ofertas </w:t>
      </w:r>
      <w:r w:rsidR="00D072A0" w:rsidRPr="00BB743D">
        <w:rPr>
          <w:bCs/>
          <w:szCs w:val="24"/>
          <w:lang w:val="es-ES"/>
        </w:rPr>
        <w:t>a</w:t>
      </w:r>
      <w:r w:rsidRPr="00BB743D">
        <w:rPr>
          <w:bCs/>
          <w:szCs w:val="24"/>
          <w:lang w:val="es-ES"/>
        </w:rPr>
        <w:t xml:space="preserve">lternativas en Contratos de Diseño y Construcción no es muy </w:t>
      </w:r>
      <w:r w:rsidR="0081326A" w:rsidRPr="00BB743D">
        <w:rPr>
          <w:bCs/>
          <w:szCs w:val="24"/>
          <w:lang w:val="es-ES"/>
        </w:rPr>
        <w:t>frecuente,</w:t>
      </w:r>
      <w:r w:rsidRPr="00BB743D">
        <w:rPr>
          <w:bCs/>
          <w:szCs w:val="24"/>
          <w:lang w:val="es-ES"/>
        </w:rPr>
        <w:t xml:space="preserve"> pero pueden </w:t>
      </w:r>
      <w:r w:rsidR="0004667C" w:rsidRPr="00BB743D">
        <w:rPr>
          <w:bCs/>
          <w:szCs w:val="24"/>
          <w:lang w:val="es-ES"/>
        </w:rPr>
        <w:t>darse</w:t>
      </w:r>
      <w:r w:rsidRPr="00BB743D">
        <w:rPr>
          <w:bCs/>
          <w:szCs w:val="24"/>
          <w:lang w:val="es-ES"/>
        </w:rPr>
        <w:t xml:space="preserve"> casos en que sí se permitan.  </w:t>
      </w:r>
      <w:r w:rsidR="0004667C" w:rsidRPr="00BB743D">
        <w:rPr>
          <w:bCs/>
          <w:szCs w:val="24"/>
          <w:lang w:val="es-ES"/>
        </w:rPr>
        <w:t xml:space="preserve">En tales casos, los Oferentes deberán explicar en su Oferta por qué difieren del diseño conceptual del Contratante y, si la propuesta es </w:t>
      </w:r>
      <w:r w:rsidR="0081326A" w:rsidRPr="00BB743D">
        <w:rPr>
          <w:bCs/>
          <w:szCs w:val="24"/>
          <w:lang w:val="es-ES"/>
        </w:rPr>
        <w:t>aceptable, las</w:t>
      </w:r>
      <w:r w:rsidRPr="00BB743D">
        <w:rPr>
          <w:bCs/>
          <w:szCs w:val="24"/>
          <w:lang w:val="es-ES"/>
        </w:rPr>
        <w:t xml:space="preserve"> </w:t>
      </w:r>
      <w:r w:rsidR="0039478A" w:rsidRPr="00BB743D">
        <w:rPr>
          <w:bCs/>
          <w:szCs w:val="24"/>
          <w:lang w:val="es-ES"/>
        </w:rPr>
        <w:t>a</w:t>
      </w:r>
      <w:r w:rsidRPr="00BB743D">
        <w:rPr>
          <w:bCs/>
          <w:szCs w:val="24"/>
          <w:lang w:val="es-ES"/>
        </w:rPr>
        <w:t xml:space="preserve">lternativas y las </w:t>
      </w:r>
      <w:r w:rsidR="0039478A" w:rsidRPr="00BB743D">
        <w:rPr>
          <w:bCs/>
          <w:szCs w:val="24"/>
          <w:lang w:val="es-ES"/>
        </w:rPr>
        <w:t>o</w:t>
      </w:r>
      <w:r w:rsidRPr="00BB743D">
        <w:rPr>
          <w:bCs/>
          <w:szCs w:val="24"/>
          <w:lang w:val="es-ES"/>
        </w:rPr>
        <w:t xml:space="preserve">fertas </w:t>
      </w:r>
      <w:r w:rsidR="0039478A" w:rsidRPr="00BB743D">
        <w:rPr>
          <w:bCs/>
          <w:szCs w:val="24"/>
          <w:lang w:val="es-ES"/>
        </w:rPr>
        <w:t>b</w:t>
      </w:r>
      <w:r w:rsidRPr="00BB743D">
        <w:rPr>
          <w:bCs/>
          <w:szCs w:val="24"/>
          <w:lang w:val="es-ES"/>
        </w:rPr>
        <w:t>ásicas deben ser examinadas y eval</w:t>
      </w:r>
      <w:r w:rsidR="0081326A" w:rsidRPr="00BB743D">
        <w:rPr>
          <w:bCs/>
          <w:szCs w:val="24"/>
          <w:lang w:val="es-ES"/>
        </w:rPr>
        <w:t xml:space="preserve">uadas en condiciones semejantes </w:t>
      </w:r>
      <w:r w:rsidR="0039478A" w:rsidRPr="00BB743D">
        <w:rPr>
          <w:bCs/>
          <w:szCs w:val="24"/>
          <w:lang w:val="es-ES"/>
        </w:rPr>
        <w:t>a menos que la Sección III especifique una manera de comparar las Ofertas Alternativa.</w:t>
      </w:r>
    </w:p>
    <w:p w14:paraId="60A4C5B1" w14:textId="77777777" w:rsidR="00EE079D" w:rsidRPr="00BB743D" w:rsidRDefault="00EE079D" w:rsidP="00EE079D">
      <w:pPr>
        <w:ind w:left="567"/>
        <w:rPr>
          <w:bCs/>
          <w:szCs w:val="24"/>
          <w:lang w:val="es-ES"/>
        </w:rPr>
      </w:pPr>
    </w:p>
    <w:p w14:paraId="4354A300" w14:textId="18CB2128" w:rsidR="00D072A0" w:rsidRPr="00BB743D" w:rsidRDefault="00D072A0" w:rsidP="00D072A0">
      <w:pPr>
        <w:ind w:left="-153"/>
        <w:rPr>
          <w:bCs/>
          <w:szCs w:val="24"/>
          <w:u w:val="single"/>
          <w:lang w:val="es-ES"/>
        </w:rPr>
      </w:pPr>
      <w:r w:rsidRPr="00BB743D">
        <w:rPr>
          <w:bCs/>
          <w:szCs w:val="24"/>
          <w:u w:val="single"/>
          <w:lang w:val="es-ES"/>
        </w:rPr>
        <w:t xml:space="preserve">Evaluación de las </w:t>
      </w:r>
      <w:r w:rsidR="00094FEB" w:rsidRPr="00BB743D">
        <w:rPr>
          <w:bCs/>
          <w:szCs w:val="24"/>
          <w:u w:val="single"/>
          <w:lang w:val="es-ES"/>
        </w:rPr>
        <w:t>o</w:t>
      </w:r>
      <w:r w:rsidRPr="00BB743D">
        <w:rPr>
          <w:bCs/>
          <w:szCs w:val="24"/>
          <w:u w:val="single"/>
          <w:lang w:val="es-ES"/>
        </w:rPr>
        <w:t>fertas</w:t>
      </w:r>
    </w:p>
    <w:p w14:paraId="622EE180" w14:textId="77777777" w:rsidR="003E7B02" w:rsidRPr="00BB743D" w:rsidRDefault="003E7B02" w:rsidP="00D072A0">
      <w:pPr>
        <w:ind w:left="-153"/>
        <w:rPr>
          <w:bCs/>
          <w:szCs w:val="24"/>
          <w:u w:val="single"/>
          <w:lang w:val="es-ES"/>
        </w:rPr>
      </w:pPr>
    </w:p>
    <w:p w14:paraId="0A02FD0D" w14:textId="7DF1AAD2" w:rsidR="00562A41" w:rsidRPr="00BB743D" w:rsidRDefault="00A54D13" w:rsidP="00BB743D">
      <w:pPr>
        <w:numPr>
          <w:ilvl w:val="0"/>
          <w:numId w:val="9"/>
        </w:numPr>
        <w:ind w:left="426" w:hanging="579"/>
        <w:rPr>
          <w:bCs/>
          <w:szCs w:val="24"/>
          <w:lang w:val="es-ES"/>
        </w:rPr>
      </w:pPr>
      <w:r w:rsidRPr="00BB743D">
        <w:rPr>
          <w:bCs/>
          <w:szCs w:val="24"/>
          <w:lang w:val="es-ES"/>
        </w:rPr>
        <w:t xml:space="preserve">A partir de la Parte E. Apertura </w:t>
      </w:r>
      <w:r w:rsidR="00AC6C37" w:rsidRPr="00BB743D">
        <w:rPr>
          <w:bCs/>
          <w:szCs w:val="24"/>
          <w:lang w:val="es-ES"/>
        </w:rPr>
        <w:t xml:space="preserve">y Evaluación </w:t>
      </w:r>
      <w:r w:rsidRPr="00BB743D">
        <w:rPr>
          <w:bCs/>
          <w:szCs w:val="24"/>
          <w:lang w:val="es-ES"/>
        </w:rPr>
        <w:t>Ofertas (IAO 2</w:t>
      </w:r>
      <w:r w:rsidR="00AC6C37" w:rsidRPr="00BB743D">
        <w:rPr>
          <w:bCs/>
          <w:szCs w:val="24"/>
          <w:lang w:val="es-ES"/>
        </w:rPr>
        <w:t>4</w:t>
      </w:r>
      <w:r w:rsidRPr="00BB743D">
        <w:rPr>
          <w:bCs/>
          <w:szCs w:val="24"/>
          <w:lang w:val="es-ES"/>
        </w:rPr>
        <w:t xml:space="preserve"> en adelante) </w:t>
      </w:r>
      <w:r w:rsidR="0081326A" w:rsidRPr="00BB743D">
        <w:rPr>
          <w:bCs/>
          <w:szCs w:val="24"/>
          <w:lang w:val="es-ES"/>
        </w:rPr>
        <w:t>se estipulan</w:t>
      </w:r>
      <w:r w:rsidRPr="00BB743D">
        <w:rPr>
          <w:bCs/>
          <w:szCs w:val="24"/>
          <w:lang w:val="es-ES"/>
        </w:rPr>
        <w:t xml:space="preserve"> las disposiciones que definen el mecanismo de </w:t>
      </w:r>
      <w:r w:rsidR="00AC6C37" w:rsidRPr="00BB743D">
        <w:rPr>
          <w:bCs/>
          <w:szCs w:val="24"/>
          <w:lang w:val="es-ES"/>
        </w:rPr>
        <w:t>evaluación de ofertas.</w:t>
      </w:r>
    </w:p>
    <w:p w14:paraId="0224BA40" w14:textId="77777777" w:rsidR="00B669C6" w:rsidRPr="00BB743D" w:rsidRDefault="00B669C6" w:rsidP="00B669C6">
      <w:pPr>
        <w:rPr>
          <w:bCs/>
          <w:szCs w:val="24"/>
          <w:lang w:val="es-ES"/>
        </w:rPr>
      </w:pPr>
    </w:p>
    <w:p w14:paraId="1C36A85C" w14:textId="5BABF125" w:rsidR="00501EB1" w:rsidRDefault="00AC6C37" w:rsidP="00BB743D">
      <w:pPr>
        <w:numPr>
          <w:ilvl w:val="0"/>
          <w:numId w:val="9"/>
        </w:numPr>
        <w:ind w:left="426" w:hanging="579"/>
        <w:rPr>
          <w:bCs/>
          <w:szCs w:val="24"/>
          <w:lang w:val="es-ES"/>
        </w:rPr>
      </w:pPr>
      <w:r w:rsidRPr="00BB743D">
        <w:rPr>
          <w:bCs/>
          <w:szCs w:val="24"/>
          <w:lang w:val="es-ES"/>
        </w:rPr>
        <w:t xml:space="preserve">Las Ofertas se examinan para aceptabilidad preliminar </w:t>
      </w:r>
      <w:r w:rsidR="003E7B02" w:rsidRPr="00BB743D">
        <w:rPr>
          <w:bCs/>
          <w:szCs w:val="24"/>
          <w:lang w:val="es-ES"/>
        </w:rPr>
        <w:t>y</w:t>
      </w:r>
      <w:r w:rsidRPr="00BB743D">
        <w:rPr>
          <w:bCs/>
          <w:szCs w:val="24"/>
          <w:lang w:val="es-ES"/>
        </w:rPr>
        <w:t xml:space="preserve"> las calificaciones del Contratista s</w:t>
      </w:r>
      <w:r w:rsidR="003E7B02" w:rsidRPr="00BB743D">
        <w:rPr>
          <w:bCs/>
          <w:szCs w:val="24"/>
          <w:lang w:val="es-ES"/>
        </w:rPr>
        <w:t xml:space="preserve">in utilizar puntos debido a lo simple de los </w:t>
      </w:r>
      <w:r w:rsidR="00EC1D5E" w:rsidRPr="00BB743D">
        <w:rPr>
          <w:bCs/>
          <w:szCs w:val="24"/>
          <w:lang w:val="es-ES"/>
        </w:rPr>
        <w:t>requerimientos</w:t>
      </w:r>
      <w:r w:rsidRPr="00BB743D">
        <w:rPr>
          <w:bCs/>
          <w:szCs w:val="24"/>
          <w:lang w:val="es-ES"/>
        </w:rPr>
        <w:t>.</w:t>
      </w:r>
    </w:p>
    <w:p w14:paraId="6E4EF161" w14:textId="7A3B033E" w:rsidR="00501EB1" w:rsidRDefault="00501EB1" w:rsidP="00501EB1">
      <w:pPr>
        <w:ind w:left="-153"/>
        <w:rPr>
          <w:bCs/>
          <w:szCs w:val="24"/>
          <w:lang w:val="es-ES"/>
        </w:rPr>
      </w:pPr>
    </w:p>
    <w:p w14:paraId="44F84DA5" w14:textId="04C790FB" w:rsidR="00501EB1" w:rsidRDefault="00501EB1" w:rsidP="00501EB1">
      <w:pPr>
        <w:ind w:left="-153"/>
        <w:rPr>
          <w:bCs/>
          <w:szCs w:val="24"/>
          <w:lang w:val="es-ES"/>
        </w:rPr>
      </w:pPr>
    </w:p>
    <w:p w14:paraId="77119F15" w14:textId="77777777" w:rsidR="00501EB1" w:rsidRDefault="00501EB1" w:rsidP="00501EB1">
      <w:pPr>
        <w:ind w:left="-153"/>
        <w:rPr>
          <w:bCs/>
          <w:szCs w:val="24"/>
          <w:lang w:val="es-ES"/>
        </w:rPr>
      </w:pPr>
    </w:p>
    <w:p w14:paraId="3B1AF8DE" w14:textId="0B65F31E" w:rsidR="00501EB1" w:rsidRPr="00501EB1" w:rsidRDefault="00501EB1" w:rsidP="00501EB1">
      <w:pPr>
        <w:ind w:left="-153"/>
        <w:rPr>
          <w:bCs/>
          <w:szCs w:val="24"/>
          <w:u w:val="single"/>
          <w:lang w:val="es-ES"/>
        </w:rPr>
      </w:pPr>
      <w:r w:rsidRPr="00501EB1">
        <w:rPr>
          <w:bCs/>
          <w:szCs w:val="24"/>
          <w:u w:val="single"/>
          <w:lang w:val="es-ES"/>
        </w:rPr>
        <w:lastRenderedPageBreak/>
        <w:t>Ofertas Excesivamente Bajas</w:t>
      </w:r>
    </w:p>
    <w:p w14:paraId="2C45CED5" w14:textId="0D1C9F31" w:rsidR="00501EB1" w:rsidRDefault="00501EB1" w:rsidP="00501EB1">
      <w:pPr>
        <w:ind w:left="-153"/>
        <w:rPr>
          <w:bCs/>
          <w:szCs w:val="24"/>
          <w:lang w:val="es-ES"/>
        </w:rPr>
      </w:pPr>
    </w:p>
    <w:p w14:paraId="1E13DE2A" w14:textId="1A969404" w:rsidR="00501EB1" w:rsidRPr="00501EB1" w:rsidRDefault="00501EB1" w:rsidP="00BB743D">
      <w:pPr>
        <w:numPr>
          <w:ilvl w:val="0"/>
          <w:numId w:val="9"/>
        </w:numPr>
        <w:ind w:left="426" w:hanging="579"/>
        <w:rPr>
          <w:bCs/>
          <w:szCs w:val="24"/>
          <w:lang w:val="es-ES"/>
        </w:rPr>
      </w:pPr>
      <w:r>
        <w:rPr>
          <w:bCs/>
          <w:szCs w:val="24"/>
          <w:lang w:val="es-ES"/>
        </w:rPr>
        <w:t xml:space="preserve">Este DEL utiliza una instrucción recientemente adoptada por el Banco que permite solicitar informaciones y analizar casos en los que el comité evaluador observa que el precio de la oferta parece excesivamente bajo respecto al costo oficial estimado y el resto de las propuestas. esta solicitud al Oferente indicado traslada la "carga de la prueba" al Oferente cuya capacidad de ejecutar el contrato al precio cotizado ha despertado dudas en el comité de evaluación. En tales casos el Oferente deberá demostrar la razonabilidad de sus precios y si no lo consigue, el Contratante podrá recomendar la descalificación del Oferente cuya Oferta excesivamente baja no tiene una explicación convincente. </w:t>
      </w:r>
    </w:p>
    <w:p w14:paraId="7F27A05A" w14:textId="2E3F9C4D" w:rsidR="002943B1" w:rsidRDefault="002943B1" w:rsidP="002943B1">
      <w:pPr>
        <w:ind w:left="-153"/>
        <w:rPr>
          <w:bCs/>
          <w:szCs w:val="24"/>
          <w:lang w:val="es-ES"/>
        </w:rPr>
      </w:pPr>
    </w:p>
    <w:p w14:paraId="595BF656" w14:textId="08C3F539" w:rsidR="002943B1" w:rsidRPr="002943B1" w:rsidRDefault="002943B1" w:rsidP="002943B1">
      <w:pPr>
        <w:ind w:left="-153"/>
        <w:rPr>
          <w:bCs/>
          <w:szCs w:val="24"/>
          <w:u w:val="single"/>
          <w:lang w:val="es-ES"/>
        </w:rPr>
      </w:pPr>
      <w:r w:rsidRPr="002943B1">
        <w:rPr>
          <w:bCs/>
          <w:szCs w:val="24"/>
          <w:u w:val="single"/>
          <w:lang w:val="es-ES"/>
        </w:rPr>
        <w:t>Conciliador Técnico</w:t>
      </w:r>
    </w:p>
    <w:p w14:paraId="60A34FBE" w14:textId="7437032A" w:rsidR="002943B1" w:rsidRDefault="002943B1" w:rsidP="002943B1">
      <w:pPr>
        <w:ind w:left="-153"/>
        <w:rPr>
          <w:bCs/>
          <w:szCs w:val="24"/>
          <w:lang w:val="es-ES"/>
        </w:rPr>
      </w:pPr>
    </w:p>
    <w:p w14:paraId="4E1ED538" w14:textId="4495E331" w:rsidR="009138BD" w:rsidRPr="00501EB1" w:rsidRDefault="002943B1" w:rsidP="00501EB1">
      <w:pPr>
        <w:numPr>
          <w:ilvl w:val="0"/>
          <w:numId w:val="9"/>
        </w:numPr>
        <w:ind w:left="426" w:hanging="579"/>
        <w:rPr>
          <w:bCs/>
          <w:szCs w:val="24"/>
          <w:lang w:val="es-ES"/>
        </w:rPr>
      </w:pPr>
      <w:r>
        <w:rPr>
          <w:bCs/>
          <w:szCs w:val="24"/>
          <w:lang w:val="es-ES"/>
        </w:rPr>
        <w:t xml:space="preserve">El "Conciliador" del DEL de Obras Menores se denomina en este DEL "Conciliador Técnico" a efecto de que se contrate un individuo que resuelva las cuestiones técnicas con apego a la mejor ingeniería para proyecto y que entienda sobre el diseño de las obras. El conciliador deberá entender el contrato y algunas características legales, como la "responsabilidad única" del </w:t>
      </w:r>
      <w:r w:rsidR="00501EB1">
        <w:rPr>
          <w:bCs/>
          <w:szCs w:val="24"/>
          <w:lang w:val="es-ES"/>
        </w:rPr>
        <w:t>contrato,</w:t>
      </w:r>
      <w:r>
        <w:rPr>
          <w:bCs/>
          <w:szCs w:val="24"/>
          <w:lang w:val="es-ES"/>
        </w:rPr>
        <w:t xml:space="preserve"> pero su función primaria </w:t>
      </w:r>
      <w:r w:rsidR="00501EB1">
        <w:rPr>
          <w:bCs/>
          <w:szCs w:val="24"/>
          <w:lang w:val="es-ES"/>
        </w:rPr>
        <w:t>debe</w:t>
      </w:r>
      <w:r>
        <w:rPr>
          <w:bCs/>
          <w:szCs w:val="24"/>
          <w:lang w:val="es-ES"/>
        </w:rPr>
        <w:t xml:space="preserve"> resolver sobre aspectos técnicos se lleven a su </w:t>
      </w:r>
      <w:r w:rsidR="00501EB1">
        <w:rPr>
          <w:bCs/>
          <w:szCs w:val="24"/>
          <w:lang w:val="es-ES"/>
        </w:rPr>
        <w:t>consideración, por lo que sus calificaciones académicas y su experiencia debe ser íntimamente asociada a la naturaleza principal de las Obras.</w:t>
      </w:r>
    </w:p>
    <w:p w14:paraId="0FE6A7E1" w14:textId="77777777" w:rsidR="009138BD" w:rsidRPr="00BB743D" w:rsidRDefault="00AD73A2" w:rsidP="00BB743D">
      <w:pPr>
        <w:pStyle w:val="Heading2"/>
        <w:numPr>
          <w:ilvl w:val="0"/>
          <w:numId w:val="10"/>
        </w:numPr>
      </w:pPr>
      <w:r w:rsidRPr="00BB743D">
        <w:br w:type="page"/>
      </w:r>
      <w:bookmarkStart w:id="10" w:name="_Toc503248443"/>
      <w:r w:rsidR="009138BD" w:rsidRPr="00BB743D">
        <w:lastRenderedPageBreak/>
        <w:t>Sección II. Datos de la Licitación</w:t>
      </w:r>
      <w:r w:rsidRPr="00BB743D">
        <w:t xml:space="preserve"> (DDL)</w:t>
      </w:r>
      <w:bookmarkEnd w:id="10"/>
    </w:p>
    <w:p w14:paraId="1EC310BF" w14:textId="77777777" w:rsidR="009138BD" w:rsidRPr="00BB743D" w:rsidRDefault="009138BD">
      <w:pPr>
        <w:rPr>
          <w:b/>
          <w:bCs/>
          <w:sz w:val="28"/>
          <w:lang w:val="es-ES"/>
        </w:rPr>
      </w:pPr>
    </w:p>
    <w:p w14:paraId="3C663718" w14:textId="5854847D" w:rsidR="009138BD" w:rsidRPr="00BB743D" w:rsidRDefault="009138BD" w:rsidP="00BB743D">
      <w:pPr>
        <w:numPr>
          <w:ilvl w:val="0"/>
          <w:numId w:val="11"/>
        </w:numPr>
        <w:ind w:left="426" w:hanging="568"/>
        <w:rPr>
          <w:bCs/>
          <w:szCs w:val="24"/>
          <w:lang w:val="es-ES"/>
        </w:rPr>
      </w:pPr>
      <w:r w:rsidRPr="00BB743D">
        <w:rPr>
          <w:bCs/>
          <w:szCs w:val="24"/>
          <w:lang w:val="es-ES"/>
        </w:rPr>
        <w:t xml:space="preserve">El Contratante deberá </w:t>
      </w:r>
      <w:r w:rsidR="00AD73A2" w:rsidRPr="00BB743D">
        <w:rPr>
          <w:bCs/>
          <w:szCs w:val="24"/>
          <w:lang w:val="es-ES"/>
        </w:rPr>
        <w:t>completar</w:t>
      </w:r>
      <w:r w:rsidRPr="00BB743D">
        <w:rPr>
          <w:bCs/>
          <w:szCs w:val="24"/>
          <w:lang w:val="es-ES"/>
        </w:rPr>
        <w:t xml:space="preserve"> la Sección II, Datos de la Licitación, antes de que se emita </w:t>
      </w:r>
      <w:r w:rsidR="00AD73A2" w:rsidRPr="00BB743D">
        <w:rPr>
          <w:bCs/>
          <w:szCs w:val="24"/>
          <w:lang w:val="es-ES"/>
        </w:rPr>
        <w:t>el Documento de Licitación</w:t>
      </w:r>
      <w:r w:rsidRPr="00BB743D">
        <w:rPr>
          <w:bCs/>
          <w:szCs w:val="24"/>
          <w:lang w:val="es-ES"/>
        </w:rPr>
        <w:t xml:space="preserve"> </w:t>
      </w:r>
      <w:r w:rsidRPr="00BB743D">
        <w:rPr>
          <w:bCs/>
          <w:i/>
          <w:szCs w:val="24"/>
          <w:lang w:val="es-ES"/>
        </w:rPr>
        <w:t>[se incluyen las instrucciones correspondientes, en letra cursiva, en los casos necesarios]</w:t>
      </w:r>
      <w:r w:rsidRPr="00BB743D">
        <w:rPr>
          <w:bCs/>
          <w:szCs w:val="24"/>
          <w:lang w:val="es-ES"/>
        </w:rPr>
        <w:t xml:space="preserve">. </w:t>
      </w:r>
      <w:r w:rsidR="002701DC" w:rsidRPr="00BB743D">
        <w:rPr>
          <w:bCs/>
          <w:szCs w:val="24"/>
          <w:lang w:val="es-ES"/>
        </w:rPr>
        <w:t xml:space="preserve"> </w:t>
      </w:r>
    </w:p>
    <w:p w14:paraId="638296A4" w14:textId="77777777" w:rsidR="002701DC" w:rsidRPr="00BB743D" w:rsidRDefault="002701DC" w:rsidP="00BB743D">
      <w:pPr>
        <w:ind w:left="426" w:hanging="568"/>
        <w:rPr>
          <w:bCs/>
          <w:szCs w:val="24"/>
          <w:lang w:val="es-ES"/>
        </w:rPr>
      </w:pPr>
    </w:p>
    <w:p w14:paraId="3D6B96BD" w14:textId="5AFD74E4" w:rsidR="002701DC" w:rsidRPr="00BB743D" w:rsidRDefault="002701DC" w:rsidP="00BB743D">
      <w:pPr>
        <w:numPr>
          <w:ilvl w:val="0"/>
          <w:numId w:val="11"/>
        </w:numPr>
        <w:ind w:left="426" w:hanging="568"/>
        <w:rPr>
          <w:bCs/>
          <w:szCs w:val="24"/>
          <w:lang w:val="es-ES"/>
        </w:rPr>
      </w:pPr>
      <w:r w:rsidRPr="00BB743D">
        <w:rPr>
          <w:bCs/>
          <w:szCs w:val="24"/>
          <w:lang w:val="es-ES"/>
        </w:rPr>
        <w:t>El siguiente es un segmento de los DDL donde se aprecian indicaciones d</w:t>
      </w:r>
      <w:r w:rsidR="00EC1D5E" w:rsidRPr="00BB743D">
        <w:rPr>
          <w:bCs/>
          <w:szCs w:val="24"/>
          <w:lang w:val="es-ES"/>
        </w:rPr>
        <w:t>e los espacios por completar. En este segmento se aprecia que no hay diferencias significativas respecto a la DDL del documento original de construcción de obras menores. La IAO 5.5 (b) establece el número de obras diseñadas como requisito de calificación de los Oferentes.</w:t>
      </w:r>
    </w:p>
    <w:p w14:paraId="487A261F" w14:textId="11153E31" w:rsidR="00A42760" w:rsidRPr="00BB743D" w:rsidRDefault="00A42760" w:rsidP="00BB743D">
      <w:pPr>
        <w:ind w:left="426" w:hanging="568"/>
        <w:rPr>
          <w:bCs/>
          <w:szCs w:val="24"/>
          <w:lang w:val="es-ES"/>
        </w:rPr>
      </w:pPr>
    </w:p>
    <w:p w14:paraId="76FFA9DA" w14:textId="450A5107" w:rsidR="00A42760" w:rsidRPr="00BB743D" w:rsidRDefault="00A42760" w:rsidP="00BB743D">
      <w:pPr>
        <w:numPr>
          <w:ilvl w:val="0"/>
          <w:numId w:val="11"/>
        </w:numPr>
        <w:ind w:left="426" w:hanging="568"/>
        <w:rPr>
          <w:bCs/>
          <w:szCs w:val="24"/>
          <w:lang w:val="es-ES"/>
        </w:rPr>
      </w:pPr>
      <w:r w:rsidRPr="00BB743D">
        <w:rPr>
          <w:bCs/>
          <w:szCs w:val="24"/>
          <w:lang w:val="es-ES"/>
        </w:rPr>
        <w:t xml:space="preserve">Si el Contratante establece la realización de una visita organizada u obligatorio al sitio de las Obras deberá modificar las IAO 8.1 y 8.2 especificando el horario, la oportunidad, los requisitos, los controles de asistencia y las consecuencias de no participar en la visita obligatoria. </w:t>
      </w:r>
    </w:p>
    <w:p w14:paraId="201565CB" w14:textId="52A5D0EA" w:rsidR="00A42760" w:rsidRPr="00BB743D" w:rsidRDefault="00A42760" w:rsidP="00BB743D">
      <w:pPr>
        <w:ind w:left="426" w:hanging="568"/>
        <w:rPr>
          <w:bCs/>
          <w:szCs w:val="24"/>
          <w:lang w:val="es-ES"/>
        </w:rPr>
      </w:pPr>
    </w:p>
    <w:p w14:paraId="3E4C84F6" w14:textId="505340FD" w:rsidR="00A42760" w:rsidRPr="00BB743D" w:rsidRDefault="007C1E66" w:rsidP="00BB743D">
      <w:pPr>
        <w:numPr>
          <w:ilvl w:val="0"/>
          <w:numId w:val="11"/>
        </w:numPr>
        <w:ind w:left="426" w:hanging="568"/>
        <w:rPr>
          <w:bCs/>
          <w:szCs w:val="24"/>
          <w:lang w:val="es-ES"/>
        </w:rPr>
      </w:pPr>
      <w:r w:rsidRPr="00BB743D">
        <w:rPr>
          <w:bCs/>
          <w:szCs w:val="24"/>
          <w:lang w:val="es-ES"/>
        </w:rPr>
        <w:t>Se espera que los contratos de obras menores no excedan 18 meses de ejecución por lo que en la mayoría de los casos en el uso del documento de licitación, no debería haber reajuste de precios. Sin embargo, si en el país hay alta inflación o el plazo de ejecución excede 18 meses, se deberá reajustar la suma global o los pagos relacionados a trabajos por día. Las explicaciones al respecto deberán proporcionarse en DDL IAO 14 y elaborado con profundidad en las Condiciones Particulares del Contratos. En los contratos por sumas alzadas, el reajuste es posible siempre y cuando el C</w:t>
      </w:r>
      <w:r w:rsidR="00E3478C" w:rsidRPr="00BB743D">
        <w:rPr>
          <w:bCs/>
          <w:szCs w:val="24"/>
          <w:lang w:val="es-ES"/>
        </w:rPr>
        <w:t>ontratista proporcione un</w:t>
      </w:r>
      <w:r w:rsidRPr="00BB743D">
        <w:rPr>
          <w:bCs/>
          <w:szCs w:val="24"/>
          <w:lang w:val="es-ES"/>
        </w:rPr>
        <w:t xml:space="preserve"> detalle de los componentes de mano de obra, uso de equipos y materiales y otros insumos en cada Lista de Actividades.</w:t>
      </w:r>
    </w:p>
    <w:p w14:paraId="7A896DE3" w14:textId="77777777" w:rsidR="00AC6C37" w:rsidRPr="00BB743D" w:rsidRDefault="00AC6C37" w:rsidP="00AC6C37">
      <w:pPr>
        <w:rPr>
          <w:bCs/>
          <w:szCs w:val="24"/>
          <w:lang w:val="es-ES"/>
        </w:rPr>
      </w:pPr>
    </w:p>
    <w:p w14:paraId="547844A8" w14:textId="77777777" w:rsidR="00AC6C37" w:rsidRPr="00BB743D" w:rsidRDefault="00AC6C37" w:rsidP="00AC6C37">
      <w:pPr>
        <w:keepNext/>
        <w:jc w:val="center"/>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6882"/>
      </w:tblGrid>
      <w:tr w:rsidR="00AC6C37" w:rsidRPr="00BB743D" w14:paraId="697BBF56" w14:textId="77777777" w:rsidTr="003A3B14">
        <w:trPr>
          <w:cantSplit/>
        </w:trPr>
        <w:tc>
          <w:tcPr>
            <w:tcW w:w="9468" w:type="dxa"/>
            <w:gridSpan w:val="2"/>
          </w:tcPr>
          <w:p w14:paraId="24EEC8A9" w14:textId="77777777" w:rsidR="00AC6C37" w:rsidRPr="00BB743D" w:rsidRDefault="00AC6C37" w:rsidP="003A3B14">
            <w:pPr>
              <w:keepNext/>
              <w:jc w:val="center"/>
              <w:rPr>
                <w:b/>
                <w:bCs/>
                <w:sz w:val="28"/>
                <w:lang w:val="es-ES"/>
              </w:rPr>
            </w:pPr>
          </w:p>
          <w:p w14:paraId="7794B6E2" w14:textId="77777777" w:rsidR="00AC6C37" w:rsidRPr="00BB743D" w:rsidRDefault="00AC6C37" w:rsidP="00BB743D">
            <w:pPr>
              <w:pStyle w:val="Heading4"/>
              <w:widowControl w:val="0"/>
              <w:numPr>
                <w:ilvl w:val="0"/>
                <w:numId w:val="16"/>
              </w:numPr>
              <w:ind w:left="778" w:hanging="418"/>
              <w:rPr>
                <w:lang w:val="es-ES"/>
              </w:rPr>
            </w:pPr>
            <w:r w:rsidRPr="00BB743D">
              <w:rPr>
                <w:lang w:val="es-ES"/>
              </w:rPr>
              <w:t>Disposiciones Generales</w:t>
            </w:r>
          </w:p>
          <w:p w14:paraId="1F3904D9" w14:textId="77777777" w:rsidR="00AC6C37" w:rsidRPr="00BB743D" w:rsidRDefault="00AC6C37" w:rsidP="003A3B14">
            <w:pPr>
              <w:keepNext/>
              <w:ind w:left="360"/>
              <w:jc w:val="center"/>
              <w:rPr>
                <w:b/>
                <w:bCs/>
                <w:sz w:val="28"/>
                <w:lang w:val="es-ES"/>
              </w:rPr>
            </w:pPr>
          </w:p>
        </w:tc>
      </w:tr>
      <w:tr w:rsidR="00AC6C37" w:rsidRPr="00BB743D" w14:paraId="0E8A75EE" w14:textId="77777777" w:rsidTr="003A3B14">
        <w:tc>
          <w:tcPr>
            <w:tcW w:w="2171" w:type="dxa"/>
            <w:tcBorders>
              <w:bottom w:val="single" w:sz="4" w:space="0" w:color="auto"/>
            </w:tcBorders>
          </w:tcPr>
          <w:p w14:paraId="4B684386" w14:textId="77777777" w:rsidR="00AC6C37" w:rsidRPr="00BB743D" w:rsidRDefault="00AC6C37" w:rsidP="003A3B14">
            <w:pPr>
              <w:rPr>
                <w:b/>
                <w:bCs/>
                <w:lang w:val="es-ES"/>
              </w:rPr>
            </w:pPr>
            <w:r w:rsidRPr="00BB743D">
              <w:rPr>
                <w:b/>
                <w:bCs/>
                <w:lang w:val="es-ES"/>
              </w:rPr>
              <w:t>IAO 1.1</w:t>
            </w:r>
          </w:p>
        </w:tc>
        <w:tc>
          <w:tcPr>
            <w:tcW w:w="7297" w:type="dxa"/>
          </w:tcPr>
          <w:p w14:paraId="79F33A20" w14:textId="77777777" w:rsidR="00AC6C37" w:rsidRPr="00BB743D" w:rsidRDefault="00AC6C37" w:rsidP="003A3B14">
            <w:pPr>
              <w:keepNext/>
              <w:rPr>
                <w:i/>
                <w:iCs/>
                <w:color w:val="000000" w:themeColor="text1"/>
                <w:sz w:val="22"/>
                <w:lang w:val="es-ES"/>
              </w:rPr>
            </w:pPr>
            <w:r w:rsidRPr="00BB743D">
              <w:rPr>
                <w:color w:val="000000" w:themeColor="text1"/>
                <w:lang w:val="es-ES"/>
              </w:rPr>
              <w:t xml:space="preserve">El Contratante es: </w:t>
            </w:r>
            <w:r w:rsidRPr="00BB743D">
              <w:rPr>
                <w:i/>
                <w:iCs/>
                <w:color w:val="000000" w:themeColor="text1"/>
                <w:sz w:val="22"/>
                <w:lang w:val="es-ES"/>
              </w:rPr>
              <w:t>[indique el nombre del Contratante]</w:t>
            </w:r>
          </w:p>
          <w:p w14:paraId="0309E4A6" w14:textId="77777777" w:rsidR="00AC6C37" w:rsidRPr="00BB743D" w:rsidRDefault="00AC6C37" w:rsidP="003A3B14">
            <w:pPr>
              <w:keepNext/>
              <w:rPr>
                <w:color w:val="000000" w:themeColor="text1"/>
                <w:lang w:val="es-ES"/>
              </w:rPr>
            </w:pPr>
          </w:p>
          <w:p w14:paraId="2D957412" w14:textId="77777777" w:rsidR="00AC6C37" w:rsidRPr="00BB743D" w:rsidRDefault="00AC6C37" w:rsidP="003A3B14">
            <w:pPr>
              <w:keepNext/>
              <w:rPr>
                <w:i/>
                <w:iCs/>
                <w:color w:val="000000" w:themeColor="text1"/>
                <w:lang w:val="es-ES"/>
              </w:rPr>
            </w:pPr>
            <w:r w:rsidRPr="00BB743D">
              <w:rPr>
                <w:color w:val="000000" w:themeColor="text1"/>
                <w:lang w:val="es-ES"/>
              </w:rPr>
              <w:t xml:space="preserve">Las Obras son </w:t>
            </w:r>
            <w:r w:rsidRPr="00BB743D">
              <w:rPr>
                <w:i/>
                <w:iCs/>
                <w:color w:val="000000" w:themeColor="text1"/>
                <w:lang w:val="es-ES"/>
              </w:rPr>
              <w:t>[indique una descripción breve de las Obras por diseñar y construir]</w:t>
            </w:r>
          </w:p>
          <w:p w14:paraId="5992A01F" w14:textId="77777777" w:rsidR="00AC6C37" w:rsidRPr="00BB743D" w:rsidRDefault="00AC6C37" w:rsidP="003A3B14">
            <w:pPr>
              <w:keepNext/>
              <w:rPr>
                <w:i/>
                <w:iCs/>
                <w:color w:val="000000" w:themeColor="text1"/>
                <w:lang w:val="es-ES"/>
              </w:rPr>
            </w:pPr>
          </w:p>
          <w:p w14:paraId="69159DFA" w14:textId="77777777" w:rsidR="00AC6C37" w:rsidRPr="00BB743D" w:rsidRDefault="00AC6C37" w:rsidP="003A3B14">
            <w:pPr>
              <w:keepNext/>
              <w:rPr>
                <w:i/>
                <w:iCs/>
                <w:color w:val="000000" w:themeColor="text1"/>
                <w:lang w:val="es-ES"/>
              </w:rPr>
            </w:pPr>
            <w:r w:rsidRPr="00BB743D">
              <w:rPr>
                <w:color w:val="000000" w:themeColor="text1"/>
                <w:lang w:val="es-ES"/>
              </w:rPr>
              <w:t xml:space="preserve">El nombre e identificación del contrato son </w:t>
            </w:r>
            <w:r w:rsidRPr="00BB743D">
              <w:rPr>
                <w:i/>
                <w:iCs/>
                <w:color w:val="000000" w:themeColor="text1"/>
                <w:lang w:val="es-ES"/>
              </w:rPr>
              <w:t>[indique el nombre y el número de identificación del contrato]</w:t>
            </w:r>
          </w:p>
          <w:p w14:paraId="7D5A5C0E" w14:textId="77777777" w:rsidR="00AC6C37" w:rsidRPr="00BB743D" w:rsidRDefault="00AC6C37" w:rsidP="003A3B14">
            <w:pPr>
              <w:keepNext/>
              <w:rPr>
                <w:i/>
                <w:iCs/>
                <w:color w:val="000000" w:themeColor="text1"/>
                <w:lang w:val="es-ES"/>
              </w:rPr>
            </w:pPr>
          </w:p>
        </w:tc>
      </w:tr>
      <w:tr w:rsidR="00AC6C37" w:rsidRPr="00BB743D" w14:paraId="311DCF9E" w14:textId="77777777" w:rsidTr="003A3B14">
        <w:trPr>
          <w:trHeight w:val="728"/>
        </w:trPr>
        <w:tc>
          <w:tcPr>
            <w:tcW w:w="2171" w:type="dxa"/>
            <w:tcBorders>
              <w:top w:val="single" w:sz="4" w:space="0" w:color="auto"/>
              <w:bottom w:val="single" w:sz="4" w:space="0" w:color="auto"/>
            </w:tcBorders>
          </w:tcPr>
          <w:p w14:paraId="70DAF437" w14:textId="77777777" w:rsidR="00AC6C37" w:rsidRPr="00BB743D" w:rsidRDefault="00AC6C37" w:rsidP="003A3B14">
            <w:pPr>
              <w:rPr>
                <w:b/>
                <w:bCs/>
                <w:lang w:val="es-ES"/>
              </w:rPr>
            </w:pPr>
            <w:r w:rsidRPr="00BB743D">
              <w:rPr>
                <w:b/>
                <w:bCs/>
                <w:lang w:val="es-ES"/>
              </w:rPr>
              <w:t>IAO 1.2</w:t>
            </w:r>
            <w:r w:rsidRPr="00BB743D">
              <w:rPr>
                <w:b/>
                <w:bCs/>
                <w:lang w:val="es-ES"/>
              </w:rPr>
              <w:tab/>
            </w:r>
          </w:p>
        </w:tc>
        <w:tc>
          <w:tcPr>
            <w:tcW w:w="7297" w:type="dxa"/>
          </w:tcPr>
          <w:p w14:paraId="1AD7CA22" w14:textId="77777777" w:rsidR="00AC6C37" w:rsidRPr="00BB743D" w:rsidRDefault="00AC6C37" w:rsidP="003A3B14">
            <w:pPr>
              <w:rPr>
                <w:i/>
                <w:iCs/>
                <w:lang w:val="es-ES"/>
              </w:rPr>
            </w:pPr>
            <w:r w:rsidRPr="00BB743D">
              <w:rPr>
                <w:lang w:val="es-ES"/>
              </w:rPr>
              <w:t xml:space="preserve">La Fecha Prevista de Terminación de las Obras es </w:t>
            </w:r>
            <w:r w:rsidRPr="00BB743D">
              <w:rPr>
                <w:i/>
                <w:iCs/>
                <w:lang w:val="es-ES"/>
              </w:rPr>
              <w:t>[indicar la fecha]</w:t>
            </w:r>
          </w:p>
          <w:p w14:paraId="63724068" w14:textId="77777777" w:rsidR="00AC6C37" w:rsidRPr="00BB743D" w:rsidRDefault="00AC6C37" w:rsidP="003A3B14">
            <w:pPr>
              <w:rPr>
                <w:i/>
                <w:iCs/>
                <w:lang w:val="es-ES"/>
              </w:rPr>
            </w:pPr>
          </w:p>
        </w:tc>
      </w:tr>
      <w:tr w:rsidR="00AC6C37" w:rsidRPr="00BB743D" w14:paraId="501EAB18" w14:textId="77777777" w:rsidTr="003A3B14">
        <w:tc>
          <w:tcPr>
            <w:tcW w:w="2171" w:type="dxa"/>
            <w:tcBorders>
              <w:top w:val="single" w:sz="4" w:space="0" w:color="auto"/>
              <w:bottom w:val="single" w:sz="4" w:space="0" w:color="auto"/>
            </w:tcBorders>
          </w:tcPr>
          <w:p w14:paraId="5FB2A136" w14:textId="77777777" w:rsidR="00AC6C37" w:rsidRPr="00BB743D" w:rsidRDefault="00AC6C37" w:rsidP="003A3B14">
            <w:pPr>
              <w:rPr>
                <w:b/>
                <w:bCs/>
                <w:lang w:val="es-ES"/>
              </w:rPr>
            </w:pPr>
            <w:r w:rsidRPr="00BB743D">
              <w:rPr>
                <w:b/>
                <w:lang w:val="es-ES"/>
              </w:rPr>
              <w:t>IAO 1.3 (a)</w:t>
            </w:r>
          </w:p>
        </w:tc>
        <w:tc>
          <w:tcPr>
            <w:tcW w:w="7297" w:type="dxa"/>
          </w:tcPr>
          <w:p w14:paraId="62DF7306" w14:textId="77777777" w:rsidR="00AC6C37" w:rsidRPr="00BB743D" w:rsidRDefault="00AC6C37" w:rsidP="003A3B14">
            <w:pPr>
              <w:tabs>
                <w:tab w:val="right" w:pos="7272"/>
              </w:tabs>
              <w:spacing w:before="60" w:after="60"/>
              <w:rPr>
                <w:b/>
                <w:i/>
                <w:lang w:val="es-ES"/>
              </w:rPr>
            </w:pPr>
            <w:r w:rsidRPr="00BB743D">
              <w:rPr>
                <w:b/>
                <w:lang w:val="es-ES"/>
              </w:rPr>
              <w:t>[</w:t>
            </w:r>
            <w:r w:rsidRPr="00BB743D">
              <w:rPr>
                <w:b/>
                <w:i/>
                <w:lang w:val="es-ES"/>
              </w:rPr>
              <w:t>Suprimir si no corresponde</w:t>
            </w:r>
            <w:r w:rsidRPr="00BB743D">
              <w:rPr>
                <w:b/>
                <w:lang w:val="es-ES"/>
              </w:rPr>
              <w:t>]</w:t>
            </w:r>
          </w:p>
          <w:p w14:paraId="314CA84A" w14:textId="77777777" w:rsidR="00AC6C37" w:rsidRPr="00BB743D" w:rsidRDefault="00AC6C37" w:rsidP="003A3B14">
            <w:pPr>
              <w:tabs>
                <w:tab w:val="right" w:pos="7272"/>
              </w:tabs>
              <w:spacing w:before="60" w:after="60"/>
              <w:rPr>
                <w:b/>
                <w:lang w:val="es-ES"/>
              </w:rPr>
            </w:pPr>
            <w:r w:rsidRPr="00BB743D">
              <w:rPr>
                <w:b/>
                <w:lang w:val="es-ES"/>
              </w:rPr>
              <w:t>Sistema electrónico de adquisiciones</w:t>
            </w:r>
          </w:p>
          <w:p w14:paraId="64E0E311" w14:textId="77777777" w:rsidR="00AC6C37" w:rsidRPr="00BB743D" w:rsidRDefault="00AC6C37" w:rsidP="003A3B14">
            <w:pPr>
              <w:tabs>
                <w:tab w:val="right" w:pos="7272"/>
              </w:tabs>
              <w:spacing w:before="60" w:after="60"/>
              <w:rPr>
                <w:lang w:val="es-ES"/>
              </w:rPr>
            </w:pPr>
            <w:r w:rsidRPr="00BB743D">
              <w:rPr>
                <w:lang w:val="es-ES"/>
              </w:rPr>
              <w:t>El Contratante utilizará el siguiente sistema electrónico de adquisiciones para la gestión de este Proceso Licitatorio:</w:t>
            </w:r>
          </w:p>
          <w:p w14:paraId="2273E842" w14:textId="77777777" w:rsidR="00AC6C37" w:rsidRPr="00BB743D" w:rsidRDefault="00AC6C37" w:rsidP="003A3B14">
            <w:pPr>
              <w:tabs>
                <w:tab w:val="right" w:pos="7272"/>
              </w:tabs>
              <w:spacing w:before="60" w:after="60"/>
              <w:rPr>
                <w:lang w:val="es-ES"/>
              </w:rPr>
            </w:pPr>
            <w:r w:rsidRPr="00BB743D">
              <w:rPr>
                <w:lang w:val="es-ES"/>
              </w:rPr>
              <w:lastRenderedPageBreak/>
              <w:t>[</w:t>
            </w:r>
            <w:r w:rsidRPr="00BB743D">
              <w:rPr>
                <w:i/>
                <w:lang w:val="es-ES"/>
              </w:rPr>
              <w:t>indique el nombre del sistema electrónico y la dirección URL o el enlace</w:t>
            </w:r>
            <w:r w:rsidRPr="00BB743D">
              <w:rPr>
                <w:lang w:val="es-ES"/>
              </w:rPr>
              <w:t>]</w:t>
            </w:r>
          </w:p>
          <w:p w14:paraId="53A1E0BA" w14:textId="77777777" w:rsidR="00AC6C37" w:rsidRPr="00BB743D" w:rsidRDefault="00AC6C37" w:rsidP="003A3B14">
            <w:pPr>
              <w:tabs>
                <w:tab w:val="right" w:pos="7272"/>
              </w:tabs>
              <w:spacing w:before="60" w:after="60"/>
              <w:rPr>
                <w:lang w:val="es-ES"/>
              </w:rPr>
            </w:pPr>
            <w:r w:rsidRPr="00BB743D">
              <w:rPr>
                <w:lang w:val="es-ES"/>
              </w:rPr>
              <w:t>El sistema electrónico de adquisiciones se empleará para administrar los siguientes aspectos del Proceso Licitatorio:</w:t>
            </w:r>
          </w:p>
          <w:p w14:paraId="0437149E" w14:textId="77777777" w:rsidR="00AC6C37" w:rsidRPr="00BB743D" w:rsidRDefault="00AC6C37" w:rsidP="003A3B14">
            <w:pPr>
              <w:rPr>
                <w:lang w:val="es-ES"/>
              </w:rPr>
            </w:pPr>
            <w:r w:rsidRPr="00BB743D">
              <w:rPr>
                <w:i/>
                <w:color w:val="000000"/>
                <w:lang w:val="es-ES"/>
              </w:rPr>
              <w:t>[enumere los aspectos y modifique las partes pertinentes de los DDL como corresponda, por ejemplo, en relación con la publicación del Documento de Licitación, la presentación de las Ofertas, la apertura de las Ofertas]</w:t>
            </w:r>
          </w:p>
        </w:tc>
      </w:tr>
      <w:tr w:rsidR="00AC6C37" w:rsidRPr="00BB743D" w14:paraId="0FD4DD34" w14:textId="77777777" w:rsidTr="003A3B14">
        <w:tc>
          <w:tcPr>
            <w:tcW w:w="2171" w:type="dxa"/>
            <w:tcBorders>
              <w:top w:val="single" w:sz="4" w:space="0" w:color="auto"/>
              <w:bottom w:val="single" w:sz="4" w:space="0" w:color="auto"/>
            </w:tcBorders>
          </w:tcPr>
          <w:p w14:paraId="43968C50" w14:textId="77777777" w:rsidR="00AC6C37" w:rsidRPr="00BB743D" w:rsidRDefault="00AC6C37" w:rsidP="003A3B14">
            <w:pPr>
              <w:rPr>
                <w:b/>
                <w:bCs/>
                <w:lang w:val="es-ES"/>
              </w:rPr>
            </w:pPr>
            <w:r w:rsidRPr="00BB743D">
              <w:rPr>
                <w:b/>
                <w:bCs/>
                <w:lang w:val="es-ES"/>
              </w:rPr>
              <w:lastRenderedPageBreak/>
              <w:t>IAO 2.1</w:t>
            </w:r>
          </w:p>
        </w:tc>
        <w:tc>
          <w:tcPr>
            <w:tcW w:w="7297" w:type="dxa"/>
          </w:tcPr>
          <w:p w14:paraId="0191B5AE" w14:textId="77777777" w:rsidR="00AC6C37" w:rsidRPr="00BB743D" w:rsidRDefault="00AC6C37" w:rsidP="003A3B14">
            <w:pPr>
              <w:rPr>
                <w:i/>
                <w:iCs/>
                <w:lang w:val="es-ES"/>
              </w:rPr>
            </w:pPr>
            <w:r w:rsidRPr="00BB743D">
              <w:rPr>
                <w:lang w:val="es-ES"/>
              </w:rPr>
              <w:t xml:space="preserve">El Prestatario es </w:t>
            </w:r>
            <w:r w:rsidRPr="00BB743D">
              <w:rPr>
                <w:i/>
                <w:iCs/>
                <w:lang w:val="es-ES"/>
              </w:rPr>
              <w:t>[indique el nombre del Prestatario]</w:t>
            </w:r>
          </w:p>
          <w:p w14:paraId="4DF374CE" w14:textId="77777777" w:rsidR="00AC6C37" w:rsidRPr="00BB743D" w:rsidRDefault="00AC6C37" w:rsidP="003A3B14">
            <w:pPr>
              <w:rPr>
                <w:i/>
                <w:iCs/>
                <w:lang w:val="es-ES"/>
              </w:rPr>
            </w:pPr>
          </w:p>
        </w:tc>
      </w:tr>
      <w:tr w:rsidR="00AC6C37" w:rsidRPr="00BB743D" w14:paraId="410EFCF2" w14:textId="77777777" w:rsidTr="003A3B14">
        <w:tc>
          <w:tcPr>
            <w:tcW w:w="2171" w:type="dxa"/>
            <w:tcBorders>
              <w:top w:val="single" w:sz="4" w:space="0" w:color="auto"/>
              <w:bottom w:val="single" w:sz="4" w:space="0" w:color="auto"/>
            </w:tcBorders>
          </w:tcPr>
          <w:p w14:paraId="7436D513" w14:textId="77777777" w:rsidR="00AC6C37" w:rsidRPr="00BB743D" w:rsidRDefault="00AC6C37" w:rsidP="003A3B14">
            <w:pPr>
              <w:rPr>
                <w:b/>
                <w:bCs/>
                <w:lang w:val="es-ES"/>
              </w:rPr>
            </w:pPr>
            <w:r w:rsidRPr="00BB743D">
              <w:rPr>
                <w:b/>
                <w:bCs/>
                <w:lang w:val="es-ES"/>
              </w:rPr>
              <w:t>IAO 2.1</w:t>
            </w:r>
          </w:p>
        </w:tc>
        <w:tc>
          <w:tcPr>
            <w:tcW w:w="7297" w:type="dxa"/>
          </w:tcPr>
          <w:p w14:paraId="76993B27" w14:textId="77777777" w:rsidR="00AC6C37" w:rsidRPr="00BB743D" w:rsidRDefault="00AC6C37" w:rsidP="003A3B14">
            <w:pPr>
              <w:rPr>
                <w:iCs/>
                <w:lang w:val="es-ES"/>
              </w:rPr>
            </w:pPr>
            <w:r w:rsidRPr="00BB743D">
              <w:rPr>
                <w:lang w:val="es-ES"/>
              </w:rPr>
              <w:t xml:space="preserve">La expresión “Banco” utilizada comprende al Banco Interamericano de Desarrollo (BID). Los requerimientos del Banco y de los fondos administrados son idénticos con excepción de los países elegibles en donde la membresía es diferente (Ver Sección Países Elegibles). Las referencias en este documento a </w:t>
            </w:r>
            <w:r w:rsidRPr="00BB743D">
              <w:rPr>
                <w:i/>
                <w:lang w:val="es-ES"/>
              </w:rPr>
              <w:t>“préstamos”</w:t>
            </w:r>
            <w:r w:rsidRPr="00BB743D">
              <w:rPr>
                <w:lang w:val="es-ES"/>
              </w:rP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r w:rsidRPr="00BB743D">
              <w:rPr>
                <w:iCs/>
                <w:lang w:val="es-ES"/>
              </w:rPr>
              <w:t xml:space="preserve"> El préstamo del Banco es: </w:t>
            </w:r>
            <w:r w:rsidRPr="00BB743D">
              <w:rPr>
                <w:i/>
                <w:lang w:val="es-ES"/>
              </w:rPr>
              <w:t>[indique nombre o identificación del préstamo]</w:t>
            </w:r>
          </w:p>
          <w:p w14:paraId="6F7F2DBE" w14:textId="77777777" w:rsidR="00AC6C37" w:rsidRPr="00BB743D" w:rsidRDefault="00AC6C37" w:rsidP="003A3B14">
            <w:pPr>
              <w:rPr>
                <w:i/>
                <w:lang w:val="es-ES"/>
              </w:rPr>
            </w:pPr>
            <w:r w:rsidRPr="00BB743D">
              <w:rPr>
                <w:iCs/>
                <w:lang w:val="es-ES"/>
              </w:rPr>
              <w:t xml:space="preserve">Número: </w:t>
            </w:r>
            <w:r w:rsidRPr="00BB743D">
              <w:rPr>
                <w:i/>
                <w:lang w:val="es-ES"/>
              </w:rPr>
              <w:t>[indique # del préstamo]</w:t>
            </w:r>
          </w:p>
          <w:p w14:paraId="7D0AC57C" w14:textId="77777777" w:rsidR="00AC6C37" w:rsidRPr="00BB743D" w:rsidRDefault="00AC6C37" w:rsidP="003A3B14">
            <w:pPr>
              <w:rPr>
                <w:i/>
                <w:lang w:val="es-ES"/>
              </w:rPr>
            </w:pPr>
            <w:r w:rsidRPr="00BB743D">
              <w:rPr>
                <w:iCs/>
                <w:lang w:val="es-ES"/>
              </w:rPr>
              <w:t xml:space="preserve">Fecha: </w:t>
            </w:r>
            <w:r w:rsidRPr="00BB743D">
              <w:rPr>
                <w:i/>
                <w:lang w:val="es-ES"/>
              </w:rPr>
              <w:t>[indique fecha de aprobación del préstamo]</w:t>
            </w:r>
          </w:p>
          <w:p w14:paraId="214722CE" w14:textId="77777777" w:rsidR="00AC6C37" w:rsidRPr="00BB743D" w:rsidRDefault="00AC6C37" w:rsidP="003A3B14">
            <w:pPr>
              <w:rPr>
                <w:iCs/>
                <w:lang w:val="es-ES"/>
              </w:rPr>
            </w:pPr>
          </w:p>
        </w:tc>
      </w:tr>
      <w:tr w:rsidR="00AC6C37" w:rsidRPr="00BB743D" w14:paraId="330ECA0F" w14:textId="77777777" w:rsidTr="003A3B14">
        <w:tc>
          <w:tcPr>
            <w:tcW w:w="2171" w:type="dxa"/>
            <w:tcBorders>
              <w:top w:val="single" w:sz="4" w:space="0" w:color="auto"/>
              <w:bottom w:val="single" w:sz="4" w:space="0" w:color="auto"/>
            </w:tcBorders>
          </w:tcPr>
          <w:p w14:paraId="770AAE05" w14:textId="77777777" w:rsidR="00AC6C37" w:rsidRPr="00BB743D" w:rsidRDefault="00AC6C37" w:rsidP="003A3B14">
            <w:pPr>
              <w:rPr>
                <w:b/>
                <w:bCs/>
                <w:lang w:val="es-ES"/>
              </w:rPr>
            </w:pPr>
            <w:r w:rsidRPr="00BB743D">
              <w:rPr>
                <w:b/>
                <w:bCs/>
                <w:lang w:val="es-ES"/>
              </w:rPr>
              <w:t>IAO 2.1</w:t>
            </w:r>
          </w:p>
        </w:tc>
        <w:tc>
          <w:tcPr>
            <w:tcW w:w="7297" w:type="dxa"/>
          </w:tcPr>
          <w:p w14:paraId="6FC2FB69" w14:textId="77777777" w:rsidR="00AC6C37" w:rsidRPr="00BB743D" w:rsidRDefault="00AC6C37" w:rsidP="003A3B14">
            <w:pPr>
              <w:rPr>
                <w:i/>
                <w:iCs/>
                <w:lang w:val="es-ES"/>
              </w:rPr>
            </w:pPr>
            <w:r w:rsidRPr="00BB743D">
              <w:rPr>
                <w:lang w:val="es-ES"/>
              </w:rPr>
              <w:t xml:space="preserve">El nombre del Proyecto es </w:t>
            </w:r>
            <w:r w:rsidRPr="00BB743D">
              <w:rPr>
                <w:i/>
                <w:iCs/>
                <w:lang w:val="es-ES"/>
              </w:rPr>
              <w:t>[indique el nombre y una breve descripción del Proyecto financiado con el préstamo del Banco Interamericano de Desarrollo].</w:t>
            </w:r>
          </w:p>
          <w:p w14:paraId="2633E641" w14:textId="77777777" w:rsidR="00AC6C37" w:rsidRPr="00BB743D" w:rsidRDefault="00AC6C37" w:rsidP="003A3B14">
            <w:pPr>
              <w:rPr>
                <w:i/>
                <w:iCs/>
                <w:lang w:val="es-ES"/>
              </w:rPr>
            </w:pPr>
          </w:p>
          <w:p w14:paraId="30150FE0" w14:textId="77777777" w:rsidR="00AC6C37" w:rsidRPr="00BB743D" w:rsidRDefault="00AC6C37" w:rsidP="003A3B14">
            <w:pPr>
              <w:rPr>
                <w:i/>
                <w:iCs/>
                <w:lang w:val="es-ES"/>
              </w:rPr>
            </w:pPr>
          </w:p>
        </w:tc>
      </w:tr>
      <w:tr w:rsidR="00AC6C37" w:rsidRPr="00BB743D" w14:paraId="5E3D8C57" w14:textId="77777777" w:rsidTr="003A3B14">
        <w:tc>
          <w:tcPr>
            <w:tcW w:w="2171" w:type="dxa"/>
            <w:tcBorders>
              <w:top w:val="single" w:sz="4" w:space="0" w:color="auto"/>
              <w:bottom w:val="single" w:sz="4" w:space="0" w:color="auto"/>
            </w:tcBorders>
          </w:tcPr>
          <w:p w14:paraId="596A7871" w14:textId="77777777" w:rsidR="00AC6C37" w:rsidRPr="00BB743D" w:rsidRDefault="00AC6C37" w:rsidP="003A3B14">
            <w:pPr>
              <w:rPr>
                <w:b/>
                <w:bCs/>
                <w:lang w:val="es-ES"/>
              </w:rPr>
            </w:pPr>
            <w:r w:rsidRPr="00BB743D">
              <w:rPr>
                <w:b/>
                <w:bCs/>
                <w:lang w:val="es-ES"/>
              </w:rPr>
              <w:t>IAO 5.3</w:t>
            </w:r>
            <w:r w:rsidRPr="00BB743D">
              <w:rPr>
                <w:rStyle w:val="FootnoteReference"/>
                <w:b/>
                <w:bCs/>
                <w:lang w:val="es-ES"/>
              </w:rPr>
              <w:footnoteReference w:id="2"/>
            </w:r>
          </w:p>
        </w:tc>
        <w:tc>
          <w:tcPr>
            <w:tcW w:w="7297" w:type="dxa"/>
          </w:tcPr>
          <w:p w14:paraId="649B5C78" w14:textId="77777777" w:rsidR="00AC6C37" w:rsidRPr="00BB743D" w:rsidRDefault="00AC6C37" w:rsidP="003A3B14">
            <w:pPr>
              <w:rPr>
                <w:i/>
                <w:iCs/>
                <w:spacing w:val="-3"/>
                <w:lang w:val="es-ES"/>
              </w:rPr>
            </w:pPr>
            <w:r w:rsidRPr="00BB743D">
              <w:rPr>
                <w:spacing w:val="-3"/>
                <w:lang w:val="es-ES"/>
              </w:rPr>
              <w:t xml:space="preserve">La información solicitada a los Oferentes en la IAO 5.3 se modifica de la siguiente manera: </w:t>
            </w:r>
            <w:r w:rsidRPr="00BB743D">
              <w:rPr>
                <w:i/>
                <w:iCs/>
                <w:spacing w:val="-3"/>
                <w:lang w:val="es-ES"/>
              </w:rPr>
              <w:t>[indicar lo que se agrega a la lista en la IAO 5.3 o se suprime de ella; de lo contrario indicar “Ninguna”]</w:t>
            </w:r>
          </w:p>
          <w:p w14:paraId="37374422" w14:textId="77777777" w:rsidR="00AC6C37" w:rsidRPr="00BB743D" w:rsidRDefault="00AC6C37" w:rsidP="003A3B14">
            <w:pPr>
              <w:rPr>
                <w:i/>
                <w:iCs/>
                <w:lang w:val="es-ES"/>
              </w:rPr>
            </w:pPr>
          </w:p>
        </w:tc>
      </w:tr>
      <w:tr w:rsidR="00AC6C37" w:rsidRPr="00BB743D" w14:paraId="66647565" w14:textId="77777777" w:rsidTr="003A3B14">
        <w:tc>
          <w:tcPr>
            <w:tcW w:w="2171" w:type="dxa"/>
            <w:tcBorders>
              <w:top w:val="single" w:sz="4" w:space="0" w:color="auto"/>
              <w:bottom w:val="single" w:sz="4" w:space="0" w:color="auto"/>
            </w:tcBorders>
          </w:tcPr>
          <w:p w14:paraId="7A3DC416" w14:textId="77777777" w:rsidR="00AC6C37" w:rsidRPr="00BB743D" w:rsidRDefault="00AC6C37" w:rsidP="003A3B14">
            <w:pPr>
              <w:rPr>
                <w:b/>
                <w:bCs/>
                <w:lang w:val="es-ES"/>
              </w:rPr>
            </w:pPr>
            <w:r w:rsidRPr="00BB743D">
              <w:rPr>
                <w:b/>
                <w:bCs/>
                <w:lang w:val="es-ES"/>
              </w:rPr>
              <w:t>IAO 5.3 (j)</w:t>
            </w:r>
          </w:p>
        </w:tc>
        <w:tc>
          <w:tcPr>
            <w:tcW w:w="7297" w:type="dxa"/>
          </w:tcPr>
          <w:p w14:paraId="2E988212" w14:textId="77777777" w:rsidR="00AC6C37" w:rsidRPr="00BB743D" w:rsidRDefault="00AC6C37" w:rsidP="003A3B14">
            <w:pPr>
              <w:rPr>
                <w:i/>
                <w:iCs/>
                <w:spacing w:val="-3"/>
                <w:lang w:val="es-ES"/>
              </w:rPr>
            </w:pPr>
            <w:r w:rsidRPr="00BB743D">
              <w:rPr>
                <w:spacing w:val="-3"/>
                <w:lang w:val="es-ES"/>
              </w:rPr>
              <w:t xml:space="preserve">El porcentaje máximo de participación de subcontratistas es: </w:t>
            </w:r>
            <w:r w:rsidRPr="00BB743D">
              <w:rPr>
                <w:i/>
                <w:iCs/>
                <w:spacing w:val="-3"/>
                <w:lang w:val="es-ES"/>
              </w:rPr>
              <w:t>[indique el porcentaje]</w:t>
            </w:r>
          </w:p>
          <w:p w14:paraId="2BC2AC9B" w14:textId="77777777" w:rsidR="00AC6C37" w:rsidRPr="00BB743D" w:rsidRDefault="00AC6C37" w:rsidP="003A3B14">
            <w:pPr>
              <w:rPr>
                <w:i/>
                <w:iCs/>
                <w:spacing w:val="-3"/>
                <w:lang w:val="es-ES"/>
              </w:rPr>
            </w:pPr>
          </w:p>
        </w:tc>
      </w:tr>
      <w:tr w:rsidR="00AC6C37" w:rsidRPr="00BB743D" w14:paraId="17E0F111" w14:textId="77777777" w:rsidTr="003A3B14">
        <w:tc>
          <w:tcPr>
            <w:tcW w:w="2171" w:type="dxa"/>
            <w:tcBorders>
              <w:top w:val="single" w:sz="4" w:space="0" w:color="auto"/>
              <w:bottom w:val="single" w:sz="4" w:space="0" w:color="auto"/>
            </w:tcBorders>
          </w:tcPr>
          <w:p w14:paraId="36F8A1A6" w14:textId="77777777" w:rsidR="00AC6C37" w:rsidRPr="00BB743D" w:rsidRDefault="00AC6C37" w:rsidP="003A3B14">
            <w:pPr>
              <w:rPr>
                <w:b/>
                <w:bCs/>
                <w:lang w:val="es-ES"/>
              </w:rPr>
            </w:pPr>
            <w:r w:rsidRPr="00BB743D">
              <w:rPr>
                <w:b/>
                <w:bCs/>
                <w:lang w:val="es-ES"/>
              </w:rPr>
              <w:t>IAO 5.4</w:t>
            </w:r>
          </w:p>
        </w:tc>
        <w:tc>
          <w:tcPr>
            <w:tcW w:w="7297" w:type="dxa"/>
          </w:tcPr>
          <w:p w14:paraId="7B5E1DBD" w14:textId="77777777" w:rsidR="00AC6C37" w:rsidRPr="00BB743D" w:rsidRDefault="00AC6C37" w:rsidP="003A3B14">
            <w:pPr>
              <w:rPr>
                <w:i/>
                <w:iCs/>
                <w:spacing w:val="-3"/>
                <w:lang w:val="es-ES"/>
              </w:rPr>
            </w:pPr>
            <w:r w:rsidRPr="00BB743D">
              <w:rPr>
                <w:spacing w:val="-3"/>
                <w:lang w:val="es-ES"/>
              </w:rPr>
              <w:t xml:space="preserve">Los requisitos para la calificación de las APCAs en la IAO 5.4 se modifican de la siguiente manera: </w:t>
            </w:r>
            <w:r w:rsidRPr="00BB743D">
              <w:rPr>
                <w:i/>
                <w:iCs/>
                <w:spacing w:val="-3"/>
                <w:lang w:val="es-ES"/>
              </w:rPr>
              <w:t>[indique lo que se agrega a la lista en la IAO 5.4 o se suprime de ella; de no aplicar ninguna de estas alternativas, indique “Ninguna”]</w:t>
            </w:r>
          </w:p>
          <w:p w14:paraId="64A7E3F4" w14:textId="77777777" w:rsidR="00AC6C37" w:rsidRPr="00BB743D" w:rsidRDefault="00AC6C37" w:rsidP="003A3B14">
            <w:pPr>
              <w:rPr>
                <w:spacing w:val="-3"/>
                <w:lang w:val="es-ES"/>
              </w:rPr>
            </w:pPr>
          </w:p>
        </w:tc>
      </w:tr>
      <w:tr w:rsidR="00AC6C37" w:rsidRPr="00BB743D" w14:paraId="7133DDDD" w14:textId="77777777" w:rsidTr="003A3B14">
        <w:tc>
          <w:tcPr>
            <w:tcW w:w="2171" w:type="dxa"/>
            <w:tcBorders>
              <w:top w:val="single" w:sz="4" w:space="0" w:color="auto"/>
              <w:bottom w:val="single" w:sz="4" w:space="0" w:color="auto"/>
            </w:tcBorders>
          </w:tcPr>
          <w:p w14:paraId="2B8CE275" w14:textId="77777777" w:rsidR="00AC6C37" w:rsidRPr="00BB743D" w:rsidRDefault="00AC6C37" w:rsidP="003A3B14">
            <w:pPr>
              <w:rPr>
                <w:b/>
                <w:bCs/>
                <w:lang w:val="es-ES"/>
              </w:rPr>
            </w:pPr>
            <w:r w:rsidRPr="00BB743D">
              <w:rPr>
                <w:b/>
                <w:bCs/>
                <w:lang w:val="es-ES"/>
              </w:rPr>
              <w:t>IAO 5.5</w:t>
            </w:r>
          </w:p>
        </w:tc>
        <w:tc>
          <w:tcPr>
            <w:tcW w:w="7297" w:type="dxa"/>
          </w:tcPr>
          <w:p w14:paraId="56D86EB4" w14:textId="77777777" w:rsidR="00AC6C37" w:rsidRPr="00BB743D" w:rsidRDefault="00AC6C37" w:rsidP="003A3B14">
            <w:pPr>
              <w:rPr>
                <w:i/>
                <w:iCs/>
                <w:spacing w:val="-3"/>
                <w:lang w:val="es-ES"/>
              </w:rPr>
            </w:pPr>
            <w:r w:rsidRPr="00BB743D">
              <w:rPr>
                <w:spacing w:val="-3"/>
                <w:lang w:val="es-ES"/>
              </w:rPr>
              <w:t xml:space="preserve">Los criterios para la calificación de los Oferentes en la IAO 5.5 se modifican de la siguiente manera: </w:t>
            </w:r>
            <w:r w:rsidRPr="00BB743D">
              <w:rPr>
                <w:i/>
                <w:iCs/>
                <w:spacing w:val="-3"/>
                <w:lang w:val="es-ES"/>
              </w:rPr>
              <w:t>[indique lo que se agrega a la lista en la IAO 5.5 o se suprime de ella; de lo contrario indicar “Ninguna”]</w:t>
            </w:r>
          </w:p>
          <w:p w14:paraId="481BE52D" w14:textId="77777777" w:rsidR="00AC6C37" w:rsidRPr="00BB743D" w:rsidRDefault="00AC6C37" w:rsidP="003A3B14">
            <w:pPr>
              <w:rPr>
                <w:spacing w:val="-3"/>
                <w:lang w:val="es-ES"/>
              </w:rPr>
            </w:pPr>
          </w:p>
        </w:tc>
      </w:tr>
      <w:tr w:rsidR="00AC6C37" w:rsidRPr="00BB743D" w14:paraId="5635D781" w14:textId="77777777" w:rsidTr="003A3B14">
        <w:tc>
          <w:tcPr>
            <w:tcW w:w="2171" w:type="dxa"/>
            <w:tcBorders>
              <w:top w:val="single" w:sz="4" w:space="0" w:color="auto"/>
              <w:bottom w:val="single" w:sz="4" w:space="0" w:color="auto"/>
            </w:tcBorders>
          </w:tcPr>
          <w:p w14:paraId="6DD3646A" w14:textId="77777777" w:rsidR="00AC6C37" w:rsidRPr="00BB743D" w:rsidRDefault="00AC6C37" w:rsidP="003A3B14">
            <w:pPr>
              <w:rPr>
                <w:b/>
                <w:bCs/>
                <w:lang w:val="es-ES"/>
              </w:rPr>
            </w:pPr>
            <w:r w:rsidRPr="00BB743D">
              <w:rPr>
                <w:b/>
                <w:bCs/>
                <w:lang w:val="es-ES"/>
              </w:rPr>
              <w:lastRenderedPageBreak/>
              <w:t>IAO 5.5(a)</w:t>
            </w:r>
          </w:p>
        </w:tc>
        <w:tc>
          <w:tcPr>
            <w:tcW w:w="7297" w:type="dxa"/>
          </w:tcPr>
          <w:p w14:paraId="61C01D88" w14:textId="77777777" w:rsidR="00AC6C37" w:rsidRPr="00BB743D" w:rsidRDefault="00AC6C37" w:rsidP="003A3B14">
            <w:pPr>
              <w:rPr>
                <w:i/>
                <w:iCs/>
                <w:spacing w:val="-3"/>
                <w:lang w:val="es-ES"/>
              </w:rPr>
            </w:pPr>
            <w:r w:rsidRPr="00BB743D">
              <w:rPr>
                <w:spacing w:val="-3"/>
                <w:lang w:val="es-ES"/>
              </w:rPr>
              <w:t xml:space="preserve">El múltiplo es: </w:t>
            </w:r>
            <w:r w:rsidRPr="00BB743D">
              <w:rPr>
                <w:i/>
                <w:iCs/>
                <w:spacing w:val="-3"/>
                <w:lang w:val="es-ES"/>
              </w:rPr>
              <w:t>[inserte el múltiplo; generalmente dos]</w:t>
            </w:r>
          </w:p>
          <w:p w14:paraId="2239E152" w14:textId="77777777" w:rsidR="00AC6C37" w:rsidRPr="00BB743D" w:rsidRDefault="00AC6C37" w:rsidP="003A3B14">
            <w:pPr>
              <w:rPr>
                <w:i/>
                <w:iCs/>
                <w:spacing w:val="-3"/>
                <w:lang w:val="es-ES"/>
              </w:rPr>
            </w:pPr>
          </w:p>
          <w:p w14:paraId="2185C462" w14:textId="77777777" w:rsidR="00AC6C37" w:rsidRPr="00BB743D" w:rsidRDefault="00AC6C37" w:rsidP="003A3B14">
            <w:pPr>
              <w:rPr>
                <w:i/>
                <w:iCs/>
                <w:spacing w:val="-3"/>
                <w:lang w:val="es-ES"/>
              </w:rPr>
            </w:pPr>
            <w:r w:rsidRPr="00BB743D">
              <w:rPr>
                <w:spacing w:val="-3"/>
                <w:lang w:val="es-ES"/>
              </w:rPr>
              <w:t xml:space="preserve">El período es: </w:t>
            </w:r>
            <w:r w:rsidRPr="00BB743D">
              <w:rPr>
                <w:i/>
                <w:iCs/>
                <w:spacing w:val="-3"/>
                <w:lang w:val="es-ES"/>
              </w:rPr>
              <w:t>[indique el número de días; generalmente 5 años)</w:t>
            </w:r>
          </w:p>
          <w:p w14:paraId="23CBA2EB" w14:textId="77777777" w:rsidR="00AC6C37" w:rsidRPr="00BB743D" w:rsidRDefault="00AC6C37" w:rsidP="003A3B14">
            <w:pPr>
              <w:rPr>
                <w:i/>
                <w:iCs/>
                <w:spacing w:val="-3"/>
                <w:lang w:val="es-ES"/>
              </w:rPr>
            </w:pPr>
          </w:p>
        </w:tc>
      </w:tr>
      <w:tr w:rsidR="00AC6C37" w:rsidRPr="00BB743D" w14:paraId="767ECDBC" w14:textId="77777777" w:rsidTr="003A3B14">
        <w:tc>
          <w:tcPr>
            <w:tcW w:w="2171" w:type="dxa"/>
            <w:tcBorders>
              <w:top w:val="single" w:sz="4" w:space="0" w:color="auto"/>
              <w:bottom w:val="single" w:sz="4" w:space="0" w:color="auto"/>
            </w:tcBorders>
          </w:tcPr>
          <w:p w14:paraId="6A994A4D" w14:textId="77777777" w:rsidR="00AC6C37" w:rsidRPr="00BB743D" w:rsidRDefault="00AC6C37" w:rsidP="003A3B14">
            <w:pPr>
              <w:rPr>
                <w:b/>
                <w:bCs/>
                <w:lang w:val="es-ES"/>
              </w:rPr>
            </w:pPr>
            <w:r w:rsidRPr="00BB743D">
              <w:rPr>
                <w:b/>
                <w:bCs/>
                <w:lang w:val="es-ES"/>
              </w:rPr>
              <w:t>IAO 5.5 (b)</w:t>
            </w:r>
          </w:p>
        </w:tc>
        <w:tc>
          <w:tcPr>
            <w:tcW w:w="7297" w:type="dxa"/>
          </w:tcPr>
          <w:p w14:paraId="15C44F08" w14:textId="77777777" w:rsidR="00AC6C37" w:rsidRPr="00BB743D" w:rsidRDefault="00AC6C37" w:rsidP="003A3B14">
            <w:pPr>
              <w:rPr>
                <w:i/>
                <w:iCs/>
                <w:spacing w:val="-3"/>
                <w:lang w:val="es-ES"/>
              </w:rPr>
            </w:pPr>
            <w:r w:rsidRPr="00BB743D">
              <w:rPr>
                <w:spacing w:val="-3"/>
                <w:lang w:val="es-ES"/>
              </w:rPr>
              <w:t xml:space="preserve">El número de Obras semejantes en naturaleza, monto y complejidad diseñadas es:  </w:t>
            </w:r>
            <w:r w:rsidRPr="00BB743D">
              <w:rPr>
                <w:i/>
                <w:iCs/>
                <w:spacing w:val="-3"/>
                <w:lang w:val="es-ES"/>
              </w:rPr>
              <w:t>[indique el número; generalmente dos en los últimos 5 años]</w:t>
            </w:r>
          </w:p>
          <w:p w14:paraId="27189E54" w14:textId="77777777" w:rsidR="00AC6C37" w:rsidRPr="00BB743D" w:rsidRDefault="00AC6C37" w:rsidP="003A3B14">
            <w:pPr>
              <w:rPr>
                <w:spacing w:val="-3"/>
                <w:lang w:val="es-ES"/>
              </w:rPr>
            </w:pPr>
          </w:p>
        </w:tc>
      </w:tr>
      <w:tr w:rsidR="00AC6C37" w:rsidRPr="00BB743D" w14:paraId="0DFA43FE" w14:textId="77777777" w:rsidTr="003A3B14">
        <w:tc>
          <w:tcPr>
            <w:tcW w:w="2171" w:type="dxa"/>
            <w:tcBorders>
              <w:top w:val="single" w:sz="4" w:space="0" w:color="auto"/>
              <w:bottom w:val="single" w:sz="4" w:space="0" w:color="auto"/>
            </w:tcBorders>
          </w:tcPr>
          <w:p w14:paraId="79A7A19A" w14:textId="77777777" w:rsidR="00AC6C37" w:rsidRPr="00BB743D" w:rsidRDefault="00AC6C37" w:rsidP="003A3B14">
            <w:pPr>
              <w:rPr>
                <w:b/>
                <w:bCs/>
                <w:lang w:val="es-ES"/>
              </w:rPr>
            </w:pPr>
            <w:r w:rsidRPr="00BB743D">
              <w:rPr>
                <w:b/>
                <w:bCs/>
                <w:lang w:val="es-ES"/>
              </w:rPr>
              <w:t>IAO 5.5 (c)</w:t>
            </w:r>
          </w:p>
        </w:tc>
        <w:tc>
          <w:tcPr>
            <w:tcW w:w="7297" w:type="dxa"/>
          </w:tcPr>
          <w:p w14:paraId="2EEF77F9" w14:textId="77777777" w:rsidR="00AC6C37" w:rsidRPr="00BB743D" w:rsidRDefault="00AC6C37" w:rsidP="003A3B14">
            <w:pPr>
              <w:rPr>
                <w:spacing w:val="-3"/>
                <w:lang w:val="es-ES"/>
              </w:rPr>
            </w:pPr>
          </w:p>
          <w:p w14:paraId="33DA5C02" w14:textId="77777777" w:rsidR="00AC6C37" w:rsidRPr="00BB743D" w:rsidRDefault="00AC6C37" w:rsidP="003A3B14">
            <w:pPr>
              <w:rPr>
                <w:i/>
                <w:iCs/>
                <w:spacing w:val="-3"/>
                <w:lang w:val="es-ES"/>
              </w:rPr>
            </w:pPr>
            <w:r w:rsidRPr="00BB743D">
              <w:rPr>
                <w:spacing w:val="-3"/>
                <w:lang w:val="es-ES"/>
              </w:rPr>
              <w:t xml:space="preserve">El número de obras es: </w:t>
            </w:r>
            <w:r w:rsidRPr="00BB743D">
              <w:rPr>
                <w:i/>
                <w:iCs/>
                <w:spacing w:val="-3"/>
                <w:lang w:val="es-ES"/>
              </w:rPr>
              <w:t>[indique el número; generalmente dos]</w:t>
            </w:r>
          </w:p>
          <w:p w14:paraId="5B087651" w14:textId="77777777" w:rsidR="00AC6C37" w:rsidRPr="00BB743D" w:rsidRDefault="00AC6C37" w:rsidP="003A3B14">
            <w:pPr>
              <w:rPr>
                <w:i/>
                <w:iCs/>
                <w:spacing w:val="-3"/>
                <w:lang w:val="es-ES"/>
              </w:rPr>
            </w:pPr>
          </w:p>
          <w:p w14:paraId="6EAFE71A" w14:textId="77777777" w:rsidR="00AC6C37" w:rsidRPr="00BB743D" w:rsidRDefault="00AC6C37" w:rsidP="003A3B14">
            <w:pPr>
              <w:rPr>
                <w:i/>
                <w:iCs/>
                <w:spacing w:val="-3"/>
                <w:lang w:val="es-ES"/>
              </w:rPr>
            </w:pPr>
            <w:r w:rsidRPr="00BB743D">
              <w:rPr>
                <w:spacing w:val="-3"/>
                <w:lang w:val="es-ES"/>
              </w:rPr>
              <w:t xml:space="preserve">El período es: </w:t>
            </w:r>
            <w:r w:rsidRPr="00BB743D">
              <w:rPr>
                <w:i/>
                <w:iCs/>
                <w:spacing w:val="-3"/>
                <w:lang w:val="es-ES"/>
              </w:rPr>
              <w:t>[indique el número de días; generalmente 5 años)</w:t>
            </w:r>
          </w:p>
          <w:p w14:paraId="6D41BCF0" w14:textId="77777777" w:rsidR="00AC6C37" w:rsidRPr="00BB743D" w:rsidRDefault="00AC6C37" w:rsidP="003A3B14">
            <w:pPr>
              <w:rPr>
                <w:spacing w:val="-3"/>
                <w:lang w:val="es-ES"/>
              </w:rPr>
            </w:pPr>
          </w:p>
        </w:tc>
      </w:tr>
      <w:tr w:rsidR="00AC6C37" w:rsidRPr="00BB743D" w14:paraId="71959A7E" w14:textId="77777777" w:rsidTr="003A3B14">
        <w:tc>
          <w:tcPr>
            <w:tcW w:w="2171" w:type="dxa"/>
            <w:tcBorders>
              <w:top w:val="single" w:sz="4" w:space="0" w:color="auto"/>
              <w:bottom w:val="single" w:sz="4" w:space="0" w:color="auto"/>
            </w:tcBorders>
          </w:tcPr>
          <w:p w14:paraId="550F240A" w14:textId="77777777" w:rsidR="00AC6C37" w:rsidRPr="00BB743D" w:rsidRDefault="00AC6C37" w:rsidP="003A3B14">
            <w:pPr>
              <w:rPr>
                <w:b/>
                <w:bCs/>
                <w:lang w:val="es-ES"/>
              </w:rPr>
            </w:pPr>
            <w:r w:rsidRPr="00BB743D">
              <w:rPr>
                <w:b/>
                <w:bCs/>
                <w:lang w:val="es-ES"/>
              </w:rPr>
              <w:t xml:space="preserve">IAO 5.5 (c) </w:t>
            </w:r>
          </w:p>
        </w:tc>
        <w:tc>
          <w:tcPr>
            <w:tcW w:w="7297" w:type="dxa"/>
          </w:tcPr>
          <w:p w14:paraId="40E67963" w14:textId="77777777" w:rsidR="00AC6C37" w:rsidRPr="00BB743D" w:rsidRDefault="00AC6C37" w:rsidP="003A3B14">
            <w:pPr>
              <w:rPr>
                <w:i/>
                <w:iCs/>
                <w:lang w:val="es-ES"/>
              </w:rPr>
            </w:pPr>
            <w:r w:rsidRPr="00BB743D">
              <w:rPr>
                <w:lang w:val="es-ES"/>
              </w:rPr>
              <w:t xml:space="preserve">El equipo esencial que deberá tener disponible el Oferente seleccionado para ejecutar el Contrato es: </w:t>
            </w:r>
            <w:r w:rsidRPr="00BB743D">
              <w:rPr>
                <w:i/>
                <w:iCs/>
                <w:lang w:val="es-ES"/>
              </w:rPr>
              <w:t>[liste el equipo]</w:t>
            </w:r>
          </w:p>
          <w:p w14:paraId="64CB9810" w14:textId="77777777" w:rsidR="00AC6C37" w:rsidRPr="00BB743D" w:rsidRDefault="00AC6C37" w:rsidP="003A3B14">
            <w:pPr>
              <w:rPr>
                <w:i/>
                <w:iCs/>
                <w:spacing w:val="-3"/>
                <w:lang w:val="es-ES"/>
              </w:rPr>
            </w:pPr>
          </w:p>
        </w:tc>
      </w:tr>
      <w:tr w:rsidR="00AC6C37" w:rsidRPr="00BB743D" w14:paraId="674CCB82" w14:textId="77777777" w:rsidTr="003A3B14">
        <w:tc>
          <w:tcPr>
            <w:tcW w:w="2171" w:type="dxa"/>
            <w:tcBorders>
              <w:top w:val="single" w:sz="4" w:space="0" w:color="auto"/>
              <w:bottom w:val="single" w:sz="4" w:space="0" w:color="auto"/>
            </w:tcBorders>
          </w:tcPr>
          <w:p w14:paraId="1354B735" w14:textId="77777777" w:rsidR="00AC6C37" w:rsidRPr="00BB743D" w:rsidRDefault="00AC6C37" w:rsidP="003A3B14">
            <w:pPr>
              <w:rPr>
                <w:b/>
                <w:bCs/>
                <w:lang w:val="es-ES"/>
              </w:rPr>
            </w:pPr>
            <w:r w:rsidRPr="00BB743D">
              <w:rPr>
                <w:b/>
                <w:bCs/>
                <w:lang w:val="es-ES"/>
              </w:rPr>
              <w:t>IAO 5.5 (e)</w:t>
            </w:r>
            <w:r w:rsidRPr="00BB743D">
              <w:rPr>
                <w:rStyle w:val="FootnoteReference"/>
                <w:b/>
                <w:bCs/>
                <w:lang w:val="es-ES"/>
              </w:rPr>
              <w:footnoteReference w:id="3"/>
            </w:r>
          </w:p>
        </w:tc>
        <w:tc>
          <w:tcPr>
            <w:tcW w:w="7297" w:type="dxa"/>
          </w:tcPr>
          <w:p w14:paraId="3405213B" w14:textId="77777777" w:rsidR="00AC6C37" w:rsidRPr="00BB743D" w:rsidRDefault="00AC6C37" w:rsidP="003A3B14">
            <w:pPr>
              <w:rPr>
                <w:i/>
                <w:lang w:val="es-ES"/>
              </w:rPr>
            </w:pPr>
            <w:r w:rsidRPr="00BB743D">
              <w:rPr>
                <w:lang w:val="es-ES"/>
              </w:rPr>
              <w:t xml:space="preserve">El monto mínimo de activos líquidos y/o de acceso a créditos libres de otros compromisos contractuales del Oferente seleccionado deberá ser de: </w:t>
            </w:r>
            <w:r w:rsidRPr="00BB743D">
              <w:rPr>
                <w:i/>
                <w:lang w:val="es-ES"/>
              </w:rPr>
              <w:t>[indicar la cifra], expresado en [indicar el nombre de la moneda de comercio internacional].</w:t>
            </w:r>
            <w:r w:rsidRPr="00BB743D">
              <w:rPr>
                <w:u w:val="single"/>
                <w:lang w:val="es-ES"/>
              </w:rPr>
              <w:t xml:space="preserve">                                                                                                  </w:t>
            </w:r>
            <w:r w:rsidRPr="00BB743D">
              <w:rPr>
                <w:lang w:val="es-ES"/>
              </w:rPr>
              <w:t xml:space="preserve"> </w:t>
            </w:r>
          </w:p>
          <w:p w14:paraId="43D89805" w14:textId="77777777" w:rsidR="00AC6C37" w:rsidRPr="00BB743D" w:rsidRDefault="00AC6C37" w:rsidP="003A3B14">
            <w:pPr>
              <w:rPr>
                <w:lang w:val="es-ES"/>
              </w:rPr>
            </w:pPr>
          </w:p>
        </w:tc>
      </w:tr>
      <w:tr w:rsidR="00AC6C37" w:rsidRPr="00BB743D" w14:paraId="7D7EE340" w14:textId="77777777" w:rsidTr="003A3B14">
        <w:tc>
          <w:tcPr>
            <w:tcW w:w="2171" w:type="dxa"/>
            <w:tcBorders>
              <w:top w:val="single" w:sz="4" w:space="0" w:color="auto"/>
              <w:bottom w:val="single" w:sz="4" w:space="0" w:color="auto"/>
            </w:tcBorders>
          </w:tcPr>
          <w:p w14:paraId="08283650" w14:textId="77777777" w:rsidR="00AC6C37" w:rsidRPr="00BB743D" w:rsidRDefault="00AC6C37" w:rsidP="003A3B14">
            <w:pPr>
              <w:rPr>
                <w:b/>
                <w:bCs/>
                <w:lang w:val="es-ES"/>
              </w:rPr>
            </w:pPr>
            <w:r w:rsidRPr="00BB743D">
              <w:rPr>
                <w:b/>
                <w:bCs/>
                <w:lang w:val="es-ES"/>
              </w:rPr>
              <w:t>IAO 5.6</w:t>
            </w:r>
          </w:p>
        </w:tc>
        <w:tc>
          <w:tcPr>
            <w:tcW w:w="7297" w:type="dxa"/>
          </w:tcPr>
          <w:p w14:paraId="09B846C0" w14:textId="77777777" w:rsidR="00AC6C37" w:rsidRPr="00BB743D" w:rsidRDefault="00AC6C37" w:rsidP="003A3B14">
            <w:pPr>
              <w:rPr>
                <w:lang w:val="es-ES"/>
              </w:rPr>
            </w:pPr>
            <w:r w:rsidRPr="00BB743D">
              <w:rPr>
                <w:i/>
                <w:iCs/>
                <w:lang w:val="es-ES"/>
              </w:rPr>
              <w:t>[Indique lo que corresponda: “Se tendrán” o “No se tendrán”]</w:t>
            </w:r>
            <w:r w:rsidRPr="00BB743D">
              <w:rPr>
                <w:lang w:val="es-ES"/>
              </w:rPr>
              <w:t xml:space="preserve"> en cuenta la experiencia y los recursos de los Subcontratistas </w:t>
            </w:r>
            <w:r w:rsidRPr="00BB743D">
              <w:rPr>
                <w:i/>
                <w:iCs/>
                <w:lang w:val="es-ES"/>
              </w:rPr>
              <w:t>indique</w:t>
            </w:r>
            <w:r w:rsidRPr="00BB743D">
              <w:rPr>
                <w:lang w:val="es-ES"/>
              </w:rPr>
              <w:t>.</w:t>
            </w:r>
          </w:p>
        </w:tc>
      </w:tr>
      <w:tr w:rsidR="00AC6C37" w:rsidRPr="00BB743D" w14:paraId="27313E63" w14:textId="77777777" w:rsidTr="003A3B14">
        <w:trPr>
          <w:cantSplit/>
        </w:trPr>
        <w:tc>
          <w:tcPr>
            <w:tcW w:w="9468" w:type="dxa"/>
            <w:gridSpan w:val="2"/>
            <w:tcBorders>
              <w:top w:val="single" w:sz="4" w:space="0" w:color="auto"/>
              <w:bottom w:val="single" w:sz="4" w:space="0" w:color="auto"/>
            </w:tcBorders>
          </w:tcPr>
          <w:p w14:paraId="07E1149A" w14:textId="77777777" w:rsidR="00AC6C37" w:rsidRPr="00BB743D" w:rsidRDefault="00AC6C37" w:rsidP="003A3B14">
            <w:pPr>
              <w:rPr>
                <w:lang w:val="es-ES"/>
              </w:rPr>
            </w:pPr>
          </w:p>
          <w:p w14:paraId="60DFFF48" w14:textId="77777777" w:rsidR="00AC6C37" w:rsidRPr="00BB743D" w:rsidRDefault="00AC6C37" w:rsidP="00BB743D">
            <w:pPr>
              <w:pStyle w:val="Heading4"/>
              <w:numPr>
                <w:ilvl w:val="0"/>
                <w:numId w:val="16"/>
              </w:numPr>
              <w:rPr>
                <w:lang w:val="es-ES"/>
              </w:rPr>
            </w:pPr>
            <w:r w:rsidRPr="00BB743D">
              <w:rPr>
                <w:lang w:val="es-ES"/>
              </w:rPr>
              <w:t>Documento de Licitación</w:t>
            </w:r>
          </w:p>
          <w:p w14:paraId="0C5154DC" w14:textId="77777777" w:rsidR="00AC6C37" w:rsidRPr="00BB743D" w:rsidRDefault="00AC6C37" w:rsidP="003A3B14">
            <w:pPr>
              <w:jc w:val="center"/>
              <w:rPr>
                <w:b/>
                <w:bCs/>
                <w:sz w:val="28"/>
                <w:lang w:val="es-ES"/>
              </w:rPr>
            </w:pPr>
          </w:p>
        </w:tc>
      </w:tr>
      <w:tr w:rsidR="00AC6C37" w:rsidRPr="00BB743D" w14:paraId="46F64CC5" w14:textId="77777777" w:rsidTr="003A3B14">
        <w:trPr>
          <w:cantSplit/>
        </w:trPr>
        <w:tc>
          <w:tcPr>
            <w:tcW w:w="2171" w:type="dxa"/>
            <w:tcBorders>
              <w:top w:val="single" w:sz="4" w:space="0" w:color="auto"/>
              <w:bottom w:val="single" w:sz="4" w:space="0" w:color="auto"/>
            </w:tcBorders>
          </w:tcPr>
          <w:p w14:paraId="273313DD" w14:textId="77777777" w:rsidR="00AC6C37" w:rsidRPr="00BB743D" w:rsidRDefault="00AC6C37" w:rsidP="003A3B14">
            <w:pPr>
              <w:rPr>
                <w:b/>
                <w:bCs/>
                <w:lang w:val="es-ES"/>
              </w:rPr>
            </w:pPr>
            <w:r w:rsidRPr="00BB743D">
              <w:rPr>
                <w:b/>
                <w:bCs/>
                <w:lang w:val="es-ES"/>
              </w:rPr>
              <w:t>IAO 10.1</w:t>
            </w:r>
          </w:p>
        </w:tc>
        <w:tc>
          <w:tcPr>
            <w:tcW w:w="7297" w:type="dxa"/>
            <w:tcBorders>
              <w:top w:val="single" w:sz="4" w:space="0" w:color="auto"/>
              <w:bottom w:val="single" w:sz="4" w:space="0" w:color="auto"/>
            </w:tcBorders>
          </w:tcPr>
          <w:p w14:paraId="6D8DCC17" w14:textId="77777777" w:rsidR="00AC6C37" w:rsidRPr="00BB743D" w:rsidRDefault="00AC6C37" w:rsidP="003A3B14">
            <w:pPr>
              <w:rPr>
                <w:i/>
                <w:iCs/>
                <w:lang w:val="es-ES"/>
              </w:rPr>
            </w:pPr>
            <w:r w:rsidRPr="00BB743D">
              <w:rPr>
                <w:lang w:val="es-ES"/>
              </w:rPr>
              <w:t xml:space="preserve">La dirección del Contratista para solicitar aclaraciones es: </w:t>
            </w:r>
            <w:r w:rsidRPr="00BB743D">
              <w:rPr>
                <w:i/>
                <w:iCs/>
                <w:lang w:val="es-ES"/>
              </w:rPr>
              <w:t>[indique la dirección]</w:t>
            </w:r>
          </w:p>
          <w:p w14:paraId="73DB8125" w14:textId="77777777" w:rsidR="00AC6C37" w:rsidRPr="00BB743D" w:rsidRDefault="00AC6C37" w:rsidP="003A3B14">
            <w:pPr>
              <w:rPr>
                <w:i/>
                <w:iCs/>
                <w:lang w:val="es-ES"/>
              </w:rPr>
            </w:pPr>
          </w:p>
        </w:tc>
      </w:tr>
      <w:tr w:rsidR="00AC6C37" w:rsidRPr="00BB743D" w14:paraId="74533B14" w14:textId="77777777" w:rsidTr="003A3B14">
        <w:trPr>
          <w:cantSplit/>
        </w:trPr>
        <w:tc>
          <w:tcPr>
            <w:tcW w:w="9468" w:type="dxa"/>
            <w:gridSpan w:val="2"/>
            <w:tcBorders>
              <w:top w:val="single" w:sz="4" w:space="0" w:color="auto"/>
              <w:bottom w:val="single" w:sz="4" w:space="0" w:color="auto"/>
            </w:tcBorders>
          </w:tcPr>
          <w:p w14:paraId="71EC03CB" w14:textId="77777777" w:rsidR="00AC6C37" w:rsidRPr="00BB743D" w:rsidRDefault="00AC6C37" w:rsidP="003A3B14">
            <w:pPr>
              <w:rPr>
                <w:lang w:val="es-ES"/>
              </w:rPr>
            </w:pPr>
          </w:p>
          <w:p w14:paraId="065A87F9" w14:textId="77777777" w:rsidR="00AC6C37" w:rsidRPr="00BB743D" w:rsidRDefault="00AC6C37" w:rsidP="003A3B14">
            <w:pPr>
              <w:pStyle w:val="Heading4"/>
              <w:rPr>
                <w:lang w:val="es-ES"/>
              </w:rPr>
            </w:pPr>
            <w:r w:rsidRPr="00BB743D">
              <w:rPr>
                <w:lang w:val="es-ES"/>
              </w:rPr>
              <w:t>C. Preparación de las Ofertas</w:t>
            </w:r>
          </w:p>
          <w:p w14:paraId="5A1F0D6F" w14:textId="77777777" w:rsidR="00AC6C37" w:rsidRPr="00BB743D" w:rsidRDefault="00AC6C37" w:rsidP="003A3B14">
            <w:pPr>
              <w:jc w:val="center"/>
              <w:rPr>
                <w:b/>
                <w:bCs/>
                <w:lang w:val="es-ES"/>
              </w:rPr>
            </w:pPr>
          </w:p>
        </w:tc>
      </w:tr>
      <w:tr w:rsidR="00AC6C37" w:rsidRPr="00BB743D" w14:paraId="36CF7C07" w14:textId="77777777" w:rsidTr="003A3B14">
        <w:tc>
          <w:tcPr>
            <w:tcW w:w="2171" w:type="dxa"/>
            <w:tcBorders>
              <w:top w:val="single" w:sz="4" w:space="0" w:color="auto"/>
              <w:bottom w:val="single" w:sz="4" w:space="0" w:color="auto"/>
            </w:tcBorders>
          </w:tcPr>
          <w:p w14:paraId="380E73B7" w14:textId="77777777" w:rsidR="00AC6C37" w:rsidRPr="00BB743D" w:rsidRDefault="00AC6C37" w:rsidP="003A3B14">
            <w:pPr>
              <w:rPr>
                <w:b/>
                <w:bCs/>
                <w:lang w:val="es-ES"/>
              </w:rPr>
            </w:pPr>
            <w:r w:rsidRPr="00BB743D">
              <w:rPr>
                <w:b/>
                <w:bCs/>
                <w:lang w:val="es-ES"/>
              </w:rPr>
              <w:t>IAO 12.1</w:t>
            </w:r>
          </w:p>
        </w:tc>
        <w:tc>
          <w:tcPr>
            <w:tcW w:w="7297" w:type="dxa"/>
            <w:tcBorders>
              <w:top w:val="single" w:sz="4" w:space="0" w:color="auto"/>
              <w:bottom w:val="single" w:sz="4" w:space="0" w:color="auto"/>
            </w:tcBorders>
          </w:tcPr>
          <w:p w14:paraId="1D79FA4A" w14:textId="77777777" w:rsidR="00AC6C37" w:rsidRPr="00BB743D" w:rsidRDefault="00AC6C37" w:rsidP="003A3B14">
            <w:pPr>
              <w:rPr>
                <w:i/>
                <w:iCs/>
                <w:sz w:val="22"/>
                <w:lang w:val="es-ES"/>
              </w:rPr>
            </w:pPr>
            <w:r w:rsidRPr="00BB743D">
              <w:rPr>
                <w:lang w:val="es-ES"/>
              </w:rPr>
              <w:t xml:space="preserve">El idioma en que deben estar redactadas las Ofertas es: </w:t>
            </w:r>
            <w:r w:rsidRPr="00BB743D">
              <w:rPr>
                <w:i/>
                <w:iCs/>
                <w:sz w:val="22"/>
                <w:lang w:val="es-ES"/>
              </w:rPr>
              <w:t xml:space="preserve">[indicar inglés, español, francés o portugués] </w:t>
            </w:r>
          </w:p>
          <w:p w14:paraId="6B83B54F" w14:textId="77777777" w:rsidR="00AC6C37" w:rsidRPr="00BB743D" w:rsidRDefault="00AC6C37" w:rsidP="003A3B14">
            <w:pPr>
              <w:rPr>
                <w:i/>
                <w:iCs/>
                <w:sz w:val="22"/>
                <w:lang w:val="es-ES"/>
              </w:rPr>
            </w:pPr>
          </w:p>
        </w:tc>
      </w:tr>
      <w:tr w:rsidR="00AC6C37" w:rsidRPr="00BB743D" w14:paraId="5FE09E39" w14:textId="77777777" w:rsidTr="003A3B14">
        <w:trPr>
          <w:cantSplit/>
        </w:trPr>
        <w:tc>
          <w:tcPr>
            <w:tcW w:w="2171" w:type="dxa"/>
            <w:tcBorders>
              <w:top w:val="single" w:sz="4" w:space="0" w:color="auto"/>
              <w:bottom w:val="single" w:sz="4" w:space="0" w:color="auto"/>
            </w:tcBorders>
          </w:tcPr>
          <w:p w14:paraId="50D5FAC6" w14:textId="77777777" w:rsidR="00AC6C37" w:rsidRPr="00BB743D" w:rsidRDefault="00AC6C37" w:rsidP="003A3B14">
            <w:pPr>
              <w:rPr>
                <w:b/>
                <w:bCs/>
                <w:lang w:val="es-ES"/>
              </w:rPr>
            </w:pPr>
            <w:r w:rsidRPr="00BB743D">
              <w:rPr>
                <w:b/>
                <w:bCs/>
                <w:lang w:val="es-ES"/>
              </w:rPr>
              <w:t>IAO 13.1</w:t>
            </w:r>
          </w:p>
        </w:tc>
        <w:tc>
          <w:tcPr>
            <w:tcW w:w="7297" w:type="dxa"/>
            <w:tcBorders>
              <w:top w:val="single" w:sz="4" w:space="0" w:color="auto"/>
              <w:bottom w:val="single" w:sz="4" w:space="0" w:color="auto"/>
            </w:tcBorders>
          </w:tcPr>
          <w:p w14:paraId="3C025CCA" w14:textId="77777777" w:rsidR="00AC6C37" w:rsidRPr="00BB743D" w:rsidRDefault="00AC6C37" w:rsidP="003A3B14">
            <w:pPr>
              <w:rPr>
                <w:i/>
                <w:iCs/>
                <w:lang w:val="es-ES"/>
              </w:rPr>
            </w:pPr>
            <w:r w:rsidRPr="00BB743D">
              <w:rPr>
                <w:lang w:val="es-ES"/>
              </w:rPr>
              <w:t xml:space="preserve">Los Oferentes deberán presentar los siguientes materiales adicionales con su Oferta: </w:t>
            </w:r>
            <w:r w:rsidRPr="00BB743D">
              <w:rPr>
                <w:i/>
                <w:iCs/>
                <w:lang w:val="es-ES"/>
              </w:rPr>
              <w:t>[indique la lista o indique “Ninguno”)</w:t>
            </w:r>
          </w:p>
          <w:p w14:paraId="41AE8993" w14:textId="77777777" w:rsidR="00AC6C37" w:rsidRPr="00BB743D" w:rsidRDefault="00AC6C37" w:rsidP="003A3B14">
            <w:pPr>
              <w:rPr>
                <w:i/>
                <w:iCs/>
                <w:lang w:val="es-ES"/>
              </w:rPr>
            </w:pPr>
          </w:p>
        </w:tc>
      </w:tr>
      <w:tr w:rsidR="00AC6C37" w:rsidRPr="00BB743D" w14:paraId="645F53C5" w14:textId="77777777" w:rsidTr="003A3B14">
        <w:trPr>
          <w:cantSplit/>
        </w:trPr>
        <w:tc>
          <w:tcPr>
            <w:tcW w:w="2171" w:type="dxa"/>
            <w:tcBorders>
              <w:top w:val="single" w:sz="4" w:space="0" w:color="auto"/>
              <w:bottom w:val="single" w:sz="4" w:space="0" w:color="auto"/>
            </w:tcBorders>
          </w:tcPr>
          <w:p w14:paraId="4722D808" w14:textId="77777777" w:rsidR="00AC6C37" w:rsidRPr="00BB743D" w:rsidRDefault="00AC6C37" w:rsidP="003A3B14">
            <w:pPr>
              <w:rPr>
                <w:b/>
                <w:bCs/>
                <w:lang w:val="es-ES"/>
              </w:rPr>
            </w:pPr>
            <w:r w:rsidRPr="00BB743D">
              <w:rPr>
                <w:b/>
                <w:bCs/>
                <w:lang w:val="es-ES"/>
              </w:rPr>
              <w:t>IAO 14.4</w:t>
            </w:r>
          </w:p>
        </w:tc>
        <w:tc>
          <w:tcPr>
            <w:tcW w:w="7297" w:type="dxa"/>
            <w:tcBorders>
              <w:top w:val="single" w:sz="4" w:space="0" w:color="auto"/>
              <w:bottom w:val="single" w:sz="4" w:space="0" w:color="auto"/>
            </w:tcBorders>
          </w:tcPr>
          <w:p w14:paraId="1EC69741" w14:textId="1B0C61A2" w:rsidR="00AC6C37" w:rsidRPr="00BB743D" w:rsidRDefault="00AC6C37" w:rsidP="003A3B14">
            <w:pPr>
              <w:rPr>
                <w:lang w:val="es-ES"/>
              </w:rPr>
            </w:pPr>
            <w:r w:rsidRPr="00BB743D">
              <w:rPr>
                <w:lang w:val="es-ES"/>
              </w:rPr>
              <w:t xml:space="preserve">Los precios </w:t>
            </w:r>
            <w:r w:rsidRPr="00BB743D">
              <w:rPr>
                <w:i/>
                <w:iCs/>
                <w:lang w:val="es-ES"/>
              </w:rPr>
              <w:t>[indique “estarán” o “no estarán”</w:t>
            </w:r>
            <w:r w:rsidR="00A42760" w:rsidRPr="00BB743D">
              <w:rPr>
                <w:i/>
                <w:iCs/>
                <w:lang w:val="es-ES"/>
              </w:rPr>
              <w:t xml:space="preserve">] </w:t>
            </w:r>
            <w:r w:rsidR="00A42760" w:rsidRPr="00BB743D">
              <w:rPr>
                <w:lang w:val="es-ES"/>
              </w:rPr>
              <w:t>sujetos</w:t>
            </w:r>
            <w:r w:rsidRPr="00BB743D">
              <w:rPr>
                <w:lang w:val="es-ES"/>
              </w:rPr>
              <w:t xml:space="preserve"> a ajustes de precio de conformidad con la cláusula 47 de las CGC.</w:t>
            </w:r>
          </w:p>
          <w:p w14:paraId="43A5651D" w14:textId="77777777" w:rsidR="00AC6C37" w:rsidRPr="00BB743D" w:rsidRDefault="00AC6C37" w:rsidP="003A3B14">
            <w:pPr>
              <w:rPr>
                <w:lang w:val="es-ES"/>
              </w:rPr>
            </w:pPr>
          </w:p>
          <w:p w14:paraId="3B24F4D5" w14:textId="77777777" w:rsidR="00AC6C37" w:rsidRPr="00BB743D" w:rsidRDefault="00AC6C37" w:rsidP="003A3B14">
            <w:pPr>
              <w:pStyle w:val="BodyText2"/>
              <w:rPr>
                <w:lang w:val="es-ES"/>
              </w:rPr>
            </w:pPr>
            <w:r w:rsidRPr="00BB743D">
              <w:rPr>
                <w:lang w:val="es-ES"/>
              </w:rPr>
              <w:t>[El ajuste de precios es obligatorio cuando el período de ejecución previsto de las obras excede 18 meses]</w:t>
            </w:r>
          </w:p>
          <w:p w14:paraId="13D16D6B" w14:textId="77777777" w:rsidR="00AC6C37" w:rsidRPr="00BB743D" w:rsidRDefault="00AC6C37" w:rsidP="003A3B14">
            <w:pPr>
              <w:rPr>
                <w:i/>
                <w:iCs/>
                <w:lang w:val="es-ES"/>
              </w:rPr>
            </w:pPr>
          </w:p>
        </w:tc>
      </w:tr>
      <w:tr w:rsidR="00AC6C37" w:rsidRPr="00BB743D" w14:paraId="11EE209D" w14:textId="77777777" w:rsidTr="003A3B14">
        <w:trPr>
          <w:cantSplit/>
        </w:trPr>
        <w:tc>
          <w:tcPr>
            <w:tcW w:w="2171" w:type="dxa"/>
            <w:tcBorders>
              <w:top w:val="single" w:sz="4" w:space="0" w:color="auto"/>
              <w:bottom w:val="single" w:sz="4" w:space="0" w:color="auto"/>
            </w:tcBorders>
          </w:tcPr>
          <w:p w14:paraId="381DABB8" w14:textId="77777777" w:rsidR="00AC6C37" w:rsidRPr="00BB743D" w:rsidRDefault="00AC6C37" w:rsidP="003A3B14">
            <w:pPr>
              <w:rPr>
                <w:b/>
                <w:bCs/>
                <w:lang w:val="es-ES"/>
              </w:rPr>
            </w:pPr>
            <w:r w:rsidRPr="00BB743D">
              <w:rPr>
                <w:b/>
                <w:bCs/>
                <w:lang w:val="es-ES"/>
              </w:rPr>
              <w:lastRenderedPageBreak/>
              <w:t>IAO 15.1</w:t>
            </w:r>
          </w:p>
        </w:tc>
        <w:tc>
          <w:tcPr>
            <w:tcW w:w="7297" w:type="dxa"/>
            <w:tcBorders>
              <w:top w:val="single" w:sz="4" w:space="0" w:color="auto"/>
              <w:bottom w:val="single" w:sz="4" w:space="0" w:color="auto"/>
            </w:tcBorders>
          </w:tcPr>
          <w:p w14:paraId="6551950C" w14:textId="77777777" w:rsidR="00AC6C37" w:rsidRPr="00BB743D" w:rsidRDefault="00AC6C37" w:rsidP="003A3B14">
            <w:pPr>
              <w:rPr>
                <w:i/>
                <w:iCs/>
                <w:sz w:val="22"/>
                <w:lang w:val="es-ES"/>
              </w:rPr>
            </w:pPr>
            <w:r w:rsidRPr="00BB743D">
              <w:rPr>
                <w:lang w:val="es-ES"/>
              </w:rPr>
              <w:t xml:space="preserve">La moneda del País del Contratante es </w:t>
            </w:r>
            <w:r w:rsidRPr="00BB743D">
              <w:rPr>
                <w:i/>
                <w:iCs/>
                <w:sz w:val="22"/>
                <w:lang w:val="es-ES"/>
              </w:rPr>
              <w:t>[nombre de la moneda]</w:t>
            </w:r>
          </w:p>
          <w:p w14:paraId="05CFDA16" w14:textId="77777777" w:rsidR="00AC6C37" w:rsidRPr="00BB743D" w:rsidRDefault="00AC6C37" w:rsidP="003A3B14">
            <w:pPr>
              <w:rPr>
                <w:i/>
                <w:iCs/>
                <w:sz w:val="22"/>
                <w:lang w:val="es-ES"/>
              </w:rPr>
            </w:pPr>
          </w:p>
        </w:tc>
      </w:tr>
      <w:tr w:rsidR="00AC6C37" w:rsidRPr="00BB743D" w14:paraId="7154AFA4" w14:textId="77777777" w:rsidTr="003A3B14">
        <w:trPr>
          <w:cantSplit/>
        </w:trPr>
        <w:tc>
          <w:tcPr>
            <w:tcW w:w="2171" w:type="dxa"/>
            <w:tcBorders>
              <w:top w:val="single" w:sz="4" w:space="0" w:color="auto"/>
              <w:bottom w:val="single" w:sz="4" w:space="0" w:color="auto"/>
            </w:tcBorders>
          </w:tcPr>
          <w:p w14:paraId="7765D75C" w14:textId="77777777" w:rsidR="00AC6C37" w:rsidRPr="00BB743D" w:rsidRDefault="00AC6C37" w:rsidP="003A3B14">
            <w:pPr>
              <w:rPr>
                <w:b/>
                <w:bCs/>
                <w:lang w:val="es-ES"/>
              </w:rPr>
            </w:pPr>
            <w:r w:rsidRPr="00BB743D">
              <w:rPr>
                <w:b/>
                <w:bCs/>
                <w:lang w:val="es-ES"/>
              </w:rPr>
              <w:t>IAO 15.2</w:t>
            </w:r>
          </w:p>
        </w:tc>
        <w:tc>
          <w:tcPr>
            <w:tcW w:w="7297" w:type="dxa"/>
            <w:tcBorders>
              <w:top w:val="single" w:sz="4" w:space="0" w:color="auto"/>
              <w:bottom w:val="single" w:sz="4" w:space="0" w:color="auto"/>
            </w:tcBorders>
          </w:tcPr>
          <w:p w14:paraId="1903EAB2" w14:textId="77777777" w:rsidR="00AC6C37" w:rsidRPr="00BB743D" w:rsidRDefault="00AC6C37" w:rsidP="003A3B14">
            <w:pPr>
              <w:rPr>
                <w:lang w:val="es-ES"/>
              </w:rPr>
            </w:pPr>
            <w:r w:rsidRPr="00BB743D">
              <w:rPr>
                <w:lang w:val="es-ES"/>
              </w:rPr>
              <w:t>La fuente designada para establecer las tasas de cambio será: [</w:t>
            </w:r>
            <w:r w:rsidRPr="00BB743D">
              <w:rPr>
                <w:i/>
                <w:iCs/>
                <w:lang w:val="es-ES"/>
              </w:rPr>
              <w:t>indicar el nombre</w:t>
            </w:r>
            <w:r w:rsidRPr="00BB743D">
              <w:rPr>
                <w:lang w:val="es-ES"/>
              </w:rPr>
              <w:t xml:space="preserve">] </w:t>
            </w:r>
          </w:p>
          <w:p w14:paraId="464F7552" w14:textId="77777777" w:rsidR="00AC6C37" w:rsidRPr="00BB743D" w:rsidRDefault="00AC6C37" w:rsidP="003A3B14">
            <w:pPr>
              <w:rPr>
                <w:lang w:val="es-ES"/>
              </w:rPr>
            </w:pPr>
          </w:p>
        </w:tc>
      </w:tr>
      <w:tr w:rsidR="00AC6C37" w:rsidRPr="00BB743D" w14:paraId="6DED9245" w14:textId="77777777" w:rsidTr="003A3B14">
        <w:trPr>
          <w:cantSplit/>
        </w:trPr>
        <w:tc>
          <w:tcPr>
            <w:tcW w:w="2171" w:type="dxa"/>
            <w:tcBorders>
              <w:top w:val="single" w:sz="4" w:space="0" w:color="auto"/>
              <w:bottom w:val="single" w:sz="4" w:space="0" w:color="auto"/>
            </w:tcBorders>
          </w:tcPr>
          <w:p w14:paraId="58E31326" w14:textId="77777777" w:rsidR="00AC6C37" w:rsidRPr="00BB743D" w:rsidRDefault="00AC6C37" w:rsidP="003A3B14">
            <w:pPr>
              <w:rPr>
                <w:b/>
                <w:bCs/>
                <w:lang w:val="es-ES"/>
              </w:rPr>
            </w:pPr>
            <w:r w:rsidRPr="00BB743D">
              <w:rPr>
                <w:b/>
                <w:bCs/>
                <w:lang w:val="es-ES"/>
              </w:rPr>
              <w:t>IAO 15.4</w:t>
            </w:r>
          </w:p>
        </w:tc>
        <w:tc>
          <w:tcPr>
            <w:tcW w:w="7297" w:type="dxa"/>
            <w:tcBorders>
              <w:top w:val="single" w:sz="4" w:space="0" w:color="auto"/>
              <w:bottom w:val="single" w:sz="4" w:space="0" w:color="auto"/>
            </w:tcBorders>
          </w:tcPr>
          <w:p w14:paraId="1A627A4A" w14:textId="34652259" w:rsidR="00AC6C37" w:rsidRPr="00BB743D" w:rsidRDefault="00AC6C37" w:rsidP="003A3B14">
            <w:pPr>
              <w:rPr>
                <w:lang w:val="es-ES"/>
              </w:rPr>
            </w:pPr>
            <w:r w:rsidRPr="00BB743D">
              <w:rPr>
                <w:lang w:val="es-ES"/>
              </w:rPr>
              <w:t xml:space="preserve">Los Oferentes </w:t>
            </w:r>
            <w:r w:rsidRPr="00BB743D">
              <w:rPr>
                <w:i/>
                <w:iCs/>
                <w:lang w:val="es-ES"/>
              </w:rPr>
              <w:t>[indicar “tendrán” o “no tendrán”]</w:t>
            </w:r>
            <w:r w:rsidRPr="00BB743D">
              <w:rPr>
                <w:lang w:val="es-ES"/>
              </w:rPr>
              <w:t xml:space="preserve"> que demostrar que sus necesidades en moneda extranjera incluidas </w:t>
            </w:r>
            <w:r w:rsidR="00E3478C" w:rsidRPr="00BB743D">
              <w:rPr>
                <w:lang w:val="es-ES"/>
              </w:rPr>
              <w:t>en los</w:t>
            </w:r>
            <w:r w:rsidRPr="00BB743D">
              <w:rPr>
                <w:lang w:val="es-ES"/>
              </w:rPr>
              <w:t xml:space="preserve"> precios unitarios son razonables y se ajustan a los requisitos de la IAO 15.1.</w:t>
            </w:r>
          </w:p>
          <w:p w14:paraId="4EFA286C" w14:textId="77777777" w:rsidR="00AC6C37" w:rsidRPr="00BB743D" w:rsidRDefault="00AC6C37" w:rsidP="003A3B14">
            <w:pPr>
              <w:rPr>
                <w:lang w:val="es-ES"/>
              </w:rPr>
            </w:pPr>
          </w:p>
        </w:tc>
      </w:tr>
      <w:tr w:rsidR="00AC6C37" w:rsidRPr="00BB743D" w14:paraId="2F20ADE5" w14:textId="77777777" w:rsidTr="003A3B14">
        <w:trPr>
          <w:cantSplit/>
        </w:trPr>
        <w:tc>
          <w:tcPr>
            <w:tcW w:w="2171" w:type="dxa"/>
            <w:tcBorders>
              <w:top w:val="single" w:sz="4" w:space="0" w:color="auto"/>
              <w:bottom w:val="single" w:sz="4" w:space="0" w:color="auto"/>
            </w:tcBorders>
          </w:tcPr>
          <w:p w14:paraId="4E115581" w14:textId="77777777" w:rsidR="00AC6C37" w:rsidRPr="00BB743D" w:rsidRDefault="00AC6C37" w:rsidP="003A3B14">
            <w:pPr>
              <w:rPr>
                <w:b/>
                <w:bCs/>
                <w:lang w:val="es-ES"/>
              </w:rPr>
            </w:pPr>
            <w:r w:rsidRPr="00BB743D">
              <w:rPr>
                <w:b/>
                <w:bCs/>
                <w:lang w:val="es-ES"/>
              </w:rPr>
              <w:t>IAO 16.1</w:t>
            </w:r>
          </w:p>
        </w:tc>
        <w:tc>
          <w:tcPr>
            <w:tcW w:w="7297" w:type="dxa"/>
            <w:tcBorders>
              <w:top w:val="single" w:sz="4" w:space="0" w:color="auto"/>
              <w:bottom w:val="single" w:sz="4" w:space="0" w:color="auto"/>
            </w:tcBorders>
          </w:tcPr>
          <w:p w14:paraId="0A0A1A32" w14:textId="77777777" w:rsidR="00AC6C37" w:rsidRPr="00BB743D" w:rsidRDefault="00AC6C37" w:rsidP="003A3B14">
            <w:pPr>
              <w:rPr>
                <w:i/>
                <w:iCs/>
                <w:lang w:val="es-ES"/>
              </w:rPr>
            </w:pPr>
            <w:r w:rsidRPr="00BB743D">
              <w:rPr>
                <w:lang w:val="es-ES"/>
              </w:rPr>
              <w:t xml:space="preserve">El período de validez de las Ofertas será de </w:t>
            </w:r>
            <w:r w:rsidRPr="00BB743D">
              <w:rPr>
                <w:i/>
                <w:iCs/>
                <w:lang w:val="es-ES"/>
              </w:rPr>
              <w:t>[indique el número de días]</w:t>
            </w:r>
          </w:p>
          <w:p w14:paraId="409BABF5" w14:textId="77777777" w:rsidR="00AC6C37" w:rsidRPr="00BB743D" w:rsidRDefault="00AC6C37" w:rsidP="003A3B14">
            <w:pPr>
              <w:rPr>
                <w:i/>
                <w:iCs/>
                <w:lang w:val="es-ES"/>
              </w:rPr>
            </w:pPr>
          </w:p>
        </w:tc>
      </w:tr>
      <w:tr w:rsidR="00AC6C37" w:rsidRPr="00BB743D" w14:paraId="76A05B86" w14:textId="77777777" w:rsidTr="003A3B14">
        <w:trPr>
          <w:cantSplit/>
        </w:trPr>
        <w:tc>
          <w:tcPr>
            <w:tcW w:w="2171" w:type="dxa"/>
            <w:tcBorders>
              <w:top w:val="single" w:sz="4" w:space="0" w:color="auto"/>
              <w:bottom w:val="single" w:sz="4" w:space="0" w:color="auto"/>
            </w:tcBorders>
          </w:tcPr>
          <w:p w14:paraId="13BC0682" w14:textId="77777777" w:rsidR="00AC6C37" w:rsidRPr="00BB743D" w:rsidRDefault="00AC6C37" w:rsidP="003A3B14">
            <w:pPr>
              <w:rPr>
                <w:b/>
                <w:bCs/>
                <w:lang w:val="es-ES"/>
              </w:rPr>
            </w:pPr>
            <w:r w:rsidRPr="00BB743D">
              <w:rPr>
                <w:b/>
                <w:bCs/>
                <w:lang w:val="es-ES"/>
              </w:rPr>
              <w:t>IAO 17.1</w:t>
            </w:r>
          </w:p>
        </w:tc>
        <w:tc>
          <w:tcPr>
            <w:tcW w:w="7297" w:type="dxa"/>
            <w:tcBorders>
              <w:top w:val="single" w:sz="4" w:space="0" w:color="auto"/>
              <w:bottom w:val="single" w:sz="4" w:space="0" w:color="auto"/>
            </w:tcBorders>
          </w:tcPr>
          <w:p w14:paraId="2F525450" w14:textId="77777777" w:rsidR="00AC6C37" w:rsidRPr="00BB743D" w:rsidRDefault="00AC6C37" w:rsidP="003A3B14">
            <w:pPr>
              <w:rPr>
                <w:i/>
                <w:iCs/>
                <w:sz w:val="22"/>
                <w:lang w:val="es-ES"/>
              </w:rPr>
            </w:pPr>
            <w:r w:rsidRPr="00BB743D">
              <w:rPr>
                <w:i/>
                <w:iCs/>
                <w:sz w:val="22"/>
                <w:lang w:val="es-ES"/>
              </w:rPr>
              <w:t>[Seleccione una de las siguientes opciones]</w:t>
            </w:r>
          </w:p>
          <w:p w14:paraId="0479458D" w14:textId="77777777" w:rsidR="00AC6C37" w:rsidRPr="00BB743D" w:rsidRDefault="00AC6C37" w:rsidP="003A3B14">
            <w:pPr>
              <w:rPr>
                <w:i/>
                <w:iCs/>
                <w:sz w:val="22"/>
                <w:lang w:val="es-ES"/>
              </w:rPr>
            </w:pPr>
          </w:p>
          <w:p w14:paraId="3B6DE673" w14:textId="77777777" w:rsidR="00AC6C37" w:rsidRPr="00BB743D" w:rsidRDefault="00AC6C37" w:rsidP="003A3B14">
            <w:pPr>
              <w:spacing w:before="120" w:after="120"/>
              <w:ind w:left="386" w:hanging="386"/>
              <w:rPr>
                <w:lang w:val="es-ES"/>
              </w:rPr>
            </w:pPr>
            <w:r w:rsidRPr="00BB743D">
              <w:rPr>
                <w:lang w:val="es-ES"/>
              </w:rPr>
              <w:t>-</w:t>
            </w:r>
            <w:r w:rsidRPr="00BB743D">
              <w:rPr>
                <w:lang w:val="es-ES"/>
              </w:rPr>
              <w:tab/>
              <w:t xml:space="preserve">No se requiere Garantía de Mantenimiento de la Oferta; </w:t>
            </w:r>
            <w:r w:rsidRPr="00BB743D">
              <w:rPr>
                <w:b/>
                <w:bCs/>
                <w:lang w:val="es-ES"/>
              </w:rPr>
              <w:t>o</w:t>
            </w:r>
          </w:p>
          <w:p w14:paraId="022E9469" w14:textId="77777777" w:rsidR="00AC6C37" w:rsidRPr="00BB743D" w:rsidRDefault="00AC6C37" w:rsidP="003A3B14">
            <w:pPr>
              <w:spacing w:before="120" w:after="120"/>
              <w:ind w:left="386" w:hanging="386"/>
              <w:rPr>
                <w:lang w:val="es-ES"/>
              </w:rPr>
            </w:pPr>
            <w:r w:rsidRPr="00BB743D">
              <w:rPr>
                <w:lang w:val="es-ES"/>
              </w:rPr>
              <w:t>-</w:t>
            </w:r>
            <w:r w:rsidRPr="00BB743D">
              <w:rPr>
                <w:lang w:val="es-ES"/>
              </w:rPr>
              <w:tab/>
              <w:t xml:space="preserve">La Oferta deberá incluir una Garantía de Mantenimiento emitida por un banco o una aseguradora utilizando el formulario para garantía de la Oferta (garantía bancaria o fianza) incluido en la Sección X “Formularios de Garantía”. La Garantía de la Oferta será por </w:t>
            </w:r>
            <w:r w:rsidRPr="00BB743D">
              <w:rPr>
                <w:i/>
                <w:iCs/>
                <w:lang w:val="es-ES"/>
              </w:rPr>
              <w:t>[indicar el monto en moneda nacional; deberá ser igual a la especificada en el Llamado a Licitación]</w:t>
            </w:r>
            <w:r w:rsidRPr="00BB743D">
              <w:rPr>
                <w:lang w:val="es-ES"/>
              </w:rPr>
              <w:t xml:space="preserve"> o el equivalente en una moneda de libre convertibilidad. </w:t>
            </w:r>
            <w:r w:rsidRPr="00BB743D">
              <w:rPr>
                <w:rFonts w:ascii="Times New Roman Bold" w:hAnsi="Times New Roman Bold"/>
                <w:b/>
                <w:bCs/>
                <w:i/>
                <w:u w:val="single"/>
                <w:lang w:val="es-ES"/>
              </w:rPr>
              <w:t>o bien</w:t>
            </w:r>
          </w:p>
          <w:p w14:paraId="50003053" w14:textId="77777777" w:rsidR="00AC6C37" w:rsidRPr="00BB743D" w:rsidRDefault="00AC6C37" w:rsidP="00BB743D">
            <w:pPr>
              <w:pStyle w:val="Outline"/>
              <w:numPr>
                <w:ilvl w:val="0"/>
                <w:numId w:val="17"/>
              </w:numPr>
              <w:tabs>
                <w:tab w:val="clear" w:pos="720"/>
              </w:tabs>
              <w:spacing w:before="0"/>
              <w:ind w:left="386" w:hanging="386"/>
              <w:rPr>
                <w:kern w:val="0"/>
                <w:szCs w:val="24"/>
                <w:lang w:val="es-ES"/>
              </w:rPr>
            </w:pPr>
            <w:r w:rsidRPr="00BB743D">
              <w:rPr>
                <w:kern w:val="0"/>
                <w:szCs w:val="24"/>
                <w:lang w:val="es-ES"/>
              </w:rPr>
              <w:t xml:space="preserve">La Oferta deberá incluir una “Declaración de </w:t>
            </w:r>
            <w:r w:rsidRPr="00BB743D">
              <w:rPr>
                <w:lang w:val="es-ES"/>
              </w:rPr>
              <w:t xml:space="preserve">Mantenimiento </w:t>
            </w:r>
            <w:r w:rsidRPr="00BB743D">
              <w:rPr>
                <w:kern w:val="0"/>
                <w:szCs w:val="24"/>
                <w:lang w:val="es-ES"/>
              </w:rPr>
              <w:t>de la Oferta” utilizando el formulario incluido en la Sección X.</w:t>
            </w:r>
          </w:p>
          <w:p w14:paraId="324AB221" w14:textId="77777777" w:rsidR="00AC6C37" w:rsidRPr="00BB743D" w:rsidRDefault="00AC6C37" w:rsidP="003A3B14">
            <w:pPr>
              <w:pStyle w:val="Outline"/>
              <w:spacing w:before="0"/>
              <w:ind w:left="360"/>
              <w:rPr>
                <w:kern w:val="0"/>
                <w:sz w:val="22"/>
                <w:szCs w:val="24"/>
                <w:lang w:val="es-ES"/>
              </w:rPr>
            </w:pPr>
          </w:p>
        </w:tc>
      </w:tr>
      <w:tr w:rsidR="00AC6C37" w:rsidRPr="00BB743D" w14:paraId="64FBF79C" w14:textId="77777777" w:rsidTr="003A3B14">
        <w:trPr>
          <w:cantSplit/>
        </w:trPr>
        <w:tc>
          <w:tcPr>
            <w:tcW w:w="2171" w:type="dxa"/>
            <w:tcBorders>
              <w:top w:val="single" w:sz="4" w:space="0" w:color="auto"/>
              <w:bottom w:val="single" w:sz="4" w:space="0" w:color="auto"/>
            </w:tcBorders>
          </w:tcPr>
          <w:p w14:paraId="00E42516" w14:textId="77777777" w:rsidR="00AC6C37" w:rsidRPr="00BB743D" w:rsidRDefault="00AC6C37" w:rsidP="003A3B14">
            <w:pPr>
              <w:rPr>
                <w:b/>
                <w:bCs/>
                <w:lang w:val="es-ES"/>
              </w:rPr>
            </w:pPr>
            <w:r w:rsidRPr="00BB743D">
              <w:rPr>
                <w:b/>
                <w:bCs/>
                <w:lang w:val="es-ES"/>
              </w:rPr>
              <w:t>IAO 17.2</w:t>
            </w:r>
          </w:p>
        </w:tc>
        <w:tc>
          <w:tcPr>
            <w:tcW w:w="7297" w:type="dxa"/>
            <w:tcBorders>
              <w:top w:val="single" w:sz="4" w:space="0" w:color="auto"/>
              <w:bottom w:val="single" w:sz="4" w:space="0" w:color="auto"/>
            </w:tcBorders>
          </w:tcPr>
          <w:p w14:paraId="4B6F64C7" w14:textId="0343DFA2" w:rsidR="00AC6C37" w:rsidRPr="00BB743D" w:rsidRDefault="00AC6C37" w:rsidP="003A3B14">
            <w:pPr>
              <w:rPr>
                <w:i/>
                <w:iCs/>
                <w:sz w:val="22"/>
                <w:lang w:val="es-ES"/>
              </w:rPr>
            </w:pPr>
            <w:r w:rsidRPr="00BB743D">
              <w:rPr>
                <w:sz w:val="22"/>
                <w:lang w:val="es-ES"/>
              </w:rPr>
              <w:t>El monto de la Garantía de la Oferta es:</w:t>
            </w:r>
            <w:r w:rsidRPr="00BB743D">
              <w:rPr>
                <w:i/>
                <w:iCs/>
                <w:sz w:val="22"/>
                <w:lang w:val="es-ES"/>
              </w:rPr>
              <w:t xml:space="preserve"> [indique el monto. No deberá exceder el 3 por ciento del valor estimado de las Obras. Por razones de confidencialidad preferiblemente se deberá </w:t>
            </w:r>
            <w:r w:rsidR="00E3478C" w:rsidRPr="00BB743D">
              <w:rPr>
                <w:i/>
                <w:iCs/>
                <w:sz w:val="22"/>
                <w:lang w:val="es-ES"/>
              </w:rPr>
              <w:t>indicar una</w:t>
            </w:r>
            <w:r w:rsidRPr="00BB743D">
              <w:rPr>
                <w:i/>
                <w:iCs/>
                <w:sz w:val="22"/>
                <w:lang w:val="es-ES"/>
              </w:rPr>
              <w:t xml:space="preserve"> suma fija en lugar de un porcentaje del precio de la Oferta]</w:t>
            </w:r>
          </w:p>
          <w:p w14:paraId="0B7A1172" w14:textId="77777777" w:rsidR="00AC6C37" w:rsidRPr="00BB743D" w:rsidRDefault="00AC6C37" w:rsidP="003A3B14">
            <w:pPr>
              <w:rPr>
                <w:i/>
                <w:iCs/>
                <w:sz w:val="22"/>
                <w:lang w:val="es-ES"/>
              </w:rPr>
            </w:pPr>
            <w:r w:rsidRPr="00BB743D">
              <w:rPr>
                <w:i/>
                <w:iCs/>
                <w:sz w:val="22"/>
                <w:lang w:val="es-ES"/>
              </w:rPr>
              <w:t xml:space="preserve">. </w:t>
            </w:r>
          </w:p>
        </w:tc>
      </w:tr>
      <w:tr w:rsidR="00AC6C37" w:rsidRPr="00BB743D" w14:paraId="2CCEF8F5" w14:textId="77777777" w:rsidTr="003A3B14">
        <w:trPr>
          <w:cantSplit/>
        </w:trPr>
        <w:tc>
          <w:tcPr>
            <w:tcW w:w="2171" w:type="dxa"/>
            <w:tcBorders>
              <w:top w:val="single" w:sz="4" w:space="0" w:color="auto"/>
              <w:bottom w:val="single" w:sz="4" w:space="0" w:color="auto"/>
            </w:tcBorders>
          </w:tcPr>
          <w:p w14:paraId="31571A87" w14:textId="77777777" w:rsidR="00AC6C37" w:rsidRPr="00BB743D" w:rsidRDefault="00AC6C37" w:rsidP="003A3B14">
            <w:pPr>
              <w:rPr>
                <w:b/>
                <w:bCs/>
                <w:lang w:val="es-ES"/>
              </w:rPr>
            </w:pPr>
            <w:r w:rsidRPr="00BB743D">
              <w:rPr>
                <w:b/>
                <w:bCs/>
                <w:lang w:val="es-ES"/>
              </w:rPr>
              <w:t>IAO 18.1</w:t>
            </w:r>
          </w:p>
        </w:tc>
        <w:tc>
          <w:tcPr>
            <w:tcW w:w="7297" w:type="dxa"/>
            <w:tcBorders>
              <w:top w:val="single" w:sz="4" w:space="0" w:color="auto"/>
              <w:bottom w:val="single" w:sz="4" w:space="0" w:color="auto"/>
            </w:tcBorders>
          </w:tcPr>
          <w:p w14:paraId="75A1745F" w14:textId="77777777" w:rsidR="00AC6C37" w:rsidRPr="00BB743D" w:rsidRDefault="00AC6C37" w:rsidP="003A3B14">
            <w:pPr>
              <w:rPr>
                <w:lang w:val="es-ES"/>
              </w:rPr>
            </w:pPr>
            <w:r w:rsidRPr="00BB743D">
              <w:rPr>
                <w:lang w:val="es-ES"/>
              </w:rPr>
              <w:t>[</w:t>
            </w:r>
            <w:r w:rsidRPr="00BB743D">
              <w:rPr>
                <w:i/>
                <w:iCs/>
                <w:lang w:val="es-ES"/>
              </w:rPr>
              <w:t>Seleccione lo que corresponda: “Se considerarán” o “No se considerarán”]</w:t>
            </w:r>
            <w:r w:rsidRPr="00BB743D">
              <w:rPr>
                <w:lang w:val="es-ES"/>
              </w:rPr>
              <w:t xml:space="preserve"> Ofertas alternativas.</w:t>
            </w:r>
          </w:p>
          <w:p w14:paraId="4DFA5DB7" w14:textId="77777777" w:rsidR="00AC6C37" w:rsidRPr="00BB743D" w:rsidRDefault="00AC6C37" w:rsidP="003A3B14">
            <w:pPr>
              <w:rPr>
                <w:lang w:val="es-ES"/>
              </w:rPr>
            </w:pPr>
          </w:p>
          <w:p w14:paraId="18EA2367" w14:textId="77777777" w:rsidR="00AC6C37" w:rsidRPr="00BB743D" w:rsidRDefault="00AC6C37" w:rsidP="003A3B14">
            <w:pPr>
              <w:rPr>
                <w:i/>
                <w:iCs/>
                <w:lang w:val="es-ES"/>
              </w:rPr>
            </w:pPr>
            <w:r w:rsidRPr="00BB743D">
              <w:rPr>
                <w:lang w:val="es-ES"/>
              </w:rPr>
              <w:t>[</w:t>
            </w:r>
            <w:r w:rsidRPr="00BB743D">
              <w:rPr>
                <w:i/>
                <w:iCs/>
                <w:lang w:val="es-ES"/>
              </w:rPr>
              <w:t>Si se consideran Ofertas alternativas, indique: “El Contratante considerará la (indicar “Opción Uno” u “Opción Dos”)]</w:t>
            </w:r>
          </w:p>
          <w:p w14:paraId="695CEBCD" w14:textId="77777777" w:rsidR="00AC6C37" w:rsidRPr="00BB743D" w:rsidRDefault="00AC6C37" w:rsidP="003A3B14">
            <w:pPr>
              <w:rPr>
                <w:sz w:val="22"/>
                <w:lang w:val="es-ES"/>
              </w:rPr>
            </w:pPr>
          </w:p>
        </w:tc>
      </w:tr>
      <w:tr w:rsidR="00AC6C37" w:rsidRPr="00BB743D" w14:paraId="6E7450A5" w14:textId="77777777" w:rsidTr="003A3B14">
        <w:trPr>
          <w:cantSplit/>
        </w:trPr>
        <w:tc>
          <w:tcPr>
            <w:tcW w:w="2171" w:type="dxa"/>
            <w:tcBorders>
              <w:top w:val="single" w:sz="4" w:space="0" w:color="auto"/>
              <w:bottom w:val="single" w:sz="4" w:space="0" w:color="auto"/>
            </w:tcBorders>
          </w:tcPr>
          <w:p w14:paraId="1B318E8C" w14:textId="77777777" w:rsidR="00AC6C37" w:rsidRPr="00BB743D" w:rsidRDefault="00AC6C37" w:rsidP="003A3B14">
            <w:pPr>
              <w:rPr>
                <w:b/>
                <w:bCs/>
                <w:lang w:val="es-ES"/>
              </w:rPr>
            </w:pPr>
            <w:r w:rsidRPr="00BB743D">
              <w:rPr>
                <w:b/>
                <w:bCs/>
                <w:lang w:val="es-ES"/>
              </w:rPr>
              <w:t>IAO 19.1</w:t>
            </w:r>
          </w:p>
        </w:tc>
        <w:tc>
          <w:tcPr>
            <w:tcW w:w="7297" w:type="dxa"/>
            <w:tcBorders>
              <w:top w:val="single" w:sz="4" w:space="0" w:color="auto"/>
              <w:bottom w:val="single" w:sz="4" w:space="0" w:color="auto"/>
            </w:tcBorders>
          </w:tcPr>
          <w:p w14:paraId="57364588" w14:textId="4452BFEB" w:rsidR="00AC6C37" w:rsidRPr="00BB743D" w:rsidRDefault="00AC6C37" w:rsidP="003A3B14">
            <w:pPr>
              <w:rPr>
                <w:i/>
                <w:iCs/>
                <w:lang w:val="es-ES"/>
              </w:rPr>
            </w:pPr>
            <w:r w:rsidRPr="00BB743D">
              <w:rPr>
                <w:lang w:val="es-ES"/>
              </w:rPr>
              <w:t xml:space="preserve">El número de copias de la Oferta que los Oferentes </w:t>
            </w:r>
            <w:r w:rsidR="00EC1D5E" w:rsidRPr="00BB743D">
              <w:rPr>
                <w:lang w:val="es-ES"/>
              </w:rPr>
              <w:t>deberán presentar</w:t>
            </w:r>
            <w:r w:rsidRPr="00BB743D">
              <w:rPr>
                <w:lang w:val="es-ES"/>
              </w:rPr>
              <w:t xml:space="preserve"> es </w:t>
            </w:r>
            <w:r w:rsidRPr="00BB743D">
              <w:rPr>
                <w:i/>
                <w:iCs/>
                <w:lang w:val="es-ES"/>
              </w:rPr>
              <w:t>[indique el número de copias]</w:t>
            </w:r>
          </w:p>
          <w:p w14:paraId="581666D8" w14:textId="77777777" w:rsidR="00AC6C37" w:rsidRPr="00BB743D" w:rsidRDefault="00AC6C37" w:rsidP="003A3B14">
            <w:pPr>
              <w:rPr>
                <w:i/>
                <w:iCs/>
                <w:lang w:val="es-ES"/>
              </w:rPr>
            </w:pPr>
          </w:p>
        </w:tc>
      </w:tr>
    </w:tbl>
    <w:p w14:paraId="06C30C32" w14:textId="77777777" w:rsidR="00AC6C37" w:rsidRPr="00BB743D" w:rsidRDefault="00AC6C37" w:rsidP="00AC6C37">
      <w:pPr>
        <w:rPr>
          <w:bCs/>
          <w:szCs w:val="24"/>
          <w:lang w:val="es-ES"/>
        </w:rPr>
      </w:pPr>
    </w:p>
    <w:p w14:paraId="01A276FD" w14:textId="77777777" w:rsidR="00AC6C37" w:rsidRPr="00BB743D" w:rsidRDefault="00AC6C37">
      <w:pPr>
        <w:jc w:val="left"/>
        <w:rPr>
          <w:b/>
          <w:sz w:val="40"/>
          <w:lang w:val="es-ES"/>
        </w:rPr>
      </w:pPr>
      <w:r w:rsidRPr="00BB743D">
        <w:rPr>
          <w:lang w:val="es-ES"/>
        </w:rPr>
        <w:br w:type="page"/>
      </w:r>
    </w:p>
    <w:p w14:paraId="6675CF52" w14:textId="0A780D77" w:rsidR="001A2C55" w:rsidRPr="00BB743D" w:rsidRDefault="009138BD" w:rsidP="00BB743D">
      <w:pPr>
        <w:pStyle w:val="Heading2"/>
        <w:numPr>
          <w:ilvl w:val="0"/>
          <w:numId w:val="10"/>
        </w:numPr>
      </w:pPr>
      <w:bookmarkStart w:id="11" w:name="_Toc503248444"/>
      <w:r w:rsidRPr="00BB743D">
        <w:lastRenderedPageBreak/>
        <w:t xml:space="preserve">Sección </w:t>
      </w:r>
      <w:r w:rsidR="00586AA3" w:rsidRPr="00BB743D">
        <w:t>III</w:t>
      </w:r>
      <w:r w:rsidRPr="00BB743D">
        <w:t xml:space="preserve">. </w:t>
      </w:r>
      <w:r w:rsidR="001A2C55" w:rsidRPr="00BB743D">
        <w:t>Países Elegibles</w:t>
      </w:r>
      <w:bookmarkEnd w:id="11"/>
    </w:p>
    <w:p w14:paraId="509F7AF8" w14:textId="77777777" w:rsidR="001A2C55" w:rsidRPr="00BB743D" w:rsidRDefault="001A2C55" w:rsidP="00E3478C">
      <w:pPr>
        <w:ind w:left="426" w:hanging="426"/>
        <w:rPr>
          <w:lang w:val="es-ES"/>
        </w:rPr>
      </w:pPr>
    </w:p>
    <w:p w14:paraId="113D5CE7" w14:textId="5BB1D77B" w:rsidR="001A2C55" w:rsidRPr="00BB743D" w:rsidRDefault="001A2C55" w:rsidP="00BB743D">
      <w:pPr>
        <w:numPr>
          <w:ilvl w:val="0"/>
          <w:numId w:val="12"/>
        </w:numPr>
        <w:ind w:left="426" w:hanging="426"/>
        <w:rPr>
          <w:lang w:val="es-ES"/>
        </w:rPr>
      </w:pPr>
      <w:r w:rsidRPr="00BB743D">
        <w:rPr>
          <w:lang w:val="es-ES"/>
        </w:rPr>
        <w:t xml:space="preserve">Esta Sección no se debe modificar y en ella se precisan las nacionalidades y territorios que son elegibles para la fuente de financiamiento del Banco o administrada por </w:t>
      </w:r>
      <w:r w:rsidR="00821D7A" w:rsidRPr="00BB743D">
        <w:rPr>
          <w:lang w:val="es-ES"/>
        </w:rPr>
        <w:t>el Banco</w:t>
      </w:r>
      <w:r w:rsidRPr="00BB743D">
        <w:rPr>
          <w:lang w:val="es-ES"/>
        </w:rPr>
        <w:t>.  El Banco modificará esta Sección c</w:t>
      </w:r>
      <w:r w:rsidR="00F16FBE" w:rsidRPr="00BB743D">
        <w:rPr>
          <w:lang w:val="es-ES"/>
        </w:rPr>
        <w:t>uando</w:t>
      </w:r>
      <w:r w:rsidRPr="00BB743D">
        <w:rPr>
          <w:lang w:val="es-ES"/>
        </w:rPr>
        <w:t xml:space="preserve"> corresponda</w:t>
      </w:r>
      <w:r w:rsidR="00F16FBE" w:rsidRPr="00BB743D">
        <w:rPr>
          <w:lang w:val="es-ES"/>
        </w:rPr>
        <w:t xml:space="preserve"> y la mantendrá actualizada</w:t>
      </w:r>
      <w:r w:rsidRPr="00BB743D">
        <w:rPr>
          <w:lang w:val="es-ES"/>
        </w:rPr>
        <w:t>.</w:t>
      </w:r>
    </w:p>
    <w:p w14:paraId="7A21D777" w14:textId="77777777" w:rsidR="001A2C55" w:rsidRPr="00BB743D" w:rsidRDefault="001A2C55" w:rsidP="00E3478C">
      <w:pPr>
        <w:ind w:left="426" w:hanging="426"/>
        <w:rPr>
          <w:lang w:val="es-ES"/>
        </w:rPr>
      </w:pPr>
    </w:p>
    <w:p w14:paraId="6FCB0D18" w14:textId="77777777" w:rsidR="00DD3811" w:rsidRPr="00BB743D" w:rsidRDefault="001A2C55" w:rsidP="00BB743D">
      <w:pPr>
        <w:numPr>
          <w:ilvl w:val="0"/>
          <w:numId w:val="12"/>
        </w:numPr>
        <w:ind w:left="426" w:hanging="426"/>
        <w:rPr>
          <w:lang w:val="es-ES"/>
        </w:rPr>
      </w:pPr>
      <w:r w:rsidRPr="00BB743D">
        <w:rPr>
          <w:lang w:val="es-ES"/>
        </w:rPr>
        <w:t xml:space="preserve">A diferencia de otros documentos estándar del Banco, en este documento la Sección de Países Elegibles se coloca </w:t>
      </w:r>
      <w:r w:rsidR="00F16FBE" w:rsidRPr="00BB743D">
        <w:rPr>
          <w:lang w:val="es-ES"/>
        </w:rPr>
        <w:t xml:space="preserve">como </w:t>
      </w:r>
      <w:r w:rsidRPr="00BB743D">
        <w:rPr>
          <w:lang w:val="es-ES"/>
        </w:rPr>
        <w:t xml:space="preserve">Sección IV y no en la Sección VI del Documento de Licitación a efecto de acomodar grupos de secciones en Volúmenes del Documento. </w:t>
      </w:r>
    </w:p>
    <w:p w14:paraId="45BCDFDD" w14:textId="77777777" w:rsidR="00DD3811" w:rsidRPr="00BB743D" w:rsidRDefault="00DD3811" w:rsidP="00E3478C">
      <w:pPr>
        <w:ind w:left="426" w:hanging="426"/>
        <w:rPr>
          <w:lang w:val="es-ES"/>
        </w:rPr>
      </w:pPr>
    </w:p>
    <w:p w14:paraId="7F53F05B" w14:textId="3F78E67E" w:rsidR="001A2C55" w:rsidRPr="00BB743D" w:rsidRDefault="00F16FBE" w:rsidP="00BB743D">
      <w:pPr>
        <w:numPr>
          <w:ilvl w:val="0"/>
          <w:numId w:val="12"/>
        </w:numPr>
        <w:ind w:left="426" w:hanging="426"/>
        <w:rPr>
          <w:lang w:val="es-ES"/>
        </w:rPr>
      </w:pPr>
      <w:r w:rsidRPr="00BB743D">
        <w:rPr>
          <w:lang w:val="es-ES"/>
        </w:rPr>
        <w:t xml:space="preserve">En ocasiones, </w:t>
      </w:r>
      <w:r w:rsidR="001A2C55" w:rsidRPr="00BB743D">
        <w:rPr>
          <w:lang w:val="es-ES"/>
        </w:rPr>
        <w:t xml:space="preserve">el tamaño de las Especificaciones Técnicas, o los </w:t>
      </w:r>
      <w:r w:rsidR="00D87AE6" w:rsidRPr="00BB743D">
        <w:rPr>
          <w:lang w:val="es-ES"/>
        </w:rPr>
        <w:t>Requisitos del Contratante</w:t>
      </w:r>
      <w:r w:rsidR="001A2C55" w:rsidRPr="00BB743D">
        <w:rPr>
          <w:lang w:val="es-ES"/>
        </w:rPr>
        <w:t xml:space="preserve"> o los Formularios de Licitación son </w:t>
      </w:r>
      <w:r w:rsidRPr="00BB743D">
        <w:rPr>
          <w:lang w:val="es-ES"/>
        </w:rPr>
        <w:t>muy extensos</w:t>
      </w:r>
      <w:r w:rsidR="001A2C55" w:rsidRPr="00BB743D">
        <w:rPr>
          <w:lang w:val="es-ES"/>
        </w:rPr>
        <w:t xml:space="preserve"> y los Contratantes deben dividir el documento en partes o Volúmenes</w:t>
      </w:r>
      <w:r w:rsidRPr="00BB743D">
        <w:rPr>
          <w:lang w:val="es-ES"/>
        </w:rPr>
        <w:t xml:space="preserve"> para acomodar el contenido</w:t>
      </w:r>
      <w:r w:rsidR="001A2C55" w:rsidRPr="00BB743D">
        <w:rPr>
          <w:lang w:val="es-ES"/>
        </w:rPr>
        <w:t xml:space="preserve">. </w:t>
      </w:r>
      <w:r w:rsidRPr="00BB743D">
        <w:rPr>
          <w:lang w:val="es-ES"/>
        </w:rPr>
        <w:t xml:space="preserve"> </w:t>
      </w:r>
      <w:r w:rsidR="001A2C55" w:rsidRPr="00BB743D">
        <w:rPr>
          <w:lang w:val="es-ES"/>
        </w:rPr>
        <w:t xml:space="preserve">Reubicar la Sección de Países Elegibles cerca de las IAO, DDL y Criterios de Evaluación y Calificación permite separar </w:t>
      </w:r>
      <w:r w:rsidR="00DD3811" w:rsidRPr="00BB743D">
        <w:rPr>
          <w:lang w:val="es-ES"/>
        </w:rPr>
        <w:t xml:space="preserve">en forma más balanceada o </w:t>
      </w:r>
      <w:r w:rsidR="001A2C55" w:rsidRPr="00BB743D">
        <w:rPr>
          <w:lang w:val="es-ES"/>
        </w:rPr>
        <w:t xml:space="preserve">mejor los </w:t>
      </w:r>
      <w:r w:rsidR="00DD3811" w:rsidRPr="00BB743D">
        <w:rPr>
          <w:lang w:val="es-ES"/>
        </w:rPr>
        <w:t xml:space="preserve">distintos </w:t>
      </w:r>
      <w:r w:rsidR="001A2C55" w:rsidRPr="00BB743D">
        <w:rPr>
          <w:lang w:val="es-ES"/>
        </w:rPr>
        <w:t>volúmenes.</w:t>
      </w:r>
    </w:p>
    <w:p w14:paraId="5238C446" w14:textId="77777777" w:rsidR="001A2C55" w:rsidRPr="00BB743D" w:rsidRDefault="001A2C55" w:rsidP="001A2C55">
      <w:pPr>
        <w:rPr>
          <w:lang w:val="es-ES"/>
        </w:rPr>
      </w:pPr>
    </w:p>
    <w:p w14:paraId="66CE9CF3" w14:textId="77777777" w:rsidR="001A2C55" w:rsidRPr="00BB743D" w:rsidRDefault="001A2C55" w:rsidP="001A2C55">
      <w:pPr>
        <w:rPr>
          <w:lang w:val="es-ES"/>
        </w:rPr>
      </w:pPr>
    </w:p>
    <w:p w14:paraId="1F680938" w14:textId="22AA1720" w:rsidR="00183218" w:rsidRPr="00BB743D" w:rsidRDefault="001A2C55" w:rsidP="00BB743D">
      <w:pPr>
        <w:pStyle w:val="Heading2"/>
        <w:numPr>
          <w:ilvl w:val="0"/>
          <w:numId w:val="10"/>
        </w:numPr>
        <w:spacing w:line="276" w:lineRule="auto"/>
      </w:pPr>
      <w:r w:rsidRPr="00BB743D">
        <w:br w:type="page"/>
      </w:r>
      <w:r w:rsidR="00C844F4" w:rsidRPr="00BB743D">
        <w:lastRenderedPageBreak/>
        <w:t xml:space="preserve"> </w:t>
      </w:r>
      <w:bookmarkStart w:id="12" w:name="_Toc503248445"/>
      <w:r w:rsidR="00586AA3" w:rsidRPr="00BB743D">
        <w:t xml:space="preserve">Sección IV. </w:t>
      </w:r>
      <w:r w:rsidR="00AC6C37" w:rsidRPr="00BB743D">
        <w:t>Formularios de la Oferta</w:t>
      </w:r>
      <w:bookmarkEnd w:id="12"/>
    </w:p>
    <w:p w14:paraId="37AB513E" w14:textId="77777777" w:rsidR="00984AD8" w:rsidRPr="00BB743D" w:rsidRDefault="00984AD8" w:rsidP="00EA60EB">
      <w:pPr>
        <w:spacing w:line="276" w:lineRule="auto"/>
        <w:rPr>
          <w:lang w:val="es-ES"/>
        </w:rPr>
      </w:pPr>
    </w:p>
    <w:p w14:paraId="2BC327E5" w14:textId="509E24F0" w:rsidR="007A5D83" w:rsidRPr="00BB743D" w:rsidRDefault="00EA60EB" w:rsidP="00BB743D">
      <w:pPr>
        <w:pStyle w:val="ListParagraph"/>
        <w:numPr>
          <w:ilvl w:val="0"/>
          <w:numId w:val="20"/>
        </w:numPr>
        <w:ind w:left="426" w:hanging="568"/>
        <w:jc w:val="both"/>
        <w:rPr>
          <w:lang w:val="es-ES"/>
        </w:rPr>
      </w:pPr>
      <w:r w:rsidRPr="00BB743D">
        <w:rPr>
          <w:lang w:val="es-ES"/>
        </w:rPr>
        <w:t xml:space="preserve">La Sección IV. "Formularios de la Oferta” incluyen todos los formularios que ya existen en el documento de </w:t>
      </w:r>
      <w:r w:rsidR="00021320" w:rsidRPr="00BB743D">
        <w:rPr>
          <w:lang w:val="es-ES"/>
        </w:rPr>
        <w:t xml:space="preserve">licitación para la </w:t>
      </w:r>
      <w:r w:rsidRPr="00BB743D">
        <w:rPr>
          <w:lang w:val="es-ES"/>
        </w:rPr>
        <w:t xml:space="preserve">construcción de obras menores y agrega varios otros formularios. Estos formularios nuevos están diseñados para que el </w:t>
      </w:r>
      <w:r w:rsidR="00021320" w:rsidRPr="00BB743D">
        <w:rPr>
          <w:lang w:val="es-ES"/>
        </w:rPr>
        <w:t xml:space="preserve">Contratante </w:t>
      </w:r>
      <w:r w:rsidRPr="00BB743D">
        <w:rPr>
          <w:lang w:val="es-ES"/>
        </w:rPr>
        <w:t xml:space="preserve">indique si la presentación de las informaciones descritas brevemente en el formulario es o no son un requisito de esta licitación, mediante la posibilidad de agregar una "X" o las palabras "SI" o "NO" </w:t>
      </w:r>
      <w:r w:rsidR="00021320" w:rsidRPr="00BB743D">
        <w:rPr>
          <w:lang w:val="es-ES"/>
        </w:rPr>
        <w:t xml:space="preserve">para indicar si el requisito </w:t>
      </w:r>
      <w:r w:rsidRPr="00BB743D">
        <w:rPr>
          <w:lang w:val="es-ES"/>
        </w:rPr>
        <w:t>aplica</w:t>
      </w:r>
      <w:r w:rsidR="00021320" w:rsidRPr="00BB743D">
        <w:rPr>
          <w:lang w:val="es-ES"/>
        </w:rPr>
        <w:t xml:space="preserve"> o </w:t>
      </w:r>
      <w:r w:rsidR="00E3478C" w:rsidRPr="00BB743D">
        <w:rPr>
          <w:lang w:val="es-ES"/>
        </w:rPr>
        <w:t>no para</w:t>
      </w:r>
      <w:r w:rsidRPr="00BB743D">
        <w:rPr>
          <w:lang w:val="es-ES"/>
        </w:rPr>
        <w:t xml:space="preserve"> cada caso.</w:t>
      </w:r>
    </w:p>
    <w:p w14:paraId="4FD29978" w14:textId="77777777" w:rsidR="00EA60EB" w:rsidRPr="00BB743D" w:rsidRDefault="00EA60EB" w:rsidP="00BB743D">
      <w:pPr>
        <w:spacing w:line="276" w:lineRule="auto"/>
        <w:ind w:left="426" w:hanging="568"/>
        <w:rPr>
          <w:lang w:val="es-ES"/>
        </w:rPr>
      </w:pPr>
    </w:p>
    <w:p w14:paraId="679D1212" w14:textId="0078CCA6" w:rsidR="00EA60EB" w:rsidRPr="00BB743D" w:rsidRDefault="00EA60EB" w:rsidP="00BB743D">
      <w:pPr>
        <w:pStyle w:val="ListParagraph"/>
        <w:numPr>
          <w:ilvl w:val="0"/>
          <w:numId w:val="20"/>
        </w:numPr>
        <w:ind w:left="426" w:hanging="568"/>
        <w:jc w:val="both"/>
        <w:rPr>
          <w:lang w:val="es-ES"/>
        </w:rPr>
      </w:pPr>
      <w:r w:rsidRPr="00BB743D">
        <w:rPr>
          <w:lang w:val="es-ES"/>
        </w:rPr>
        <w:t xml:space="preserve">Los textos en cada formulario no sustituyen la necesidad indispensable que la materia se especifique en toda la extensión pertinente en la sección VI. "Especificaciones y Condiciones de Cumplimiento". Los textos </w:t>
      </w:r>
      <w:r w:rsidR="00021320" w:rsidRPr="00BB743D">
        <w:rPr>
          <w:lang w:val="es-ES"/>
        </w:rPr>
        <w:t xml:space="preserve">del formulario </w:t>
      </w:r>
      <w:r w:rsidRPr="00BB743D">
        <w:rPr>
          <w:lang w:val="es-ES"/>
        </w:rPr>
        <w:t xml:space="preserve">pueden ser utilizados por el Contratante y los Oferentes como una lista de verificación de las obligaciones relacionadas con la </w:t>
      </w:r>
      <w:r w:rsidR="00021320" w:rsidRPr="00BB743D">
        <w:rPr>
          <w:lang w:val="es-ES"/>
        </w:rPr>
        <w:t xml:space="preserve">presentación de la oferta técnica para la </w:t>
      </w:r>
      <w:r w:rsidRPr="00BB743D">
        <w:rPr>
          <w:lang w:val="es-ES"/>
        </w:rPr>
        <w:t>ejecución de obras mediante contratos de diseño y construcción de obras menores.</w:t>
      </w:r>
    </w:p>
    <w:p w14:paraId="39B9AD9E" w14:textId="77777777" w:rsidR="00EA60EB" w:rsidRPr="00BB743D" w:rsidRDefault="00EA60EB" w:rsidP="00BB743D">
      <w:pPr>
        <w:spacing w:line="276" w:lineRule="auto"/>
        <w:ind w:left="426" w:hanging="568"/>
        <w:rPr>
          <w:lang w:val="es-ES"/>
        </w:rPr>
      </w:pPr>
    </w:p>
    <w:p w14:paraId="77AD8B54" w14:textId="354FA3DE" w:rsidR="00EA60EB" w:rsidRPr="00BB743D" w:rsidRDefault="00EA60EB" w:rsidP="00BB743D">
      <w:pPr>
        <w:pStyle w:val="ListParagraph"/>
        <w:numPr>
          <w:ilvl w:val="0"/>
          <w:numId w:val="20"/>
        </w:numPr>
        <w:ind w:left="426" w:hanging="568"/>
        <w:jc w:val="both"/>
        <w:rPr>
          <w:lang w:val="es-ES"/>
        </w:rPr>
      </w:pPr>
      <w:r w:rsidRPr="00BB743D">
        <w:rPr>
          <w:lang w:val="es-ES"/>
        </w:rPr>
        <w:t xml:space="preserve">En general, los textos aplicables en los formularios deben ser traslados </w:t>
      </w:r>
      <w:r w:rsidR="00021320" w:rsidRPr="00BB743D">
        <w:rPr>
          <w:lang w:val="es-ES"/>
        </w:rPr>
        <w:t xml:space="preserve">por los Oferentes </w:t>
      </w:r>
      <w:r w:rsidRPr="00BB743D">
        <w:rPr>
          <w:lang w:val="es-ES"/>
        </w:rPr>
        <w:t xml:space="preserve">como títulos de partes o secciones en la Oferta y la materia debe ser desarrollada por el Oferente en su Oferta. </w:t>
      </w:r>
    </w:p>
    <w:p w14:paraId="554D7267" w14:textId="77777777" w:rsidR="00586AA3" w:rsidRPr="00BB743D" w:rsidRDefault="00586AA3" w:rsidP="00BB743D">
      <w:pPr>
        <w:spacing w:line="276" w:lineRule="auto"/>
        <w:ind w:left="426" w:hanging="568"/>
        <w:rPr>
          <w:lang w:val="es-ES"/>
        </w:rPr>
      </w:pPr>
    </w:p>
    <w:p w14:paraId="6DB25343" w14:textId="44EEDB66" w:rsidR="00586AA3" w:rsidRPr="00BB743D" w:rsidRDefault="00586AA3" w:rsidP="00BB743D">
      <w:pPr>
        <w:pStyle w:val="ListParagraph"/>
        <w:numPr>
          <w:ilvl w:val="0"/>
          <w:numId w:val="20"/>
        </w:numPr>
        <w:ind w:left="426" w:hanging="568"/>
        <w:jc w:val="both"/>
        <w:rPr>
          <w:lang w:val="es-ES"/>
        </w:rPr>
      </w:pPr>
      <w:r w:rsidRPr="00BB743D">
        <w:rPr>
          <w:lang w:val="es-ES"/>
        </w:rPr>
        <w:t xml:space="preserve">Esa homogeneidad </w:t>
      </w:r>
      <w:r w:rsidR="00021320" w:rsidRPr="00BB743D">
        <w:rPr>
          <w:lang w:val="es-ES"/>
        </w:rPr>
        <w:t xml:space="preserve">de presentación de las ofertas técnicas </w:t>
      </w:r>
      <w:r w:rsidRPr="00BB743D">
        <w:rPr>
          <w:lang w:val="es-ES"/>
        </w:rPr>
        <w:t xml:space="preserve">permitirá al Contratante evaluar las ofertas recibidas sobre la base de informaciones ordenadas bajo la </w:t>
      </w:r>
      <w:r w:rsidR="00021320" w:rsidRPr="00BB743D">
        <w:rPr>
          <w:lang w:val="es-ES"/>
        </w:rPr>
        <w:t xml:space="preserve">misma </w:t>
      </w:r>
      <w:r w:rsidRPr="00BB743D">
        <w:rPr>
          <w:lang w:val="es-ES"/>
        </w:rPr>
        <w:t xml:space="preserve">secuencia y </w:t>
      </w:r>
      <w:r w:rsidR="00021320" w:rsidRPr="00BB743D">
        <w:rPr>
          <w:lang w:val="es-ES"/>
        </w:rPr>
        <w:t xml:space="preserve">con </w:t>
      </w:r>
      <w:r w:rsidRPr="00BB743D">
        <w:rPr>
          <w:lang w:val="es-ES"/>
        </w:rPr>
        <w:t>contenidos semejantes de las Ofertas.</w:t>
      </w:r>
    </w:p>
    <w:p w14:paraId="5E8689F4" w14:textId="77777777" w:rsidR="00DC6462" w:rsidRPr="00BB743D" w:rsidRDefault="00DC6462" w:rsidP="00BB743D">
      <w:pPr>
        <w:ind w:left="426" w:hanging="568"/>
        <w:rPr>
          <w:lang w:val="es-ES"/>
        </w:rPr>
      </w:pPr>
    </w:p>
    <w:p w14:paraId="278BFAB7" w14:textId="52828BC8" w:rsidR="00DC6462" w:rsidRPr="00BB743D" w:rsidRDefault="00DC6462" w:rsidP="00BB743D">
      <w:pPr>
        <w:pStyle w:val="ListParagraph"/>
        <w:numPr>
          <w:ilvl w:val="0"/>
          <w:numId w:val="20"/>
        </w:numPr>
        <w:ind w:left="426" w:hanging="568"/>
        <w:jc w:val="both"/>
        <w:rPr>
          <w:lang w:val="es-ES"/>
        </w:rPr>
      </w:pPr>
      <w:r w:rsidRPr="00BB743D">
        <w:rPr>
          <w:lang w:val="es-ES"/>
        </w:rPr>
        <w:t xml:space="preserve">Puede ocurrir que los formularios presentados en el documento sean insuficientes para obtener de los oferentes todas las informaciones que el Contratante desea considerar al evaluar las Ofertas.  En tales casos, el Contratante deberá agregar formularios adicionales a ser completados por los Oferentes. </w:t>
      </w:r>
    </w:p>
    <w:p w14:paraId="5A361D2F" w14:textId="77777777" w:rsidR="00DC6462" w:rsidRPr="00BB743D" w:rsidRDefault="00DC6462" w:rsidP="00A42760">
      <w:pPr>
        <w:rPr>
          <w:lang w:val="es-ES"/>
        </w:rPr>
      </w:pPr>
    </w:p>
    <w:p w14:paraId="12F7F1B6" w14:textId="77777777" w:rsidR="00DC6462" w:rsidRPr="00BB743D" w:rsidRDefault="00DC6462" w:rsidP="00DC6462">
      <w:pPr>
        <w:rPr>
          <w:u w:val="single"/>
          <w:lang w:val="es-ES"/>
        </w:rPr>
      </w:pPr>
      <w:r w:rsidRPr="00BB743D">
        <w:rPr>
          <w:u w:val="single"/>
          <w:lang w:val="es-ES"/>
        </w:rPr>
        <w:t>Diseño preliminar exigido</w:t>
      </w:r>
    </w:p>
    <w:p w14:paraId="4D00A158" w14:textId="77777777" w:rsidR="00DC6462" w:rsidRPr="00BB743D" w:rsidRDefault="00DC6462" w:rsidP="00DC6462">
      <w:pPr>
        <w:rPr>
          <w:lang w:val="es-ES"/>
        </w:rPr>
      </w:pPr>
    </w:p>
    <w:p w14:paraId="2C3A78B9" w14:textId="77777777" w:rsidR="00DC6462" w:rsidRPr="00BB743D" w:rsidRDefault="00DC6462" w:rsidP="00BB743D">
      <w:pPr>
        <w:pStyle w:val="ListParagraph"/>
        <w:numPr>
          <w:ilvl w:val="0"/>
          <w:numId w:val="20"/>
        </w:numPr>
        <w:ind w:left="426" w:hanging="426"/>
        <w:jc w:val="both"/>
        <w:rPr>
          <w:lang w:val="es-ES"/>
        </w:rPr>
      </w:pPr>
      <w:r w:rsidRPr="00BB743D">
        <w:rPr>
          <w:lang w:val="es-ES"/>
        </w:rPr>
        <w:t xml:space="preserve">El documento de licitación está formulado para los casos en los que el Oferente presente un diseño preliminar de las obras.  El alcance del diseño preliminar requerido no está definido. El contratante deberá establecer el alcance del diseño preliminar requerido (esbozos, esquemas, cálculos preliminares, etc.) en la Sección VI. "Especificaciones y Condiciones de Cumplimiento."  En algunos casos, el Contratante no solicitará el diseño preliminar en la oferta técnica en cuyo caso, deberá corregir el texto de las IAO en los DDL eliminando el diseño preliminar. </w:t>
      </w:r>
    </w:p>
    <w:p w14:paraId="5E9010F6" w14:textId="77777777" w:rsidR="00DC6462" w:rsidRPr="00BB743D" w:rsidRDefault="00DC6462" w:rsidP="00A42760">
      <w:pPr>
        <w:rPr>
          <w:lang w:val="es-ES"/>
        </w:rPr>
      </w:pPr>
    </w:p>
    <w:p w14:paraId="3C7F70DC" w14:textId="780C85A0" w:rsidR="00DC6462" w:rsidRPr="00BB743D" w:rsidRDefault="00DC6462" w:rsidP="00A42760">
      <w:pPr>
        <w:rPr>
          <w:u w:val="single"/>
          <w:lang w:val="es-ES"/>
        </w:rPr>
      </w:pPr>
      <w:r w:rsidRPr="00BB743D">
        <w:rPr>
          <w:u w:val="single"/>
          <w:lang w:val="es-ES"/>
        </w:rPr>
        <w:t>Supervisión y aseguramiento de la calidad</w:t>
      </w:r>
    </w:p>
    <w:p w14:paraId="22E6A024" w14:textId="77777777" w:rsidR="00DC6462" w:rsidRPr="00BB743D" w:rsidRDefault="00DC6462" w:rsidP="00A42760">
      <w:pPr>
        <w:rPr>
          <w:lang w:val="es-ES"/>
        </w:rPr>
      </w:pPr>
    </w:p>
    <w:p w14:paraId="049A5C60" w14:textId="5E88C8C0" w:rsidR="00DC6462" w:rsidRPr="00BB743D" w:rsidRDefault="00DC6462" w:rsidP="00BB743D">
      <w:pPr>
        <w:pStyle w:val="ListParagraph"/>
        <w:numPr>
          <w:ilvl w:val="0"/>
          <w:numId w:val="20"/>
        </w:numPr>
        <w:ind w:left="426" w:hanging="426"/>
        <w:jc w:val="both"/>
        <w:rPr>
          <w:lang w:val="es-ES"/>
        </w:rPr>
      </w:pPr>
      <w:r w:rsidRPr="00BB743D">
        <w:rPr>
          <w:lang w:val="es-ES"/>
        </w:rPr>
        <w:t xml:space="preserve">El documento de licitación requiere que el Contratista seleccionado disponga de capacidad, experiencia y recursos para supervisar técnicamente las obras por su cuenta. Esta es una actividad muy importante en los contratos de "diseño y construcción" que se pagan por suma alzada y por lo tanto tienen poca cabida a modificaciones ordenadas por </w:t>
      </w:r>
      <w:r w:rsidRPr="00BB743D">
        <w:rPr>
          <w:lang w:val="es-ES"/>
        </w:rPr>
        <w:lastRenderedPageBreak/>
        <w:t xml:space="preserve">el Contratante. El formulario SAC enfatiza este requerimiento de que el contratista seleccionado disponga de los recursos técnicos y sistemas para asegurar la calidad de las obras. </w:t>
      </w:r>
    </w:p>
    <w:p w14:paraId="6D31130B" w14:textId="77777777" w:rsidR="00586AA3" w:rsidRPr="00BB743D" w:rsidRDefault="00586AA3" w:rsidP="00BB743D">
      <w:pPr>
        <w:spacing w:line="276" w:lineRule="auto"/>
        <w:ind w:left="426" w:hanging="426"/>
        <w:rPr>
          <w:lang w:val="es-ES"/>
        </w:rPr>
      </w:pPr>
    </w:p>
    <w:p w14:paraId="2EC89C3A" w14:textId="611E248D" w:rsidR="00B73DA8" w:rsidRDefault="00586AA3" w:rsidP="00B73DA8">
      <w:pPr>
        <w:pStyle w:val="ListParagraph"/>
        <w:numPr>
          <w:ilvl w:val="0"/>
          <w:numId w:val="20"/>
        </w:numPr>
        <w:ind w:left="426" w:hanging="426"/>
        <w:jc w:val="both"/>
        <w:rPr>
          <w:lang w:val="es-ES"/>
        </w:rPr>
      </w:pPr>
      <w:r w:rsidRPr="00BB743D">
        <w:rPr>
          <w:lang w:val="es-ES"/>
        </w:rPr>
        <w:t>A continuación, se presenta un formulario típico: la descripción de la metodología de diseño</w:t>
      </w:r>
      <w:r w:rsidR="00DC6462" w:rsidRPr="00BB743D">
        <w:rPr>
          <w:lang w:val="es-ES"/>
        </w:rPr>
        <w:t xml:space="preserve"> (MDD)</w:t>
      </w:r>
      <w:r w:rsidRPr="00BB743D">
        <w:rPr>
          <w:lang w:val="es-ES"/>
        </w:rPr>
        <w:t xml:space="preserve">. </w:t>
      </w:r>
      <w:r w:rsidR="00021320" w:rsidRPr="00BB743D">
        <w:rPr>
          <w:lang w:val="es-ES"/>
        </w:rPr>
        <w:t>Como las ofertas generalmente no presentan el diseño final, cuya preparación será la primera actividad remunerada del contrato, las ofertas técnicas deben describir la estrategia, forma, metodología, pasos y procesos que utilizará el Contratista para la preparación de los diseños ejecutivos.</w:t>
      </w:r>
    </w:p>
    <w:p w14:paraId="5C6D1A00" w14:textId="77777777" w:rsidR="00B73DA8" w:rsidRPr="00B73DA8" w:rsidRDefault="00B73DA8" w:rsidP="00B73DA8">
      <w:pPr>
        <w:rPr>
          <w:lang w:val="es-ES"/>
        </w:rPr>
      </w:pPr>
    </w:p>
    <w:p w14:paraId="78804F1E" w14:textId="2540539E" w:rsidR="00B73DA8" w:rsidRDefault="00B73DA8" w:rsidP="00BB743D">
      <w:pPr>
        <w:pStyle w:val="ListParagraph"/>
        <w:numPr>
          <w:ilvl w:val="0"/>
          <w:numId w:val="20"/>
        </w:numPr>
        <w:ind w:left="426" w:hanging="426"/>
        <w:jc w:val="both"/>
        <w:rPr>
          <w:lang w:val="es-ES"/>
        </w:rPr>
      </w:pPr>
      <w:r w:rsidRPr="00B73DA8">
        <w:rPr>
          <w:lang w:val="es-ES"/>
        </w:rPr>
        <w:t xml:space="preserve">El DEL incluye nuevas disposiciones que refuerzan las obligaciones en materia ambiental, social y de seguridad y salud en el trabajo que se vuelven mucho más relevantes en un contrato tipo diseño y construcción de responsabilidad única del Contratista. Esas obligaciones son las derivadas de las leyes y reglamentos de cada país, y si no existen o son insuficientes, las que se detallan en </w:t>
      </w:r>
      <w:r>
        <w:rPr>
          <w:lang w:val="es-ES"/>
        </w:rPr>
        <w:t>la Sección VII "Especificaciones y Condiciones de Cumplimiento"</w:t>
      </w:r>
      <w:r w:rsidRPr="00B73DA8">
        <w:rPr>
          <w:lang w:val="es-ES"/>
        </w:rPr>
        <w:t>. Colectivamente esas medidas se designan ASSS (medidas "ambientales, sociales y de seguridad y salud en el trabajo").</w:t>
      </w:r>
    </w:p>
    <w:p w14:paraId="2FD48E05" w14:textId="08592372" w:rsidR="00B73DA8" w:rsidRPr="00B73DA8" w:rsidRDefault="00B73DA8" w:rsidP="00B73DA8">
      <w:pPr>
        <w:rPr>
          <w:lang w:val="es-ES"/>
        </w:rPr>
      </w:pPr>
    </w:p>
    <w:p w14:paraId="7A437173" w14:textId="3C754D91" w:rsidR="00B73DA8" w:rsidRDefault="00B73DA8" w:rsidP="00CB2E1C">
      <w:pPr>
        <w:pStyle w:val="ListParagraph"/>
        <w:numPr>
          <w:ilvl w:val="0"/>
          <w:numId w:val="20"/>
        </w:numPr>
        <w:ind w:left="567" w:hanging="567"/>
        <w:jc w:val="both"/>
        <w:rPr>
          <w:lang w:val="es-ES"/>
        </w:rPr>
      </w:pPr>
      <w:r>
        <w:rPr>
          <w:lang w:val="es-ES"/>
        </w:rPr>
        <w:t>Específicamente, el todos los Oferentes deben presentar una estrategia para el cumplimiento de las obligaciones ambientales, sociales y de seguridad y salud en el trabajo y normas de conducta en materia ASSS. El formulario ASSS-GEPI es de formato libre de manera que el Oferente use organigrama y textos que demuestren que tendrá la capacidad y los recursos para dar cumplimiento con las obligaciones ASSS inherentes al contrato de diseño y construcción.</w:t>
      </w:r>
    </w:p>
    <w:p w14:paraId="0BDA6524" w14:textId="77777777" w:rsidR="00B73DA8" w:rsidRPr="00B73DA8" w:rsidRDefault="00B73DA8" w:rsidP="00B73DA8">
      <w:pPr>
        <w:rPr>
          <w:lang w:val="es-ES"/>
        </w:rPr>
      </w:pPr>
    </w:p>
    <w:p w14:paraId="5EB186C8" w14:textId="3A9CF1DA" w:rsidR="00B73DA8" w:rsidRDefault="00B73DA8" w:rsidP="00CB2E1C">
      <w:pPr>
        <w:pStyle w:val="ListParagraph"/>
        <w:numPr>
          <w:ilvl w:val="0"/>
          <w:numId w:val="20"/>
        </w:numPr>
        <w:ind w:left="567" w:hanging="567"/>
        <w:jc w:val="both"/>
        <w:rPr>
          <w:lang w:val="es-ES"/>
        </w:rPr>
      </w:pPr>
      <w:r>
        <w:rPr>
          <w:lang w:val="es-ES"/>
        </w:rPr>
        <w:t xml:space="preserve">La falta de presentación de esa estrategia y de las normas de conducta puede ser una razón de descalificación de las Ofertas después de aclarar la ausencia de tales requisitos en la Oferta. La Información de para la Calificación de la Sección IV complemente estos requisitos por cuanto </w:t>
      </w:r>
      <w:r w:rsidR="00CB2E1C">
        <w:rPr>
          <w:lang w:val="es-ES"/>
        </w:rPr>
        <w:t>en la</w:t>
      </w:r>
      <w:r>
        <w:rPr>
          <w:lang w:val="es-ES"/>
        </w:rPr>
        <w:t xml:space="preserve"> Carta de la Oferta se debe indicar el personal dispuesto por el Oferente para atender los asuntos ASSS.</w:t>
      </w:r>
    </w:p>
    <w:p w14:paraId="0F11FB2B" w14:textId="3FDD48A2" w:rsidR="00CB2E1C" w:rsidRPr="00CB2E1C" w:rsidRDefault="00CB2E1C" w:rsidP="00CB2E1C">
      <w:pPr>
        <w:rPr>
          <w:lang w:val="es-ES"/>
        </w:rPr>
      </w:pPr>
    </w:p>
    <w:p w14:paraId="3543C03B" w14:textId="55105CCA" w:rsidR="00CB2E1C" w:rsidRPr="00CB2E1C" w:rsidRDefault="00CB2E1C" w:rsidP="00CB2E1C">
      <w:pPr>
        <w:pStyle w:val="ListParagraph"/>
        <w:numPr>
          <w:ilvl w:val="0"/>
          <w:numId w:val="20"/>
        </w:numPr>
        <w:ind w:left="567" w:hanging="567"/>
        <w:jc w:val="both"/>
        <w:rPr>
          <w:lang w:val="es-ES"/>
        </w:rPr>
      </w:pPr>
      <w:r w:rsidRPr="00CB2E1C">
        <w:rPr>
          <w:lang w:val="es-ES"/>
        </w:rPr>
        <w:t>El Departamento de Infraestructura del Banco (INE) ha preparado una Guía sobre el Diseño de Obras cuyas recomendaciones complementan esta Guía en materia del contenido y nivel de diseño esperado del Contratista</w:t>
      </w:r>
      <w:r w:rsidRPr="00CB2E1C">
        <w:rPr>
          <w:vertAlign w:val="superscript"/>
        </w:rPr>
        <w:footnoteReference w:id="4"/>
      </w:r>
      <w:r w:rsidR="00F869EF">
        <w:rPr>
          <w:lang w:val="es-ES"/>
        </w:rPr>
        <w:t xml:space="preserve"> y que debe ser tomada en cuenta para la preparación de la Sección VII del Documento de Licitación</w:t>
      </w:r>
      <w:r w:rsidRPr="00CB2E1C">
        <w:rPr>
          <w:lang w:val="es-ES"/>
        </w:rPr>
        <w:t>.</w:t>
      </w:r>
    </w:p>
    <w:p w14:paraId="2738488B" w14:textId="77777777" w:rsidR="00CB2E1C" w:rsidRPr="00CB2E1C" w:rsidRDefault="00CB2E1C" w:rsidP="00CB2E1C">
      <w:pPr>
        <w:rPr>
          <w:lang w:val="es-ES"/>
        </w:rPr>
      </w:pPr>
    </w:p>
    <w:p w14:paraId="59FF9CE5" w14:textId="77777777" w:rsidR="00021320" w:rsidRPr="00BB743D" w:rsidRDefault="00021320" w:rsidP="00A42760">
      <w:pPr>
        <w:rPr>
          <w:lang w:val="es-ES"/>
        </w:rPr>
      </w:pPr>
    </w:p>
    <w:p w14:paraId="62AE865F" w14:textId="77777777" w:rsidR="00021320" w:rsidRPr="00BB743D" w:rsidRDefault="00021320" w:rsidP="00A42760">
      <w:pPr>
        <w:rPr>
          <w:lang w:val="es-ES"/>
        </w:rPr>
      </w:pPr>
    </w:p>
    <w:p w14:paraId="3CA5F99E" w14:textId="77777777" w:rsidR="00021320" w:rsidRPr="00BB743D" w:rsidRDefault="00021320" w:rsidP="00A42760">
      <w:pPr>
        <w:rPr>
          <w:lang w:val="es-ES"/>
        </w:rPr>
      </w:pPr>
    </w:p>
    <w:p w14:paraId="258DE68E" w14:textId="77777777" w:rsidR="00EA60EB" w:rsidRPr="00BB743D" w:rsidRDefault="00EA60EB">
      <w:pPr>
        <w:jc w:val="left"/>
        <w:rPr>
          <w:rFonts w:ascii="Cambria" w:eastAsia="MS Mincho" w:hAnsi="Cambria"/>
          <w:b/>
          <w:bCs/>
          <w:i/>
          <w:iCs/>
          <w:sz w:val="36"/>
          <w:szCs w:val="26"/>
          <w:lang w:val="es-ES"/>
        </w:rPr>
      </w:pPr>
      <w:bookmarkStart w:id="13" w:name="_Toc494787421"/>
      <w:bookmarkStart w:id="14" w:name="_Toc363480482"/>
      <w:r w:rsidRPr="00BB743D">
        <w:rPr>
          <w:sz w:val="36"/>
          <w:lang w:val="es-ES"/>
        </w:rPr>
        <w:br w:type="page"/>
      </w:r>
    </w:p>
    <w:p w14:paraId="09E50EF8" w14:textId="312CFA5F" w:rsidR="00AC6C37" w:rsidRPr="00BB743D" w:rsidRDefault="00AC6C37" w:rsidP="00EA60EB">
      <w:pPr>
        <w:pStyle w:val="Heading5"/>
        <w:jc w:val="center"/>
        <w:rPr>
          <w:sz w:val="36"/>
          <w:lang w:val="es-ES"/>
        </w:rPr>
      </w:pPr>
      <w:r w:rsidRPr="00BB743D">
        <w:rPr>
          <w:sz w:val="36"/>
          <w:lang w:val="es-ES"/>
        </w:rPr>
        <w:lastRenderedPageBreak/>
        <w:t>Formulario MDD</w:t>
      </w:r>
      <w:bookmarkEnd w:id="13"/>
    </w:p>
    <w:p w14:paraId="337BF272" w14:textId="77777777" w:rsidR="00AC6C37" w:rsidRPr="00BB743D" w:rsidRDefault="00AC6C37" w:rsidP="00EA60EB">
      <w:pPr>
        <w:pStyle w:val="Heading5"/>
        <w:jc w:val="center"/>
        <w:rPr>
          <w:sz w:val="36"/>
          <w:lang w:val="es-ES"/>
        </w:rPr>
      </w:pPr>
      <w:bookmarkStart w:id="15" w:name="_Toc494787422"/>
      <w:r w:rsidRPr="00BB743D">
        <w:rPr>
          <w:sz w:val="36"/>
          <w:lang w:val="es-ES"/>
        </w:rPr>
        <w:t>Descripción de la Metodología de Diseño</w:t>
      </w:r>
      <w:bookmarkEnd w:id="14"/>
      <w:bookmarkEnd w:id="15"/>
    </w:p>
    <w:p w14:paraId="3510DBA7" w14:textId="77777777" w:rsidR="00AC6C37" w:rsidRPr="00BB743D" w:rsidRDefault="00AC6C37" w:rsidP="00AC6C37">
      <w:pPr>
        <w:pStyle w:val="SectionVHeader"/>
        <w:ind w:left="360"/>
        <w:rPr>
          <w:lang w:val="es-ES"/>
        </w:rPr>
      </w:pPr>
    </w:p>
    <w:p w14:paraId="62C76025" w14:textId="77777777" w:rsidR="00AC6C37" w:rsidRPr="00BB743D" w:rsidRDefault="00AC6C37" w:rsidP="00AC6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r w:rsidRPr="00BB743D">
        <w:rPr>
          <w:rFonts w:eastAsia="Cambria"/>
          <w:color w:val="212121"/>
          <w:lang w:val="es-ES"/>
        </w:rPr>
        <w:t xml:space="preserve">El Oferente deberá presentar una metodología de diseño que contemple como mínimo lo siguiente: </w:t>
      </w:r>
    </w:p>
    <w:p w14:paraId="15C05A6A" w14:textId="77777777" w:rsidR="00AC6C37" w:rsidRPr="00BB743D" w:rsidRDefault="00AC6C37" w:rsidP="00AC6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2"/>
        <w:gridCol w:w="5585"/>
        <w:gridCol w:w="1266"/>
        <w:gridCol w:w="1404"/>
      </w:tblGrid>
      <w:tr w:rsidR="00AC6C37" w:rsidRPr="00BB743D" w14:paraId="52D86C05" w14:textId="77777777" w:rsidTr="00E3478C">
        <w:trPr>
          <w:tblHeader/>
        </w:trPr>
        <w:tc>
          <w:tcPr>
            <w:tcW w:w="675" w:type="dxa"/>
            <w:shd w:val="clear" w:color="auto" w:fill="auto"/>
          </w:tcPr>
          <w:p w14:paraId="0F59485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BB743D">
              <w:rPr>
                <w:rFonts w:eastAsia="Cambria"/>
                <w:b/>
                <w:color w:val="212121"/>
                <w:lang w:val="es-ES"/>
              </w:rPr>
              <w:t>No.</w:t>
            </w:r>
          </w:p>
        </w:tc>
        <w:tc>
          <w:tcPr>
            <w:tcW w:w="5670" w:type="dxa"/>
            <w:shd w:val="clear" w:color="auto" w:fill="auto"/>
          </w:tcPr>
          <w:p w14:paraId="6F39BF92" w14:textId="77777777" w:rsidR="00AC6C37" w:rsidRPr="00BB743D" w:rsidRDefault="00AC6C37" w:rsidP="003A3B14">
            <w:pPr>
              <w:shd w:val="clear" w:color="auto" w:fill="FFFFFF"/>
              <w:jc w:val="center"/>
              <w:rPr>
                <w:rFonts w:eastAsia="Cambria"/>
                <w:b/>
                <w:color w:val="212121"/>
                <w:lang w:val="es-ES"/>
              </w:rPr>
            </w:pPr>
            <w:r w:rsidRPr="00BB743D">
              <w:rPr>
                <w:rFonts w:eastAsia="Cambria"/>
                <w:b/>
                <w:color w:val="212121"/>
                <w:lang w:val="es-ES"/>
              </w:rPr>
              <w:t>Elemento de la Oferta</w:t>
            </w:r>
          </w:p>
        </w:tc>
        <w:tc>
          <w:tcPr>
            <w:tcW w:w="1276" w:type="dxa"/>
            <w:shd w:val="clear" w:color="auto" w:fill="auto"/>
          </w:tcPr>
          <w:p w14:paraId="15772F31"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BB743D">
              <w:rPr>
                <w:rFonts w:eastAsia="Cambria"/>
                <w:b/>
                <w:color w:val="212121"/>
                <w:lang w:val="es-ES"/>
              </w:rPr>
              <w:t>Aplica</w:t>
            </w:r>
          </w:p>
        </w:tc>
        <w:tc>
          <w:tcPr>
            <w:tcW w:w="1418" w:type="dxa"/>
            <w:shd w:val="clear" w:color="auto" w:fill="auto"/>
          </w:tcPr>
          <w:p w14:paraId="185A14B0"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BB743D">
              <w:rPr>
                <w:rFonts w:eastAsia="Cambria"/>
                <w:b/>
                <w:color w:val="212121"/>
                <w:lang w:val="es-ES"/>
              </w:rPr>
              <w:t>No Aplica</w:t>
            </w:r>
          </w:p>
        </w:tc>
      </w:tr>
      <w:tr w:rsidR="00AC6C37" w:rsidRPr="00BB743D" w14:paraId="23561C26" w14:textId="77777777" w:rsidTr="00E3478C">
        <w:tc>
          <w:tcPr>
            <w:tcW w:w="675" w:type="dxa"/>
            <w:shd w:val="clear" w:color="auto" w:fill="auto"/>
          </w:tcPr>
          <w:p w14:paraId="53B4CB9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9F43108"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Arreglos organizativos para el diseño incluyendo: estructura del equipo, roles y responsabilidades, los procedimientos de revisión y aprobación de procedimientos de aseguramiento de la calidad</w:t>
            </w:r>
          </w:p>
          <w:p w14:paraId="0809E86F"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7F26ACB5"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9BC996A"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15095C47" w14:textId="77777777" w:rsidTr="00E3478C">
        <w:tc>
          <w:tcPr>
            <w:tcW w:w="675" w:type="dxa"/>
            <w:shd w:val="clear" w:color="auto" w:fill="auto"/>
          </w:tcPr>
          <w:p w14:paraId="3982B0D3"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5C67261"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Programa de entregables </w:t>
            </w:r>
            <w:r w:rsidRPr="00BB743D">
              <w:rPr>
                <w:rFonts w:eastAsia="Cambria"/>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BB743D">
              <w:rPr>
                <w:rFonts w:eastAsia="Cambria"/>
                <w:color w:val="212121"/>
                <w:lang w:val="es-ES"/>
              </w:rPr>
              <w:t xml:space="preserve">; </w:t>
            </w:r>
          </w:p>
          <w:p w14:paraId="091EEA61"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02123760"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FE310D4"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04664BA6" w14:textId="77777777" w:rsidTr="00E3478C">
        <w:tc>
          <w:tcPr>
            <w:tcW w:w="675" w:type="dxa"/>
            <w:shd w:val="clear" w:color="auto" w:fill="auto"/>
          </w:tcPr>
          <w:p w14:paraId="2325D04F"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CB5293B"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Declaración sobre el diseño ejecutivo de las obras que establezca cómo se lograrán los requisitos y propósitos de las Obras; </w:t>
            </w:r>
          </w:p>
          <w:p w14:paraId="4CFBC806"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7235774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82EBF1C"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76531DA3" w14:textId="77777777" w:rsidTr="00E3478C">
        <w:tc>
          <w:tcPr>
            <w:tcW w:w="675" w:type="dxa"/>
            <w:shd w:val="clear" w:color="auto" w:fill="auto"/>
          </w:tcPr>
          <w:p w14:paraId="6370D4C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AA0B0D5"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Declaración de cualquier valor añadido que el Oferente aportará, incluyendo ejemplos de aspectos innovadores del diseño; </w:t>
            </w:r>
          </w:p>
          <w:p w14:paraId="01ACDEF5"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5FF20EFB"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643592F1"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3099EED0" w14:textId="77777777" w:rsidTr="00E3478C">
        <w:tc>
          <w:tcPr>
            <w:tcW w:w="675" w:type="dxa"/>
            <w:shd w:val="clear" w:color="auto" w:fill="auto"/>
          </w:tcPr>
          <w:p w14:paraId="6DA4DA3E"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55693E" w14:textId="092E6E63" w:rsidR="00AC6C37" w:rsidRPr="00BB743D" w:rsidRDefault="00AC6C37" w:rsidP="00BB743D">
            <w:pPr>
              <w:pStyle w:val="ListParagraph"/>
              <w:numPr>
                <w:ilvl w:val="0"/>
                <w:numId w:val="18"/>
              </w:numPr>
              <w:shd w:val="clear" w:color="auto" w:fill="FFFFFF"/>
              <w:rPr>
                <w:rFonts w:eastAsia="Cambria"/>
                <w:color w:val="212121"/>
                <w:lang w:val="es-ES"/>
              </w:rPr>
            </w:pPr>
            <w:r w:rsidRPr="00BB743D">
              <w:rPr>
                <w:rFonts w:eastAsia="Cambria"/>
                <w:color w:val="212121"/>
                <w:lang w:val="es-ES"/>
              </w:rPr>
              <w:t xml:space="preserve">comentarios sobre </w:t>
            </w:r>
            <w:r w:rsidR="00FF2C26" w:rsidRPr="00BB743D">
              <w:rPr>
                <w:rFonts w:eastAsia="Cambria"/>
                <w:color w:val="212121"/>
                <w:lang w:val="es-ES"/>
              </w:rPr>
              <w:t>la Sección VII.</w:t>
            </w:r>
            <w:r w:rsidR="00586AA3" w:rsidRPr="00BB743D">
              <w:rPr>
                <w:rFonts w:eastAsia="Cambria"/>
                <w:color w:val="212121"/>
                <w:lang w:val="es-ES"/>
              </w:rPr>
              <w:t xml:space="preserve"> "</w:t>
            </w:r>
            <w:r w:rsidR="00FF2C26" w:rsidRPr="00BB743D">
              <w:rPr>
                <w:rFonts w:eastAsia="Cambria"/>
                <w:color w:val="212121"/>
                <w:lang w:val="es-ES"/>
              </w:rPr>
              <w:t>Especificaciones y Condiciones de Cumplimiento”</w:t>
            </w:r>
            <w:r w:rsidRPr="00BB743D">
              <w:rPr>
                <w:rFonts w:eastAsia="Cambria"/>
                <w:color w:val="212121"/>
                <w:lang w:val="es-ES"/>
              </w:rPr>
              <w:t xml:space="preserve">, incluyendo: diagnóstico sobre la información técnica disponible y cuestiones de diseño pertinentes para las Obras; </w:t>
            </w:r>
          </w:p>
          <w:p w14:paraId="2FB35EF1" w14:textId="05360257" w:rsidR="00AC6C37" w:rsidRPr="00BB743D" w:rsidRDefault="00AC6C37" w:rsidP="00BB743D">
            <w:pPr>
              <w:pStyle w:val="ListParagraph"/>
              <w:numPr>
                <w:ilvl w:val="0"/>
                <w:numId w:val="18"/>
              </w:numPr>
              <w:shd w:val="clear" w:color="auto" w:fill="FFFFFF"/>
              <w:rPr>
                <w:rFonts w:eastAsia="Cambria"/>
                <w:color w:val="212121"/>
                <w:lang w:val="es-ES"/>
              </w:rPr>
            </w:pPr>
            <w:r w:rsidRPr="00BB743D">
              <w:rPr>
                <w:rFonts w:eastAsia="Cambria"/>
                <w:color w:val="212121"/>
                <w:lang w:val="es-ES"/>
              </w:rPr>
              <w:t xml:space="preserve">comentarios sobre los errores, defectos o ambigüedades señalados en </w:t>
            </w:r>
            <w:r w:rsidR="00FF2C26" w:rsidRPr="00BB743D">
              <w:rPr>
                <w:rFonts w:eastAsia="Cambria"/>
                <w:color w:val="212121"/>
                <w:lang w:val="es-ES"/>
              </w:rPr>
              <w:t>la Sección VII.” Especificaciones y Condiciones de Cumplimiento”</w:t>
            </w:r>
            <w:r w:rsidRPr="00BB743D">
              <w:rPr>
                <w:rFonts w:eastAsia="Cambria"/>
                <w:color w:val="212121"/>
                <w:lang w:val="es-ES"/>
              </w:rPr>
              <w:t xml:space="preserve">; </w:t>
            </w:r>
          </w:p>
          <w:p w14:paraId="0F4E2137" w14:textId="39B279CD" w:rsidR="00AC6C37" w:rsidRPr="00BB743D" w:rsidRDefault="00AC6C37" w:rsidP="00BB743D">
            <w:pPr>
              <w:pStyle w:val="ListParagraph"/>
              <w:numPr>
                <w:ilvl w:val="0"/>
                <w:numId w:val="18"/>
              </w:numPr>
              <w:shd w:val="clear" w:color="auto" w:fill="FFFFFF"/>
              <w:rPr>
                <w:rFonts w:eastAsia="Cambria"/>
                <w:color w:val="212121"/>
                <w:lang w:val="es-ES"/>
              </w:rPr>
            </w:pPr>
            <w:r w:rsidRPr="00BB743D">
              <w:rPr>
                <w:rFonts w:eastAsia="Cambria"/>
                <w:color w:val="212121"/>
                <w:lang w:val="es-ES"/>
              </w:rPr>
              <w:t xml:space="preserve">detalles de cualquier excepción en el diseño conceptual respecto a </w:t>
            </w:r>
            <w:r w:rsidR="00FF2C26" w:rsidRPr="00BB743D">
              <w:rPr>
                <w:rFonts w:eastAsia="Cambria"/>
                <w:color w:val="212121"/>
                <w:lang w:val="es-ES"/>
              </w:rPr>
              <w:t>la Sección VII.” Especificaciones y Condiciones de Cumplimiento”</w:t>
            </w:r>
            <w:r w:rsidRPr="00BB743D">
              <w:rPr>
                <w:rFonts w:eastAsia="Cambria"/>
                <w:color w:val="212121"/>
                <w:lang w:val="es-ES"/>
              </w:rPr>
              <w:t>.</w:t>
            </w:r>
          </w:p>
          <w:p w14:paraId="435CF068" w14:textId="77777777" w:rsidR="00AC6C37" w:rsidRPr="00BB743D" w:rsidRDefault="00AC6C37" w:rsidP="003A3B1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p w14:paraId="5F7F8CD0"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3B49E8E5"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1D787129"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67C931FB" w14:textId="77777777" w:rsidTr="00E3478C">
        <w:tc>
          <w:tcPr>
            <w:tcW w:w="675" w:type="dxa"/>
            <w:shd w:val="clear" w:color="auto" w:fill="auto"/>
          </w:tcPr>
          <w:p w14:paraId="1C6B6EE4"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089E5B0"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Adquisiciones sostenibles: aspectos de sostenibilidad (por ejemplo, eficiencia energética, desechos, disposición de plásticos, sitios de préstamo, fuentes de materiales, etc.) que demuestran el enfoque del Contratista y su compromiso con las prácticas de diseño y construcción sostenibles; </w:t>
            </w:r>
          </w:p>
          <w:p w14:paraId="253D6802" w14:textId="77777777" w:rsidR="00AC6C37" w:rsidRPr="00BB743D" w:rsidRDefault="00AC6C37" w:rsidP="003A3B14">
            <w:pPr>
              <w:rPr>
                <w:rFonts w:eastAsia="Cambria"/>
                <w:color w:val="212121"/>
                <w:lang w:val="es-ES"/>
              </w:rPr>
            </w:pPr>
          </w:p>
        </w:tc>
        <w:tc>
          <w:tcPr>
            <w:tcW w:w="1276" w:type="dxa"/>
            <w:shd w:val="clear" w:color="auto" w:fill="auto"/>
          </w:tcPr>
          <w:p w14:paraId="3FCBCAC0"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82E002B"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208CF220" w14:textId="77777777" w:rsidTr="00E3478C">
        <w:tc>
          <w:tcPr>
            <w:tcW w:w="675" w:type="dxa"/>
            <w:shd w:val="clear" w:color="auto" w:fill="auto"/>
          </w:tcPr>
          <w:p w14:paraId="2C8F6B83"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51C47B3"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Estrategia para recolectar información basal de los aspectos ambientales, sociales y de seguridad y salud en el trabajo, para alimentar oportunamente el adecuado desarrollo del diseño; </w:t>
            </w:r>
          </w:p>
          <w:p w14:paraId="78F75FF6" w14:textId="77777777" w:rsidR="00AC6C37" w:rsidRPr="00BB743D" w:rsidRDefault="00AC6C37" w:rsidP="003A3B14">
            <w:pPr>
              <w:rPr>
                <w:rFonts w:eastAsia="Cambria"/>
                <w:color w:val="212121"/>
                <w:lang w:val="es-ES"/>
              </w:rPr>
            </w:pPr>
          </w:p>
        </w:tc>
        <w:tc>
          <w:tcPr>
            <w:tcW w:w="1276" w:type="dxa"/>
            <w:shd w:val="clear" w:color="auto" w:fill="auto"/>
          </w:tcPr>
          <w:p w14:paraId="45295A93"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5E849D21"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45558D57" w14:textId="77777777" w:rsidTr="00E3478C">
        <w:tc>
          <w:tcPr>
            <w:tcW w:w="675" w:type="dxa"/>
            <w:shd w:val="clear" w:color="auto" w:fill="auto"/>
          </w:tcPr>
          <w:p w14:paraId="5A31881F"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3FE694"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637D8305" w14:textId="77777777" w:rsidR="00AC6C37" w:rsidRPr="00BB743D" w:rsidRDefault="00AC6C37" w:rsidP="003A3B14">
            <w:pPr>
              <w:shd w:val="clear" w:color="auto" w:fill="FFFFFF"/>
              <w:rPr>
                <w:rFonts w:eastAsia="Cambria"/>
                <w:color w:val="212121"/>
                <w:lang w:val="es-ES"/>
              </w:rPr>
            </w:pPr>
          </w:p>
        </w:tc>
        <w:tc>
          <w:tcPr>
            <w:tcW w:w="1276" w:type="dxa"/>
            <w:shd w:val="clear" w:color="auto" w:fill="auto"/>
          </w:tcPr>
          <w:p w14:paraId="61184D0D" w14:textId="77777777" w:rsidR="00AC6C37" w:rsidRPr="00BB743D" w:rsidRDefault="00AC6C37" w:rsidP="003A3B14">
            <w:pPr>
              <w:jc w:val="center"/>
              <w:rPr>
                <w:b/>
                <w:sz w:val="36"/>
                <w:szCs w:val="36"/>
                <w:lang w:val="es-ES"/>
              </w:rPr>
            </w:pPr>
          </w:p>
        </w:tc>
        <w:tc>
          <w:tcPr>
            <w:tcW w:w="1418" w:type="dxa"/>
            <w:shd w:val="clear" w:color="auto" w:fill="auto"/>
          </w:tcPr>
          <w:p w14:paraId="7C50DDAF" w14:textId="77777777" w:rsidR="00AC6C37" w:rsidRPr="00BB743D" w:rsidRDefault="00AC6C37" w:rsidP="003A3B14">
            <w:pPr>
              <w:jc w:val="center"/>
              <w:rPr>
                <w:b/>
                <w:sz w:val="36"/>
                <w:szCs w:val="36"/>
                <w:lang w:val="es-ES"/>
              </w:rPr>
            </w:pPr>
          </w:p>
        </w:tc>
      </w:tr>
      <w:tr w:rsidR="00AC6C37" w:rsidRPr="00BB743D" w14:paraId="41DDB39B" w14:textId="77777777" w:rsidTr="00E3478C">
        <w:tc>
          <w:tcPr>
            <w:tcW w:w="675" w:type="dxa"/>
            <w:shd w:val="clear" w:color="auto" w:fill="auto"/>
          </w:tcPr>
          <w:p w14:paraId="7E1C2BBA"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9C678B5"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 xml:space="preserve">Detalles del enfoque de gestión de riesgos, participación de las partes interesadas, permisos y consentimientos ambientales; </w:t>
            </w:r>
          </w:p>
          <w:p w14:paraId="6E116E39" w14:textId="77777777" w:rsidR="00AC6C37" w:rsidRPr="00BB743D" w:rsidRDefault="00AC6C37" w:rsidP="003A3B14">
            <w:pPr>
              <w:rPr>
                <w:rFonts w:eastAsia="Cambria"/>
                <w:color w:val="212121"/>
                <w:lang w:val="es-ES"/>
              </w:rPr>
            </w:pPr>
          </w:p>
        </w:tc>
        <w:tc>
          <w:tcPr>
            <w:tcW w:w="1276" w:type="dxa"/>
            <w:shd w:val="clear" w:color="auto" w:fill="auto"/>
          </w:tcPr>
          <w:p w14:paraId="2DBE82EF"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0B1D8FB"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18F80D02" w14:textId="77777777" w:rsidTr="00E3478C">
        <w:tc>
          <w:tcPr>
            <w:tcW w:w="675" w:type="dxa"/>
            <w:shd w:val="clear" w:color="auto" w:fill="auto"/>
          </w:tcPr>
          <w:p w14:paraId="71401168"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1E8AEC1"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Detalles de mejoras al aplicar ingeniería de valor</w:t>
            </w:r>
          </w:p>
          <w:p w14:paraId="1684F237" w14:textId="77777777" w:rsidR="00AC6C37" w:rsidRPr="00BB743D" w:rsidRDefault="00AC6C37" w:rsidP="003A3B14">
            <w:pPr>
              <w:shd w:val="clear" w:color="auto" w:fill="FFFFFF"/>
              <w:rPr>
                <w:rFonts w:eastAsia="Cambria"/>
                <w:color w:val="212121"/>
                <w:lang w:val="es-ES"/>
              </w:rPr>
            </w:pPr>
          </w:p>
        </w:tc>
        <w:tc>
          <w:tcPr>
            <w:tcW w:w="1276" w:type="dxa"/>
            <w:shd w:val="clear" w:color="auto" w:fill="auto"/>
          </w:tcPr>
          <w:p w14:paraId="054CE221"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718BBDAA"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22E98B3C" w14:textId="77777777" w:rsidTr="00E3478C">
        <w:tc>
          <w:tcPr>
            <w:tcW w:w="675" w:type="dxa"/>
            <w:shd w:val="clear" w:color="auto" w:fill="auto"/>
          </w:tcPr>
          <w:p w14:paraId="7F17CF14"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F702BCC"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Mecanismos y estándares de respuesta si ocurre la necesidad de efectuar consultas o cambios en el diseño como consecuencia de hechos que ocurran durante la ejecución de las obras o durante la operación; y</w:t>
            </w:r>
          </w:p>
          <w:p w14:paraId="1D4D22EE" w14:textId="77777777" w:rsidR="00AC6C37" w:rsidRPr="00BB743D" w:rsidRDefault="00AC6C37" w:rsidP="003A3B14">
            <w:pPr>
              <w:shd w:val="clear" w:color="auto" w:fill="FFFFFF"/>
              <w:rPr>
                <w:rFonts w:eastAsia="Cambria"/>
                <w:color w:val="212121"/>
                <w:lang w:val="es-ES"/>
              </w:rPr>
            </w:pPr>
          </w:p>
        </w:tc>
        <w:tc>
          <w:tcPr>
            <w:tcW w:w="1276" w:type="dxa"/>
            <w:shd w:val="clear" w:color="auto" w:fill="auto"/>
          </w:tcPr>
          <w:p w14:paraId="3341B491"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7AB8E9A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68E2C255" w14:textId="77777777" w:rsidTr="00E3478C">
        <w:tc>
          <w:tcPr>
            <w:tcW w:w="675" w:type="dxa"/>
            <w:shd w:val="clear" w:color="auto" w:fill="auto"/>
          </w:tcPr>
          <w:p w14:paraId="748F3A29"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5B72E08" w14:textId="77777777" w:rsidR="00AC6C37" w:rsidRPr="00BB743D" w:rsidRDefault="00AC6C37" w:rsidP="003A3B14">
            <w:pPr>
              <w:shd w:val="clear" w:color="auto" w:fill="FFFFFF"/>
              <w:rPr>
                <w:rFonts w:eastAsia="Cambria"/>
                <w:color w:val="212121"/>
                <w:lang w:val="es-ES"/>
              </w:rPr>
            </w:pPr>
            <w:r w:rsidRPr="00BB743D">
              <w:rPr>
                <w:rFonts w:eastAsia="Cambria"/>
                <w:color w:val="212121"/>
                <w:lang w:val="es-ES"/>
              </w:rPr>
              <w:t>Detalles sobre los mecanismos de control de control de calidad de datos y métodos de diseño</w:t>
            </w:r>
          </w:p>
        </w:tc>
        <w:tc>
          <w:tcPr>
            <w:tcW w:w="1276" w:type="dxa"/>
            <w:shd w:val="clear" w:color="auto" w:fill="auto"/>
          </w:tcPr>
          <w:p w14:paraId="4F6DBB8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3FC0F779"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30F439F4" w14:textId="77777777" w:rsidTr="00E3478C">
        <w:tc>
          <w:tcPr>
            <w:tcW w:w="675" w:type="dxa"/>
            <w:shd w:val="clear" w:color="auto" w:fill="auto"/>
            <w:vAlign w:val="center"/>
          </w:tcPr>
          <w:p w14:paraId="5E462DDD" w14:textId="77777777" w:rsidR="00AC6C37" w:rsidRPr="00BB743D" w:rsidRDefault="00AC6C37" w:rsidP="00E34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color w:val="212121"/>
                <w:lang w:val="es-ES"/>
              </w:rPr>
            </w:pPr>
          </w:p>
        </w:tc>
        <w:tc>
          <w:tcPr>
            <w:tcW w:w="5670" w:type="dxa"/>
            <w:shd w:val="clear" w:color="auto" w:fill="auto"/>
            <w:vAlign w:val="center"/>
          </w:tcPr>
          <w:p w14:paraId="455A6235" w14:textId="5DFBF656" w:rsidR="00AC6C37" w:rsidRPr="00BB743D" w:rsidRDefault="00AC6C37" w:rsidP="00E3478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i/>
                <w:lang w:val="es-ES"/>
              </w:rPr>
            </w:pPr>
            <w:r w:rsidRPr="00BB743D">
              <w:rPr>
                <w:rFonts w:eastAsia="Cambria"/>
                <w:i/>
                <w:color w:val="212121"/>
                <w:lang w:val="es-ES"/>
              </w:rPr>
              <w:t>[insertar cualquier otra información pertinente, según proceda.]</w:t>
            </w:r>
          </w:p>
          <w:p w14:paraId="37766CD0" w14:textId="77777777" w:rsidR="00AC6C37" w:rsidRPr="00BB743D" w:rsidRDefault="00AC6C37" w:rsidP="00E3478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Cambria"/>
                <w:color w:val="212121"/>
                <w:lang w:val="es-ES"/>
              </w:rPr>
            </w:pPr>
          </w:p>
        </w:tc>
        <w:tc>
          <w:tcPr>
            <w:tcW w:w="1276" w:type="dxa"/>
            <w:shd w:val="clear" w:color="auto" w:fill="auto"/>
          </w:tcPr>
          <w:p w14:paraId="55392E12"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DA93F76"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AC6C37" w:rsidRPr="00BB743D" w14:paraId="0F850DC6" w14:textId="77777777" w:rsidTr="00E3478C">
        <w:tc>
          <w:tcPr>
            <w:tcW w:w="675" w:type="dxa"/>
            <w:shd w:val="clear" w:color="auto" w:fill="auto"/>
          </w:tcPr>
          <w:p w14:paraId="2460264D"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7AA1797" w14:textId="77777777" w:rsidR="00AC6C37" w:rsidRPr="00BB743D" w:rsidRDefault="00AC6C37" w:rsidP="003A3B1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7357B77F"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18" w:type="dxa"/>
            <w:shd w:val="clear" w:color="auto" w:fill="auto"/>
          </w:tcPr>
          <w:p w14:paraId="07277375" w14:textId="77777777" w:rsidR="00AC6C37" w:rsidRPr="00BB743D" w:rsidRDefault="00AC6C37" w:rsidP="003A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E6E163B" w14:textId="77777777" w:rsidR="00AC6C37" w:rsidRPr="00BB743D" w:rsidRDefault="00AC6C37" w:rsidP="00AC6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0AF8B85C" w14:textId="77777777" w:rsidR="007A5D83" w:rsidRPr="00BB743D" w:rsidRDefault="007A5D83" w:rsidP="00984AD8">
      <w:pPr>
        <w:rPr>
          <w:i/>
          <w:lang w:val="es-ES"/>
        </w:rPr>
      </w:pPr>
    </w:p>
    <w:p w14:paraId="0CB6EE14" w14:textId="77777777" w:rsidR="00B73DA8" w:rsidRDefault="00B73DA8">
      <w:pPr>
        <w:jc w:val="left"/>
        <w:rPr>
          <w:rFonts w:ascii="Times New Roman Bold" w:hAnsi="Times New Roman Bold" w:cs="Arial"/>
          <w:b/>
          <w:smallCaps/>
          <w:sz w:val="36"/>
          <w:szCs w:val="24"/>
          <w:lang w:val="es-ES"/>
        </w:rPr>
      </w:pPr>
      <w:bookmarkStart w:id="16" w:name="_Toc505805050"/>
      <w:bookmarkStart w:id="17" w:name="_Toc485909438"/>
      <w:r>
        <w:rPr>
          <w:lang w:val="es-ES"/>
        </w:rPr>
        <w:br w:type="page"/>
      </w:r>
    </w:p>
    <w:p w14:paraId="0158F826" w14:textId="593CCDFB" w:rsidR="00B73DA8" w:rsidRPr="00D779EF" w:rsidRDefault="00B73DA8" w:rsidP="00B73DA8">
      <w:pPr>
        <w:pStyle w:val="Head02"/>
        <w:rPr>
          <w:lang w:val="es-ES"/>
        </w:rPr>
      </w:pPr>
      <w:r w:rsidRPr="00D779EF">
        <w:rPr>
          <w:lang w:val="es-ES"/>
        </w:rPr>
        <w:lastRenderedPageBreak/>
        <w:t>Formulario ASSS - GEPI</w:t>
      </w:r>
      <w:bookmarkEnd w:id="16"/>
    </w:p>
    <w:p w14:paraId="4D3482AD" w14:textId="77777777" w:rsidR="00B73DA8" w:rsidRPr="00D779EF" w:rsidRDefault="00B73DA8" w:rsidP="00B73DA8">
      <w:pPr>
        <w:pStyle w:val="Heading5"/>
        <w:rPr>
          <w:sz w:val="36"/>
          <w:lang w:val="es-ES"/>
        </w:rPr>
      </w:pPr>
    </w:p>
    <w:p w14:paraId="7285FB84" w14:textId="77777777" w:rsidR="00B73DA8" w:rsidRPr="00D779EF" w:rsidRDefault="00B73DA8" w:rsidP="00B73DA8">
      <w:pPr>
        <w:pStyle w:val="Heading5"/>
        <w:rPr>
          <w:sz w:val="36"/>
          <w:lang w:val="es-ES"/>
        </w:rPr>
      </w:pPr>
      <w:r w:rsidRPr="00D779EF">
        <w:rPr>
          <w:sz w:val="36"/>
          <w:lang w:val="es-ES"/>
        </w:rPr>
        <w:t>Medio ambiente, social, seguridad y salud en el trabajo</w:t>
      </w:r>
      <w:r w:rsidRPr="00D779EF">
        <w:rPr>
          <w:sz w:val="36"/>
          <w:lang w:val="es-ES"/>
        </w:rPr>
        <w:br/>
        <w:t>Estrategias de Gestión y Planes de Implementación</w:t>
      </w:r>
      <w:bookmarkEnd w:id="17"/>
      <w:r w:rsidRPr="00D779EF">
        <w:rPr>
          <w:sz w:val="36"/>
          <w:lang w:val="es-ES"/>
        </w:rPr>
        <w:t xml:space="preserve"> </w:t>
      </w:r>
    </w:p>
    <w:p w14:paraId="190EE600" w14:textId="77777777" w:rsidR="00B73DA8" w:rsidRPr="00D779EF" w:rsidRDefault="00B73DA8" w:rsidP="00B73DA8">
      <w:pPr>
        <w:pStyle w:val="SectionVHeading2"/>
        <w:spacing w:before="240" w:after="240"/>
        <w:jc w:val="both"/>
        <w:rPr>
          <w:bCs/>
          <w:i/>
          <w:color w:val="212121"/>
          <w:shd w:val="clear" w:color="auto" w:fill="FFFFFF"/>
          <w:lang w:val="es-ES"/>
        </w:rPr>
      </w:pPr>
      <w:r w:rsidRPr="00D779EF" w:rsidDel="00D81C0A">
        <w:rPr>
          <w:bCs/>
          <w:iCs/>
          <w:color w:val="212121"/>
          <w:sz w:val="24"/>
          <w:shd w:val="clear" w:color="auto" w:fill="FFFFFF"/>
          <w:lang w:val="es-ES"/>
        </w:rPr>
        <w:t xml:space="preserve"> </w:t>
      </w:r>
      <w:r w:rsidRPr="00D779EF">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B9A48F7" w14:textId="77777777" w:rsidR="00B73DA8" w:rsidRPr="00D779EF" w:rsidRDefault="00B73DA8" w:rsidP="00B73DA8">
      <w:pPr>
        <w:spacing w:before="240" w:after="240"/>
        <w:rPr>
          <w:color w:val="212121"/>
          <w:shd w:val="clear" w:color="auto" w:fill="FFFFFF"/>
          <w:lang w:val="es-ES"/>
        </w:rPr>
      </w:pPr>
      <w:r w:rsidRPr="00D779EF">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18EE2A10" w14:textId="77777777" w:rsidR="00B73DA8" w:rsidRPr="00D779EF" w:rsidRDefault="00B73DA8" w:rsidP="00B73DA8">
      <w:pPr>
        <w:spacing w:before="240" w:after="240"/>
        <w:rPr>
          <w:color w:val="212121"/>
          <w:shd w:val="clear" w:color="auto" w:fill="FFFFFF"/>
          <w:lang w:val="es-ES"/>
        </w:rPr>
      </w:pPr>
      <w:r w:rsidRPr="00D779EF">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03D064E2" w14:textId="77777777" w:rsidR="00B73DA8" w:rsidRPr="00D779EF" w:rsidRDefault="00B73DA8" w:rsidP="00B73DA8">
      <w:pPr>
        <w:spacing w:before="240" w:after="240"/>
        <w:rPr>
          <w:i/>
          <w:lang w:val="es-ES"/>
        </w:rPr>
      </w:pPr>
      <w:r w:rsidRPr="00D779EF">
        <w:rPr>
          <w:color w:val="212121"/>
          <w:shd w:val="clear" w:color="auto" w:fill="FFFFFF"/>
          <w:lang w:val="es-ES"/>
        </w:rPr>
        <w:t>En el desarrollo de estas estrategias y planes, el Oferente tendrá en cuenta las estipulaciones de ASSS del contrato, incluyendo las que se describen más detalladamente en las Especificaciones y Condiciones de Cumplimiento de la Sección VII.</w:t>
      </w:r>
    </w:p>
    <w:p w14:paraId="02C55A85" w14:textId="77777777" w:rsidR="007A5D83" w:rsidRPr="00BB743D" w:rsidRDefault="007A5D83" w:rsidP="00984AD8">
      <w:pPr>
        <w:rPr>
          <w:lang w:val="es-ES"/>
        </w:rPr>
      </w:pPr>
    </w:p>
    <w:p w14:paraId="682E6386" w14:textId="77777777" w:rsidR="007A5D83" w:rsidRPr="00BB743D" w:rsidRDefault="007A5D83" w:rsidP="00984AD8">
      <w:pPr>
        <w:rPr>
          <w:lang w:val="es-ES"/>
        </w:rPr>
      </w:pPr>
    </w:p>
    <w:p w14:paraId="56AD0943" w14:textId="60D82B36" w:rsidR="00B73DA8" w:rsidRDefault="00B73DA8">
      <w:pPr>
        <w:jc w:val="left"/>
        <w:rPr>
          <w:lang w:val="es-ES"/>
        </w:rPr>
      </w:pPr>
      <w:r>
        <w:rPr>
          <w:lang w:val="es-ES"/>
        </w:rPr>
        <w:br w:type="page"/>
      </w:r>
    </w:p>
    <w:p w14:paraId="5FFEAE6D" w14:textId="77777777" w:rsidR="007A5D83" w:rsidRPr="00BB743D" w:rsidRDefault="007A5D83" w:rsidP="00984AD8">
      <w:pPr>
        <w:rPr>
          <w:lang w:val="es-ES"/>
        </w:rPr>
      </w:pPr>
    </w:p>
    <w:p w14:paraId="47492A4D" w14:textId="77777777" w:rsidR="007A5D83" w:rsidRPr="00BB743D" w:rsidRDefault="007A5D83" w:rsidP="00984AD8">
      <w:pPr>
        <w:rPr>
          <w:lang w:val="es-ES"/>
        </w:rPr>
      </w:pPr>
    </w:p>
    <w:p w14:paraId="5CE8B971" w14:textId="1CDC4D83" w:rsidR="007A5D83" w:rsidRPr="00BB743D" w:rsidRDefault="007A5D83" w:rsidP="00984AD8">
      <w:pPr>
        <w:rPr>
          <w:lang w:val="es-ES"/>
        </w:rPr>
      </w:pPr>
    </w:p>
    <w:p w14:paraId="531D220F" w14:textId="069BA6F7" w:rsidR="00AC6C37" w:rsidRPr="00BB743D" w:rsidRDefault="00586AA3" w:rsidP="00BB743D">
      <w:pPr>
        <w:pStyle w:val="Heading2"/>
        <w:numPr>
          <w:ilvl w:val="0"/>
          <w:numId w:val="10"/>
        </w:numPr>
      </w:pPr>
      <w:r w:rsidRPr="00BB743D">
        <w:t xml:space="preserve"> </w:t>
      </w:r>
      <w:bookmarkStart w:id="18" w:name="_Toc503248446"/>
      <w:r w:rsidR="00AC6C37" w:rsidRPr="00BB743D">
        <w:t>Sección V. Condiciones Generales de Contrato</w:t>
      </w:r>
      <w:bookmarkEnd w:id="18"/>
    </w:p>
    <w:p w14:paraId="5165D6FB" w14:textId="77777777" w:rsidR="00AC6C37" w:rsidRPr="00BB743D" w:rsidRDefault="00AC6C37" w:rsidP="00AC6C37">
      <w:pPr>
        <w:pStyle w:val="Heading2"/>
        <w:ind w:left="710" w:firstLine="0"/>
      </w:pPr>
    </w:p>
    <w:p w14:paraId="6268723E" w14:textId="765199D0" w:rsidR="00A7326E" w:rsidRPr="00BB743D" w:rsidRDefault="003B0AA7" w:rsidP="00A7326E">
      <w:pPr>
        <w:rPr>
          <w:lang w:val="es-ES"/>
        </w:rPr>
      </w:pPr>
      <w:r w:rsidRPr="00BB743D">
        <w:rPr>
          <w:lang w:val="es-ES"/>
        </w:rPr>
        <w:t xml:space="preserve">En esta parte de la Guía solamente se tratan las disposiciones nuevas en las condiciones contractuales. </w:t>
      </w:r>
    </w:p>
    <w:p w14:paraId="58CFBFC6" w14:textId="030ABBB9" w:rsidR="003B0AA7" w:rsidRDefault="006125B9" w:rsidP="00A7326E">
      <w:pPr>
        <w:rPr>
          <w:u w:val="single"/>
          <w:lang w:val="es-ES"/>
        </w:rPr>
      </w:pPr>
      <w:r>
        <w:rPr>
          <w:u w:val="single"/>
          <w:lang w:val="es-ES"/>
        </w:rPr>
        <w:br/>
        <w:t>Definiciones</w:t>
      </w:r>
    </w:p>
    <w:p w14:paraId="4DD06C17" w14:textId="4FCF9DED" w:rsidR="006125B9" w:rsidRDefault="006125B9" w:rsidP="00A7326E">
      <w:pPr>
        <w:rPr>
          <w:u w:val="single"/>
          <w:lang w:val="es-ES"/>
        </w:rPr>
      </w:pPr>
    </w:p>
    <w:p w14:paraId="6AEA6955" w14:textId="38E19CFB" w:rsidR="006125B9" w:rsidRDefault="006125B9" w:rsidP="006125B9">
      <w:pPr>
        <w:pStyle w:val="ListParagraph"/>
        <w:numPr>
          <w:ilvl w:val="0"/>
          <w:numId w:val="21"/>
        </w:numPr>
        <w:ind w:left="284" w:hanging="568"/>
        <w:jc w:val="both"/>
        <w:rPr>
          <w:lang w:val="es-ES"/>
        </w:rPr>
      </w:pPr>
      <w:r w:rsidRPr="006125B9">
        <w:rPr>
          <w:lang w:val="es-ES"/>
        </w:rPr>
        <w:t>Se agregaron varias definiciones relacionadas con fecha de terminación de diseños, informes de investigación del sitio de las obras, distinción entre obras provisionales y temporales, y la Supervisión Técnica y obligaciones ASSS.</w:t>
      </w:r>
    </w:p>
    <w:p w14:paraId="425021D3" w14:textId="172E70EC" w:rsidR="006125B9" w:rsidRPr="006125B9" w:rsidRDefault="006125B9" w:rsidP="006125B9">
      <w:pPr>
        <w:ind w:left="-284"/>
        <w:rPr>
          <w:lang w:val="es-ES"/>
        </w:rPr>
      </w:pPr>
    </w:p>
    <w:p w14:paraId="6BAEDC55" w14:textId="07288195" w:rsidR="006125B9" w:rsidRDefault="006125B9" w:rsidP="006125B9">
      <w:pPr>
        <w:pStyle w:val="ListParagraph"/>
        <w:numPr>
          <w:ilvl w:val="0"/>
          <w:numId w:val="21"/>
        </w:numPr>
        <w:ind w:left="284" w:hanging="568"/>
        <w:jc w:val="both"/>
        <w:rPr>
          <w:lang w:val="es-ES"/>
        </w:rPr>
      </w:pPr>
      <w:r>
        <w:rPr>
          <w:lang w:val="es-ES"/>
        </w:rPr>
        <w:t xml:space="preserve">La Supervisión Técnica del Contratista es un elemento nuevo, indispensable para que el Contratista disponga de los recursos técnicos de ingeniería para cumplir con la obligación de ejecutar el contrato bajo su responsabilidad única. </w:t>
      </w:r>
    </w:p>
    <w:p w14:paraId="37FFE62E" w14:textId="6F2E3D43" w:rsidR="00600350" w:rsidRPr="00600350" w:rsidRDefault="00600350" w:rsidP="00600350">
      <w:pPr>
        <w:ind w:left="-284"/>
        <w:rPr>
          <w:lang w:val="es-ES"/>
        </w:rPr>
      </w:pPr>
    </w:p>
    <w:p w14:paraId="5BF12947" w14:textId="69BFF95E" w:rsidR="00600350" w:rsidRDefault="00600350" w:rsidP="00600350">
      <w:pPr>
        <w:rPr>
          <w:u w:val="single"/>
          <w:lang w:val="es-ES"/>
        </w:rPr>
      </w:pPr>
      <w:r w:rsidRPr="00600350">
        <w:rPr>
          <w:u w:val="single"/>
          <w:lang w:val="es-ES"/>
        </w:rPr>
        <w:t>Gerente de Obras</w:t>
      </w:r>
    </w:p>
    <w:p w14:paraId="04CE678A" w14:textId="77777777" w:rsidR="00600350" w:rsidRPr="00600350" w:rsidRDefault="00600350" w:rsidP="00600350">
      <w:pPr>
        <w:rPr>
          <w:u w:val="single"/>
          <w:lang w:val="es-ES"/>
        </w:rPr>
      </w:pPr>
    </w:p>
    <w:p w14:paraId="12907887" w14:textId="2F3DCB75" w:rsidR="008A65CD" w:rsidRDefault="00600350" w:rsidP="006125B9">
      <w:pPr>
        <w:pStyle w:val="ListParagraph"/>
        <w:numPr>
          <w:ilvl w:val="0"/>
          <w:numId w:val="21"/>
        </w:numPr>
        <w:ind w:left="284" w:hanging="568"/>
        <w:jc w:val="both"/>
        <w:rPr>
          <w:lang w:val="es-ES"/>
        </w:rPr>
      </w:pPr>
      <w:r>
        <w:rPr>
          <w:lang w:val="es-ES"/>
        </w:rPr>
        <w:t xml:space="preserve">Este DEL conserva todas las obligaciones y responsabilidades del Gerente de Obras como están establecidas en el DEL de construcción de Obras Menores. </w:t>
      </w:r>
      <w:r w:rsidR="008A65CD">
        <w:rPr>
          <w:lang w:val="es-ES"/>
        </w:rPr>
        <w:t xml:space="preserve">Debe entenderse claramente que las funciones del Gerente de Obras relacionadas con la administración del contrato se conservan y se han ampliado en relación con el diseño y su aprobación o rechazos. </w:t>
      </w:r>
    </w:p>
    <w:p w14:paraId="1D3230D6" w14:textId="77777777" w:rsidR="008A65CD" w:rsidRPr="008A65CD" w:rsidRDefault="008A65CD" w:rsidP="008A65CD">
      <w:pPr>
        <w:ind w:left="-284"/>
        <w:rPr>
          <w:lang w:val="es-ES"/>
        </w:rPr>
      </w:pPr>
    </w:p>
    <w:p w14:paraId="6BACE2BE" w14:textId="628392A0" w:rsidR="008A65CD" w:rsidRDefault="008A65CD" w:rsidP="006125B9">
      <w:pPr>
        <w:pStyle w:val="ListParagraph"/>
        <w:numPr>
          <w:ilvl w:val="0"/>
          <w:numId w:val="21"/>
        </w:numPr>
        <w:ind w:left="284" w:hanging="568"/>
        <w:jc w:val="both"/>
        <w:rPr>
          <w:lang w:val="es-ES"/>
        </w:rPr>
      </w:pPr>
      <w:r>
        <w:rPr>
          <w:lang w:val="es-ES"/>
        </w:rPr>
        <w:t xml:space="preserve">Sin embargo, las funciones y responsabilidades el Gerente de Obras en relación con la supervisión técnica del DEL Obras Menores fueron establecidas suponiendo que el diseño de las obras fue ejecutado por el Contratante. En este DEL, el diseño la responsabilidad del diseño y la construcción de las obras es una responsabilidad única del Contratista. De manera que el Gerente de Obras no debe interferir en esa responsabilidad única debe cuidarse de no dar órdenes directas o instrucciones que alteren, modifiquen, comprometan la responsabilidad única del Contratista.  </w:t>
      </w:r>
    </w:p>
    <w:p w14:paraId="6C9CEAD9" w14:textId="77777777" w:rsidR="008A65CD" w:rsidRPr="008A65CD" w:rsidRDefault="008A65CD" w:rsidP="008A65CD">
      <w:pPr>
        <w:ind w:left="-284"/>
        <w:rPr>
          <w:lang w:val="es-ES"/>
        </w:rPr>
      </w:pPr>
    </w:p>
    <w:p w14:paraId="1F62BD14" w14:textId="1AF79FB7" w:rsidR="00600350" w:rsidRPr="006125B9" w:rsidRDefault="008A65CD" w:rsidP="006125B9">
      <w:pPr>
        <w:pStyle w:val="ListParagraph"/>
        <w:numPr>
          <w:ilvl w:val="0"/>
          <w:numId w:val="21"/>
        </w:numPr>
        <w:ind w:left="284" w:hanging="568"/>
        <w:jc w:val="both"/>
        <w:rPr>
          <w:lang w:val="es-ES"/>
        </w:rPr>
      </w:pPr>
      <w:r>
        <w:rPr>
          <w:lang w:val="es-ES"/>
        </w:rPr>
        <w:t xml:space="preserve">Si el Gerente de Obras observa discrepancias sobre el diseño o malos métodos constructivos, debe llevarlos a las Reuniones administrativas y tratar de convencer al Contratista y a la supervisión técnica del Contratista de rectificar, o llevar el asunto al Conciliador Técnico siempre en aras de no interferir con la responsabilidad única.  </w:t>
      </w:r>
    </w:p>
    <w:p w14:paraId="34FCEBD7" w14:textId="4026E910" w:rsidR="003B0AA7" w:rsidRDefault="003B0AA7" w:rsidP="00A7326E">
      <w:pPr>
        <w:rPr>
          <w:u w:val="single"/>
          <w:lang w:val="es-ES"/>
        </w:rPr>
      </w:pPr>
    </w:p>
    <w:p w14:paraId="2FC7F104" w14:textId="60C5A343" w:rsidR="00390011" w:rsidRDefault="00390011" w:rsidP="00A7326E">
      <w:pPr>
        <w:rPr>
          <w:u w:val="single"/>
          <w:lang w:val="es-ES"/>
        </w:rPr>
      </w:pPr>
      <w:r>
        <w:rPr>
          <w:u w:val="single"/>
          <w:lang w:val="es-ES"/>
        </w:rPr>
        <w:t>Riesgos del Contratista</w:t>
      </w:r>
    </w:p>
    <w:p w14:paraId="19152872" w14:textId="5BBD4E7E" w:rsidR="00390011" w:rsidRDefault="00390011" w:rsidP="00A7326E">
      <w:pPr>
        <w:rPr>
          <w:u w:val="single"/>
          <w:lang w:val="es-ES"/>
        </w:rPr>
      </w:pPr>
    </w:p>
    <w:p w14:paraId="087910A4" w14:textId="57FE5D8F" w:rsidR="00390011" w:rsidRDefault="00390011" w:rsidP="00390011">
      <w:pPr>
        <w:pStyle w:val="ListParagraph"/>
        <w:numPr>
          <w:ilvl w:val="0"/>
          <w:numId w:val="21"/>
        </w:numPr>
        <w:ind w:left="284" w:hanging="568"/>
        <w:jc w:val="both"/>
        <w:rPr>
          <w:lang w:val="es-ES"/>
        </w:rPr>
      </w:pPr>
      <w:r w:rsidRPr="00390011">
        <w:rPr>
          <w:lang w:val="es-ES"/>
        </w:rPr>
        <w:t xml:space="preserve">Se agregaron como riesgo del Contratista el cumplimiento de las obligaciones ASSS y la información entregada por el Contratante sobre las obras, estableciéndose que el Contratista </w:t>
      </w:r>
      <w:r w:rsidRPr="00390011">
        <w:rPr>
          <w:lang w:val="es-ES"/>
        </w:rPr>
        <w:lastRenderedPageBreak/>
        <w:t>reconoce que ha hecho diligente y debido escrutinio de la misma y que es su riesgo confiar o no en dicha información. El Contratista es responsable entonces de interpretar la información entregada por el Contratante y la modificará o no a su criterio para poder alcanzar las Especificaciones y Condiciones de Cumplimiento y sus propósitos.</w:t>
      </w:r>
    </w:p>
    <w:p w14:paraId="54581E6D" w14:textId="07B2F61A" w:rsidR="00390011" w:rsidRDefault="00390011" w:rsidP="00390011">
      <w:pPr>
        <w:ind w:left="-284"/>
        <w:rPr>
          <w:lang w:val="es-ES"/>
        </w:rPr>
      </w:pPr>
    </w:p>
    <w:p w14:paraId="7797E828" w14:textId="782A4E89" w:rsidR="00390011" w:rsidRPr="00390011" w:rsidRDefault="00390011" w:rsidP="00390011">
      <w:pPr>
        <w:rPr>
          <w:u w:val="single"/>
          <w:lang w:val="es-ES"/>
        </w:rPr>
      </w:pPr>
      <w:r w:rsidRPr="00390011">
        <w:rPr>
          <w:u w:val="single"/>
          <w:lang w:val="es-ES"/>
        </w:rPr>
        <w:t xml:space="preserve">Parte B. </w:t>
      </w:r>
      <w:r>
        <w:rPr>
          <w:u w:val="single"/>
          <w:lang w:val="es-ES"/>
        </w:rPr>
        <w:t>D</w:t>
      </w:r>
      <w:r w:rsidRPr="00390011">
        <w:rPr>
          <w:u w:val="single"/>
          <w:lang w:val="es-ES"/>
        </w:rPr>
        <w:t>iseño de las Obras</w:t>
      </w:r>
    </w:p>
    <w:p w14:paraId="2AFFE55B" w14:textId="77777777" w:rsidR="00390011" w:rsidRPr="00390011" w:rsidRDefault="00390011" w:rsidP="00390011">
      <w:pPr>
        <w:ind w:left="-284"/>
        <w:rPr>
          <w:lang w:val="es-ES"/>
        </w:rPr>
      </w:pPr>
    </w:p>
    <w:p w14:paraId="72242593" w14:textId="4539A4E5" w:rsidR="00390011" w:rsidRDefault="00390011" w:rsidP="00390011">
      <w:pPr>
        <w:pStyle w:val="ListParagraph"/>
        <w:numPr>
          <w:ilvl w:val="0"/>
          <w:numId w:val="21"/>
        </w:numPr>
        <w:ind w:left="284" w:hanging="568"/>
        <w:jc w:val="both"/>
        <w:rPr>
          <w:lang w:val="es-ES"/>
        </w:rPr>
      </w:pPr>
      <w:r>
        <w:rPr>
          <w:lang w:val="es-ES"/>
        </w:rPr>
        <w:t xml:space="preserve">Se agregan seis cláusulas relacionadas con la obligación del Contratista de ejecutar el diseño de las Obras y obtener la aprobación del Gerente de Obras sobre el diseño.  En obras que tengan un poco más de complejidad, el Contratante deberá utilizar las Condiciones Particulares para especificar más detalles sobre el diseño. </w:t>
      </w:r>
    </w:p>
    <w:p w14:paraId="4F77B3B7" w14:textId="3E365B1B" w:rsidR="00501EB1" w:rsidRPr="00501EB1" w:rsidRDefault="00501EB1" w:rsidP="00501EB1">
      <w:pPr>
        <w:ind w:left="-284"/>
        <w:rPr>
          <w:lang w:val="es-ES"/>
        </w:rPr>
      </w:pPr>
    </w:p>
    <w:p w14:paraId="4651FCAA" w14:textId="26CAD457" w:rsidR="00501EB1" w:rsidRPr="00501EB1" w:rsidRDefault="00501EB1" w:rsidP="00501EB1">
      <w:pPr>
        <w:rPr>
          <w:u w:val="single"/>
          <w:lang w:val="es-ES"/>
        </w:rPr>
      </w:pPr>
      <w:r w:rsidRPr="00501EB1">
        <w:rPr>
          <w:u w:val="single"/>
          <w:lang w:val="es-ES"/>
        </w:rPr>
        <w:t>Ficta negativa</w:t>
      </w:r>
      <w:r>
        <w:rPr>
          <w:rStyle w:val="FootnoteReference"/>
          <w:u w:val="single"/>
          <w:lang w:val="es-ES"/>
        </w:rPr>
        <w:footnoteReference w:id="5"/>
      </w:r>
    </w:p>
    <w:p w14:paraId="5155DA74" w14:textId="77777777" w:rsidR="008A65CD" w:rsidRPr="008A65CD" w:rsidRDefault="008A65CD" w:rsidP="008A65CD">
      <w:pPr>
        <w:ind w:left="-284"/>
        <w:rPr>
          <w:lang w:val="es-ES"/>
        </w:rPr>
      </w:pPr>
    </w:p>
    <w:p w14:paraId="0AC40818" w14:textId="297CF039" w:rsidR="008A65CD" w:rsidRDefault="008A65CD" w:rsidP="00390011">
      <w:pPr>
        <w:pStyle w:val="ListParagraph"/>
        <w:numPr>
          <w:ilvl w:val="0"/>
          <w:numId w:val="21"/>
        </w:numPr>
        <w:ind w:left="284" w:hanging="568"/>
        <w:jc w:val="both"/>
        <w:rPr>
          <w:lang w:val="es-ES"/>
        </w:rPr>
      </w:pPr>
      <w:r>
        <w:rPr>
          <w:lang w:val="es-ES"/>
        </w:rPr>
        <w:t>Para los efectos exclusivos de la aprobación del diseño, CGC 27.4 introduce el término "silencio" del Gerente de Obras.  Se debe entender que, si transcurridos 7 días desde la fecha que el Gerente debería emitir opinión sobre el diseño o alguna parte del diseño y no lo hace del conocimiento del Contratista, el silencio equivale a una manifestación de desaprobación (ficta negativa) por lo que el Contratista deberá actuar de conformidad con el mecanismo de solución de disputas.  Esta media se ha introducido para evitar que se cree un vacío o una larga e indefinida espera de la aprobación o rectificación de un diseño sencillo de una obra menor.</w:t>
      </w:r>
    </w:p>
    <w:p w14:paraId="46D29F25" w14:textId="77777777" w:rsidR="008A65CD" w:rsidRPr="008A65CD" w:rsidRDefault="008A65CD" w:rsidP="008A65CD">
      <w:pPr>
        <w:ind w:left="-284"/>
        <w:rPr>
          <w:lang w:val="es-ES"/>
        </w:rPr>
      </w:pPr>
    </w:p>
    <w:p w14:paraId="1F567DEF" w14:textId="474E0C89" w:rsidR="008A65CD" w:rsidRDefault="008A65CD" w:rsidP="00390011">
      <w:pPr>
        <w:pStyle w:val="ListParagraph"/>
        <w:numPr>
          <w:ilvl w:val="0"/>
          <w:numId w:val="21"/>
        </w:numPr>
        <w:ind w:left="284" w:hanging="568"/>
        <w:jc w:val="both"/>
        <w:rPr>
          <w:lang w:val="es-ES"/>
        </w:rPr>
      </w:pPr>
      <w:r>
        <w:rPr>
          <w:lang w:val="es-ES"/>
        </w:rPr>
        <w:t>La anterior es una disposición nueva que no ha sido probada por lo que los Usuarios de este DEL deberán observarla o complementarla en las Condiciones Particulares en forma apropiada e informar al Banco sobre su experiencia al respecto.</w:t>
      </w:r>
    </w:p>
    <w:p w14:paraId="0B33626C" w14:textId="1E6AFA63" w:rsidR="008A65CD" w:rsidRPr="008A65CD" w:rsidRDefault="008A65CD" w:rsidP="008A65CD">
      <w:pPr>
        <w:ind w:left="-284"/>
        <w:rPr>
          <w:lang w:val="es-ES"/>
        </w:rPr>
      </w:pPr>
    </w:p>
    <w:p w14:paraId="64589ADD" w14:textId="77777777" w:rsidR="006125B9" w:rsidRPr="00BB743D" w:rsidRDefault="006125B9" w:rsidP="00A7326E">
      <w:pPr>
        <w:rPr>
          <w:u w:val="single"/>
          <w:lang w:val="es-ES"/>
        </w:rPr>
      </w:pPr>
    </w:p>
    <w:p w14:paraId="18481929" w14:textId="77777777" w:rsidR="003B0AA7" w:rsidRPr="00BB743D" w:rsidRDefault="00A7326E" w:rsidP="003B0AA7">
      <w:pPr>
        <w:rPr>
          <w:u w:val="single"/>
          <w:lang w:val="es-ES"/>
        </w:rPr>
      </w:pPr>
      <w:r w:rsidRPr="00BB743D">
        <w:rPr>
          <w:u w:val="single"/>
          <w:lang w:val="es-ES"/>
        </w:rPr>
        <w:t xml:space="preserve">Permisos y licencias ambientales </w:t>
      </w:r>
      <w:r w:rsidR="003B0AA7" w:rsidRPr="00BB743D">
        <w:rPr>
          <w:u w:val="single"/>
          <w:lang w:val="es-ES"/>
        </w:rPr>
        <w:t>Cláusula. 27.5</w:t>
      </w:r>
    </w:p>
    <w:p w14:paraId="2E1172D3" w14:textId="77777777" w:rsidR="003B0AA7" w:rsidRPr="00BB743D" w:rsidRDefault="003B0AA7" w:rsidP="003B0AA7">
      <w:pPr>
        <w:rPr>
          <w:u w:val="single"/>
          <w:lang w:val="es-ES"/>
        </w:rPr>
      </w:pPr>
    </w:p>
    <w:p w14:paraId="35969E08" w14:textId="1843AF13" w:rsidR="00390011" w:rsidRPr="008A65CD" w:rsidRDefault="00A7326E" w:rsidP="00BB743D">
      <w:pPr>
        <w:pStyle w:val="ListParagraph"/>
        <w:numPr>
          <w:ilvl w:val="0"/>
          <w:numId w:val="21"/>
        </w:numPr>
        <w:ind w:left="284" w:hanging="568"/>
        <w:jc w:val="both"/>
        <w:rPr>
          <w:u w:val="single"/>
          <w:lang w:val="es-ES"/>
        </w:rPr>
      </w:pPr>
      <w:r w:rsidRPr="00BB743D">
        <w:rPr>
          <w:lang w:val="es-ES"/>
        </w:rPr>
        <w:t xml:space="preserve">Las condiciones contractuales establecen que, entre las obligaciones del diseño de las Obras, el Contratista es responsable por obtener las licencias y permisos ambientales. En algunos países solamente la autoridad Contratante puede solicitar y obtener las licencias y permisos ambientales. En tal caso, las Condiciones Particulares deberán establecer las disposiciones correctivas correspondientes. En tales casos, el plazo de ejecución podría tener que ser suspendido mientras se obtiene la licencia ambiental. </w:t>
      </w:r>
    </w:p>
    <w:p w14:paraId="77A0346E" w14:textId="77777777" w:rsidR="008A65CD" w:rsidRPr="008A65CD" w:rsidRDefault="008A65CD" w:rsidP="008A65CD">
      <w:pPr>
        <w:ind w:left="-284"/>
        <w:rPr>
          <w:u w:val="single"/>
          <w:lang w:val="es-ES"/>
        </w:rPr>
      </w:pPr>
    </w:p>
    <w:p w14:paraId="40547568" w14:textId="15FC8DB2" w:rsidR="00390011" w:rsidRDefault="00390011" w:rsidP="00390011">
      <w:pPr>
        <w:rPr>
          <w:u w:val="single"/>
          <w:lang w:val="es-ES"/>
        </w:rPr>
      </w:pPr>
      <w:r w:rsidRPr="00390011">
        <w:rPr>
          <w:u w:val="single"/>
          <w:lang w:val="es-ES"/>
        </w:rPr>
        <w:lastRenderedPageBreak/>
        <w:t>Reuniones Administrativas</w:t>
      </w:r>
      <w:r>
        <w:rPr>
          <w:u w:val="single"/>
          <w:lang w:val="es-ES"/>
        </w:rPr>
        <w:t xml:space="preserve"> y Alerta Temprana</w:t>
      </w:r>
    </w:p>
    <w:p w14:paraId="286305CD" w14:textId="79E26269" w:rsidR="00390011" w:rsidRDefault="00390011" w:rsidP="00390011">
      <w:pPr>
        <w:rPr>
          <w:u w:val="single"/>
          <w:lang w:val="es-ES"/>
        </w:rPr>
      </w:pPr>
    </w:p>
    <w:p w14:paraId="5E7171DA" w14:textId="32E8B700" w:rsidR="00390011" w:rsidRDefault="00390011" w:rsidP="00390011">
      <w:pPr>
        <w:pStyle w:val="ListParagraph"/>
        <w:numPr>
          <w:ilvl w:val="0"/>
          <w:numId w:val="21"/>
        </w:numPr>
        <w:ind w:left="284" w:hanging="568"/>
        <w:jc w:val="both"/>
        <w:rPr>
          <w:lang w:val="es-ES"/>
        </w:rPr>
      </w:pPr>
      <w:r w:rsidRPr="00390011">
        <w:rPr>
          <w:lang w:val="es-ES"/>
        </w:rPr>
        <w:t>Las Reuniones Administrativas de la CGC 32 reviste especial importancia en este tipo de contrato de diseño y construcción porque es en se foro donde deben tratarse aspectos del diseño y cumplimiento de otras condiciones de implementación, donde el Gerente de Obras</w:t>
      </w:r>
      <w:r>
        <w:rPr>
          <w:lang w:val="es-ES"/>
        </w:rPr>
        <w:t xml:space="preserve">, en particular, debe convencer al Contratista de que corrija aspectos del diseño o de la implementación sin interferir con la responsabilidad única del Contratista. </w:t>
      </w:r>
      <w:r w:rsidR="00EF2769">
        <w:rPr>
          <w:lang w:val="es-ES"/>
        </w:rPr>
        <w:t xml:space="preserve">Las Reuniones administrativas pueden ser convocadas por cualquiera de las partes, </w:t>
      </w:r>
    </w:p>
    <w:p w14:paraId="75C849EE" w14:textId="77777777" w:rsidR="00390011" w:rsidRPr="00390011" w:rsidRDefault="00390011" w:rsidP="00390011">
      <w:pPr>
        <w:ind w:left="-284"/>
        <w:rPr>
          <w:lang w:val="es-ES"/>
        </w:rPr>
      </w:pPr>
    </w:p>
    <w:p w14:paraId="0899B1E6" w14:textId="6172FB3A" w:rsidR="009678E3" w:rsidRDefault="00EF2769" w:rsidP="00390011">
      <w:pPr>
        <w:pStyle w:val="ListParagraph"/>
        <w:numPr>
          <w:ilvl w:val="0"/>
          <w:numId w:val="21"/>
        </w:numPr>
        <w:ind w:left="284" w:hanging="568"/>
        <w:jc w:val="both"/>
        <w:rPr>
          <w:lang w:val="es-ES"/>
        </w:rPr>
      </w:pPr>
      <w:r>
        <w:rPr>
          <w:lang w:val="es-ES"/>
        </w:rPr>
        <w:t>La Alerta Temprana de la GCG 33 también es un mecanismo indispensable para la buena marcha del contrato. EL mecanismo es una obligación del Contratista de avisar al Gerente de Obras sobre dificultades en el diseño o la ejecución de las Obras.</w:t>
      </w:r>
    </w:p>
    <w:p w14:paraId="131CBDE2" w14:textId="50AD4A76" w:rsidR="009678E3" w:rsidRPr="009678E3" w:rsidRDefault="009678E3" w:rsidP="009678E3">
      <w:pPr>
        <w:ind w:left="-284"/>
        <w:rPr>
          <w:lang w:val="es-ES"/>
        </w:rPr>
      </w:pPr>
    </w:p>
    <w:p w14:paraId="230E7606" w14:textId="787DC445" w:rsidR="009678E3" w:rsidRDefault="009678E3" w:rsidP="009678E3">
      <w:pPr>
        <w:rPr>
          <w:u w:val="single"/>
          <w:lang w:val="es-ES"/>
        </w:rPr>
      </w:pPr>
      <w:r w:rsidRPr="009678E3">
        <w:rPr>
          <w:u w:val="single"/>
          <w:lang w:val="es-ES"/>
        </w:rPr>
        <w:t>Control de Calidad</w:t>
      </w:r>
    </w:p>
    <w:p w14:paraId="0BDF941D" w14:textId="1B41D88E" w:rsidR="009678E3" w:rsidRDefault="009678E3" w:rsidP="009678E3">
      <w:pPr>
        <w:rPr>
          <w:u w:val="single"/>
          <w:lang w:val="es-ES"/>
        </w:rPr>
      </w:pPr>
    </w:p>
    <w:p w14:paraId="481D8605" w14:textId="60BDE9D5" w:rsidR="009678E3" w:rsidRDefault="009678E3" w:rsidP="009678E3">
      <w:pPr>
        <w:pStyle w:val="ListParagraph"/>
        <w:numPr>
          <w:ilvl w:val="0"/>
          <w:numId w:val="21"/>
        </w:numPr>
        <w:ind w:left="284" w:hanging="568"/>
        <w:jc w:val="both"/>
        <w:rPr>
          <w:lang w:val="es-ES"/>
        </w:rPr>
      </w:pPr>
      <w:r w:rsidRPr="009678E3">
        <w:rPr>
          <w:lang w:val="es-ES"/>
        </w:rPr>
        <w:t>CGC 34 resalta la obligación del Contratista de depender de su supervisión técnica con experiencia y recursos suficientes para asegurar la calidad de las obras y el cumplimiento del diseño y las especificaciones acordadas</w:t>
      </w:r>
      <w:r>
        <w:rPr>
          <w:lang w:val="es-ES"/>
        </w:rPr>
        <w:t xml:space="preserve">.  También dispone de un mecanismo mediante la cual el Gerente de Obras puede ordenar al Contratista que refuerce la supervisión técnica si observa deficiencias. </w:t>
      </w:r>
    </w:p>
    <w:p w14:paraId="70C06EA3" w14:textId="21615063" w:rsidR="009678E3" w:rsidRPr="009678E3" w:rsidRDefault="009678E3" w:rsidP="009678E3">
      <w:pPr>
        <w:ind w:left="-284"/>
        <w:rPr>
          <w:lang w:val="es-ES"/>
        </w:rPr>
      </w:pPr>
    </w:p>
    <w:p w14:paraId="2D55B278" w14:textId="016239BA" w:rsidR="009678E3" w:rsidRDefault="009678E3" w:rsidP="009678E3">
      <w:pPr>
        <w:rPr>
          <w:u w:val="single"/>
          <w:lang w:val="es-ES"/>
        </w:rPr>
      </w:pPr>
      <w:r w:rsidRPr="009678E3">
        <w:rPr>
          <w:u w:val="single"/>
          <w:lang w:val="es-ES"/>
        </w:rPr>
        <w:t>Variaciones</w:t>
      </w:r>
    </w:p>
    <w:p w14:paraId="304D335E" w14:textId="1CB869BB" w:rsidR="009678E3" w:rsidRDefault="009678E3" w:rsidP="009678E3">
      <w:pPr>
        <w:rPr>
          <w:u w:val="single"/>
          <w:lang w:val="es-ES"/>
        </w:rPr>
      </w:pPr>
    </w:p>
    <w:p w14:paraId="04BC6EE5" w14:textId="2A0AAC68" w:rsidR="009678E3" w:rsidRDefault="009678E3" w:rsidP="009678E3">
      <w:pPr>
        <w:pStyle w:val="ListParagraph"/>
        <w:numPr>
          <w:ilvl w:val="0"/>
          <w:numId w:val="21"/>
        </w:numPr>
        <w:ind w:left="284" w:hanging="568"/>
        <w:jc w:val="both"/>
        <w:rPr>
          <w:lang w:val="es-ES"/>
        </w:rPr>
      </w:pPr>
      <w:r w:rsidRPr="009678E3">
        <w:rPr>
          <w:lang w:val="es-ES"/>
        </w:rPr>
        <w:t xml:space="preserve">CGC 40 es una cláusula existente en el DEL de Obras Menores que permite introducir variaciones en la ejecución del contrato. La principal recomendación del Banco es que se use solo en circunstancias de emergencia porque su uso entra en conflicto con la naturaleza de diseño y construcción de responsabilidad única del Contratista mediante un contrato de suma alzada. </w:t>
      </w:r>
    </w:p>
    <w:p w14:paraId="7684D896" w14:textId="6175E548" w:rsidR="009678E3" w:rsidRPr="009678E3" w:rsidRDefault="009678E3" w:rsidP="009678E3">
      <w:pPr>
        <w:ind w:left="-284"/>
        <w:rPr>
          <w:lang w:val="es-ES"/>
        </w:rPr>
      </w:pPr>
    </w:p>
    <w:p w14:paraId="02E9DF7D" w14:textId="2A5A3002" w:rsidR="009678E3" w:rsidRPr="009678E3" w:rsidRDefault="009678E3" w:rsidP="009678E3">
      <w:pPr>
        <w:rPr>
          <w:u w:val="single"/>
          <w:lang w:val="es-ES"/>
        </w:rPr>
      </w:pPr>
      <w:r w:rsidRPr="009678E3">
        <w:rPr>
          <w:u w:val="single"/>
          <w:lang w:val="es-ES"/>
        </w:rPr>
        <w:t>Certificados de Pago</w:t>
      </w:r>
    </w:p>
    <w:p w14:paraId="4298F1B2" w14:textId="77777777" w:rsidR="009678E3" w:rsidRPr="009678E3" w:rsidRDefault="009678E3" w:rsidP="009678E3">
      <w:pPr>
        <w:ind w:left="-284"/>
        <w:rPr>
          <w:u w:val="single"/>
          <w:lang w:val="es-ES"/>
        </w:rPr>
      </w:pPr>
    </w:p>
    <w:p w14:paraId="785E8725" w14:textId="2037D584" w:rsidR="009678E3" w:rsidRDefault="009678E3" w:rsidP="00BB743D">
      <w:pPr>
        <w:pStyle w:val="ListParagraph"/>
        <w:numPr>
          <w:ilvl w:val="0"/>
          <w:numId w:val="21"/>
        </w:numPr>
        <w:ind w:left="284" w:hanging="568"/>
        <w:jc w:val="both"/>
        <w:rPr>
          <w:lang w:val="es-ES"/>
        </w:rPr>
      </w:pPr>
      <w:r w:rsidRPr="009678E3">
        <w:rPr>
          <w:lang w:val="es-ES"/>
        </w:rPr>
        <w:t xml:space="preserve">CGC 42 establece la forma </w:t>
      </w:r>
      <w:r w:rsidR="008A65CD">
        <w:rPr>
          <w:lang w:val="es-ES"/>
        </w:rPr>
        <w:t>d</w:t>
      </w:r>
      <w:r w:rsidR="008A65CD" w:rsidRPr="009678E3">
        <w:rPr>
          <w:lang w:val="es-ES"/>
        </w:rPr>
        <w:t>e</w:t>
      </w:r>
      <w:r w:rsidRPr="009678E3">
        <w:rPr>
          <w:lang w:val="es-ES"/>
        </w:rPr>
        <w:t xml:space="preserve"> pago del Contrato de suma alzada que consiste en el pago de sub-actividades terminadas o hitos. </w:t>
      </w:r>
      <w:r>
        <w:rPr>
          <w:lang w:val="es-ES"/>
        </w:rPr>
        <w:t>Entre mayor número de sub-actividades hayan sido definidas por el Contratista en su propuesta, mejor sería su flujo de caja.</w:t>
      </w:r>
    </w:p>
    <w:p w14:paraId="3689C419" w14:textId="5E34B6BE" w:rsidR="009678E3" w:rsidRPr="009678E3" w:rsidRDefault="009678E3" w:rsidP="009678E3">
      <w:pPr>
        <w:ind w:left="-284"/>
        <w:rPr>
          <w:lang w:val="es-ES"/>
        </w:rPr>
      </w:pPr>
    </w:p>
    <w:p w14:paraId="275371B0" w14:textId="530873FE" w:rsidR="009678E3" w:rsidRPr="009678E3" w:rsidRDefault="009678E3" w:rsidP="009678E3">
      <w:pPr>
        <w:rPr>
          <w:u w:val="single"/>
          <w:lang w:val="es-ES"/>
        </w:rPr>
      </w:pPr>
      <w:r w:rsidRPr="009678E3">
        <w:rPr>
          <w:u w:val="single"/>
          <w:lang w:val="es-ES"/>
        </w:rPr>
        <w:t>Eventos compensables</w:t>
      </w:r>
    </w:p>
    <w:p w14:paraId="5A2E523D" w14:textId="77777777" w:rsidR="009678E3" w:rsidRPr="009678E3" w:rsidRDefault="009678E3" w:rsidP="009678E3">
      <w:pPr>
        <w:ind w:left="-284"/>
        <w:rPr>
          <w:u w:val="single"/>
          <w:lang w:val="es-ES"/>
        </w:rPr>
      </w:pPr>
    </w:p>
    <w:p w14:paraId="382F4A24" w14:textId="212B3888" w:rsidR="009678E3" w:rsidRDefault="009678E3" w:rsidP="00BB743D">
      <w:pPr>
        <w:pStyle w:val="ListParagraph"/>
        <w:numPr>
          <w:ilvl w:val="0"/>
          <w:numId w:val="21"/>
        </w:numPr>
        <w:ind w:left="284" w:hanging="568"/>
        <w:jc w:val="both"/>
        <w:rPr>
          <w:lang w:val="es-ES_tradnl"/>
        </w:rPr>
      </w:pPr>
      <w:r w:rsidRPr="009678E3">
        <w:rPr>
          <w:lang w:val="es-ES"/>
        </w:rPr>
        <w:t xml:space="preserve">Se excluyó de la lista de eventos compensables del </w:t>
      </w:r>
      <w:r>
        <w:rPr>
          <w:lang w:val="es-ES"/>
        </w:rPr>
        <w:t xml:space="preserve">DEL </w:t>
      </w:r>
      <w:r w:rsidRPr="009678E3">
        <w:rPr>
          <w:lang w:val="es-ES"/>
        </w:rPr>
        <w:t>Obras Menores</w:t>
      </w:r>
      <w:r>
        <w:rPr>
          <w:lang w:val="es-ES"/>
        </w:rPr>
        <w:t xml:space="preserve"> el evento compensable relac</w:t>
      </w:r>
      <w:r w:rsidRPr="009678E3">
        <w:rPr>
          <w:lang w:val="es-ES"/>
        </w:rPr>
        <w:t>io</w:t>
      </w:r>
      <w:r>
        <w:rPr>
          <w:lang w:val="es-ES"/>
        </w:rPr>
        <w:t>nado</w:t>
      </w:r>
      <w:r w:rsidRPr="009678E3">
        <w:rPr>
          <w:lang w:val="es-ES"/>
        </w:rPr>
        <w:t xml:space="preserve"> con las condiciones </w:t>
      </w:r>
      <w:r w:rsidRPr="009678E3">
        <w:rPr>
          <w:lang w:val="es-ES_tradnl"/>
        </w:rPr>
        <w:t>del terreno más desfavorables que lo que razonablemente se podía inferir</w:t>
      </w:r>
      <w:r>
        <w:rPr>
          <w:lang w:val="es-ES_tradnl"/>
        </w:rPr>
        <w:t>, porque las condiciones del terreno son ahora un riesgo del Contratista.</w:t>
      </w:r>
    </w:p>
    <w:p w14:paraId="122480AB" w14:textId="1D68C9A2" w:rsidR="009678E3" w:rsidRPr="009678E3" w:rsidRDefault="009678E3" w:rsidP="009678E3">
      <w:pPr>
        <w:ind w:left="-284"/>
      </w:pPr>
    </w:p>
    <w:p w14:paraId="580C1774" w14:textId="0629CBA3" w:rsidR="009678E3" w:rsidRPr="009678E3" w:rsidRDefault="009678E3" w:rsidP="009678E3"/>
    <w:p w14:paraId="4D657E17" w14:textId="39966779" w:rsidR="00AC6C37" w:rsidRDefault="00AC6C37" w:rsidP="009678E3">
      <w:pPr>
        <w:rPr>
          <w:u w:val="single"/>
          <w:lang w:val="es-ES"/>
        </w:rPr>
      </w:pPr>
      <w:r w:rsidRPr="009678E3">
        <w:rPr>
          <w:i/>
          <w:lang w:val="es-ES"/>
        </w:rPr>
        <w:br w:type="page"/>
      </w:r>
      <w:r w:rsidR="009678E3" w:rsidRPr="009678E3">
        <w:rPr>
          <w:u w:val="single"/>
          <w:lang w:val="es-ES"/>
        </w:rPr>
        <w:lastRenderedPageBreak/>
        <w:t>Terminación del Contrato</w:t>
      </w:r>
    </w:p>
    <w:p w14:paraId="5A0C6A2B" w14:textId="2951CBF7" w:rsidR="009678E3" w:rsidRPr="009678E3" w:rsidRDefault="009678E3" w:rsidP="009678E3">
      <w:pPr>
        <w:ind w:left="-284"/>
        <w:rPr>
          <w:u w:val="single"/>
          <w:lang w:val="es-ES"/>
        </w:rPr>
      </w:pPr>
    </w:p>
    <w:p w14:paraId="3FD3EFA0" w14:textId="22E39777" w:rsidR="009678E3" w:rsidRPr="009678E3" w:rsidRDefault="009678E3" w:rsidP="009678E3">
      <w:pPr>
        <w:pStyle w:val="ListParagraph"/>
        <w:numPr>
          <w:ilvl w:val="0"/>
          <w:numId w:val="21"/>
        </w:numPr>
        <w:ind w:left="284" w:hanging="568"/>
        <w:jc w:val="both"/>
        <w:rPr>
          <w:lang w:val="es-ES"/>
        </w:rPr>
      </w:pPr>
      <w:r w:rsidRPr="009678E3">
        <w:rPr>
          <w:lang w:val="es-ES"/>
        </w:rPr>
        <w:t xml:space="preserve">Se agregan dos razones para la terminación del contrato por incumplimiento fundamental del Contratista: el rechazo reiterado del diseño y la supervisión técnica insuficiente del Contratista. </w:t>
      </w:r>
    </w:p>
    <w:p w14:paraId="10366F06" w14:textId="77777777" w:rsidR="009678E3" w:rsidRPr="009678E3" w:rsidRDefault="009678E3" w:rsidP="009678E3">
      <w:pPr>
        <w:ind w:left="-284"/>
        <w:rPr>
          <w:lang w:val="es-ES"/>
        </w:rPr>
      </w:pPr>
    </w:p>
    <w:p w14:paraId="44E24B98" w14:textId="77777777" w:rsidR="009678E3" w:rsidRPr="009678E3" w:rsidRDefault="009678E3" w:rsidP="009678E3">
      <w:pPr>
        <w:rPr>
          <w:u w:val="single"/>
          <w:lang w:val="es-ES"/>
        </w:rPr>
      </w:pPr>
      <w:bookmarkStart w:id="19" w:name="_Toc503248447"/>
      <w:r w:rsidRPr="009678E3">
        <w:rPr>
          <w:u w:val="single"/>
          <w:lang w:val="es-ES"/>
        </w:rPr>
        <w:t>Liberación del cumplimiento</w:t>
      </w:r>
    </w:p>
    <w:p w14:paraId="5C79B68D" w14:textId="77777777" w:rsidR="009678E3" w:rsidRDefault="009678E3">
      <w:pPr>
        <w:jc w:val="left"/>
        <w:rPr>
          <w:highlight w:val="lightGray"/>
        </w:rPr>
      </w:pPr>
    </w:p>
    <w:p w14:paraId="2D420D54" w14:textId="20314DB3" w:rsidR="009678E3" w:rsidRPr="009678E3" w:rsidRDefault="009678E3" w:rsidP="009678E3">
      <w:pPr>
        <w:pStyle w:val="ListParagraph"/>
        <w:numPr>
          <w:ilvl w:val="0"/>
          <w:numId w:val="21"/>
        </w:numPr>
        <w:ind w:left="284" w:hanging="568"/>
        <w:jc w:val="both"/>
        <w:rPr>
          <w:b/>
          <w:sz w:val="40"/>
          <w:lang w:val="es-ES"/>
        </w:rPr>
      </w:pPr>
      <w:r w:rsidRPr="009678E3">
        <w:rPr>
          <w:lang w:val="es-ES"/>
        </w:rPr>
        <w:t>Se agregan plazos mínimos de garantía de las obras. Prevalecerán plazos mayores si la ley del País los establece.</w:t>
      </w:r>
      <w:r w:rsidRPr="009678E3">
        <w:t xml:space="preserve"> </w:t>
      </w:r>
      <w:r w:rsidRPr="009678E3">
        <w:br w:type="page"/>
      </w:r>
    </w:p>
    <w:p w14:paraId="6E8A5222" w14:textId="061D4DE5" w:rsidR="00AC6C37" w:rsidRPr="00BB743D" w:rsidRDefault="00AC6C37" w:rsidP="009678E3">
      <w:pPr>
        <w:pStyle w:val="Heading2"/>
        <w:ind w:left="710" w:firstLine="0"/>
      </w:pPr>
      <w:r w:rsidRPr="00BB743D">
        <w:lastRenderedPageBreak/>
        <w:t>Sección VI. Condiciones Particulares de Contrato</w:t>
      </w:r>
      <w:bookmarkEnd w:id="19"/>
    </w:p>
    <w:p w14:paraId="4B7DE15B" w14:textId="00FCE215" w:rsidR="00AC6C37" w:rsidRPr="00BB743D" w:rsidRDefault="00AC6C37" w:rsidP="0000130F">
      <w:pPr>
        <w:pStyle w:val="Heading2"/>
        <w:ind w:left="710" w:firstLine="0"/>
      </w:pPr>
    </w:p>
    <w:p w14:paraId="42B475B6" w14:textId="77777777" w:rsidR="00E3478C" w:rsidRPr="00BB743D" w:rsidRDefault="00E3478C" w:rsidP="00E3478C">
      <w:pPr>
        <w:rPr>
          <w:lang w:val="es-ES"/>
        </w:rPr>
      </w:pPr>
    </w:p>
    <w:p w14:paraId="34337E7C" w14:textId="66FF3383" w:rsidR="009678E3" w:rsidRDefault="009678E3" w:rsidP="00BB743D">
      <w:pPr>
        <w:pStyle w:val="ListParagraph"/>
        <w:numPr>
          <w:ilvl w:val="0"/>
          <w:numId w:val="22"/>
        </w:numPr>
        <w:jc w:val="both"/>
        <w:rPr>
          <w:bCs/>
          <w:lang w:val="es-ES"/>
        </w:rPr>
      </w:pPr>
      <w:r>
        <w:rPr>
          <w:bCs/>
          <w:lang w:val="es-ES"/>
        </w:rPr>
        <w:t>Se agrega un plazo para la terminación del diseño como CGC 1.1 (u)</w:t>
      </w:r>
    </w:p>
    <w:p w14:paraId="676803DA" w14:textId="1C68A52E" w:rsidR="009678E3" w:rsidRPr="009678E3" w:rsidRDefault="009678E3" w:rsidP="009678E3">
      <w:pPr>
        <w:ind w:left="218"/>
        <w:rPr>
          <w:bCs/>
          <w:lang w:val="es-ES"/>
        </w:rPr>
      </w:pPr>
    </w:p>
    <w:p w14:paraId="75958729" w14:textId="781EF119" w:rsidR="009678E3" w:rsidRDefault="009678E3" w:rsidP="00BB743D">
      <w:pPr>
        <w:pStyle w:val="ListParagraph"/>
        <w:numPr>
          <w:ilvl w:val="0"/>
          <w:numId w:val="22"/>
        </w:numPr>
        <w:jc w:val="both"/>
        <w:rPr>
          <w:bCs/>
          <w:lang w:val="es-ES"/>
        </w:rPr>
      </w:pPr>
      <w:r>
        <w:rPr>
          <w:bCs/>
          <w:lang w:val="es-ES"/>
        </w:rPr>
        <w:t xml:space="preserve">Se agrega el nivel de diseño requerido de conformidad con la clasificación común del país. </w:t>
      </w:r>
      <w:r w:rsidR="00AE3883">
        <w:rPr>
          <w:bCs/>
          <w:lang w:val="es-ES"/>
        </w:rPr>
        <w:t>Otras indicaciones sobre el nivel de diseño se tratan</w:t>
      </w:r>
      <w:r>
        <w:rPr>
          <w:bCs/>
          <w:lang w:val="es-ES"/>
        </w:rPr>
        <w:t xml:space="preserve"> en una Guía del Departamento de Infraestructura (INE) del Banco.</w:t>
      </w:r>
    </w:p>
    <w:p w14:paraId="1F50FD72" w14:textId="77777777" w:rsidR="009678E3" w:rsidRPr="009678E3" w:rsidRDefault="009678E3" w:rsidP="009678E3">
      <w:pPr>
        <w:ind w:left="218"/>
        <w:rPr>
          <w:bCs/>
          <w:lang w:val="es-ES"/>
        </w:rPr>
      </w:pPr>
    </w:p>
    <w:p w14:paraId="51DE5BD5" w14:textId="3688206E" w:rsidR="00E85B58" w:rsidRPr="00BB743D" w:rsidRDefault="007C1E66" w:rsidP="00BB743D">
      <w:pPr>
        <w:pStyle w:val="ListParagraph"/>
        <w:numPr>
          <w:ilvl w:val="0"/>
          <w:numId w:val="22"/>
        </w:numPr>
        <w:jc w:val="both"/>
        <w:rPr>
          <w:bCs/>
          <w:lang w:val="es-ES"/>
        </w:rPr>
      </w:pPr>
      <w:r w:rsidRPr="00BB743D">
        <w:rPr>
          <w:bCs/>
          <w:lang w:val="es-ES"/>
        </w:rPr>
        <w:t>En los contratos por sumas alzadas, el reajuste es posible siempre y cuando el C</w:t>
      </w:r>
      <w:r w:rsidR="00E85B58" w:rsidRPr="00BB743D">
        <w:rPr>
          <w:bCs/>
          <w:lang w:val="es-ES"/>
        </w:rPr>
        <w:t>ontratista proporcione un</w:t>
      </w:r>
      <w:r w:rsidRPr="00BB743D">
        <w:rPr>
          <w:bCs/>
          <w:lang w:val="es-ES"/>
        </w:rPr>
        <w:t xml:space="preserve"> detalle de los componentes de mano de obra, uso de equipos y materiales y otros insumos en cada Lista de Actividades.</w:t>
      </w:r>
    </w:p>
    <w:p w14:paraId="51AADBF9" w14:textId="77777777" w:rsidR="00E85B58" w:rsidRPr="00BB743D" w:rsidRDefault="00E85B58" w:rsidP="00E3478C">
      <w:pPr>
        <w:ind w:left="218"/>
        <w:rPr>
          <w:bCs/>
          <w:lang w:val="es-ES"/>
        </w:rPr>
      </w:pPr>
    </w:p>
    <w:p w14:paraId="23AB2B03" w14:textId="2524510D" w:rsidR="00E85B58" w:rsidRPr="00390011" w:rsidRDefault="00E85B58" w:rsidP="00BB743D">
      <w:pPr>
        <w:pStyle w:val="ListParagraph"/>
        <w:numPr>
          <w:ilvl w:val="0"/>
          <w:numId w:val="22"/>
        </w:numPr>
        <w:jc w:val="both"/>
        <w:rPr>
          <w:bCs/>
          <w:lang w:val="es-ES"/>
        </w:rPr>
      </w:pPr>
      <w:r w:rsidRPr="00BB743D">
        <w:rPr>
          <w:lang w:val="es-ES"/>
        </w:rPr>
        <w:t>Para las categorías que el Contratista haya presentado el desglose de precios que se hayan de pagar al Contratista y que el Contratante haya aceptado que estarán sujetos a reajuste estarán sujetos a ajuste durante la ejecución del Contrato, a fin de tener en cuenta las variaciones del costo de la mano de obra y los materiales.</w:t>
      </w:r>
    </w:p>
    <w:p w14:paraId="7D463284" w14:textId="090CE725" w:rsidR="00390011" w:rsidRPr="00390011" w:rsidRDefault="00390011" w:rsidP="00390011">
      <w:pPr>
        <w:ind w:left="218"/>
        <w:rPr>
          <w:bCs/>
          <w:lang w:val="es-ES"/>
        </w:rPr>
      </w:pPr>
    </w:p>
    <w:p w14:paraId="4F0C2D37" w14:textId="6B0ED709" w:rsidR="00390011" w:rsidRPr="00BB743D" w:rsidRDefault="00390011" w:rsidP="00BB743D">
      <w:pPr>
        <w:pStyle w:val="ListParagraph"/>
        <w:numPr>
          <w:ilvl w:val="0"/>
          <w:numId w:val="22"/>
        </w:numPr>
        <w:jc w:val="both"/>
        <w:rPr>
          <w:bCs/>
          <w:lang w:val="es-ES"/>
        </w:rPr>
      </w:pPr>
      <w:r>
        <w:rPr>
          <w:lang w:val="es-ES"/>
        </w:rPr>
        <w:t xml:space="preserve">El Contratante deberá ampliar las CGC 27.1 a 27.6 para abordar temas más complejos sobre el diseño de las obras. </w:t>
      </w:r>
    </w:p>
    <w:p w14:paraId="6C7AD5D7" w14:textId="77777777" w:rsidR="00E85B58" w:rsidRPr="00BB743D" w:rsidRDefault="00E85B58" w:rsidP="00E3478C">
      <w:pPr>
        <w:ind w:left="218"/>
        <w:rPr>
          <w:bCs/>
          <w:lang w:val="es-ES"/>
        </w:rPr>
      </w:pPr>
    </w:p>
    <w:p w14:paraId="5864F5A4" w14:textId="2F7D18D2" w:rsidR="00E85B58" w:rsidRPr="00BB743D" w:rsidRDefault="00E85B58" w:rsidP="00BB743D">
      <w:pPr>
        <w:pStyle w:val="ListParagraph"/>
        <w:numPr>
          <w:ilvl w:val="0"/>
          <w:numId w:val="22"/>
        </w:numPr>
        <w:jc w:val="both"/>
        <w:rPr>
          <w:bCs/>
          <w:lang w:val="es-ES"/>
        </w:rPr>
      </w:pPr>
      <w:r w:rsidRPr="00BB743D">
        <w:rPr>
          <w:lang w:val="es-ES"/>
        </w:rPr>
        <w:t>El Contratante deberá especificar en las CPC CGC 47 las disposiciones necesarias para calcular los ajustes de precios en cada una de las Lista de Actividades.</w:t>
      </w:r>
    </w:p>
    <w:p w14:paraId="5CF6438D" w14:textId="0D618CF4" w:rsidR="00AC6C37" w:rsidRPr="00BB743D" w:rsidRDefault="00AC6C37" w:rsidP="00E3478C">
      <w:pPr>
        <w:rPr>
          <w:b/>
          <w:sz w:val="40"/>
          <w:lang w:val="es-ES"/>
        </w:rPr>
      </w:pPr>
      <w:r w:rsidRPr="00BB743D">
        <w:rPr>
          <w:lang w:val="es-ES"/>
        </w:rPr>
        <w:br w:type="page"/>
      </w:r>
    </w:p>
    <w:p w14:paraId="593587F1" w14:textId="0D888827" w:rsidR="00AE3883" w:rsidRDefault="00AE3883" w:rsidP="00BB743D">
      <w:pPr>
        <w:pStyle w:val="Heading2"/>
        <w:numPr>
          <w:ilvl w:val="0"/>
          <w:numId w:val="10"/>
        </w:numPr>
      </w:pPr>
      <w:bookmarkStart w:id="20" w:name="_Toc497454288"/>
      <w:bookmarkStart w:id="21" w:name="_Toc503248448"/>
      <w:r w:rsidRPr="009173B5">
        <w:lastRenderedPageBreak/>
        <w:t>Sección VII. Especificaciones y Condiciones de Cumplimiento</w:t>
      </w:r>
      <w:bookmarkEnd w:id="20"/>
    </w:p>
    <w:p w14:paraId="74DD23F1" w14:textId="77777777" w:rsidR="00AE3883" w:rsidRPr="00AE3883" w:rsidRDefault="00AE3883" w:rsidP="00AE3883">
      <w:pPr>
        <w:ind w:left="218"/>
        <w:rPr>
          <w:lang w:val="es-ES"/>
        </w:rPr>
      </w:pPr>
    </w:p>
    <w:p w14:paraId="2231EE3A" w14:textId="03C5C6A3" w:rsidR="00AE3883" w:rsidRDefault="00AE3883" w:rsidP="00501EB1">
      <w:pPr>
        <w:pStyle w:val="ListParagraph"/>
        <w:numPr>
          <w:ilvl w:val="0"/>
          <w:numId w:val="25"/>
        </w:numPr>
        <w:ind w:left="709" w:hanging="491"/>
        <w:jc w:val="both"/>
        <w:rPr>
          <w:lang w:val="es-ES"/>
        </w:rPr>
      </w:pPr>
      <w:r>
        <w:rPr>
          <w:lang w:val="es-ES"/>
        </w:rPr>
        <w:t xml:space="preserve">Recomendaciones </w:t>
      </w:r>
      <w:r w:rsidR="00501EB1">
        <w:rPr>
          <w:lang w:val="es-ES"/>
        </w:rPr>
        <w:t xml:space="preserve">técnicas </w:t>
      </w:r>
      <w:r w:rsidRPr="00AE3883">
        <w:rPr>
          <w:lang w:val="es-ES"/>
        </w:rPr>
        <w:t xml:space="preserve">sobre el nivel de diseño </w:t>
      </w:r>
      <w:r w:rsidR="00501EB1">
        <w:rPr>
          <w:lang w:val="es-ES"/>
        </w:rPr>
        <w:t xml:space="preserve">que se solicita al Contratista seleccionado </w:t>
      </w:r>
      <w:r w:rsidRPr="00AE3883">
        <w:rPr>
          <w:lang w:val="es-ES"/>
        </w:rPr>
        <w:t>se tratan en una Guía del Departamento de Infraestructura (INE) del Banco.</w:t>
      </w:r>
    </w:p>
    <w:p w14:paraId="7FACA67F" w14:textId="77777777" w:rsidR="00AE3883" w:rsidRPr="00AE3883" w:rsidRDefault="00AE3883" w:rsidP="00501EB1">
      <w:pPr>
        <w:ind w:left="709" w:hanging="491"/>
        <w:rPr>
          <w:lang w:val="es-ES"/>
        </w:rPr>
      </w:pPr>
    </w:p>
    <w:p w14:paraId="1D7C627B" w14:textId="6B14DE7B" w:rsidR="00AE3883" w:rsidRPr="009173B5" w:rsidRDefault="00AE3883" w:rsidP="00501EB1">
      <w:pPr>
        <w:pStyle w:val="BodyText"/>
        <w:numPr>
          <w:ilvl w:val="0"/>
          <w:numId w:val="25"/>
        </w:numPr>
        <w:spacing w:before="115"/>
        <w:ind w:left="709" w:right="112" w:hanging="491"/>
        <w:rPr>
          <w:spacing w:val="-1"/>
          <w:lang w:val="es-ES"/>
        </w:rPr>
      </w:pPr>
      <w:r>
        <w:rPr>
          <w:spacing w:val="-1"/>
          <w:lang w:val="es-ES"/>
        </w:rPr>
        <w:t>En esta Sección se debe proporcionar</w:t>
      </w:r>
      <w:r w:rsidRPr="009173B5">
        <w:rPr>
          <w:spacing w:val="-1"/>
          <w:lang w:val="es-ES"/>
        </w:rPr>
        <w:t xml:space="preserve"> la información del sitio, las </w:t>
      </w:r>
      <w:r>
        <w:rPr>
          <w:spacing w:val="-1"/>
          <w:lang w:val="es-ES"/>
        </w:rPr>
        <w:t>Normas y Códigos las especificaciones técnicas mínimas, el programa arquitectónico</w:t>
      </w:r>
      <w:r w:rsidRPr="009173B5">
        <w:rPr>
          <w:spacing w:val="-1"/>
          <w:lang w:val="es-ES"/>
        </w:rPr>
        <w:t xml:space="preserve"> y los requisitos ambientales, social y de seguridad y salud en el trabajo de las Obras</w:t>
      </w:r>
      <w:r>
        <w:rPr>
          <w:spacing w:val="-1"/>
          <w:lang w:val="es-ES"/>
        </w:rPr>
        <w:t xml:space="preserve"> y </w:t>
      </w:r>
      <w:r w:rsidRPr="009173B5">
        <w:rPr>
          <w:spacing w:val="-1"/>
          <w:lang w:val="es-ES"/>
        </w:rPr>
        <w:t>la información complementaria que describa las obras y los formularios que se utilizarán durante la ejecución del contrato.</w:t>
      </w:r>
    </w:p>
    <w:p w14:paraId="47DAC467" w14:textId="3A2B1D2F" w:rsidR="00AE3883" w:rsidRDefault="00AE3883" w:rsidP="00501EB1">
      <w:pPr>
        <w:pStyle w:val="BodyText"/>
        <w:numPr>
          <w:ilvl w:val="0"/>
          <w:numId w:val="25"/>
        </w:numPr>
        <w:spacing w:before="115"/>
        <w:ind w:left="709" w:right="112" w:hanging="491"/>
        <w:rPr>
          <w:spacing w:val="-1"/>
          <w:lang w:val="es-ES"/>
        </w:rPr>
      </w:pPr>
      <w:r w:rsidRPr="009173B5">
        <w:rPr>
          <w:spacing w:val="-1"/>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230B71BD" w14:textId="5705BD48" w:rsidR="00AE3883" w:rsidRDefault="00AE3883" w:rsidP="00501EB1">
      <w:pPr>
        <w:pStyle w:val="BodyText"/>
        <w:numPr>
          <w:ilvl w:val="0"/>
          <w:numId w:val="25"/>
        </w:numPr>
        <w:spacing w:before="115"/>
        <w:ind w:left="709" w:right="112" w:hanging="491"/>
        <w:rPr>
          <w:spacing w:val="-1"/>
          <w:lang w:val="es-ES"/>
        </w:rPr>
      </w:pPr>
      <w:r>
        <w:rPr>
          <w:spacing w:val="-1"/>
          <w:lang w:val="es-ES"/>
        </w:rPr>
        <w:t>Esta Sección</w:t>
      </w:r>
      <w:r w:rsidRPr="009173B5">
        <w:rPr>
          <w:spacing w:val="-1"/>
          <w:lang w:val="es-ES"/>
        </w:rPr>
        <w:t xml:space="preserve"> debe ser elaborada para permitir la competencia más amplia y posible y, al mismo tiempo, presentar una declaración clara de las normas requeridas de diseño, de mano de obra, materiales, rendimiento y o funcionalidad funciones de las Obras. La Sección VII.” Especificaciones y Condiciones de Cumplimiento” debe estipular que todos los bienes y materiales a incorporar en las Obras deben ser nuevos sin utilizar y de modelo actual e incorporar todas las mejoras r</w:t>
      </w:r>
      <w:r>
        <w:rPr>
          <w:spacing w:val="-1"/>
          <w:lang w:val="es-ES"/>
        </w:rPr>
        <w:t>ecientes en diseño y materiales de un diseño de ingeniería según las mejores prácticas.</w:t>
      </w:r>
    </w:p>
    <w:p w14:paraId="6D5CAF76" w14:textId="77777777" w:rsidR="00AE3883" w:rsidRPr="009173B5" w:rsidRDefault="00AE3883" w:rsidP="00501EB1">
      <w:pPr>
        <w:pStyle w:val="BodyText"/>
        <w:numPr>
          <w:ilvl w:val="0"/>
          <w:numId w:val="25"/>
        </w:numPr>
        <w:spacing w:before="115"/>
        <w:ind w:left="709" w:right="112" w:hanging="491"/>
        <w:rPr>
          <w:spacing w:val="-1"/>
          <w:lang w:val="es-ES"/>
        </w:rPr>
      </w:pPr>
      <w:r w:rsidRPr="009173B5">
        <w:rPr>
          <w:spacing w:val="-1"/>
          <w:lang w:val="es-ES"/>
        </w:rPr>
        <w:t>El Contratante deberá poner a disposición de los Oferentes toda la información pertinente al sitio de las Obras. La información típica que debe proporcionar el Contratante puede incluir:</w:t>
      </w:r>
    </w:p>
    <w:p w14:paraId="17C426F3" w14:textId="77777777" w:rsidR="00AE3883" w:rsidRPr="009173B5" w:rsidRDefault="00AE3883" w:rsidP="00AE3883">
      <w:pPr>
        <w:pStyle w:val="BodyText"/>
        <w:spacing w:before="115"/>
        <w:ind w:right="112"/>
        <w:rPr>
          <w:spacing w:val="-1"/>
          <w:lang w:val="es-ES"/>
        </w:rPr>
      </w:pPr>
    </w:p>
    <w:p w14:paraId="5B16ED1A" w14:textId="77777777" w:rsidR="00AE3883" w:rsidRPr="009173B5" w:rsidRDefault="00AE3883" w:rsidP="00AE3883">
      <w:pPr>
        <w:numPr>
          <w:ilvl w:val="0"/>
          <w:numId w:val="27"/>
        </w:numPr>
        <w:contextualSpacing/>
        <w:jc w:val="left"/>
        <w:rPr>
          <w:lang w:val="es-ES"/>
        </w:rPr>
      </w:pPr>
      <w:r w:rsidRPr="009173B5">
        <w:rPr>
          <w:lang w:val="es-ES"/>
        </w:rPr>
        <w:t>Datos topográficos</w:t>
      </w:r>
    </w:p>
    <w:p w14:paraId="1992DA76" w14:textId="77777777" w:rsidR="00AE3883" w:rsidRPr="009173B5" w:rsidRDefault="00AE3883" w:rsidP="00AE3883">
      <w:pPr>
        <w:numPr>
          <w:ilvl w:val="0"/>
          <w:numId w:val="27"/>
        </w:numPr>
        <w:contextualSpacing/>
        <w:jc w:val="left"/>
        <w:rPr>
          <w:lang w:val="es-ES"/>
        </w:rPr>
      </w:pPr>
      <w:r w:rsidRPr="009173B5">
        <w:rPr>
          <w:lang w:val="es-ES"/>
        </w:rPr>
        <w:t>Datos ambientales y sociales básicos</w:t>
      </w:r>
    </w:p>
    <w:p w14:paraId="31D39671" w14:textId="77777777" w:rsidR="00AE3883" w:rsidRPr="009173B5" w:rsidRDefault="00AE3883" w:rsidP="00AE3883">
      <w:pPr>
        <w:numPr>
          <w:ilvl w:val="0"/>
          <w:numId w:val="27"/>
        </w:numPr>
        <w:contextualSpacing/>
        <w:jc w:val="left"/>
        <w:rPr>
          <w:lang w:val="es-ES"/>
        </w:rPr>
      </w:pPr>
      <w:r w:rsidRPr="009173B5">
        <w:rPr>
          <w:lang w:val="es-ES"/>
        </w:rPr>
        <w:t>Datos de la investigación sobre el terreno</w:t>
      </w:r>
    </w:p>
    <w:p w14:paraId="1D3F4206" w14:textId="77777777" w:rsidR="00AE3883" w:rsidRPr="009173B5" w:rsidRDefault="00AE3883" w:rsidP="00AE3883">
      <w:pPr>
        <w:numPr>
          <w:ilvl w:val="0"/>
          <w:numId w:val="27"/>
        </w:numPr>
        <w:contextualSpacing/>
        <w:jc w:val="left"/>
        <w:rPr>
          <w:lang w:val="es-ES"/>
        </w:rPr>
      </w:pPr>
      <w:r w:rsidRPr="009173B5">
        <w:rPr>
          <w:lang w:val="es-ES"/>
        </w:rPr>
        <w:t>Información sobre la condición del suelo</w:t>
      </w:r>
    </w:p>
    <w:p w14:paraId="1ED492E9" w14:textId="77777777" w:rsidR="00AE3883" w:rsidRPr="009173B5" w:rsidRDefault="00AE3883" w:rsidP="00AE3883">
      <w:pPr>
        <w:numPr>
          <w:ilvl w:val="0"/>
          <w:numId w:val="27"/>
        </w:numPr>
        <w:contextualSpacing/>
        <w:jc w:val="left"/>
        <w:rPr>
          <w:lang w:val="es-ES"/>
        </w:rPr>
      </w:pPr>
      <w:r w:rsidRPr="009173B5">
        <w:rPr>
          <w:lang w:val="es-ES"/>
        </w:rPr>
        <w:t>Registros de los servicios públicos</w:t>
      </w:r>
    </w:p>
    <w:p w14:paraId="5C14A6FF" w14:textId="77777777" w:rsidR="00AE3883" w:rsidRPr="009173B5" w:rsidRDefault="00AE3883" w:rsidP="00AE3883">
      <w:pPr>
        <w:numPr>
          <w:ilvl w:val="0"/>
          <w:numId w:val="27"/>
        </w:numPr>
        <w:contextualSpacing/>
        <w:jc w:val="left"/>
        <w:rPr>
          <w:lang w:val="es-ES"/>
        </w:rPr>
      </w:pPr>
      <w:r w:rsidRPr="009173B5">
        <w:rPr>
          <w:lang w:val="es-ES"/>
        </w:rPr>
        <w:t>Información sobre la propiedad de la tierra</w:t>
      </w:r>
    </w:p>
    <w:p w14:paraId="1F5760E0" w14:textId="77777777" w:rsidR="00AE3883" w:rsidRPr="009173B5" w:rsidRDefault="00AE3883" w:rsidP="00AE3883">
      <w:pPr>
        <w:numPr>
          <w:ilvl w:val="0"/>
          <w:numId w:val="27"/>
        </w:numPr>
        <w:contextualSpacing/>
        <w:jc w:val="left"/>
        <w:rPr>
          <w:lang w:val="es-ES"/>
        </w:rPr>
      </w:pPr>
      <w:r w:rsidRPr="009173B5">
        <w:rPr>
          <w:lang w:val="es-ES"/>
        </w:rPr>
        <w:t>Agua subterránea, agua superficial e información hidrológica</w:t>
      </w:r>
    </w:p>
    <w:p w14:paraId="762C3BDA" w14:textId="77777777" w:rsidR="00AE3883" w:rsidRPr="009173B5" w:rsidRDefault="00AE3883" w:rsidP="00AE3883">
      <w:pPr>
        <w:numPr>
          <w:ilvl w:val="0"/>
          <w:numId w:val="27"/>
        </w:numPr>
        <w:contextualSpacing/>
        <w:jc w:val="left"/>
        <w:rPr>
          <w:lang w:val="es-ES"/>
        </w:rPr>
      </w:pPr>
      <w:r w:rsidRPr="009173B5">
        <w:rPr>
          <w:lang w:val="es-ES"/>
        </w:rPr>
        <w:t>Planificación y regulaciones de zonificación</w:t>
      </w:r>
    </w:p>
    <w:p w14:paraId="1A01092B" w14:textId="77777777" w:rsidR="00AE3883" w:rsidRPr="009173B5" w:rsidRDefault="00AE3883" w:rsidP="00AE3883">
      <w:pPr>
        <w:numPr>
          <w:ilvl w:val="0"/>
          <w:numId w:val="27"/>
        </w:numPr>
        <w:contextualSpacing/>
        <w:jc w:val="left"/>
        <w:rPr>
          <w:lang w:val="es-ES"/>
        </w:rPr>
      </w:pPr>
      <w:r w:rsidRPr="009173B5">
        <w:rPr>
          <w:lang w:val="es-ES"/>
        </w:rPr>
        <w:t>Permisos, licencias y consentimientos y sus condiciones</w:t>
      </w:r>
    </w:p>
    <w:p w14:paraId="34C96A8C" w14:textId="77777777" w:rsidR="00AE3883" w:rsidRPr="009173B5" w:rsidRDefault="00AE3883" w:rsidP="00AE3883">
      <w:pPr>
        <w:numPr>
          <w:ilvl w:val="0"/>
          <w:numId w:val="27"/>
        </w:numPr>
        <w:contextualSpacing/>
        <w:jc w:val="left"/>
        <w:rPr>
          <w:lang w:val="es-ES"/>
        </w:rPr>
      </w:pPr>
      <w:r w:rsidRPr="009173B5">
        <w:rPr>
          <w:lang w:val="es-ES"/>
        </w:rPr>
        <w:t>Planos “as built” de la infraestructura existente</w:t>
      </w:r>
    </w:p>
    <w:p w14:paraId="2E0951FB" w14:textId="77777777" w:rsidR="00AE3883" w:rsidRPr="009173B5" w:rsidRDefault="00AE3883" w:rsidP="00AE3883">
      <w:pPr>
        <w:numPr>
          <w:ilvl w:val="0"/>
          <w:numId w:val="27"/>
        </w:numPr>
        <w:contextualSpacing/>
        <w:jc w:val="left"/>
        <w:rPr>
          <w:lang w:val="es-ES"/>
        </w:rPr>
      </w:pPr>
      <w:r w:rsidRPr="009173B5">
        <w:rPr>
          <w:lang w:val="es-ES"/>
        </w:rPr>
        <w:t>Detalles de cualquier riesgo o peligro</w:t>
      </w:r>
    </w:p>
    <w:p w14:paraId="369ACAD9" w14:textId="77777777" w:rsidR="00AE3883" w:rsidRPr="009173B5" w:rsidRDefault="00AE3883" w:rsidP="00AE3883">
      <w:pPr>
        <w:numPr>
          <w:ilvl w:val="0"/>
          <w:numId w:val="27"/>
        </w:numPr>
        <w:contextualSpacing/>
        <w:jc w:val="left"/>
        <w:rPr>
          <w:lang w:val="es-ES"/>
        </w:rPr>
      </w:pPr>
      <w:r w:rsidRPr="009173B5">
        <w:rPr>
          <w:lang w:val="es-ES"/>
        </w:rPr>
        <w:t>Cualquier otra restricción física</w:t>
      </w:r>
    </w:p>
    <w:p w14:paraId="6B64B74D" w14:textId="77777777" w:rsidR="00AE3883" w:rsidRPr="009173B5" w:rsidRDefault="00AE3883" w:rsidP="00AE3883">
      <w:pPr>
        <w:numPr>
          <w:ilvl w:val="0"/>
          <w:numId w:val="27"/>
        </w:numPr>
        <w:contextualSpacing/>
        <w:jc w:val="left"/>
        <w:rPr>
          <w:lang w:val="es-ES"/>
        </w:rPr>
      </w:pPr>
      <w:r w:rsidRPr="009173B5">
        <w:rPr>
          <w:lang w:val="es-ES"/>
        </w:rPr>
        <w:t>Sistemas de calidad y medio ambiente, salud y seguridad requeridos</w:t>
      </w:r>
    </w:p>
    <w:p w14:paraId="11D90853" w14:textId="77777777" w:rsidR="00AE3883" w:rsidRPr="009173B5" w:rsidRDefault="00AE3883" w:rsidP="00AE3883">
      <w:pPr>
        <w:numPr>
          <w:ilvl w:val="0"/>
          <w:numId w:val="27"/>
        </w:numPr>
        <w:contextualSpacing/>
        <w:jc w:val="left"/>
        <w:rPr>
          <w:lang w:val="es-ES"/>
        </w:rPr>
      </w:pPr>
      <w:r w:rsidRPr="009173B5">
        <w:rPr>
          <w:lang w:val="es-ES"/>
        </w:rPr>
        <w:t>Información sobre las reuniones de las partes interesadas (stakeholders)</w:t>
      </w:r>
    </w:p>
    <w:p w14:paraId="338AC2B7" w14:textId="5677831F" w:rsidR="00AE3883" w:rsidRPr="00AE3883" w:rsidRDefault="00AE3883" w:rsidP="00AE3883">
      <w:pPr>
        <w:numPr>
          <w:ilvl w:val="0"/>
          <w:numId w:val="27"/>
        </w:numPr>
        <w:contextualSpacing/>
        <w:jc w:val="left"/>
        <w:rPr>
          <w:lang w:val="es-ES"/>
        </w:rPr>
      </w:pPr>
      <w:r w:rsidRPr="009173B5">
        <w:rPr>
          <w:lang w:val="es-ES"/>
        </w:rPr>
        <w:lastRenderedPageBreak/>
        <w:t>Datos sobre las condiciones sub-superficiales e hidrológicas en el Sitio, inc</w:t>
      </w:r>
      <w:r>
        <w:rPr>
          <w:lang w:val="es-ES"/>
        </w:rPr>
        <w:t>luidos los aspectos ambientales.</w:t>
      </w:r>
    </w:p>
    <w:p w14:paraId="708CF392" w14:textId="77777777" w:rsidR="00AE3883" w:rsidRPr="009678E3" w:rsidRDefault="00AE3883" w:rsidP="00AE3883">
      <w:pPr>
        <w:ind w:left="218"/>
        <w:rPr>
          <w:bCs/>
          <w:lang w:val="es-ES"/>
        </w:rPr>
      </w:pPr>
    </w:p>
    <w:p w14:paraId="2E110B84" w14:textId="77777777" w:rsidR="00501EB1" w:rsidRDefault="00501EB1">
      <w:pPr>
        <w:jc w:val="left"/>
        <w:rPr>
          <w:b/>
          <w:sz w:val="40"/>
          <w:lang w:val="es-ES"/>
        </w:rPr>
      </w:pPr>
      <w:r>
        <w:br w:type="page"/>
      </w:r>
    </w:p>
    <w:p w14:paraId="0DD9FC3F" w14:textId="5562101D" w:rsidR="00AC6C37" w:rsidRPr="00BB743D" w:rsidRDefault="00AC6C37" w:rsidP="00BB743D">
      <w:pPr>
        <w:pStyle w:val="Heading2"/>
        <w:numPr>
          <w:ilvl w:val="0"/>
          <w:numId w:val="10"/>
        </w:numPr>
      </w:pPr>
      <w:r w:rsidRPr="00BB743D">
        <w:lastRenderedPageBreak/>
        <w:t>Sección VIII. Planos</w:t>
      </w:r>
      <w:bookmarkEnd w:id="21"/>
    </w:p>
    <w:p w14:paraId="7EAEAF9C" w14:textId="77777777" w:rsidR="00AC6C37" w:rsidRPr="00BB743D" w:rsidRDefault="00AC6C37" w:rsidP="00AC6C37">
      <w:pPr>
        <w:pStyle w:val="Heading2"/>
        <w:ind w:left="180" w:firstLine="0"/>
      </w:pPr>
    </w:p>
    <w:p w14:paraId="3914D29D" w14:textId="6DA78A4F" w:rsidR="00BB743D" w:rsidRPr="00BB743D" w:rsidRDefault="00BB743D" w:rsidP="00501EB1">
      <w:pPr>
        <w:pStyle w:val="ListParagraph"/>
        <w:numPr>
          <w:ilvl w:val="0"/>
          <w:numId w:val="28"/>
        </w:numPr>
        <w:ind w:left="851" w:hanging="415"/>
        <w:jc w:val="both"/>
        <w:rPr>
          <w:bCs/>
          <w:lang w:val="es-ES"/>
        </w:rPr>
      </w:pPr>
      <w:r w:rsidRPr="00BB743D">
        <w:rPr>
          <w:bCs/>
          <w:lang w:val="es-ES"/>
        </w:rPr>
        <w:t xml:space="preserve">En los Contratos de Diseño y Construcción, la buena práctica sugiere que el Contratante entregue a los Oferentes toda la información técnica sobre el sitio de las obras, las características de la Obra, el nivel de servicio, la localización, las condiciones geológicas, geotécnicas, ambientales morfológicas e hidrológicas e hidráulicas del sitio. Muchas de esas informaciones se expresan mejor en forma de planos y diseños. </w:t>
      </w:r>
    </w:p>
    <w:p w14:paraId="4F71EC9D" w14:textId="608F1CDF" w:rsidR="00BB743D" w:rsidRPr="00BB743D" w:rsidRDefault="00BB743D" w:rsidP="00501EB1">
      <w:pPr>
        <w:ind w:left="851" w:hanging="415"/>
        <w:rPr>
          <w:bCs/>
          <w:lang w:val="es-ES"/>
        </w:rPr>
      </w:pPr>
    </w:p>
    <w:p w14:paraId="311829C8" w14:textId="07079AF4" w:rsidR="00BB743D" w:rsidRPr="00BB743D" w:rsidRDefault="00BB743D" w:rsidP="00501EB1">
      <w:pPr>
        <w:pStyle w:val="ListParagraph"/>
        <w:keepNext/>
        <w:keepLines/>
        <w:numPr>
          <w:ilvl w:val="0"/>
          <w:numId w:val="28"/>
        </w:numPr>
        <w:ind w:left="851" w:hanging="415"/>
        <w:jc w:val="both"/>
        <w:rPr>
          <w:rFonts w:ascii="CG Times" w:hAnsi="CG Times"/>
          <w:iCs/>
          <w:spacing w:val="-3"/>
          <w:lang w:val="es-ES"/>
        </w:rPr>
      </w:pPr>
      <w:r w:rsidRPr="00BB743D">
        <w:rPr>
          <w:rFonts w:ascii="CG Times" w:hAnsi="CG Times"/>
          <w:iCs/>
          <w:spacing w:val="-3"/>
          <w:lang w:val="es-ES"/>
        </w:rPr>
        <w:t xml:space="preserve">Esquemas y gráficos incluyendo los planos del Sitio de las Obras, deberán adjuntarse a esta sección indicando claramente cuáles son referenciales y sujetos verificación por el Contratista y cuáles tiene una declaración de fidelidad y veracidad del Contratante. </w:t>
      </w:r>
    </w:p>
    <w:p w14:paraId="49D02615" w14:textId="77777777" w:rsidR="00BB743D" w:rsidRPr="00BB743D" w:rsidRDefault="00BB743D" w:rsidP="00501EB1">
      <w:pPr>
        <w:keepNext/>
        <w:keepLines/>
        <w:ind w:left="851" w:hanging="415"/>
        <w:rPr>
          <w:rFonts w:ascii="CG Times" w:hAnsi="CG Times"/>
          <w:iCs/>
          <w:spacing w:val="-3"/>
          <w:lang w:val="es-ES"/>
        </w:rPr>
      </w:pPr>
    </w:p>
    <w:p w14:paraId="6D538F0B" w14:textId="23BA8891" w:rsidR="00BB743D" w:rsidRPr="00BB743D" w:rsidRDefault="00BB743D" w:rsidP="00501EB1">
      <w:pPr>
        <w:pStyle w:val="ListParagraph"/>
        <w:keepNext/>
        <w:keepLines/>
        <w:numPr>
          <w:ilvl w:val="0"/>
          <w:numId w:val="28"/>
        </w:numPr>
        <w:ind w:left="851" w:hanging="415"/>
        <w:jc w:val="both"/>
        <w:rPr>
          <w:rFonts w:ascii="CG Times" w:hAnsi="CG Times"/>
          <w:iCs/>
          <w:spacing w:val="-3"/>
          <w:lang w:val="es-ES"/>
        </w:rPr>
      </w:pPr>
      <w:r w:rsidRPr="00BB743D">
        <w:rPr>
          <w:rFonts w:ascii="CG Times" w:hAnsi="CG Times"/>
          <w:iCs/>
          <w:spacing w:val="-3"/>
          <w:lang w:val="es-ES"/>
        </w:rPr>
        <w:t xml:space="preserve">Es importante la declaración de fidelidad y veracidad respecto a aquellos elementos que el Contratista no debe duplicar para no encarecer innecesariamente el costo de las obras. Sin embargo, esa declaración generalmente exime de responsabilidad al Contratista si las condiciones en el terreno resultan diferentes a las establecidas en los planos y diseños conceptuales del Contratante, por lo que este recurso debe utilizarse con mucha precaución. </w:t>
      </w:r>
    </w:p>
    <w:p w14:paraId="6B523B01" w14:textId="77777777" w:rsidR="00BB743D" w:rsidRPr="00BB743D" w:rsidRDefault="00BB743D" w:rsidP="00BB743D">
      <w:pPr>
        <w:keepNext/>
        <w:keepLines/>
        <w:rPr>
          <w:rFonts w:ascii="CG Times" w:hAnsi="CG Times"/>
          <w:iCs/>
          <w:spacing w:val="-3"/>
          <w:lang w:val="es-ES"/>
        </w:rPr>
      </w:pPr>
    </w:p>
    <w:p w14:paraId="666E1F5F" w14:textId="77777777" w:rsidR="00AC6C37" w:rsidRPr="00BB743D" w:rsidRDefault="00AC6C37" w:rsidP="00AC6C37">
      <w:pPr>
        <w:autoSpaceDE w:val="0"/>
        <w:autoSpaceDN w:val="0"/>
        <w:adjustRightInd w:val="0"/>
        <w:rPr>
          <w:lang w:val="es-ES"/>
        </w:rPr>
      </w:pPr>
    </w:p>
    <w:p w14:paraId="29B65BAD" w14:textId="77777777" w:rsidR="00AC6C37" w:rsidRPr="00BB743D" w:rsidRDefault="00AC6C37" w:rsidP="00AC6C37">
      <w:pPr>
        <w:autoSpaceDE w:val="0"/>
        <w:autoSpaceDN w:val="0"/>
        <w:adjustRightInd w:val="0"/>
        <w:rPr>
          <w:lang w:val="es-ES"/>
        </w:rPr>
      </w:pPr>
    </w:p>
    <w:p w14:paraId="53E7BF5B" w14:textId="77777777" w:rsidR="00AC6C37" w:rsidRPr="00BB743D" w:rsidRDefault="00AC6C37" w:rsidP="00AC6C37">
      <w:pPr>
        <w:pStyle w:val="explanatorynotes"/>
        <w:rPr>
          <w:rFonts w:ascii="Times New Roman" w:hAnsi="Times New Roman"/>
          <w:b/>
          <w:bCs/>
          <w:sz w:val="28"/>
          <w:lang w:val="es-ES"/>
        </w:rPr>
      </w:pPr>
      <w:r w:rsidRPr="00BB743D">
        <w:rPr>
          <w:rFonts w:ascii="Times New Roman" w:hAnsi="Times New Roman"/>
          <w:b/>
          <w:bCs/>
          <w:sz w:val="28"/>
          <w:lang w:val="es-ES"/>
        </w:rPr>
        <w:br w:type="page"/>
      </w:r>
    </w:p>
    <w:p w14:paraId="19BEC0A2" w14:textId="0F92A112" w:rsidR="00AC6C37" w:rsidRPr="00BB743D" w:rsidRDefault="00AC6C37" w:rsidP="00BB743D">
      <w:pPr>
        <w:pStyle w:val="Heading2"/>
        <w:numPr>
          <w:ilvl w:val="0"/>
          <w:numId w:val="10"/>
        </w:numPr>
      </w:pPr>
      <w:bookmarkStart w:id="22" w:name="_Toc503248449"/>
      <w:r w:rsidRPr="00BB743D">
        <w:lastRenderedPageBreak/>
        <w:t>Sección IX. Lista de Actividades</w:t>
      </w:r>
      <w:bookmarkEnd w:id="22"/>
    </w:p>
    <w:p w14:paraId="45F0B994" w14:textId="77777777" w:rsidR="00AC6C37" w:rsidRPr="00BB743D" w:rsidRDefault="00AC6C37" w:rsidP="00AC6C37">
      <w:pPr>
        <w:pStyle w:val="Heading2"/>
        <w:ind w:left="180" w:firstLine="0"/>
        <w:rPr>
          <w:i/>
        </w:rPr>
      </w:pPr>
    </w:p>
    <w:p w14:paraId="42A32379"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Estas notas para preparar Listas de Actividades tienen por único fin brindar información al Contratante o a la persona que redacte el Documento de Licitación.</w:t>
      </w:r>
    </w:p>
    <w:p w14:paraId="0794A2B1"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Las obras se contratan normalmente sobre la base de una sola responsabilidad y este Documento de Licitación está diseñado para ese propósito. Se recomienda no diluir el enfoque de responsabilidad única a menos que existan razones justificables.</w:t>
      </w:r>
    </w:p>
    <w:p w14:paraId="6C320995"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 xml:space="preserve">Los Oferentes cotizarán por la totalidad de las Obras en una "sola responsabilidad", de modo que el precio total de la Oferta debe cubrir todas las obligaciones del Contratista mencionadas o aquellas que se pueden deducir razonablemente del Documento de Licitación en relación con el diseño, la fabricación, incluida la adquisición y subcontratación (si la hubiere), la entrega, la construcción y la terminación de las Obras. Esto incluye todos los requisitos bajo las responsabilidades del Contratista para probar, poner en marcha (o poner en servicio, según corresponda) de las Obras y, cuando así lo requiera el Documento de Licitación, la adquisición de todos los permisos, aprobaciones y licencias, etc.  </w:t>
      </w:r>
    </w:p>
    <w:p w14:paraId="56A69C8D" w14:textId="2FF15B59"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Las Listas de Actividades también podrán incluir todos los servicios de operación, mantenimiento y capacitación, cuando así se establece en los Requisitos del Contratante, así como otros elementos y servicios que se especifiquen en el Documento de Licitación.</w:t>
      </w:r>
    </w:p>
    <w:p w14:paraId="50D0BE24"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 xml:space="preserve">El Contratante generalmente define los títulos de las Listas de Actividades, pero son los Oferentes quienes completan la descripción (y el costo) de las sub-actividades sobre la base de su plan de diseño y ejecución de los trabajos. Además de la descripción de las Listas de Actividades, algunos Contratantes prefieren definir también en el Documento de Licitación la descripción de las sub-actividades para asegurarse que los Oferentes identifican todos los elementos de las obras de conformidad con su diseño conceptual o partes del diseño ejecutivo que ya dispone. </w:t>
      </w:r>
    </w:p>
    <w:p w14:paraId="76A5EEC2" w14:textId="10FCD5F9"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 xml:space="preserve">Los Oferentes proporcionarán un desglose de los precios en la forma y detalle requeridos en las Listas de Actividades y Sub-Actividades con Precios incluidas en la Sección IV, Formularios de Licitación; este desglose es útil para a determinación de los objetos de pago o hitos; sin embargo, solamente cuando se completa y se aprueba el diseño final es que se puede definir las sub-actividades en detalle, su costo individual (sin alterar la suma alzada pactada) y la forma de pago de los hitos. </w:t>
      </w:r>
    </w:p>
    <w:p w14:paraId="56C57D70"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 xml:space="preserve">El total de los precios de los artículos en La Lista de Actividades con precios es la Parte Financiera de la Oferta del Oferente para completar las obras en un esquema de "responsabilidad única".  El costo de cualquier elemento que el Oferente haya omitido se considerará incluido en el precio de otros elementos </w:t>
      </w:r>
      <w:r w:rsidRPr="00BB743D">
        <w:rPr>
          <w:rFonts w:ascii="Times New Roman" w:hAnsi="Times New Roman"/>
          <w:lang w:val="es-ES"/>
        </w:rPr>
        <w:lastRenderedPageBreak/>
        <w:t>en las Listas de Actividad y Sub-Actividades y no deberá ser pagado por separado por el Contratante.</w:t>
      </w:r>
    </w:p>
    <w:p w14:paraId="627E9473"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En circunstancias específicas, en las que algunos componentes de las Obras que deben proporcionarse bajo la responsabilidad y riesgo del Contratante (por ejemplo trabajos subterráneos donde hay poca información geológica o en sectores donde se han identificado fallas geológicas activas o inactivas, presencia abundante de agua, suelos de muy pobre capacidad soportante), se deberá utilizar el siguiente texto en el preámbulo de las Listas de Actividades a efecto de introducir el pago por mediciones.</w:t>
      </w:r>
    </w:p>
    <w:p w14:paraId="5352B9EB" w14:textId="3E1315C6" w:rsidR="00AC6C37" w:rsidRPr="00BB743D" w:rsidRDefault="00BB743D" w:rsidP="00BB743D">
      <w:pPr>
        <w:pStyle w:val="explanatorynotes"/>
        <w:spacing w:after="120" w:line="240" w:lineRule="auto"/>
        <w:ind w:left="630"/>
        <w:rPr>
          <w:rFonts w:ascii="Times New Roman" w:hAnsi="Times New Roman"/>
          <w:i/>
          <w:lang w:val="es-ES"/>
        </w:rPr>
      </w:pPr>
      <w:r w:rsidRPr="00BB743D">
        <w:rPr>
          <w:rFonts w:ascii="Times New Roman" w:hAnsi="Times New Roman"/>
          <w:i/>
          <w:lang w:val="es-ES"/>
        </w:rPr>
        <w:t>[“El Precio del Contrato será una suma alzada. Sin embargo, si alguna parte de las Obras debe ser pagada de acuerdo con la cantidad suministrada o el trabajo realizado, las provisiones para la medición y evaluación serán las establecidas en las Condiciones Particulares del Contrato - Parte B- Sub-Cláusula 14.1. Las partes de las Obras para las cuales se hará el pago sobre la base de la medición se especifican en ______.</w:t>
      </w:r>
    </w:p>
    <w:p w14:paraId="27B35D37" w14:textId="77777777" w:rsidR="00AC6C37" w:rsidRPr="00BB743D" w:rsidRDefault="00AC6C37" w:rsidP="00AC6C37">
      <w:pPr>
        <w:autoSpaceDE w:val="0"/>
        <w:autoSpaceDN w:val="0"/>
        <w:adjustRightInd w:val="0"/>
        <w:rPr>
          <w:lang w:val="es-ES"/>
        </w:rPr>
      </w:pPr>
    </w:p>
    <w:p w14:paraId="667D7634" w14:textId="77777777" w:rsidR="00BB743D" w:rsidRPr="00BB743D" w:rsidRDefault="00BB743D" w:rsidP="00BB743D">
      <w:pPr>
        <w:rPr>
          <w:bCs/>
          <w:szCs w:val="24"/>
          <w:u w:val="single"/>
          <w:lang w:val="es-ES"/>
        </w:rPr>
      </w:pPr>
      <w:r w:rsidRPr="00BB743D">
        <w:rPr>
          <w:bCs/>
          <w:szCs w:val="24"/>
          <w:u w:val="single"/>
          <w:lang w:val="es-ES"/>
        </w:rPr>
        <w:t>Actividades</w:t>
      </w:r>
    </w:p>
    <w:p w14:paraId="762C85E0"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Las actividades deberán agruparse en secciones para distinguir entre las partes de las obras que, por su naturaleza, ubicación, acceso, secuencia u otra característica especial puedan dar lugar a diferentes métodos de construcción, programación de los trabajos o consideraciones de costo. Los rubros generales que sean comunes a todas las partes de las obras podrán agruparse en una sección separada de la estimación cuantitativa. Cuando se usen fórmulas de ajuste de precios, éstas deberán corresponder con las secciones pertinentes de la lista de actividades.</w:t>
      </w:r>
    </w:p>
    <w:p w14:paraId="2518CC2D" w14:textId="77777777" w:rsidR="00BB743D" w:rsidRPr="00BB743D" w:rsidRDefault="00BB743D" w:rsidP="00BB743D">
      <w:pPr>
        <w:rPr>
          <w:bCs/>
          <w:szCs w:val="24"/>
          <w:u w:val="single"/>
          <w:lang w:val="es-ES"/>
        </w:rPr>
      </w:pPr>
      <w:r w:rsidRPr="00BB743D">
        <w:rPr>
          <w:bCs/>
          <w:szCs w:val="24"/>
          <w:u w:val="single"/>
          <w:lang w:val="es-ES"/>
        </w:rPr>
        <w:t>Sub-Actividades</w:t>
      </w:r>
    </w:p>
    <w:p w14:paraId="435DA01B"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Para cada Actividad se deberán establecer las Sub-Actividades y sus precios.</w:t>
      </w:r>
    </w:p>
    <w:p w14:paraId="79D409C4" w14:textId="77777777" w:rsidR="00BB743D" w:rsidRPr="00BB743D" w:rsidRDefault="00BB743D" w:rsidP="00BB743D">
      <w:pPr>
        <w:rPr>
          <w:bCs/>
          <w:szCs w:val="24"/>
          <w:u w:val="single"/>
          <w:lang w:val="es-ES"/>
        </w:rPr>
      </w:pPr>
      <w:r w:rsidRPr="00BB743D">
        <w:rPr>
          <w:bCs/>
          <w:szCs w:val="24"/>
          <w:u w:val="single"/>
          <w:lang w:val="es-ES"/>
        </w:rPr>
        <w:t>Trabajos por día</w:t>
      </w:r>
    </w:p>
    <w:p w14:paraId="56879BDD"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Si se especifican, las cantidades nominales de trabajo/horas, etc. deben ser iguales especificadas por el Contratante para que los Oferentes las coticen competitivamente</w:t>
      </w:r>
    </w:p>
    <w:p w14:paraId="2B734A46"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Deberá incluirse un listado de trabajos por día cuando sea altamente probable que deban realizarse trabajos imprevistos, fuera de los que figuren en la lista de cantidades. Con el ánimo de facilitarle al Contratante la tarea de verificar que las tarifas cotizadas por los oferentes son realistas, el listado de trabajos por día normalmente incluirá lo siguiente:</w:t>
      </w:r>
    </w:p>
    <w:p w14:paraId="00F522DF" w14:textId="77777777" w:rsidR="00BB743D" w:rsidRPr="00BB743D" w:rsidRDefault="00BB743D" w:rsidP="00BB743D">
      <w:pPr>
        <w:pStyle w:val="explanatorynotes"/>
        <w:tabs>
          <w:tab w:val="left" w:pos="709"/>
        </w:tabs>
        <w:spacing w:after="120" w:line="240" w:lineRule="auto"/>
        <w:ind w:left="1265" w:hanging="545"/>
        <w:rPr>
          <w:rFonts w:ascii="Times New Roman" w:hAnsi="Times New Roman"/>
          <w:lang w:val="es-ES"/>
        </w:rPr>
      </w:pPr>
      <w:r w:rsidRPr="00BB743D">
        <w:rPr>
          <w:rFonts w:ascii="Times New Roman" w:hAnsi="Times New Roman"/>
          <w:lang w:val="es-ES"/>
        </w:rPr>
        <w:t>(a)</w:t>
      </w:r>
      <w:r w:rsidRPr="00BB743D">
        <w:rPr>
          <w:rFonts w:ascii="Times New Roman" w:hAnsi="Times New Roman"/>
          <w:lang w:val="es-ES"/>
        </w:rPr>
        <w:tab/>
        <w:t>una lista de los distintos tipos de mano de obra, materiales y equipos del contratista para los cuales el oferente deba incluir tarifas o precios básicos para trabajos por día, además de las condiciones de pago correspondientes; y</w:t>
      </w:r>
    </w:p>
    <w:p w14:paraId="57476468" w14:textId="77777777" w:rsidR="00BB743D" w:rsidRPr="00BB743D" w:rsidRDefault="00BB743D" w:rsidP="00BB743D">
      <w:pPr>
        <w:pStyle w:val="explanatorynotes"/>
        <w:tabs>
          <w:tab w:val="left" w:pos="709"/>
        </w:tabs>
        <w:spacing w:after="120" w:line="240" w:lineRule="auto"/>
        <w:ind w:left="1265" w:hanging="545"/>
        <w:rPr>
          <w:rFonts w:ascii="Times New Roman" w:hAnsi="Times New Roman"/>
          <w:lang w:val="es-ES"/>
        </w:rPr>
      </w:pPr>
      <w:r w:rsidRPr="00BB743D">
        <w:rPr>
          <w:rFonts w:ascii="Times New Roman" w:hAnsi="Times New Roman"/>
          <w:lang w:val="es-ES"/>
        </w:rPr>
        <w:t xml:space="preserve"> (b)</w:t>
      </w:r>
      <w:r w:rsidRPr="00BB743D">
        <w:rPr>
          <w:rFonts w:ascii="Times New Roman" w:hAnsi="Times New Roman"/>
          <w:lang w:val="es-ES"/>
        </w:rPr>
        <w:tab/>
        <w:t>un porcentaje, que deberá precisar el oferente, de cada subtotal de mano de obra, materiales e instalaciones, que cubra las ganancias del contratista más sus gastos generales, gastos de supervisión y otros gastos.</w:t>
      </w:r>
    </w:p>
    <w:p w14:paraId="68E3C7BE" w14:textId="77777777" w:rsidR="00BB743D" w:rsidRPr="00BB743D" w:rsidRDefault="00BB743D" w:rsidP="00BB743D">
      <w:pPr>
        <w:rPr>
          <w:bCs/>
          <w:szCs w:val="24"/>
          <w:u w:val="single"/>
          <w:lang w:val="es-ES"/>
        </w:rPr>
      </w:pPr>
      <w:r w:rsidRPr="00BB743D">
        <w:rPr>
          <w:bCs/>
          <w:szCs w:val="24"/>
          <w:u w:val="single"/>
          <w:lang w:val="es-ES"/>
        </w:rPr>
        <w:t>Trabajos por mediciones</w:t>
      </w:r>
    </w:p>
    <w:p w14:paraId="0572A0CA"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lastRenderedPageBreak/>
        <w:t>Si se especifican, las cantidades que se dispongan en los trabajos por mediciones que excepcionalmente se agregan al objetivo del contrato deben calcularse sobre la base neta de los planos, salvo indicación en contrario en el contrato, sin margen para por volumen, retracciones o desechos. Las cantidades deberán expresarse en números redondeados al número entero inmediatamente mayor o menor donde corresponda. Los montos totales de las partes se llevan al resumen como una suma provisional o un rubro a ser ejecutado por mediciones de cantidades.</w:t>
      </w:r>
    </w:p>
    <w:p w14:paraId="198F13EA" w14:textId="77777777" w:rsidR="00BB743D" w:rsidRPr="00BB743D" w:rsidRDefault="00BB743D" w:rsidP="00BB743D">
      <w:pPr>
        <w:rPr>
          <w:bCs/>
          <w:szCs w:val="24"/>
          <w:u w:val="single"/>
          <w:lang w:val="es-ES"/>
        </w:rPr>
      </w:pPr>
      <w:r w:rsidRPr="00BB743D">
        <w:rPr>
          <w:bCs/>
          <w:szCs w:val="24"/>
          <w:u w:val="single"/>
          <w:lang w:val="es-ES"/>
        </w:rPr>
        <w:t xml:space="preserve">Unidades de medida </w:t>
      </w:r>
    </w:p>
    <w:p w14:paraId="20FBCA22" w14:textId="77777777" w:rsidR="00BB743D" w:rsidRPr="00BB743D" w:rsidRDefault="00BB743D" w:rsidP="00AE3883">
      <w:pPr>
        <w:pStyle w:val="explanatorynotes"/>
        <w:numPr>
          <w:ilvl w:val="0"/>
          <w:numId w:val="29"/>
        </w:numPr>
        <w:spacing w:after="120" w:line="240" w:lineRule="auto"/>
        <w:ind w:left="1418" w:hanging="708"/>
        <w:rPr>
          <w:rFonts w:ascii="Times New Roman" w:hAnsi="Times New Roman"/>
          <w:lang w:val="es-ES"/>
        </w:rPr>
      </w:pPr>
      <w:r w:rsidRPr="00BB743D">
        <w:rPr>
          <w:rFonts w:ascii="Times New Roman" w:hAnsi="Times New Roman"/>
          <w:lang w:val="es-ES"/>
        </w:rPr>
        <w:t>Se recomienda usar las siguientes unidades de medida y abreviaturas (salvo que en el país del contratante sea obligatorio usar otras unidades nacionales).</w:t>
      </w:r>
    </w:p>
    <w:p w14:paraId="768630D2" w14:textId="77777777" w:rsidR="00BB743D" w:rsidRPr="00BB743D" w:rsidRDefault="00BB743D" w:rsidP="00BB743D">
      <w:pPr>
        <w:pStyle w:val="explanatorynotes"/>
        <w:spacing w:after="120" w:line="240" w:lineRule="auto"/>
        <w:rPr>
          <w:rFonts w:ascii="Times New Roman" w:hAnsi="Times New Roman"/>
          <w:lang w:val="es-E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864"/>
        <w:gridCol w:w="2160"/>
        <w:gridCol w:w="1835"/>
      </w:tblGrid>
      <w:tr w:rsidR="00BB743D" w:rsidRPr="00BB743D" w14:paraId="71E726EE" w14:textId="77777777" w:rsidTr="006B6D0C">
        <w:trPr>
          <w:jc w:val="center"/>
        </w:trPr>
        <w:tc>
          <w:tcPr>
            <w:tcW w:w="1952" w:type="dxa"/>
            <w:tcBorders>
              <w:top w:val="single" w:sz="6" w:space="0" w:color="auto"/>
              <w:left w:val="single" w:sz="6" w:space="0" w:color="auto"/>
              <w:bottom w:val="single" w:sz="6" w:space="0" w:color="auto"/>
              <w:right w:val="single" w:sz="6" w:space="0" w:color="auto"/>
            </w:tcBorders>
          </w:tcPr>
          <w:p w14:paraId="150BEA84" w14:textId="77777777" w:rsidR="00BB743D" w:rsidRPr="00BB743D" w:rsidRDefault="00BB743D" w:rsidP="006B6D0C">
            <w:pPr>
              <w:spacing w:before="20" w:after="20"/>
              <w:jc w:val="center"/>
              <w:rPr>
                <w:b/>
                <w:lang w:val="es-ES"/>
              </w:rPr>
            </w:pPr>
            <w:r w:rsidRPr="00BB743D">
              <w:rPr>
                <w:b/>
                <w:lang w:val="es-ES"/>
              </w:rPr>
              <w:t>Unidad</w:t>
            </w:r>
          </w:p>
        </w:tc>
        <w:tc>
          <w:tcPr>
            <w:tcW w:w="1864" w:type="dxa"/>
            <w:tcBorders>
              <w:top w:val="single" w:sz="6" w:space="0" w:color="auto"/>
              <w:left w:val="single" w:sz="6" w:space="0" w:color="auto"/>
              <w:bottom w:val="single" w:sz="6" w:space="0" w:color="auto"/>
              <w:right w:val="single" w:sz="6" w:space="0" w:color="auto"/>
            </w:tcBorders>
          </w:tcPr>
          <w:p w14:paraId="0530981B" w14:textId="77777777" w:rsidR="00BB743D" w:rsidRPr="00BB743D" w:rsidRDefault="00BB743D" w:rsidP="006B6D0C">
            <w:pPr>
              <w:spacing w:before="20" w:after="20"/>
              <w:jc w:val="center"/>
              <w:rPr>
                <w:b/>
                <w:lang w:val="es-ES"/>
              </w:rPr>
            </w:pPr>
            <w:r w:rsidRPr="00BB743D">
              <w:rPr>
                <w:b/>
                <w:lang w:val="es-ES"/>
              </w:rPr>
              <w:t>Abreviatura</w:t>
            </w:r>
          </w:p>
        </w:tc>
        <w:tc>
          <w:tcPr>
            <w:tcW w:w="2160" w:type="dxa"/>
            <w:tcBorders>
              <w:top w:val="single" w:sz="6" w:space="0" w:color="auto"/>
              <w:left w:val="single" w:sz="6" w:space="0" w:color="auto"/>
              <w:bottom w:val="single" w:sz="6" w:space="0" w:color="auto"/>
              <w:right w:val="single" w:sz="6" w:space="0" w:color="auto"/>
            </w:tcBorders>
          </w:tcPr>
          <w:p w14:paraId="34480898" w14:textId="77777777" w:rsidR="00BB743D" w:rsidRPr="00BB743D" w:rsidRDefault="00BB743D" w:rsidP="006B6D0C">
            <w:pPr>
              <w:spacing w:before="20" w:after="20"/>
              <w:jc w:val="center"/>
              <w:rPr>
                <w:b/>
                <w:lang w:val="es-ES"/>
              </w:rPr>
            </w:pPr>
            <w:r w:rsidRPr="00BB743D">
              <w:rPr>
                <w:b/>
                <w:lang w:val="es-ES"/>
              </w:rPr>
              <w:t>Unidad</w:t>
            </w:r>
          </w:p>
        </w:tc>
        <w:tc>
          <w:tcPr>
            <w:tcW w:w="1835" w:type="dxa"/>
            <w:tcBorders>
              <w:top w:val="single" w:sz="6" w:space="0" w:color="auto"/>
              <w:left w:val="single" w:sz="6" w:space="0" w:color="auto"/>
              <w:bottom w:val="single" w:sz="6" w:space="0" w:color="auto"/>
              <w:right w:val="single" w:sz="6" w:space="0" w:color="auto"/>
            </w:tcBorders>
          </w:tcPr>
          <w:p w14:paraId="4A7E7F51" w14:textId="77777777" w:rsidR="00BB743D" w:rsidRPr="00BB743D" w:rsidRDefault="00BB743D" w:rsidP="006B6D0C">
            <w:pPr>
              <w:spacing w:before="20" w:after="20"/>
              <w:jc w:val="center"/>
              <w:rPr>
                <w:b/>
                <w:lang w:val="es-ES"/>
              </w:rPr>
            </w:pPr>
            <w:r w:rsidRPr="00BB743D">
              <w:rPr>
                <w:b/>
                <w:lang w:val="es-ES"/>
              </w:rPr>
              <w:t>Abreviatura</w:t>
            </w:r>
          </w:p>
        </w:tc>
      </w:tr>
      <w:tr w:rsidR="00BB743D" w:rsidRPr="00BB743D" w14:paraId="64AF3203" w14:textId="77777777" w:rsidTr="006B6D0C">
        <w:trPr>
          <w:jc w:val="center"/>
        </w:trPr>
        <w:tc>
          <w:tcPr>
            <w:tcW w:w="1952" w:type="dxa"/>
            <w:tcBorders>
              <w:top w:val="single" w:sz="6" w:space="0" w:color="auto"/>
              <w:left w:val="single" w:sz="6" w:space="0" w:color="auto"/>
              <w:bottom w:val="single" w:sz="6" w:space="0" w:color="auto"/>
              <w:right w:val="single" w:sz="6" w:space="0" w:color="auto"/>
            </w:tcBorders>
          </w:tcPr>
          <w:p w14:paraId="4BCD76DD" w14:textId="77777777" w:rsidR="00BB743D" w:rsidRPr="00BB743D" w:rsidRDefault="00BB743D" w:rsidP="006B6D0C">
            <w:pPr>
              <w:spacing w:before="20" w:after="20"/>
              <w:jc w:val="left"/>
              <w:rPr>
                <w:lang w:val="es-ES"/>
              </w:rPr>
            </w:pPr>
            <w:r w:rsidRPr="00BB743D">
              <w:rPr>
                <w:lang w:val="es-ES"/>
              </w:rPr>
              <w:t>metro cúbico</w:t>
            </w:r>
          </w:p>
          <w:p w14:paraId="2455E69C" w14:textId="77777777" w:rsidR="00BB743D" w:rsidRPr="00BB743D" w:rsidRDefault="00BB743D" w:rsidP="006B6D0C">
            <w:pPr>
              <w:pStyle w:val="IndexHeading"/>
              <w:spacing w:before="20" w:after="20"/>
              <w:rPr>
                <w:sz w:val="24"/>
                <w:lang w:val="es-ES"/>
              </w:rPr>
            </w:pPr>
            <w:r w:rsidRPr="00BB743D">
              <w:rPr>
                <w:sz w:val="24"/>
                <w:lang w:val="es-ES"/>
              </w:rPr>
              <w:t>hectárea</w:t>
            </w:r>
          </w:p>
          <w:p w14:paraId="0E7CBED9" w14:textId="77777777" w:rsidR="00BB743D" w:rsidRPr="00BB743D" w:rsidRDefault="00BB743D" w:rsidP="006B6D0C">
            <w:pPr>
              <w:pStyle w:val="Document1"/>
              <w:keepNext w:val="0"/>
              <w:keepLines w:val="0"/>
              <w:tabs>
                <w:tab w:val="clear" w:pos="-720"/>
              </w:tabs>
              <w:suppressAutoHyphens w:val="0"/>
              <w:spacing w:before="20" w:after="20"/>
              <w:rPr>
                <w:rFonts w:ascii="Times New Roman" w:hAnsi="Times New Roman"/>
                <w:lang w:val="es-ES"/>
              </w:rPr>
            </w:pPr>
            <w:r w:rsidRPr="00BB743D">
              <w:rPr>
                <w:rFonts w:ascii="Times New Roman" w:hAnsi="Times New Roman"/>
                <w:lang w:val="es-ES"/>
              </w:rPr>
              <w:t>hora</w:t>
            </w:r>
          </w:p>
          <w:p w14:paraId="62B24BF1" w14:textId="77777777" w:rsidR="00BB743D" w:rsidRPr="00BB743D" w:rsidRDefault="00BB743D" w:rsidP="006B6D0C">
            <w:pPr>
              <w:spacing w:before="20" w:after="20"/>
              <w:jc w:val="left"/>
              <w:rPr>
                <w:lang w:val="es-ES"/>
              </w:rPr>
            </w:pPr>
            <w:r w:rsidRPr="00BB743D">
              <w:rPr>
                <w:lang w:val="es-ES"/>
              </w:rPr>
              <w:t>kilogramo</w:t>
            </w:r>
          </w:p>
          <w:p w14:paraId="6D1856D5" w14:textId="77777777" w:rsidR="00BB743D" w:rsidRPr="00BB743D" w:rsidRDefault="00BB743D" w:rsidP="006B6D0C">
            <w:pPr>
              <w:spacing w:before="20" w:after="20"/>
              <w:jc w:val="left"/>
              <w:rPr>
                <w:lang w:val="es-ES"/>
              </w:rPr>
            </w:pPr>
            <w:r w:rsidRPr="00BB743D">
              <w:rPr>
                <w:lang w:val="es-ES"/>
              </w:rPr>
              <w:t>suma global</w:t>
            </w:r>
          </w:p>
          <w:p w14:paraId="59C81400" w14:textId="77777777" w:rsidR="00BB743D" w:rsidRPr="00BB743D" w:rsidRDefault="00BB743D" w:rsidP="006B6D0C">
            <w:pPr>
              <w:spacing w:before="20" w:after="20"/>
              <w:jc w:val="left"/>
              <w:rPr>
                <w:lang w:val="es-ES"/>
              </w:rPr>
            </w:pPr>
            <w:r w:rsidRPr="00BB743D">
              <w:rPr>
                <w:lang w:val="es-ES"/>
              </w:rPr>
              <w:t>metro</w:t>
            </w:r>
          </w:p>
          <w:p w14:paraId="6BB4301F" w14:textId="77777777" w:rsidR="00BB743D" w:rsidRPr="00BB743D" w:rsidRDefault="00BB743D" w:rsidP="006B6D0C">
            <w:pPr>
              <w:spacing w:before="20" w:after="20"/>
              <w:jc w:val="left"/>
              <w:rPr>
                <w:lang w:val="es-ES"/>
              </w:rPr>
            </w:pPr>
            <w:r w:rsidRPr="00BB743D">
              <w:rPr>
                <w:lang w:val="es-ES"/>
              </w:rPr>
              <w:t>tonelada métrica</w:t>
            </w:r>
          </w:p>
          <w:p w14:paraId="7AA6F338" w14:textId="77777777" w:rsidR="00BB743D" w:rsidRPr="00BB743D" w:rsidRDefault="00BB743D" w:rsidP="006B6D0C">
            <w:pPr>
              <w:spacing w:before="20" w:after="20"/>
              <w:jc w:val="left"/>
              <w:rPr>
                <w:lang w:val="es-ES"/>
              </w:rPr>
            </w:pPr>
            <w:r w:rsidRPr="00BB743D">
              <w:rPr>
                <w:lang w:val="es-ES"/>
              </w:rPr>
              <w:t>(1.000 kg)</w:t>
            </w:r>
          </w:p>
        </w:tc>
        <w:tc>
          <w:tcPr>
            <w:tcW w:w="1864" w:type="dxa"/>
            <w:tcBorders>
              <w:top w:val="single" w:sz="6" w:space="0" w:color="auto"/>
              <w:left w:val="single" w:sz="6" w:space="0" w:color="auto"/>
              <w:bottom w:val="single" w:sz="6" w:space="0" w:color="auto"/>
              <w:right w:val="single" w:sz="6" w:space="0" w:color="auto"/>
            </w:tcBorders>
          </w:tcPr>
          <w:p w14:paraId="71CDA327" w14:textId="77777777" w:rsidR="00BB743D" w:rsidRPr="00BB743D" w:rsidRDefault="00BB743D" w:rsidP="006B6D0C">
            <w:pPr>
              <w:spacing w:before="20" w:after="20"/>
              <w:jc w:val="left"/>
              <w:rPr>
                <w:lang w:val="es-ES"/>
              </w:rPr>
            </w:pPr>
            <w:r w:rsidRPr="00BB743D">
              <w:rPr>
                <w:lang w:val="es-ES"/>
              </w:rPr>
              <w:t>m</w:t>
            </w:r>
            <w:r w:rsidRPr="00BB743D">
              <w:rPr>
                <w:vertAlign w:val="superscript"/>
                <w:lang w:val="es-ES"/>
              </w:rPr>
              <w:t>3</w:t>
            </w:r>
            <w:r w:rsidRPr="00BB743D">
              <w:rPr>
                <w:lang w:val="es-ES"/>
              </w:rPr>
              <w:t xml:space="preserve"> </w:t>
            </w:r>
          </w:p>
          <w:p w14:paraId="78F8FA16" w14:textId="77777777" w:rsidR="00BB743D" w:rsidRPr="00BB743D" w:rsidRDefault="00BB743D" w:rsidP="006B6D0C">
            <w:pPr>
              <w:spacing w:before="20" w:after="20"/>
              <w:jc w:val="left"/>
              <w:rPr>
                <w:lang w:val="es-ES"/>
              </w:rPr>
            </w:pPr>
            <w:r w:rsidRPr="00BB743D">
              <w:rPr>
                <w:lang w:val="es-ES"/>
              </w:rPr>
              <w:t>ha</w:t>
            </w:r>
          </w:p>
          <w:p w14:paraId="029F25FE" w14:textId="77777777" w:rsidR="00BB743D" w:rsidRPr="00BB743D" w:rsidRDefault="00BB743D" w:rsidP="006B6D0C">
            <w:pPr>
              <w:spacing w:before="20" w:after="20"/>
              <w:jc w:val="left"/>
              <w:rPr>
                <w:lang w:val="es-ES"/>
              </w:rPr>
            </w:pPr>
            <w:r w:rsidRPr="00BB743D">
              <w:rPr>
                <w:lang w:val="es-ES"/>
              </w:rPr>
              <w:t>h</w:t>
            </w:r>
          </w:p>
          <w:p w14:paraId="2E812876" w14:textId="77777777" w:rsidR="00BB743D" w:rsidRPr="00BB743D" w:rsidRDefault="00BB743D" w:rsidP="006B6D0C">
            <w:pPr>
              <w:spacing w:before="20" w:after="20"/>
              <w:jc w:val="left"/>
              <w:rPr>
                <w:lang w:val="es-ES"/>
              </w:rPr>
            </w:pPr>
            <w:r w:rsidRPr="00BB743D">
              <w:rPr>
                <w:lang w:val="es-ES"/>
              </w:rPr>
              <w:t>kg</w:t>
            </w:r>
          </w:p>
          <w:p w14:paraId="2BFA10A3" w14:textId="77777777" w:rsidR="00BB743D" w:rsidRPr="00BB743D" w:rsidRDefault="00BB743D" w:rsidP="006B6D0C">
            <w:pPr>
              <w:spacing w:before="20" w:after="20"/>
              <w:jc w:val="left"/>
              <w:rPr>
                <w:lang w:val="es-ES"/>
              </w:rPr>
            </w:pPr>
            <w:r w:rsidRPr="00BB743D">
              <w:rPr>
                <w:lang w:val="es-ES"/>
              </w:rPr>
              <w:t>monto gl.</w:t>
            </w:r>
          </w:p>
          <w:p w14:paraId="335CF88F" w14:textId="77777777" w:rsidR="00BB743D" w:rsidRPr="00BB743D" w:rsidRDefault="00BB743D" w:rsidP="006B6D0C">
            <w:pPr>
              <w:spacing w:before="20" w:after="20"/>
              <w:jc w:val="left"/>
              <w:rPr>
                <w:lang w:val="es-ES"/>
              </w:rPr>
            </w:pPr>
            <w:r w:rsidRPr="00BB743D">
              <w:rPr>
                <w:lang w:val="es-ES"/>
              </w:rPr>
              <w:t>m</w:t>
            </w:r>
          </w:p>
          <w:p w14:paraId="10B85A66" w14:textId="77777777" w:rsidR="00BB743D" w:rsidRPr="00BB743D" w:rsidRDefault="00BB743D" w:rsidP="006B6D0C">
            <w:pPr>
              <w:spacing w:before="20" w:after="20"/>
              <w:jc w:val="left"/>
              <w:rPr>
                <w:lang w:val="es-ES"/>
              </w:rPr>
            </w:pPr>
            <w:r w:rsidRPr="00BB743D">
              <w:rPr>
                <w:lang w:val="es-ES"/>
              </w:rPr>
              <w:t>t</w:t>
            </w:r>
          </w:p>
        </w:tc>
        <w:tc>
          <w:tcPr>
            <w:tcW w:w="2160" w:type="dxa"/>
            <w:tcBorders>
              <w:top w:val="single" w:sz="6" w:space="0" w:color="auto"/>
              <w:left w:val="single" w:sz="6" w:space="0" w:color="auto"/>
              <w:bottom w:val="single" w:sz="6" w:space="0" w:color="auto"/>
              <w:right w:val="single" w:sz="6" w:space="0" w:color="auto"/>
            </w:tcBorders>
          </w:tcPr>
          <w:p w14:paraId="0B70A35F" w14:textId="77777777" w:rsidR="00BB743D" w:rsidRPr="00BB743D" w:rsidRDefault="00BB743D" w:rsidP="006B6D0C">
            <w:pPr>
              <w:spacing w:before="20" w:after="20"/>
              <w:jc w:val="left"/>
              <w:rPr>
                <w:lang w:val="es-ES"/>
              </w:rPr>
            </w:pPr>
            <w:r w:rsidRPr="00BB743D">
              <w:rPr>
                <w:lang w:val="es-ES"/>
              </w:rPr>
              <w:t>milímetro</w:t>
            </w:r>
          </w:p>
          <w:p w14:paraId="7B381C58" w14:textId="77777777" w:rsidR="00BB743D" w:rsidRPr="00BB743D" w:rsidRDefault="00BB743D" w:rsidP="006B6D0C">
            <w:pPr>
              <w:spacing w:before="20" w:after="20"/>
              <w:jc w:val="left"/>
              <w:rPr>
                <w:lang w:val="es-ES"/>
              </w:rPr>
            </w:pPr>
            <w:r w:rsidRPr="00BB743D">
              <w:rPr>
                <w:lang w:val="es-ES"/>
              </w:rPr>
              <w:t>mes</w:t>
            </w:r>
          </w:p>
          <w:p w14:paraId="32A45BF3" w14:textId="77777777" w:rsidR="00BB743D" w:rsidRPr="00BB743D" w:rsidRDefault="00BB743D" w:rsidP="006B6D0C">
            <w:pPr>
              <w:spacing w:before="20" w:after="20"/>
              <w:jc w:val="left"/>
              <w:rPr>
                <w:lang w:val="es-ES"/>
              </w:rPr>
            </w:pPr>
            <w:r w:rsidRPr="00BB743D">
              <w:rPr>
                <w:lang w:val="es-ES"/>
              </w:rPr>
              <w:t>número</w:t>
            </w:r>
          </w:p>
          <w:p w14:paraId="6668360B" w14:textId="77777777" w:rsidR="00BB743D" w:rsidRPr="00BB743D" w:rsidRDefault="00BB743D" w:rsidP="006B6D0C">
            <w:pPr>
              <w:spacing w:before="20" w:after="20"/>
              <w:jc w:val="left"/>
              <w:rPr>
                <w:lang w:val="es-ES"/>
              </w:rPr>
            </w:pPr>
            <w:r w:rsidRPr="00BB743D">
              <w:rPr>
                <w:lang w:val="es-ES"/>
              </w:rPr>
              <w:t>metro cuadrado</w:t>
            </w:r>
          </w:p>
          <w:p w14:paraId="46EE29C0" w14:textId="77777777" w:rsidR="00BB743D" w:rsidRPr="00BB743D" w:rsidRDefault="00BB743D" w:rsidP="006B6D0C">
            <w:pPr>
              <w:spacing w:before="20" w:after="20"/>
              <w:jc w:val="left"/>
              <w:rPr>
                <w:lang w:val="es-ES"/>
              </w:rPr>
            </w:pPr>
            <w:r w:rsidRPr="00BB743D">
              <w:rPr>
                <w:lang w:val="es-ES"/>
              </w:rPr>
              <w:t>milímetro cuadrado</w:t>
            </w:r>
          </w:p>
          <w:p w14:paraId="39C477DA" w14:textId="77777777" w:rsidR="00BB743D" w:rsidRPr="00BB743D" w:rsidRDefault="00BB743D" w:rsidP="006B6D0C">
            <w:pPr>
              <w:spacing w:before="20" w:after="20"/>
              <w:jc w:val="left"/>
              <w:rPr>
                <w:lang w:val="es-ES"/>
              </w:rPr>
            </w:pPr>
            <w:r w:rsidRPr="00BB743D">
              <w:rPr>
                <w:lang w:val="es-ES"/>
              </w:rPr>
              <w:t>semana</w:t>
            </w:r>
          </w:p>
        </w:tc>
        <w:tc>
          <w:tcPr>
            <w:tcW w:w="1835" w:type="dxa"/>
            <w:tcBorders>
              <w:top w:val="single" w:sz="6" w:space="0" w:color="auto"/>
              <w:left w:val="single" w:sz="6" w:space="0" w:color="auto"/>
              <w:bottom w:val="single" w:sz="6" w:space="0" w:color="auto"/>
              <w:right w:val="single" w:sz="6" w:space="0" w:color="auto"/>
            </w:tcBorders>
          </w:tcPr>
          <w:p w14:paraId="4136BC83" w14:textId="77777777" w:rsidR="00BB743D" w:rsidRPr="00BB743D" w:rsidRDefault="00BB743D" w:rsidP="006B6D0C">
            <w:pPr>
              <w:spacing w:before="20" w:after="20"/>
              <w:jc w:val="left"/>
              <w:rPr>
                <w:lang w:val="es-ES"/>
              </w:rPr>
            </w:pPr>
            <w:r w:rsidRPr="00BB743D">
              <w:rPr>
                <w:lang w:val="es-ES"/>
              </w:rPr>
              <w:t>mm</w:t>
            </w:r>
          </w:p>
          <w:p w14:paraId="6BEAD104" w14:textId="77777777" w:rsidR="00BB743D" w:rsidRPr="00BB743D" w:rsidRDefault="00BB743D" w:rsidP="006B6D0C">
            <w:pPr>
              <w:spacing w:before="20" w:after="20"/>
              <w:jc w:val="left"/>
              <w:rPr>
                <w:lang w:val="es-ES"/>
              </w:rPr>
            </w:pPr>
            <w:r w:rsidRPr="00BB743D">
              <w:rPr>
                <w:lang w:val="es-ES"/>
              </w:rPr>
              <w:t>mes</w:t>
            </w:r>
          </w:p>
          <w:p w14:paraId="2A618815" w14:textId="77777777" w:rsidR="00BB743D" w:rsidRPr="00BB743D" w:rsidRDefault="00BB743D" w:rsidP="006B6D0C">
            <w:pPr>
              <w:spacing w:before="20" w:after="20"/>
              <w:jc w:val="left"/>
              <w:rPr>
                <w:lang w:val="es-ES"/>
              </w:rPr>
            </w:pPr>
            <w:r w:rsidRPr="00BB743D">
              <w:rPr>
                <w:lang w:val="es-ES"/>
              </w:rPr>
              <w:t>N</w:t>
            </w:r>
            <w:r w:rsidRPr="00BB743D">
              <w:rPr>
                <w:szCs w:val="24"/>
                <w:vertAlign w:val="superscript"/>
                <w:lang w:val="es-ES"/>
              </w:rPr>
              <w:t>o</w:t>
            </w:r>
          </w:p>
          <w:p w14:paraId="7AAE4A64" w14:textId="77777777" w:rsidR="00BB743D" w:rsidRPr="00BB743D" w:rsidRDefault="00BB743D" w:rsidP="006B6D0C">
            <w:pPr>
              <w:spacing w:before="20" w:after="20"/>
              <w:jc w:val="left"/>
              <w:rPr>
                <w:lang w:val="es-ES"/>
              </w:rPr>
            </w:pPr>
            <w:r w:rsidRPr="00BB743D">
              <w:rPr>
                <w:lang w:val="es-ES"/>
              </w:rPr>
              <w:t>m</w:t>
            </w:r>
            <w:r w:rsidRPr="00BB743D">
              <w:rPr>
                <w:vertAlign w:val="superscript"/>
                <w:lang w:val="es-ES"/>
              </w:rPr>
              <w:t>2</w:t>
            </w:r>
          </w:p>
          <w:p w14:paraId="0B68EA73" w14:textId="77777777" w:rsidR="00BB743D" w:rsidRPr="00BB743D" w:rsidRDefault="00BB743D" w:rsidP="006B6D0C">
            <w:pPr>
              <w:spacing w:before="20" w:after="20"/>
              <w:jc w:val="left"/>
              <w:rPr>
                <w:lang w:val="es-ES"/>
              </w:rPr>
            </w:pPr>
            <w:r w:rsidRPr="00BB743D">
              <w:rPr>
                <w:lang w:val="es-ES"/>
              </w:rPr>
              <w:t>mm</w:t>
            </w:r>
            <w:r w:rsidRPr="00BB743D">
              <w:rPr>
                <w:vertAlign w:val="superscript"/>
                <w:lang w:val="es-ES"/>
              </w:rPr>
              <w:t>2</w:t>
            </w:r>
          </w:p>
          <w:p w14:paraId="52F6E4AA" w14:textId="77777777" w:rsidR="00BB743D" w:rsidRPr="00BB743D" w:rsidRDefault="00BB743D" w:rsidP="006B6D0C">
            <w:pPr>
              <w:spacing w:before="20" w:after="20"/>
              <w:jc w:val="left"/>
              <w:rPr>
                <w:lang w:val="es-ES"/>
              </w:rPr>
            </w:pPr>
            <w:r w:rsidRPr="00BB743D">
              <w:rPr>
                <w:lang w:val="es-ES"/>
              </w:rPr>
              <w:t>sem.</w:t>
            </w:r>
          </w:p>
        </w:tc>
      </w:tr>
    </w:tbl>
    <w:p w14:paraId="797C84E8" w14:textId="77777777" w:rsidR="00BB743D" w:rsidRPr="00BB743D" w:rsidRDefault="00BB743D" w:rsidP="00BE5E9D">
      <w:pPr>
        <w:pStyle w:val="Subseccion"/>
        <w:rPr>
          <w:lang w:val="es-ES"/>
        </w:rPr>
      </w:pPr>
    </w:p>
    <w:p w14:paraId="4BDF82A4" w14:textId="77777777" w:rsidR="00BB743D" w:rsidRPr="00BB743D" w:rsidRDefault="00BB743D">
      <w:pPr>
        <w:jc w:val="left"/>
        <w:rPr>
          <w:rFonts w:ascii="Cambria" w:eastAsia="MS Mincho" w:hAnsi="Cambria"/>
          <w:b/>
          <w:bCs/>
          <w:i/>
          <w:iCs/>
          <w:sz w:val="36"/>
          <w:szCs w:val="26"/>
          <w:lang w:val="es-ES"/>
        </w:rPr>
      </w:pPr>
      <w:bookmarkStart w:id="23" w:name="_Toc364960330"/>
      <w:r w:rsidRPr="00BB743D">
        <w:rPr>
          <w:sz w:val="36"/>
          <w:lang w:val="es-ES"/>
        </w:rPr>
        <w:br w:type="page"/>
      </w:r>
    </w:p>
    <w:p w14:paraId="3903B99C" w14:textId="39DC1A08" w:rsidR="00BB743D" w:rsidRPr="00BB743D" w:rsidRDefault="00BB743D" w:rsidP="00BB743D">
      <w:pPr>
        <w:pStyle w:val="Heading5"/>
        <w:jc w:val="center"/>
        <w:rPr>
          <w:sz w:val="36"/>
          <w:lang w:val="es-ES"/>
        </w:rPr>
      </w:pPr>
      <w:r w:rsidRPr="00BB743D">
        <w:rPr>
          <w:sz w:val="36"/>
          <w:lang w:val="es-ES"/>
        </w:rPr>
        <w:lastRenderedPageBreak/>
        <w:t>Ejemplo de Lista de Actividades con Precio</w:t>
      </w:r>
      <w:bookmarkEnd w:id="23"/>
      <w:r w:rsidRPr="00BB743D">
        <w:rPr>
          <w:sz w:val="36"/>
          <w:lang w:val="es-ES"/>
        </w:rPr>
        <w:t xml:space="preserve"> </w:t>
      </w:r>
    </w:p>
    <w:p w14:paraId="5EF46851" w14:textId="77777777" w:rsidR="00BB743D" w:rsidRPr="00BB743D" w:rsidRDefault="00BB743D" w:rsidP="00BB743D">
      <w:pPr>
        <w:rPr>
          <w:i/>
          <w:iCs/>
          <w:noProof/>
          <w:lang w:val="es-ES"/>
        </w:rPr>
      </w:pPr>
    </w:p>
    <w:p w14:paraId="6152D2AD" w14:textId="77777777" w:rsidR="00BB743D" w:rsidRPr="00BB743D" w:rsidRDefault="00BB743D" w:rsidP="00BB743D">
      <w:pPr>
        <w:rPr>
          <w:noProof/>
          <w:lang w:val="es-ES"/>
        </w:rPr>
      </w:pPr>
      <w:r w:rsidRPr="00BB743D">
        <w:rPr>
          <w:i/>
          <w:iCs/>
          <w:noProof/>
          <w:lang w:val="es-ES"/>
        </w:rPr>
        <w:t>[A ser compleatdo por el Oferente usando más tablas si es necesario para reflejar la estructura del costo apropiadamente</w:t>
      </w:r>
      <w:r w:rsidRPr="00BB743D">
        <w:rPr>
          <w:i/>
          <w:noProof/>
          <w:lang w:val="es-ES"/>
        </w:rPr>
        <w:t>]</w:t>
      </w:r>
    </w:p>
    <w:p w14:paraId="41691C3A" w14:textId="77777777" w:rsidR="00BB743D" w:rsidRPr="00BB743D" w:rsidRDefault="00BB743D" w:rsidP="00BB743D">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BB743D" w:rsidRPr="00BB743D" w14:paraId="37962D28" w14:textId="77777777" w:rsidTr="006B6D0C">
        <w:tc>
          <w:tcPr>
            <w:tcW w:w="1276" w:type="dxa"/>
            <w:gridSpan w:val="2"/>
            <w:tcBorders>
              <w:top w:val="double" w:sz="4" w:space="0" w:color="auto"/>
              <w:left w:val="double" w:sz="4" w:space="0" w:color="auto"/>
            </w:tcBorders>
          </w:tcPr>
          <w:p w14:paraId="786CADB1" w14:textId="77777777" w:rsidR="00BB743D" w:rsidRPr="00BB743D" w:rsidRDefault="00BB743D" w:rsidP="006B6D0C">
            <w:pPr>
              <w:spacing w:before="60" w:after="60"/>
              <w:rPr>
                <w:noProof/>
                <w:color w:val="000000"/>
                <w:lang w:val="es-ES"/>
              </w:rPr>
            </w:pPr>
            <w:r w:rsidRPr="00BB743D">
              <w:rPr>
                <w:noProof/>
                <w:color w:val="000000"/>
                <w:lang w:val="es-ES"/>
              </w:rPr>
              <w:t>Actividad No.</w:t>
            </w:r>
          </w:p>
        </w:tc>
        <w:tc>
          <w:tcPr>
            <w:tcW w:w="5024" w:type="dxa"/>
            <w:gridSpan w:val="5"/>
            <w:tcBorders>
              <w:top w:val="double" w:sz="4" w:space="0" w:color="auto"/>
            </w:tcBorders>
          </w:tcPr>
          <w:p w14:paraId="7C504A38" w14:textId="77777777" w:rsidR="00BB743D" w:rsidRPr="00BB743D" w:rsidRDefault="00BB743D" w:rsidP="006B6D0C">
            <w:pPr>
              <w:spacing w:before="60" w:after="60"/>
              <w:rPr>
                <w:noProof/>
                <w:color w:val="000000"/>
                <w:lang w:val="es-ES"/>
              </w:rPr>
            </w:pPr>
            <w:r w:rsidRPr="00BB743D">
              <w:rPr>
                <w:noProof/>
                <w:color w:val="000000"/>
                <w:lang w:val="es-ES"/>
              </w:rPr>
              <w:t>Descipción de la Actividad</w:t>
            </w:r>
          </w:p>
        </w:tc>
        <w:tc>
          <w:tcPr>
            <w:tcW w:w="2631" w:type="dxa"/>
            <w:gridSpan w:val="3"/>
            <w:tcBorders>
              <w:top w:val="double" w:sz="4" w:space="0" w:color="auto"/>
              <w:right w:val="double" w:sz="4" w:space="0" w:color="auto"/>
            </w:tcBorders>
          </w:tcPr>
          <w:p w14:paraId="2F3C4E57" w14:textId="77777777" w:rsidR="00BB743D" w:rsidRPr="00BB743D" w:rsidRDefault="00BB743D" w:rsidP="006B6D0C">
            <w:pPr>
              <w:spacing w:before="60" w:after="60"/>
              <w:jc w:val="center"/>
              <w:rPr>
                <w:noProof/>
                <w:color w:val="000000"/>
                <w:lang w:val="es-ES"/>
              </w:rPr>
            </w:pPr>
            <w:r w:rsidRPr="00BB743D">
              <w:rPr>
                <w:noProof/>
                <w:color w:val="000000"/>
                <w:lang w:val="es-ES"/>
              </w:rPr>
              <w:t>Precio de la Actividad</w:t>
            </w:r>
          </w:p>
        </w:tc>
      </w:tr>
      <w:tr w:rsidR="00BB743D" w:rsidRPr="00BB743D" w14:paraId="4B4C1A41" w14:textId="77777777" w:rsidTr="006B6D0C">
        <w:tc>
          <w:tcPr>
            <w:tcW w:w="1276" w:type="dxa"/>
            <w:gridSpan w:val="2"/>
            <w:tcBorders>
              <w:left w:val="double" w:sz="4" w:space="0" w:color="auto"/>
            </w:tcBorders>
          </w:tcPr>
          <w:p w14:paraId="174F314C" w14:textId="77777777" w:rsidR="00BB743D" w:rsidRPr="00BB743D" w:rsidRDefault="00BB743D" w:rsidP="006B6D0C">
            <w:pPr>
              <w:spacing w:before="60" w:after="60"/>
              <w:rPr>
                <w:noProof/>
                <w:color w:val="000000"/>
                <w:lang w:val="es-ES"/>
              </w:rPr>
            </w:pPr>
            <w:r w:rsidRPr="00BB743D">
              <w:rPr>
                <w:noProof/>
                <w:color w:val="000000"/>
                <w:lang w:val="es-ES"/>
              </w:rPr>
              <w:t>1.</w:t>
            </w:r>
          </w:p>
        </w:tc>
        <w:tc>
          <w:tcPr>
            <w:tcW w:w="5024" w:type="dxa"/>
            <w:gridSpan w:val="5"/>
          </w:tcPr>
          <w:p w14:paraId="5422FB50" w14:textId="77777777" w:rsidR="00BB743D" w:rsidRPr="00BB743D" w:rsidRDefault="00BB743D" w:rsidP="006B6D0C">
            <w:pPr>
              <w:spacing w:before="60" w:after="60"/>
              <w:rPr>
                <w:noProof/>
                <w:color w:val="000000"/>
                <w:lang w:val="es-ES"/>
              </w:rPr>
            </w:pPr>
            <w:r w:rsidRPr="00BB743D">
              <w:rPr>
                <w:noProof/>
                <w:color w:val="000000"/>
                <w:lang w:val="es-ES"/>
              </w:rPr>
              <w:t>Servicios de Diseño</w:t>
            </w:r>
          </w:p>
        </w:tc>
        <w:tc>
          <w:tcPr>
            <w:tcW w:w="2631" w:type="dxa"/>
            <w:gridSpan w:val="3"/>
            <w:tcBorders>
              <w:right w:val="double" w:sz="4" w:space="0" w:color="auto"/>
            </w:tcBorders>
          </w:tcPr>
          <w:p w14:paraId="5D100992" w14:textId="77777777" w:rsidR="00BB743D" w:rsidRPr="00BB743D" w:rsidRDefault="00BB743D" w:rsidP="006B6D0C">
            <w:pPr>
              <w:spacing w:before="60" w:after="60"/>
              <w:rPr>
                <w:noProof/>
                <w:color w:val="000000"/>
                <w:lang w:val="es-ES"/>
              </w:rPr>
            </w:pPr>
          </w:p>
        </w:tc>
      </w:tr>
      <w:tr w:rsidR="00BB743D" w:rsidRPr="00BB743D" w14:paraId="4F1BDE46" w14:textId="77777777" w:rsidTr="006B6D0C">
        <w:tc>
          <w:tcPr>
            <w:tcW w:w="1276" w:type="dxa"/>
            <w:gridSpan w:val="2"/>
            <w:tcBorders>
              <w:left w:val="double" w:sz="4" w:space="0" w:color="auto"/>
            </w:tcBorders>
          </w:tcPr>
          <w:p w14:paraId="4197FEE3" w14:textId="77777777" w:rsidR="00BB743D" w:rsidRPr="00BB743D" w:rsidRDefault="00BB743D" w:rsidP="006B6D0C">
            <w:pPr>
              <w:spacing w:before="60" w:after="60"/>
              <w:rPr>
                <w:noProof/>
                <w:color w:val="000000"/>
                <w:lang w:val="es-ES"/>
              </w:rPr>
            </w:pPr>
            <w:r w:rsidRPr="00BB743D">
              <w:rPr>
                <w:noProof/>
                <w:color w:val="000000"/>
                <w:lang w:val="es-ES"/>
              </w:rPr>
              <w:t>2.</w:t>
            </w:r>
          </w:p>
        </w:tc>
        <w:tc>
          <w:tcPr>
            <w:tcW w:w="5024" w:type="dxa"/>
            <w:gridSpan w:val="5"/>
          </w:tcPr>
          <w:p w14:paraId="7F1A2B0B" w14:textId="77777777" w:rsidR="00BB743D" w:rsidRPr="00BB743D" w:rsidRDefault="00BB743D" w:rsidP="006B6D0C">
            <w:pPr>
              <w:spacing w:before="60" w:after="60"/>
              <w:rPr>
                <w:noProof/>
                <w:color w:val="000000"/>
                <w:lang w:val="es-ES"/>
              </w:rPr>
            </w:pPr>
            <w:r w:rsidRPr="00BB743D">
              <w:rPr>
                <w:noProof/>
                <w:color w:val="000000"/>
                <w:lang w:val="es-ES"/>
              </w:rPr>
              <w:t>Mobilización</w:t>
            </w:r>
          </w:p>
        </w:tc>
        <w:tc>
          <w:tcPr>
            <w:tcW w:w="2631" w:type="dxa"/>
            <w:gridSpan w:val="3"/>
            <w:tcBorders>
              <w:right w:val="double" w:sz="4" w:space="0" w:color="auto"/>
            </w:tcBorders>
          </w:tcPr>
          <w:p w14:paraId="29F24A5F" w14:textId="77777777" w:rsidR="00BB743D" w:rsidRPr="00BB743D" w:rsidRDefault="00BB743D" w:rsidP="006B6D0C">
            <w:pPr>
              <w:spacing w:before="60" w:after="60"/>
              <w:rPr>
                <w:noProof/>
                <w:color w:val="000000"/>
                <w:lang w:val="es-ES"/>
              </w:rPr>
            </w:pPr>
          </w:p>
        </w:tc>
      </w:tr>
      <w:tr w:rsidR="00BB743D" w:rsidRPr="00BB743D" w14:paraId="1CB461A3" w14:textId="77777777" w:rsidTr="006B6D0C">
        <w:tc>
          <w:tcPr>
            <w:tcW w:w="1276" w:type="dxa"/>
            <w:gridSpan w:val="2"/>
            <w:tcBorders>
              <w:left w:val="double" w:sz="4" w:space="0" w:color="auto"/>
            </w:tcBorders>
          </w:tcPr>
          <w:p w14:paraId="7B2B135F" w14:textId="77777777" w:rsidR="00BB743D" w:rsidRPr="00BB743D" w:rsidRDefault="00BB743D" w:rsidP="006B6D0C">
            <w:pPr>
              <w:spacing w:before="60" w:after="60"/>
              <w:rPr>
                <w:noProof/>
                <w:color w:val="000000"/>
                <w:lang w:val="es-ES"/>
              </w:rPr>
            </w:pPr>
            <w:r w:rsidRPr="00BB743D">
              <w:rPr>
                <w:noProof/>
                <w:color w:val="000000"/>
                <w:lang w:val="es-ES"/>
              </w:rPr>
              <w:t>3.</w:t>
            </w:r>
          </w:p>
        </w:tc>
        <w:tc>
          <w:tcPr>
            <w:tcW w:w="5024" w:type="dxa"/>
            <w:gridSpan w:val="5"/>
          </w:tcPr>
          <w:p w14:paraId="3E930B96" w14:textId="77777777" w:rsidR="00BB743D" w:rsidRPr="00BB743D" w:rsidRDefault="00BB743D" w:rsidP="006B6D0C">
            <w:pPr>
              <w:spacing w:before="60" w:after="60"/>
              <w:rPr>
                <w:noProof/>
                <w:color w:val="000000"/>
                <w:lang w:val="es-ES"/>
              </w:rPr>
            </w:pPr>
            <w:r w:rsidRPr="00BB743D">
              <w:rPr>
                <w:noProof/>
                <w:color w:val="000000"/>
                <w:lang w:val="es-ES"/>
              </w:rPr>
              <w:t>Construcción</w:t>
            </w:r>
          </w:p>
        </w:tc>
        <w:tc>
          <w:tcPr>
            <w:tcW w:w="2631" w:type="dxa"/>
            <w:gridSpan w:val="3"/>
            <w:tcBorders>
              <w:right w:val="double" w:sz="4" w:space="0" w:color="auto"/>
            </w:tcBorders>
          </w:tcPr>
          <w:p w14:paraId="2A305EDF" w14:textId="77777777" w:rsidR="00BB743D" w:rsidRPr="00BB743D" w:rsidRDefault="00BB743D" w:rsidP="006B6D0C">
            <w:pPr>
              <w:spacing w:before="60" w:after="60"/>
              <w:rPr>
                <w:noProof/>
                <w:color w:val="000000"/>
                <w:lang w:val="es-ES"/>
              </w:rPr>
            </w:pPr>
          </w:p>
        </w:tc>
      </w:tr>
      <w:tr w:rsidR="00BB743D" w:rsidRPr="00BB743D" w14:paraId="2F95C64A" w14:textId="77777777" w:rsidTr="006B6D0C">
        <w:tc>
          <w:tcPr>
            <w:tcW w:w="1276" w:type="dxa"/>
            <w:gridSpan w:val="2"/>
            <w:tcBorders>
              <w:left w:val="double" w:sz="4" w:space="0" w:color="auto"/>
            </w:tcBorders>
          </w:tcPr>
          <w:p w14:paraId="4F126EC6" w14:textId="77777777" w:rsidR="00BB743D" w:rsidRPr="00BB743D" w:rsidRDefault="00BB743D" w:rsidP="006B6D0C">
            <w:pPr>
              <w:spacing w:before="60" w:after="60"/>
              <w:rPr>
                <w:noProof/>
                <w:color w:val="000000"/>
                <w:lang w:val="es-ES"/>
              </w:rPr>
            </w:pPr>
            <w:r w:rsidRPr="00BB743D">
              <w:rPr>
                <w:noProof/>
                <w:color w:val="000000"/>
                <w:lang w:val="es-ES"/>
              </w:rPr>
              <w:t>4.</w:t>
            </w:r>
          </w:p>
        </w:tc>
        <w:tc>
          <w:tcPr>
            <w:tcW w:w="5024" w:type="dxa"/>
            <w:gridSpan w:val="5"/>
          </w:tcPr>
          <w:p w14:paraId="1130837D" w14:textId="1AB09628" w:rsidR="00BB743D" w:rsidRPr="00BB743D" w:rsidRDefault="00BB743D" w:rsidP="006B6D0C">
            <w:pPr>
              <w:spacing w:before="60" w:after="60"/>
              <w:rPr>
                <w:noProof/>
                <w:color w:val="000000"/>
                <w:lang w:val="es-ES"/>
              </w:rPr>
            </w:pPr>
            <w:r w:rsidRPr="00BB743D">
              <w:rPr>
                <w:noProof/>
                <w:color w:val="000000"/>
                <w:lang w:val="es-ES"/>
              </w:rPr>
              <w:t>Instalaciones Eléctricas</w:t>
            </w:r>
          </w:p>
        </w:tc>
        <w:tc>
          <w:tcPr>
            <w:tcW w:w="2631" w:type="dxa"/>
            <w:gridSpan w:val="3"/>
            <w:tcBorders>
              <w:right w:val="double" w:sz="4" w:space="0" w:color="auto"/>
            </w:tcBorders>
          </w:tcPr>
          <w:p w14:paraId="0D3118EC" w14:textId="77777777" w:rsidR="00BB743D" w:rsidRPr="00BB743D" w:rsidRDefault="00BB743D" w:rsidP="006B6D0C">
            <w:pPr>
              <w:spacing w:before="60" w:after="60"/>
              <w:rPr>
                <w:noProof/>
                <w:color w:val="000000"/>
                <w:lang w:val="es-ES"/>
              </w:rPr>
            </w:pPr>
          </w:p>
        </w:tc>
      </w:tr>
      <w:tr w:rsidR="00BB743D" w:rsidRPr="00BB743D" w14:paraId="0CD17E65" w14:textId="77777777" w:rsidTr="006B6D0C">
        <w:tc>
          <w:tcPr>
            <w:tcW w:w="1276" w:type="dxa"/>
            <w:gridSpan w:val="2"/>
            <w:tcBorders>
              <w:left w:val="double" w:sz="4" w:space="0" w:color="auto"/>
            </w:tcBorders>
          </w:tcPr>
          <w:p w14:paraId="1FE4D356" w14:textId="77777777" w:rsidR="00BB743D" w:rsidRPr="00BB743D" w:rsidRDefault="00BB743D" w:rsidP="006B6D0C">
            <w:pPr>
              <w:spacing w:before="60" w:after="60"/>
              <w:rPr>
                <w:noProof/>
                <w:color w:val="000000"/>
                <w:lang w:val="es-ES"/>
              </w:rPr>
            </w:pPr>
            <w:r w:rsidRPr="00BB743D">
              <w:rPr>
                <w:noProof/>
                <w:color w:val="000000"/>
                <w:lang w:val="es-ES"/>
              </w:rPr>
              <w:t>5.</w:t>
            </w:r>
          </w:p>
        </w:tc>
        <w:tc>
          <w:tcPr>
            <w:tcW w:w="5024" w:type="dxa"/>
            <w:gridSpan w:val="5"/>
          </w:tcPr>
          <w:p w14:paraId="288C448A" w14:textId="77777777" w:rsidR="00BB743D" w:rsidRPr="00BB743D" w:rsidRDefault="00BB743D" w:rsidP="006B6D0C">
            <w:pPr>
              <w:spacing w:before="60" w:after="60"/>
              <w:rPr>
                <w:noProof/>
                <w:color w:val="000000"/>
                <w:lang w:val="es-ES"/>
              </w:rPr>
            </w:pPr>
            <w:r w:rsidRPr="00BB743D">
              <w:rPr>
                <w:noProof/>
                <w:color w:val="000000"/>
                <w:lang w:val="es-ES"/>
              </w:rPr>
              <w:t>Instalaciones Sanitarias</w:t>
            </w:r>
          </w:p>
        </w:tc>
        <w:tc>
          <w:tcPr>
            <w:tcW w:w="2631" w:type="dxa"/>
            <w:gridSpan w:val="3"/>
            <w:tcBorders>
              <w:right w:val="double" w:sz="4" w:space="0" w:color="auto"/>
            </w:tcBorders>
          </w:tcPr>
          <w:p w14:paraId="282E21C0" w14:textId="77777777" w:rsidR="00BB743D" w:rsidRPr="00BB743D" w:rsidRDefault="00BB743D" w:rsidP="006B6D0C">
            <w:pPr>
              <w:spacing w:before="60" w:after="60"/>
              <w:rPr>
                <w:noProof/>
                <w:color w:val="000000"/>
                <w:lang w:val="es-ES"/>
              </w:rPr>
            </w:pPr>
          </w:p>
        </w:tc>
      </w:tr>
      <w:tr w:rsidR="00BB743D" w:rsidRPr="00BB743D" w14:paraId="04A2DD46" w14:textId="77777777" w:rsidTr="006B6D0C">
        <w:tc>
          <w:tcPr>
            <w:tcW w:w="1276" w:type="dxa"/>
            <w:gridSpan w:val="2"/>
            <w:tcBorders>
              <w:left w:val="double" w:sz="4" w:space="0" w:color="auto"/>
            </w:tcBorders>
          </w:tcPr>
          <w:p w14:paraId="5BEAB2A5" w14:textId="77777777" w:rsidR="00BB743D" w:rsidRPr="00BB743D" w:rsidRDefault="00BB743D" w:rsidP="006B6D0C">
            <w:pPr>
              <w:spacing w:before="60" w:after="60"/>
              <w:rPr>
                <w:noProof/>
                <w:color w:val="000000"/>
                <w:lang w:val="es-ES"/>
              </w:rPr>
            </w:pPr>
            <w:r w:rsidRPr="00BB743D">
              <w:rPr>
                <w:noProof/>
                <w:color w:val="000000"/>
                <w:lang w:val="es-ES"/>
              </w:rPr>
              <w:t>6.</w:t>
            </w:r>
          </w:p>
        </w:tc>
        <w:tc>
          <w:tcPr>
            <w:tcW w:w="5024" w:type="dxa"/>
            <w:gridSpan w:val="5"/>
          </w:tcPr>
          <w:p w14:paraId="55D4487F" w14:textId="77777777" w:rsidR="00BB743D" w:rsidRPr="00BB743D" w:rsidRDefault="00BB743D" w:rsidP="006B6D0C">
            <w:pPr>
              <w:spacing w:before="60" w:after="60"/>
              <w:rPr>
                <w:noProof/>
                <w:color w:val="000000"/>
                <w:lang w:val="es-ES"/>
              </w:rPr>
            </w:pPr>
            <w:r w:rsidRPr="00BB743D">
              <w:rPr>
                <w:noProof/>
                <w:color w:val="000000"/>
                <w:lang w:val="es-ES"/>
              </w:rPr>
              <w:t>Instalaciones Mecánicas</w:t>
            </w:r>
          </w:p>
        </w:tc>
        <w:tc>
          <w:tcPr>
            <w:tcW w:w="2631" w:type="dxa"/>
            <w:gridSpan w:val="3"/>
            <w:tcBorders>
              <w:right w:val="double" w:sz="4" w:space="0" w:color="auto"/>
            </w:tcBorders>
          </w:tcPr>
          <w:p w14:paraId="4BEE00D6" w14:textId="77777777" w:rsidR="00BB743D" w:rsidRPr="00BB743D" w:rsidRDefault="00BB743D" w:rsidP="006B6D0C">
            <w:pPr>
              <w:spacing w:before="60" w:after="60"/>
              <w:rPr>
                <w:noProof/>
                <w:color w:val="000000"/>
                <w:lang w:val="es-ES"/>
              </w:rPr>
            </w:pPr>
          </w:p>
        </w:tc>
      </w:tr>
      <w:tr w:rsidR="00BB743D" w:rsidRPr="00BB743D" w14:paraId="3944A69B" w14:textId="77777777" w:rsidTr="006B6D0C">
        <w:tc>
          <w:tcPr>
            <w:tcW w:w="1276" w:type="dxa"/>
            <w:gridSpan w:val="2"/>
            <w:tcBorders>
              <w:left w:val="double" w:sz="4" w:space="0" w:color="auto"/>
            </w:tcBorders>
          </w:tcPr>
          <w:p w14:paraId="770F7D80" w14:textId="77777777" w:rsidR="00BB743D" w:rsidRPr="00BB743D" w:rsidRDefault="00BB743D" w:rsidP="006B6D0C">
            <w:pPr>
              <w:spacing w:before="60" w:after="60"/>
              <w:rPr>
                <w:noProof/>
                <w:color w:val="000000"/>
                <w:lang w:val="es-ES"/>
              </w:rPr>
            </w:pPr>
            <w:r w:rsidRPr="00BB743D">
              <w:rPr>
                <w:noProof/>
                <w:color w:val="000000"/>
                <w:lang w:val="es-ES"/>
              </w:rPr>
              <w:t>7.</w:t>
            </w:r>
          </w:p>
        </w:tc>
        <w:tc>
          <w:tcPr>
            <w:tcW w:w="5024" w:type="dxa"/>
            <w:gridSpan w:val="5"/>
          </w:tcPr>
          <w:p w14:paraId="284E84BF" w14:textId="77777777" w:rsidR="00BB743D" w:rsidRPr="00BB743D" w:rsidRDefault="00BB743D" w:rsidP="006B6D0C">
            <w:pPr>
              <w:spacing w:before="60" w:after="60"/>
              <w:rPr>
                <w:noProof/>
                <w:color w:val="000000"/>
                <w:lang w:val="es-ES"/>
              </w:rPr>
            </w:pPr>
            <w:r w:rsidRPr="00BB743D">
              <w:rPr>
                <w:noProof/>
                <w:color w:val="000000"/>
                <w:lang w:val="es-ES"/>
              </w:rPr>
              <w:t>Estudio Ambiental y Licencias</w:t>
            </w:r>
          </w:p>
        </w:tc>
        <w:tc>
          <w:tcPr>
            <w:tcW w:w="2631" w:type="dxa"/>
            <w:gridSpan w:val="3"/>
            <w:tcBorders>
              <w:right w:val="double" w:sz="4" w:space="0" w:color="auto"/>
            </w:tcBorders>
          </w:tcPr>
          <w:p w14:paraId="674766EE" w14:textId="77777777" w:rsidR="00BB743D" w:rsidRPr="00BB743D" w:rsidRDefault="00BB743D" w:rsidP="006B6D0C">
            <w:pPr>
              <w:spacing w:before="60" w:after="60"/>
              <w:rPr>
                <w:noProof/>
                <w:color w:val="000000"/>
                <w:lang w:val="es-ES"/>
              </w:rPr>
            </w:pPr>
          </w:p>
        </w:tc>
      </w:tr>
      <w:tr w:rsidR="00BB743D" w:rsidRPr="00BB743D" w14:paraId="2490B790" w14:textId="77777777" w:rsidTr="006B6D0C">
        <w:tc>
          <w:tcPr>
            <w:tcW w:w="1276" w:type="dxa"/>
            <w:gridSpan w:val="2"/>
            <w:tcBorders>
              <w:left w:val="double" w:sz="4" w:space="0" w:color="auto"/>
            </w:tcBorders>
          </w:tcPr>
          <w:p w14:paraId="19B8629A" w14:textId="77777777" w:rsidR="00BB743D" w:rsidRPr="00BB743D" w:rsidRDefault="00BB743D" w:rsidP="006B6D0C">
            <w:pPr>
              <w:spacing w:before="60" w:after="60"/>
              <w:rPr>
                <w:noProof/>
                <w:color w:val="000000"/>
                <w:lang w:val="es-ES"/>
              </w:rPr>
            </w:pPr>
            <w:r w:rsidRPr="00BB743D">
              <w:rPr>
                <w:noProof/>
                <w:color w:val="000000"/>
                <w:lang w:val="es-ES"/>
              </w:rPr>
              <w:t>8.</w:t>
            </w:r>
          </w:p>
        </w:tc>
        <w:tc>
          <w:tcPr>
            <w:tcW w:w="5024" w:type="dxa"/>
            <w:gridSpan w:val="5"/>
          </w:tcPr>
          <w:p w14:paraId="51AB5CB3" w14:textId="77777777" w:rsidR="00BB743D" w:rsidRPr="00BB743D" w:rsidRDefault="00BB743D" w:rsidP="006B6D0C">
            <w:pPr>
              <w:spacing w:before="60" w:after="60"/>
              <w:rPr>
                <w:noProof/>
                <w:color w:val="000000"/>
                <w:lang w:val="es-ES"/>
              </w:rPr>
            </w:pPr>
            <w:r w:rsidRPr="00BB743D">
              <w:rPr>
                <w:noProof/>
                <w:color w:val="000000"/>
                <w:lang w:val="es-ES"/>
              </w:rPr>
              <w:t>Laboratorio, Inspecciones y Prueba de Materiales</w:t>
            </w:r>
          </w:p>
        </w:tc>
        <w:tc>
          <w:tcPr>
            <w:tcW w:w="2631" w:type="dxa"/>
            <w:gridSpan w:val="3"/>
            <w:tcBorders>
              <w:right w:val="double" w:sz="4" w:space="0" w:color="auto"/>
            </w:tcBorders>
          </w:tcPr>
          <w:p w14:paraId="3610260E" w14:textId="77777777" w:rsidR="00BB743D" w:rsidRPr="00BB743D" w:rsidRDefault="00BB743D" w:rsidP="006B6D0C">
            <w:pPr>
              <w:spacing w:before="60" w:after="60"/>
              <w:rPr>
                <w:noProof/>
                <w:color w:val="000000"/>
                <w:lang w:val="es-ES"/>
              </w:rPr>
            </w:pPr>
          </w:p>
        </w:tc>
      </w:tr>
      <w:tr w:rsidR="00BB743D" w:rsidRPr="00BB743D" w14:paraId="47B80210" w14:textId="77777777" w:rsidTr="006B6D0C">
        <w:tc>
          <w:tcPr>
            <w:tcW w:w="1276" w:type="dxa"/>
            <w:gridSpan w:val="2"/>
            <w:tcBorders>
              <w:left w:val="double" w:sz="4" w:space="0" w:color="auto"/>
            </w:tcBorders>
          </w:tcPr>
          <w:p w14:paraId="5EDEC5EF" w14:textId="77777777" w:rsidR="00BB743D" w:rsidRPr="00BB743D" w:rsidRDefault="00BB743D" w:rsidP="006B6D0C">
            <w:pPr>
              <w:spacing w:before="60" w:after="60"/>
              <w:rPr>
                <w:noProof/>
                <w:color w:val="000000"/>
                <w:lang w:val="es-ES"/>
              </w:rPr>
            </w:pPr>
            <w:r w:rsidRPr="00BB743D">
              <w:rPr>
                <w:noProof/>
                <w:color w:val="000000"/>
                <w:lang w:val="es-ES"/>
              </w:rPr>
              <w:t>9.</w:t>
            </w:r>
          </w:p>
        </w:tc>
        <w:tc>
          <w:tcPr>
            <w:tcW w:w="5024" w:type="dxa"/>
            <w:gridSpan w:val="5"/>
          </w:tcPr>
          <w:p w14:paraId="235C4BA0" w14:textId="77777777" w:rsidR="00BB743D" w:rsidRPr="00BB743D" w:rsidRDefault="00BB743D" w:rsidP="006B6D0C">
            <w:pPr>
              <w:spacing w:before="60" w:after="60"/>
              <w:rPr>
                <w:noProof/>
                <w:color w:val="000000"/>
                <w:lang w:val="es-ES"/>
              </w:rPr>
            </w:pPr>
            <w:r w:rsidRPr="00BB743D">
              <w:rPr>
                <w:noProof/>
                <w:color w:val="000000"/>
                <w:lang w:val="es-ES"/>
              </w:rPr>
              <w:t>Sistema de información</w:t>
            </w:r>
          </w:p>
        </w:tc>
        <w:tc>
          <w:tcPr>
            <w:tcW w:w="2631" w:type="dxa"/>
            <w:gridSpan w:val="3"/>
            <w:tcBorders>
              <w:right w:val="double" w:sz="4" w:space="0" w:color="auto"/>
            </w:tcBorders>
          </w:tcPr>
          <w:p w14:paraId="26CDFEE3" w14:textId="77777777" w:rsidR="00BB743D" w:rsidRPr="00BB743D" w:rsidRDefault="00BB743D" w:rsidP="006B6D0C">
            <w:pPr>
              <w:spacing w:before="60" w:after="60"/>
              <w:rPr>
                <w:noProof/>
                <w:color w:val="000000"/>
                <w:lang w:val="es-ES"/>
              </w:rPr>
            </w:pPr>
          </w:p>
        </w:tc>
      </w:tr>
      <w:tr w:rsidR="00BB743D" w:rsidRPr="00BB743D" w14:paraId="6FE4DCBE" w14:textId="77777777" w:rsidTr="006B6D0C">
        <w:tc>
          <w:tcPr>
            <w:tcW w:w="1276" w:type="dxa"/>
            <w:gridSpan w:val="2"/>
            <w:tcBorders>
              <w:left w:val="double" w:sz="4" w:space="0" w:color="auto"/>
            </w:tcBorders>
          </w:tcPr>
          <w:p w14:paraId="7933F11B" w14:textId="77777777" w:rsidR="00BB743D" w:rsidRPr="00BB743D" w:rsidRDefault="00BB743D" w:rsidP="006B6D0C">
            <w:pPr>
              <w:spacing w:before="60" w:after="60"/>
              <w:rPr>
                <w:noProof/>
                <w:color w:val="000000"/>
                <w:lang w:val="es-ES"/>
              </w:rPr>
            </w:pPr>
            <w:r w:rsidRPr="00BB743D">
              <w:rPr>
                <w:noProof/>
                <w:color w:val="000000"/>
                <w:lang w:val="es-ES"/>
              </w:rPr>
              <w:t>10.</w:t>
            </w:r>
          </w:p>
        </w:tc>
        <w:tc>
          <w:tcPr>
            <w:tcW w:w="5024" w:type="dxa"/>
            <w:gridSpan w:val="5"/>
          </w:tcPr>
          <w:p w14:paraId="58B59C15" w14:textId="77777777" w:rsidR="00BB743D" w:rsidRPr="00BB743D" w:rsidRDefault="00BB743D" w:rsidP="006B6D0C">
            <w:pPr>
              <w:spacing w:before="60" w:after="60"/>
              <w:rPr>
                <w:noProof/>
                <w:color w:val="000000"/>
                <w:lang w:val="es-ES"/>
              </w:rPr>
            </w:pPr>
            <w:r w:rsidRPr="00BB743D">
              <w:rPr>
                <w:noProof/>
                <w:color w:val="000000"/>
                <w:lang w:val="es-ES"/>
              </w:rPr>
              <w:t>Supervisión y asesorías técnicas del Contratista</w:t>
            </w:r>
          </w:p>
        </w:tc>
        <w:tc>
          <w:tcPr>
            <w:tcW w:w="2631" w:type="dxa"/>
            <w:gridSpan w:val="3"/>
            <w:tcBorders>
              <w:right w:val="double" w:sz="4" w:space="0" w:color="auto"/>
            </w:tcBorders>
          </w:tcPr>
          <w:p w14:paraId="4A31B476" w14:textId="77777777" w:rsidR="00BB743D" w:rsidRPr="00BB743D" w:rsidRDefault="00BB743D" w:rsidP="006B6D0C">
            <w:pPr>
              <w:spacing w:before="60" w:after="60"/>
              <w:rPr>
                <w:noProof/>
                <w:color w:val="000000"/>
                <w:lang w:val="es-ES"/>
              </w:rPr>
            </w:pPr>
          </w:p>
        </w:tc>
      </w:tr>
      <w:tr w:rsidR="00BB743D" w:rsidRPr="00BB743D" w14:paraId="690999C2" w14:textId="77777777" w:rsidTr="006B6D0C">
        <w:tc>
          <w:tcPr>
            <w:tcW w:w="1276" w:type="dxa"/>
            <w:gridSpan w:val="2"/>
            <w:tcBorders>
              <w:left w:val="double" w:sz="4" w:space="0" w:color="auto"/>
            </w:tcBorders>
          </w:tcPr>
          <w:p w14:paraId="39F568F9" w14:textId="77777777" w:rsidR="00BB743D" w:rsidRPr="00BB743D" w:rsidRDefault="00BB743D" w:rsidP="006B6D0C">
            <w:pPr>
              <w:spacing w:before="60" w:after="60"/>
              <w:rPr>
                <w:noProof/>
                <w:color w:val="000000"/>
                <w:lang w:val="es-ES"/>
              </w:rPr>
            </w:pPr>
            <w:r w:rsidRPr="00BB743D">
              <w:rPr>
                <w:noProof/>
                <w:color w:val="000000"/>
                <w:lang w:val="es-ES"/>
              </w:rPr>
              <w:t>...</w:t>
            </w:r>
          </w:p>
        </w:tc>
        <w:tc>
          <w:tcPr>
            <w:tcW w:w="5024" w:type="dxa"/>
            <w:gridSpan w:val="5"/>
          </w:tcPr>
          <w:p w14:paraId="16C8ED5B" w14:textId="77777777" w:rsidR="00BB743D" w:rsidRPr="00BB743D" w:rsidRDefault="00BB743D" w:rsidP="006B6D0C">
            <w:pPr>
              <w:spacing w:before="60" w:after="60"/>
              <w:rPr>
                <w:noProof/>
                <w:color w:val="000000"/>
                <w:lang w:val="es-ES"/>
              </w:rPr>
            </w:pPr>
          </w:p>
        </w:tc>
        <w:tc>
          <w:tcPr>
            <w:tcW w:w="2631" w:type="dxa"/>
            <w:gridSpan w:val="3"/>
            <w:tcBorders>
              <w:right w:val="double" w:sz="4" w:space="0" w:color="auto"/>
            </w:tcBorders>
          </w:tcPr>
          <w:p w14:paraId="354667D1" w14:textId="77777777" w:rsidR="00BB743D" w:rsidRPr="00BB743D" w:rsidRDefault="00BB743D" w:rsidP="006B6D0C">
            <w:pPr>
              <w:spacing w:before="60" w:after="60"/>
              <w:rPr>
                <w:noProof/>
                <w:color w:val="000000"/>
                <w:lang w:val="es-ES"/>
              </w:rPr>
            </w:pPr>
          </w:p>
        </w:tc>
      </w:tr>
      <w:tr w:rsidR="00BB743D" w:rsidRPr="00BB743D" w14:paraId="6072E779" w14:textId="77777777" w:rsidTr="006B6D0C">
        <w:tc>
          <w:tcPr>
            <w:tcW w:w="1276" w:type="dxa"/>
            <w:gridSpan w:val="2"/>
            <w:tcBorders>
              <w:left w:val="double" w:sz="4" w:space="0" w:color="auto"/>
            </w:tcBorders>
          </w:tcPr>
          <w:p w14:paraId="305CA9B4" w14:textId="77777777" w:rsidR="00BB743D" w:rsidRPr="00BB743D" w:rsidRDefault="00BB743D" w:rsidP="006B6D0C">
            <w:pPr>
              <w:spacing w:before="60" w:after="60"/>
              <w:rPr>
                <w:noProof/>
                <w:color w:val="000000"/>
                <w:lang w:val="es-ES"/>
              </w:rPr>
            </w:pPr>
            <w:r w:rsidRPr="00BB743D">
              <w:rPr>
                <w:noProof/>
                <w:color w:val="000000"/>
                <w:lang w:val="es-ES"/>
              </w:rPr>
              <w:t>...</w:t>
            </w:r>
          </w:p>
        </w:tc>
        <w:tc>
          <w:tcPr>
            <w:tcW w:w="5024" w:type="dxa"/>
            <w:gridSpan w:val="5"/>
          </w:tcPr>
          <w:p w14:paraId="6DE72C63" w14:textId="77777777" w:rsidR="00BB743D" w:rsidRPr="00BB743D" w:rsidRDefault="00BB743D" w:rsidP="006B6D0C">
            <w:pPr>
              <w:spacing w:before="60" w:after="60"/>
              <w:rPr>
                <w:noProof/>
                <w:color w:val="000000"/>
                <w:lang w:val="es-ES"/>
              </w:rPr>
            </w:pPr>
          </w:p>
        </w:tc>
        <w:tc>
          <w:tcPr>
            <w:tcW w:w="2631" w:type="dxa"/>
            <w:gridSpan w:val="3"/>
            <w:tcBorders>
              <w:right w:val="double" w:sz="4" w:space="0" w:color="auto"/>
            </w:tcBorders>
          </w:tcPr>
          <w:p w14:paraId="589ED58A" w14:textId="77777777" w:rsidR="00BB743D" w:rsidRPr="00BB743D" w:rsidRDefault="00BB743D" w:rsidP="006B6D0C">
            <w:pPr>
              <w:spacing w:before="60" w:after="60"/>
              <w:rPr>
                <w:noProof/>
                <w:color w:val="000000"/>
                <w:lang w:val="es-ES"/>
              </w:rPr>
            </w:pPr>
          </w:p>
        </w:tc>
      </w:tr>
      <w:tr w:rsidR="00BB743D" w:rsidRPr="00BB743D" w14:paraId="08EFDD9B" w14:textId="77777777" w:rsidTr="006B6D0C">
        <w:tc>
          <w:tcPr>
            <w:tcW w:w="1276" w:type="dxa"/>
            <w:gridSpan w:val="2"/>
            <w:tcBorders>
              <w:left w:val="double" w:sz="4" w:space="0" w:color="auto"/>
            </w:tcBorders>
          </w:tcPr>
          <w:p w14:paraId="3326ECB7" w14:textId="77777777" w:rsidR="00BB743D" w:rsidRPr="00BB743D" w:rsidRDefault="00BB743D" w:rsidP="006B6D0C">
            <w:pPr>
              <w:spacing w:before="60" w:after="60"/>
              <w:rPr>
                <w:noProof/>
                <w:color w:val="000000"/>
                <w:lang w:val="es-ES"/>
              </w:rPr>
            </w:pPr>
          </w:p>
        </w:tc>
        <w:tc>
          <w:tcPr>
            <w:tcW w:w="5024" w:type="dxa"/>
            <w:gridSpan w:val="5"/>
          </w:tcPr>
          <w:p w14:paraId="77540790" w14:textId="77777777" w:rsidR="00BB743D" w:rsidRPr="00BB743D" w:rsidRDefault="00BB743D" w:rsidP="006B6D0C">
            <w:pPr>
              <w:spacing w:before="60" w:after="60"/>
              <w:rPr>
                <w:noProof/>
                <w:color w:val="000000"/>
                <w:lang w:val="es-ES"/>
              </w:rPr>
            </w:pPr>
          </w:p>
        </w:tc>
        <w:tc>
          <w:tcPr>
            <w:tcW w:w="2631" w:type="dxa"/>
            <w:gridSpan w:val="3"/>
            <w:tcBorders>
              <w:right w:val="double" w:sz="4" w:space="0" w:color="auto"/>
            </w:tcBorders>
          </w:tcPr>
          <w:p w14:paraId="6DB30C68" w14:textId="77777777" w:rsidR="00BB743D" w:rsidRPr="00BB743D" w:rsidRDefault="00BB743D" w:rsidP="006B6D0C">
            <w:pPr>
              <w:spacing w:before="60" w:after="60"/>
              <w:rPr>
                <w:noProof/>
                <w:color w:val="000000"/>
                <w:lang w:val="es-ES"/>
              </w:rPr>
            </w:pPr>
          </w:p>
        </w:tc>
      </w:tr>
      <w:tr w:rsidR="00BB743D" w:rsidRPr="00BB743D" w14:paraId="4C827D02" w14:textId="77777777" w:rsidTr="006B6D0C">
        <w:tc>
          <w:tcPr>
            <w:tcW w:w="1276" w:type="dxa"/>
            <w:gridSpan w:val="2"/>
            <w:tcBorders>
              <w:left w:val="double" w:sz="4" w:space="0" w:color="auto"/>
            </w:tcBorders>
          </w:tcPr>
          <w:p w14:paraId="75154578" w14:textId="77777777" w:rsidR="00BB743D" w:rsidRPr="00BB743D" w:rsidRDefault="00BB743D" w:rsidP="006B6D0C">
            <w:pPr>
              <w:spacing w:before="60" w:after="60"/>
              <w:rPr>
                <w:noProof/>
                <w:color w:val="000000"/>
                <w:lang w:val="es-ES"/>
              </w:rPr>
            </w:pPr>
          </w:p>
        </w:tc>
        <w:tc>
          <w:tcPr>
            <w:tcW w:w="5024" w:type="dxa"/>
            <w:gridSpan w:val="5"/>
          </w:tcPr>
          <w:p w14:paraId="4C16F558" w14:textId="77777777" w:rsidR="00BB743D" w:rsidRPr="00BB743D" w:rsidRDefault="00BB743D" w:rsidP="006B6D0C">
            <w:pPr>
              <w:spacing w:before="60" w:after="60"/>
              <w:rPr>
                <w:noProof/>
                <w:color w:val="000000"/>
                <w:lang w:val="es-ES"/>
              </w:rPr>
            </w:pPr>
          </w:p>
        </w:tc>
        <w:tc>
          <w:tcPr>
            <w:tcW w:w="2631" w:type="dxa"/>
            <w:gridSpan w:val="3"/>
            <w:tcBorders>
              <w:right w:val="double" w:sz="4" w:space="0" w:color="auto"/>
            </w:tcBorders>
          </w:tcPr>
          <w:p w14:paraId="27CF0869" w14:textId="77777777" w:rsidR="00BB743D" w:rsidRPr="00BB743D" w:rsidRDefault="00BB743D" w:rsidP="006B6D0C">
            <w:pPr>
              <w:spacing w:before="60" w:after="60"/>
              <w:rPr>
                <w:noProof/>
                <w:color w:val="000000"/>
                <w:lang w:val="es-ES"/>
              </w:rPr>
            </w:pPr>
          </w:p>
        </w:tc>
      </w:tr>
      <w:tr w:rsidR="00BB743D" w:rsidRPr="00BB743D" w14:paraId="1EE29DA3" w14:textId="77777777" w:rsidTr="006B6D0C">
        <w:tc>
          <w:tcPr>
            <w:tcW w:w="1276" w:type="dxa"/>
            <w:gridSpan w:val="2"/>
            <w:tcBorders>
              <w:left w:val="double" w:sz="4" w:space="0" w:color="auto"/>
            </w:tcBorders>
          </w:tcPr>
          <w:p w14:paraId="45029FE6" w14:textId="77777777" w:rsidR="00BB743D" w:rsidRPr="00BB743D" w:rsidRDefault="00BB743D" w:rsidP="006B6D0C">
            <w:pPr>
              <w:spacing w:before="60" w:after="60"/>
              <w:rPr>
                <w:noProof/>
                <w:color w:val="000000"/>
                <w:lang w:val="es-ES"/>
              </w:rPr>
            </w:pPr>
          </w:p>
        </w:tc>
        <w:tc>
          <w:tcPr>
            <w:tcW w:w="5024" w:type="dxa"/>
            <w:gridSpan w:val="5"/>
          </w:tcPr>
          <w:p w14:paraId="10BD2328" w14:textId="77777777" w:rsidR="00BB743D" w:rsidRPr="00BB743D" w:rsidRDefault="00BB743D" w:rsidP="006B6D0C">
            <w:pPr>
              <w:spacing w:before="60" w:after="60"/>
              <w:rPr>
                <w:noProof/>
                <w:color w:val="000000"/>
                <w:lang w:val="es-ES"/>
              </w:rPr>
            </w:pPr>
            <w:r w:rsidRPr="00BB743D">
              <w:rPr>
                <w:noProof/>
                <w:color w:val="000000"/>
                <w:lang w:val="es-ES"/>
              </w:rPr>
              <w:t>Precio Total de las Actividades a ser transferido al Resumen Global, Página ____</w:t>
            </w:r>
          </w:p>
        </w:tc>
        <w:tc>
          <w:tcPr>
            <w:tcW w:w="2631" w:type="dxa"/>
            <w:gridSpan w:val="3"/>
            <w:tcBorders>
              <w:right w:val="double" w:sz="4" w:space="0" w:color="auto"/>
            </w:tcBorders>
          </w:tcPr>
          <w:p w14:paraId="42FA7EE3" w14:textId="77777777" w:rsidR="00BB743D" w:rsidRPr="00BB743D" w:rsidRDefault="00BB743D" w:rsidP="006B6D0C">
            <w:pPr>
              <w:spacing w:before="60" w:after="60"/>
              <w:rPr>
                <w:noProof/>
                <w:color w:val="000000"/>
                <w:lang w:val="es-ES"/>
              </w:rPr>
            </w:pPr>
          </w:p>
        </w:tc>
      </w:tr>
      <w:tr w:rsidR="00BB743D" w:rsidRPr="00BB743D" w14:paraId="6FB97F13"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6C64184" w14:textId="77777777" w:rsidR="00BB743D" w:rsidRPr="00BB743D" w:rsidRDefault="00BB743D" w:rsidP="006B6D0C">
            <w:pPr>
              <w:rPr>
                <w:lang w:val="es-ES"/>
              </w:rPr>
            </w:pPr>
            <w:r w:rsidRPr="00BB743D">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2ECC53D9" w14:textId="77777777" w:rsidR="00BB743D" w:rsidRPr="00BB743D" w:rsidRDefault="00BB743D" w:rsidP="006B6D0C">
            <w:pPr>
              <w:rPr>
                <w:sz w:val="21"/>
                <w:szCs w:val="18"/>
                <w:lang w:val="es-ES"/>
              </w:rPr>
            </w:pPr>
          </w:p>
        </w:tc>
      </w:tr>
      <w:tr w:rsidR="00BB743D" w:rsidRPr="00BB743D" w14:paraId="1D8777B3"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A4CF48A" w14:textId="77777777" w:rsidR="00BB743D" w:rsidRPr="00BB743D" w:rsidRDefault="00BB743D" w:rsidP="006B6D0C">
            <w:pPr>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354E16B1" w14:textId="77777777" w:rsidR="00BB743D" w:rsidRPr="00BB743D" w:rsidRDefault="00BB743D" w:rsidP="006B6D0C">
            <w:pPr>
              <w:rPr>
                <w:sz w:val="21"/>
                <w:szCs w:val="18"/>
                <w:lang w:val="es-ES"/>
              </w:rPr>
            </w:pPr>
          </w:p>
        </w:tc>
        <w:tc>
          <w:tcPr>
            <w:tcW w:w="494" w:type="dxa"/>
            <w:tcBorders>
              <w:top w:val="single" w:sz="4" w:space="0" w:color="auto"/>
              <w:left w:val="nil"/>
              <w:bottom w:val="nil"/>
              <w:right w:val="nil"/>
            </w:tcBorders>
            <w:tcMar>
              <w:left w:w="28" w:type="dxa"/>
              <w:right w:w="28" w:type="dxa"/>
            </w:tcMar>
          </w:tcPr>
          <w:p w14:paraId="0FC965DC" w14:textId="77777777" w:rsidR="00BB743D" w:rsidRPr="00BB743D" w:rsidRDefault="00BB743D" w:rsidP="006B6D0C">
            <w:pPr>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3C556F6E" w14:textId="77777777" w:rsidR="00BB743D" w:rsidRPr="00BB743D" w:rsidRDefault="00BB743D" w:rsidP="006B6D0C">
            <w:pPr>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34A0A5E1" w14:textId="77777777" w:rsidR="00BB743D" w:rsidRPr="00BB743D" w:rsidRDefault="00BB743D" w:rsidP="006B6D0C">
            <w:pPr>
              <w:rPr>
                <w:sz w:val="21"/>
                <w:szCs w:val="18"/>
                <w:lang w:val="es-ES"/>
              </w:rPr>
            </w:pPr>
          </w:p>
        </w:tc>
        <w:tc>
          <w:tcPr>
            <w:tcW w:w="1296" w:type="dxa"/>
            <w:tcBorders>
              <w:top w:val="single" w:sz="4" w:space="0" w:color="auto"/>
              <w:left w:val="nil"/>
              <w:bottom w:val="nil"/>
              <w:right w:val="nil"/>
            </w:tcBorders>
            <w:tcMar>
              <w:left w:w="28" w:type="dxa"/>
              <w:right w:w="28" w:type="dxa"/>
            </w:tcMar>
          </w:tcPr>
          <w:p w14:paraId="12087731" w14:textId="77777777" w:rsidR="00BB743D" w:rsidRPr="00BB743D" w:rsidRDefault="00BB743D" w:rsidP="006B6D0C">
            <w:pPr>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69D14D18" w14:textId="77777777" w:rsidR="00BB743D" w:rsidRPr="00BB743D" w:rsidRDefault="00BB743D" w:rsidP="006B6D0C">
            <w:pPr>
              <w:rPr>
                <w:sz w:val="21"/>
                <w:szCs w:val="18"/>
                <w:lang w:val="es-ES"/>
              </w:rPr>
            </w:pPr>
          </w:p>
        </w:tc>
      </w:tr>
      <w:tr w:rsidR="00BB743D" w:rsidRPr="00BB743D" w14:paraId="2BDCBF84"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107C9AB" w14:textId="77777777" w:rsidR="00BB743D" w:rsidRPr="00BB743D" w:rsidRDefault="00BB743D" w:rsidP="006B6D0C">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52D09570" w14:textId="77777777" w:rsidR="00BB743D" w:rsidRPr="00BB743D" w:rsidRDefault="00BB743D" w:rsidP="006B6D0C">
            <w:pPr>
              <w:jc w:val="center"/>
              <w:rPr>
                <w:sz w:val="21"/>
                <w:szCs w:val="18"/>
                <w:lang w:val="es-ES"/>
              </w:rPr>
            </w:pPr>
          </w:p>
        </w:tc>
        <w:tc>
          <w:tcPr>
            <w:tcW w:w="494" w:type="dxa"/>
            <w:tcBorders>
              <w:top w:val="nil"/>
              <w:left w:val="nil"/>
              <w:bottom w:val="nil"/>
              <w:right w:val="nil"/>
            </w:tcBorders>
            <w:tcMar>
              <w:left w:w="28" w:type="dxa"/>
              <w:right w:w="28" w:type="dxa"/>
            </w:tcMar>
          </w:tcPr>
          <w:p w14:paraId="2701CE51" w14:textId="77777777" w:rsidR="00BB743D" w:rsidRPr="00BB743D" w:rsidRDefault="00BB743D" w:rsidP="006B6D0C">
            <w:pPr>
              <w:rPr>
                <w:sz w:val="21"/>
                <w:szCs w:val="18"/>
                <w:lang w:val="es-ES"/>
              </w:rPr>
            </w:pPr>
          </w:p>
        </w:tc>
        <w:tc>
          <w:tcPr>
            <w:tcW w:w="946" w:type="dxa"/>
            <w:tcBorders>
              <w:top w:val="nil"/>
              <w:left w:val="single" w:sz="6" w:space="0" w:color="auto"/>
              <w:bottom w:val="nil"/>
              <w:right w:val="nil"/>
            </w:tcBorders>
            <w:tcMar>
              <w:left w:w="28" w:type="dxa"/>
              <w:right w:w="28" w:type="dxa"/>
            </w:tcMar>
          </w:tcPr>
          <w:p w14:paraId="0B54D118" w14:textId="77777777" w:rsidR="00BB743D" w:rsidRPr="00BB743D" w:rsidRDefault="00BB743D" w:rsidP="006B6D0C">
            <w:pPr>
              <w:rPr>
                <w:sz w:val="21"/>
                <w:szCs w:val="18"/>
                <w:lang w:val="es-ES"/>
              </w:rPr>
            </w:pPr>
          </w:p>
        </w:tc>
        <w:tc>
          <w:tcPr>
            <w:tcW w:w="1296" w:type="dxa"/>
            <w:gridSpan w:val="2"/>
            <w:tcBorders>
              <w:top w:val="nil"/>
              <w:left w:val="nil"/>
              <w:bottom w:val="nil"/>
              <w:right w:val="nil"/>
            </w:tcBorders>
            <w:tcMar>
              <w:left w:w="28" w:type="dxa"/>
              <w:right w:w="28" w:type="dxa"/>
            </w:tcMar>
          </w:tcPr>
          <w:p w14:paraId="4FE64D20" w14:textId="77777777" w:rsidR="00BB743D" w:rsidRPr="00BB743D" w:rsidRDefault="00BB743D" w:rsidP="006B6D0C">
            <w:pPr>
              <w:rPr>
                <w:sz w:val="21"/>
                <w:szCs w:val="18"/>
                <w:lang w:val="es-ES"/>
              </w:rPr>
            </w:pPr>
          </w:p>
        </w:tc>
        <w:tc>
          <w:tcPr>
            <w:tcW w:w="1296" w:type="dxa"/>
            <w:tcBorders>
              <w:top w:val="nil"/>
              <w:left w:val="nil"/>
              <w:bottom w:val="nil"/>
              <w:right w:val="nil"/>
            </w:tcBorders>
            <w:tcMar>
              <w:left w:w="28" w:type="dxa"/>
              <w:right w:w="28" w:type="dxa"/>
            </w:tcMar>
          </w:tcPr>
          <w:p w14:paraId="5129A26F" w14:textId="77777777" w:rsidR="00BB743D" w:rsidRPr="00BB743D" w:rsidRDefault="00BB743D" w:rsidP="006B6D0C">
            <w:pPr>
              <w:rPr>
                <w:sz w:val="21"/>
                <w:szCs w:val="18"/>
                <w:lang w:val="es-ES"/>
              </w:rPr>
            </w:pPr>
          </w:p>
        </w:tc>
        <w:tc>
          <w:tcPr>
            <w:tcW w:w="1140" w:type="dxa"/>
            <w:tcBorders>
              <w:top w:val="nil"/>
              <w:left w:val="nil"/>
              <w:bottom w:val="nil"/>
              <w:right w:val="double" w:sz="4" w:space="0" w:color="auto"/>
            </w:tcBorders>
            <w:tcMar>
              <w:left w:w="28" w:type="dxa"/>
              <w:right w:w="28" w:type="dxa"/>
            </w:tcMar>
          </w:tcPr>
          <w:p w14:paraId="4549660C" w14:textId="77777777" w:rsidR="00BB743D" w:rsidRPr="00BB743D" w:rsidRDefault="00BB743D" w:rsidP="006B6D0C">
            <w:pPr>
              <w:rPr>
                <w:sz w:val="21"/>
                <w:szCs w:val="18"/>
                <w:lang w:val="es-ES"/>
              </w:rPr>
            </w:pPr>
          </w:p>
        </w:tc>
      </w:tr>
      <w:tr w:rsidR="00BB743D" w:rsidRPr="00BB743D" w14:paraId="228C284B"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EABE6AC" w14:textId="77777777" w:rsidR="00BB743D" w:rsidRPr="00BB743D" w:rsidRDefault="00BB743D" w:rsidP="006B6D0C">
            <w:pPr>
              <w:rPr>
                <w:sz w:val="21"/>
                <w:szCs w:val="18"/>
                <w:lang w:val="es-ES"/>
              </w:rPr>
            </w:pPr>
          </w:p>
        </w:tc>
        <w:tc>
          <w:tcPr>
            <w:tcW w:w="2769" w:type="dxa"/>
            <w:gridSpan w:val="3"/>
            <w:tcBorders>
              <w:top w:val="nil"/>
              <w:left w:val="nil"/>
              <w:bottom w:val="nil"/>
              <w:right w:val="nil"/>
            </w:tcBorders>
            <w:tcMar>
              <w:left w:w="28" w:type="dxa"/>
              <w:right w:w="28" w:type="dxa"/>
            </w:tcMar>
          </w:tcPr>
          <w:p w14:paraId="33BD2568" w14:textId="77777777" w:rsidR="00BB743D" w:rsidRPr="00BB743D" w:rsidRDefault="00BB743D" w:rsidP="006B6D0C">
            <w:pPr>
              <w:rPr>
                <w:sz w:val="21"/>
                <w:szCs w:val="18"/>
                <w:lang w:val="es-ES"/>
              </w:rPr>
            </w:pPr>
          </w:p>
        </w:tc>
        <w:tc>
          <w:tcPr>
            <w:tcW w:w="494" w:type="dxa"/>
            <w:tcBorders>
              <w:top w:val="nil"/>
              <w:left w:val="nil"/>
              <w:bottom w:val="nil"/>
              <w:right w:val="nil"/>
            </w:tcBorders>
            <w:tcMar>
              <w:left w:w="28" w:type="dxa"/>
              <w:right w:w="28" w:type="dxa"/>
            </w:tcMar>
          </w:tcPr>
          <w:p w14:paraId="7A50E736" w14:textId="77777777" w:rsidR="00BB743D" w:rsidRPr="00BB743D" w:rsidRDefault="00BB743D" w:rsidP="006B6D0C">
            <w:pPr>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0CC2FA0E" w14:textId="77777777" w:rsidR="00BB743D" w:rsidRPr="00BB743D" w:rsidRDefault="00BB743D" w:rsidP="006B6D0C">
            <w:pPr>
              <w:jc w:val="right"/>
              <w:rPr>
                <w:sz w:val="21"/>
                <w:szCs w:val="18"/>
                <w:lang w:val="es-ES"/>
              </w:rPr>
            </w:pPr>
            <w:r w:rsidRPr="00BB743D">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2EFFB33E" w14:textId="77777777" w:rsidR="00BB743D" w:rsidRPr="00BB743D" w:rsidRDefault="00BB743D" w:rsidP="006B6D0C">
            <w:pPr>
              <w:tabs>
                <w:tab w:val="left" w:pos="2297"/>
              </w:tabs>
              <w:rPr>
                <w:sz w:val="21"/>
                <w:szCs w:val="18"/>
                <w:lang w:val="es-ES"/>
              </w:rPr>
            </w:pPr>
            <w:r w:rsidRPr="00BB743D">
              <w:rPr>
                <w:sz w:val="21"/>
                <w:szCs w:val="18"/>
                <w:u w:val="single"/>
                <w:lang w:val="es-ES"/>
              </w:rPr>
              <w:tab/>
            </w:r>
          </w:p>
        </w:tc>
      </w:tr>
      <w:tr w:rsidR="00BB743D" w:rsidRPr="00BB743D" w14:paraId="3F6A5F5A"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5F285C2" w14:textId="77777777" w:rsidR="00BB743D" w:rsidRPr="00BB743D" w:rsidRDefault="00BB743D" w:rsidP="006B6D0C">
            <w:pPr>
              <w:rPr>
                <w:sz w:val="21"/>
                <w:szCs w:val="18"/>
                <w:lang w:val="es-ES"/>
              </w:rPr>
            </w:pPr>
          </w:p>
        </w:tc>
        <w:tc>
          <w:tcPr>
            <w:tcW w:w="2769" w:type="dxa"/>
            <w:gridSpan w:val="3"/>
            <w:tcBorders>
              <w:top w:val="nil"/>
              <w:left w:val="nil"/>
              <w:bottom w:val="nil"/>
              <w:right w:val="nil"/>
            </w:tcBorders>
            <w:tcMar>
              <w:left w:w="28" w:type="dxa"/>
              <w:right w:w="28" w:type="dxa"/>
            </w:tcMar>
          </w:tcPr>
          <w:p w14:paraId="74024C60" w14:textId="77777777" w:rsidR="00BB743D" w:rsidRPr="00BB743D" w:rsidRDefault="00BB743D" w:rsidP="006B6D0C">
            <w:pPr>
              <w:rPr>
                <w:sz w:val="21"/>
                <w:szCs w:val="18"/>
                <w:lang w:val="es-ES"/>
              </w:rPr>
            </w:pPr>
          </w:p>
        </w:tc>
        <w:tc>
          <w:tcPr>
            <w:tcW w:w="494" w:type="dxa"/>
            <w:tcBorders>
              <w:top w:val="nil"/>
              <w:left w:val="nil"/>
              <w:bottom w:val="nil"/>
              <w:right w:val="nil"/>
            </w:tcBorders>
            <w:tcMar>
              <w:left w:w="28" w:type="dxa"/>
              <w:right w:w="28" w:type="dxa"/>
            </w:tcMar>
          </w:tcPr>
          <w:p w14:paraId="1738E41B" w14:textId="77777777" w:rsidR="00BB743D" w:rsidRPr="00BB743D" w:rsidRDefault="00BB743D" w:rsidP="006B6D0C">
            <w:pPr>
              <w:rPr>
                <w:sz w:val="21"/>
                <w:szCs w:val="18"/>
                <w:lang w:val="es-ES"/>
              </w:rPr>
            </w:pPr>
          </w:p>
        </w:tc>
        <w:tc>
          <w:tcPr>
            <w:tcW w:w="946" w:type="dxa"/>
            <w:tcBorders>
              <w:top w:val="nil"/>
              <w:left w:val="single" w:sz="6" w:space="0" w:color="auto"/>
              <w:bottom w:val="nil"/>
              <w:right w:val="nil"/>
            </w:tcBorders>
            <w:tcMar>
              <w:left w:w="28" w:type="dxa"/>
              <w:right w:w="28" w:type="dxa"/>
            </w:tcMar>
          </w:tcPr>
          <w:p w14:paraId="7C93A291" w14:textId="77777777" w:rsidR="00BB743D" w:rsidRPr="00BB743D" w:rsidRDefault="00BB743D" w:rsidP="006B6D0C">
            <w:pPr>
              <w:rPr>
                <w:sz w:val="21"/>
                <w:szCs w:val="18"/>
                <w:lang w:val="es-ES"/>
              </w:rPr>
            </w:pPr>
          </w:p>
        </w:tc>
        <w:tc>
          <w:tcPr>
            <w:tcW w:w="1296" w:type="dxa"/>
            <w:gridSpan w:val="2"/>
            <w:tcBorders>
              <w:top w:val="nil"/>
              <w:left w:val="nil"/>
              <w:bottom w:val="nil"/>
              <w:right w:val="nil"/>
            </w:tcBorders>
            <w:tcMar>
              <w:left w:w="28" w:type="dxa"/>
              <w:right w:w="28" w:type="dxa"/>
            </w:tcMar>
          </w:tcPr>
          <w:p w14:paraId="46D08ECF" w14:textId="77777777" w:rsidR="00BB743D" w:rsidRPr="00BB743D" w:rsidRDefault="00BB743D" w:rsidP="006B6D0C">
            <w:pPr>
              <w:rPr>
                <w:sz w:val="21"/>
                <w:szCs w:val="18"/>
                <w:lang w:val="es-ES"/>
              </w:rPr>
            </w:pPr>
          </w:p>
        </w:tc>
        <w:tc>
          <w:tcPr>
            <w:tcW w:w="1296" w:type="dxa"/>
            <w:tcBorders>
              <w:top w:val="nil"/>
              <w:left w:val="nil"/>
              <w:bottom w:val="nil"/>
              <w:right w:val="nil"/>
            </w:tcBorders>
            <w:tcMar>
              <w:left w:w="28" w:type="dxa"/>
              <w:right w:w="28" w:type="dxa"/>
            </w:tcMar>
          </w:tcPr>
          <w:p w14:paraId="4A037809" w14:textId="77777777" w:rsidR="00BB743D" w:rsidRPr="00BB743D" w:rsidRDefault="00BB743D" w:rsidP="006B6D0C">
            <w:pPr>
              <w:rPr>
                <w:sz w:val="21"/>
                <w:szCs w:val="18"/>
                <w:lang w:val="es-ES"/>
              </w:rPr>
            </w:pPr>
          </w:p>
        </w:tc>
        <w:tc>
          <w:tcPr>
            <w:tcW w:w="1140" w:type="dxa"/>
            <w:tcBorders>
              <w:top w:val="nil"/>
              <w:left w:val="nil"/>
              <w:bottom w:val="nil"/>
              <w:right w:val="double" w:sz="4" w:space="0" w:color="auto"/>
            </w:tcBorders>
            <w:tcMar>
              <w:left w:w="28" w:type="dxa"/>
              <w:right w:w="28" w:type="dxa"/>
            </w:tcMar>
          </w:tcPr>
          <w:p w14:paraId="0220CD23" w14:textId="77777777" w:rsidR="00BB743D" w:rsidRPr="00BB743D" w:rsidRDefault="00BB743D" w:rsidP="006B6D0C">
            <w:pPr>
              <w:rPr>
                <w:sz w:val="21"/>
                <w:szCs w:val="18"/>
                <w:lang w:val="es-ES"/>
              </w:rPr>
            </w:pPr>
          </w:p>
        </w:tc>
      </w:tr>
      <w:tr w:rsidR="00BB743D" w:rsidRPr="00BB743D" w14:paraId="5D12114E"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ED8DCE8" w14:textId="77777777" w:rsidR="00BB743D" w:rsidRPr="00BB743D" w:rsidRDefault="00BB743D" w:rsidP="006B6D0C">
            <w:pPr>
              <w:rPr>
                <w:sz w:val="21"/>
                <w:szCs w:val="18"/>
                <w:lang w:val="es-ES"/>
              </w:rPr>
            </w:pPr>
          </w:p>
        </w:tc>
        <w:tc>
          <w:tcPr>
            <w:tcW w:w="2769" w:type="dxa"/>
            <w:gridSpan w:val="3"/>
            <w:tcBorders>
              <w:top w:val="nil"/>
              <w:left w:val="nil"/>
              <w:bottom w:val="nil"/>
              <w:right w:val="nil"/>
            </w:tcBorders>
            <w:tcMar>
              <w:left w:w="28" w:type="dxa"/>
              <w:right w:w="28" w:type="dxa"/>
            </w:tcMar>
          </w:tcPr>
          <w:p w14:paraId="109F9FA1" w14:textId="77777777" w:rsidR="00BB743D" w:rsidRPr="00BB743D" w:rsidRDefault="00BB743D" w:rsidP="006B6D0C">
            <w:pPr>
              <w:rPr>
                <w:sz w:val="21"/>
                <w:szCs w:val="18"/>
                <w:lang w:val="es-ES"/>
              </w:rPr>
            </w:pPr>
          </w:p>
        </w:tc>
        <w:tc>
          <w:tcPr>
            <w:tcW w:w="494" w:type="dxa"/>
            <w:tcBorders>
              <w:top w:val="nil"/>
              <w:left w:val="nil"/>
              <w:bottom w:val="nil"/>
              <w:right w:val="nil"/>
            </w:tcBorders>
            <w:tcMar>
              <w:left w:w="28" w:type="dxa"/>
              <w:right w:w="28" w:type="dxa"/>
            </w:tcMar>
          </w:tcPr>
          <w:p w14:paraId="56BB93F7" w14:textId="77777777" w:rsidR="00BB743D" w:rsidRPr="00BB743D" w:rsidRDefault="00BB743D" w:rsidP="006B6D0C">
            <w:pPr>
              <w:rPr>
                <w:sz w:val="21"/>
                <w:szCs w:val="18"/>
                <w:lang w:val="es-ES"/>
              </w:rPr>
            </w:pPr>
          </w:p>
        </w:tc>
        <w:tc>
          <w:tcPr>
            <w:tcW w:w="946" w:type="dxa"/>
            <w:tcBorders>
              <w:top w:val="nil"/>
              <w:left w:val="single" w:sz="6" w:space="0" w:color="auto"/>
              <w:bottom w:val="nil"/>
              <w:right w:val="nil"/>
            </w:tcBorders>
            <w:tcMar>
              <w:left w:w="28" w:type="dxa"/>
              <w:right w:w="28" w:type="dxa"/>
            </w:tcMar>
          </w:tcPr>
          <w:p w14:paraId="75285893" w14:textId="77777777" w:rsidR="00BB743D" w:rsidRPr="00BB743D" w:rsidRDefault="00BB743D" w:rsidP="006B6D0C">
            <w:pPr>
              <w:rPr>
                <w:sz w:val="21"/>
                <w:szCs w:val="18"/>
                <w:lang w:val="es-ES"/>
              </w:rPr>
            </w:pPr>
          </w:p>
        </w:tc>
        <w:tc>
          <w:tcPr>
            <w:tcW w:w="1296" w:type="dxa"/>
            <w:gridSpan w:val="2"/>
            <w:tcBorders>
              <w:top w:val="nil"/>
              <w:left w:val="nil"/>
              <w:bottom w:val="nil"/>
              <w:right w:val="nil"/>
            </w:tcBorders>
            <w:tcMar>
              <w:left w:w="28" w:type="dxa"/>
              <w:right w:w="28" w:type="dxa"/>
            </w:tcMar>
          </w:tcPr>
          <w:p w14:paraId="27DAE42F" w14:textId="77777777" w:rsidR="00BB743D" w:rsidRPr="00BB743D" w:rsidRDefault="00BB743D" w:rsidP="006B6D0C">
            <w:pPr>
              <w:rPr>
                <w:sz w:val="21"/>
                <w:szCs w:val="18"/>
                <w:lang w:val="es-ES"/>
              </w:rPr>
            </w:pPr>
          </w:p>
        </w:tc>
        <w:tc>
          <w:tcPr>
            <w:tcW w:w="1296" w:type="dxa"/>
            <w:tcBorders>
              <w:top w:val="nil"/>
              <w:left w:val="nil"/>
              <w:bottom w:val="nil"/>
              <w:right w:val="nil"/>
            </w:tcBorders>
            <w:tcMar>
              <w:left w:w="28" w:type="dxa"/>
              <w:right w:w="28" w:type="dxa"/>
            </w:tcMar>
          </w:tcPr>
          <w:p w14:paraId="13709E64" w14:textId="77777777" w:rsidR="00BB743D" w:rsidRPr="00BB743D" w:rsidRDefault="00BB743D" w:rsidP="006B6D0C">
            <w:pPr>
              <w:rPr>
                <w:sz w:val="21"/>
                <w:szCs w:val="18"/>
                <w:lang w:val="es-ES"/>
              </w:rPr>
            </w:pPr>
          </w:p>
        </w:tc>
        <w:tc>
          <w:tcPr>
            <w:tcW w:w="1140" w:type="dxa"/>
            <w:tcBorders>
              <w:top w:val="nil"/>
              <w:left w:val="nil"/>
              <w:bottom w:val="nil"/>
              <w:right w:val="double" w:sz="4" w:space="0" w:color="auto"/>
            </w:tcBorders>
            <w:tcMar>
              <w:left w:w="28" w:type="dxa"/>
              <w:right w:w="28" w:type="dxa"/>
            </w:tcMar>
          </w:tcPr>
          <w:p w14:paraId="62792876" w14:textId="77777777" w:rsidR="00BB743D" w:rsidRPr="00BB743D" w:rsidRDefault="00BB743D" w:rsidP="006B6D0C">
            <w:pPr>
              <w:rPr>
                <w:sz w:val="21"/>
                <w:szCs w:val="18"/>
                <w:lang w:val="es-ES"/>
              </w:rPr>
            </w:pPr>
          </w:p>
        </w:tc>
      </w:tr>
      <w:tr w:rsidR="00BB743D" w:rsidRPr="00BB743D" w14:paraId="32D8BB4F"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92EC065" w14:textId="77777777" w:rsidR="00BB743D" w:rsidRPr="00BB743D" w:rsidRDefault="00BB743D" w:rsidP="006B6D0C">
            <w:pPr>
              <w:rPr>
                <w:sz w:val="21"/>
                <w:szCs w:val="18"/>
                <w:lang w:val="es-ES"/>
              </w:rPr>
            </w:pPr>
          </w:p>
        </w:tc>
        <w:tc>
          <w:tcPr>
            <w:tcW w:w="2769" w:type="dxa"/>
            <w:gridSpan w:val="3"/>
            <w:tcBorders>
              <w:top w:val="nil"/>
              <w:left w:val="nil"/>
              <w:bottom w:val="nil"/>
              <w:right w:val="nil"/>
            </w:tcBorders>
            <w:tcMar>
              <w:left w:w="28" w:type="dxa"/>
              <w:right w:w="28" w:type="dxa"/>
            </w:tcMar>
          </w:tcPr>
          <w:p w14:paraId="31979B1D" w14:textId="77777777" w:rsidR="00BB743D" w:rsidRPr="00BB743D" w:rsidRDefault="00BB743D" w:rsidP="006B6D0C">
            <w:pPr>
              <w:rPr>
                <w:sz w:val="21"/>
                <w:szCs w:val="18"/>
                <w:lang w:val="es-ES"/>
              </w:rPr>
            </w:pPr>
          </w:p>
        </w:tc>
        <w:tc>
          <w:tcPr>
            <w:tcW w:w="494" w:type="dxa"/>
            <w:tcBorders>
              <w:top w:val="nil"/>
              <w:left w:val="nil"/>
              <w:bottom w:val="nil"/>
              <w:right w:val="nil"/>
            </w:tcBorders>
            <w:tcMar>
              <w:left w:w="28" w:type="dxa"/>
              <w:right w:w="28" w:type="dxa"/>
            </w:tcMar>
          </w:tcPr>
          <w:p w14:paraId="202678C2" w14:textId="77777777" w:rsidR="00BB743D" w:rsidRPr="00BB743D" w:rsidRDefault="00BB743D" w:rsidP="006B6D0C">
            <w:pPr>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EF3806A" w14:textId="77777777" w:rsidR="00BB743D" w:rsidRPr="00BB743D" w:rsidRDefault="00BB743D" w:rsidP="006B6D0C">
            <w:pPr>
              <w:jc w:val="right"/>
              <w:rPr>
                <w:sz w:val="21"/>
                <w:szCs w:val="18"/>
                <w:lang w:val="es-ES"/>
              </w:rPr>
            </w:pPr>
            <w:r w:rsidRPr="00BB743D">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5E926FD2" w14:textId="77777777" w:rsidR="00BB743D" w:rsidRPr="00BB743D" w:rsidRDefault="00BB743D" w:rsidP="006B6D0C">
            <w:pPr>
              <w:tabs>
                <w:tab w:val="left" w:pos="2297"/>
              </w:tabs>
              <w:rPr>
                <w:sz w:val="21"/>
                <w:szCs w:val="18"/>
                <w:lang w:val="es-ES"/>
              </w:rPr>
            </w:pPr>
            <w:r w:rsidRPr="00BB743D">
              <w:rPr>
                <w:sz w:val="21"/>
                <w:szCs w:val="18"/>
                <w:u w:val="single"/>
                <w:lang w:val="es-ES"/>
              </w:rPr>
              <w:tab/>
            </w:r>
          </w:p>
        </w:tc>
      </w:tr>
      <w:tr w:rsidR="00BB743D" w:rsidRPr="00BB743D" w14:paraId="46812A56" w14:textId="77777777" w:rsidTr="006B6D0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3F968E61" w14:textId="77777777" w:rsidR="00BB743D" w:rsidRPr="00BB743D" w:rsidRDefault="00BB743D" w:rsidP="006B6D0C">
            <w:pPr>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0DE1006C" w14:textId="77777777" w:rsidR="00BB743D" w:rsidRPr="00BB743D" w:rsidRDefault="00BB743D" w:rsidP="006B6D0C">
            <w:pPr>
              <w:rPr>
                <w:sz w:val="21"/>
                <w:szCs w:val="18"/>
                <w:lang w:val="es-ES"/>
              </w:rPr>
            </w:pPr>
          </w:p>
        </w:tc>
        <w:tc>
          <w:tcPr>
            <w:tcW w:w="494" w:type="dxa"/>
            <w:tcBorders>
              <w:top w:val="nil"/>
              <w:left w:val="nil"/>
              <w:bottom w:val="double" w:sz="4" w:space="0" w:color="auto"/>
              <w:right w:val="nil"/>
            </w:tcBorders>
            <w:tcMar>
              <w:left w:w="28" w:type="dxa"/>
              <w:right w:w="28" w:type="dxa"/>
            </w:tcMar>
          </w:tcPr>
          <w:p w14:paraId="0BD9F944" w14:textId="77777777" w:rsidR="00BB743D" w:rsidRPr="00BB743D" w:rsidRDefault="00BB743D" w:rsidP="006B6D0C">
            <w:pPr>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443C6ADD" w14:textId="77777777" w:rsidR="00BB743D" w:rsidRPr="00BB743D" w:rsidRDefault="00BB743D" w:rsidP="006B6D0C">
            <w:pPr>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5CDC6CDC" w14:textId="77777777" w:rsidR="00BB743D" w:rsidRPr="00BB743D" w:rsidRDefault="00BB743D" w:rsidP="006B6D0C">
            <w:pPr>
              <w:rPr>
                <w:sz w:val="21"/>
                <w:szCs w:val="18"/>
                <w:lang w:val="es-ES"/>
              </w:rPr>
            </w:pPr>
          </w:p>
        </w:tc>
        <w:tc>
          <w:tcPr>
            <w:tcW w:w="1296" w:type="dxa"/>
            <w:tcBorders>
              <w:top w:val="nil"/>
              <w:left w:val="nil"/>
              <w:bottom w:val="double" w:sz="4" w:space="0" w:color="auto"/>
              <w:right w:val="nil"/>
            </w:tcBorders>
            <w:tcMar>
              <w:left w:w="28" w:type="dxa"/>
              <w:right w:w="28" w:type="dxa"/>
            </w:tcMar>
          </w:tcPr>
          <w:p w14:paraId="0F492631" w14:textId="77777777" w:rsidR="00BB743D" w:rsidRPr="00BB743D" w:rsidRDefault="00BB743D" w:rsidP="006B6D0C">
            <w:pPr>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044AD95B" w14:textId="77777777" w:rsidR="00BB743D" w:rsidRPr="00BB743D" w:rsidRDefault="00BB743D" w:rsidP="006B6D0C">
            <w:pPr>
              <w:rPr>
                <w:sz w:val="21"/>
                <w:szCs w:val="18"/>
                <w:lang w:val="es-ES"/>
              </w:rPr>
            </w:pPr>
          </w:p>
        </w:tc>
      </w:tr>
    </w:tbl>
    <w:p w14:paraId="6441FA82" w14:textId="77777777" w:rsidR="00BB743D" w:rsidRPr="00BB743D" w:rsidRDefault="00BB743D" w:rsidP="00BB743D">
      <w:pPr>
        <w:spacing w:line="276" w:lineRule="auto"/>
        <w:rPr>
          <w:lang w:val="es-ES"/>
        </w:rPr>
      </w:pPr>
      <w:r w:rsidRPr="00BB743D">
        <w:rPr>
          <w:lang w:val="es-ES"/>
        </w:rPr>
        <w:br w:type="page"/>
      </w:r>
    </w:p>
    <w:p w14:paraId="56C838BB" w14:textId="0999B467" w:rsidR="00AC6C37" w:rsidRPr="00BB743D" w:rsidRDefault="00AC6C37" w:rsidP="00BB743D">
      <w:pPr>
        <w:pStyle w:val="Heading2"/>
        <w:numPr>
          <w:ilvl w:val="0"/>
          <w:numId w:val="10"/>
        </w:numPr>
      </w:pPr>
      <w:bookmarkStart w:id="24" w:name="_Toc503248450"/>
      <w:bookmarkEnd w:id="2"/>
      <w:bookmarkEnd w:id="3"/>
      <w:bookmarkEnd w:id="4"/>
      <w:r w:rsidRPr="00BB743D">
        <w:lastRenderedPageBreak/>
        <w:t>Sección X. Formularios de Garantía</w:t>
      </w:r>
      <w:bookmarkEnd w:id="24"/>
    </w:p>
    <w:p w14:paraId="694CEA8A" w14:textId="77777777" w:rsidR="00AC6C37" w:rsidRPr="00BB743D" w:rsidRDefault="00AC6C37" w:rsidP="00AC6C37">
      <w:pPr>
        <w:pStyle w:val="Heading2"/>
        <w:ind w:left="180" w:firstLine="0"/>
        <w:rPr>
          <w:i/>
        </w:rPr>
      </w:pPr>
    </w:p>
    <w:p w14:paraId="46CE998F" w14:textId="00BA277F" w:rsidR="00AC6C37" w:rsidRDefault="00BB743D" w:rsidP="008A65CD">
      <w:pPr>
        <w:pStyle w:val="explanatorynotes"/>
        <w:numPr>
          <w:ilvl w:val="0"/>
          <w:numId w:val="24"/>
        </w:numPr>
        <w:spacing w:after="120" w:line="240" w:lineRule="auto"/>
        <w:ind w:left="709" w:hanging="709"/>
        <w:rPr>
          <w:rFonts w:ascii="Times New Roman" w:hAnsi="Times New Roman"/>
          <w:lang w:val="es-ES"/>
        </w:rPr>
      </w:pPr>
      <w:r w:rsidRPr="00BB743D">
        <w:rPr>
          <w:rFonts w:ascii="Times New Roman" w:hAnsi="Times New Roman"/>
          <w:lang w:val="es-ES"/>
        </w:rPr>
        <w:t>Los formularios de garantía son los mismo de DEL Obras Menores.</w:t>
      </w:r>
    </w:p>
    <w:p w14:paraId="0089DA07" w14:textId="5030B88E" w:rsidR="00AE3883" w:rsidRPr="00BB743D" w:rsidRDefault="00AE3883" w:rsidP="008A65CD">
      <w:pPr>
        <w:pStyle w:val="explanatorynotes"/>
        <w:numPr>
          <w:ilvl w:val="0"/>
          <w:numId w:val="24"/>
        </w:numPr>
        <w:spacing w:after="120" w:line="240" w:lineRule="auto"/>
        <w:ind w:left="709" w:hanging="709"/>
        <w:rPr>
          <w:rFonts w:ascii="Times New Roman" w:hAnsi="Times New Roman"/>
          <w:lang w:val="es-ES"/>
        </w:rPr>
      </w:pPr>
      <w:r>
        <w:rPr>
          <w:rFonts w:ascii="Times New Roman" w:hAnsi="Times New Roman"/>
          <w:lang w:val="es-ES"/>
        </w:rPr>
        <w:t>En algunas jurisdicciones se acostumbra agregar una garantía separada sobre la calidad del diseño.  Este requisito no se encuentra entre las disposiciones estándar que recomienda el Banco, pero si la práctica local así lo establece, tal formulario puede agregarse en esta Sección y referirse en las Condiciones Particulares.</w:t>
      </w:r>
    </w:p>
    <w:p w14:paraId="0977DF8F" w14:textId="77777777" w:rsidR="009138BD" w:rsidRPr="00BB743D" w:rsidRDefault="009138BD">
      <w:pPr>
        <w:rPr>
          <w:lang w:val="es-ES"/>
        </w:rPr>
      </w:pPr>
    </w:p>
    <w:sectPr w:rsidR="009138BD" w:rsidRPr="00BB743D" w:rsidSect="00E0626D">
      <w:headerReference w:type="even" r:id="rId17"/>
      <w:headerReference w:type="default" r:id="rId18"/>
      <w:endnotePr>
        <w:numFmt w:val="decimal"/>
      </w:endnotePr>
      <w:pgSz w:w="12240" w:h="15840" w:code="1"/>
      <w:pgMar w:top="1440" w:right="1440" w:bottom="1440" w:left="184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E71A" w14:textId="77777777" w:rsidR="00C15021" w:rsidRDefault="00C15021">
      <w:r>
        <w:separator/>
      </w:r>
    </w:p>
  </w:endnote>
  <w:endnote w:type="continuationSeparator" w:id="0">
    <w:p w14:paraId="03AC2A04" w14:textId="77777777" w:rsidR="00C15021" w:rsidRDefault="00C1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AAEA" w14:textId="77777777" w:rsidR="00C15021" w:rsidRDefault="00C15021">
      <w:r>
        <w:separator/>
      </w:r>
    </w:p>
  </w:footnote>
  <w:footnote w:type="continuationSeparator" w:id="0">
    <w:p w14:paraId="0954E639" w14:textId="77777777" w:rsidR="00C15021" w:rsidRDefault="00C15021">
      <w:r>
        <w:continuationSeparator/>
      </w:r>
    </w:p>
  </w:footnote>
  <w:footnote w:id="1">
    <w:p w14:paraId="141F9C9E" w14:textId="3CAA706C" w:rsidR="009A3A6A" w:rsidRPr="00CB2E1C" w:rsidRDefault="009A3A6A" w:rsidP="00CB2E1C">
      <w:pPr>
        <w:pStyle w:val="FootnoteText"/>
        <w:tabs>
          <w:tab w:val="clear" w:pos="360"/>
        </w:tabs>
        <w:ind w:left="142" w:hanging="142"/>
        <w:rPr>
          <w:rFonts w:ascii="Times New Roman" w:hAnsi="Times New Roman"/>
        </w:rPr>
      </w:pPr>
      <w:r w:rsidRPr="00CB2E1C">
        <w:rPr>
          <w:rStyle w:val="FootnoteReference"/>
          <w:rFonts w:ascii="Times New Roman" w:hAnsi="Times New Roman"/>
        </w:rPr>
        <w:footnoteRef/>
      </w:r>
      <w:r w:rsidRPr="00CB2E1C">
        <w:rPr>
          <w:rFonts w:ascii="Times New Roman" w:hAnsi="Times New Roman"/>
        </w:rPr>
        <w:t xml:space="preserve"> L</w:t>
      </w:r>
      <w:r w:rsidR="00CB2E1C" w:rsidRPr="00CB2E1C">
        <w:rPr>
          <w:rFonts w:ascii="Times New Roman" w:hAnsi="Times New Roman"/>
        </w:rPr>
        <w:t>a</w:t>
      </w:r>
      <w:r w:rsidRPr="00CB2E1C">
        <w:rPr>
          <w:rFonts w:ascii="Times New Roman" w:hAnsi="Times New Roman"/>
        </w:rPr>
        <w:t xml:space="preserve"> Guía de diseño trata entre otros aspectos: el programa arquitectónico, el terreno, las normas y códigos, los criterios de diseño, el diseño preliminar si existe y los documentos necesarios a ser </w:t>
      </w:r>
      <w:r w:rsidR="00CB2E1C" w:rsidRPr="00CB2E1C">
        <w:rPr>
          <w:rFonts w:ascii="Times New Roman" w:hAnsi="Times New Roman"/>
        </w:rPr>
        <w:t xml:space="preserve">presentados </w:t>
      </w:r>
      <w:r w:rsidRPr="00CB2E1C">
        <w:rPr>
          <w:rFonts w:ascii="Times New Roman" w:hAnsi="Times New Roman"/>
        </w:rPr>
        <w:t xml:space="preserve">por el </w:t>
      </w:r>
      <w:r w:rsidR="00CB2E1C" w:rsidRPr="00CB2E1C">
        <w:rPr>
          <w:rFonts w:ascii="Times New Roman" w:hAnsi="Times New Roman"/>
        </w:rPr>
        <w:t>Contratista</w:t>
      </w:r>
      <w:r w:rsidRPr="00CB2E1C">
        <w:rPr>
          <w:rFonts w:ascii="Times New Roman" w:hAnsi="Times New Roman"/>
        </w:rPr>
        <w:t xml:space="preserve"> </w:t>
      </w:r>
      <w:r w:rsidR="00CB2E1C" w:rsidRPr="00CB2E1C">
        <w:rPr>
          <w:rFonts w:ascii="Times New Roman" w:hAnsi="Times New Roman"/>
        </w:rPr>
        <w:t>p</w:t>
      </w:r>
      <w:r w:rsidRPr="00CB2E1C">
        <w:rPr>
          <w:rFonts w:ascii="Times New Roman" w:hAnsi="Times New Roman"/>
        </w:rPr>
        <w:t>ara l</w:t>
      </w:r>
      <w:r w:rsidR="00CB2E1C" w:rsidRPr="00CB2E1C">
        <w:rPr>
          <w:rFonts w:ascii="Times New Roman" w:hAnsi="Times New Roman"/>
        </w:rPr>
        <w:t>a</w:t>
      </w:r>
      <w:r w:rsidRPr="00CB2E1C">
        <w:rPr>
          <w:rFonts w:ascii="Times New Roman" w:hAnsi="Times New Roman"/>
        </w:rPr>
        <w:t xml:space="preserve"> aprobación </w:t>
      </w:r>
      <w:r w:rsidR="00CB2E1C" w:rsidRPr="00CB2E1C">
        <w:rPr>
          <w:rFonts w:ascii="Times New Roman" w:hAnsi="Times New Roman"/>
        </w:rPr>
        <w:t>del diseño.</w:t>
      </w:r>
    </w:p>
  </w:footnote>
  <w:footnote w:id="2">
    <w:p w14:paraId="7F46C485" w14:textId="77777777" w:rsidR="00AC6C37" w:rsidRPr="003E7B02" w:rsidRDefault="00AC6C37" w:rsidP="00AC6C37">
      <w:pPr>
        <w:pStyle w:val="FootnoteText"/>
        <w:rPr>
          <w:rFonts w:ascii="Times New Roman" w:hAnsi="Times New Roman"/>
        </w:rPr>
      </w:pPr>
      <w:r w:rsidRPr="003E7B02">
        <w:rPr>
          <w:rStyle w:val="FootnoteReference"/>
          <w:rFonts w:ascii="Times New Roman" w:hAnsi="Times New Roman"/>
        </w:rPr>
        <w:footnoteRef/>
      </w:r>
      <w:r w:rsidRPr="003E7B02">
        <w:rPr>
          <w:rFonts w:ascii="Times New Roman" w:hAnsi="Times New Roman"/>
        </w:rPr>
        <w:t xml:space="preserve"> Suprimir si se ha realizado una precalificación.</w:t>
      </w:r>
    </w:p>
  </w:footnote>
  <w:footnote w:id="3">
    <w:p w14:paraId="58EE28D0" w14:textId="77777777" w:rsidR="00AC6C37" w:rsidRPr="003E7B02" w:rsidRDefault="00AC6C37" w:rsidP="003E7B02">
      <w:pPr>
        <w:pStyle w:val="FootnoteText"/>
        <w:tabs>
          <w:tab w:val="clear" w:pos="360"/>
        </w:tabs>
        <w:ind w:left="357" w:hanging="357"/>
        <w:rPr>
          <w:rFonts w:ascii="Times New Roman" w:hAnsi="Times New Roman"/>
        </w:rPr>
      </w:pPr>
      <w:r w:rsidRPr="003E7B02">
        <w:rPr>
          <w:rStyle w:val="FootnoteReference"/>
          <w:rFonts w:ascii="Times New Roman" w:hAnsi="Times New Roman"/>
        </w:rPr>
        <w:footnoteRef/>
      </w:r>
      <w:r w:rsidRPr="003E7B02">
        <w:rPr>
          <w:rFonts w:ascii="Times New Roman" w:hAnsi="Times New Roman"/>
        </w:rPr>
        <w:t xml:space="preserve"> Suprimir si se ha realizado una precalificación.</w:t>
      </w:r>
    </w:p>
  </w:footnote>
  <w:footnote w:id="4">
    <w:p w14:paraId="03327912" w14:textId="77777777" w:rsidR="00CB2E1C" w:rsidRPr="00CB2E1C" w:rsidRDefault="00CB2E1C" w:rsidP="00CB2E1C">
      <w:pPr>
        <w:pStyle w:val="FootnoteText"/>
        <w:tabs>
          <w:tab w:val="clear" w:pos="360"/>
        </w:tabs>
        <w:ind w:left="142" w:hanging="142"/>
        <w:rPr>
          <w:rFonts w:ascii="Times New Roman" w:hAnsi="Times New Roman"/>
        </w:rPr>
      </w:pPr>
      <w:r w:rsidRPr="00CB2E1C">
        <w:rPr>
          <w:rStyle w:val="FootnoteReference"/>
          <w:rFonts w:ascii="Times New Roman" w:hAnsi="Times New Roman"/>
        </w:rPr>
        <w:footnoteRef/>
      </w:r>
      <w:r w:rsidRPr="00CB2E1C">
        <w:rPr>
          <w:rFonts w:ascii="Times New Roman" w:hAnsi="Times New Roman"/>
        </w:rPr>
        <w:t xml:space="preserve"> La Guía de diseño trata entre otros aspectos: el programa arquitectónico, el terreno, las normas y códigos, los criterios de diseño, el diseño preliminar si existe y los documentos necesarios a ser presentados por el Contratista para la aprobación del diseño.</w:t>
      </w:r>
    </w:p>
  </w:footnote>
  <w:footnote w:id="5">
    <w:p w14:paraId="1668BD84" w14:textId="4366EC98" w:rsidR="00501EB1" w:rsidRPr="00501EB1" w:rsidRDefault="00501EB1" w:rsidP="00501EB1">
      <w:pPr>
        <w:rPr>
          <w:sz w:val="20"/>
        </w:rPr>
      </w:pPr>
      <w:r w:rsidRPr="00501EB1">
        <w:rPr>
          <w:sz w:val="20"/>
        </w:rPr>
        <w:footnoteRef/>
      </w:r>
      <w:r>
        <w:rPr>
          <w:sz w:val="20"/>
        </w:rPr>
        <w:t xml:space="preserve"> Por ejemplo, </w:t>
      </w:r>
      <w:r w:rsidRPr="00501EB1">
        <w:rPr>
          <w:sz w:val="20"/>
        </w:rPr>
        <w:t xml:space="preserve">en la legislación mexicana: </w:t>
      </w:r>
    </w:p>
    <w:p w14:paraId="4B3B2E2B" w14:textId="5E8F5843" w:rsidR="00501EB1" w:rsidRPr="00501EB1" w:rsidRDefault="00501EB1" w:rsidP="00501EB1">
      <w:pPr>
        <w:rPr>
          <w:sz w:val="20"/>
        </w:rPr>
      </w:pPr>
      <w:r>
        <w:rPr>
          <w:sz w:val="20"/>
        </w:rPr>
        <w:t>"</w:t>
      </w:r>
      <w:r w:rsidRPr="00501EB1">
        <w:rPr>
          <w:sz w:val="20"/>
        </w:rPr>
        <w:t>Artículo 2o. Para los efectos de la presente Ley, se entenderá por:</w:t>
      </w:r>
    </w:p>
    <w:p w14:paraId="40F30841" w14:textId="77777777" w:rsidR="00501EB1" w:rsidRDefault="00501EB1" w:rsidP="00501EB1">
      <w:pPr>
        <w:rPr>
          <w:sz w:val="20"/>
        </w:rPr>
      </w:pPr>
      <w:r w:rsidRPr="00501EB1">
        <w:rPr>
          <w:sz w:val="20"/>
        </w:rPr>
        <w:t>Negativa Ficta: Figura jurídica por virtud de la cual, ante la omisión de la autoridad de emitir una resolución de manera expresa, dentro de los plazos previstos por esta Ley o los ordenamientos jurídicos aplicables al caso concreto, se entiende que se resuelve lo solicitado por el particular, en sentido negativo.</w:t>
      </w:r>
      <w:r>
        <w:rPr>
          <w:sz w:val="20"/>
        </w:rPr>
        <w:t>"</w:t>
      </w:r>
      <w:r w:rsidRPr="00501EB1">
        <w:rPr>
          <w:sz w:val="20"/>
        </w:rPr>
        <w:t xml:space="preserve"> </w:t>
      </w:r>
    </w:p>
    <w:p w14:paraId="6CA97C60" w14:textId="462628AB" w:rsidR="00501EB1" w:rsidRPr="00501EB1" w:rsidRDefault="00501EB1" w:rsidP="00501EB1">
      <w:pPr>
        <w:rPr>
          <w:sz w:val="20"/>
        </w:rPr>
      </w:pPr>
      <w:r>
        <w:rPr>
          <w:sz w:val="20"/>
        </w:rPr>
        <w:t>"</w:t>
      </w:r>
      <w:r w:rsidRPr="00501EB1">
        <w:rPr>
          <w:sz w:val="20"/>
        </w:rPr>
        <w:t>Ley de Procedimiento Administrativo del Distrito Federal</w:t>
      </w:r>
      <w:r>
        <w:rPr>
          <w:sz w:val="20"/>
        </w:rPr>
        <w:t xml:space="preserve">. </w:t>
      </w:r>
      <w:r w:rsidRPr="00501EB1">
        <w:rPr>
          <w:sz w:val="20"/>
        </w:rPr>
        <w:t>Fecha de Publicación: 21/12/1995</w:t>
      </w:r>
      <w:r>
        <w:rPr>
          <w:sz w:val="20"/>
        </w:rPr>
        <w:t>"</w:t>
      </w:r>
    </w:p>
    <w:p w14:paraId="386710D2" w14:textId="13AF37A7" w:rsidR="00501EB1" w:rsidRPr="00501EB1" w:rsidRDefault="00501EB1" w:rsidP="00501EB1">
      <w:pPr>
        <w:rPr>
          <w:sz w:val="20"/>
        </w:rPr>
      </w:pPr>
    </w:p>
    <w:p w14:paraId="4E40CD12" w14:textId="2F70F5A1" w:rsidR="00501EB1" w:rsidRPr="00501EB1" w:rsidRDefault="00501EB1">
      <w:pPr>
        <w:pStyle w:val="FootnoteText"/>
        <w:rPr>
          <w:color w:val="000000" w:themeColor="text1"/>
          <w:sz w:val="20"/>
        </w:rPr>
      </w:pPr>
    </w:p>
    <w:p w14:paraId="1B8BF376" w14:textId="77777777" w:rsidR="00501EB1" w:rsidRPr="00501EB1" w:rsidRDefault="00501EB1">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8899" w14:textId="77777777" w:rsidR="00CE361F" w:rsidRDefault="00CE361F">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75351ABD" w14:textId="77777777" w:rsidR="00CE361F" w:rsidRDefault="00CE361F">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5B00" w14:textId="294B0724" w:rsidR="00CE361F" w:rsidRPr="00865024" w:rsidRDefault="00CE361F" w:rsidP="006C65B0">
    <w:pPr>
      <w:pStyle w:val="Header"/>
      <w:pBdr>
        <w:bottom w:val="single" w:sz="6" w:space="1" w:color="auto"/>
      </w:pBdr>
      <w:ind w:left="142" w:right="-18" w:hanging="142"/>
      <w:rPr>
        <w:rStyle w:val="PageNumber"/>
        <w:color w:val="D9D9D9" w:themeColor="background1" w:themeShade="D9"/>
        <w:lang w:val="es-ES"/>
      </w:rPr>
    </w:pPr>
    <w:r w:rsidRPr="00865024">
      <w:rPr>
        <w:rStyle w:val="PageNumber"/>
        <w:rFonts w:ascii="Calibri" w:hAnsi="Calibri"/>
        <w:color w:val="D9D9D9" w:themeColor="background1" w:themeShade="D9"/>
        <w:lang w:val="es-ES"/>
      </w:rPr>
      <w:tab/>
    </w:r>
    <w:r w:rsidRPr="00865024">
      <w:rPr>
        <w:rStyle w:val="PageNumber"/>
        <w:color w:val="D9D9D9" w:themeColor="background1" w:themeShade="D9"/>
        <w:lang w:val="es-ES"/>
      </w:rPr>
      <w:t xml:space="preserve">Guía del Usuario: Documento de Licitación Diseño y Construcción de Obras </w:t>
    </w:r>
    <w:r w:rsidR="00636E7F" w:rsidRPr="00865024">
      <w:rPr>
        <w:rStyle w:val="PageNumber"/>
        <w:color w:val="D9D9D9" w:themeColor="background1" w:themeShade="D9"/>
        <w:lang w:val="es-ES"/>
      </w:rPr>
      <w:t>Menores</w:t>
    </w:r>
    <w:r w:rsidRPr="00865024">
      <w:rPr>
        <w:rStyle w:val="PageNumber"/>
        <w:color w:val="D9D9D9" w:themeColor="background1" w:themeShade="D9"/>
        <w:lang w:val="es-ES"/>
      </w:rPr>
      <w:tab/>
    </w:r>
    <w:r w:rsidRPr="00865024">
      <w:rPr>
        <w:rStyle w:val="PageNumber"/>
        <w:color w:val="D9D9D9" w:themeColor="background1" w:themeShade="D9"/>
        <w:lang w:val="es-ES"/>
      </w:rPr>
      <w:tab/>
    </w:r>
    <w:r w:rsidRPr="00865024">
      <w:rPr>
        <w:rStyle w:val="PageNumber"/>
        <w:color w:val="000000" w:themeColor="text1"/>
      </w:rPr>
      <w:fldChar w:fldCharType="begin"/>
    </w:r>
    <w:r w:rsidRPr="00865024">
      <w:rPr>
        <w:rStyle w:val="PageNumber"/>
        <w:color w:val="000000" w:themeColor="text1"/>
        <w:lang w:val="es-ES"/>
      </w:rPr>
      <w:instrText xml:space="preserve"> PAGE </w:instrText>
    </w:r>
    <w:r w:rsidRPr="00865024">
      <w:rPr>
        <w:rStyle w:val="PageNumber"/>
        <w:color w:val="000000" w:themeColor="text1"/>
      </w:rPr>
      <w:fldChar w:fldCharType="separate"/>
    </w:r>
    <w:r w:rsidR="00E55883">
      <w:rPr>
        <w:rStyle w:val="PageNumber"/>
        <w:noProof/>
        <w:color w:val="000000" w:themeColor="text1"/>
        <w:lang w:val="es-ES"/>
      </w:rPr>
      <w:t>20</w:t>
    </w:r>
    <w:r w:rsidRPr="00865024">
      <w:rPr>
        <w:rStyle w:val="PageNumbe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1"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 w15:restartNumberingAfterBreak="0">
    <w:nsid w:val="11CB39EF"/>
    <w:multiLevelType w:val="hybridMultilevel"/>
    <w:tmpl w:val="8708E7D6"/>
    <w:lvl w:ilvl="0" w:tplc="1106713C">
      <w:start w:val="1"/>
      <w:numFmt w:val="decimal"/>
      <w:lvlText w:val="3.%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B0C3E"/>
    <w:multiLevelType w:val="hybridMultilevel"/>
    <w:tmpl w:val="A5D08F7E"/>
    <w:lvl w:ilvl="0" w:tplc="E328F19A">
      <w:start w:val="1"/>
      <w:numFmt w:val="decimal"/>
      <w:lvlText w:val="9.%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C26FF"/>
    <w:multiLevelType w:val="hybridMultilevel"/>
    <w:tmpl w:val="760C3538"/>
    <w:lvl w:ilvl="0" w:tplc="675CC26C">
      <w:start w:val="1"/>
      <w:numFmt w:val="decimal"/>
      <w:lvlText w:val="8.%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95F5D"/>
    <w:multiLevelType w:val="hybridMultilevel"/>
    <w:tmpl w:val="5C1878E4"/>
    <w:lvl w:ilvl="0" w:tplc="B8A892B2">
      <w:start w:val="1"/>
      <w:numFmt w:val="decimal"/>
      <w:lvlText w:val="8.%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3551"/>
    <w:multiLevelType w:val="hybridMultilevel"/>
    <w:tmpl w:val="3A42762A"/>
    <w:lvl w:ilvl="0" w:tplc="D2EEA176">
      <w:start w:val="1"/>
      <w:numFmt w:val="decimal"/>
      <w:lvlText w:val="10.%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95808"/>
    <w:multiLevelType w:val="hybridMultilevel"/>
    <w:tmpl w:val="519090BA"/>
    <w:lvl w:ilvl="0" w:tplc="DC8448DE">
      <w:start w:val="1"/>
      <w:numFmt w:val="upperLetter"/>
      <w:lvlText w:val="%1."/>
      <w:lvlJc w:val="left"/>
      <w:pPr>
        <w:ind w:left="107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pStyle w:val="Outline4"/>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38AC6214"/>
    <w:multiLevelType w:val="hybridMultilevel"/>
    <w:tmpl w:val="B5FAEBEC"/>
    <w:lvl w:ilvl="0" w:tplc="6B7AB162">
      <w:start w:val="1"/>
      <w:numFmt w:val="decimal"/>
      <w:lvlText w:val="7.%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D7580"/>
    <w:multiLevelType w:val="hybridMultilevel"/>
    <w:tmpl w:val="446E8D6E"/>
    <w:lvl w:ilvl="0" w:tplc="E328F19A">
      <w:start w:val="1"/>
      <w:numFmt w:val="decimal"/>
      <w:lvlText w:val="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10A5F"/>
    <w:multiLevelType w:val="multilevel"/>
    <w:tmpl w:val="16ECE440"/>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Calibri" w:hAnsi="Calibri" w:hint="default"/>
        <w:b w:val="0"/>
        <w:i w:val="0"/>
        <w:sz w:val="24"/>
        <w:lang w:val="es-ES"/>
      </w:rPr>
    </w:lvl>
    <w:lvl w:ilvl="2">
      <w:start w:val="1"/>
      <w:numFmt w:val="lowerLetter"/>
      <w:pStyle w:val="P3Header1-Clauses"/>
      <w:lvlText w:val="(%3)"/>
      <w:lvlJc w:val="left"/>
      <w:pPr>
        <w:tabs>
          <w:tab w:val="num" w:pos="864"/>
        </w:tabs>
        <w:ind w:left="864" w:hanging="432"/>
      </w:pPr>
      <w:rPr>
        <w:rFonts w:ascii="Calibri" w:hAnsi="Calibri" w:hint="default"/>
        <w:b w:val="0"/>
        <w:i w:val="0"/>
        <w:sz w:val="24"/>
        <w:lang w:val="es-ES"/>
      </w:rPr>
    </w:lvl>
    <w:lvl w:ilvl="3">
      <w:start w:val="1"/>
      <w:numFmt w:val="lowerRoman"/>
      <w:lvlText w:val="(%4)"/>
      <w:lvlJc w:val="left"/>
      <w:pPr>
        <w:tabs>
          <w:tab w:val="num" w:pos="1512"/>
        </w:tabs>
        <w:ind w:left="1512" w:hanging="648"/>
      </w:pPr>
      <w:rPr>
        <w:rFonts w:ascii="Calibri" w:hAnsi="Calibri"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018D2"/>
    <w:multiLevelType w:val="hybridMultilevel"/>
    <w:tmpl w:val="128CDD58"/>
    <w:lvl w:ilvl="0" w:tplc="BBFC4E2A">
      <w:start w:val="1"/>
      <w:numFmt w:val="decimal"/>
      <w:lvlText w:val="11.%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pStyle w:val="Outline3"/>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15:restartNumberingAfterBreak="0">
    <w:nsid w:val="56E42838"/>
    <w:multiLevelType w:val="hybridMultilevel"/>
    <w:tmpl w:val="1A0C871C"/>
    <w:lvl w:ilvl="0" w:tplc="B388D578">
      <w:start w:val="1"/>
      <w:numFmt w:val="decimal"/>
      <w:pStyle w:val="HeaderTechnicalandFinancialPartofEvaluationCriteria"/>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57047A9E"/>
    <w:multiLevelType w:val="hybridMultilevel"/>
    <w:tmpl w:val="BF0E3430"/>
    <w:lvl w:ilvl="0" w:tplc="F5A8F8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D3ABC"/>
    <w:multiLevelType w:val="hybridMultilevel"/>
    <w:tmpl w:val="0B4E15D2"/>
    <w:lvl w:ilvl="0" w:tplc="D430D39E">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pStyle w:val="StyleP3Header1-ClausesAfter12pt"/>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5D584589"/>
    <w:multiLevelType w:val="hybridMultilevel"/>
    <w:tmpl w:val="A6C0BA42"/>
    <w:lvl w:ilvl="0" w:tplc="64E89800">
      <w:start w:val="1"/>
      <w:numFmt w:val="decimal"/>
      <w:lvlText w:val="2.%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1"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7059AA"/>
    <w:multiLevelType w:val="hybridMultilevel"/>
    <w:tmpl w:val="132A7BD0"/>
    <w:lvl w:ilvl="0" w:tplc="8ED4D7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C3819"/>
    <w:multiLevelType w:val="hybridMultilevel"/>
    <w:tmpl w:val="77126F2E"/>
    <w:lvl w:ilvl="0" w:tplc="FFFFFFFF">
      <w:start w:val="1"/>
      <w:numFmt w:val="upperLetter"/>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E6D2CF9"/>
    <w:multiLevelType w:val="hybridMultilevel"/>
    <w:tmpl w:val="D320F84E"/>
    <w:lvl w:ilvl="0" w:tplc="9182D678">
      <w:start w:val="1"/>
      <w:numFmt w:val="decimal"/>
      <w:lvlText w:val="6.%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7E1710"/>
    <w:multiLevelType w:val="singleLevel"/>
    <w:tmpl w:val="BB2049CE"/>
    <w:lvl w:ilvl="0">
      <w:start w:val="1"/>
      <w:numFmt w:val="lowerRoman"/>
      <w:pStyle w:val="ClauseSubListSubList"/>
      <w:lvlText w:val="%1)"/>
      <w:lvlJc w:val="left"/>
      <w:pPr>
        <w:tabs>
          <w:tab w:val="num" w:pos="1782"/>
        </w:tabs>
        <w:ind w:left="1782" w:hanging="792"/>
      </w:pPr>
      <w:rPr>
        <w:rFonts w:hint="default"/>
      </w:rPr>
    </w:lvl>
  </w:abstractNum>
  <w:abstractNum w:abstractNumId="27" w15:restartNumberingAfterBreak="0">
    <w:nsid w:val="7A0725CE"/>
    <w:multiLevelType w:val="hybridMultilevel"/>
    <w:tmpl w:val="8BBA03C0"/>
    <w:lvl w:ilvl="0" w:tplc="40185360">
      <w:start w:val="1"/>
      <w:numFmt w:val="lowerLetter"/>
      <w:lvlText w:val="(%1)"/>
      <w:lvlJc w:val="left"/>
      <w:pPr>
        <w:ind w:left="1224" w:hanging="360"/>
      </w:pPr>
      <w:rPr>
        <w:rFonts w:hint="default"/>
        <w:b w:val="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7D4D3D4B"/>
    <w:multiLevelType w:val="hybridMultilevel"/>
    <w:tmpl w:val="0FD6C2FA"/>
    <w:lvl w:ilvl="0" w:tplc="CA78E04A">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13"/>
  </w:num>
  <w:num w:numId="4">
    <w:abstractNumId w:val="26"/>
  </w:num>
  <w:num w:numId="5">
    <w:abstractNumId w:val="9"/>
  </w:num>
  <w:num w:numId="6">
    <w:abstractNumId w:val="10"/>
  </w:num>
  <w:num w:numId="7">
    <w:abstractNumId w:val="1"/>
  </w:num>
  <w:num w:numId="8">
    <w:abstractNumId w:val="19"/>
  </w:num>
  <w:num w:numId="9">
    <w:abstractNumId w:val="20"/>
  </w:num>
  <w:num w:numId="10">
    <w:abstractNumId w:val="8"/>
  </w:num>
  <w:num w:numId="11">
    <w:abstractNumId w:val="2"/>
  </w:num>
  <w:num w:numId="12">
    <w:abstractNumId w:val="18"/>
  </w:num>
  <w:num w:numId="13">
    <w:abstractNumId w:val="27"/>
  </w:num>
  <w:num w:numId="14">
    <w:abstractNumId w:val="12"/>
  </w:num>
  <w:num w:numId="15">
    <w:abstractNumId w:val="17"/>
  </w:num>
  <w:num w:numId="16">
    <w:abstractNumId w:val="23"/>
  </w:num>
  <w:num w:numId="17">
    <w:abstractNumId w:val="21"/>
  </w:num>
  <w:num w:numId="18">
    <w:abstractNumId w:val="3"/>
  </w:num>
  <w:num w:numId="19">
    <w:abstractNumId w:val="28"/>
  </w:num>
  <w:num w:numId="20">
    <w:abstractNumId w:val="22"/>
  </w:num>
  <w:num w:numId="21">
    <w:abstractNumId w:val="24"/>
  </w:num>
  <w:num w:numId="22">
    <w:abstractNumId w:val="11"/>
  </w:num>
  <w:num w:numId="23">
    <w:abstractNumId w:val="6"/>
  </w:num>
  <w:num w:numId="24">
    <w:abstractNumId w:val="15"/>
  </w:num>
  <w:num w:numId="25">
    <w:abstractNumId w:val="5"/>
  </w:num>
  <w:num w:numId="26">
    <w:abstractNumId w:val="25"/>
  </w:num>
  <w:num w:numId="27">
    <w:abstractNumId w:val="14"/>
  </w:num>
  <w:num w:numId="28">
    <w:abstractNumId w:val="4"/>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130F"/>
    <w:rsid w:val="000116A9"/>
    <w:rsid w:val="000165DF"/>
    <w:rsid w:val="00021320"/>
    <w:rsid w:val="000247E4"/>
    <w:rsid w:val="00032573"/>
    <w:rsid w:val="0004667C"/>
    <w:rsid w:val="00054F85"/>
    <w:rsid w:val="000700F5"/>
    <w:rsid w:val="00072AC0"/>
    <w:rsid w:val="00075836"/>
    <w:rsid w:val="00082DC3"/>
    <w:rsid w:val="00094FEB"/>
    <w:rsid w:val="000E2FEB"/>
    <w:rsid w:val="000F3207"/>
    <w:rsid w:val="00112B1C"/>
    <w:rsid w:val="001324F6"/>
    <w:rsid w:val="001704F5"/>
    <w:rsid w:val="001712E1"/>
    <w:rsid w:val="00176470"/>
    <w:rsid w:val="00183218"/>
    <w:rsid w:val="00184632"/>
    <w:rsid w:val="0019146F"/>
    <w:rsid w:val="001A04E5"/>
    <w:rsid w:val="001A12DC"/>
    <w:rsid w:val="001A2C55"/>
    <w:rsid w:val="001C7D4E"/>
    <w:rsid w:val="001F2E9C"/>
    <w:rsid w:val="001F6EA1"/>
    <w:rsid w:val="00200A6D"/>
    <w:rsid w:val="002056BB"/>
    <w:rsid w:val="002121B3"/>
    <w:rsid w:val="002158D4"/>
    <w:rsid w:val="0022187F"/>
    <w:rsid w:val="00225ED3"/>
    <w:rsid w:val="002701DC"/>
    <w:rsid w:val="00280A6C"/>
    <w:rsid w:val="002943B1"/>
    <w:rsid w:val="002A2363"/>
    <w:rsid w:val="002A23AB"/>
    <w:rsid w:val="002A2451"/>
    <w:rsid w:val="002B312E"/>
    <w:rsid w:val="002B3F04"/>
    <w:rsid w:val="002B4EF5"/>
    <w:rsid w:val="0030083A"/>
    <w:rsid w:val="00312380"/>
    <w:rsid w:val="00312544"/>
    <w:rsid w:val="003418BA"/>
    <w:rsid w:val="00343E96"/>
    <w:rsid w:val="00363ED2"/>
    <w:rsid w:val="0036527B"/>
    <w:rsid w:val="00374487"/>
    <w:rsid w:val="003841B3"/>
    <w:rsid w:val="00390011"/>
    <w:rsid w:val="0039478A"/>
    <w:rsid w:val="003962B5"/>
    <w:rsid w:val="003B0AA7"/>
    <w:rsid w:val="003C1375"/>
    <w:rsid w:val="003D7349"/>
    <w:rsid w:val="003E028A"/>
    <w:rsid w:val="003E7B02"/>
    <w:rsid w:val="0040189A"/>
    <w:rsid w:val="004027B4"/>
    <w:rsid w:val="004250DE"/>
    <w:rsid w:val="004324EF"/>
    <w:rsid w:val="00464423"/>
    <w:rsid w:val="004908F2"/>
    <w:rsid w:val="004A4F9B"/>
    <w:rsid w:val="004B2CC3"/>
    <w:rsid w:val="004B4417"/>
    <w:rsid w:val="004D0EC6"/>
    <w:rsid w:val="004E4BC9"/>
    <w:rsid w:val="00501EB1"/>
    <w:rsid w:val="0050339B"/>
    <w:rsid w:val="00511624"/>
    <w:rsid w:val="00513209"/>
    <w:rsid w:val="00552E12"/>
    <w:rsid w:val="00562A41"/>
    <w:rsid w:val="00586AA3"/>
    <w:rsid w:val="00590B57"/>
    <w:rsid w:val="005A35D5"/>
    <w:rsid w:val="005A7C0B"/>
    <w:rsid w:val="005B1B7A"/>
    <w:rsid w:val="005B4F07"/>
    <w:rsid w:val="005B6997"/>
    <w:rsid w:val="005C2179"/>
    <w:rsid w:val="00600350"/>
    <w:rsid w:val="006125B9"/>
    <w:rsid w:val="00615FA0"/>
    <w:rsid w:val="006206A8"/>
    <w:rsid w:val="00627854"/>
    <w:rsid w:val="00632BEB"/>
    <w:rsid w:val="0063461F"/>
    <w:rsid w:val="00636E7F"/>
    <w:rsid w:val="00655304"/>
    <w:rsid w:val="00693FDB"/>
    <w:rsid w:val="006C65B0"/>
    <w:rsid w:val="006D3529"/>
    <w:rsid w:val="006E04AB"/>
    <w:rsid w:val="006F1821"/>
    <w:rsid w:val="00700E65"/>
    <w:rsid w:val="0071255F"/>
    <w:rsid w:val="0073011C"/>
    <w:rsid w:val="00750F56"/>
    <w:rsid w:val="0078521B"/>
    <w:rsid w:val="007877D8"/>
    <w:rsid w:val="00792D68"/>
    <w:rsid w:val="00796F80"/>
    <w:rsid w:val="007A5D83"/>
    <w:rsid w:val="007C1E66"/>
    <w:rsid w:val="007D16D4"/>
    <w:rsid w:val="007D631C"/>
    <w:rsid w:val="007E1F01"/>
    <w:rsid w:val="007F1BAF"/>
    <w:rsid w:val="00800260"/>
    <w:rsid w:val="0080737C"/>
    <w:rsid w:val="00807E96"/>
    <w:rsid w:val="0081326A"/>
    <w:rsid w:val="00821D7A"/>
    <w:rsid w:val="008604CB"/>
    <w:rsid w:val="00865024"/>
    <w:rsid w:val="00880BC8"/>
    <w:rsid w:val="00895E2E"/>
    <w:rsid w:val="008A31EA"/>
    <w:rsid w:val="008A53AE"/>
    <w:rsid w:val="008A65CD"/>
    <w:rsid w:val="008B01F2"/>
    <w:rsid w:val="008D0020"/>
    <w:rsid w:val="008E399A"/>
    <w:rsid w:val="008E516E"/>
    <w:rsid w:val="009038C5"/>
    <w:rsid w:val="00907C8A"/>
    <w:rsid w:val="009138BD"/>
    <w:rsid w:val="00920621"/>
    <w:rsid w:val="0095416D"/>
    <w:rsid w:val="009655D1"/>
    <w:rsid w:val="009678E3"/>
    <w:rsid w:val="009807FD"/>
    <w:rsid w:val="00984AD8"/>
    <w:rsid w:val="009A0DFA"/>
    <w:rsid w:val="009A3A6A"/>
    <w:rsid w:val="009B29C0"/>
    <w:rsid w:val="009E266A"/>
    <w:rsid w:val="00A20F87"/>
    <w:rsid w:val="00A3005C"/>
    <w:rsid w:val="00A33090"/>
    <w:rsid w:val="00A34B2E"/>
    <w:rsid w:val="00A42760"/>
    <w:rsid w:val="00A42B96"/>
    <w:rsid w:val="00A47C11"/>
    <w:rsid w:val="00A54D13"/>
    <w:rsid w:val="00A7326E"/>
    <w:rsid w:val="00A7454F"/>
    <w:rsid w:val="00A837F4"/>
    <w:rsid w:val="00AB1E4E"/>
    <w:rsid w:val="00AC6C37"/>
    <w:rsid w:val="00AD73A2"/>
    <w:rsid w:val="00AE09A4"/>
    <w:rsid w:val="00AE3883"/>
    <w:rsid w:val="00B5099C"/>
    <w:rsid w:val="00B669C6"/>
    <w:rsid w:val="00B73DA8"/>
    <w:rsid w:val="00B849FD"/>
    <w:rsid w:val="00B90FAE"/>
    <w:rsid w:val="00B93577"/>
    <w:rsid w:val="00BA5E9B"/>
    <w:rsid w:val="00BB17BD"/>
    <w:rsid w:val="00BB1880"/>
    <w:rsid w:val="00BB743D"/>
    <w:rsid w:val="00BC280F"/>
    <w:rsid w:val="00BD4B76"/>
    <w:rsid w:val="00BD5ED6"/>
    <w:rsid w:val="00BE5E9D"/>
    <w:rsid w:val="00BF7CA5"/>
    <w:rsid w:val="00BF7D46"/>
    <w:rsid w:val="00C055A5"/>
    <w:rsid w:val="00C076AC"/>
    <w:rsid w:val="00C12D70"/>
    <w:rsid w:val="00C15021"/>
    <w:rsid w:val="00C164C7"/>
    <w:rsid w:val="00C44FDF"/>
    <w:rsid w:val="00C73351"/>
    <w:rsid w:val="00C772FB"/>
    <w:rsid w:val="00C844F4"/>
    <w:rsid w:val="00C94436"/>
    <w:rsid w:val="00C94B64"/>
    <w:rsid w:val="00CA3BDF"/>
    <w:rsid w:val="00CB2E1C"/>
    <w:rsid w:val="00CC2CF2"/>
    <w:rsid w:val="00CE361F"/>
    <w:rsid w:val="00CE6FE2"/>
    <w:rsid w:val="00D072A0"/>
    <w:rsid w:val="00D15E28"/>
    <w:rsid w:val="00D43A9E"/>
    <w:rsid w:val="00D47B30"/>
    <w:rsid w:val="00D57C9F"/>
    <w:rsid w:val="00D87AE6"/>
    <w:rsid w:val="00D94724"/>
    <w:rsid w:val="00DA7F0A"/>
    <w:rsid w:val="00DC311B"/>
    <w:rsid w:val="00DC6462"/>
    <w:rsid w:val="00DD3811"/>
    <w:rsid w:val="00DF2F80"/>
    <w:rsid w:val="00DF589F"/>
    <w:rsid w:val="00E02367"/>
    <w:rsid w:val="00E0626D"/>
    <w:rsid w:val="00E073FE"/>
    <w:rsid w:val="00E22D46"/>
    <w:rsid w:val="00E24C69"/>
    <w:rsid w:val="00E31B03"/>
    <w:rsid w:val="00E33B6A"/>
    <w:rsid w:val="00E3478C"/>
    <w:rsid w:val="00E55883"/>
    <w:rsid w:val="00E613DB"/>
    <w:rsid w:val="00E65C6F"/>
    <w:rsid w:val="00E75B39"/>
    <w:rsid w:val="00E773C1"/>
    <w:rsid w:val="00E77D87"/>
    <w:rsid w:val="00E85B58"/>
    <w:rsid w:val="00EA60EB"/>
    <w:rsid w:val="00EB47A6"/>
    <w:rsid w:val="00EB7A70"/>
    <w:rsid w:val="00EC1D5E"/>
    <w:rsid w:val="00EC789E"/>
    <w:rsid w:val="00EE079D"/>
    <w:rsid w:val="00EF1505"/>
    <w:rsid w:val="00EF2769"/>
    <w:rsid w:val="00F008E5"/>
    <w:rsid w:val="00F16FBE"/>
    <w:rsid w:val="00F37C9C"/>
    <w:rsid w:val="00F67723"/>
    <w:rsid w:val="00F75089"/>
    <w:rsid w:val="00F7640E"/>
    <w:rsid w:val="00F869EF"/>
    <w:rsid w:val="00F92172"/>
    <w:rsid w:val="00FA59F2"/>
    <w:rsid w:val="00FA6B79"/>
    <w:rsid w:val="00FC41C6"/>
    <w:rsid w:val="00FC5E78"/>
    <w:rsid w:val="00FE3700"/>
    <w:rsid w:val="00FE7FEC"/>
    <w:rsid w:val="00FF2C26"/>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A7EC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sz w:val="24"/>
      <w:lang w:val="es-ES_tradnl"/>
    </w:rPr>
  </w:style>
  <w:style w:type="paragraph" w:styleId="Heading1">
    <w:name w:val="heading 1"/>
    <w:aliases w:val="Document Header1,ClauseGroup_Title"/>
    <w:basedOn w:val="Normal"/>
    <w:next w:val="Normal"/>
    <w:link w:val="Heading1Char"/>
    <w:uiPriority w:val="9"/>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pPr>
      <w:keepNext/>
      <w:suppressAutoHyphens/>
      <w:ind w:left="-900" w:firstLine="720"/>
      <w:jc w:val="center"/>
      <w:outlineLvl w:val="1"/>
    </w:pPr>
    <w:rPr>
      <w:b/>
      <w:sz w:val="40"/>
      <w:lang w:val="es-ES"/>
    </w:rPr>
  </w:style>
  <w:style w:type="paragraph" w:styleId="Heading3">
    <w:name w:val="heading 3"/>
    <w:aliases w:val="Section Header3,ClauseSub_No&amp;Name,Section Header3 Char Char"/>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Subsection,Heading4,Kop 4"/>
    <w:basedOn w:val="Normal"/>
    <w:next w:val="Normal"/>
    <w:qFormat/>
    <w:pPr>
      <w:keepNext/>
      <w:jc w:val="center"/>
      <w:outlineLvl w:val="3"/>
    </w:pPr>
    <w:rPr>
      <w:b/>
    </w:rPr>
  </w:style>
  <w:style w:type="paragraph" w:styleId="Heading5">
    <w:name w:val="heading 5"/>
    <w:basedOn w:val="Normal"/>
    <w:next w:val="Normal"/>
    <w:link w:val="Heading5Char"/>
    <w:unhideWhenUsed/>
    <w:qFormat/>
    <w:rsid w:val="0018321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6206A8"/>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6206A8"/>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6206A8"/>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jc w:val="left"/>
    </w:pPr>
    <w:rPr>
      <w:rFonts w:ascii="Cambria" w:hAnsi="Cambria"/>
      <w:b/>
      <w:szCs w:val="24"/>
    </w:rPr>
  </w:style>
  <w:style w:type="paragraph" w:styleId="TOC2">
    <w:name w:val="toc 2"/>
    <w:basedOn w:val="Normal"/>
    <w:next w:val="Normal"/>
    <w:semiHidden/>
    <w:pPr>
      <w:ind w:left="240"/>
      <w:jc w:val="left"/>
    </w:pPr>
    <w:rPr>
      <w:rFonts w:ascii="Cambria" w:hAnsi="Cambria"/>
      <w:b/>
      <w:sz w:val="22"/>
      <w:szCs w:val="22"/>
    </w:rPr>
  </w:style>
  <w:style w:type="paragraph" w:styleId="TOAHeading">
    <w:name w:val="toa heading"/>
    <w:basedOn w:val="Normal"/>
    <w:next w:val="Normal"/>
    <w:semiHidden/>
    <w:pPr>
      <w:tabs>
        <w:tab w:val="left" w:pos="9000"/>
        <w:tab w:val="right" w:pos="9360"/>
      </w:tabs>
      <w:suppressAutoHyphens/>
    </w:pPr>
  </w:style>
  <w:style w:type="paragraph" w:styleId="Title">
    <w:name w:val="Title"/>
    <w:basedOn w:val="Normal"/>
    <w:link w:val="TitleChar"/>
    <w:uiPriority w:val="10"/>
    <w:qFormat/>
    <w:pPr>
      <w:spacing w:before="240" w:after="60"/>
      <w:jc w:val="center"/>
    </w:pPr>
    <w:rPr>
      <w:rFonts w:ascii="Arial" w:hAnsi="Arial"/>
      <w:b/>
      <w:kern w:val="28"/>
      <w:sz w:val="32"/>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styleId="BodyText2">
    <w:name w:val="Body Text 2"/>
    <w:basedOn w:val="Normal"/>
    <w:pPr>
      <w:suppressAutoHyphens/>
    </w:pPr>
    <w:rPr>
      <w:i/>
    </w:r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Header1-Clauses">
    <w:name w:val="Header 1 - Clauses"/>
    <w:basedOn w:val="Normal"/>
    <w:pPr>
      <w:numPr>
        <w:numId w:val="3"/>
      </w:numPr>
      <w:jc w:val="left"/>
    </w:pPr>
    <w:rPr>
      <w:b/>
    </w:rPr>
  </w:style>
  <w:style w:type="paragraph" w:customStyle="1" w:styleId="Header2-SubClauses">
    <w:name w:val="Header 2 - SubClauses"/>
    <w:basedOn w:val="Normal"/>
    <w:pPr>
      <w:numPr>
        <w:ilvl w:val="1"/>
        <w:numId w:val="3"/>
      </w:numPr>
      <w:tabs>
        <w:tab w:val="left" w:pos="619"/>
      </w:tabs>
      <w:spacing w:after="200"/>
    </w:pPr>
  </w:style>
  <w:style w:type="paragraph" w:customStyle="1" w:styleId="P3Header1-Clauses">
    <w:name w:val="P3 Header1-Clauses"/>
    <w:basedOn w:val="Header1-Clauses"/>
    <w:pPr>
      <w:numPr>
        <w:ilvl w:val="2"/>
      </w:numPr>
    </w:pPr>
  </w:style>
  <w:style w:type="paragraph" w:customStyle="1" w:styleId="Outline">
    <w:name w:val="Outline"/>
    <w:basedOn w:val="Normal"/>
    <w:pPr>
      <w:spacing w:before="240"/>
      <w:jc w:val="left"/>
    </w:pPr>
    <w:rPr>
      <w:kern w:val="28"/>
    </w:rPr>
  </w:style>
  <w:style w:type="paragraph" w:customStyle="1" w:styleId="BankNormal">
    <w:name w:val="BankNormal"/>
    <w:basedOn w:val="Normal"/>
    <w:pPr>
      <w:numPr>
        <w:ilvl w:val="1"/>
        <w:numId w:val="2"/>
      </w:numPr>
      <w:tabs>
        <w:tab w:val="clear" w:pos="504"/>
      </w:tabs>
      <w:spacing w:after="240"/>
      <w:ind w:left="0" w:firstLine="0"/>
      <w:jc w:val="left"/>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Document1">
    <w:name w:val="Document 1"/>
    <w:pPr>
      <w:keepNext/>
      <w:keepLines/>
      <w:tabs>
        <w:tab w:val="left" w:pos="-720"/>
      </w:tabs>
      <w:suppressAutoHyphens/>
    </w:pPr>
    <w:rPr>
      <w:rFonts w:ascii="Times" w:hAnsi="Times"/>
      <w:sz w:val="24"/>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customStyle="1" w:styleId="TOCNumber1">
    <w:name w:val="TOC Number1"/>
    <w:basedOn w:val="Heading4"/>
    <w:autoRedefine/>
    <w:pPr>
      <w:keepNext w:val="0"/>
      <w:suppressAutoHyphens/>
      <w:spacing w:after="120"/>
      <w:ind w:right="18"/>
      <w:jc w:val="both"/>
      <w:outlineLvl w:val="9"/>
    </w:pPr>
    <w:rPr>
      <w:b w:val="0"/>
      <w:lang w:val="es-ES"/>
    </w:rPr>
  </w:style>
  <w:style w:type="paragraph" w:customStyle="1" w:styleId="2AutoList1">
    <w:name w:val="2AutoList1"/>
    <w:basedOn w:val="Normal"/>
    <w:pPr>
      <w:numPr>
        <w:ilvl w:val="1"/>
        <w:numId w:val="1"/>
      </w:numPr>
    </w:pPr>
  </w:style>
  <w:style w:type="paragraph" w:customStyle="1" w:styleId="Outline3">
    <w:name w:val="Outline3"/>
    <w:basedOn w:val="Normal"/>
    <w:pPr>
      <w:numPr>
        <w:ilvl w:val="2"/>
        <w:numId w:val="2"/>
      </w:numPr>
      <w:spacing w:before="240"/>
      <w:jc w:val="left"/>
    </w:pPr>
    <w:rPr>
      <w:kern w:val="28"/>
    </w:rPr>
  </w:style>
  <w:style w:type="paragraph" w:customStyle="1" w:styleId="Outline4">
    <w:name w:val="Outline4"/>
    <w:basedOn w:val="Normal"/>
    <w:autoRedefine/>
    <w:pPr>
      <w:numPr>
        <w:ilvl w:val="1"/>
        <w:numId w:val="5"/>
      </w:numPr>
      <w:tabs>
        <w:tab w:val="left" w:pos="1710"/>
      </w:tabs>
    </w:pPr>
    <w:rPr>
      <w:kern w:val="28"/>
    </w:rPr>
  </w:style>
  <w:style w:type="paragraph" w:customStyle="1" w:styleId="Outlinei">
    <w:name w:val="Outline i)"/>
    <w:basedOn w:val="Normal"/>
    <w:pPr>
      <w:tabs>
        <w:tab w:val="num" w:pos="432"/>
      </w:tabs>
      <w:spacing w:before="120"/>
      <w:ind w:left="432" w:hanging="432"/>
      <w:jc w:val="left"/>
    </w:pPr>
  </w:style>
  <w:style w:type="paragraph" w:customStyle="1" w:styleId="SectionVHeader">
    <w:name w:val="Section V. Header"/>
    <w:basedOn w:val="Normal"/>
    <w:link w:val="SectionVHeaderCar"/>
    <w:uiPriority w:val="99"/>
    <w:pPr>
      <w:jc w:val="center"/>
    </w:pPr>
    <w:rPr>
      <w:b/>
      <w:sz w:val="36"/>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4"/>
      </w:numPr>
    </w:pPr>
    <w:rPr>
      <w:sz w:val="22"/>
      <w:szCs w:val="22"/>
      <w:lang w:val="en-GB"/>
    </w:rPr>
  </w:style>
  <w:style w:type="paragraph" w:customStyle="1" w:styleId="ClauseSubParaIndent">
    <w:name w:val="ClauseSub_ParaIndent"/>
    <w:basedOn w:val="ClauseSubPara"/>
    <w:pPr>
      <w:ind w:left="2835"/>
    </w:p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pPr>
      <w:spacing w:before="240" w:after="240"/>
      <w:jc w:val="center"/>
    </w:pPr>
    <w:rPr>
      <w:b/>
      <w:sz w:val="48"/>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pPr>
      <w:numPr>
        <w:numId w:val="0"/>
      </w:numPr>
      <w:tabs>
        <w:tab w:val="left" w:pos="573"/>
      </w:tabs>
      <w:ind w:left="576" w:hanging="576"/>
    </w:pPr>
    <w:rPr>
      <w:bCs/>
      <w:szCs w:val="24"/>
      <w:lang w:val="en-US"/>
    </w:rPr>
  </w:style>
  <w:style w:type="paragraph" w:customStyle="1" w:styleId="Sec7-Clauses">
    <w:name w:val="Sec7-Clauses"/>
    <w:basedOn w:val="Header1-Clauses"/>
    <w:pPr>
      <w:numPr>
        <w:numId w:val="0"/>
      </w:numPr>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Pr>
      <w:lang w:val="en-US"/>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7"/>
      </w:numPr>
      <w:tabs>
        <w:tab w:val="clear" w:pos="360"/>
        <w:tab w:val="left" w:pos="342"/>
      </w:tabs>
      <w:ind w:left="342"/>
    </w:pPr>
    <w:rPr>
      <w:bCs/>
    </w:rPr>
  </w:style>
  <w:style w:type="paragraph" w:customStyle="1" w:styleId="StyleHeader2-SubClausesBold">
    <w:name w:val="Style Header 2 - SubClauses + Bold"/>
    <w:basedOn w:val="Header2-SubClauses"/>
    <w:autoRedefine/>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numPr>
        <w:numId w:val="8"/>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right="18" w:hanging="540"/>
      <w:jc w:val="both"/>
    </w:pPr>
    <w:rPr>
      <w:bCs/>
    </w:rPr>
  </w:style>
  <w:style w:type="paragraph" w:customStyle="1" w:styleId="Section7heading3">
    <w:name w:val="Section 7 heading 3"/>
    <w:basedOn w:val="Heading3"/>
  </w:style>
  <w:style w:type="paragraph" w:customStyle="1" w:styleId="Section7heading4">
    <w:name w:val="Section 7 heading 4"/>
    <w:basedOn w:val="Heading3"/>
    <w:pPr>
      <w:tabs>
        <w:tab w:val="left" w:pos="576"/>
      </w:tabs>
      <w:ind w:left="576" w:hanging="576"/>
      <w:jc w:val="left"/>
    </w:pPr>
    <w:rPr>
      <w:sz w:val="24"/>
    </w:rPr>
  </w:style>
  <w:style w:type="paragraph" w:customStyle="1" w:styleId="Section7heading5">
    <w:name w:val="Section 7 heading 5"/>
    <w:basedOn w:val="Heading3"/>
    <w:pPr>
      <w:jc w:val="both"/>
    </w:pPr>
    <w:rPr>
      <w:sz w:val="24"/>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customStyle="1" w:styleId="footnote">
    <w:name w:val="footnote"/>
    <w:rPr>
      <w:rFonts w:ascii="Book Antiqua" w:hAnsi="Book Antiqua"/>
      <w:noProof w:val="0"/>
      <w:sz w:val="24"/>
      <w:lang w:val="en-US"/>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character" w:customStyle="1" w:styleId="wwritemdhtml1">
    <w:name w:val="wwritemdhtml1"/>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character" w:customStyle="1" w:styleId="Heading3Char">
    <w:name w:val="Heading 3 Char"/>
    <w:aliases w:val="Section Header3 Char,ClauseSub_No&amp;Name Char"/>
    <w:rPr>
      <w:b/>
      <w:sz w:val="28"/>
      <w:lang w:val="en-US" w:eastAsia="en-US" w:bidi="ar-SA"/>
    </w:rPr>
  </w:style>
  <w:style w:type="character" w:customStyle="1" w:styleId="Section7heading4Char">
    <w:name w:val="Section 7 heading 4 Char"/>
    <w:rPr>
      <w:b/>
      <w:sz w:val="24"/>
      <w:lang w:val="en-US" w:eastAsia="en-US" w:bidi="ar-SA"/>
    </w:rPr>
  </w:style>
  <w:style w:type="paragraph" w:styleId="BodyText">
    <w:name w:val="Body Text"/>
    <w:basedOn w:val="Normal"/>
    <w:pPr>
      <w:suppressAutoHyphens/>
      <w:ind w:right="-72"/>
    </w:pPr>
    <w:rPr>
      <w:spacing w:val="-4"/>
    </w:rPr>
  </w:style>
  <w:style w:type="character" w:styleId="FootnoteReference">
    <w:name w:val="footnote reference"/>
    <w:uiPriority w:val="99"/>
    <w:rPr>
      <w:vertAlign w:val="superscript"/>
    </w:rPr>
  </w:style>
  <w:style w:type="paragraph" w:styleId="IndexHeading">
    <w:name w:val="index heading"/>
    <w:basedOn w:val="Normal"/>
    <w:next w:val="Index1"/>
    <w:semiHidden/>
    <w:pPr>
      <w:jc w:val="left"/>
    </w:pPr>
    <w:rPr>
      <w:sz w:val="20"/>
    </w:rPr>
  </w:style>
  <w:style w:type="paragraph" w:styleId="Index1">
    <w:name w:val="index 1"/>
    <w:basedOn w:val="Normal"/>
    <w:next w:val="Normal"/>
    <w:semiHidden/>
    <w:pPr>
      <w:tabs>
        <w:tab w:val="right" w:pos="4140"/>
      </w:tabs>
      <w:ind w:left="240" w:hanging="240"/>
      <w:jc w:val="left"/>
    </w:pPr>
    <w:rPr>
      <w:sz w:val="20"/>
    </w:rPr>
  </w:style>
  <w:style w:type="paragraph" w:styleId="BodyText3">
    <w:name w:val="Body Text 3"/>
    <w:basedOn w:val="Normal"/>
    <w:pPr>
      <w:suppressAutoHyphens/>
      <w:spacing w:after="140"/>
      <w:jc w:val="left"/>
    </w:pPr>
    <w:rPr>
      <w:i/>
      <w:iCs/>
      <w:color w:val="000000"/>
      <w:szCs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pPr>
      <w:tabs>
        <w:tab w:val="num" w:pos="720"/>
      </w:tabs>
      <w:ind w:left="720" w:hanging="720"/>
      <w:jc w:val="left"/>
    </w:pPr>
  </w:style>
  <w:style w:type="paragraph" w:styleId="BodyTextIndent">
    <w:name w:val="Body Text Indent"/>
    <w:basedOn w:val="Normal"/>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tabs>
        <w:tab w:val="left" w:pos="360"/>
      </w:tabs>
      <w:spacing w:after="120"/>
      <w:ind w:left="360" w:hanging="360"/>
    </w:pPr>
    <w:rPr>
      <w:rFonts w:ascii="Arial" w:hAnsi="Arial"/>
      <w:sz w:val="18"/>
      <w:lang w:eastAsia="x-none"/>
    </w:rPr>
  </w:style>
  <w:style w:type="paragraph" w:styleId="TOC6">
    <w:name w:val="toc 6"/>
    <w:basedOn w:val="Normal"/>
    <w:next w:val="Normal"/>
    <w:autoRedefine/>
    <w:semiHidden/>
    <w:pPr>
      <w:ind w:left="1200"/>
      <w:jc w:val="left"/>
    </w:pPr>
    <w:rPr>
      <w:rFonts w:ascii="Cambria" w:hAnsi="Cambria"/>
      <w:sz w:val="20"/>
    </w:rPr>
  </w:style>
  <w:style w:type="paragraph" w:customStyle="1" w:styleId="SectionVIHeader0">
    <w:name w:val="Section VI. Header"/>
    <w:basedOn w:val="Normal"/>
    <w:pPr>
      <w:spacing w:before="120" w:after="240"/>
      <w:jc w:val="center"/>
    </w:pPr>
    <w:rPr>
      <w:b/>
      <w:sz w:val="36"/>
    </w:rPr>
  </w:style>
  <w:style w:type="paragraph" w:customStyle="1" w:styleId="Normali">
    <w:name w:val="Normal(i)"/>
    <w:basedOn w:val="Normal"/>
    <w:pPr>
      <w:keepLines/>
      <w:tabs>
        <w:tab w:val="left" w:pos="1843"/>
      </w:tabs>
      <w:spacing w:after="120"/>
    </w:pPr>
    <w:rPr>
      <w:lang w:val="en-GB" w:eastAsia="en-GB"/>
    </w:rPr>
  </w:style>
  <w:style w:type="paragraph" w:customStyle="1" w:styleId="Sub-ClauseText">
    <w:name w:val="Sub-Clause Text"/>
    <w:basedOn w:val="Normal"/>
    <w:pPr>
      <w:spacing w:before="120" w:after="120"/>
    </w:pPr>
    <w:rPr>
      <w:spacing w:val="-4"/>
    </w:rPr>
  </w:style>
  <w:style w:type="paragraph" w:customStyle="1" w:styleId="aparagraphs">
    <w:name w:val="(a) paragraphs"/>
    <w:next w:val="Normal"/>
    <w:pPr>
      <w:spacing w:before="120" w:after="120"/>
      <w:jc w:val="both"/>
    </w:pPr>
    <w:rPr>
      <w:snapToGrid w:val="0"/>
      <w:sz w:val="24"/>
      <w:lang w:val="es-ES_tradnl"/>
    </w:rPr>
  </w:style>
  <w:style w:type="character" w:styleId="FollowedHyperlink">
    <w:name w:val="FollowedHyperlink"/>
    <w:rPr>
      <w:color w:val="800080"/>
      <w:u w:val="single"/>
    </w:rPr>
  </w:style>
  <w:style w:type="paragraph" w:customStyle="1" w:styleId="sec7-clauses0">
    <w:name w:val="sec7-clauses"/>
    <w:basedOn w:val="Normal"/>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style>
  <w:style w:type="character" w:styleId="Emphasis">
    <w:name w:val="Emphasis"/>
    <w:qFormat/>
    <w:rPr>
      <w:i/>
      <w:iCs/>
    </w:rPr>
  </w:style>
  <w:style w:type="character" w:styleId="Strong">
    <w:name w:val="Strong"/>
    <w:qFormat/>
    <w:rPr>
      <w:b/>
      <w:bCs/>
    </w:rPr>
  </w:style>
  <w:style w:type="paragraph" w:styleId="ListParagraph">
    <w:name w:val="List Paragraph"/>
    <w:aliases w:val="Citation List,본문(내용),List Paragraph (numbered (a))"/>
    <w:basedOn w:val="Normal"/>
    <w:link w:val="ListParagraphChar"/>
    <w:uiPriority w:val="34"/>
    <w:qFormat/>
    <w:rsid w:val="003418BA"/>
    <w:pPr>
      <w:ind w:left="720"/>
      <w:contextualSpacing/>
      <w:jc w:val="left"/>
    </w:pPr>
    <w:rPr>
      <w:szCs w:val="24"/>
      <w:lang w:val="es-CO"/>
    </w:rPr>
  </w:style>
  <w:style w:type="character" w:customStyle="1" w:styleId="CommentTextChar">
    <w:name w:val="Comment Text Char"/>
    <w:link w:val="CommentText"/>
    <w:semiHidden/>
    <w:rsid w:val="00A7454F"/>
    <w:rPr>
      <w:lang w:val="es-ES_tradnl"/>
    </w:rPr>
  </w:style>
  <w:style w:type="paragraph" w:customStyle="1" w:styleId="Heading1-Clausename">
    <w:name w:val="Heading 1- Clause name"/>
    <w:basedOn w:val="Normal"/>
    <w:rsid w:val="00920621"/>
    <w:pPr>
      <w:spacing w:after="200"/>
      <w:ind w:left="360" w:hanging="360"/>
      <w:jc w:val="left"/>
    </w:pPr>
    <w:rPr>
      <w:b/>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920621"/>
    <w:rPr>
      <w:rFonts w:ascii="Arial" w:hAnsi="Arial"/>
      <w:sz w:val="18"/>
      <w:lang w:val="es-ES_tradnl"/>
    </w:rPr>
  </w:style>
  <w:style w:type="paragraph" w:styleId="Revision">
    <w:name w:val="Revision"/>
    <w:hidden/>
    <w:uiPriority w:val="99"/>
    <w:semiHidden/>
    <w:rsid w:val="00920621"/>
    <w:rPr>
      <w:sz w:val="24"/>
      <w:lang w:val="es-ES_tradnl"/>
    </w:rPr>
  </w:style>
  <w:style w:type="paragraph" w:customStyle="1" w:styleId="plane">
    <w:name w:val="plane"/>
    <w:basedOn w:val="Normal"/>
    <w:rsid w:val="00343E96"/>
    <w:pPr>
      <w:suppressAutoHyphens/>
    </w:pPr>
    <w:rPr>
      <w:rFonts w:ascii="Tms Rmn" w:hAnsi="Tms Rmn"/>
      <w:lang w:val="en-US"/>
    </w:rPr>
  </w:style>
  <w:style w:type="character" w:customStyle="1" w:styleId="Heading6Char">
    <w:name w:val="Heading 6 Char"/>
    <w:link w:val="Heading6"/>
    <w:rsid w:val="006206A8"/>
    <w:rPr>
      <w:rFonts w:ascii="Arial" w:hAnsi="Arial"/>
      <w:i/>
      <w:sz w:val="22"/>
    </w:rPr>
  </w:style>
  <w:style w:type="character" w:customStyle="1" w:styleId="Heading7Char">
    <w:name w:val="Heading 7 Char"/>
    <w:link w:val="Heading7"/>
    <w:rsid w:val="006206A8"/>
    <w:rPr>
      <w:rFonts w:ascii="Arial" w:hAnsi="Arial"/>
    </w:rPr>
  </w:style>
  <w:style w:type="character" w:customStyle="1" w:styleId="Heading8Char">
    <w:name w:val="Heading 8 Char"/>
    <w:link w:val="Heading8"/>
    <w:rsid w:val="006206A8"/>
    <w:rPr>
      <w:rFonts w:ascii="Arial" w:hAnsi="Arial"/>
      <w:i/>
    </w:rPr>
  </w:style>
  <w:style w:type="paragraph" w:customStyle="1" w:styleId="S1-Header2">
    <w:name w:val="S1-Header2"/>
    <w:basedOn w:val="Normal"/>
    <w:uiPriority w:val="99"/>
    <w:rsid w:val="006206A8"/>
    <w:pPr>
      <w:tabs>
        <w:tab w:val="num" w:pos="432"/>
      </w:tabs>
      <w:spacing w:after="200"/>
      <w:ind w:left="432" w:hanging="432"/>
      <w:jc w:val="left"/>
    </w:pPr>
    <w:rPr>
      <w:b/>
      <w:szCs w:val="24"/>
      <w:lang w:val="en-US"/>
    </w:rPr>
  </w:style>
  <w:style w:type="character" w:customStyle="1" w:styleId="Heading5Char">
    <w:name w:val="Heading 5 Char"/>
    <w:link w:val="Heading5"/>
    <w:rsid w:val="00183218"/>
    <w:rPr>
      <w:rFonts w:ascii="Cambria" w:eastAsia="MS Mincho" w:hAnsi="Cambria" w:cs="Times New Roman"/>
      <w:b/>
      <w:bCs/>
      <w:i/>
      <w:iCs/>
      <w:sz w:val="26"/>
      <w:szCs w:val="26"/>
      <w:lang w:val="es-ES_tradnl"/>
    </w:rPr>
  </w:style>
  <w:style w:type="paragraph" w:customStyle="1" w:styleId="SPDForm2">
    <w:name w:val="SPD  Form 2"/>
    <w:basedOn w:val="Normal"/>
    <w:qFormat/>
    <w:rsid w:val="00183218"/>
    <w:pPr>
      <w:spacing w:before="120" w:after="240"/>
      <w:jc w:val="center"/>
    </w:pPr>
    <w:rPr>
      <w:b/>
      <w:sz w:val="36"/>
      <w:lang w:val="en-US"/>
    </w:rPr>
  </w:style>
  <w:style w:type="paragraph" w:customStyle="1" w:styleId="SPDTechnicalProposalForms">
    <w:name w:val="SPD  Technical Proposal Forms"/>
    <w:basedOn w:val="Normal"/>
    <w:link w:val="SPDTechnicalProposalFormsChar"/>
    <w:qFormat/>
    <w:rsid w:val="00183218"/>
    <w:pPr>
      <w:spacing w:before="120" w:after="240"/>
      <w:jc w:val="center"/>
    </w:pPr>
    <w:rPr>
      <w:b/>
      <w:sz w:val="36"/>
      <w:lang w:val="en-US"/>
    </w:rPr>
  </w:style>
  <w:style w:type="character" w:customStyle="1" w:styleId="SPDTechnicalProposalFormsChar">
    <w:name w:val="SPD  Technical Proposal Forms Char"/>
    <w:link w:val="SPDTechnicalProposalForms"/>
    <w:rsid w:val="00183218"/>
    <w:rPr>
      <w:b/>
      <w:sz w:val="36"/>
    </w:rPr>
  </w:style>
  <w:style w:type="character" w:customStyle="1" w:styleId="TitleChar">
    <w:name w:val="Title Char"/>
    <w:link w:val="Title"/>
    <w:uiPriority w:val="10"/>
    <w:rsid w:val="00072AC0"/>
    <w:rPr>
      <w:rFonts w:ascii="Arial" w:hAnsi="Arial"/>
      <w:b/>
      <w:kern w:val="28"/>
      <w:sz w:val="32"/>
      <w:lang w:val="es-ES_tradnl"/>
    </w:rPr>
  </w:style>
  <w:style w:type="character" w:customStyle="1" w:styleId="Heading2Char">
    <w:name w:val="Heading 2 Char"/>
    <w:aliases w:val="Title Header2 Char,Clause_No&amp;Name Char"/>
    <w:link w:val="Heading2"/>
    <w:uiPriority w:val="9"/>
    <w:rsid w:val="00072AC0"/>
    <w:rPr>
      <w:b/>
      <w:sz w:val="40"/>
      <w:lang w:val="es-ES"/>
    </w:rPr>
  </w:style>
  <w:style w:type="character" w:customStyle="1" w:styleId="Heading1Char">
    <w:name w:val="Heading 1 Char"/>
    <w:aliases w:val="Document Header1 Char,ClauseGroup_Title Char"/>
    <w:link w:val="Heading1"/>
    <w:uiPriority w:val="9"/>
    <w:rsid w:val="00072AC0"/>
    <w:rPr>
      <w:rFonts w:ascii="Times New Roman Bold" w:hAnsi="Times New Roman Bold"/>
      <w:b/>
      <w:smallCaps/>
      <w:sz w:val="36"/>
      <w:lang w:val="es-ES_tradnl"/>
    </w:rPr>
  </w:style>
  <w:style w:type="character" w:customStyle="1" w:styleId="HeaderChar">
    <w:name w:val="Header Char"/>
    <w:link w:val="Header"/>
    <w:uiPriority w:val="99"/>
    <w:rsid w:val="00072AC0"/>
    <w:rPr>
      <w:lang w:val="es-ES_tradnl"/>
    </w:rPr>
  </w:style>
  <w:style w:type="character" w:customStyle="1" w:styleId="FooterChar">
    <w:name w:val="Footer Char"/>
    <w:link w:val="Footer"/>
    <w:uiPriority w:val="99"/>
    <w:rsid w:val="00072AC0"/>
    <w:rPr>
      <w:lang w:val="es-ES_tradnl"/>
    </w:rPr>
  </w:style>
  <w:style w:type="paragraph" w:customStyle="1" w:styleId="TableParagraph">
    <w:name w:val="Table Paragraph"/>
    <w:basedOn w:val="Normal"/>
    <w:uiPriority w:val="1"/>
    <w:qFormat/>
    <w:rsid w:val="00072AC0"/>
    <w:pPr>
      <w:widowControl w:val="0"/>
      <w:jc w:val="left"/>
    </w:pPr>
    <w:rPr>
      <w:rFonts w:ascii="Cambria" w:eastAsia="Cambria" w:hAnsi="Cambria"/>
      <w:sz w:val="22"/>
      <w:szCs w:val="22"/>
      <w:lang w:val="en-US"/>
    </w:rPr>
  </w:style>
  <w:style w:type="table" w:styleId="TableGrid">
    <w:name w:val="Table Grid"/>
    <w:basedOn w:val="TableNormal"/>
    <w:rsid w:val="00072AC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72AC0"/>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72AC0"/>
    <w:rPr>
      <w:rFonts w:ascii="Cambria" w:eastAsia="MS Mincho"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0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uiPriority w:val="99"/>
    <w:rsid w:val="00072AC0"/>
    <w:rPr>
      <w:rFonts w:ascii="Courier New" w:hAnsi="Courier New" w:cs="Courier New"/>
    </w:rPr>
  </w:style>
  <w:style w:type="paragraph" w:customStyle="1" w:styleId="Style5">
    <w:name w:val="Style 5"/>
    <w:basedOn w:val="Normal"/>
    <w:rsid w:val="00072AC0"/>
    <w:pPr>
      <w:widowControl w:val="0"/>
      <w:autoSpaceDE w:val="0"/>
      <w:autoSpaceDN w:val="0"/>
      <w:spacing w:line="480" w:lineRule="exact"/>
      <w:jc w:val="center"/>
    </w:pPr>
    <w:rPr>
      <w:szCs w:val="24"/>
      <w:lang w:val="en-US"/>
    </w:rPr>
  </w:style>
  <w:style w:type="paragraph" w:styleId="TOC3">
    <w:name w:val="toc 3"/>
    <w:basedOn w:val="Normal"/>
    <w:next w:val="Normal"/>
    <w:autoRedefine/>
    <w:rsid w:val="00072AC0"/>
    <w:pPr>
      <w:ind w:left="480"/>
      <w:jc w:val="left"/>
    </w:pPr>
    <w:rPr>
      <w:rFonts w:ascii="Cambria" w:hAnsi="Cambria"/>
      <w:sz w:val="22"/>
      <w:szCs w:val="22"/>
    </w:rPr>
  </w:style>
  <w:style w:type="paragraph" w:styleId="TOC4">
    <w:name w:val="toc 4"/>
    <w:basedOn w:val="Normal"/>
    <w:next w:val="Normal"/>
    <w:autoRedefine/>
    <w:rsid w:val="00072AC0"/>
    <w:pPr>
      <w:ind w:left="720"/>
      <w:jc w:val="left"/>
    </w:pPr>
    <w:rPr>
      <w:rFonts w:ascii="Cambria" w:hAnsi="Cambria"/>
      <w:sz w:val="20"/>
    </w:rPr>
  </w:style>
  <w:style w:type="paragraph" w:styleId="TOC5">
    <w:name w:val="toc 5"/>
    <w:basedOn w:val="Normal"/>
    <w:next w:val="Normal"/>
    <w:autoRedefine/>
    <w:rsid w:val="00072AC0"/>
    <w:pPr>
      <w:ind w:left="960"/>
      <w:jc w:val="left"/>
    </w:pPr>
    <w:rPr>
      <w:rFonts w:ascii="Cambria" w:hAnsi="Cambria"/>
      <w:sz w:val="20"/>
    </w:rPr>
  </w:style>
  <w:style w:type="paragraph" w:styleId="TOC7">
    <w:name w:val="toc 7"/>
    <w:basedOn w:val="Normal"/>
    <w:next w:val="Normal"/>
    <w:autoRedefine/>
    <w:rsid w:val="00072AC0"/>
    <w:pPr>
      <w:ind w:left="1440"/>
      <w:jc w:val="left"/>
    </w:pPr>
    <w:rPr>
      <w:rFonts w:ascii="Cambria" w:hAnsi="Cambria"/>
      <w:sz w:val="20"/>
    </w:rPr>
  </w:style>
  <w:style w:type="paragraph" w:styleId="TOC8">
    <w:name w:val="toc 8"/>
    <w:basedOn w:val="Normal"/>
    <w:next w:val="Normal"/>
    <w:autoRedefine/>
    <w:rsid w:val="00072AC0"/>
    <w:pPr>
      <w:ind w:left="1680"/>
      <w:jc w:val="left"/>
    </w:pPr>
    <w:rPr>
      <w:rFonts w:ascii="Cambria" w:hAnsi="Cambria"/>
      <w:sz w:val="20"/>
    </w:rPr>
  </w:style>
  <w:style w:type="paragraph" w:styleId="TOC9">
    <w:name w:val="toc 9"/>
    <w:basedOn w:val="Normal"/>
    <w:next w:val="Normal"/>
    <w:autoRedefine/>
    <w:rsid w:val="00072AC0"/>
    <w:pPr>
      <w:ind w:left="1920"/>
      <w:jc w:val="left"/>
    </w:pPr>
    <w:rPr>
      <w:rFonts w:ascii="Cambria" w:hAnsi="Cambria"/>
      <w:sz w:val="20"/>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0020"/>
    <w:pPr>
      <w:numPr>
        <w:numId w:val="15"/>
      </w:numPr>
    </w:pPr>
    <w:rPr>
      <w:b/>
      <w:noProof/>
      <w:sz w:val="28"/>
      <w:szCs w:val="24"/>
      <w:lang w:val="es-ES"/>
    </w:rPr>
  </w:style>
  <w:style w:type="character" w:customStyle="1" w:styleId="HeaderTechnicalandFinancialPartofEvaluationCriteriaChar">
    <w:name w:val="Header Technical and Financial Part of Evaluation Criteria Char"/>
    <w:link w:val="HeaderTechnicalandFinancialPartofEvaluationCriteria"/>
    <w:rsid w:val="008D0020"/>
    <w:rPr>
      <w:b/>
      <w:noProof/>
      <w:sz w:val="28"/>
      <w:szCs w:val="24"/>
      <w:lang w:val="es-ES"/>
    </w:rPr>
  </w:style>
  <w:style w:type="character" w:customStyle="1" w:styleId="explanatorynotesChar">
    <w:name w:val="explanatory_notes Char"/>
    <w:link w:val="explanatorynotes"/>
    <w:rsid w:val="00082DC3"/>
    <w:rPr>
      <w:rFonts w:ascii="Arial" w:hAnsi="Arial"/>
      <w:sz w:val="24"/>
      <w:lang w:val="es-ES_tradnl"/>
    </w:rPr>
  </w:style>
  <w:style w:type="paragraph" w:customStyle="1" w:styleId="Subseccion">
    <w:name w:val="Subseccion"/>
    <w:basedOn w:val="Subtitle"/>
    <w:link w:val="SubseccionChar"/>
    <w:qFormat/>
    <w:rsid w:val="00513209"/>
    <w:pPr>
      <w:spacing w:before="120" w:after="240"/>
    </w:pPr>
    <w:rPr>
      <w:sz w:val="36"/>
      <w:lang w:val="en-US"/>
    </w:rPr>
  </w:style>
  <w:style w:type="character" w:customStyle="1" w:styleId="SubseccionChar">
    <w:name w:val="Subseccion Char"/>
    <w:basedOn w:val="DefaultParagraphFont"/>
    <w:link w:val="Subseccion"/>
    <w:rsid w:val="00513209"/>
    <w:rPr>
      <w:b/>
      <w:sz w:val="36"/>
    </w:rPr>
  </w:style>
  <w:style w:type="character" w:customStyle="1" w:styleId="ListParagraphChar">
    <w:name w:val="List Paragraph Char"/>
    <w:aliases w:val="Citation List Char,본문(내용) Char,List Paragraph (numbered (a)) Char"/>
    <w:basedOn w:val="DefaultParagraphFont"/>
    <w:link w:val="ListParagraph"/>
    <w:uiPriority w:val="34"/>
    <w:rsid w:val="00F67723"/>
    <w:rPr>
      <w:sz w:val="24"/>
      <w:szCs w:val="24"/>
      <w:lang w:val="es-CO"/>
    </w:rPr>
  </w:style>
  <w:style w:type="character" w:customStyle="1" w:styleId="ClauseSubParaChar">
    <w:name w:val="ClauseSub_Para Char"/>
    <w:basedOn w:val="DefaultParagraphFont"/>
    <w:link w:val="ClauseSubPara"/>
    <w:rsid w:val="00F67723"/>
    <w:rPr>
      <w:sz w:val="22"/>
      <w:szCs w:val="22"/>
      <w:lang w:val="en-GB"/>
    </w:rPr>
  </w:style>
  <w:style w:type="paragraph" w:styleId="Caption">
    <w:name w:val="caption"/>
    <w:aliases w:val="Figura"/>
    <w:basedOn w:val="Normal"/>
    <w:next w:val="Normal"/>
    <w:qFormat/>
    <w:rsid w:val="002701DC"/>
    <w:pPr>
      <w:tabs>
        <w:tab w:val="right" w:pos="7254"/>
      </w:tabs>
      <w:spacing w:before="60" w:after="60"/>
      <w:jc w:val="center"/>
    </w:pPr>
    <w:rPr>
      <w:rFonts w:ascii="Arial" w:hAnsi="Arial" w:cs="Arial"/>
      <w:b/>
      <w:szCs w:val="24"/>
      <w:lang w:val="en-US"/>
    </w:rPr>
  </w:style>
  <w:style w:type="character" w:customStyle="1" w:styleId="SubtitleChar">
    <w:name w:val="Subtitle Char"/>
    <w:basedOn w:val="DefaultParagraphFont"/>
    <w:link w:val="Subtitle"/>
    <w:rsid w:val="00BE5E9D"/>
    <w:rPr>
      <w:b/>
      <w:sz w:val="44"/>
      <w:lang w:val="es-ES_tradnl"/>
    </w:rPr>
  </w:style>
  <w:style w:type="paragraph" w:customStyle="1" w:styleId="Head01">
    <w:name w:val="Head 0.1"/>
    <w:basedOn w:val="Normal"/>
    <w:qFormat/>
    <w:rsid w:val="00DD3811"/>
    <w:pPr>
      <w:spacing w:before="1440"/>
      <w:jc w:val="center"/>
    </w:pPr>
    <w:rPr>
      <w:rFonts w:ascii="Times New Roman Bold" w:hAnsi="Times New Roman Bold"/>
      <w:b/>
      <w:smallCaps/>
      <w:sz w:val="56"/>
      <w:szCs w:val="72"/>
      <w:lang w:val="en-US"/>
    </w:rPr>
  </w:style>
  <w:style w:type="character" w:customStyle="1" w:styleId="SectionVHeaderCar">
    <w:name w:val="Section V. Header Car"/>
    <w:link w:val="SectionVHeader"/>
    <w:uiPriority w:val="99"/>
    <w:locked/>
    <w:rsid w:val="00AC6C37"/>
    <w:rPr>
      <w:b/>
      <w:sz w:val="36"/>
      <w:lang w:val="es-ES_tradnl"/>
    </w:rPr>
  </w:style>
  <w:style w:type="paragraph" w:customStyle="1" w:styleId="Index">
    <w:name w:val="Index"/>
    <w:basedOn w:val="BodyTextIndent2"/>
    <w:rsid w:val="00AC6C37"/>
    <w:pPr>
      <w:tabs>
        <w:tab w:val="clear" w:pos="720"/>
      </w:tabs>
      <w:suppressAutoHyphens/>
      <w:spacing w:before="240" w:after="240"/>
      <w:ind w:left="0" w:firstLine="720"/>
      <w:jc w:val="center"/>
    </w:pPr>
    <w:rPr>
      <w:b/>
      <w:bCs/>
      <w:spacing w:val="-3"/>
      <w:sz w:val="28"/>
      <w:szCs w:val="24"/>
    </w:rPr>
  </w:style>
  <w:style w:type="paragraph" w:customStyle="1" w:styleId="SectionVHeading2">
    <w:name w:val="Section V. Heading 2"/>
    <w:basedOn w:val="SectionVHeader"/>
    <w:link w:val="SectionVHeading2Char"/>
    <w:rsid w:val="00B73DA8"/>
    <w:pPr>
      <w:spacing w:before="120" w:after="200"/>
    </w:pPr>
    <w:rPr>
      <w:sz w:val="28"/>
    </w:rPr>
  </w:style>
  <w:style w:type="paragraph" w:customStyle="1" w:styleId="Head02">
    <w:name w:val="Head 0.2"/>
    <w:basedOn w:val="Heading1"/>
    <w:link w:val="Head02Char"/>
    <w:qFormat/>
    <w:rsid w:val="00B73DA8"/>
    <w:pPr>
      <w:suppressAutoHyphens w:val="0"/>
      <w:spacing w:after="0"/>
    </w:pPr>
    <w:rPr>
      <w:rFonts w:cs="Arial"/>
      <w:szCs w:val="24"/>
      <w:lang w:val="en-US"/>
    </w:rPr>
  </w:style>
  <w:style w:type="character" w:customStyle="1" w:styleId="Head02Char">
    <w:name w:val="Head 0.2 Char"/>
    <w:link w:val="Head02"/>
    <w:rsid w:val="00B73DA8"/>
    <w:rPr>
      <w:rFonts w:ascii="Times New Roman Bold" w:hAnsi="Times New Roman Bold" w:cs="Arial"/>
      <w:b/>
      <w:smallCaps/>
      <w:sz w:val="36"/>
      <w:szCs w:val="24"/>
    </w:rPr>
  </w:style>
  <w:style w:type="character" w:customStyle="1" w:styleId="SectionVHeading2Char">
    <w:name w:val="Section V. Heading 2 Char"/>
    <w:link w:val="SectionVHeading2"/>
    <w:rsid w:val="00B73DA8"/>
    <w:rPr>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3578">
      <w:bodyDiv w:val="1"/>
      <w:marLeft w:val="0"/>
      <w:marRight w:val="0"/>
      <w:marTop w:val="0"/>
      <w:marBottom w:val="0"/>
      <w:divBdr>
        <w:top w:val="none" w:sz="0" w:space="0" w:color="auto"/>
        <w:left w:val="none" w:sz="0" w:space="0" w:color="auto"/>
        <w:bottom w:val="none" w:sz="0" w:space="0" w:color="auto"/>
        <w:right w:val="none" w:sz="0" w:space="0" w:color="auto"/>
      </w:divBdr>
    </w:div>
    <w:div w:id="1820270320">
      <w:bodyDiv w:val="1"/>
      <w:marLeft w:val="0"/>
      <w:marRight w:val="0"/>
      <w:marTop w:val="0"/>
      <w:marBottom w:val="0"/>
      <w:divBdr>
        <w:top w:val="none" w:sz="0" w:space="0" w:color="auto"/>
        <w:left w:val="none" w:sz="0" w:space="0" w:color="auto"/>
        <w:bottom w:val="none" w:sz="0" w:space="0" w:color="auto"/>
        <w:right w:val="none" w:sz="0" w:space="0" w:color="auto"/>
      </w:divBdr>
    </w:div>
    <w:div w:id="2016422979">
      <w:bodyDiv w:val="1"/>
      <w:marLeft w:val="0"/>
      <w:marRight w:val="0"/>
      <w:marTop w:val="0"/>
      <w:marBottom w:val="0"/>
      <w:divBdr>
        <w:top w:val="none" w:sz="0" w:space="0" w:color="auto"/>
        <w:left w:val="none" w:sz="0" w:space="0" w:color="auto"/>
        <w:bottom w:val="none" w:sz="0" w:space="0" w:color="auto"/>
        <w:right w:val="none" w:sz="0" w:space="0" w:color="auto"/>
      </w:divBdr>
    </w:div>
    <w:div w:id="203384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0bprocurement@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a3e5385b79422e8474861282ef31de9e">
  <xsd:schema xmlns:xsd="http://www.w3.org/2001/XMLSchema" xmlns:xs="http://www.w3.org/2001/XMLSchema" xmlns:p="http://schemas.microsoft.com/office/2006/metadata/properties" xmlns:ns2="cdc7663a-08f0-4737-9e8c-148ce897a09c" targetNamespace="http://schemas.microsoft.com/office/2006/metadata/properties" ma:root="true" ma:fieldsID="2728d8f25b58dd6c1a9d3f486bb55e1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Arango Mesa, Maria Clara</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EZSHARE-1132444900-14626</_dlc_DocId>
    <_dlc_DocIdUrl xmlns="cdc7663a-08f0-4737-9e8c-148ce897a09c">
      <Url>https://idbg.sharepoint.com/teams/ez-COF/FMP/_layouts/15/DocIdRedir.aspx?ID=EZSHARE-1132444900-14626</Url>
      <Description>EZSHARE-1132444900-14626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0658-8247-4E62-84C9-890EB59F1D90}"/>
</file>

<file path=customXml/itemProps2.xml><?xml version="1.0" encoding="utf-8"?>
<ds:datastoreItem xmlns:ds="http://schemas.openxmlformats.org/officeDocument/2006/customXml" ds:itemID="{98772FDF-781C-4D92-ABE4-B94245299D91}"/>
</file>

<file path=customXml/itemProps3.xml><?xml version="1.0" encoding="utf-8"?>
<ds:datastoreItem xmlns:ds="http://schemas.openxmlformats.org/officeDocument/2006/customXml" ds:itemID="{A52A7C22-F8EF-427A-A9D0-608D8EF55906}">
  <ds:schemaRefs>
    <ds:schemaRef ds:uri="http://schemas.microsoft.com/sharepoint/v3/contenttype/forms"/>
  </ds:schemaRefs>
</ds:datastoreItem>
</file>

<file path=customXml/itemProps4.xml><?xml version="1.0" encoding="utf-8"?>
<ds:datastoreItem xmlns:ds="http://schemas.openxmlformats.org/officeDocument/2006/customXml" ds:itemID="{BFCB6E6D-C0F9-4F65-9662-1226F77E602B}">
  <ds:schemaRefs>
    <ds:schemaRef ds:uri="http://schemas.microsoft.com/sharepoint/events"/>
  </ds:schemaRefs>
</ds:datastoreItem>
</file>

<file path=customXml/itemProps5.xml><?xml version="1.0" encoding="utf-8"?>
<ds:datastoreItem xmlns:ds="http://schemas.openxmlformats.org/officeDocument/2006/customXml" ds:itemID="{7A2BA835-8445-43B3-9FF6-A7B61FDE02D2}"/>
</file>

<file path=customXml/itemProps6.xml><?xml version="1.0" encoding="utf-8"?>
<ds:datastoreItem xmlns:ds="http://schemas.openxmlformats.org/officeDocument/2006/customXml" ds:itemID="{A820C7C2-E31D-45E5-B52B-08D6D17E7EB8}">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dc7663a-08f0-4737-9e8c-148ce897a09c"/>
  </ds:schemaRefs>
</ds:datastoreItem>
</file>

<file path=customXml/itemProps7.xml><?xml version="1.0" encoding="utf-8"?>
<ds:datastoreItem xmlns:ds="http://schemas.openxmlformats.org/officeDocument/2006/customXml" ds:itemID="{79C828E9-5DE2-405A-B720-06342C59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8129</Words>
  <Characters>44712</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DOCUMENTOS ESTÁNDAR DE LICITACIÓN (DEL)</vt:lpstr>
    </vt:vector>
  </TitlesOfParts>
  <Manager>María Eugenia Roca, Coordinadora Técnica</Manager>
  <Company>Banco Interamericano de Desarrollo</Company>
  <LinksUpToDate>false</LinksUpToDate>
  <CharactersWithSpaces>52736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 (DEL)</dc:title>
  <dc:subject>Guía del Usuario del Documento de Diseño y Construcción para Obras Civiles</dc:subject>
  <dc:creator>Efraím Jiménez, consultor</dc:creator>
  <cp:keywords/>
  <dc:description/>
  <cp:lastModifiedBy>Arango Mesa, Maria Clara</cp:lastModifiedBy>
  <cp:revision>3</cp:revision>
  <cp:lastPrinted>2017-11-01T23:31:00Z</cp:lastPrinted>
  <dcterms:created xsi:type="dcterms:W3CDTF">2018-04-25T20:48:00Z</dcterms:created>
  <dcterms:modified xsi:type="dcterms:W3CDTF">2018-04-25T21:09:00Z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54c935d3-db7f-462c-8244-b09aedc816c3</vt:lpwstr>
  </property>
  <property fmtid="{D5CDD505-2E9C-101B-9397-08002B2CF9AE}" pid="9" name="SharedWithUsers">
    <vt:lpwstr>4;#Everyone</vt:lpwstr>
  </property>
  <property fmtid="{D5CDD505-2E9C-101B-9397-08002B2CF9AE}" pid="11" name="Stage">
    <vt:lpwstr>Draft</vt:lpwstr>
  </property>
  <property fmtid="{D5CDD505-2E9C-101B-9397-08002B2CF9AE}" pid="12" name="ContentTypeId">
    <vt:lpwstr>0x01010066B06E59AB175241BBFB297522263BEB0073F8908D5DEBAD4385B516E09646285F</vt:lpwstr>
  </property>
</Properties>
</file>